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1882" w:rsidR="0054255A" w:rsidRDefault="0054255A" w14:paraId="46C8F908" w14:textId="35268AA0">
      <w:pPr>
        <w:rPr>
          <w:b/>
        </w:rPr>
      </w:pPr>
    </w:p>
    <w:p w:rsidRPr="00971882" w:rsidR="0054255A" w:rsidP="00B13297" w:rsidRDefault="00FD673B" w14:paraId="62DEA0B8" w14:textId="36AC295B">
      <w:pPr>
        <w:pStyle w:val="ReportCover-Title"/>
        <w:jc w:val="center"/>
        <w:rPr>
          <w:rFonts w:ascii="Arial" w:hAnsi="Arial" w:cs="Arial"/>
          <w:color w:val="auto"/>
        </w:rPr>
      </w:pPr>
      <w:r w:rsidRPr="00971882">
        <w:rPr>
          <w:rFonts w:ascii="Arial" w:hAnsi="Arial" w:eastAsia="Arial Unicode MS" w:cs="Arial"/>
          <w:noProof/>
          <w:color w:val="auto"/>
        </w:rPr>
        <w:t>Suc</w:t>
      </w:r>
      <w:r w:rsidR="008F0FC1">
        <w:rPr>
          <w:rFonts w:ascii="Arial" w:hAnsi="Arial" w:eastAsia="Arial Unicode MS" w:cs="Arial"/>
          <w:noProof/>
          <w:color w:val="auto"/>
        </w:rPr>
        <w:t>c</w:t>
      </w:r>
      <w:r w:rsidRPr="00971882">
        <w:rPr>
          <w:rFonts w:ascii="Arial" w:hAnsi="Arial" w:eastAsia="Arial Unicode MS" w:cs="Arial"/>
          <w:noProof/>
          <w:color w:val="auto"/>
        </w:rPr>
        <w:t>ess Sequence Interviews</w:t>
      </w:r>
    </w:p>
    <w:p w:rsidRPr="00971882" w:rsidR="0054255A" w:rsidP="00B13297" w:rsidRDefault="0054255A" w14:paraId="11C893CE" w14:textId="77777777">
      <w:pPr>
        <w:pStyle w:val="ReportCover-Title"/>
        <w:rPr>
          <w:rFonts w:ascii="Arial" w:hAnsi="Arial" w:cs="Arial"/>
          <w:color w:val="auto"/>
        </w:rPr>
      </w:pPr>
    </w:p>
    <w:p w:rsidRPr="00971882" w:rsidR="0054255A" w:rsidP="00B13297" w:rsidRDefault="0054255A" w14:paraId="56DAFAF6" w14:textId="77777777">
      <w:pPr>
        <w:pStyle w:val="ReportCover-Title"/>
        <w:rPr>
          <w:rFonts w:ascii="Arial" w:hAnsi="Arial" w:cs="Arial"/>
          <w:color w:val="auto"/>
        </w:rPr>
      </w:pPr>
    </w:p>
    <w:p w:rsidRPr="00971882" w:rsidR="0054255A" w:rsidP="00B13297" w:rsidRDefault="0054255A" w14:paraId="29DA80E4" w14:textId="77777777">
      <w:pPr>
        <w:pStyle w:val="ReportCover-Title"/>
        <w:jc w:val="center"/>
        <w:rPr>
          <w:rFonts w:ascii="Arial" w:hAnsi="Arial" w:cs="Arial"/>
          <w:color w:val="auto"/>
          <w:sz w:val="32"/>
          <w:szCs w:val="32"/>
        </w:rPr>
      </w:pPr>
      <w:bookmarkStart w:name="_Hlk79484663" w:id="0"/>
      <w:r w:rsidRPr="00971882">
        <w:rPr>
          <w:rFonts w:ascii="Arial" w:hAnsi="Arial" w:cs="Arial"/>
          <w:color w:val="auto"/>
          <w:sz w:val="32"/>
          <w:szCs w:val="32"/>
        </w:rPr>
        <w:t>OMB Information Collection Request</w:t>
      </w:r>
    </w:p>
    <w:p w:rsidRPr="00971882" w:rsidR="0054255A" w:rsidP="00B13297" w:rsidRDefault="008F0FC1" w14:paraId="3E8F7648" w14:textId="1A0D51BE">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Pr>
          <w:rFonts w:ascii="Arial" w:hAnsi="Arial" w:cs="Arial"/>
          <w:color w:val="auto"/>
          <w:sz w:val="32"/>
          <w:szCs w:val="32"/>
        </w:rPr>
        <w:t>–</w:t>
      </w:r>
      <w:r w:rsidR="00C517BC">
        <w:rPr>
          <w:rFonts w:ascii="Arial" w:hAnsi="Arial" w:cs="Arial"/>
          <w:color w:val="auto"/>
          <w:sz w:val="32"/>
          <w:szCs w:val="32"/>
        </w:rPr>
        <w:t xml:space="preserve"> </w:t>
      </w:r>
      <w:r w:rsidRPr="00971882" w:rsidR="0007008D">
        <w:rPr>
          <w:rFonts w:ascii="Arial" w:hAnsi="Arial" w:cs="Arial"/>
          <w:color w:val="auto"/>
          <w:sz w:val="32"/>
          <w:szCs w:val="32"/>
        </w:rPr>
        <w:t xml:space="preserve">New </w:t>
      </w:r>
      <w:r w:rsidR="00C517BC">
        <w:rPr>
          <w:rFonts w:ascii="Arial" w:hAnsi="Arial" w:cs="Arial"/>
          <w:color w:val="auto"/>
          <w:sz w:val="32"/>
          <w:szCs w:val="32"/>
        </w:rPr>
        <w:t>C</w:t>
      </w:r>
      <w:r w:rsidRPr="00971882" w:rsidR="0007008D">
        <w:rPr>
          <w:rFonts w:ascii="Arial" w:hAnsi="Arial" w:cs="Arial"/>
          <w:color w:val="auto"/>
          <w:sz w:val="32"/>
          <w:szCs w:val="32"/>
        </w:rPr>
        <w:t>ollection</w:t>
      </w:r>
    </w:p>
    <w:bookmarkEnd w:id="0"/>
    <w:p w:rsidRPr="00971882" w:rsidR="0054255A" w:rsidP="00B13297" w:rsidRDefault="0054255A" w14:paraId="20B97EA0" w14:textId="77777777">
      <w:pPr>
        <w:rPr>
          <w:rFonts w:ascii="Arial" w:hAnsi="Arial" w:cs="Arial"/>
        </w:rPr>
      </w:pPr>
    </w:p>
    <w:p w:rsidRPr="00971882" w:rsidR="0054255A" w:rsidP="00B13297" w:rsidRDefault="0054255A" w14:paraId="073B8B22" w14:textId="77777777">
      <w:pPr>
        <w:pStyle w:val="ReportCover-Date"/>
        <w:jc w:val="center"/>
        <w:rPr>
          <w:rFonts w:ascii="Arial" w:hAnsi="Arial" w:cs="Arial"/>
          <w:color w:val="auto"/>
        </w:rPr>
      </w:pPr>
    </w:p>
    <w:p w:rsidRPr="00971882"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971882">
        <w:rPr>
          <w:rFonts w:ascii="Arial" w:hAnsi="Arial" w:cs="Arial"/>
          <w:color w:val="auto"/>
          <w:sz w:val="48"/>
          <w:szCs w:val="48"/>
        </w:rPr>
        <w:t>Supporting Statement</w:t>
      </w:r>
    </w:p>
    <w:p w:rsidRPr="00971882"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971882">
        <w:rPr>
          <w:rFonts w:ascii="Arial" w:hAnsi="Arial" w:cs="Arial"/>
          <w:color w:val="auto"/>
          <w:sz w:val="48"/>
          <w:szCs w:val="48"/>
        </w:rPr>
        <w:t>Part A</w:t>
      </w:r>
    </w:p>
    <w:p w:rsidRPr="00971882" w:rsidR="0054255A" w:rsidP="00B13297" w:rsidRDefault="0009378D" w14:paraId="782F2D46" w14:textId="3113ADB0">
      <w:pPr>
        <w:pStyle w:val="ReportCover-Date"/>
        <w:jc w:val="center"/>
        <w:rPr>
          <w:rFonts w:ascii="Arial" w:hAnsi="Arial" w:cs="Arial"/>
          <w:color w:val="auto"/>
        </w:rPr>
      </w:pPr>
      <w:r>
        <w:rPr>
          <w:rFonts w:ascii="Arial" w:hAnsi="Arial" w:cs="Arial"/>
          <w:color w:val="auto"/>
        </w:rPr>
        <w:t>January 2022</w:t>
      </w:r>
    </w:p>
    <w:p w:rsidRPr="00971882" w:rsidR="0054255A" w:rsidP="00B13297" w:rsidRDefault="0054255A" w14:paraId="44E8CF70" w14:textId="77777777">
      <w:pPr>
        <w:spacing w:after="0" w:line="240" w:lineRule="auto"/>
        <w:jc w:val="center"/>
        <w:rPr>
          <w:rFonts w:ascii="Arial" w:hAnsi="Arial" w:cs="Arial"/>
        </w:rPr>
      </w:pPr>
    </w:p>
    <w:p w:rsidRPr="00971882" w:rsidR="0054255A" w:rsidP="00B13297" w:rsidRDefault="0054255A" w14:paraId="326AE304" w14:textId="1519BB29">
      <w:pPr>
        <w:spacing w:after="0" w:line="240" w:lineRule="auto"/>
        <w:jc w:val="center"/>
        <w:rPr>
          <w:rFonts w:ascii="Arial" w:hAnsi="Arial" w:cs="Arial"/>
        </w:rPr>
      </w:pPr>
      <w:r w:rsidRPr="00971882">
        <w:rPr>
          <w:rFonts w:ascii="Arial" w:hAnsi="Arial" w:cs="Arial"/>
        </w:rPr>
        <w:t>Submitted</w:t>
      </w:r>
      <w:r w:rsidRPr="00971882" w:rsidR="001D396D">
        <w:rPr>
          <w:rFonts w:ascii="Arial" w:hAnsi="Arial" w:cs="Arial"/>
        </w:rPr>
        <w:t xml:space="preserve"> b</w:t>
      </w:r>
      <w:r w:rsidRPr="00971882">
        <w:rPr>
          <w:rFonts w:ascii="Arial" w:hAnsi="Arial" w:cs="Arial"/>
        </w:rPr>
        <w:t>y:</w:t>
      </w:r>
    </w:p>
    <w:p w:rsidRPr="00971882" w:rsidR="0054255A" w:rsidP="00B13297" w:rsidRDefault="0054255A" w14:paraId="4993D670" w14:textId="172DBFE1">
      <w:pPr>
        <w:spacing w:after="0" w:line="240" w:lineRule="auto"/>
        <w:jc w:val="center"/>
        <w:rPr>
          <w:rFonts w:ascii="Arial" w:hAnsi="Arial" w:cs="Arial"/>
        </w:rPr>
      </w:pPr>
      <w:r w:rsidRPr="00971882">
        <w:rPr>
          <w:rFonts w:ascii="Arial" w:hAnsi="Arial" w:cs="Arial"/>
        </w:rPr>
        <w:t>Office of Planning, Research and Evaluation</w:t>
      </w:r>
    </w:p>
    <w:p w:rsidRPr="00971882" w:rsidR="0054255A" w:rsidP="00B13297" w:rsidRDefault="0054255A" w14:paraId="47965330" w14:textId="40A133E9">
      <w:pPr>
        <w:spacing w:after="0" w:line="240" w:lineRule="auto"/>
        <w:jc w:val="center"/>
        <w:rPr>
          <w:rFonts w:ascii="Arial" w:hAnsi="Arial" w:cs="Arial"/>
        </w:rPr>
      </w:pPr>
      <w:r w:rsidRPr="00971882">
        <w:rPr>
          <w:rFonts w:ascii="Arial" w:hAnsi="Arial" w:cs="Arial"/>
        </w:rPr>
        <w:t>Administration for Children and Families</w:t>
      </w:r>
    </w:p>
    <w:p w:rsidRPr="00971882" w:rsidR="0054255A" w:rsidP="00B13297" w:rsidRDefault="0054255A" w14:paraId="6D0243BB" w14:textId="77777777">
      <w:pPr>
        <w:spacing w:after="0" w:line="240" w:lineRule="auto"/>
        <w:jc w:val="center"/>
        <w:rPr>
          <w:rFonts w:ascii="Arial" w:hAnsi="Arial" w:cs="Arial"/>
        </w:rPr>
      </w:pPr>
      <w:r w:rsidRPr="00971882">
        <w:rPr>
          <w:rFonts w:ascii="Arial" w:hAnsi="Arial" w:cs="Arial"/>
        </w:rPr>
        <w:t>U.S. Department of Health and Human Services</w:t>
      </w:r>
    </w:p>
    <w:p w:rsidRPr="00971882" w:rsidR="0054255A" w:rsidP="00B13297" w:rsidRDefault="0054255A" w14:paraId="0AED6156" w14:textId="77777777">
      <w:pPr>
        <w:spacing w:after="0" w:line="240" w:lineRule="auto"/>
        <w:jc w:val="center"/>
        <w:rPr>
          <w:rFonts w:ascii="Arial" w:hAnsi="Arial" w:cs="Arial"/>
        </w:rPr>
      </w:pPr>
    </w:p>
    <w:p w:rsidRPr="00971882" w:rsidR="0054255A" w:rsidP="00B13297" w:rsidRDefault="0054255A" w14:paraId="4FBBD238" w14:textId="77777777">
      <w:pPr>
        <w:spacing w:after="0" w:line="240" w:lineRule="auto"/>
        <w:jc w:val="center"/>
        <w:rPr>
          <w:rFonts w:ascii="Arial" w:hAnsi="Arial" w:cs="Arial"/>
        </w:rPr>
      </w:pPr>
      <w:r w:rsidRPr="00971882">
        <w:rPr>
          <w:rFonts w:ascii="Arial" w:hAnsi="Arial" w:cs="Arial"/>
        </w:rPr>
        <w:t>4</w:t>
      </w:r>
      <w:r w:rsidRPr="00A439BD">
        <w:rPr>
          <w:rFonts w:ascii="Arial" w:hAnsi="Arial" w:cs="Arial"/>
          <w:vertAlign w:val="superscript"/>
        </w:rPr>
        <w:t>th</w:t>
      </w:r>
      <w:r w:rsidRPr="00971882">
        <w:rPr>
          <w:rFonts w:ascii="Arial" w:hAnsi="Arial" w:cs="Arial"/>
        </w:rPr>
        <w:t xml:space="preserve"> Floor, Mary E. Switzer Building</w:t>
      </w:r>
    </w:p>
    <w:p w:rsidRPr="00971882" w:rsidR="0054255A" w:rsidP="00B13297" w:rsidRDefault="0054255A" w14:paraId="737C8E19" w14:textId="77777777">
      <w:pPr>
        <w:spacing w:after="0" w:line="240" w:lineRule="auto"/>
        <w:jc w:val="center"/>
        <w:rPr>
          <w:rFonts w:ascii="Arial" w:hAnsi="Arial" w:cs="Arial"/>
        </w:rPr>
      </w:pPr>
      <w:r w:rsidRPr="00971882">
        <w:rPr>
          <w:rFonts w:ascii="Arial" w:hAnsi="Arial" w:cs="Arial"/>
        </w:rPr>
        <w:t>330 C Street, SW</w:t>
      </w:r>
    </w:p>
    <w:p w:rsidRPr="00971882" w:rsidR="0054255A" w:rsidP="00B13297" w:rsidRDefault="0054255A" w14:paraId="0C645A88" w14:textId="77777777">
      <w:pPr>
        <w:spacing w:after="0" w:line="240" w:lineRule="auto"/>
        <w:jc w:val="center"/>
        <w:rPr>
          <w:rFonts w:ascii="Arial" w:hAnsi="Arial" w:cs="Arial"/>
        </w:rPr>
      </w:pPr>
      <w:r w:rsidRPr="00971882">
        <w:rPr>
          <w:rFonts w:ascii="Arial" w:hAnsi="Arial" w:cs="Arial"/>
        </w:rPr>
        <w:t>Washington, D.C. 20201</w:t>
      </w:r>
    </w:p>
    <w:p w:rsidRPr="00971882" w:rsidR="0054255A" w:rsidP="00B13297" w:rsidRDefault="0054255A" w14:paraId="00F1DA38" w14:textId="77777777">
      <w:pPr>
        <w:spacing w:after="0" w:line="240" w:lineRule="auto"/>
        <w:jc w:val="center"/>
        <w:rPr>
          <w:rFonts w:ascii="Arial" w:hAnsi="Arial" w:cs="Arial"/>
        </w:rPr>
      </w:pPr>
    </w:p>
    <w:p w:rsidRPr="00971882" w:rsidR="00FD673B" w:rsidP="00B13297" w:rsidRDefault="0054255A" w14:paraId="30CE4970" w14:textId="1652231B">
      <w:pPr>
        <w:spacing w:after="0" w:line="240" w:lineRule="auto"/>
        <w:jc w:val="center"/>
        <w:rPr>
          <w:rFonts w:ascii="Arial" w:hAnsi="Arial" w:cs="Arial"/>
        </w:rPr>
      </w:pPr>
      <w:r w:rsidRPr="00971882">
        <w:rPr>
          <w:rFonts w:ascii="Arial" w:hAnsi="Arial" w:cs="Arial"/>
        </w:rPr>
        <w:t>Project Officer</w:t>
      </w:r>
      <w:r w:rsidRPr="00971882" w:rsidR="00F211A1">
        <w:rPr>
          <w:rFonts w:ascii="Arial" w:hAnsi="Arial" w:cs="Arial"/>
        </w:rPr>
        <w:t>:</w:t>
      </w:r>
    </w:p>
    <w:p w:rsidRPr="00971882" w:rsidR="0054255A" w:rsidP="00B13297" w:rsidRDefault="00FD673B" w14:paraId="594D3C68" w14:textId="68198BB6">
      <w:pPr>
        <w:spacing w:after="0" w:line="240" w:lineRule="auto"/>
        <w:jc w:val="center"/>
        <w:rPr>
          <w:rFonts w:ascii="Arial" w:hAnsi="Arial" w:cs="Arial"/>
        </w:rPr>
      </w:pPr>
      <w:r w:rsidRPr="00971882">
        <w:rPr>
          <w:rFonts w:ascii="Arial" w:hAnsi="Arial" w:cs="Arial"/>
        </w:rPr>
        <w:t>Car</w:t>
      </w:r>
      <w:r w:rsidRPr="00971882" w:rsidR="00F211A1">
        <w:rPr>
          <w:rFonts w:ascii="Arial" w:hAnsi="Arial" w:cs="Arial"/>
        </w:rPr>
        <w:t>yn Blitz</w:t>
      </w:r>
    </w:p>
    <w:p w:rsidRPr="00971882" w:rsidR="00CA2A0D" w:rsidRDefault="00CA2A0D" w14:paraId="388A70CF" w14:textId="2D120E3B">
      <w:pPr>
        <w:rPr>
          <w:b/>
          <w:sz w:val="32"/>
          <w:szCs w:val="32"/>
        </w:rPr>
      </w:pPr>
      <w:r w:rsidRPr="00971882">
        <w:rPr>
          <w:b/>
          <w:sz w:val="32"/>
          <w:szCs w:val="32"/>
        </w:rPr>
        <w:br w:type="page"/>
      </w:r>
    </w:p>
    <w:p w:rsidRPr="00971882" w:rsidR="00B04785" w:rsidP="00624DDC" w:rsidRDefault="00B04785" w14:paraId="7CB1DEBF" w14:textId="77777777">
      <w:pPr>
        <w:spacing w:after="0" w:line="240" w:lineRule="auto"/>
        <w:jc w:val="center"/>
        <w:rPr>
          <w:b/>
          <w:sz w:val="32"/>
          <w:szCs w:val="32"/>
        </w:rPr>
      </w:pPr>
    </w:p>
    <w:p w:rsidRPr="00971882" w:rsidR="00624DDC" w:rsidP="00624DDC" w:rsidRDefault="0068303E" w14:paraId="36C08276" w14:textId="671DC8EB">
      <w:pPr>
        <w:spacing w:after="0" w:line="240" w:lineRule="auto"/>
        <w:jc w:val="center"/>
        <w:rPr>
          <w:b/>
          <w:sz w:val="32"/>
          <w:szCs w:val="32"/>
        </w:rPr>
      </w:pPr>
      <w:r w:rsidRPr="00971882">
        <w:rPr>
          <w:b/>
          <w:sz w:val="32"/>
          <w:szCs w:val="32"/>
        </w:rPr>
        <w:t>Part A</w:t>
      </w:r>
    </w:p>
    <w:p w:rsidRPr="00971882" w:rsidR="00026192" w:rsidP="000F1E4A" w:rsidRDefault="00026192" w14:paraId="095FF910" w14:textId="77777777">
      <w:pPr>
        <w:spacing w:after="0" w:line="240" w:lineRule="auto"/>
        <w:rPr>
          <w:b/>
          <w:u w:val="single"/>
        </w:rPr>
      </w:pPr>
    </w:p>
    <w:p w:rsidRPr="00971882" w:rsidR="00026192" w:rsidP="000F1E4A" w:rsidRDefault="00026192" w14:paraId="4CA5E0BD" w14:textId="77777777">
      <w:pPr>
        <w:spacing w:after="0" w:line="240" w:lineRule="auto"/>
        <w:rPr>
          <w:b/>
          <w:u w:val="single"/>
        </w:rPr>
      </w:pPr>
    </w:p>
    <w:p w:rsidRPr="00971882" w:rsidR="00840D32" w:rsidP="000F1E4A" w:rsidRDefault="00840D32" w14:paraId="5E4659ED" w14:textId="4B12C786">
      <w:pPr>
        <w:spacing w:after="0" w:line="240" w:lineRule="auto"/>
        <w:rPr>
          <w:b/>
          <w:sz w:val="28"/>
        </w:rPr>
      </w:pPr>
      <w:r w:rsidRPr="00971882">
        <w:rPr>
          <w:b/>
          <w:sz w:val="28"/>
        </w:rPr>
        <w:t>Executive Summary</w:t>
      </w:r>
    </w:p>
    <w:p w:rsidRPr="00971882" w:rsidR="00B04785" w:rsidP="000F1E4A" w:rsidRDefault="00B04785" w14:paraId="5D7B325A" w14:textId="6F433416">
      <w:pPr>
        <w:spacing w:after="0" w:line="240" w:lineRule="auto"/>
        <w:rPr>
          <w:b/>
        </w:rPr>
      </w:pPr>
    </w:p>
    <w:p w:rsidRPr="00971882" w:rsidR="00B04785" w:rsidP="00121682" w:rsidRDefault="00B04785" w14:paraId="4BAA4A44" w14:textId="717498AF">
      <w:pPr>
        <w:pStyle w:val="ListParagraph"/>
        <w:numPr>
          <w:ilvl w:val="0"/>
          <w:numId w:val="28"/>
        </w:numPr>
        <w:spacing w:after="240" w:line="240" w:lineRule="auto"/>
        <w:ind w:left="360"/>
        <w:contextualSpacing w:val="0"/>
      </w:pPr>
      <w:r w:rsidRPr="00971882">
        <w:rPr>
          <w:b/>
        </w:rPr>
        <w:t xml:space="preserve">Type of Request: </w:t>
      </w:r>
      <w:r w:rsidRPr="00971882">
        <w:t xml:space="preserve">This </w:t>
      </w:r>
      <w:r w:rsidR="007734BB">
        <w:t>i</w:t>
      </w:r>
      <w:r w:rsidRPr="00971882">
        <w:t xml:space="preserve">nformation </w:t>
      </w:r>
      <w:r w:rsidR="007734BB">
        <w:t>c</w:t>
      </w:r>
      <w:r w:rsidRPr="00971882">
        <w:t xml:space="preserve">ollection </w:t>
      </w:r>
      <w:r w:rsidR="007734BB">
        <w:t>r</w:t>
      </w:r>
      <w:r w:rsidRPr="00971882">
        <w:t xml:space="preserve">equest is for a </w:t>
      </w:r>
      <w:r w:rsidRPr="00971882" w:rsidR="009E16C9">
        <w:t>new information collection</w:t>
      </w:r>
      <w:r w:rsidRPr="00971882">
        <w:t xml:space="preserve">. We are requesting </w:t>
      </w:r>
      <w:r w:rsidRPr="00971882" w:rsidR="00E7738F">
        <w:t>one</w:t>
      </w:r>
      <w:r w:rsidRPr="00971882">
        <w:t xml:space="preserve"> year of approval.</w:t>
      </w:r>
    </w:p>
    <w:p w:rsidRPr="00971882" w:rsidR="00992DAE" w:rsidP="00121682" w:rsidRDefault="00992DAE" w14:paraId="30353D36" w14:textId="2112723A">
      <w:pPr>
        <w:pStyle w:val="ListParagraph"/>
        <w:numPr>
          <w:ilvl w:val="0"/>
          <w:numId w:val="28"/>
        </w:numPr>
        <w:spacing w:after="240" w:line="240" w:lineRule="auto"/>
        <w:ind w:left="360"/>
        <w:contextualSpacing w:val="0"/>
      </w:pPr>
      <w:r w:rsidRPr="00971882">
        <w:rPr>
          <w:b/>
        </w:rPr>
        <w:t>Progress to Date:</w:t>
      </w:r>
      <w:r w:rsidR="000B4B60">
        <w:rPr>
          <w:rFonts w:cs="Calibri"/>
        </w:rPr>
        <w:t xml:space="preserve"> T</w:t>
      </w:r>
      <w:r w:rsidRPr="002E4537" w:rsidR="000B4B60">
        <w:rPr>
          <w:rFonts w:cstheme="minorHAnsi"/>
        </w:rPr>
        <w:t xml:space="preserve">o ensure the interview questions are clear, uniformly understood, and not overly sensitive, </w:t>
      </w:r>
      <w:r w:rsidRPr="002E4537" w:rsidR="00D6451B">
        <w:rPr>
          <w:rFonts w:cstheme="minorHAnsi"/>
        </w:rPr>
        <w:t>we conduct</w:t>
      </w:r>
      <w:r w:rsidRPr="002E4537" w:rsidR="00D42A1A">
        <w:rPr>
          <w:rFonts w:cstheme="minorHAnsi"/>
        </w:rPr>
        <w:t>ed</w:t>
      </w:r>
      <w:r w:rsidRPr="002E4537" w:rsidR="00D6451B">
        <w:rPr>
          <w:rFonts w:cstheme="minorHAnsi"/>
        </w:rPr>
        <w:t xml:space="preserve"> a pre</w:t>
      </w:r>
      <w:r w:rsidRPr="002E4537" w:rsidR="00E603F7">
        <w:rPr>
          <w:rFonts w:cstheme="minorHAnsi"/>
        </w:rPr>
        <w:t>-</w:t>
      </w:r>
      <w:r w:rsidRPr="002E4537" w:rsidR="00D6451B">
        <w:rPr>
          <w:rFonts w:cstheme="minorHAnsi"/>
        </w:rPr>
        <w:t xml:space="preserve">test with </w:t>
      </w:r>
      <w:r w:rsidRPr="002E4537" w:rsidR="005E787B">
        <w:rPr>
          <w:rFonts w:cstheme="minorHAnsi"/>
        </w:rPr>
        <w:t xml:space="preserve">40 </w:t>
      </w:r>
      <w:r w:rsidRPr="002E4537" w:rsidR="00D6451B">
        <w:rPr>
          <w:rFonts w:cstheme="minorHAnsi"/>
        </w:rPr>
        <w:t>participants</w:t>
      </w:r>
      <w:r w:rsidRPr="002E4537" w:rsidR="000B4B60">
        <w:rPr>
          <w:rFonts w:cstheme="minorHAnsi"/>
        </w:rPr>
        <w:t xml:space="preserve"> total in English and Spanish</w:t>
      </w:r>
      <w:r w:rsidRPr="002E4537" w:rsidR="00D42A1A">
        <w:rPr>
          <w:rFonts w:cstheme="minorHAnsi"/>
        </w:rPr>
        <w:t xml:space="preserve"> across the United States, </w:t>
      </w:r>
      <w:r w:rsidRPr="002E4537" w:rsidR="00D6451B">
        <w:rPr>
          <w:rFonts w:cstheme="minorHAnsi"/>
        </w:rPr>
        <w:t xml:space="preserve">under </w:t>
      </w:r>
      <w:bookmarkStart w:name="_Hlk86984691" w:id="1"/>
      <w:r w:rsidRPr="002E4537" w:rsidR="002E4537">
        <w:rPr>
          <w:rFonts w:cstheme="minorHAnsi"/>
        </w:rPr>
        <w:t>the umbrella generic, Pre-testing of Evaluation Data Collection Activities (OMB</w:t>
      </w:r>
      <w:r w:rsidR="002E4537">
        <w:rPr>
          <w:rFonts w:cstheme="minorHAnsi"/>
        </w:rPr>
        <w:t xml:space="preserve"> </w:t>
      </w:r>
      <w:r w:rsidRPr="008123FD" w:rsidR="00D6451B">
        <w:rPr>
          <w:rFonts w:cstheme="minorHAnsi"/>
        </w:rPr>
        <w:t>#0970-0355</w:t>
      </w:r>
      <w:r w:rsidRPr="008123FD" w:rsidR="002E4537">
        <w:rPr>
          <w:rFonts w:cstheme="minorHAnsi"/>
        </w:rPr>
        <w:t>)</w:t>
      </w:r>
      <w:r w:rsidRPr="008123FD" w:rsidR="00D6451B">
        <w:rPr>
          <w:rFonts w:cstheme="minorHAnsi"/>
        </w:rPr>
        <w:t>.</w:t>
      </w:r>
      <w:r w:rsidR="002E4537">
        <w:rPr>
          <w:rFonts w:cstheme="minorHAnsi"/>
        </w:rPr>
        <w:t xml:space="preserve"> </w:t>
      </w:r>
      <w:bookmarkEnd w:id="1"/>
      <w:r w:rsidRPr="002E4537" w:rsidR="003B1D76">
        <w:rPr>
          <w:rFonts w:cstheme="minorHAnsi"/>
        </w:rPr>
        <w:t>The pre-test participants had varying income levels, educational attainment, employment status, and family life experiences.</w:t>
      </w:r>
    </w:p>
    <w:p w:rsidRPr="00971882" w:rsidR="00BD7963" w:rsidP="00121682" w:rsidRDefault="00C53AEC" w14:paraId="3F249A25" w14:textId="58C378AB">
      <w:pPr>
        <w:pStyle w:val="ListParagraph"/>
        <w:numPr>
          <w:ilvl w:val="0"/>
          <w:numId w:val="28"/>
        </w:numPr>
        <w:spacing w:after="240" w:line="240" w:lineRule="auto"/>
        <w:ind w:left="360"/>
        <w:contextualSpacing w:val="0"/>
      </w:pPr>
      <w:r w:rsidRPr="00971882">
        <w:rPr>
          <w:b/>
        </w:rPr>
        <w:t xml:space="preserve">Description of Request: </w:t>
      </w:r>
      <w:r w:rsidRPr="00971882" w:rsidR="009E16C9">
        <w:rPr>
          <w:rFonts w:cs="Calibri"/>
        </w:rPr>
        <w:t>This request is to collect interview data through</w:t>
      </w:r>
      <w:r w:rsidRPr="00971882" w:rsidR="00001BFF">
        <w:rPr>
          <w:rFonts w:cs="Calibri"/>
        </w:rPr>
        <w:t xml:space="preserve"> virtual</w:t>
      </w:r>
      <w:r w:rsidRPr="00971882" w:rsidR="009E16C9">
        <w:rPr>
          <w:rFonts w:cs="Calibri"/>
        </w:rPr>
        <w:t xml:space="preserve"> </w:t>
      </w:r>
      <w:r w:rsidRPr="00971882" w:rsidR="009E16C9">
        <w:t>asynchronous interviews</w:t>
      </w:r>
      <w:r w:rsidRPr="00971882" w:rsidR="009E16C9">
        <w:rPr>
          <w:rFonts w:cs="Calibri"/>
        </w:rPr>
        <w:t xml:space="preserve"> with adults to learn about the</w:t>
      </w:r>
      <w:r w:rsidR="00AF357C">
        <w:rPr>
          <w:rFonts w:cs="Calibri"/>
        </w:rPr>
        <w:t>ir</w:t>
      </w:r>
      <w:r w:rsidRPr="00971882" w:rsidR="009E16C9">
        <w:rPr>
          <w:rFonts w:cs="Calibri"/>
        </w:rPr>
        <w:t xml:space="preserve"> various pathways taken </w:t>
      </w:r>
      <w:r w:rsidR="00AF357C">
        <w:rPr>
          <w:rFonts w:cs="Calibri"/>
        </w:rPr>
        <w:t>toward</w:t>
      </w:r>
      <w:r w:rsidR="002E4537">
        <w:rPr>
          <w:rFonts w:cs="Calibri"/>
        </w:rPr>
        <w:t xml:space="preserve"> a set of</w:t>
      </w:r>
      <w:r w:rsidR="00AF357C">
        <w:rPr>
          <w:rFonts w:cs="Calibri"/>
        </w:rPr>
        <w:t xml:space="preserve"> life milestones </w:t>
      </w:r>
      <w:r w:rsidR="002E4537">
        <w:rPr>
          <w:rFonts w:cs="Calibri"/>
        </w:rPr>
        <w:t xml:space="preserve">– referred to </w:t>
      </w:r>
      <w:r w:rsidR="004D00DB">
        <w:rPr>
          <w:rFonts w:cs="Calibri"/>
        </w:rPr>
        <w:t xml:space="preserve">as </w:t>
      </w:r>
      <w:r w:rsidR="002E4537">
        <w:rPr>
          <w:rFonts w:cs="Calibri"/>
        </w:rPr>
        <w:t xml:space="preserve">the success sequence – </w:t>
      </w:r>
      <w:r w:rsidR="00AF357C">
        <w:rPr>
          <w:rFonts w:cs="Calibri"/>
        </w:rPr>
        <w:t xml:space="preserve">in the areas of </w:t>
      </w:r>
      <w:bookmarkStart w:name="_Hlk87368328" w:id="2"/>
      <w:r w:rsidRPr="00826340" w:rsidR="00826340">
        <w:rPr>
          <w:rFonts w:cs="Calibri"/>
        </w:rPr>
        <w:t>high school graduation, employment, marriage, and childbearing</w:t>
      </w:r>
      <w:r w:rsidR="005E74BD">
        <w:rPr>
          <w:rFonts w:cs="Calibri"/>
        </w:rPr>
        <w:t>.</w:t>
      </w:r>
      <w:r w:rsidRPr="00826340" w:rsidDel="00044434" w:rsidR="00826340">
        <w:rPr>
          <w:rFonts w:cs="Calibri"/>
        </w:rPr>
        <w:t xml:space="preserve"> </w:t>
      </w:r>
      <w:bookmarkEnd w:id="2"/>
      <w:r w:rsidR="003B1D76">
        <w:rPr>
          <w:rFonts w:cs="Calibri"/>
        </w:rPr>
        <w:t>We will use t</w:t>
      </w:r>
      <w:r w:rsidRPr="00971882" w:rsidR="009E16C9">
        <w:rPr>
          <w:rFonts w:cs="Calibri"/>
        </w:rPr>
        <w:t xml:space="preserve">he data to </w:t>
      </w:r>
      <w:r w:rsidRPr="00971882" w:rsidR="007F2F2A">
        <w:rPr>
          <w:rFonts w:cs="Calibri"/>
        </w:rPr>
        <w:t>help</w:t>
      </w:r>
      <w:r w:rsidRPr="00971882" w:rsidR="002C241E">
        <w:rPr>
          <w:rFonts w:cs="Calibri"/>
        </w:rPr>
        <w:t xml:space="preserve"> understand the success sequence and the factors in </w:t>
      </w:r>
      <w:r w:rsidRPr="00971882" w:rsidR="00E603F7">
        <w:rPr>
          <w:rFonts w:cs="Calibri"/>
        </w:rPr>
        <w:t xml:space="preserve">the lives of </w:t>
      </w:r>
      <w:r w:rsidRPr="00971882" w:rsidR="002C241E">
        <w:rPr>
          <w:rFonts w:cs="Calibri"/>
        </w:rPr>
        <w:t>young adult</w:t>
      </w:r>
      <w:r w:rsidR="00D42A1A">
        <w:rPr>
          <w:rFonts w:cs="Calibri"/>
        </w:rPr>
        <w:t>s</w:t>
      </w:r>
      <w:r w:rsidRPr="00971882" w:rsidR="002C241E">
        <w:rPr>
          <w:rFonts w:cs="Calibri"/>
        </w:rPr>
        <w:t xml:space="preserve"> that </w:t>
      </w:r>
      <w:r w:rsidR="00D42A1A">
        <w:rPr>
          <w:rFonts w:cs="Calibri"/>
        </w:rPr>
        <w:t>may be</w:t>
      </w:r>
      <w:r w:rsidRPr="00971882" w:rsidR="002C241E">
        <w:rPr>
          <w:rFonts w:cs="Calibri"/>
        </w:rPr>
        <w:t xml:space="preserve"> associated with </w:t>
      </w:r>
      <w:r w:rsidR="001061B2">
        <w:rPr>
          <w:rFonts w:cs="Calibri"/>
        </w:rPr>
        <w:t>achieving</w:t>
      </w:r>
      <w:r w:rsidR="00D42A1A">
        <w:rPr>
          <w:rFonts w:cs="Calibri"/>
        </w:rPr>
        <w:t xml:space="preserve"> economic</w:t>
      </w:r>
      <w:r w:rsidR="00AF357C">
        <w:rPr>
          <w:rFonts w:cs="Calibri"/>
        </w:rPr>
        <w:t xml:space="preserve"> self-sufficiency</w:t>
      </w:r>
      <w:r w:rsidR="002E4537">
        <w:rPr>
          <w:rFonts w:cs="Calibri"/>
        </w:rPr>
        <w:t>.</w:t>
      </w:r>
      <w:r w:rsidRPr="00971882" w:rsidR="002C241E">
        <w:rPr>
          <w:rFonts w:cs="Calibri"/>
        </w:rPr>
        <w:t xml:space="preserve"> </w:t>
      </w:r>
      <w:r w:rsidR="002E4537">
        <w:rPr>
          <w:rFonts w:cs="Calibri"/>
        </w:rPr>
        <w:t>T</w:t>
      </w:r>
      <w:r w:rsidRPr="00971882" w:rsidR="002C241E">
        <w:rPr>
          <w:rFonts w:cs="Calibri"/>
        </w:rPr>
        <w:t xml:space="preserve">he </w:t>
      </w:r>
      <w:proofErr w:type="gramStart"/>
      <w:r w:rsidRPr="00971882" w:rsidR="002C241E">
        <w:rPr>
          <w:rFonts w:cs="Calibri"/>
        </w:rPr>
        <w:t>ultimate goal</w:t>
      </w:r>
      <w:proofErr w:type="gramEnd"/>
      <w:r w:rsidRPr="00971882" w:rsidR="002C241E">
        <w:rPr>
          <w:rFonts w:cs="Calibri"/>
        </w:rPr>
        <w:t xml:space="preserve"> of</w:t>
      </w:r>
      <w:r w:rsidR="002E4537">
        <w:rPr>
          <w:rFonts w:cs="Calibri"/>
        </w:rPr>
        <w:t xml:space="preserve"> the data collection is to</w:t>
      </w:r>
      <w:r w:rsidRPr="00971882" w:rsidR="002C241E">
        <w:rPr>
          <w:rFonts w:cs="Calibri"/>
        </w:rPr>
        <w:t xml:space="preserve"> </w:t>
      </w:r>
      <w:r w:rsidRPr="00971882" w:rsidR="00CC6CB8">
        <w:rPr>
          <w:rFonts w:cs="Calibri"/>
        </w:rPr>
        <w:t>guid</w:t>
      </w:r>
      <w:r w:rsidR="002E4537">
        <w:rPr>
          <w:rFonts w:cs="Calibri"/>
        </w:rPr>
        <w:t>e</w:t>
      </w:r>
      <w:r w:rsidRPr="00971882" w:rsidR="009E16C9">
        <w:rPr>
          <w:rFonts w:cs="Calibri"/>
        </w:rPr>
        <w:t xml:space="preserve"> Family and Youth Services Bureau </w:t>
      </w:r>
      <w:r w:rsidRPr="00971882" w:rsidR="001061B2">
        <w:rPr>
          <w:rFonts w:cs="Calibri"/>
        </w:rPr>
        <w:t xml:space="preserve">Sexual Risk Avoidance Education </w:t>
      </w:r>
      <w:r w:rsidR="000B4B60">
        <w:rPr>
          <w:rFonts w:cs="Calibri"/>
        </w:rPr>
        <w:t xml:space="preserve">programming </w:t>
      </w:r>
      <w:r w:rsidR="001061B2">
        <w:rPr>
          <w:rFonts w:cs="Calibri"/>
        </w:rPr>
        <w:t xml:space="preserve">and </w:t>
      </w:r>
      <w:r w:rsidRPr="00971882" w:rsidR="009E16C9">
        <w:rPr>
          <w:rFonts w:cs="Calibri"/>
        </w:rPr>
        <w:t xml:space="preserve">research efforts. We do not intend </w:t>
      </w:r>
      <w:r w:rsidR="003B1D76">
        <w:rPr>
          <w:rFonts w:cs="Calibri"/>
        </w:rPr>
        <w:t xml:space="preserve">to use </w:t>
      </w:r>
      <w:r w:rsidRPr="00971882" w:rsidR="009E16C9">
        <w:rPr>
          <w:rFonts w:cs="Calibri"/>
        </w:rPr>
        <w:t xml:space="preserve">the information as the principal basis of public policy decisions. Data are not meant to be generalizable </w:t>
      </w:r>
      <w:r w:rsidRPr="00971882" w:rsidR="008E5DB3">
        <w:rPr>
          <w:rFonts w:cs="Calibri"/>
        </w:rPr>
        <w:t>and will not</w:t>
      </w:r>
      <w:r w:rsidRPr="00971882" w:rsidR="009E16C9">
        <w:rPr>
          <w:rFonts w:cs="Calibri"/>
        </w:rPr>
        <w:t xml:space="preserve"> be used as</w:t>
      </w:r>
      <w:r w:rsidR="00197477">
        <w:rPr>
          <w:rFonts w:cs="Calibri"/>
        </w:rPr>
        <w:t xml:space="preserve"> the</w:t>
      </w:r>
      <w:r w:rsidRPr="00971882" w:rsidR="009E16C9">
        <w:rPr>
          <w:rFonts w:cs="Calibri"/>
        </w:rPr>
        <w:t xml:space="preserve"> </w:t>
      </w:r>
      <w:r w:rsidRPr="00971882" w:rsidR="00197477">
        <w:t>principal basis for creating policy or making policy decisions.</w:t>
      </w:r>
    </w:p>
    <w:p w:rsidRPr="00971882" w:rsidR="001A38FD" w:rsidRDefault="001A38FD" w14:paraId="7EEF528A" w14:textId="156BF329">
      <w:r w:rsidRPr="00971882">
        <w:br w:type="page"/>
      </w:r>
    </w:p>
    <w:p w:rsidRPr="00971882" w:rsidR="00D5346A" w:rsidP="001A38FD" w:rsidRDefault="00D5346A" w14:paraId="695C22E4" w14:textId="77777777">
      <w:pPr>
        <w:spacing w:after="0" w:line="240" w:lineRule="auto"/>
      </w:pPr>
    </w:p>
    <w:p w:rsidRPr="00971882" w:rsidR="004328A4" w:rsidP="007D0F6E" w:rsidRDefault="00BD702B" w14:paraId="5CB85B8F" w14:textId="7708BF5B">
      <w:pPr>
        <w:spacing w:after="120" w:line="240" w:lineRule="auto"/>
      </w:pPr>
      <w:bookmarkStart w:name="_Hlk87369401" w:id="3"/>
      <w:r w:rsidRPr="00971882">
        <w:rPr>
          <w:b/>
        </w:rPr>
        <w:t>A1</w:t>
      </w:r>
      <w:r w:rsidRPr="00971882">
        <w:t>.</w:t>
      </w:r>
      <w:r w:rsidRPr="00971882">
        <w:tab/>
      </w:r>
      <w:r w:rsidRPr="00971882" w:rsidR="004E5778">
        <w:rPr>
          <w:b/>
        </w:rPr>
        <w:t>Necessity for Collection</w:t>
      </w:r>
    </w:p>
    <w:p w:rsidR="00C97AA9" w:rsidP="00CF503F" w:rsidRDefault="00C97AA9" w14:paraId="38799F60" w14:textId="3FE1B7A8">
      <w:pPr>
        <w:pStyle w:val="Heading3A"/>
        <w:spacing w:after="60"/>
      </w:pPr>
      <w:r>
        <w:t>Study Background</w:t>
      </w:r>
    </w:p>
    <w:p w:rsidRPr="00971882" w:rsidR="00DD1AF3" w:rsidP="00617B26" w:rsidRDefault="00DD1AF3" w14:paraId="7EC2F466" w14:textId="6095EF96">
      <w:pPr>
        <w:spacing w:after="240" w:line="240" w:lineRule="auto"/>
      </w:pPr>
      <w:r w:rsidRPr="00971882">
        <w:t xml:space="preserve">As part of the federal government’s ongoing efforts to support youth in making healthy decisions about their relationships and behavior, Congress updated Title V, Section 510 of the Social Security Act in February 2018 to authorize the Sexual Risk Avoidance Education (SRAE) grant program. </w:t>
      </w:r>
      <w:r w:rsidRPr="00112ADA" w:rsidR="007734BB">
        <w:t>SRAE</w:t>
      </w:r>
      <w:r w:rsidR="007734BB">
        <w:t>—which is</w:t>
      </w:r>
      <w:r w:rsidRPr="00112ADA" w:rsidR="007734BB">
        <w:t xml:space="preserve"> </w:t>
      </w:r>
      <w:r w:rsidR="007734BB">
        <w:t>a</w:t>
      </w:r>
      <w:r w:rsidRPr="00112ADA" w:rsidR="007734BB">
        <w:t xml:space="preserve">dministered by the Family and Youth Services Bureau </w:t>
      </w:r>
      <w:r w:rsidR="004D00DB">
        <w:t xml:space="preserve">(FYSB) </w:t>
      </w:r>
      <w:r w:rsidR="007734BB">
        <w:t>of</w:t>
      </w:r>
      <w:r w:rsidRPr="00112ADA" w:rsidR="007734BB">
        <w:t xml:space="preserve"> </w:t>
      </w:r>
      <w:r w:rsidR="003B1D76">
        <w:t>the Administration for Children and Families (</w:t>
      </w:r>
      <w:r w:rsidRPr="00112ADA" w:rsidR="007734BB">
        <w:t>ACF</w:t>
      </w:r>
      <w:r w:rsidR="003B1D76">
        <w:t>)</w:t>
      </w:r>
      <w:r w:rsidRPr="00112ADA" w:rsidR="007734BB">
        <w:t xml:space="preserve">, </w:t>
      </w:r>
      <w:r w:rsidR="003B1D76">
        <w:t>U.S. Department of Health and Human Services (</w:t>
      </w:r>
      <w:r w:rsidRPr="00112ADA" w:rsidR="007734BB">
        <w:t>HHS</w:t>
      </w:r>
      <w:r w:rsidR="003B1D76">
        <w:t>)</w:t>
      </w:r>
      <w:r w:rsidR="007734BB">
        <w:t>—</w:t>
      </w:r>
      <w:r w:rsidRPr="00112ADA" w:rsidR="007734BB">
        <w:t xml:space="preserve">funds programs that teach adolescents to refrain from sexual activity. One </w:t>
      </w:r>
      <w:r w:rsidR="007734BB">
        <w:t>topic</w:t>
      </w:r>
      <w:r w:rsidRPr="00112ADA" w:rsidR="007734BB">
        <w:t xml:space="preserve"> SRAE</w:t>
      </w:r>
      <w:r w:rsidR="007734BB">
        <w:t>-</w:t>
      </w:r>
      <w:r w:rsidRPr="00112ADA" w:rsidR="007734BB">
        <w:t xml:space="preserve">funded programs </w:t>
      </w:r>
      <w:r w:rsidR="007734BB">
        <w:t xml:space="preserve">are required to </w:t>
      </w:r>
      <w:r w:rsidRPr="00112ADA" w:rsidR="007734BB">
        <w:t xml:space="preserve">cover is the </w:t>
      </w:r>
      <w:r w:rsidR="007734BB">
        <w:t>“</w:t>
      </w:r>
      <w:r w:rsidRPr="00112ADA" w:rsidR="007734BB">
        <w:t>success sequence</w:t>
      </w:r>
      <w:r w:rsidR="009D714C">
        <w:t>.</w:t>
      </w:r>
      <w:r w:rsidR="007734BB">
        <w:t>”</w:t>
      </w:r>
      <w:r w:rsidRPr="00112ADA" w:rsidR="007734BB">
        <w:rPr>
          <w:vertAlign w:val="superscript"/>
        </w:rPr>
        <w:footnoteReference w:id="1"/>
      </w:r>
      <w:r w:rsidR="009D714C">
        <w:t xml:space="preserve"> The success sequence is</w:t>
      </w:r>
      <w:r w:rsidRPr="00971882">
        <w:t xml:space="preserve"> a set of life milestones that</w:t>
      </w:r>
      <w:r w:rsidR="007B7FD3">
        <w:t xml:space="preserve">, </w:t>
      </w:r>
      <w:r w:rsidR="009D714C">
        <w:t>if followed in the</w:t>
      </w:r>
      <w:r w:rsidR="00394073">
        <w:t xml:space="preserve"> prescribed </w:t>
      </w:r>
      <w:r w:rsidR="007B7FD3">
        <w:t>order,</w:t>
      </w:r>
      <w:r w:rsidR="00AF357C">
        <w:t xml:space="preserve"> </w:t>
      </w:r>
      <w:r w:rsidRPr="00971882">
        <w:t>are theoretically associated with economic self-sufficiency in young adulthood (Haskins and Sawhill 2009).</w:t>
      </w:r>
      <w:r w:rsidR="009D714C">
        <w:rPr>
          <w:rStyle w:val="FootnoteReference"/>
        </w:rPr>
        <w:footnoteReference w:id="2"/>
      </w:r>
      <w:r w:rsidR="009D714C">
        <w:t xml:space="preserve"> </w:t>
      </w:r>
      <w:r w:rsidRPr="00112ADA" w:rsidR="00E2766A">
        <w:t>The milestones</w:t>
      </w:r>
      <w:r w:rsidR="00E2766A">
        <w:t xml:space="preserve"> listed in the prescribed order are</w:t>
      </w:r>
      <w:r w:rsidRPr="00112ADA" w:rsidR="00E2766A">
        <w:t xml:space="preserve"> </w:t>
      </w:r>
      <w:r w:rsidRPr="00826340" w:rsidR="00826340">
        <w:t>high school graduation, employment, marriage, and childbearing</w:t>
      </w:r>
      <w:r w:rsidRPr="00112ADA" w:rsidR="00E2766A">
        <w:t>.</w:t>
      </w:r>
    </w:p>
    <w:p w:rsidRPr="00971882" w:rsidR="00DD1AF3" w:rsidP="00852AC4" w:rsidRDefault="00DD1AF3" w14:paraId="1826D728" w14:textId="402E477B">
      <w:pPr>
        <w:spacing w:after="240" w:line="240" w:lineRule="auto"/>
      </w:pPr>
      <w:r w:rsidRPr="00971882">
        <w:t xml:space="preserve">To expand available evidence on the success sequence, ACF contracted with Mathematica to conduct a literature review followed by </w:t>
      </w:r>
      <w:r w:rsidRPr="00971882" w:rsidR="00E603F7">
        <w:t>economic</w:t>
      </w:r>
      <w:r w:rsidRPr="00971882">
        <w:t xml:space="preserve"> data analyses</w:t>
      </w:r>
      <w:r w:rsidR="00E01D96">
        <w:t xml:space="preserve"> </w:t>
      </w:r>
      <w:r w:rsidR="009D714C">
        <w:t xml:space="preserve">of longitudinal data sets </w:t>
      </w:r>
      <w:r w:rsidR="00E01D96">
        <w:t xml:space="preserve">to </w:t>
      </w:r>
      <w:r w:rsidR="00082142">
        <w:t xml:space="preserve">understand </w:t>
      </w:r>
      <w:r w:rsidR="00E01D96">
        <w:t>the success sequence more comprehensively</w:t>
      </w:r>
      <w:r w:rsidRPr="00971882">
        <w:t xml:space="preserve">. The purpose of the literature review was to summarize the current state of research related to the success sequence, including how researchers define the success sequence, </w:t>
      </w:r>
      <w:r w:rsidR="00E2766A">
        <w:t xml:space="preserve">success sequence </w:t>
      </w:r>
      <w:r w:rsidRPr="00112ADA" w:rsidR="00E2766A">
        <w:t>milestones</w:t>
      </w:r>
      <w:r w:rsidR="00E2766A">
        <w:t xml:space="preserve"> and the order in which they are achieved,</w:t>
      </w:r>
      <w:r w:rsidRPr="00112ADA" w:rsidDel="00EC6A81" w:rsidR="00E2766A">
        <w:t xml:space="preserve"> </w:t>
      </w:r>
      <w:r w:rsidRPr="00112ADA" w:rsidR="00E2766A">
        <w:t xml:space="preserve">and the relationship between the ordering of the milestones (pathways) and economic outcomes </w:t>
      </w:r>
      <w:r w:rsidRPr="00971882">
        <w:t>(</w:t>
      </w:r>
      <w:proofErr w:type="spellStart"/>
      <w:r w:rsidRPr="00971882">
        <w:t>Goesling</w:t>
      </w:r>
      <w:proofErr w:type="spellEnd"/>
      <w:r w:rsidRPr="00971882">
        <w:t xml:space="preserve"> et al. 2020).</w:t>
      </w:r>
      <w:r w:rsidRPr="00971882">
        <w:rPr>
          <w:vertAlign w:val="superscript"/>
        </w:rPr>
        <w:footnoteReference w:id="3"/>
      </w:r>
      <w:r w:rsidRPr="00971882">
        <w:t xml:space="preserve"> The literature review demonstrated a need for more research on the success sequence—in particular, how different pathways shape later outcomes.</w:t>
      </w:r>
    </w:p>
    <w:p w:rsidRPr="00971882" w:rsidR="0005192C" w:rsidP="00852AC4" w:rsidRDefault="004D00DB" w14:paraId="13393E63" w14:textId="7DB0F918">
      <w:pPr>
        <w:spacing w:after="240" w:line="240" w:lineRule="auto"/>
      </w:pPr>
      <w:r>
        <w:t>A</w:t>
      </w:r>
      <w:r w:rsidRPr="00971882">
        <w:t xml:space="preserve"> </w:t>
      </w:r>
      <w:r w:rsidRPr="00971882" w:rsidR="00DD1AF3">
        <w:t xml:space="preserve">subsequent secondary </w:t>
      </w:r>
      <w:r w:rsidRPr="00971882" w:rsidR="00E603F7">
        <w:t xml:space="preserve">economic </w:t>
      </w:r>
      <w:r w:rsidRPr="00971882" w:rsidR="00DD1AF3">
        <w:t>data analyses (</w:t>
      </w:r>
      <w:proofErr w:type="spellStart"/>
      <w:r w:rsidRPr="00971882" w:rsidR="00DD1AF3">
        <w:t>Inanc</w:t>
      </w:r>
      <w:proofErr w:type="spellEnd"/>
      <w:r w:rsidRPr="00971882" w:rsidR="00DD1AF3">
        <w:t xml:space="preserve"> et al. </w:t>
      </w:r>
      <w:r w:rsidR="00AF5BBE">
        <w:t>2021</w:t>
      </w:r>
      <w:r w:rsidRPr="00971882" w:rsidR="00DD1AF3">
        <w:t>)</w:t>
      </w:r>
      <w:r w:rsidRPr="00971882" w:rsidR="00DD1AF3">
        <w:rPr>
          <w:vertAlign w:val="superscript"/>
        </w:rPr>
        <w:footnoteReference w:id="4"/>
      </w:r>
      <w:r w:rsidRPr="00971882" w:rsidR="00DD1AF3">
        <w:t xml:space="preserve"> used data from the National Longitudinal Survey of Youth</w:t>
      </w:r>
      <w:r w:rsidR="006F226E">
        <w:t>’s</w:t>
      </w:r>
      <w:r w:rsidRPr="00971882" w:rsidR="00DD1AF3">
        <w:t xml:space="preserve"> 1997 Cohort</w:t>
      </w:r>
      <w:r w:rsidR="00193F57">
        <w:t xml:space="preserve"> (NLSY97)</w:t>
      </w:r>
      <w:r w:rsidRPr="00971882" w:rsidR="00DD1AF3">
        <w:t xml:space="preserve"> to identify the pathways young adults</w:t>
      </w:r>
      <w:r w:rsidR="006F226E">
        <w:t xml:space="preserve"> followed most commonly</w:t>
      </w:r>
      <w:r w:rsidRPr="00971882" w:rsidR="00DD1AF3">
        <w:t xml:space="preserve">, variations by demographic characteristics, and associations of those sequences with self-sufficiency </w:t>
      </w:r>
      <w:r w:rsidR="006F226E">
        <w:t>as a young adult.</w:t>
      </w:r>
      <w:r w:rsidRPr="00971882" w:rsidR="00DD1AF3">
        <w:t xml:space="preserve"> Findings revealed that</w:t>
      </w:r>
      <w:r w:rsidR="00E2766A">
        <w:t>, for some individuals,</w:t>
      </w:r>
      <w:r w:rsidRPr="00971882" w:rsidR="00DD1AF3">
        <w:t xml:space="preserve"> completing the success sequence milestones in the prescribed order </w:t>
      </w:r>
      <w:r w:rsidR="00430435">
        <w:t>wa</w:t>
      </w:r>
      <w:r w:rsidRPr="00971882" w:rsidR="00DD1AF3">
        <w:t>s associated with economic self-sufficiency in young adulthood.</w:t>
      </w:r>
      <w:r w:rsidR="00EE6A54">
        <w:t xml:space="preserve"> </w:t>
      </w:r>
      <w:r w:rsidRPr="002B0087" w:rsidR="00EE6A54">
        <w:t xml:space="preserve">Further, the results showed other sequences of milestones youth completed were associated with levels of economic success </w:t>
      </w:r>
      <w:proofErr w:type="gramStart"/>
      <w:r w:rsidRPr="002B0087" w:rsidR="00EE6A54">
        <w:t>similar to</w:t>
      </w:r>
      <w:proofErr w:type="gramEnd"/>
      <w:r w:rsidRPr="002B0087" w:rsidR="00EE6A54">
        <w:t xml:space="preserve"> those associated with youth who completed the success sequence in the prescribed order.</w:t>
      </w:r>
      <w:r w:rsidRPr="00B6068F" w:rsidR="00EE6A54">
        <w:t xml:space="preserve"> </w:t>
      </w:r>
      <w:r w:rsidRPr="00473590" w:rsidR="00473590">
        <w:t>T</w:t>
      </w:r>
      <w:r w:rsidRPr="00B6068F" w:rsidR="00473590">
        <w:t>he economic analyses also pointed to other pathways associated with economic success. Adolescents’ trajectories to adulthood are diverse and complex, signaling a need for more research in this area. Ultimately, the findings raised questions about the underlying factors associated with economic self-sufficiency. Specifically, the analyses demonstrated that economic self-sufficiency could be achieved even if youth did not follow the milestones as prescribed.</w:t>
      </w:r>
      <w:r w:rsidR="00473590">
        <w:t xml:space="preserve"> </w:t>
      </w:r>
    </w:p>
    <w:p w:rsidR="00DD1AF3" w:rsidP="00852AC4" w:rsidRDefault="00DD1AF3" w14:paraId="44A889F3" w14:textId="0950F69F">
      <w:pPr>
        <w:spacing w:after="240" w:line="240" w:lineRule="auto"/>
      </w:pPr>
      <w:bookmarkStart w:name="_Hlk69738581" w:id="5"/>
      <w:r w:rsidRPr="00971882">
        <w:lastRenderedPageBreak/>
        <w:t xml:space="preserve">With this </w:t>
      </w:r>
      <w:r w:rsidR="004D00DB">
        <w:t>i</w:t>
      </w:r>
      <w:r w:rsidRPr="00971882" w:rsidR="004D00DB">
        <w:t xml:space="preserve">nformation </w:t>
      </w:r>
      <w:r w:rsidR="004D00DB">
        <w:t>c</w:t>
      </w:r>
      <w:r w:rsidRPr="00971882" w:rsidR="004D00DB">
        <w:t xml:space="preserve">ollection </w:t>
      </w:r>
      <w:r w:rsidR="004D00DB">
        <w:t>r</w:t>
      </w:r>
      <w:r w:rsidRPr="00971882" w:rsidR="004D00DB">
        <w:t xml:space="preserve">equest </w:t>
      </w:r>
      <w:r w:rsidR="004D00DB">
        <w:t>(</w:t>
      </w:r>
      <w:r w:rsidR="006F226E">
        <w:t>ICR</w:t>
      </w:r>
      <w:r w:rsidR="004D00DB">
        <w:t>)</w:t>
      </w:r>
      <w:r w:rsidR="006F226E">
        <w:t>,</w:t>
      </w:r>
      <w:r w:rsidRPr="00971882">
        <w:t xml:space="preserve"> ACF </w:t>
      </w:r>
      <w:r w:rsidR="004D00DB">
        <w:t>proposes</w:t>
      </w:r>
      <w:r w:rsidRPr="00971882">
        <w:t xml:space="preserve"> to conduct interviews with adults</w:t>
      </w:r>
      <w:r w:rsidR="006F226E">
        <w:t xml:space="preserve">, </w:t>
      </w:r>
      <w:r w:rsidRPr="00971882">
        <w:t xml:space="preserve">ages 30 through 35. The data collected from the interviews will help fill the gaps in knowledge identified through the literature review and </w:t>
      </w:r>
      <w:r w:rsidRPr="00971882" w:rsidR="00E603F7">
        <w:t xml:space="preserve">economic </w:t>
      </w:r>
      <w:r w:rsidRPr="00971882">
        <w:t xml:space="preserve">analyses. </w:t>
      </w:r>
      <w:bookmarkStart w:name="_Hlk82080038" w:id="6"/>
      <w:r w:rsidRPr="00971882">
        <w:t xml:space="preserve">It will help ACF </w:t>
      </w:r>
      <w:r w:rsidR="00363AAB">
        <w:t xml:space="preserve">and the broader </w:t>
      </w:r>
      <w:r w:rsidR="00394073">
        <w:t xml:space="preserve">research </w:t>
      </w:r>
      <w:r w:rsidR="00363AAB">
        <w:t xml:space="preserve">field </w:t>
      </w:r>
      <w:r w:rsidRPr="00971882">
        <w:t>understand adults’ perspectives and experiences related to the milestones</w:t>
      </w:r>
      <w:r w:rsidR="00EB3E81">
        <w:t>,</w:t>
      </w:r>
      <w:r w:rsidR="00363AAB">
        <w:t xml:space="preserve"> and can</w:t>
      </w:r>
      <w:r w:rsidRPr="00971882">
        <w:t xml:space="preserve"> provid</w:t>
      </w:r>
      <w:r w:rsidR="00363AAB">
        <w:t>e</w:t>
      </w:r>
      <w:r w:rsidRPr="00971882">
        <w:t xml:space="preserve"> FYSB’s SRAE grant program</w:t>
      </w:r>
      <w:r w:rsidRPr="00971882" w:rsidR="00DA0A00">
        <w:t xml:space="preserve"> with greater</w:t>
      </w:r>
      <w:r w:rsidRPr="00971882">
        <w:t xml:space="preserve"> insight into the program content and strategies related to the success sequence </w:t>
      </w:r>
      <w:r w:rsidR="00394073">
        <w:t xml:space="preserve">milestones and their ordering </w:t>
      </w:r>
      <w:r w:rsidRPr="00971882">
        <w:t>that could best resonate with youth.</w:t>
      </w:r>
    </w:p>
    <w:bookmarkEnd w:id="6"/>
    <w:p w:rsidRPr="00971882" w:rsidR="00C97AA9" w:rsidP="00852AC4" w:rsidRDefault="00C97AA9" w14:paraId="7B6851E4" w14:textId="17F65759">
      <w:pPr>
        <w:pStyle w:val="Paragraph"/>
        <w:spacing w:after="240"/>
      </w:pPr>
      <w:r>
        <w:t xml:space="preserve">ACF has contracted with Mathematica to conduct the </w:t>
      </w:r>
      <w:r w:rsidRPr="00525ED7">
        <w:t>Success Sequence Interviews study</w:t>
      </w:r>
      <w:r>
        <w:t>.</w:t>
      </w:r>
    </w:p>
    <w:bookmarkEnd w:id="5"/>
    <w:p w:rsidRPr="00971882" w:rsidR="00DD1AF3" w:rsidP="00852AC4" w:rsidRDefault="00DD1AF3" w14:paraId="10C10214" w14:textId="6DCDCCDB">
      <w:pPr>
        <w:pStyle w:val="Heading3A"/>
        <w:spacing w:after="60"/>
      </w:pPr>
      <w:r w:rsidRPr="00971882">
        <w:t>Legal or Administrative Requirements that Necessitate the Collection</w:t>
      </w:r>
    </w:p>
    <w:p w:rsidRPr="00971882" w:rsidR="00DD1AF3" w:rsidP="00DD1AF3" w:rsidRDefault="00DD1AF3" w14:paraId="577961BA" w14:textId="77777777">
      <w:pPr>
        <w:spacing w:after="240" w:line="240" w:lineRule="auto"/>
      </w:pPr>
      <w:r w:rsidRPr="00971882">
        <w:t>There are no legal or administrative requirements that necessitate the collection. ACF is undertaking the collection at the discretion of the agency.</w:t>
      </w:r>
    </w:p>
    <w:p w:rsidRPr="00971882" w:rsidR="00DD1AF3" w:rsidP="00CF503F" w:rsidRDefault="00DD1AF3" w14:paraId="66A6F9B4" w14:textId="77777777">
      <w:pPr>
        <w:pStyle w:val="Heading2A"/>
        <w:ind w:left="547" w:hanging="547"/>
      </w:pPr>
      <w:bookmarkStart w:name="_Hlk81571060" w:id="7"/>
      <w:bookmarkStart w:name="_Hlk83293560" w:id="8"/>
      <w:bookmarkEnd w:id="3"/>
      <w:r w:rsidRPr="00971882">
        <w:t>A2.</w:t>
      </w:r>
      <w:r w:rsidRPr="00971882">
        <w:tab/>
        <w:t>Purpose</w:t>
      </w:r>
    </w:p>
    <w:p w:rsidRPr="00971882" w:rsidR="00DD1AF3" w:rsidP="00CF503F" w:rsidRDefault="00DD1AF3" w14:paraId="4B2FA0DF" w14:textId="2DD30669">
      <w:pPr>
        <w:pStyle w:val="Heading3A"/>
        <w:spacing w:after="60"/>
        <w:rPr>
          <w:i w:val="0"/>
        </w:rPr>
      </w:pPr>
      <w:r w:rsidRPr="00971882">
        <w:t>Purpose and Use</w:t>
      </w:r>
    </w:p>
    <w:p w:rsidR="00F1626E" w:rsidP="00CF503F" w:rsidRDefault="00F1626E" w14:paraId="66E13485" w14:textId="49AD0508">
      <w:pPr>
        <w:spacing w:after="240"/>
      </w:pPr>
      <w:r>
        <w:t>The qualitative data</w:t>
      </w:r>
      <w:r w:rsidR="00EE6A54">
        <w:t xml:space="preserve"> we plan to collect</w:t>
      </w:r>
      <w:r>
        <w:t xml:space="preserve"> will add important contextual information about the specific factors influencing the order of the milestones</w:t>
      </w:r>
      <w:r w:rsidR="00EE6A54">
        <w:t xml:space="preserve"> (</w:t>
      </w:r>
      <w:r w:rsidR="00826340">
        <w:t>h</w:t>
      </w:r>
      <w:r w:rsidRPr="00826340" w:rsidR="00826340">
        <w:t>igh school graduation, employment, marriage, and childbearing</w:t>
      </w:r>
      <w:r w:rsidR="00EE6A54">
        <w:t>)</w:t>
      </w:r>
      <w:r>
        <w:t>, respondents’ perspectives of economic self-sufficiency, and circumstances and specific factors that influenced decisions during their youth and young adulthood related to each milestone</w:t>
      </w:r>
      <w:r w:rsidR="00862ADD">
        <w:t xml:space="preserve">, </w:t>
      </w:r>
      <w:r w:rsidR="0033109A">
        <w:t>adding to needed research in this developing area, as noted in Section A1</w:t>
      </w:r>
      <w:r w:rsidR="00473590">
        <w:t>.</w:t>
      </w:r>
      <w:r w:rsidR="00EE6A54">
        <w:t xml:space="preserve"> </w:t>
      </w:r>
    </w:p>
    <w:p w:rsidRPr="00971882" w:rsidR="00862ADD" w:rsidP="00862ADD" w:rsidRDefault="00EE6A54" w14:paraId="43802163" w14:textId="630EF330">
      <w:pPr>
        <w:spacing w:after="240"/>
      </w:pPr>
      <w:r>
        <w:t xml:space="preserve">The information collected will be used </w:t>
      </w:r>
      <w:r w:rsidR="00473590">
        <w:t>to provide</w:t>
      </w:r>
      <w:r w:rsidRPr="00473590" w:rsidR="00473590">
        <w:rPr>
          <w:bCs/>
        </w:rPr>
        <w:t xml:space="preserve"> ACF with a deeper understanding of the factors that influence the order in which respondents complete the milestones and pathways </w:t>
      </w:r>
      <w:r w:rsidR="00B82F91">
        <w:rPr>
          <w:bCs/>
        </w:rPr>
        <w:t>and how that relates to</w:t>
      </w:r>
      <w:r w:rsidRPr="00473590" w:rsidR="00473590">
        <w:rPr>
          <w:bCs/>
        </w:rPr>
        <w:t xml:space="preserve"> </w:t>
      </w:r>
      <w:r w:rsidRPr="0078427D" w:rsidR="00473590">
        <w:rPr>
          <w:bCs/>
        </w:rPr>
        <w:t>economic self-sufficiency.</w:t>
      </w:r>
      <w:r w:rsidR="00473590">
        <w:rPr>
          <w:bCs/>
        </w:rPr>
        <w:t xml:space="preserve"> It will also </w:t>
      </w:r>
      <w:r w:rsidR="00473590">
        <w:t>h</w:t>
      </w:r>
      <w:r w:rsidRPr="00473590" w:rsidR="00473590">
        <w:t>elp provide FYSB with greater insight into current program content and strategies related to the success sequence that could best resonate with SRAE program participants</w:t>
      </w:r>
      <w:r w:rsidR="00862ADD">
        <w:rPr>
          <w:bCs/>
        </w:rPr>
        <w:t>, informing</w:t>
      </w:r>
      <w:r w:rsidRPr="00971882" w:rsidR="00862ADD">
        <w:t xml:space="preserve"> future training and technical assistance needs of grantees.</w:t>
      </w:r>
      <w:r w:rsidR="00B104FA">
        <w:t xml:space="preserve"> </w:t>
      </w:r>
      <w:r w:rsidR="003B7B69">
        <w:t xml:space="preserve">The study </w:t>
      </w:r>
      <w:r w:rsidRPr="00971882" w:rsidR="003B7B69">
        <w:t>results</w:t>
      </w:r>
      <w:r w:rsidR="003B7B69">
        <w:t xml:space="preserve"> will be provided to ACF</w:t>
      </w:r>
      <w:r w:rsidRPr="00971882" w:rsidR="003B7B69">
        <w:t xml:space="preserve"> in an internal memorandum</w:t>
      </w:r>
      <w:r w:rsidR="003B7B69">
        <w:t>, followed by an external public-facing brief.</w:t>
      </w:r>
    </w:p>
    <w:bookmarkEnd w:id="7"/>
    <w:p w:rsidRPr="00971882" w:rsidR="007D0F6E" w:rsidP="008123FD" w:rsidRDefault="00DD1AF3" w14:paraId="3D05813B" w14:textId="3577B888">
      <w:pPr>
        <w:spacing w:after="240"/>
      </w:pPr>
      <w:r w:rsidRPr="00971882">
        <w:t>The collected information will contribute to the body of knowledge on ACF programs.</w:t>
      </w:r>
      <w:r w:rsidR="00473590">
        <w:t xml:space="preserve"> </w:t>
      </w:r>
      <w:r w:rsidRPr="00971882">
        <w:t xml:space="preserve">However, the collected information </w:t>
      </w:r>
      <w:r w:rsidR="00E07E21">
        <w:t xml:space="preserve">is not intended to be used by </w:t>
      </w:r>
      <w:r w:rsidRPr="00971882" w:rsidR="00E07E21">
        <w:t xml:space="preserve">federal decision makers </w:t>
      </w:r>
      <w:r w:rsidRPr="00971882">
        <w:t xml:space="preserve">as the principal basis for creating policy or making policy decisions. Moreover, </w:t>
      </w:r>
      <w:r w:rsidR="006A261E">
        <w:t xml:space="preserve">we do not expect </w:t>
      </w:r>
      <w:r w:rsidRPr="00971882">
        <w:t>the information to meet the threshold of influential or highly influential scientific information.</w:t>
      </w:r>
      <w:bookmarkEnd w:id="8"/>
    </w:p>
    <w:p w:rsidRPr="00971882" w:rsidR="004328A4" w:rsidP="00CF503F" w:rsidRDefault="004328A4" w14:paraId="57EB8C37" w14:textId="12E24020">
      <w:pPr>
        <w:spacing w:after="60" w:line="240" w:lineRule="auto"/>
        <w:rPr>
          <w:i/>
        </w:rPr>
      </w:pPr>
      <w:r w:rsidRPr="00971882">
        <w:rPr>
          <w:i/>
        </w:rPr>
        <w:t>Research Questions or Test</w:t>
      </w:r>
    </w:p>
    <w:p w:rsidRPr="00971882" w:rsidR="00F077B2" w:rsidP="00570546" w:rsidRDefault="00FB6E70" w14:paraId="1DB33EC5" w14:textId="4FC7DD1E">
      <w:pPr>
        <w:spacing w:after="120" w:line="240" w:lineRule="auto"/>
      </w:pPr>
      <w:r>
        <w:t xml:space="preserve">ACF proposes to examine </w:t>
      </w:r>
      <w:r w:rsidRPr="00971882" w:rsidR="00F077B2">
        <w:t xml:space="preserve">the following </w:t>
      </w:r>
      <w:r>
        <w:t xml:space="preserve">guiding </w:t>
      </w:r>
      <w:r w:rsidRPr="00971882" w:rsidR="00F077B2">
        <w:t>research questions</w:t>
      </w:r>
      <w:r>
        <w:t xml:space="preserve"> for this study</w:t>
      </w:r>
      <w:r w:rsidRPr="00971882" w:rsidR="00F077B2">
        <w:t>:</w:t>
      </w:r>
    </w:p>
    <w:p w:rsidRPr="00971882" w:rsidR="00F077B2" w:rsidP="00CF503F" w:rsidRDefault="00044D4E" w14:paraId="007BC437" w14:textId="76C737CE">
      <w:pPr>
        <w:pStyle w:val="ListParagraph"/>
        <w:numPr>
          <w:ilvl w:val="0"/>
          <w:numId w:val="42"/>
        </w:numPr>
        <w:spacing w:after="60" w:line="240" w:lineRule="auto"/>
        <w:ind w:left="360"/>
        <w:contextualSpacing w:val="0"/>
      </w:pPr>
      <w:r w:rsidRPr="00971882">
        <w:t xml:space="preserve">What are the decisions, circumstances, and other factors associated with </w:t>
      </w:r>
      <w:r w:rsidRPr="00971882" w:rsidR="00DF2DBD">
        <w:t xml:space="preserve">participants’ </w:t>
      </w:r>
      <w:r w:rsidRPr="00971882">
        <w:t>achiev</w:t>
      </w:r>
      <w:r w:rsidRPr="00971882" w:rsidR="00DF2DBD">
        <w:t xml:space="preserve">ement of </w:t>
      </w:r>
      <w:r w:rsidRPr="00971882">
        <w:t xml:space="preserve">success sequence milestones, including </w:t>
      </w:r>
      <w:r w:rsidRPr="00971882" w:rsidR="00F077B2">
        <w:t>high school graduation, postsecondary schooling, qualification for licenses and certifications, partnership stability, cohabitation, marriage, and childbearing</w:t>
      </w:r>
      <w:r w:rsidRPr="00971882">
        <w:t>?</w:t>
      </w:r>
    </w:p>
    <w:p w:rsidRPr="00971882" w:rsidR="00F077B2" w:rsidP="00CF503F" w:rsidRDefault="00044D4E" w14:paraId="272331BF" w14:textId="455FFE09">
      <w:pPr>
        <w:pStyle w:val="ListParagraph"/>
        <w:numPr>
          <w:ilvl w:val="0"/>
          <w:numId w:val="42"/>
        </w:numPr>
        <w:spacing w:after="60" w:line="240" w:lineRule="auto"/>
        <w:ind w:left="360"/>
        <w:contextualSpacing w:val="0"/>
      </w:pPr>
      <w:r w:rsidRPr="00971882">
        <w:t xml:space="preserve">What, if any, factors other than income should be included in </w:t>
      </w:r>
      <w:r w:rsidRPr="00971882" w:rsidR="00F077B2">
        <w:t>the definition of “</w:t>
      </w:r>
      <w:r w:rsidR="00044F17">
        <w:t xml:space="preserve">economic </w:t>
      </w:r>
      <w:r w:rsidRPr="00971882" w:rsidR="00F077B2">
        <w:t xml:space="preserve">self-sufficiency” </w:t>
      </w:r>
      <w:r w:rsidRPr="00971882">
        <w:t>as used in success sequence models?</w:t>
      </w:r>
    </w:p>
    <w:p w:rsidRPr="00971882" w:rsidR="00F077B2" w:rsidP="00CF503F" w:rsidRDefault="00044D4E" w14:paraId="0C3835F9" w14:textId="71082645">
      <w:pPr>
        <w:pStyle w:val="ListParagraph"/>
        <w:numPr>
          <w:ilvl w:val="0"/>
          <w:numId w:val="42"/>
        </w:numPr>
        <w:spacing w:after="60" w:line="240" w:lineRule="auto"/>
        <w:ind w:left="360"/>
        <w:contextualSpacing w:val="0"/>
      </w:pPr>
      <w:r w:rsidRPr="00971882">
        <w:t xml:space="preserve">What </w:t>
      </w:r>
      <w:r w:rsidRPr="00971882" w:rsidR="007D77D1">
        <w:t xml:space="preserve">are the </w:t>
      </w:r>
      <w:r w:rsidRPr="00971882">
        <w:t xml:space="preserve">decisions, circumstances, and other factors </w:t>
      </w:r>
      <w:r w:rsidRPr="00971882" w:rsidR="007D77D1">
        <w:t xml:space="preserve">associated with </w:t>
      </w:r>
      <w:r w:rsidRPr="00971882" w:rsidR="00DF2DBD">
        <w:t>participants</w:t>
      </w:r>
      <w:r w:rsidRPr="00971882" w:rsidR="007D77D1">
        <w:t xml:space="preserve"> </w:t>
      </w:r>
      <w:r w:rsidRPr="00971882" w:rsidR="00F077B2">
        <w:t xml:space="preserve">who followed the prescribed success sequence milestones </w:t>
      </w:r>
      <w:r w:rsidRPr="00971882" w:rsidR="007D77D1">
        <w:t>in order</w:t>
      </w:r>
      <w:r w:rsidRPr="00971882" w:rsidR="00F13EFA">
        <w:t>,</w:t>
      </w:r>
      <w:r w:rsidRPr="00971882" w:rsidR="007D77D1">
        <w:t xml:space="preserve"> </w:t>
      </w:r>
      <w:r w:rsidRPr="00971882" w:rsidR="00F077B2">
        <w:t xml:space="preserve">but </w:t>
      </w:r>
      <w:r w:rsidR="00044F17">
        <w:t>have not</w:t>
      </w:r>
      <w:r w:rsidRPr="00971882" w:rsidR="00F077B2">
        <w:t xml:space="preserve"> </w:t>
      </w:r>
      <w:r w:rsidR="00044F17">
        <w:t xml:space="preserve">achieved economic </w:t>
      </w:r>
      <w:r w:rsidRPr="00971882" w:rsidR="00F077B2">
        <w:t>self-sufficiency</w:t>
      </w:r>
      <w:r w:rsidRPr="00971882" w:rsidR="007D77D1">
        <w:t>?</w:t>
      </w:r>
    </w:p>
    <w:p w:rsidRPr="00971882" w:rsidR="007D77D1" w:rsidP="001E3EDE" w:rsidRDefault="007D77D1" w14:paraId="7B1D1F7F" w14:textId="7365CA02">
      <w:pPr>
        <w:pStyle w:val="ListParagraph"/>
        <w:numPr>
          <w:ilvl w:val="0"/>
          <w:numId w:val="42"/>
        </w:numPr>
        <w:spacing w:after="60" w:line="240" w:lineRule="auto"/>
        <w:ind w:left="360"/>
        <w:contextualSpacing w:val="0"/>
      </w:pPr>
      <w:r w:rsidRPr="00971882">
        <w:lastRenderedPageBreak/>
        <w:t xml:space="preserve">What are the decisions, circumstances, and other factors associated with </w:t>
      </w:r>
      <w:r w:rsidRPr="00971882" w:rsidR="00DF2DBD">
        <w:t>participants</w:t>
      </w:r>
      <w:r w:rsidRPr="00971882">
        <w:t xml:space="preserve"> </w:t>
      </w:r>
      <w:r w:rsidRPr="00971882" w:rsidR="00F077B2">
        <w:t>who did not follow the prescribed success sequence milestones</w:t>
      </w:r>
      <w:r w:rsidRPr="00971882">
        <w:t>, or followed them out of order,</w:t>
      </w:r>
      <w:r w:rsidRPr="00971882" w:rsidR="00F077B2">
        <w:t xml:space="preserve"> but </w:t>
      </w:r>
      <w:r w:rsidR="00044F17">
        <w:t>have not</w:t>
      </w:r>
      <w:r w:rsidRPr="00971882" w:rsidR="00044F17">
        <w:t xml:space="preserve"> </w:t>
      </w:r>
      <w:r w:rsidR="00044F17">
        <w:t xml:space="preserve">achieved economic </w:t>
      </w:r>
      <w:r w:rsidRPr="00971882" w:rsidR="00044F17">
        <w:t>self-sufficiency?</w:t>
      </w:r>
    </w:p>
    <w:p w:rsidR="007D0F6E" w:rsidP="00CF503F" w:rsidRDefault="00DF2DBD" w14:paraId="074BB4AA" w14:textId="025C165F">
      <w:pPr>
        <w:pStyle w:val="ListParagraph"/>
        <w:numPr>
          <w:ilvl w:val="0"/>
          <w:numId w:val="42"/>
        </w:numPr>
        <w:spacing w:after="60" w:line="240" w:lineRule="auto"/>
        <w:ind w:left="360"/>
        <w:contextualSpacing w:val="0"/>
      </w:pPr>
      <w:r w:rsidRPr="00971882">
        <w:t xml:space="preserve">What were participants’ plans related to </w:t>
      </w:r>
      <w:r w:rsidRPr="00971882" w:rsidR="00F077B2">
        <w:t>achieving success sequence milestones</w:t>
      </w:r>
      <w:r w:rsidRPr="00971882">
        <w:t xml:space="preserve">, and how do those plans relate to their lived experiences? What circumstances or </w:t>
      </w:r>
      <w:r w:rsidRPr="00971882" w:rsidR="00F077B2">
        <w:t>other critical milestones</w:t>
      </w:r>
      <w:r w:rsidRPr="00971882">
        <w:t xml:space="preserve">, if any, </w:t>
      </w:r>
      <w:r w:rsidRPr="00971882" w:rsidR="00F077B2">
        <w:t>affected and/or influenced their path</w:t>
      </w:r>
      <w:r w:rsidRPr="00971882">
        <w:t>s, and how?</w:t>
      </w:r>
    </w:p>
    <w:p w:rsidRPr="00971882" w:rsidR="00CF503F" w:rsidP="00CF503F" w:rsidRDefault="00CF503F" w14:paraId="68C2FA50" w14:textId="77777777">
      <w:pPr>
        <w:pStyle w:val="ListParagraph"/>
        <w:spacing w:after="60" w:line="240" w:lineRule="auto"/>
        <w:ind w:left="360"/>
        <w:contextualSpacing w:val="0"/>
      </w:pPr>
    </w:p>
    <w:p w:rsidRPr="00971882" w:rsidR="004328A4" w:rsidP="00CF503F" w:rsidRDefault="004328A4" w14:paraId="5C99A251" w14:textId="06F137D6">
      <w:pPr>
        <w:keepNext/>
        <w:spacing w:after="60" w:line="240" w:lineRule="auto"/>
        <w:rPr>
          <w:i/>
        </w:rPr>
      </w:pPr>
      <w:bookmarkStart w:name="_Hlk81571203" w:id="9"/>
      <w:r w:rsidRPr="00971882">
        <w:rPr>
          <w:i/>
        </w:rPr>
        <w:t>Study Design</w:t>
      </w:r>
    </w:p>
    <w:p w:rsidR="00BB03D9" w:rsidP="00CF503F" w:rsidRDefault="00FB6E70" w14:paraId="27B2F971" w14:textId="661D670B">
      <w:pPr>
        <w:spacing w:after="240"/>
      </w:pPr>
      <w:r>
        <w:t>The research team at</w:t>
      </w:r>
      <w:r w:rsidRPr="00971882" w:rsidR="006C2456">
        <w:t xml:space="preserve"> Mathematica will </w:t>
      </w:r>
      <w:r w:rsidR="00C517BC">
        <w:t>conduct up to 225</w:t>
      </w:r>
      <w:r w:rsidRPr="00971882" w:rsidR="006C2456">
        <w:t xml:space="preserve"> </w:t>
      </w:r>
      <w:r w:rsidRPr="00971882" w:rsidR="00001BFF">
        <w:t>virtual</w:t>
      </w:r>
      <w:r w:rsidRPr="00971882" w:rsidR="006C2456">
        <w:t xml:space="preserve"> asynchronous interviews</w:t>
      </w:r>
      <w:r>
        <w:t xml:space="preserve"> in English and Spanish</w:t>
      </w:r>
      <w:r w:rsidR="00C517BC">
        <w:t xml:space="preserve"> to collect data for this study</w:t>
      </w:r>
      <w:r w:rsidRPr="00971882" w:rsidR="006C2456">
        <w:t xml:space="preserve">. </w:t>
      </w:r>
      <w:r w:rsidR="00ED2E9A">
        <w:t>As discussed in Section A</w:t>
      </w:r>
      <w:r w:rsidR="00E87B67">
        <w:t>1</w:t>
      </w:r>
      <w:r w:rsidR="00ED2E9A">
        <w:t xml:space="preserve">, secondary analyses conducted </w:t>
      </w:r>
      <w:r w:rsidR="00193F57">
        <w:t>using the NLSY97 data</w:t>
      </w:r>
      <w:r w:rsidR="00193F57">
        <w:rPr>
          <w:rStyle w:val="FootnoteReference"/>
        </w:rPr>
        <w:footnoteReference w:id="5"/>
      </w:r>
      <w:r w:rsidR="00193F57">
        <w:t xml:space="preserve"> </w:t>
      </w:r>
      <w:r w:rsidR="00ED2E9A">
        <w:t xml:space="preserve">pointed to the complexity of the success sequence model, with young adults </w:t>
      </w:r>
      <w:r w:rsidR="00193F57">
        <w:t xml:space="preserve">taking a multitude of </w:t>
      </w:r>
      <w:r w:rsidR="00D263DA">
        <w:t xml:space="preserve">different </w:t>
      </w:r>
      <w:r w:rsidR="00193F57">
        <w:t>pathways</w:t>
      </w:r>
      <w:r w:rsidR="00D263DA">
        <w:t>, 64 of a possible 65, related to the</w:t>
      </w:r>
      <w:r w:rsidR="00B202DA">
        <w:t xml:space="preserve"> key success sequence variables of interest</w:t>
      </w:r>
      <w:r w:rsidR="00545D45">
        <w:t>:</w:t>
      </w:r>
      <w:r w:rsidR="00D263DA">
        <w:t xml:space="preserve"> </w:t>
      </w:r>
      <w:r w:rsidRPr="00826340" w:rsidR="00826340">
        <w:t>high school graduation, employment, marriage, and childbearing</w:t>
      </w:r>
      <w:r w:rsidR="00D263DA">
        <w:t>. For this proposed study, we use the findings from the NLSY97 analysis</w:t>
      </w:r>
      <w:r w:rsidR="00B202DA">
        <w:t xml:space="preserve"> to</w:t>
      </w:r>
      <w:r w:rsidR="00D263DA">
        <w:t xml:space="preserve"> </w:t>
      </w:r>
      <w:r w:rsidR="00997E15">
        <w:t>guide the sample size determinations.</w:t>
      </w:r>
      <w:r w:rsidR="00F50744">
        <w:t xml:space="preserve"> </w:t>
      </w:r>
      <w:r w:rsidR="00D263DA">
        <w:t xml:space="preserve">Table </w:t>
      </w:r>
      <w:r w:rsidR="00570546">
        <w:t>C</w:t>
      </w:r>
      <w:r w:rsidR="00D263DA">
        <w:t xml:space="preserve">.1, in Appendix </w:t>
      </w:r>
      <w:r w:rsidR="00632DAF">
        <w:t>C</w:t>
      </w:r>
      <w:r w:rsidR="00D263DA">
        <w:t xml:space="preserve">, shows the </w:t>
      </w:r>
      <w:r w:rsidR="00C5217A">
        <w:t>percent</w:t>
      </w:r>
      <w:r w:rsidR="006A261E">
        <w:t>age</w:t>
      </w:r>
      <w:r w:rsidR="00C5217A">
        <w:t xml:space="preserve"> of individuals in the </w:t>
      </w:r>
      <w:r w:rsidR="00D263DA">
        <w:t>NLSY97 analysis</w:t>
      </w:r>
      <w:r w:rsidR="00C5217A">
        <w:t xml:space="preserve"> by the order in which they have completed the key success sequence model milestones.</w:t>
      </w:r>
      <w:r w:rsidR="00A8748F">
        <w:t xml:space="preserve"> Most individuals, over 65 percent, fell into 10 different pathways. For example, 19 percent of the sample reported </w:t>
      </w:r>
      <w:r w:rsidR="00B202DA">
        <w:t>first completing high school with full</w:t>
      </w:r>
      <w:r w:rsidR="006A261E">
        <w:t>-</w:t>
      </w:r>
      <w:r w:rsidR="00B202DA">
        <w:t>time employment following, but had not yet married or had children</w:t>
      </w:r>
      <w:r w:rsidR="008949A5">
        <w:t>;</w:t>
      </w:r>
      <w:r w:rsidR="00B202DA">
        <w:t xml:space="preserve"> 14 percent of the sample had obtained all four key milestones of interest, and had done so in the order prescribed by the success sequence model, first completing high school, then</w:t>
      </w:r>
      <w:r w:rsidR="009D71F0">
        <w:t xml:space="preserve"> </w:t>
      </w:r>
      <w:r w:rsidR="00B202DA">
        <w:t>obtaining full</w:t>
      </w:r>
      <w:r w:rsidR="008949A5">
        <w:t>-</w:t>
      </w:r>
      <w:r w:rsidR="00B202DA">
        <w:t>time employment, marrying, followed by childbearing.</w:t>
      </w:r>
    </w:p>
    <w:p w:rsidR="00C517BC" w:rsidP="00CF503F" w:rsidRDefault="009D71F0" w14:paraId="1CD6E1AE" w14:textId="1106FDA5">
      <w:pPr>
        <w:spacing w:after="240"/>
      </w:pPr>
      <w:r>
        <w:t>We propose using an interview sample proportional to that of the NLSY97</w:t>
      </w:r>
      <w:r w:rsidR="008949A5">
        <w:t>:</w:t>
      </w:r>
      <w:r>
        <w:t xml:space="preserve"> </w:t>
      </w:r>
      <w:r w:rsidR="00BB03D9">
        <w:t xml:space="preserve">for example, </w:t>
      </w:r>
      <w:r>
        <w:t>aiming to conduct</w:t>
      </w:r>
      <w:r w:rsidR="00BB03D9">
        <w:t xml:space="preserve"> </w:t>
      </w:r>
      <w:r>
        <w:t xml:space="preserve">at least one interview in the 11 least common pathways taken by the survey participants (indicated in </w:t>
      </w:r>
      <w:r w:rsidR="0092572B">
        <w:t>T</w:t>
      </w:r>
      <w:r>
        <w:t xml:space="preserve">able </w:t>
      </w:r>
      <w:r w:rsidR="00E87B67">
        <w:t>C</w:t>
      </w:r>
      <w:r>
        <w:t>.1 as less than 0.05 percent in the percent</w:t>
      </w:r>
      <w:r w:rsidR="008949A5">
        <w:t>age</w:t>
      </w:r>
      <w:r>
        <w:t xml:space="preserve"> observed in </w:t>
      </w:r>
      <w:r w:rsidR="008949A5">
        <w:t xml:space="preserve">the </w:t>
      </w:r>
      <w:r>
        <w:t>NLSY97 data column), and up to 55 interviews in the two most common pathways indicated on the first two rows of the table</w:t>
      </w:r>
      <w:r w:rsidR="00BB03D9">
        <w:t>, with all other pathways covered through the interviews as noted in the target sample size column.</w:t>
      </w:r>
    </w:p>
    <w:p w:rsidRPr="00971882" w:rsidR="006C2456" w:rsidP="00CF503F" w:rsidRDefault="006C2456" w14:paraId="2F5559ED" w14:textId="6EADD68F">
      <w:pPr>
        <w:spacing w:after="240"/>
      </w:pPr>
      <w:r w:rsidRPr="00971882">
        <w:t>To ensure efficient and widespread geographic variation across the United States</w:t>
      </w:r>
      <w:r w:rsidRPr="00971882" w:rsidR="003778D0">
        <w:t>,</w:t>
      </w:r>
      <w:r w:rsidRPr="00971882">
        <w:t xml:space="preserve"> </w:t>
      </w:r>
      <w:bookmarkStart w:name="_Hlk72834464" w:id="10"/>
      <w:r w:rsidRPr="00971882">
        <w:t>Mathematica will collaborate with market research vendor</w:t>
      </w:r>
      <w:r w:rsidR="00A439BD">
        <w:t>s</w:t>
      </w:r>
      <w:r w:rsidR="00C97AA9">
        <w:t xml:space="preserve"> </w:t>
      </w:r>
      <w:r w:rsidR="0092572B">
        <w:t>which</w:t>
      </w:r>
      <w:r w:rsidRPr="00971882" w:rsidR="0092572B">
        <w:t xml:space="preserve"> </w:t>
      </w:r>
      <w:r w:rsidRPr="00971882">
        <w:t>maintain large standing panel</w:t>
      </w:r>
      <w:r w:rsidR="00A439BD">
        <w:t>s</w:t>
      </w:r>
      <w:r w:rsidRPr="00971882">
        <w:t xml:space="preserve"> of research participants. </w:t>
      </w:r>
      <w:bookmarkEnd w:id="10"/>
      <w:r w:rsidR="00786706">
        <w:t>With oversight from Mathematica, t</w:t>
      </w:r>
      <w:r w:rsidRPr="00971882">
        <w:t>he vendor</w:t>
      </w:r>
      <w:r w:rsidR="00A439BD">
        <w:t>s</w:t>
      </w:r>
      <w:r w:rsidRPr="00971882">
        <w:t xml:space="preserve"> will recruit </w:t>
      </w:r>
      <w:r w:rsidR="00C517BC">
        <w:t xml:space="preserve">up to 225 </w:t>
      </w:r>
      <w:r w:rsidRPr="00971882">
        <w:t xml:space="preserve">interview participants from </w:t>
      </w:r>
      <w:r w:rsidR="00A439BD">
        <w:t xml:space="preserve">their </w:t>
      </w:r>
      <w:r w:rsidRPr="00971882">
        <w:t xml:space="preserve">panel members (Appendix A: Success Sequence Recruitment Materials). </w:t>
      </w:r>
      <w:bookmarkStart w:name="_Hlk72834584" w:id="11"/>
      <w:r w:rsidRPr="00971882">
        <w:t xml:space="preserve">All interested panel members will complete a five-minute telephone screener (Instrument 1) to collect data on demographics, household income, geographic location, and the milestones achieved by each prospective participant. </w:t>
      </w:r>
      <w:r w:rsidR="00AE4D3F">
        <w:t>Mathematica</w:t>
      </w:r>
      <w:r w:rsidRPr="00971882">
        <w:t xml:space="preserve"> will use the information to select participants </w:t>
      </w:r>
      <w:r w:rsidRPr="00971882" w:rsidR="00837840">
        <w:t xml:space="preserve">who </w:t>
      </w:r>
      <w:r w:rsidRPr="00971882">
        <w:t xml:space="preserve">reflect a diverse interview sample. </w:t>
      </w:r>
      <w:bookmarkEnd w:id="11"/>
      <w:r w:rsidRPr="00971882" w:rsidR="00AD6F40">
        <w:t>Participants</w:t>
      </w:r>
      <w:r w:rsidRPr="00971882">
        <w:t xml:space="preserve"> will include</w:t>
      </w:r>
      <w:r w:rsidR="0081755A">
        <w:t xml:space="preserve"> English</w:t>
      </w:r>
      <w:r w:rsidR="0092572B">
        <w:t>-</w:t>
      </w:r>
      <w:r w:rsidR="0081755A">
        <w:t xml:space="preserve"> and Spanish-speaking</w:t>
      </w:r>
      <w:r w:rsidRPr="00971882">
        <w:t xml:space="preserve"> people from a range of demographic groups and geographic areas and will represent people with achievement of, and differences across, various </w:t>
      </w:r>
      <w:r w:rsidRPr="00971882">
        <w:lastRenderedPageBreak/>
        <w:t xml:space="preserve">milestones. </w:t>
      </w:r>
      <w:r w:rsidRPr="00971882" w:rsidR="0016554F">
        <w:t>Supporting Statement Part B, Section B2 provides details about the study methodology</w:t>
      </w:r>
      <w:r w:rsidR="008E0E7C">
        <w:t xml:space="preserve"> and the sample</w:t>
      </w:r>
      <w:r w:rsidRPr="00971882" w:rsidR="0016554F">
        <w:t>.</w:t>
      </w:r>
    </w:p>
    <w:p w:rsidRPr="00971882" w:rsidR="006C2456" w:rsidP="00CF503F" w:rsidRDefault="006C2456" w14:paraId="3B90A6A6" w14:textId="24F01EA4">
      <w:pPr>
        <w:spacing w:after="240"/>
      </w:pPr>
      <w:r w:rsidRPr="00971882">
        <w:t>The</w:t>
      </w:r>
      <w:r w:rsidR="00F32DEE">
        <w:t xml:space="preserve"> Mathematica</w:t>
      </w:r>
      <w:r w:rsidRPr="00971882">
        <w:t xml:space="preserve"> research team </w:t>
      </w:r>
      <w:r w:rsidR="005B47BC">
        <w:t xml:space="preserve">will use the Interview Protocol </w:t>
      </w:r>
      <w:r w:rsidRPr="00971882">
        <w:t xml:space="preserve">(Instrument 2: Success Sequence Interview </w:t>
      </w:r>
      <w:r w:rsidR="00CE2E90">
        <w:t>Protocol</w:t>
      </w:r>
      <w:r w:rsidRPr="00971882">
        <w:t xml:space="preserve">), </w:t>
      </w:r>
      <w:r w:rsidR="005B47BC">
        <w:t>to ask</w:t>
      </w:r>
      <w:r w:rsidRPr="00971882" w:rsidR="005B47BC">
        <w:t xml:space="preserve"> </w:t>
      </w:r>
      <w:r w:rsidRPr="00971882">
        <w:t>participants to walk through</w:t>
      </w:r>
      <w:r w:rsidR="00632DAF">
        <w:t xml:space="preserve"> parts of their life including</w:t>
      </w:r>
      <w:r w:rsidRPr="00971882">
        <w:t xml:space="preserve"> </w:t>
      </w:r>
      <w:r w:rsidRPr="00826340" w:rsidR="00826340">
        <w:t>high school graduation, employment, marriage, and childbearing</w:t>
      </w:r>
      <w:r w:rsidRPr="00826340" w:rsidDel="00044434" w:rsidR="00826340">
        <w:t xml:space="preserve"> </w:t>
      </w:r>
      <w:r w:rsidRPr="00971882">
        <w:t>while offering a chronology of how the sequence of events unfolded (Paulson 2011).</w:t>
      </w:r>
      <w:r w:rsidRPr="00971882">
        <w:rPr>
          <w:vertAlign w:val="superscript"/>
        </w:rPr>
        <w:footnoteReference w:id="6"/>
      </w:r>
      <w:r w:rsidRPr="00971882">
        <w:t xml:space="preserve"> The </w:t>
      </w:r>
      <w:r w:rsidRPr="00971882" w:rsidR="00001BFF">
        <w:t xml:space="preserve">virtual </w:t>
      </w:r>
      <w:r w:rsidRPr="00971882">
        <w:t xml:space="preserve">asynchronous interviews will </w:t>
      </w:r>
      <w:r w:rsidRPr="00971882" w:rsidR="00A11A30">
        <w:t>us</w:t>
      </w:r>
      <w:r w:rsidRPr="00971882" w:rsidR="00693932">
        <w:t>e</w:t>
      </w:r>
      <w:r w:rsidRPr="00971882" w:rsidR="00A11A30">
        <w:t xml:space="preserve"> </w:t>
      </w:r>
      <w:r w:rsidRPr="00971882">
        <w:t xml:space="preserve">an online chat board platform that permits interviewees to log in to the chat board </w:t>
      </w:r>
      <w:r w:rsidR="00BF2A73">
        <w:t xml:space="preserve">at any time during a </w:t>
      </w:r>
      <w:r w:rsidR="00BF296F">
        <w:t>three-</w:t>
      </w:r>
      <w:r w:rsidR="00BF2A73">
        <w:t xml:space="preserve">day </w:t>
      </w:r>
      <w:r w:rsidR="00BF296F">
        <w:t>period</w:t>
      </w:r>
      <w:r w:rsidR="00BF2A73">
        <w:t xml:space="preserve"> </w:t>
      </w:r>
      <w:r w:rsidRPr="00971882">
        <w:t xml:space="preserve">and respond to </w:t>
      </w:r>
      <w:r w:rsidR="00155D44">
        <w:t>the interview</w:t>
      </w:r>
      <w:r w:rsidRPr="00971882">
        <w:t xml:space="preserve"> questions via chat </w:t>
      </w:r>
      <w:r w:rsidRPr="00971882" w:rsidR="00186BCC">
        <w:t xml:space="preserve">boards </w:t>
      </w:r>
      <w:r w:rsidRPr="00971882">
        <w:t>moderated</w:t>
      </w:r>
      <w:r w:rsidR="00BF2A73">
        <w:t xml:space="preserve"> asynchronously</w:t>
      </w:r>
      <w:r w:rsidRPr="00971882">
        <w:t xml:space="preserve"> by the research team</w:t>
      </w:r>
      <w:r w:rsidRPr="00971882" w:rsidR="00CE70F2">
        <w:t>’s</w:t>
      </w:r>
      <w:r w:rsidRPr="00971882">
        <w:t xml:space="preserve"> interviewers. </w:t>
      </w:r>
      <w:r w:rsidR="008E0E7C">
        <w:t xml:space="preserve">This method </w:t>
      </w:r>
      <w:r w:rsidR="0092572B">
        <w:t>enable</w:t>
      </w:r>
      <w:r w:rsidR="008E0E7C">
        <w:t>s multiple</w:t>
      </w:r>
      <w:r w:rsidRPr="00971882">
        <w:t xml:space="preserve"> interviews </w:t>
      </w:r>
      <w:r w:rsidR="00AE4D3F">
        <w:t>to</w:t>
      </w:r>
      <w:r w:rsidRPr="00971882" w:rsidR="00AE4D3F">
        <w:t xml:space="preserve"> </w:t>
      </w:r>
      <w:r w:rsidRPr="00971882" w:rsidR="00CE70F2">
        <w:t>take place</w:t>
      </w:r>
      <w:r w:rsidRPr="00971882">
        <w:t xml:space="preserve"> in parallel, </w:t>
      </w:r>
      <w:r w:rsidR="00AE4D3F">
        <w:t xml:space="preserve">but </w:t>
      </w:r>
      <w:r w:rsidRPr="00971882">
        <w:t xml:space="preserve">participants </w:t>
      </w:r>
      <w:r w:rsidR="0092572B">
        <w:t>cannot</w:t>
      </w:r>
      <w:r w:rsidRPr="00971882">
        <w:t xml:space="preserve"> see other participants’ responses. </w:t>
      </w:r>
      <w:r w:rsidRPr="00971882" w:rsidR="004E6EA4">
        <w:t>Such a</w:t>
      </w:r>
      <w:r w:rsidRPr="00971882">
        <w:t xml:space="preserve"> methodology has proven convenient for participants and offers an anonymous environment for answering sensitive questions (Section A11), </w:t>
      </w:r>
      <w:r w:rsidRPr="00971882" w:rsidR="004E6EA4">
        <w:t>thereby</w:t>
      </w:r>
      <w:r w:rsidRPr="00971882">
        <w:t xml:space="preserve"> encourag</w:t>
      </w:r>
      <w:r w:rsidRPr="00971882" w:rsidR="004E6EA4">
        <w:t>ing</w:t>
      </w:r>
      <w:r w:rsidRPr="00971882">
        <w:t xml:space="preserve"> respondents to be honest in their responses and potentially increase data quality.</w:t>
      </w:r>
      <w:r w:rsidRPr="00971882">
        <w:rPr>
          <w:vertAlign w:val="superscript"/>
        </w:rPr>
        <w:footnoteReference w:id="7"/>
      </w:r>
    </w:p>
    <w:p w:rsidRPr="00971882" w:rsidR="006C2456" w:rsidP="00CF503F" w:rsidRDefault="004E6EA4" w14:paraId="3755F21E" w14:textId="01D74103">
      <w:pPr>
        <w:spacing w:after="160"/>
      </w:pPr>
      <w:r w:rsidRPr="00971882">
        <w:t xml:space="preserve">In </w:t>
      </w:r>
      <w:r w:rsidRPr="00971882" w:rsidR="006C2456">
        <w:t>Table A</w:t>
      </w:r>
      <w:r w:rsidRPr="00971882" w:rsidR="00452415">
        <w:t>.1</w:t>
      </w:r>
      <w:r w:rsidRPr="00971882">
        <w:t>, we</w:t>
      </w:r>
      <w:r w:rsidRPr="00971882" w:rsidR="006C2456">
        <w:t xml:space="preserve"> summarize the study design, including the two data collection activities, the data collection instruments and their content, respondent type, and the mode and duration of each data collection activity. </w:t>
      </w:r>
      <w:r w:rsidR="00044F17">
        <w:t xml:space="preserve">Supporting Statement Part B, Section B2 describes </w:t>
      </w:r>
      <w:r w:rsidR="005F535D">
        <w:t>further</w:t>
      </w:r>
      <w:r w:rsidR="00044F17">
        <w:t xml:space="preserve"> the methods</w:t>
      </w:r>
      <w:r w:rsidR="00BE632F">
        <w:t xml:space="preserve">, </w:t>
      </w:r>
      <w:r w:rsidR="00044F17">
        <w:t>design</w:t>
      </w:r>
      <w:r w:rsidR="00BE632F">
        <w:t>, and sample</w:t>
      </w:r>
      <w:r w:rsidR="00044F17">
        <w:t xml:space="preserve"> of the study.</w:t>
      </w:r>
    </w:p>
    <w:p w:rsidRPr="00971882" w:rsidR="006C2456" w:rsidP="006C2456" w:rsidRDefault="006C2456" w14:paraId="7421A711" w14:textId="61EB4546">
      <w:pPr>
        <w:pStyle w:val="MarkforTableHeading"/>
        <w:rPr>
          <w:rFonts w:asciiTheme="minorHAnsi" w:hAnsiTheme="minorHAnsi" w:cstheme="minorHAnsi"/>
          <w:sz w:val="22"/>
          <w:szCs w:val="22"/>
        </w:rPr>
      </w:pPr>
      <w:r w:rsidRPr="00971882">
        <w:rPr>
          <w:rFonts w:asciiTheme="minorHAnsi" w:hAnsiTheme="minorHAnsi" w:cstheme="minorHAnsi"/>
          <w:sz w:val="22"/>
          <w:szCs w:val="22"/>
        </w:rPr>
        <w:t>Table A</w:t>
      </w:r>
      <w:r w:rsidRPr="00971882" w:rsidR="00452415">
        <w:rPr>
          <w:rFonts w:asciiTheme="minorHAnsi" w:hAnsiTheme="minorHAnsi" w:cstheme="minorHAnsi"/>
          <w:sz w:val="22"/>
          <w:szCs w:val="22"/>
        </w:rPr>
        <w:t>.1</w:t>
      </w:r>
      <w:r w:rsidRPr="00971882">
        <w:rPr>
          <w:rFonts w:asciiTheme="minorHAnsi" w:hAnsiTheme="minorHAnsi" w:cstheme="minorHAnsi"/>
          <w:sz w:val="22"/>
          <w:szCs w:val="22"/>
        </w:rPr>
        <w:t>. Study design summary</w:t>
      </w:r>
    </w:p>
    <w:tbl>
      <w:tblPr>
        <w:tblStyle w:val="TableGrid"/>
        <w:tblW w:w="96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185"/>
        <w:gridCol w:w="1497"/>
        <w:gridCol w:w="361"/>
        <w:gridCol w:w="4167"/>
        <w:gridCol w:w="455"/>
        <w:gridCol w:w="1255"/>
        <w:gridCol w:w="189"/>
      </w:tblGrid>
      <w:tr w:rsidRPr="0042215B" w:rsidR="00FA6523" w:rsidTr="00FA6523" w14:paraId="676A9359" w14:textId="77777777">
        <w:trPr>
          <w:cantSplit/>
          <w:tblHeader/>
        </w:trPr>
        <w:tc>
          <w:tcPr>
            <w:tcW w:w="1710" w:type="dxa"/>
            <w:gridSpan w:val="2"/>
            <w:shd w:val="clear" w:color="auto" w:fill="1F497D" w:themeFill="text2"/>
          </w:tcPr>
          <w:p w:rsidRPr="0042215B" w:rsidR="00FA6523" w:rsidP="00FA6523" w:rsidRDefault="00FA6523" w14:paraId="2CE5AC30" w14:textId="77777777">
            <w:pPr>
              <w:pStyle w:val="TableHeaderCenter"/>
              <w:jc w:val="left"/>
              <w:rPr>
                <w:b/>
                <w:bCs/>
              </w:rPr>
            </w:pPr>
            <w:r w:rsidRPr="0042215B">
              <w:rPr>
                <w:b/>
                <w:bCs/>
              </w:rPr>
              <w:t xml:space="preserve">Data </w:t>
            </w:r>
            <w:r>
              <w:rPr>
                <w:b/>
                <w:bCs/>
              </w:rPr>
              <w:t>c</w:t>
            </w:r>
            <w:r w:rsidRPr="0042215B">
              <w:rPr>
                <w:b/>
                <w:bCs/>
              </w:rPr>
              <w:t xml:space="preserve">ollection </w:t>
            </w:r>
            <w:r>
              <w:rPr>
                <w:b/>
                <w:bCs/>
              </w:rPr>
              <w:t>a</w:t>
            </w:r>
            <w:r w:rsidRPr="0042215B">
              <w:rPr>
                <w:b/>
                <w:bCs/>
              </w:rPr>
              <w:t>ctivity</w:t>
            </w:r>
          </w:p>
        </w:tc>
        <w:tc>
          <w:tcPr>
            <w:tcW w:w="1497" w:type="dxa"/>
            <w:shd w:val="clear" w:color="auto" w:fill="1F497D" w:themeFill="text2"/>
            <w:vAlign w:val="bottom"/>
          </w:tcPr>
          <w:p w:rsidRPr="0042215B" w:rsidR="00FA6523" w:rsidP="00FA6523" w:rsidRDefault="00FA6523" w14:paraId="020B6B55" w14:textId="77777777">
            <w:pPr>
              <w:pStyle w:val="TableHeaderCenter"/>
              <w:rPr>
                <w:b/>
                <w:bCs/>
              </w:rPr>
            </w:pPr>
            <w:r w:rsidRPr="0042215B">
              <w:rPr>
                <w:b/>
                <w:bCs/>
              </w:rPr>
              <w:t>Instruments</w:t>
            </w:r>
          </w:p>
        </w:tc>
        <w:tc>
          <w:tcPr>
            <w:tcW w:w="4983" w:type="dxa"/>
            <w:gridSpan w:val="3"/>
            <w:shd w:val="clear" w:color="auto" w:fill="1F497D" w:themeFill="text2"/>
            <w:vAlign w:val="bottom"/>
          </w:tcPr>
          <w:p w:rsidRPr="0042215B" w:rsidR="00FA6523" w:rsidP="00FA6523" w:rsidRDefault="00FA6523" w14:paraId="0B2150B5" w14:textId="77777777">
            <w:pPr>
              <w:pStyle w:val="TableHeaderCenter"/>
              <w:rPr>
                <w:b/>
                <w:bCs/>
              </w:rPr>
            </w:pPr>
            <w:r w:rsidRPr="0042215B">
              <w:rPr>
                <w:b/>
                <w:bCs/>
              </w:rPr>
              <w:t xml:space="preserve">Participant, </w:t>
            </w:r>
            <w:r>
              <w:rPr>
                <w:b/>
                <w:bCs/>
              </w:rPr>
              <w:t>c</w:t>
            </w:r>
            <w:r w:rsidRPr="0042215B">
              <w:rPr>
                <w:b/>
                <w:bCs/>
              </w:rPr>
              <w:t xml:space="preserve">ontent, </w:t>
            </w:r>
            <w:r>
              <w:rPr>
                <w:b/>
                <w:bCs/>
              </w:rPr>
              <w:t>p</w:t>
            </w:r>
            <w:r w:rsidRPr="0042215B">
              <w:rPr>
                <w:b/>
                <w:bCs/>
              </w:rPr>
              <w:t xml:space="preserve">urpose of </w:t>
            </w:r>
            <w:r>
              <w:rPr>
                <w:b/>
                <w:bCs/>
              </w:rPr>
              <w:t>c</w:t>
            </w:r>
            <w:r w:rsidRPr="0042215B">
              <w:rPr>
                <w:b/>
                <w:bCs/>
              </w:rPr>
              <w:t>ollection</w:t>
            </w:r>
          </w:p>
        </w:tc>
        <w:tc>
          <w:tcPr>
            <w:tcW w:w="1444" w:type="dxa"/>
            <w:gridSpan w:val="2"/>
            <w:shd w:val="clear" w:color="auto" w:fill="1F497D" w:themeFill="text2"/>
            <w:vAlign w:val="bottom"/>
          </w:tcPr>
          <w:p w:rsidRPr="0042215B" w:rsidR="00FA6523" w:rsidP="00FA6523" w:rsidRDefault="00FA6523" w14:paraId="1821E568" w14:textId="77777777">
            <w:pPr>
              <w:pStyle w:val="TableHeaderCenter"/>
              <w:rPr>
                <w:b/>
                <w:bCs/>
              </w:rPr>
            </w:pPr>
            <w:r w:rsidRPr="0042215B">
              <w:rPr>
                <w:b/>
                <w:bCs/>
              </w:rPr>
              <w:t xml:space="preserve">Mode and </w:t>
            </w:r>
            <w:r>
              <w:rPr>
                <w:b/>
                <w:bCs/>
              </w:rPr>
              <w:t>d</w:t>
            </w:r>
            <w:r w:rsidRPr="0042215B">
              <w:rPr>
                <w:b/>
                <w:bCs/>
              </w:rPr>
              <w:t>uration</w:t>
            </w:r>
          </w:p>
        </w:tc>
      </w:tr>
      <w:tr w:rsidRPr="00FA6523" w:rsidR="006C2456" w:rsidTr="00CF503F" w14:paraId="7642CB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9" w:type="dxa"/>
        </w:trPr>
        <w:tc>
          <w:tcPr>
            <w:tcW w:w="1525" w:type="dxa"/>
            <w:tcBorders>
              <w:top w:val="nil"/>
              <w:left w:val="nil"/>
              <w:bottom w:val="single" w:color="auto" w:sz="4" w:space="0"/>
              <w:right w:val="nil"/>
            </w:tcBorders>
          </w:tcPr>
          <w:p w:rsidRPr="00FA6523" w:rsidR="00FA6523" w:rsidP="007D77D1" w:rsidRDefault="00FA6523" w14:paraId="04A0EF6C" w14:textId="77777777">
            <w:pPr>
              <w:rPr>
                <w:rFonts w:asciiTheme="minorHAnsi" w:hAnsiTheme="minorHAnsi" w:cstheme="minorHAnsi"/>
              </w:rPr>
            </w:pPr>
            <w:r w:rsidRPr="00FA6523">
              <w:rPr>
                <w:rFonts w:asciiTheme="minorHAnsi" w:hAnsiTheme="minorHAnsi" w:cstheme="minorHAnsi"/>
              </w:rPr>
              <w:t>Success Sequence Interview</w:t>
            </w:r>
          </w:p>
          <w:p w:rsidRPr="00FA6523" w:rsidR="006C2456" w:rsidP="007D77D1" w:rsidRDefault="006C2456" w14:paraId="763C2D46" w14:textId="3258682A">
            <w:pPr>
              <w:rPr>
                <w:rFonts w:asciiTheme="minorHAnsi" w:hAnsiTheme="minorHAnsi" w:cstheme="minorHAnsi"/>
              </w:rPr>
            </w:pPr>
            <w:r w:rsidRPr="00FA6523">
              <w:rPr>
                <w:rFonts w:asciiTheme="minorHAnsi" w:hAnsiTheme="minorHAnsi" w:cstheme="minorHAnsi"/>
              </w:rPr>
              <w:t>Screening</w:t>
            </w:r>
          </w:p>
        </w:tc>
        <w:tc>
          <w:tcPr>
            <w:tcW w:w="2043" w:type="dxa"/>
            <w:gridSpan w:val="3"/>
            <w:tcBorders>
              <w:top w:val="nil"/>
              <w:left w:val="nil"/>
              <w:bottom w:val="single" w:color="auto" w:sz="4" w:space="0"/>
              <w:right w:val="nil"/>
            </w:tcBorders>
          </w:tcPr>
          <w:p w:rsidRPr="00FA6523" w:rsidR="006C2456" w:rsidP="007D77D1" w:rsidRDefault="00970E3C" w14:paraId="7DA1DFEB" w14:textId="2AD43DEA">
            <w:pPr>
              <w:rPr>
                <w:rFonts w:asciiTheme="minorHAnsi" w:hAnsiTheme="minorHAnsi" w:cstheme="minorHAnsi"/>
              </w:rPr>
            </w:pPr>
            <w:r w:rsidRPr="00FA6523">
              <w:rPr>
                <w:rFonts w:asciiTheme="minorHAnsi" w:hAnsiTheme="minorHAnsi" w:cstheme="minorHAnsi"/>
              </w:rPr>
              <w:t xml:space="preserve">Instrument 1: </w:t>
            </w:r>
            <w:r w:rsidRPr="00FA6523" w:rsidR="006C2456">
              <w:rPr>
                <w:rFonts w:asciiTheme="minorHAnsi" w:hAnsiTheme="minorHAnsi" w:cstheme="minorHAnsi"/>
              </w:rPr>
              <w:t xml:space="preserve">Success Sequence Screener </w:t>
            </w:r>
          </w:p>
        </w:tc>
        <w:tc>
          <w:tcPr>
            <w:tcW w:w="4167" w:type="dxa"/>
            <w:tcBorders>
              <w:top w:val="nil"/>
              <w:left w:val="nil"/>
              <w:bottom w:val="single" w:color="auto" w:sz="4" w:space="0"/>
              <w:right w:val="nil"/>
            </w:tcBorders>
          </w:tcPr>
          <w:p w:rsidRPr="00FA6523" w:rsidR="006C2456" w:rsidP="007D77D1" w:rsidRDefault="006C2456" w14:paraId="46184690" w14:textId="773FFFD4">
            <w:pPr>
              <w:spacing w:after="120"/>
              <w:rPr>
                <w:rFonts w:asciiTheme="minorHAnsi" w:hAnsiTheme="minorHAnsi" w:cstheme="minorHAnsi"/>
              </w:rPr>
            </w:pPr>
            <w:r w:rsidRPr="00FA6523">
              <w:rPr>
                <w:rFonts w:asciiTheme="minorHAnsi" w:hAnsiTheme="minorHAnsi" w:cstheme="minorHAnsi"/>
                <w:b/>
              </w:rPr>
              <w:t>Respondents</w:t>
            </w:r>
            <w:r w:rsidRPr="00FA6523">
              <w:rPr>
                <w:rFonts w:asciiTheme="minorHAnsi" w:hAnsiTheme="minorHAnsi" w:cstheme="minorHAnsi"/>
                <w:b/>
                <w:bCs/>
              </w:rPr>
              <w:t xml:space="preserve">: </w:t>
            </w:r>
            <w:r w:rsidRPr="00FA6523" w:rsidR="00FA6523">
              <w:rPr>
                <w:rFonts w:asciiTheme="minorHAnsi" w:hAnsiTheme="minorHAnsi" w:cstheme="minorHAnsi"/>
                <w:szCs w:val="18"/>
              </w:rPr>
              <w:t>Adults ages 30–35 who speak English and Spanish</w:t>
            </w:r>
          </w:p>
          <w:p w:rsidRPr="00FA6523" w:rsidR="006C2456" w:rsidP="007D77D1" w:rsidRDefault="006C2456" w14:paraId="2C57D675" w14:textId="21001D99">
            <w:pPr>
              <w:spacing w:after="120"/>
              <w:rPr>
                <w:rFonts w:asciiTheme="minorHAnsi" w:hAnsiTheme="minorHAnsi" w:cstheme="minorHAnsi"/>
              </w:rPr>
            </w:pPr>
            <w:r w:rsidRPr="00FA6523">
              <w:rPr>
                <w:rFonts w:asciiTheme="minorHAnsi" w:hAnsiTheme="minorHAnsi" w:cstheme="minorHAnsi"/>
                <w:b/>
              </w:rPr>
              <w:t>Content</w:t>
            </w:r>
            <w:r w:rsidRPr="00FA6523">
              <w:rPr>
                <w:rFonts w:asciiTheme="minorHAnsi" w:hAnsiTheme="minorHAnsi" w:cstheme="minorHAnsi"/>
                <w:b/>
                <w:bCs/>
              </w:rPr>
              <w:t>:</w:t>
            </w:r>
            <w:r w:rsidRPr="00FA6523">
              <w:rPr>
                <w:rFonts w:asciiTheme="minorHAnsi" w:hAnsiTheme="minorHAnsi" w:cstheme="minorHAnsi"/>
              </w:rPr>
              <w:t xml:space="preserve"> </w:t>
            </w:r>
            <w:r w:rsidRPr="00FA6523" w:rsidR="00FA6523">
              <w:rPr>
                <w:rFonts w:asciiTheme="minorHAnsi" w:hAnsiTheme="minorHAnsi" w:cstheme="minorHAnsi"/>
                <w:szCs w:val="18"/>
              </w:rPr>
              <w:t>Focuses on demographics, life milestones, and income</w:t>
            </w:r>
          </w:p>
          <w:p w:rsidRPr="00FA6523" w:rsidR="006C2456" w:rsidP="007D77D1" w:rsidRDefault="006C2456" w14:paraId="40CB1FAB" w14:textId="2F85B335">
            <w:pPr>
              <w:spacing w:after="120"/>
              <w:rPr>
                <w:rFonts w:asciiTheme="minorHAnsi" w:hAnsiTheme="minorHAnsi" w:cstheme="minorHAnsi"/>
              </w:rPr>
            </w:pPr>
            <w:r w:rsidRPr="00FA6523">
              <w:rPr>
                <w:rFonts w:asciiTheme="minorHAnsi" w:hAnsiTheme="minorHAnsi" w:cstheme="minorHAnsi"/>
                <w:b/>
              </w:rPr>
              <w:t>Purpose</w:t>
            </w:r>
            <w:r w:rsidRPr="00FA6523">
              <w:rPr>
                <w:rFonts w:asciiTheme="minorHAnsi" w:hAnsiTheme="minorHAnsi" w:cstheme="minorHAnsi"/>
                <w:b/>
                <w:bCs/>
              </w:rPr>
              <w:t xml:space="preserve">: </w:t>
            </w:r>
            <w:r w:rsidRPr="00FA6523">
              <w:rPr>
                <w:rFonts w:asciiTheme="minorHAnsi" w:hAnsiTheme="minorHAnsi" w:cstheme="minorHAnsi"/>
              </w:rPr>
              <w:t xml:space="preserve">To screen interview participants </w:t>
            </w:r>
            <w:r w:rsidRPr="00FA6523" w:rsidR="00DB44B9">
              <w:rPr>
                <w:rFonts w:asciiTheme="minorHAnsi" w:hAnsiTheme="minorHAnsi" w:cstheme="minorHAnsi"/>
              </w:rPr>
              <w:t>for the interview</w:t>
            </w:r>
            <w:r w:rsidR="002871A4">
              <w:rPr>
                <w:rFonts w:asciiTheme="minorHAnsi" w:hAnsiTheme="minorHAnsi" w:cstheme="minorHAnsi"/>
              </w:rPr>
              <w:t>, ensuring</w:t>
            </w:r>
            <w:r w:rsidRPr="00FA6523" w:rsidR="00DB44B9">
              <w:rPr>
                <w:rFonts w:asciiTheme="minorHAnsi" w:hAnsiTheme="minorHAnsi" w:cstheme="minorHAnsi"/>
              </w:rPr>
              <w:t xml:space="preserve"> participant</w:t>
            </w:r>
            <w:r w:rsidR="0009080D">
              <w:rPr>
                <w:rFonts w:asciiTheme="minorHAnsi" w:hAnsiTheme="minorHAnsi" w:cstheme="minorHAnsi"/>
              </w:rPr>
              <w:t>s’</w:t>
            </w:r>
            <w:r w:rsidRPr="00FA6523" w:rsidR="00DB44B9">
              <w:rPr>
                <w:rFonts w:asciiTheme="minorHAnsi" w:hAnsiTheme="minorHAnsi" w:cstheme="minorHAnsi"/>
              </w:rPr>
              <w:t xml:space="preserve"> diversity</w:t>
            </w:r>
            <w:r w:rsidRPr="00FA6523">
              <w:rPr>
                <w:rFonts w:asciiTheme="minorHAnsi" w:hAnsiTheme="minorHAnsi" w:cstheme="minorHAnsi"/>
              </w:rPr>
              <w:t xml:space="preserve"> of milestone experiences and demographic and geographic variation</w:t>
            </w:r>
          </w:p>
        </w:tc>
        <w:tc>
          <w:tcPr>
            <w:tcW w:w="1710" w:type="dxa"/>
            <w:gridSpan w:val="2"/>
            <w:tcBorders>
              <w:top w:val="nil"/>
              <w:left w:val="nil"/>
              <w:bottom w:val="single" w:color="auto" w:sz="4" w:space="0"/>
              <w:right w:val="nil"/>
            </w:tcBorders>
          </w:tcPr>
          <w:p w:rsidRPr="00FA6523" w:rsidR="006C2456" w:rsidP="007D77D1" w:rsidRDefault="006C2456" w14:paraId="4B8AC2CE" w14:textId="77777777">
            <w:pPr>
              <w:spacing w:after="120"/>
              <w:rPr>
                <w:rFonts w:asciiTheme="minorHAnsi" w:hAnsiTheme="minorHAnsi" w:cstheme="minorHAnsi"/>
              </w:rPr>
            </w:pPr>
            <w:r w:rsidRPr="00FA6523">
              <w:rPr>
                <w:rFonts w:asciiTheme="minorHAnsi" w:hAnsiTheme="minorHAnsi" w:cstheme="minorHAnsi"/>
                <w:b/>
              </w:rPr>
              <w:t>Mode</w:t>
            </w:r>
            <w:r w:rsidRPr="00FA6523">
              <w:rPr>
                <w:rFonts w:asciiTheme="minorHAnsi" w:hAnsiTheme="minorHAnsi" w:cstheme="minorHAnsi"/>
              </w:rPr>
              <w:t>: Telephone</w:t>
            </w:r>
          </w:p>
          <w:p w:rsidRPr="00FA6523" w:rsidR="006C2456" w:rsidP="007D77D1" w:rsidRDefault="006C2456" w14:paraId="256030F4" w14:textId="77777777">
            <w:pPr>
              <w:spacing w:after="120"/>
              <w:rPr>
                <w:rFonts w:asciiTheme="minorHAnsi" w:hAnsiTheme="minorHAnsi" w:cstheme="minorHAnsi"/>
              </w:rPr>
            </w:pPr>
            <w:r w:rsidRPr="00FA6523">
              <w:rPr>
                <w:rFonts w:asciiTheme="minorHAnsi" w:hAnsiTheme="minorHAnsi" w:cstheme="minorHAnsi"/>
                <w:b/>
              </w:rPr>
              <w:t>Duration</w:t>
            </w:r>
            <w:r w:rsidRPr="00FA6523">
              <w:rPr>
                <w:rFonts w:asciiTheme="minorHAnsi" w:hAnsiTheme="minorHAnsi" w:cstheme="minorHAnsi"/>
              </w:rPr>
              <w:t>: 5 minutes</w:t>
            </w:r>
          </w:p>
        </w:tc>
      </w:tr>
      <w:tr w:rsidRPr="00FA6523" w:rsidR="006C2456" w:rsidTr="00CF503F" w14:paraId="462D2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9" w:type="dxa"/>
        </w:trPr>
        <w:tc>
          <w:tcPr>
            <w:tcW w:w="1525" w:type="dxa"/>
            <w:tcBorders>
              <w:top w:val="single" w:color="auto" w:sz="4" w:space="0"/>
              <w:left w:val="nil"/>
              <w:bottom w:val="single" w:color="auto" w:sz="4" w:space="0"/>
              <w:right w:val="nil"/>
            </w:tcBorders>
          </w:tcPr>
          <w:p w:rsidRPr="00FA6523" w:rsidR="006C2456" w:rsidP="007D77D1" w:rsidRDefault="00FA6523" w14:paraId="7B858C38" w14:textId="56CF00F9">
            <w:pPr>
              <w:rPr>
                <w:rFonts w:asciiTheme="minorHAnsi" w:hAnsiTheme="minorHAnsi" w:cstheme="minorHAnsi"/>
              </w:rPr>
            </w:pPr>
            <w:r w:rsidRPr="00FA6523">
              <w:rPr>
                <w:rFonts w:asciiTheme="minorHAnsi" w:hAnsiTheme="minorHAnsi" w:cstheme="minorHAnsi"/>
              </w:rPr>
              <w:t>Administration of Success Sequence Interview</w:t>
            </w:r>
          </w:p>
        </w:tc>
        <w:tc>
          <w:tcPr>
            <w:tcW w:w="2043" w:type="dxa"/>
            <w:gridSpan w:val="3"/>
            <w:tcBorders>
              <w:top w:val="single" w:color="auto" w:sz="4" w:space="0"/>
              <w:left w:val="nil"/>
              <w:bottom w:val="single" w:color="auto" w:sz="4" w:space="0"/>
              <w:right w:val="nil"/>
            </w:tcBorders>
          </w:tcPr>
          <w:p w:rsidRPr="00FA6523" w:rsidR="006C2456" w:rsidP="007D77D1" w:rsidRDefault="00970E3C" w14:paraId="4D612C77" w14:textId="2B5806A9">
            <w:pPr>
              <w:rPr>
                <w:rFonts w:asciiTheme="minorHAnsi" w:hAnsiTheme="minorHAnsi" w:cstheme="minorHAnsi"/>
              </w:rPr>
            </w:pPr>
            <w:r w:rsidRPr="00FA6523">
              <w:rPr>
                <w:rFonts w:asciiTheme="minorHAnsi" w:hAnsiTheme="minorHAnsi" w:cstheme="minorHAnsi"/>
              </w:rPr>
              <w:t xml:space="preserve">Instrument 2: </w:t>
            </w:r>
            <w:r w:rsidRPr="00FA6523" w:rsidR="006C2456">
              <w:rPr>
                <w:rFonts w:asciiTheme="minorHAnsi" w:hAnsiTheme="minorHAnsi" w:cstheme="minorHAnsi"/>
              </w:rPr>
              <w:t xml:space="preserve">Success Sequence Interview </w:t>
            </w:r>
            <w:r w:rsidRPr="00FA6523" w:rsidR="00CE2E90">
              <w:rPr>
                <w:rFonts w:asciiTheme="minorHAnsi" w:hAnsiTheme="minorHAnsi" w:cstheme="minorHAnsi"/>
              </w:rPr>
              <w:t>Protocol</w:t>
            </w:r>
          </w:p>
        </w:tc>
        <w:tc>
          <w:tcPr>
            <w:tcW w:w="4167" w:type="dxa"/>
            <w:tcBorders>
              <w:top w:val="single" w:color="auto" w:sz="4" w:space="0"/>
              <w:left w:val="nil"/>
              <w:bottom w:val="single" w:color="auto" w:sz="4" w:space="0"/>
              <w:right w:val="nil"/>
            </w:tcBorders>
          </w:tcPr>
          <w:p w:rsidRPr="00FA6523" w:rsidR="006C2456" w:rsidP="007D77D1" w:rsidRDefault="006C2456" w14:paraId="23F3AF44" w14:textId="6B045443">
            <w:pPr>
              <w:spacing w:after="120"/>
              <w:rPr>
                <w:rFonts w:asciiTheme="minorHAnsi" w:hAnsiTheme="minorHAnsi" w:cstheme="minorHAnsi"/>
              </w:rPr>
            </w:pPr>
            <w:r w:rsidRPr="00FA6523">
              <w:rPr>
                <w:rFonts w:asciiTheme="minorHAnsi" w:hAnsiTheme="minorHAnsi" w:cstheme="minorHAnsi"/>
                <w:b/>
              </w:rPr>
              <w:t>Respondents</w:t>
            </w:r>
            <w:r w:rsidRPr="00FA6523">
              <w:rPr>
                <w:rFonts w:asciiTheme="minorHAnsi" w:hAnsiTheme="minorHAnsi" w:cstheme="minorHAnsi"/>
                <w:b/>
                <w:bCs/>
              </w:rPr>
              <w:t xml:space="preserve">: </w:t>
            </w:r>
            <w:r w:rsidR="002871A4">
              <w:rPr>
                <w:rFonts w:asciiTheme="minorHAnsi" w:hAnsiTheme="minorHAnsi" w:cstheme="minorHAnsi"/>
              </w:rPr>
              <w:t>E</w:t>
            </w:r>
            <w:r w:rsidRPr="00FA6523" w:rsidR="00970E3C">
              <w:rPr>
                <w:rFonts w:asciiTheme="minorHAnsi" w:hAnsiTheme="minorHAnsi" w:cstheme="minorHAnsi"/>
              </w:rPr>
              <w:t>nglish</w:t>
            </w:r>
            <w:r w:rsidRPr="00FA6523" w:rsidR="00255815">
              <w:rPr>
                <w:rFonts w:asciiTheme="minorHAnsi" w:hAnsiTheme="minorHAnsi" w:cstheme="minorHAnsi"/>
              </w:rPr>
              <w:t>-</w:t>
            </w:r>
            <w:r w:rsidRPr="00FA6523" w:rsidR="00970E3C">
              <w:rPr>
                <w:rFonts w:asciiTheme="minorHAnsi" w:hAnsiTheme="minorHAnsi" w:cstheme="minorHAnsi"/>
              </w:rPr>
              <w:t xml:space="preserve"> and Spanish-speaking a</w:t>
            </w:r>
            <w:r w:rsidRPr="00FA6523">
              <w:rPr>
                <w:rFonts w:asciiTheme="minorHAnsi" w:hAnsiTheme="minorHAnsi" w:cstheme="minorHAnsi"/>
              </w:rPr>
              <w:t>dults age</w:t>
            </w:r>
            <w:r w:rsidRPr="00FA6523" w:rsidR="00FF39CC">
              <w:rPr>
                <w:rFonts w:asciiTheme="minorHAnsi" w:hAnsiTheme="minorHAnsi" w:cstheme="minorHAnsi"/>
              </w:rPr>
              <w:t>s</w:t>
            </w:r>
            <w:r w:rsidRPr="00FA6523">
              <w:rPr>
                <w:rFonts w:asciiTheme="minorHAnsi" w:hAnsiTheme="minorHAnsi" w:cstheme="minorHAnsi"/>
              </w:rPr>
              <w:t xml:space="preserve"> </w:t>
            </w:r>
            <w:r w:rsidRPr="00FA6523" w:rsidR="002871A4">
              <w:rPr>
                <w:rFonts w:asciiTheme="minorHAnsi" w:hAnsiTheme="minorHAnsi" w:cstheme="minorHAnsi"/>
                <w:szCs w:val="18"/>
              </w:rPr>
              <w:t>30–35</w:t>
            </w:r>
          </w:p>
          <w:p w:rsidRPr="00FA6523" w:rsidR="006C2456" w:rsidP="007D77D1" w:rsidRDefault="006C2456" w14:paraId="56979BF8" w14:textId="2447A0CA">
            <w:pPr>
              <w:spacing w:after="120"/>
              <w:rPr>
                <w:rFonts w:asciiTheme="minorHAnsi" w:hAnsiTheme="minorHAnsi" w:cstheme="minorHAnsi"/>
              </w:rPr>
            </w:pPr>
            <w:r w:rsidRPr="00FA6523">
              <w:rPr>
                <w:rFonts w:asciiTheme="minorHAnsi" w:hAnsiTheme="minorHAnsi" w:cstheme="minorHAnsi"/>
                <w:b/>
              </w:rPr>
              <w:t>Content</w:t>
            </w:r>
            <w:r w:rsidRPr="00FA6523">
              <w:rPr>
                <w:rFonts w:asciiTheme="minorHAnsi" w:hAnsiTheme="minorHAnsi" w:cstheme="minorHAnsi"/>
                <w:b/>
                <w:bCs/>
              </w:rPr>
              <w:t>:</w:t>
            </w:r>
            <w:r w:rsidRPr="00FA6523">
              <w:rPr>
                <w:rFonts w:asciiTheme="minorHAnsi" w:hAnsiTheme="minorHAnsi" w:cstheme="minorHAnsi"/>
              </w:rPr>
              <w:t xml:space="preserve"> </w:t>
            </w:r>
            <w:r w:rsidR="002871A4">
              <w:rPr>
                <w:rFonts w:asciiTheme="minorHAnsi" w:hAnsiTheme="minorHAnsi" w:cstheme="minorHAnsi"/>
              </w:rPr>
              <w:t xml:space="preserve">Focuses on </w:t>
            </w:r>
            <w:r w:rsidRPr="00FA6523">
              <w:rPr>
                <w:rFonts w:asciiTheme="minorHAnsi" w:hAnsiTheme="minorHAnsi" w:cstheme="minorHAnsi"/>
              </w:rPr>
              <w:t>education, employment, cohabitation, marriage, childbearing, economic self-sufficiency, and rationale for decision</w:t>
            </w:r>
            <w:r w:rsidR="002871A4">
              <w:rPr>
                <w:rFonts w:asciiTheme="minorHAnsi" w:hAnsiTheme="minorHAnsi" w:cstheme="minorHAnsi"/>
              </w:rPr>
              <w:t xml:space="preserve"> making</w:t>
            </w:r>
          </w:p>
          <w:p w:rsidRPr="00FA6523" w:rsidR="006C2456" w:rsidP="007D77D1" w:rsidRDefault="006C2456" w14:paraId="114751E3" w14:textId="00B02330">
            <w:pPr>
              <w:spacing w:after="120"/>
              <w:rPr>
                <w:rFonts w:asciiTheme="minorHAnsi" w:hAnsiTheme="minorHAnsi" w:cstheme="minorHAnsi"/>
              </w:rPr>
            </w:pPr>
            <w:r w:rsidRPr="00FA6523">
              <w:rPr>
                <w:rFonts w:asciiTheme="minorHAnsi" w:hAnsiTheme="minorHAnsi" w:cstheme="minorHAnsi"/>
                <w:b/>
              </w:rPr>
              <w:t>Purpose</w:t>
            </w:r>
            <w:r w:rsidRPr="00FA6523">
              <w:rPr>
                <w:rFonts w:asciiTheme="minorHAnsi" w:hAnsiTheme="minorHAnsi" w:cstheme="minorHAnsi"/>
                <w:b/>
                <w:bCs/>
              </w:rPr>
              <w:t>:</w:t>
            </w:r>
            <w:r w:rsidRPr="00FA6523">
              <w:rPr>
                <w:rFonts w:asciiTheme="minorHAnsi" w:hAnsiTheme="minorHAnsi" w:cstheme="minorHAnsi"/>
              </w:rPr>
              <w:t xml:space="preserve"> To gain understanding of the complex decisions and circumstances of youth transitions </w:t>
            </w:r>
            <w:r w:rsidRPr="00FA6523">
              <w:rPr>
                <w:rFonts w:asciiTheme="minorHAnsi" w:hAnsiTheme="minorHAnsi" w:cstheme="minorHAnsi"/>
              </w:rPr>
              <w:lastRenderedPageBreak/>
              <w:t>to adulthood and</w:t>
            </w:r>
            <w:r w:rsidRPr="00FA6523" w:rsidR="00347B57">
              <w:rPr>
                <w:rFonts w:asciiTheme="minorHAnsi" w:hAnsiTheme="minorHAnsi" w:cstheme="minorHAnsi"/>
              </w:rPr>
              <w:t xml:space="preserve"> to</w:t>
            </w:r>
            <w:r w:rsidRPr="00FA6523">
              <w:rPr>
                <w:rFonts w:asciiTheme="minorHAnsi" w:hAnsiTheme="minorHAnsi" w:cstheme="minorHAnsi"/>
              </w:rPr>
              <w:t xml:space="preserve"> explore the complexities around achieving the success sequence milestones, </w:t>
            </w:r>
            <w:r w:rsidRPr="00FA6523" w:rsidR="00D24F40">
              <w:rPr>
                <w:rFonts w:asciiTheme="minorHAnsi" w:hAnsiTheme="minorHAnsi" w:cstheme="minorHAnsi"/>
              </w:rPr>
              <w:t>thereby</w:t>
            </w:r>
            <w:r w:rsidRPr="00FA6523">
              <w:rPr>
                <w:rFonts w:asciiTheme="minorHAnsi" w:hAnsiTheme="minorHAnsi" w:cstheme="minorHAnsi"/>
              </w:rPr>
              <w:t xml:space="preserve"> provid</w:t>
            </w:r>
            <w:r w:rsidRPr="00FA6523" w:rsidR="00D24F40">
              <w:rPr>
                <w:rFonts w:asciiTheme="minorHAnsi" w:hAnsiTheme="minorHAnsi" w:cstheme="minorHAnsi"/>
              </w:rPr>
              <w:t>ing</w:t>
            </w:r>
            <w:r w:rsidRPr="00FA6523">
              <w:rPr>
                <w:rFonts w:asciiTheme="minorHAnsi" w:hAnsiTheme="minorHAnsi" w:cstheme="minorHAnsi"/>
              </w:rPr>
              <w:t xml:space="preserve"> ACF</w:t>
            </w:r>
            <w:r w:rsidRPr="00FA6523" w:rsidR="00BD0578">
              <w:rPr>
                <w:rFonts w:asciiTheme="minorHAnsi" w:hAnsiTheme="minorHAnsi" w:cstheme="minorHAnsi"/>
              </w:rPr>
              <w:t xml:space="preserve"> and the broader field</w:t>
            </w:r>
            <w:r w:rsidRPr="00FA6523">
              <w:rPr>
                <w:rFonts w:asciiTheme="minorHAnsi" w:hAnsiTheme="minorHAnsi" w:cstheme="minorHAnsi"/>
              </w:rPr>
              <w:t xml:space="preserve"> with information </w:t>
            </w:r>
            <w:r w:rsidRPr="00FA6523" w:rsidR="00E01D96">
              <w:rPr>
                <w:rFonts w:asciiTheme="minorHAnsi" w:hAnsiTheme="minorHAnsi" w:cstheme="minorHAnsi"/>
              </w:rPr>
              <w:t>to complement the quantitative analyses of the Success Sequence model</w:t>
            </w:r>
          </w:p>
        </w:tc>
        <w:tc>
          <w:tcPr>
            <w:tcW w:w="1710" w:type="dxa"/>
            <w:gridSpan w:val="2"/>
            <w:tcBorders>
              <w:top w:val="single" w:color="auto" w:sz="4" w:space="0"/>
              <w:left w:val="nil"/>
              <w:bottom w:val="single" w:color="auto" w:sz="4" w:space="0"/>
              <w:right w:val="nil"/>
            </w:tcBorders>
          </w:tcPr>
          <w:p w:rsidRPr="00FA6523" w:rsidR="006C2456" w:rsidP="007D77D1" w:rsidRDefault="006C2456" w14:paraId="781D2E4E" w14:textId="10BEFEA3">
            <w:pPr>
              <w:spacing w:after="120"/>
              <w:rPr>
                <w:rFonts w:asciiTheme="minorHAnsi" w:hAnsiTheme="minorHAnsi" w:cstheme="minorHAnsi"/>
              </w:rPr>
            </w:pPr>
            <w:r w:rsidRPr="00FA6523">
              <w:rPr>
                <w:rFonts w:asciiTheme="minorHAnsi" w:hAnsiTheme="minorHAnsi" w:cstheme="minorHAnsi"/>
                <w:b/>
              </w:rPr>
              <w:lastRenderedPageBreak/>
              <w:t>Mode</w:t>
            </w:r>
            <w:r w:rsidRPr="00FA6523">
              <w:rPr>
                <w:rFonts w:asciiTheme="minorHAnsi" w:hAnsiTheme="minorHAnsi" w:cstheme="minorHAnsi"/>
              </w:rPr>
              <w:t>: Individual</w:t>
            </w:r>
            <w:r w:rsidRPr="00FA6523" w:rsidR="00001BFF">
              <w:rPr>
                <w:rFonts w:asciiTheme="minorHAnsi" w:hAnsiTheme="minorHAnsi" w:cstheme="minorHAnsi"/>
              </w:rPr>
              <w:t xml:space="preserve"> </w:t>
            </w:r>
            <w:r w:rsidR="002871A4">
              <w:rPr>
                <w:rFonts w:asciiTheme="minorHAnsi" w:hAnsiTheme="minorHAnsi" w:cstheme="minorHAnsi"/>
              </w:rPr>
              <w:t>chat board interviews</w:t>
            </w:r>
          </w:p>
          <w:p w:rsidRPr="00FA6523" w:rsidR="006C2456" w:rsidP="007D77D1" w:rsidRDefault="006C2456" w14:paraId="1286530F" w14:textId="77777777">
            <w:pPr>
              <w:spacing w:after="120"/>
              <w:rPr>
                <w:rFonts w:asciiTheme="minorHAnsi" w:hAnsiTheme="minorHAnsi" w:cstheme="minorHAnsi"/>
              </w:rPr>
            </w:pPr>
            <w:r w:rsidRPr="00FA6523">
              <w:rPr>
                <w:rFonts w:asciiTheme="minorHAnsi" w:hAnsiTheme="minorHAnsi" w:cstheme="minorHAnsi"/>
                <w:b/>
              </w:rPr>
              <w:t>Duration</w:t>
            </w:r>
            <w:r w:rsidRPr="00FA6523">
              <w:rPr>
                <w:rFonts w:asciiTheme="minorHAnsi" w:hAnsiTheme="minorHAnsi" w:cstheme="minorHAnsi"/>
              </w:rPr>
              <w:t>: 45 minutes</w:t>
            </w:r>
          </w:p>
        </w:tc>
      </w:tr>
    </w:tbl>
    <w:p w:rsidR="00C72F98" w:rsidP="00C72F98" w:rsidRDefault="00C72F98" w14:paraId="29A79CCA" w14:textId="77777777">
      <w:pPr>
        <w:spacing w:after="0"/>
      </w:pPr>
    </w:p>
    <w:p w:rsidR="00D1266B" w:rsidP="00CF503F" w:rsidRDefault="0009080D" w14:paraId="2B90B80D" w14:textId="5E224499">
      <w:pPr>
        <w:spacing w:after="240"/>
      </w:pPr>
      <w:r>
        <w:t>P</w:t>
      </w:r>
      <w:r w:rsidR="001F0DA6">
        <w:t>otential</w:t>
      </w:r>
      <w:r w:rsidRPr="00971882" w:rsidR="001F0DA6">
        <w:t xml:space="preserve"> </w:t>
      </w:r>
      <w:r w:rsidRPr="00971882" w:rsidR="00C72F98">
        <w:t xml:space="preserve">limitations of the study design </w:t>
      </w:r>
      <w:r w:rsidR="001F0DA6">
        <w:t>include</w:t>
      </w:r>
      <w:r w:rsidRPr="00971882" w:rsidR="00C72F98">
        <w:t xml:space="preserve"> lack of visual or verbal clues from respondents </w:t>
      </w:r>
      <w:r w:rsidR="005F535D">
        <w:t xml:space="preserve">during the interview </w:t>
      </w:r>
      <w:r w:rsidRPr="00971882" w:rsidR="00C72F98">
        <w:t>and relatively less control of the interview by the interviewer compared to in-person interviews (Reisner et al. 2018</w:t>
      </w:r>
      <w:r w:rsidRPr="00971882" w:rsidR="001F0DA6">
        <w:t>)</w:t>
      </w:r>
      <w:r w:rsidR="00BF2A73">
        <w:t>.</w:t>
      </w:r>
      <w:r w:rsidR="001D607A">
        <w:rPr>
          <w:rStyle w:val="FootnoteReference"/>
        </w:rPr>
        <w:footnoteReference w:id="8"/>
      </w:r>
      <w:r w:rsidR="001F0DA6">
        <w:t xml:space="preserve"> </w:t>
      </w:r>
      <w:r w:rsidR="00BF2A73">
        <w:t xml:space="preserve">However </w:t>
      </w:r>
      <w:r w:rsidR="001F0DA6">
        <w:t>the research team’s recent experience conducting 40 pre</w:t>
      </w:r>
      <w:r>
        <w:t>-</w:t>
      </w:r>
      <w:r w:rsidR="001F0DA6">
        <w:t>test interviews</w:t>
      </w:r>
      <w:r w:rsidR="00D1266B">
        <w:rPr>
          <w:rStyle w:val="FootnoteReference"/>
        </w:rPr>
        <w:footnoteReference w:id="9"/>
      </w:r>
      <w:r w:rsidR="001F0DA6">
        <w:t xml:space="preserve"> found no indication</w:t>
      </w:r>
      <w:r w:rsidR="00BF2A73">
        <w:t xml:space="preserve"> that</w:t>
      </w:r>
      <w:r w:rsidR="001F0DA6">
        <w:t xml:space="preserve"> the mode of interview negatively a</w:t>
      </w:r>
      <w:r>
        <w:t>ffe</w:t>
      </w:r>
      <w:r w:rsidR="001F0DA6">
        <w:t>cted the quality of the data</w:t>
      </w:r>
      <w:r w:rsidR="00B104FA">
        <w:t xml:space="preserve"> (see Supporting Statement Part B, Section B3)</w:t>
      </w:r>
      <w:r w:rsidR="001F0DA6">
        <w:t xml:space="preserve">. </w:t>
      </w:r>
      <w:r w:rsidR="00D1266B">
        <w:t>For this proposed study, t</w:t>
      </w:r>
      <w:r w:rsidRPr="00971882" w:rsidR="00C72F98">
        <w:t>he research team will</w:t>
      </w:r>
      <w:r w:rsidR="00D1266B">
        <w:t xml:space="preserve"> again</w:t>
      </w:r>
      <w:r w:rsidRPr="00971882" w:rsidR="00C72F98">
        <w:t xml:space="preserve"> closely monitor and vigorously moderate each chat board during the interview period to en</w:t>
      </w:r>
      <w:r w:rsidR="005F535D">
        <w:t>sure</w:t>
      </w:r>
      <w:r w:rsidRPr="00971882" w:rsidR="00C72F98">
        <w:t xml:space="preserve"> timely probing and a close-to-real-time response.</w:t>
      </w:r>
    </w:p>
    <w:p w:rsidRPr="00971882" w:rsidR="00C72F98" w:rsidP="00CF503F" w:rsidRDefault="0009080D" w14:paraId="2A6A99D0" w14:textId="11AB2E2E">
      <w:pPr>
        <w:spacing w:after="240"/>
      </w:pPr>
      <w:r>
        <w:t>E</w:t>
      </w:r>
      <w:r w:rsidRPr="00971882" w:rsidR="00C72F98">
        <w:t xml:space="preserve">ven though we will attempt to reach a diverse sample, we will likely miss some populations, including those incarcerated, unhoused, without reliable Internet access, or with disabilities that could prevent them from accessing a research panel. </w:t>
      </w:r>
      <w:r>
        <w:t>M</w:t>
      </w:r>
      <w:r w:rsidRPr="00971882" w:rsidR="00C72F98">
        <w:t>aterials resulting from the data collection</w:t>
      </w:r>
      <w:r>
        <w:t xml:space="preserve"> will note the limitations</w:t>
      </w:r>
      <w:r w:rsidRPr="00971882" w:rsidR="00C72F98">
        <w:t>.</w:t>
      </w:r>
    </w:p>
    <w:bookmarkEnd w:id="9"/>
    <w:p w:rsidRPr="00971882" w:rsidR="004328A4" w:rsidP="00CF503F" w:rsidRDefault="007D0F6E" w14:paraId="6B7E22CE" w14:textId="14554C6B">
      <w:pPr>
        <w:spacing w:after="60" w:line="240" w:lineRule="auto"/>
        <w:rPr>
          <w:i/>
        </w:rPr>
      </w:pPr>
      <w:r w:rsidRPr="00971882">
        <w:rPr>
          <w:i/>
        </w:rPr>
        <w:t>Other Data Sources and Uses of Information</w:t>
      </w:r>
    </w:p>
    <w:p w:rsidRPr="00971882" w:rsidR="00DD3FBD" w:rsidP="00CF503F" w:rsidRDefault="00AF5BBE" w14:paraId="269E2B6D" w14:textId="25BEE082">
      <w:pPr>
        <w:spacing w:after="240"/>
      </w:pPr>
      <w:r>
        <w:t>The additional</w:t>
      </w:r>
      <w:r w:rsidRPr="00971882" w:rsidR="00DD3FBD">
        <w:t xml:space="preserve"> secondary data analyses conducted on the NLSY97 data</w:t>
      </w:r>
      <w:r w:rsidRPr="00971882" w:rsidR="00347B57">
        <w:t xml:space="preserve"> </w:t>
      </w:r>
      <w:r w:rsidRPr="00971882" w:rsidR="00DD3FBD">
        <w:t>set</w:t>
      </w:r>
      <w:r>
        <w:t xml:space="preserve"> (discussed in </w:t>
      </w:r>
      <w:r w:rsidR="00BA7FC0">
        <w:t xml:space="preserve">Sections </w:t>
      </w:r>
      <w:r>
        <w:t>A1 and A2)</w:t>
      </w:r>
      <w:r w:rsidRPr="00971882" w:rsidR="00DD3FBD">
        <w:t xml:space="preserve"> </w:t>
      </w:r>
      <w:r>
        <w:t xml:space="preserve">have provided a richer understanding of the </w:t>
      </w:r>
      <w:r w:rsidRPr="00971882" w:rsidR="00DD3FBD">
        <w:t xml:space="preserve">underlying factors associated with </w:t>
      </w:r>
      <w:r>
        <w:t>completin</w:t>
      </w:r>
      <w:r w:rsidR="0020052B">
        <w:t>g</w:t>
      </w:r>
      <w:r>
        <w:t xml:space="preserve"> specific milestones and their timing, and their link to eventual </w:t>
      </w:r>
      <w:r w:rsidRPr="00971882" w:rsidR="00DD3FBD">
        <w:t>economic self-sufficiency. Th</w:t>
      </w:r>
      <w:r w:rsidR="00BA7FC0">
        <w:t>e study team will use th</w:t>
      </w:r>
      <w:r w:rsidRPr="00971882" w:rsidR="00DD3FBD">
        <w:t>at information in concert with the information collected as a part of this request to inform future training and technical assistance needs of grantees.</w:t>
      </w:r>
    </w:p>
    <w:p w:rsidRPr="00971882" w:rsidR="007D0F6E" w:rsidP="00617B26" w:rsidRDefault="00BD702B" w14:paraId="14276DBE" w14:textId="517D48DC">
      <w:pPr>
        <w:spacing w:after="120" w:line="240" w:lineRule="auto"/>
        <w:rPr>
          <w:b/>
        </w:rPr>
      </w:pPr>
      <w:r w:rsidRPr="00971882">
        <w:rPr>
          <w:b/>
        </w:rPr>
        <w:t>A3</w:t>
      </w:r>
      <w:r w:rsidRPr="00971882" w:rsidR="007D0F6E">
        <w:t>.</w:t>
      </w:r>
      <w:r w:rsidRPr="00971882" w:rsidR="007D0F6E">
        <w:tab/>
      </w:r>
      <w:r w:rsidRPr="00971882" w:rsidR="004E5778">
        <w:rPr>
          <w:b/>
        </w:rPr>
        <w:t>Use of Information Technology to Reduce Burden</w:t>
      </w:r>
    </w:p>
    <w:p w:rsidR="00080E2C" w:rsidP="00617B26" w:rsidRDefault="00AD1C5C" w14:paraId="7EE74E24" w14:textId="70F5CC5E">
      <w:pPr>
        <w:spacing w:after="240"/>
      </w:pPr>
      <w:r w:rsidRPr="00971882">
        <w:t>Mathematica will collect q</w:t>
      </w:r>
      <w:r w:rsidRPr="00971882" w:rsidR="00DD3FBD">
        <w:t xml:space="preserve">ualitative information from the interviews via </w:t>
      </w:r>
      <w:proofErr w:type="spellStart"/>
      <w:r w:rsidRPr="00971882" w:rsidR="00DD3FBD">
        <w:t>QualBoard</w:t>
      </w:r>
      <w:proofErr w:type="spellEnd"/>
      <w:r w:rsidRPr="00971882" w:rsidR="00DD3FBD">
        <w:t xml:space="preserve">, a chat board platform that imposes </w:t>
      </w:r>
      <w:r w:rsidR="002871A4">
        <w:t>a smaller</w:t>
      </w:r>
      <w:r w:rsidRPr="00971882" w:rsidR="00DD3FBD">
        <w:t xml:space="preserve"> burden than other interview methods.</w:t>
      </w:r>
      <w:r w:rsidRPr="00971882" w:rsidR="00DD3FBD">
        <w:rPr>
          <w:vertAlign w:val="superscript"/>
        </w:rPr>
        <w:footnoteReference w:id="10"/>
      </w:r>
      <w:r w:rsidRPr="00971882" w:rsidR="00DD3FBD">
        <w:t xml:space="preserve"> </w:t>
      </w:r>
      <w:r w:rsidR="005B3075">
        <w:t>T</w:t>
      </w:r>
      <w:r w:rsidR="00080E2C">
        <w:t>he</w:t>
      </w:r>
      <w:r w:rsidRPr="00971882" w:rsidR="00DD3FBD">
        <w:t xml:space="preserve"> online message board</w:t>
      </w:r>
      <w:r w:rsidRPr="00971882">
        <w:t xml:space="preserve"> </w:t>
      </w:r>
      <w:r w:rsidRPr="00971882" w:rsidR="00DD3FBD">
        <w:t>permit</w:t>
      </w:r>
      <w:r w:rsidR="00080E2C">
        <w:t>s</w:t>
      </w:r>
      <w:r w:rsidRPr="00971882" w:rsidR="00DD3FBD">
        <w:t xml:space="preserve"> respondents to maintain anonymity when discussing their life histories with</w:t>
      </w:r>
      <w:r w:rsidR="00080E2C">
        <w:t xml:space="preserve"> the</w:t>
      </w:r>
      <w:r w:rsidRPr="00971882" w:rsidR="00DD3FBD">
        <w:t xml:space="preserve"> interviewer and </w:t>
      </w:r>
      <w:r w:rsidR="00B26B7D">
        <w:t>provides</w:t>
      </w:r>
      <w:r w:rsidRPr="00971882" w:rsidR="00B26B7D">
        <w:t xml:space="preserve"> </w:t>
      </w:r>
      <w:r w:rsidRPr="00971882" w:rsidR="00DD3FBD">
        <w:t>flexibility in scheduling the interview</w:t>
      </w:r>
      <w:r w:rsidR="005F535D">
        <w:t xml:space="preserve"> with participants</w:t>
      </w:r>
      <w:r w:rsidR="005B3075">
        <w:t xml:space="preserve"> since participants can answer interview questions and interviewees can respond and probe asynchronously at any time</w:t>
      </w:r>
      <w:r w:rsidRPr="00971882" w:rsidR="00DD3FBD">
        <w:t>.</w:t>
      </w:r>
    </w:p>
    <w:p w:rsidRPr="00971882" w:rsidR="00CB1F9B" w:rsidP="00CF503F" w:rsidRDefault="00DD3FBD" w14:paraId="0D4EC89E" w14:textId="6C754A7F">
      <w:pPr>
        <w:spacing w:after="240"/>
      </w:pPr>
      <w:r w:rsidRPr="00971882">
        <w:lastRenderedPageBreak/>
        <w:t xml:space="preserve">Participants type their responses into the board as messages, which are stored and used as the interview transcript. The transcript </w:t>
      </w:r>
      <w:r w:rsidR="00B26B7D">
        <w:t>can</w:t>
      </w:r>
      <w:r w:rsidRPr="00971882" w:rsidR="00B26B7D">
        <w:t xml:space="preserve"> </w:t>
      </w:r>
      <w:r w:rsidRPr="00971882">
        <w:t xml:space="preserve">be exported, coded, and analyzed. Boards will be open for responses 24 hours a day. </w:t>
      </w:r>
      <w:r w:rsidR="005F535D">
        <w:t>The research team</w:t>
      </w:r>
      <w:r w:rsidRPr="00971882">
        <w:t xml:space="preserve"> will monitor the boards during both day and evening hours so participants can respond when it is convenient for them.</w:t>
      </w:r>
    </w:p>
    <w:p w:rsidRPr="00971882" w:rsidR="00891CD9" w:rsidP="00617B26" w:rsidRDefault="00BD702B" w14:paraId="1F639D74" w14:textId="5731FBE6">
      <w:pPr>
        <w:spacing w:after="120" w:line="240" w:lineRule="auto"/>
        <w:ind w:left="720" w:hanging="720"/>
        <w:rPr>
          <w:b/>
        </w:rPr>
      </w:pPr>
      <w:r w:rsidRPr="00971882">
        <w:rPr>
          <w:b/>
        </w:rPr>
        <w:t>A4</w:t>
      </w:r>
      <w:r w:rsidRPr="00971882">
        <w:t>.</w:t>
      </w:r>
      <w:r w:rsidRPr="00971882">
        <w:tab/>
      </w:r>
      <w:r w:rsidRPr="00971882" w:rsidR="004E5778">
        <w:rPr>
          <w:b/>
        </w:rPr>
        <w:t xml:space="preserve">Use of Existing Data: </w:t>
      </w:r>
      <w:r w:rsidRPr="00971882" w:rsidR="0068303E">
        <w:rPr>
          <w:b/>
        </w:rPr>
        <w:t>E</w:t>
      </w:r>
      <w:r w:rsidRPr="00971882" w:rsidR="00CC4651">
        <w:rPr>
          <w:b/>
        </w:rPr>
        <w:t>fforts to</w:t>
      </w:r>
      <w:r w:rsidRPr="00971882" w:rsidR="00891CD9">
        <w:rPr>
          <w:b/>
        </w:rPr>
        <w:t xml:space="preserve"> </w:t>
      </w:r>
      <w:r w:rsidR="00080E2C">
        <w:rPr>
          <w:b/>
        </w:rPr>
        <w:t>R</w:t>
      </w:r>
      <w:r w:rsidRPr="00971882" w:rsidR="00891CD9">
        <w:rPr>
          <w:b/>
        </w:rPr>
        <w:t xml:space="preserve">educe </w:t>
      </w:r>
      <w:r w:rsidR="00080E2C">
        <w:rPr>
          <w:b/>
        </w:rPr>
        <w:t>D</w:t>
      </w:r>
      <w:r w:rsidRPr="00971882" w:rsidR="00891CD9">
        <w:rPr>
          <w:b/>
        </w:rPr>
        <w:t>uplication</w:t>
      </w:r>
      <w:r w:rsidRPr="00971882" w:rsidR="009A3AD8">
        <w:rPr>
          <w:b/>
        </w:rPr>
        <w:t>,</w:t>
      </w:r>
      <w:r w:rsidRPr="00971882" w:rsidR="00EA0D4F">
        <w:rPr>
          <w:b/>
        </w:rPr>
        <w:t xml:space="preserve"> </w:t>
      </w:r>
      <w:r w:rsidR="00080E2C">
        <w:rPr>
          <w:b/>
        </w:rPr>
        <w:t>M</w:t>
      </w:r>
      <w:r w:rsidRPr="00971882" w:rsidR="00EA0D4F">
        <w:rPr>
          <w:b/>
        </w:rPr>
        <w:t xml:space="preserve">inimize </w:t>
      </w:r>
      <w:r w:rsidR="00080E2C">
        <w:rPr>
          <w:b/>
        </w:rPr>
        <w:t>B</w:t>
      </w:r>
      <w:r w:rsidRPr="00971882" w:rsidR="00EA0D4F">
        <w:rPr>
          <w:b/>
        </w:rPr>
        <w:t>urden</w:t>
      </w:r>
      <w:r w:rsidRPr="00971882" w:rsidR="009A3AD8">
        <w:rPr>
          <w:b/>
        </w:rPr>
        <w:t>,</w:t>
      </w:r>
      <w:r w:rsidRPr="00971882" w:rsidR="00A03E3F">
        <w:rPr>
          <w:b/>
        </w:rPr>
        <w:t xml:space="preserve"> and</w:t>
      </w:r>
      <w:r w:rsidRPr="00971882" w:rsidR="00EA0D4F">
        <w:rPr>
          <w:b/>
        </w:rPr>
        <w:t xml:space="preserve"> </w:t>
      </w:r>
      <w:r w:rsidR="00080E2C">
        <w:rPr>
          <w:b/>
        </w:rPr>
        <w:t>I</w:t>
      </w:r>
      <w:r w:rsidRPr="00971882" w:rsidR="00EA0D4F">
        <w:rPr>
          <w:b/>
        </w:rPr>
        <w:t>ncrease</w:t>
      </w:r>
      <w:r w:rsidRPr="00971882" w:rsidR="00D55767">
        <w:rPr>
          <w:b/>
        </w:rPr>
        <w:t xml:space="preserve"> </w:t>
      </w:r>
      <w:r w:rsidR="00080E2C">
        <w:rPr>
          <w:b/>
        </w:rPr>
        <w:t>U</w:t>
      </w:r>
      <w:r w:rsidRPr="00971882" w:rsidR="00D55767">
        <w:rPr>
          <w:b/>
        </w:rPr>
        <w:t>tility and</w:t>
      </w:r>
      <w:r w:rsidRPr="00971882" w:rsidR="00EA0D4F">
        <w:rPr>
          <w:b/>
        </w:rPr>
        <w:t xml:space="preserve"> </w:t>
      </w:r>
      <w:r w:rsidR="00080E2C">
        <w:rPr>
          <w:b/>
        </w:rPr>
        <w:t>G</w:t>
      </w:r>
      <w:r w:rsidRPr="00971882" w:rsidR="00EA0D4F">
        <w:rPr>
          <w:b/>
        </w:rPr>
        <w:t xml:space="preserve">overnment </w:t>
      </w:r>
      <w:r w:rsidR="00080E2C">
        <w:rPr>
          <w:b/>
        </w:rPr>
        <w:t>E</w:t>
      </w:r>
      <w:r w:rsidRPr="00971882" w:rsidR="00591283">
        <w:rPr>
          <w:b/>
        </w:rPr>
        <w:t>fficiency</w:t>
      </w:r>
    </w:p>
    <w:p w:rsidRPr="00971882" w:rsidR="00DD3FBD" w:rsidP="00617B26" w:rsidRDefault="00080E2C" w14:paraId="089459BE" w14:textId="6AB7E77D">
      <w:pPr>
        <w:spacing w:after="240"/>
      </w:pPr>
      <w:r>
        <w:t xml:space="preserve">The Success Sequence Interviews study is the </w:t>
      </w:r>
      <w:r w:rsidRPr="00971882" w:rsidR="00DD3FBD">
        <w:t>first effort</w:t>
      </w:r>
      <w:r>
        <w:t xml:space="preserve"> to collect qualitative data</w:t>
      </w:r>
      <w:r w:rsidRPr="00971882" w:rsidR="00DD3FBD">
        <w:t xml:space="preserve"> on the success sequence model. ACF has carefully reviewed the information collection requirements, and no </w:t>
      </w:r>
      <w:r>
        <w:t>other</w:t>
      </w:r>
      <w:r w:rsidRPr="00971882" w:rsidR="00DD3FBD">
        <w:t xml:space="preserve"> federal </w:t>
      </w:r>
      <w:r w:rsidR="00FA5DEB">
        <w:t>or nonfederal studies</w:t>
      </w:r>
      <w:r w:rsidRPr="00971882" w:rsidR="00FA5DEB">
        <w:t xml:space="preserve"> </w:t>
      </w:r>
      <w:r>
        <w:t>are</w:t>
      </w:r>
      <w:r w:rsidRPr="00971882" w:rsidR="00DD3FBD">
        <w:t xml:space="preserve"> collecting the same type of data.</w:t>
      </w:r>
    </w:p>
    <w:p w:rsidRPr="00971882" w:rsidR="00B9441B" w:rsidP="00617B26" w:rsidRDefault="00BD702B" w14:paraId="0F92E2E6" w14:textId="7DC386E7">
      <w:pPr>
        <w:spacing w:after="120" w:line="240" w:lineRule="auto"/>
      </w:pPr>
      <w:r w:rsidRPr="00971882">
        <w:rPr>
          <w:b/>
        </w:rPr>
        <w:t>A5</w:t>
      </w:r>
      <w:r w:rsidRPr="00971882">
        <w:t>.</w:t>
      </w:r>
      <w:r w:rsidRPr="00971882">
        <w:tab/>
      </w:r>
      <w:r w:rsidRPr="00971882" w:rsidR="004E5778">
        <w:rPr>
          <w:b/>
        </w:rPr>
        <w:t>Impact on Small Businesses</w:t>
      </w:r>
      <w:r w:rsidRPr="00971882" w:rsidR="004E5778">
        <w:t xml:space="preserve"> </w:t>
      </w:r>
    </w:p>
    <w:p w:rsidRPr="00971882" w:rsidR="00DD3FBD" w:rsidP="00617B26" w:rsidRDefault="00B26B7D" w14:paraId="7DBAD1BC" w14:textId="13B5EE36">
      <w:pPr>
        <w:spacing w:after="240" w:line="240" w:lineRule="auto"/>
      </w:pPr>
      <w:r>
        <w:t>T</w:t>
      </w:r>
      <w:r w:rsidRPr="00971882">
        <w:t xml:space="preserve">his information collection </w:t>
      </w:r>
      <w:r>
        <w:t>will not involve any</w:t>
      </w:r>
      <w:r w:rsidRPr="00971882">
        <w:t xml:space="preserve"> </w:t>
      </w:r>
      <w:r w:rsidRPr="00971882" w:rsidR="00DD3FBD">
        <w:t>small businesses.</w:t>
      </w:r>
    </w:p>
    <w:p w:rsidRPr="00971882" w:rsidR="00CC4651" w:rsidP="00617B26" w:rsidRDefault="00BD702B" w14:paraId="0B3334AC" w14:textId="27EEE27E">
      <w:pPr>
        <w:spacing w:after="120"/>
      </w:pPr>
      <w:r w:rsidRPr="00971882">
        <w:rPr>
          <w:b/>
        </w:rPr>
        <w:t>A6</w:t>
      </w:r>
      <w:r w:rsidRPr="00971882">
        <w:t>.</w:t>
      </w:r>
      <w:r w:rsidRPr="00971882">
        <w:tab/>
      </w:r>
      <w:r w:rsidRPr="00971882" w:rsidR="004E5778">
        <w:rPr>
          <w:b/>
        </w:rPr>
        <w:t>Consequences of Less Frequent Collection</w:t>
      </w:r>
    </w:p>
    <w:p w:rsidRPr="00971882" w:rsidR="00DD3FBD" w:rsidP="00617B26" w:rsidRDefault="00DD3FBD" w14:paraId="68CC2A1C" w14:textId="77777777">
      <w:pPr>
        <w:spacing w:after="240" w:line="240" w:lineRule="auto"/>
      </w:pPr>
      <w:r w:rsidRPr="00971882">
        <w:t>This is a one-time data collection.</w:t>
      </w:r>
    </w:p>
    <w:p w:rsidRPr="00971882" w:rsidR="00B9441B" w:rsidP="008123FD" w:rsidRDefault="00BD702B" w14:paraId="109190DF" w14:textId="1838925C">
      <w:pPr>
        <w:spacing w:after="240" w:line="240" w:lineRule="auto"/>
        <w:rPr>
          <w:b/>
        </w:rPr>
      </w:pPr>
      <w:r w:rsidRPr="00971882">
        <w:rPr>
          <w:b/>
        </w:rPr>
        <w:t>A7</w:t>
      </w:r>
      <w:r w:rsidRPr="00971882">
        <w:t>.</w:t>
      </w:r>
      <w:r w:rsidRPr="00971882">
        <w:tab/>
      </w:r>
      <w:r w:rsidRPr="00971882" w:rsidR="00B9441B">
        <w:rPr>
          <w:b/>
        </w:rPr>
        <w:t>Now subsumed under 2(b) above and 10 (below)</w:t>
      </w:r>
    </w:p>
    <w:p w:rsidRPr="00971882" w:rsidR="00B9441B" w:rsidP="00617B26" w:rsidRDefault="00BD702B" w14:paraId="3B6F8604" w14:textId="69FDD1DB">
      <w:pPr>
        <w:spacing w:after="120"/>
        <w:rPr>
          <w:b/>
        </w:rPr>
      </w:pPr>
      <w:bookmarkStart w:name="_Hlk83292390" w:id="12"/>
      <w:r w:rsidRPr="00971882">
        <w:rPr>
          <w:b/>
        </w:rPr>
        <w:t>A8</w:t>
      </w:r>
      <w:r w:rsidRPr="00971882">
        <w:t>.</w:t>
      </w:r>
      <w:r w:rsidRPr="00971882">
        <w:tab/>
      </w:r>
      <w:r w:rsidRPr="00971882" w:rsidR="00B9441B">
        <w:rPr>
          <w:b/>
        </w:rPr>
        <w:t>Consultation</w:t>
      </w:r>
    </w:p>
    <w:p w:rsidRPr="00971882" w:rsidR="00060B30" w:rsidP="00617B26" w:rsidRDefault="00060B30" w14:paraId="2F3836D2" w14:textId="77777777">
      <w:pPr>
        <w:spacing w:after="60"/>
        <w:rPr>
          <w:i/>
        </w:rPr>
      </w:pPr>
      <w:r w:rsidRPr="00971882">
        <w:rPr>
          <w:i/>
        </w:rPr>
        <w:t>Federal Register Notice and Comments</w:t>
      </w:r>
    </w:p>
    <w:p w:rsidRPr="00971882" w:rsidR="00060B30" w:rsidP="00617B26" w:rsidRDefault="00060B30" w14:paraId="1A9BD6E1" w14:textId="735E5445">
      <w:pPr>
        <w:spacing w:after="240"/>
      </w:pPr>
      <w:r w:rsidRPr="00971882">
        <w:t xml:space="preserve">In accordance with the Paperwork Reduction Act of 1995 (Pub. L. 104-13) and Office of Management and Budget (OMB) regulations at 5 CFR Part 1320 (60 FR 44978, August 29, 1995), ACF published a notice in the </w:t>
      </w:r>
      <w:r w:rsidRPr="007759EC">
        <w:rPr>
          <w:i/>
          <w:iCs/>
        </w:rPr>
        <w:t>Federal Register</w:t>
      </w:r>
      <w:r w:rsidRPr="00971882">
        <w:t xml:space="preserve"> announcing the agency’s intention to request an OMB review of this information collection activity. This notice was published on </w:t>
      </w:r>
      <w:r w:rsidR="001C4CCB">
        <w:t>November 9, 2021</w:t>
      </w:r>
      <w:r w:rsidRPr="00971882">
        <w:t xml:space="preserve">, </w:t>
      </w:r>
      <w:r w:rsidRPr="00B7244E">
        <w:t xml:space="preserve">Volume </w:t>
      </w:r>
      <w:r w:rsidRPr="008123FD" w:rsidR="001C4CCB">
        <w:t>86</w:t>
      </w:r>
      <w:r w:rsidRPr="00B7244E">
        <w:t xml:space="preserve">, Number </w:t>
      </w:r>
      <w:r w:rsidRPr="008123FD" w:rsidR="001C4CCB">
        <w:t>214</w:t>
      </w:r>
      <w:r w:rsidRPr="00B7244E">
        <w:t xml:space="preserve">, page </w:t>
      </w:r>
      <w:r w:rsidRPr="008123FD" w:rsidR="001C4CCB">
        <w:t>62178</w:t>
      </w:r>
      <w:r w:rsidRPr="00B7244E">
        <w:t xml:space="preserve"> and provided a </w:t>
      </w:r>
      <w:r w:rsidRPr="001C4CCB" w:rsidR="00673969">
        <w:t>60</w:t>
      </w:r>
      <w:r w:rsidRPr="001C4CCB">
        <w:t>-day period for public comment.</w:t>
      </w:r>
      <w:r w:rsidRPr="008123FD" w:rsidR="00C60802">
        <w:t xml:space="preserve"> </w:t>
      </w:r>
      <w:r w:rsidRPr="008123FD">
        <w:t xml:space="preserve">During the notice and comment period, </w:t>
      </w:r>
      <w:r w:rsidRPr="008123FD" w:rsidR="008123FD">
        <w:t>no</w:t>
      </w:r>
      <w:r w:rsidRPr="008123FD">
        <w:t xml:space="preserve"> comment</w:t>
      </w:r>
      <w:r w:rsidRPr="008123FD" w:rsidR="008123FD">
        <w:t>s</w:t>
      </w:r>
      <w:r w:rsidRPr="008123FD">
        <w:t xml:space="preserve"> were received.</w:t>
      </w:r>
    </w:p>
    <w:p w:rsidRPr="00971882" w:rsidR="00060B30" w:rsidP="00617B26" w:rsidRDefault="00060B30" w14:paraId="678F3F3E" w14:textId="7333BF52">
      <w:pPr>
        <w:pStyle w:val="Heading4"/>
        <w:spacing w:before="0"/>
        <w:rPr>
          <w:rFonts w:asciiTheme="minorHAnsi" w:hAnsiTheme="minorHAnsi" w:cstheme="minorHAnsi"/>
          <w:b w:val="0"/>
          <w:i/>
          <w:sz w:val="22"/>
          <w:szCs w:val="22"/>
        </w:rPr>
      </w:pPr>
      <w:r w:rsidRPr="00971882">
        <w:rPr>
          <w:rFonts w:asciiTheme="minorHAnsi" w:hAnsiTheme="minorHAnsi" w:cstheme="minorHAnsi"/>
          <w:b w:val="0"/>
          <w:i/>
          <w:sz w:val="22"/>
          <w:szCs w:val="22"/>
        </w:rPr>
        <w:t>Consultation with Experts Outside of the Study</w:t>
      </w:r>
    </w:p>
    <w:p w:rsidRPr="00971882" w:rsidR="00DD3FBD" w:rsidP="008123FD" w:rsidRDefault="00C84F66" w14:paraId="7F95C6A8" w14:textId="10BEB65F">
      <w:pPr>
        <w:spacing w:after="240"/>
      </w:pPr>
      <w:r>
        <w:t xml:space="preserve">We </w:t>
      </w:r>
      <w:r w:rsidR="00CE6E71">
        <w:t xml:space="preserve">will </w:t>
      </w:r>
      <w:bookmarkEnd w:id="12"/>
      <w:r w:rsidR="00A439BD">
        <w:t>not be seeking consultation from experts outside of the study.</w:t>
      </w:r>
    </w:p>
    <w:p w:rsidRPr="00971882" w:rsidR="009A39E1" w:rsidP="00617B26" w:rsidRDefault="00BD702B" w14:paraId="4ADF0CCE" w14:textId="50F60419">
      <w:pPr>
        <w:spacing w:after="120" w:line="240" w:lineRule="auto"/>
      </w:pPr>
      <w:r w:rsidRPr="00971882">
        <w:rPr>
          <w:b/>
        </w:rPr>
        <w:t>A9</w:t>
      </w:r>
      <w:r w:rsidRPr="00971882">
        <w:t>.</w:t>
      </w:r>
      <w:r w:rsidRPr="00971882">
        <w:tab/>
      </w:r>
      <w:r w:rsidRPr="00971882" w:rsidR="009A39E1">
        <w:rPr>
          <w:b/>
        </w:rPr>
        <w:t>Tokens of App</w:t>
      </w:r>
      <w:r w:rsidRPr="00971882" w:rsidR="005B5FCC">
        <w:rPr>
          <w:b/>
        </w:rPr>
        <w:t>reciation</w:t>
      </w:r>
    </w:p>
    <w:p w:rsidR="00D56F05" w:rsidP="008123FD" w:rsidRDefault="00D56F05" w14:paraId="4419FF4E" w14:textId="4F7CE94A">
      <w:pPr>
        <w:spacing w:after="240"/>
      </w:pPr>
      <w:r>
        <w:t>To recruit participants and conduct the interview activities efficiently</w:t>
      </w:r>
      <w:r w:rsidR="007D6B18">
        <w:t>,</w:t>
      </w:r>
      <w:r>
        <w:t xml:space="preserve"> we</w:t>
      </w:r>
      <w:r w:rsidRPr="00971882" w:rsidR="00DD3FBD">
        <w:t xml:space="preserve"> plan to offer a $40 Visa gift card</w:t>
      </w:r>
      <w:r>
        <w:t xml:space="preserve">. </w:t>
      </w:r>
      <w:r w:rsidR="00793646">
        <w:t xml:space="preserve">This is the standard incentive offered by research firms who recruit respondents for studies such as this one; these firms will not help to support data collection if the proposed incentive is lower than what they can offer for other studies.   Also, these </w:t>
      </w:r>
      <w:r>
        <w:t xml:space="preserve">tokens of appreciation will help </w:t>
      </w:r>
      <w:r w:rsidRPr="005F1BE7">
        <w:t>ensure participants reflect</w:t>
      </w:r>
      <w:r>
        <w:t xml:space="preserve"> the diversity of</w:t>
      </w:r>
      <w:r w:rsidRPr="005F1BE7">
        <w:t xml:space="preserve"> backgrounds and characteristics </w:t>
      </w:r>
      <w:r>
        <w:t>of the U.S. population</w:t>
      </w:r>
      <w:r w:rsidR="00105FB8">
        <w:t xml:space="preserve"> and that</w:t>
      </w:r>
      <w:r w:rsidRPr="005F1BE7">
        <w:t xml:space="preserve"> </w:t>
      </w:r>
      <w:r>
        <w:t xml:space="preserve">participants </w:t>
      </w:r>
      <w:r w:rsidR="00105FB8">
        <w:t>have</w:t>
      </w:r>
      <w:r w:rsidRPr="005F1BE7">
        <w:t xml:space="preserve"> varying income levels, including those with low incomes. </w:t>
      </w:r>
      <w:r w:rsidR="00CE6E71">
        <w:t>We expect t</w:t>
      </w:r>
      <w:r>
        <w:t>he proposed data collection design, which includes</w:t>
      </w:r>
      <w:r w:rsidR="00105FB8">
        <w:t xml:space="preserve"> using</w:t>
      </w:r>
      <w:r>
        <w:t xml:space="preserve"> a virtual asynchronous method, to offset some of these costs by giving participants flexibility in when they can respond</w:t>
      </w:r>
      <w:r w:rsidR="00AC3C04">
        <w:t xml:space="preserve">, but still anticipate some incidental costs related to participation. </w:t>
      </w:r>
    </w:p>
    <w:p w:rsidR="007B5B08" w:rsidP="00617B26" w:rsidRDefault="007B5B08" w14:paraId="3B2FBA24" w14:textId="77777777">
      <w:pPr>
        <w:spacing w:after="120" w:line="240" w:lineRule="auto"/>
        <w:rPr>
          <w:b/>
        </w:rPr>
      </w:pPr>
    </w:p>
    <w:p w:rsidRPr="00971882" w:rsidR="007C7B4B" w:rsidP="00617B26" w:rsidRDefault="00BD702B" w14:paraId="50697237" w14:textId="02CE30B8">
      <w:pPr>
        <w:spacing w:after="120" w:line="240" w:lineRule="auto"/>
      </w:pPr>
      <w:r w:rsidRPr="00971882">
        <w:rPr>
          <w:b/>
        </w:rPr>
        <w:lastRenderedPageBreak/>
        <w:t>A10</w:t>
      </w:r>
      <w:r w:rsidRPr="00971882">
        <w:t>.</w:t>
      </w:r>
      <w:r w:rsidRPr="00971882">
        <w:tab/>
      </w:r>
      <w:r w:rsidRPr="00971882" w:rsidR="002A41C6">
        <w:rPr>
          <w:b/>
        </w:rPr>
        <w:t xml:space="preserve">Privacy: </w:t>
      </w:r>
      <w:r w:rsidRPr="00971882" w:rsidR="00FB5BF6">
        <w:rPr>
          <w:b/>
        </w:rPr>
        <w:t xml:space="preserve">Procedures to </w:t>
      </w:r>
      <w:r w:rsidR="00102D17">
        <w:rPr>
          <w:b/>
        </w:rPr>
        <w:t>P</w:t>
      </w:r>
      <w:r w:rsidRPr="00971882" w:rsidR="004B75AC">
        <w:rPr>
          <w:b/>
        </w:rPr>
        <w:t xml:space="preserve">rotect </w:t>
      </w:r>
      <w:r w:rsidR="00102D17">
        <w:rPr>
          <w:b/>
        </w:rPr>
        <w:t>P</w:t>
      </w:r>
      <w:r w:rsidRPr="00971882" w:rsidR="00083227">
        <w:rPr>
          <w:b/>
        </w:rPr>
        <w:t>rivacy</w:t>
      </w:r>
      <w:r w:rsidRPr="00971882" w:rsidR="004B75AC">
        <w:rPr>
          <w:b/>
        </w:rPr>
        <w:t xml:space="preserve"> of </w:t>
      </w:r>
      <w:r w:rsidR="00102D17">
        <w:rPr>
          <w:b/>
        </w:rPr>
        <w:t>I</w:t>
      </w:r>
      <w:r w:rsidRPr="00971882" w:rsidR="004B75AC">
        <w:rPr>
          <w:b/>
        </w:rPr>
        <w:t>nformation</w:t>
      </w:r>
      <w:r w:rsidRPr="00971882" w:rsidR="00FB5BF6">
        <w:rPr>
          <w:b/>
        </w:rPr>
        <w:t xml:space="preserve">, </w:t>
      </w:r>
      <w:r w:rsidR="00102D17">
        <w:rPr>
          <w:b/>
        </w:rPr>
        <w:t>W</w:t>
      </w:r>
      <w:r w:rsidRPr="00971882" w:rsidR="00FB5BF6">
        <w:rPr>
          <w:b/>
        </w:rPr>
        <w:t xml:space="preserve">hile </w:t>
      </w:r>
      <w:r w:rsidR="00102D17">
        <w:rPr>
          <w:b/>
        </w:rPr>
        <w:t>M</w:t>
      </w:r>
      <w:r w:rsidRPr="00971882" w:rsidR="00FB5BF6">
        <w:rPr>
          <w:b/>
        </w:rPr>
        <w:t xml:space="preserve">aximizing </w:t>
      </w:r>
      <w:r w:rsidR="00102D17">
        <w:rPr>
          <w:b/>
        </w:rPr>
        <w:t>D</w:t>
      </w:r>
      <w:r w:rsidRPr="00971882" w:rsidR="00FB5BF6">
        <w:rPr>
          <w:b/>
        </w:rPr>
        <w:t xml:space="preserve">ata </w:t>
      </w:r>
      <w:r w:rsidR="00102D17">
        <w:rPr>
          <w:b/>
        </w:rPr>
        <w:t>S</w:t>
      </w:r>
      <w:r w:rsidRPr="00971882" w:rsidR="00FB5BF6">
        <w:rPr>
          <w:b/>
        </w:rPr>
        <w:t>haring</w:t>
      </w:r>
    </w:p>
    <w:p w:rsidRPr="00971882" w:rsidR="00CB57CE" w:rsidP="00617B26" w:rsidRDefault="00CB57CE" w14:paraId="6433E3BC" w14:textId="584A6F56">
      <w:pPr>
        <w:spacing w:after="60" w:line="240" w:lineRule="auto"/>
        <w:rPr>
          <w:i/>
        </w:rPr>
      </w:pPr>
      <w:proofErr w:type="gramStart"/>
      <w:r w:rsidRPr="00971882">
        <w:rPr>
          <w:i/>
        </w:rPr>
        <w:t>Personally</w:t>
      </w:r>
      <w:proofErr w:type="gramEnd"/>
      <w:r w:rsidRPr="00971882">
        <w:rPr>
          <w:i/>
        </w:rPr>
        <w:t xml:space="preserve"> Identifiable Information</w:t>
      </w:r>
    </w:p>
    <w:p w:rsidR="00A44E20" w:rsidP="008123FD" w:rsidRDefault="00A44E20" w14:paraId="2EAF0251" w14:textId="318FD610">
      <w:pPr>
        <w:spacing w:after="240"/>
      </w:pPr>
      <w:r>
        <w:t xml:space="preserve">The </w:t>
      </w:r>
      <w:r w:rsidR="00EB3E81">
        <w:t>research</w:t>
      </w:r>
      <w:r>
        <w:t xml:space="preserve"> team for the Success Sequence Interviews</w:t>
      </w:r>
      <w:r w:rsidR="00EB3E81">
        <w:t xml:space="preserve"> study</w:t>
      </w:r>
      <w:r>
        <w:t xml:space="preserve"> will not collect personally identifiable information (PII). </w:t>
      </w:r>
      <w:r w:rsidR="00105FB8">
        <w:t>As part of recruitment, t</w:t>
      </w:r>
      <w:r>
        <w:t xml:space="preserve">he </w:t>
      </w:r>
      <w:r w:rsidRPr="0048572B">
        <w:t>market research panel vendor</w:t>
      </w:r>
      <w:r w:rsidR="00E11725">
        <w:t>s</w:t>
      </w:r>
      <w:r w:rsidR="003E062D">
        <w:t xml:space="preserve"> </w:t>
      </w:r>
      <w:r>
        <w:t xml:space="preserve">will record </w:t>
      </w:r>
      <w:r w:rsidR="00105FB8">
        <w:t xml:space="preserve">each </w:t>
      </w:r>
      <w:r>
        <w:t>participant</w:t>
      </w:r>
      <w:r w:rsidRPr="0048572B">
        <w:t xml:space="preserve">’s name and email </w:t>
      </w:r>
      <w:r w:rsidR="00CE6E71">
        <w:t xml:space="preserve">address </w:t>
      </w:r>
      <w:r w:rsidR="00105FB8">
        <w:t xml:space="preserve">and use this contact information </w:t>
      </w:r>
      <w:r>
        <w:t>to send</w:t>
      </w:r>
      <w:r w:rsidR="00105FB8">
        <w:t xml:space="preserve"> the participants</w:t>
      </w:r>
      <w:r>
        <w:t xml:space="preserve"> invitation emails</w:t>
      </w:r>
      <w:r w:rsidR="005E74DB">
        <w:t>.</w:t>
      </w:r>
      <w:r w:rsidR="00EB3E81">
        <w:t xml:space="preserve"> </w:t>
      </w:r>
      <w:r w:rsidR="00105FB8">
        <w:t>The vendor</w:t>
      </w:r>
      <w:r w:rsidR="001D607A">
        <w:t>s</w:t>
      </w:r>
      <w:r w:rsidR="00105FB8">
        <w:t xml:space="preserve"> serve as a protective intermediary for PII and responses to interview questions. </w:t>
      </w:r>
      <w:r w:rsidR="005E74DB">
        <w:t xml:space="preserve">Neither </w:t>
      </w:r>
      <w:r w:rsidRPr="0048572B">
        <w:t xml:space="preserve">Mathematica </w:t>
      </w:r>
      <w:r>
        <w:t xml:space="preserve">nor ACF </w:t>
      </w:r>
      <w:r w:rsidRPr="0048572B">
        <w:t>will have access to the PII</w:t>
      </w:r>
      <w:r w:rsidR="00105FB8">
        <w:t>;</w:t>
      </w:r>
      <w:r w:rsidRPr="0048572B">
        <w:t xml:space="preserve"> the vendor</w:t>
      </w:r>
      <w:r w:rsidR="001D607A">
        <w:t>s</w:t>
      </w:r>
      <w:r w:rsidRPr="0048572B">
        <w:t xml:space="preserve"> will provide Mathematica with unique identifying numbers</w:t>
      </w:r>
      <w:r w:rsidR="00534FA6">
        <w:t xml:space="preserve"> for</w:t>
      </w:r>
      <w:r w:rsidRPr="0048572B">
        <w:t xml:space="preserve"> recruited interviewees and their responses to the screener questions (Instrument 1</w:t>
      </w:r>
      <w:r>
        <w:t>: Success Sequence Screener</w:t>
      </w:r>
      <w:r w:rsidRPr="0048572B">
        <w:t>).</w:t>
      </w:r>
      <w:r w:rsidRPr="00821404">
        <w:t xml:space="preserve"> </w:t>
      </w:r>
      <w:r>
        <w:t>Using Instrument 1, the vendor</w:t>
      </w:r>
      <w:r w:rsidR="001D607A">
        <w:t>s</w:t>
      </w:r>
      <w:r>
        <w:t xml:space="preserve"> will also collect d</w:t>
      </w:r>
      <w:r w:rsidRPr="0048572B">
        <w:t>emographic information, such as age, race, and ethnicity</w:t>
      </w:r>
      <w:r w:rsidR="00534FA6">
        <w:t xml:space="preserve"> to screen a diverse set of </w:t>
      </w:r>
      <w:r w:rsidRPr="0048572B">
        <w:t>participants</w:t>
      </w:r>
      <w:r>
        <w:t xml:space="preserve">. </w:t>
      </w:r>
      <w:r w:rsidRPr="0048572B">
        <w:t xml:space="preserve">When participants log in to the virtual chat board, they will </w:t>
      </w:r>
      <w:r w:rsidR="00CE6E71">
        <w:t>receiv</w:t>
      </w:r>
      <w:r w:rsidRPr="0048572B">
        <w:t>e instruct</w:t>
      </w:r>
      <w:r w:rsidR="00CE6E71">
        <w:t>ions</w:t>
      </w:r>
      <w:r w:rsidRPr="0048572B">
        <w:t xml:space="preserve"> to not share their full name</w:t>
      </w:r>
      <w:r w:rsidR="000028B6">
        <w:t>,</w:t>
      </w:r>
      <w:r w:rsidRPr="0048572B">
        <w:t xml:space="preserve"> but rather to use their first name, initial, or an alias.</w:t>
      </w:r>
    </w:p>
    <w:p w:rsidRPr="00971882" w:rsidR="002560D7" w:rsidP="00617B26" w:rsidRDefault="002560D7" w14:paraId="28D37A40" w14:textId="7557B9D2">
      <w:pPr>
        <w:spacing w:after="60" w:line="240" w:lineRule="auto"/>
        <w:rPr>
          <w:i/>
        </w:rPr>
      </w:pPr>
      <w:r w:rsidRPr="00971882">
        <w:rPr>
          <w:i/>
        </w:rPr>
        <w:t>Assurances of Privacy</w:t>
      </w:r>
    </w:p>
    <w:p w:rsidRPr="00AA76DB" w:rsidR="004D1E8C" w:rsidP="000E3709" w:rsidRDefault="000028B6" w14:paraId="2663FE4B" w14:textId="15D0BFA5">
      <w:pPr>
        <w:pStyle w:val="Paragraph"/>
        <w:spacing w:after="240"/>
      </w:pPr>
      <w:r>
        <w:t>The study team will inform r</w:t>
      </w:r>
      <w:r w:rsidRPr="00AA76DB" w:rsidR="004D1E8C">
        <w:t xml:space="preserve">espondents of all planned uses of data, that their participation is voluntary, and that </w:t>
      </w:r>
      <w:r>
        <w:t xml:space="preserve">the team will keep </w:t>
      </w:r>
      <w:r w:rsidRPr="00AA76DB" w:rsidR="004D1E8C">
        <w:t>their information private to the extent permitted by law. As the contract specifie</w:t>
      </w:r>
      <w:r w:rsidR="004D1E8C">
        <w:t>s</w:t>
      </w:r>
      <w:r w:rsidRPr="00AA76DB" w:rsidR="004D1E8C">
        <w:t xml:space="preserve">, the </w:t>
      </w:r>
      <w:r w:rsidR="004D1E8C">
        <w:t>c</w:t>
      </w:r>
      <w:r w:rsidRPr="00AA76DB" w:rsidR="004D1E8C">
        <w:t xml:space="preserve">ontractor </w:t>
      </w:r>
      <w:r>
        <w:t>wi</w:t>
      </w:r>
      <w:r w:rsidRPr="00AA76DB" w:rsidR="004D1E8C">
        <w:t>ll protect respondent</w:t>
      </w:r>
      <w:r>
        <w:t>s’</w:t>
      </w:r>
      <w:r w:rsidRPr="00AA76DB" w:rsidR="004D1E8C">
        <w:t xml:space="preserve"> privacy to the extent permitted by law and will comply with all </w:t>
      </w:r>
      <w:r w:rsidR="004D1E8C">
        <w:t>f</w:t>
      </w:r>
      <w:r w:rsidRPr="00AA76DB" w:rsidR="004D1E8C">
        <w:t xml:space="preserve">ederal and </w:t>
      </w:r>
      <w:r w:rsidR="004D1E8C">
        <w:t>d</w:t>
      </w:r>
      <w:r w:rsidRPr="00AA76DB" w:rsidR="004D1E8C">
        <w:t>epartmental regulations for private information. Appendix B</w:t>
      </w:r>
      <w:r w:rsidR="004D1E8C">
        <w:t xml:space="preserve"> </w:t>
      </w:r>
      <w:r w:rsidRPr="00AA76DB" w:rsidR="004D1E8C">
        <w:t xml:space="preserve">provides </w:t>
      </w:r>
      <w:r w:rsidR="004D1E8C">
        <w:t>a study</w:t>
      </w:r>
      <w:r w:rsidRPr="00AA76DB" w:rsidR="004D1E8C">
        <w:t xml:space="preserve"> consent form</w:t>
      </w:r>
      <w:r w:rsidR="002601A8">
        <w:t xml:space="preserve"> (Appendix B: Consent Form)</w:t>
      </w:r>
      <w:r w:rsidRPr="00AA76DB" w:rsidR="004D1E8C">
        <w:t xml:space="preserve"> containing assurances of privacy</w:t>
      </w:r>
      <w:r w:rsidR="004D1E8C">
        <w:t>;</w:t>
      </w:r>
      <w:r w:rsidRPr="00AA76DB" w:rsidR="004D1E8C">
        <w:t xml:space="preserve"> all participants </w:t>
      </w:r>
      <w:r w:rsidR="004D1E8C">
        <w:t>must</w:t>
      </w:r>
      <w:r w:rsidRPr="00AA76DB" w:rsidR="004D1E8C">
        <w:t xml:space="preserve"> read and acknowledge </w:t>
      </w:r>
      <w:r w:rsidR="004D1E8C">
        <w:t xml:space="preserve">the form </w:t>
      </w:r>
      <w:r w:rsidRPr="00AA76DB" w:rsidR="004D1E8C">
        <w:t>before participating in the data collection.</w:t>
      </w:r>
    </w:p>
    <w:p w:rsidRPr="00971882" w:rsidR="002560D7" w:rsidP="00617B26" w:rsidRDefault="002560D7" w14:paraId="2490F478" w14:textId="3CF9D7B9">
      <w:pPr>
        <w:spacing w:after="60" w:line="240" w:lineRule="auto"/>
        <w:rPr>
          <w:i/>
        </w:rPr>
      </w:pPr>
      <w:r w:rsidRPr="00971882">
        <w:rPr>
          <w:i/>
        </w:rPr>
        <w:t>Data Security and Monitoring</w:t>
      </w:r>
    </w:p>
    <w:p w:rsidRPr="00112ADA" w:rsidR="004D1E8C" w:rsidP="003B7B69" w:rsidRDefault="004D1E8C" w14:paraId="645F2AF2" w14:textId="05EB3DA1">
      <w:pPr>
        <w:spacing w:after="240"/>
      </w:pPr>
      <w:r w:rsidRPr="00112ADA">
        <w:t xml:space="preserve">The </w:t>
      </w:r>
      <w:r>
        <w:t>c</w:t>
      </w:r>
      <w:r w:rsidRPr="00112ADA">
        <w:t xml:space="preserve">ontractor has developed a </w:t>
      </w:r>
      <w:r>
        <w:t>d</w:t>
      </w:r>
      <w:r w:rsidRPr="00112ADA">
        <w:t xml:space="preserve">ata </w:t>
      </w:r>
      <w:r>
        <w:t>s</w:t>
      </w:r>
      <w:r w:rsidRPr="00112ADA">
        <w:t xml:space="preserve">afety and </w:t>
      </w:r>
      <w:r>
        <w:t>m</w:t>
      </w:r>
      <w:r w:rsidRPr="00112ADA">
        <w:t xml:space="preserve">onitoring </w:t>
      </w:r>
      <w:r>
        <w:t>p</w:t>
      </w:r>
      <w:r w:rsidRPr="00112ADA">
        <w:t xml:space="preserve">lan that assesses all protections of respondents’ information. The </w:t>
      </w:r>
      <w:r>
        <w:t>c</w:t>
      </w:r>
      <w:r w:rsidRPr="00112ADA">
        <w:t xml:space="preserve">ontractor </w:t>
      </w:r>
      <w:r w:rsidR="000028B6">
        <w:t>wi</w:t>
      </w:r>
      <w:r w:rsidRPr="00112ADA">
        <w:t xml:space="preserve">ll ensure </w:t>
      </w:r>
      <w:proofErr w:type="gramStart"/>
      <w:r w:rsidRPr="00112ADA">
        <w:t>all of</w:t>
      </w:r>
      <w:proofErr w:type="gramEnd"/>
      <w:r w:rsidRPr="00112ADA">
        <w:t xml:space="preserve"> its employees, subcontractors (at all tiers), and employees of each subcontractor who perform work under this contract</w:t>
      </w:r>
      <w:r>
        <w:t xml:space="preserve"> and </w:t>
      </w:r>
      <w:r w:rsidRPr="00112ADA">
        <w:t>subcontract re</w:t>
      </w:r>
      <w:r w:rsidR="000028B6">
        <w:t>ceive</w:t>
      </w:r>
      <w:r w:rsidRPr="00112ADA">
        <w:t xml:space="preserve"> train</w:t>
      </w:r>
      <w:r w:rsidR="000028B6">
        <w:t>ing</w:t>
      </w:r>
      <w:r w:rsidRPr="00112ADA">
        <w:t xml:space="preserve"> on data privacy issues and comply with the above requirements.</w:t>
      </w:r>
      <w:r>
        <w:t xml:space="preserve"> </w:t>
      </w:r>
      <w:r w:rsidRPr="000F43AA">
        <w:t xml:space="preserve">All research team staff involved in the </w:t>
      </w:r>
      <w:r>
        <w:t>study</w:t>
      </w:r>
      <w:r w:rsidRPr="000F43AA">
        <w:t xml:space="preserve"> will receive training in (1) limitations of disclosure</w:t>
      </w:r>
      <w:r>
        <w:t>;</w:t>
      </w:r>
      <w:r w:rsidRPr="000F43AA">
        <w:t xml:space="preserve"> (2) safeguarding the physical work environment</w:t>
      </w:r>
      <w:r>
        <w:t>;</w:t>
      </w:r>
      <w:r w:rsidRPr="000F43AA">
        <w:t xml:space="preserve"> and (3) storing, transmitting, and destroying data securely. All Mathematica staff </w:t>
      </w:r>
      <w:r>
        <w:t xml:space="preserve">must </w:t>
      </w:r>
      <w:r w:rsidRPr="000F43AA">
        <w:t xml:space="preserve">sign </w:t>
      </w:r>
      <w:r w:rsidR="00177F55">
        <w:t xml:space="preserve">the </w:t>
      </w:r>
      <w:r w:rsidR="00A67239">
        <w:t>Mathematica Confidentiality Agreement</w:t>
      </w:r>
      <w:r w:rsidRPr="000F43AA">
        <w:t xml:space="preserve">, complete online security awareness training when they are hired, and </w:t>
      </w:r>
      <w:r>
        <w:t>participate in</w:t>
      </w:r>
      <w:r w:rsidRPr="000F43AA">
        <w:t xml:space="preserve"> </w:t>
      </w:r>
      <w:r w:rsidR="000028B6">
        <w:t xml:space="preserve">a </w:t>
      </w:r>
      <w:r w:rsidRPr="000F43AA">
        <w:t>refresher training annual</w:t>
      </w:r>
      <w:r>
        <w:t>ly</w:t>
      </w:r>
      <w:r w:rsidRPr="000F43AA">
        <w:t>.</w:t>
      </w:r>
    </w:p>
    <w:p w:rsidR="004D1E8C" w:rsidP="003B7B69" w:rsidRDefault="004D1E8C" w14:paraId="31FF7CC0" w14:textId="20AE22FE">
      <w:pPr>
        <w:spacing w:after="240"/>
      </w:pPr>
      <w:r w:rsidRPr="00112ADA">
        <w:t xml:space="preserve">As specified in the evaluator’s contract, the </w:t>
      </w:r>
      <w:r>
        <w:t>c</w:t>
      </w:r>
      <w:r w:rsidRPr="00112ADA">
        <w:t xml:space="preserve">ontractor </w:t>
      </w:r>
      <w:r w:rsidR="000028B6">
        <w:t>wi</w:t>
      </w:r>
      <w:r w:rsidRPr="00112ADA">
        <w:t xml:space="preserve">ll use encryption compliant </w:t>
      </w:r>
      <w:r>
        <w:t xml:space="preserve">with the </w:t>
      </w:r>
      <w:r w:rsidRPr="00112ADA">
        <w:t xml:space="preserve">Federal Information Processing Standard (Security Requirements for Cryptographic Module, as amended) to protect all sensitive information during storage and transmission. The </w:t>
      </w:r>
      <w:r>
        <w:t>c</w:t>
      </w:r>
      <w:r w:rsidRPr="00112ADA">
        <w:t xml:space="preserve">ontractor </w:t>
      </w:r>
      <w:r w:rsidR="000028B6">
        <w:t>wi</w:t>
      </w:r>
      <w:r w:rsidRPr="00112ADA">
        <w:t xml:space="preserve">ll securely generate and manage encryption keys to prevent unauthorized decryption of information, in accordance with the Federal </w:t>
      </w:r>
      <w:r>
        <w:t xml:space="preserve">Information </w:t>
      </w:r>
      <w:r w:rsidRPr="00112ADA">
        <w:t xml:space="preserve">Processing Standard. The </w:t>
      </w:r>
      <w:r>
        <w:t>c</w:t>
      </w:r>
      <w:r w:rsidRPr="00112ADA">
        <w:t xml:space="preserve">ontractor </w:t>
      </w:r>
      <w:r w:rsidR="000028B6">
        <w:t>wi</w:t>
      </w:r>
      <w:r w:rsidRPr="00112ADA">
        <w:t xml:space="preserve">ll </w:t>
      </w:r>
      <w:r w:rsidR="000028B6">
        <w:t>incorporate</w:t>
      </w:r>
      <w:r w:rsidRPr="00112ADA" w:rsidR="000028B6">
        <w:t xml:space="preserve"> </w:t>
      </w:r>
      <w:r w:rsidRPr="00112ADA">
        <w:t xml:space="preserve">this standard into </w:t>
      </w:r>
      <w:r>
        <w:t>its</w:t>
      </w:r>
      <w:r w:rsidRPr="00112ADA">
        <w:t xml:space="preserve"> property management</w:t>
      </w:r>
      <w:r>
        <w:t xml:space="preserve"> and </w:t>
      </w:r>
      <w:r w:rsidRPr="00112ADA">
        <w:t>control system</w:t>
      </w:r>
      <w:r>
        <w:t xml:space="preserve"> and</w:t>
      </w:r>
      <w:r w:rsidRPr="00112ADA">
        <w:t xml:space="preserve"> establish a procedure to account for all laptop </w:t>
      </w:r>
      <w:r w:rsidR="000028B6">
        <w:t>and</w:t>
      </w:r>
      <w:r w:rsidRPr="00112ADA">
        <w:t xml:space="preserve"> desktop computers and other mobile devices and portable media that store or process sensitive information. </w:t>
      </w:r>
      <w:r w:rsidR="000028B6">
        <w:t>The contractor will secure a</w:t>
      </w:r>
      <w:r w:rsidRPr="00112ADA">
        <w:t xml:space="preserve">ny data stored electronically in accordance with the most current National Institute of Standards and Technology requirements and other applicable </w:t>
      </w:r>
      <w:r>
        <w:t>f</w:t>
      </w:r>
      <w:r w:rsidRPr="00112ADA">
        <w:t xml:space="preserve">ederal and </w:t>
      </w:r>
      <w:r>
        <w:t>d</w:t>
      </w:r>
      <w:r w:rsidRPr="00112ADA">
        <w:t xml:space="preserve">epartmental regulations. In addition, the </w:t>
      </w:r>
      <w:r>
        <w:t>c</w:t>
      </w:r>
      <w:r w:rsidRPr="00112ADA">
        <w:t>ontractor</w:t>
      </w:r>
      <w:r>
        <w:t xml:space="preserve">’s data safety and monitoring plan includes strategies </w:t>
      </w:r>
      <w:r w:rsidRPr="00112ADA">
        <w:t>for minimizing to the extent possible inclu</w:t>
      </w:r>
      <w:r w:rsidR="008B1B48">
        <w:t>ding</w:t>
      </w:r>
      <w:r w:rsidRPr="00112ADA">
        <w:t xml:space="preserve"> sensitive information on paper records and for the </w:t>
      </w:r>
      <w:r w:rsidRPr="00112ADA">
        <w:lastRenderedPageBreak/>
        <w:t>protection of any paper records, field notes, or other documents that contain sensitive information that ensures secure storage and limits on access.</w:t>
      </w:r>
    </w:p>
    <w:p w:rsidRPr="00971882" w:rsidR="00AF02E0" w:rsidP="003B7B69" w:rsidRDefault="00AF02E0" w14:paraId="3F108CDC" w14:textId="180B7893">
      <w:pPr>
        <w:spacing w:after="240"/>
        <w:rPr>
          <w:i/>
        </w:rPr>
      </w:pPr>
      <w:r w:rsidRPr="00971882">
        <w:t xml:space="preserve">Only users who are added to each chat board as moderators (Mathematica staff) or participants will have access to the board. </w:t>
      </w:r>
      <w:r w:rsidR="008B1B48">
        <w:t>Participants will gain a</w:t>
      </w:r>
      <w:r w:rsidRPr="00971882">
        <w:t>ccess by logging on</w:t>
      </w:r>
      <w:r w:rsidRPr="00971882" w:rsidR="009E407C">
        <w:t xml:space="preserve"> </w:t>
      </w:r>
      <w:r w:rsidRPr="00971882">
        <w:t xml:space="preserve">to the secure website with a </w:t>
      </w:r>
      <w:proofErr w:type="gramStart"/>
      <w:r w:rsidRPr="00971882">
        <w:t>user</w:t>
      </w:r>
      <w:r w:rsidR="008B1B48">
        <w:t xml:space="preserve"> </w:t>
      </w:r>
      <w:r w:rsidRPr="00971882">
        <w:t>name</w:t>
      </w:r>
      <w:proofErr w:type="gramEnd"/>
      <w:r w:rsidRPr="00971882">
        <w:t xml:space="preserve"> and password. </w:t>
      </w:r>
      <w:proofErr w:type="spellStart"/>
      <w:r w:rsidRPr="00971882" w:rsidR="008B1B48">
        <w:t>QualBoard</w:t>
      </w:r>
      <w:proofErr w:type="spellEnd"/>
      <w:r w:rsidRPr="00971882" w:rsidR="008B1B48">
        <w:t xml:space="preserve"> </w:t>
      </w:r>
      <w:r w:rsidR="008B1B48">
        <w:t>will fully mask i</w:t>
      </w:r>
      <w:r w:rsidRPr="00971882">
        <w:t>ndividual participants</w:t>
      </w:r>
      <w:r w:rsidRPr="00971882" w:rsidR="0062745B">
        <w:t>’</w:t>
      </w:r>
      <w:r w:rsidRPr="00971882">
        <w:t xml:space="preserve"> responses to interview questions and moderator probes, meaning that only the participant and the moderators </w:t>
      </w:r>
      <w:r w:rsidR="008B1B48">
        <w:t>can</w:t>
      </w:r>
      <w:r w:rsidRPr="00971882">
        <w:t xml:space="preserve"> view the response</w:t>
      </w:r>
      <w:r w:rsidR="00DF3F4A">
        <w:t>s</w:t>
      </w:r>
      <w:r w:rsidRPr="00971882">
        <w:t>.</w:t>
      </w:r>
    </w:p>
    <w:p w:rsidRPr="00971882" w:rsidR="00717BDC" w:rsidP="00617B26" w:rsidRDefault="00B23277" w14:paraId="38C28436" w14:textId="69430AA2">
      <w:pPr>
        <w:spacing w:after="120" w:line="240" w:lineRule="auto"/>
      </w:pPr>
      <w:r w:rsidRPr="00971882">
        <w:rPr>
          <w:b/>
        </w:rPr>
        <w:t>A11</w:t>
      </w:r>
      <w:r w:rsidRPr="00971882">
        <w:t>.</w:t>
      </w:r>
      <w:r w:rsidRPr="00971882">
        <w:tab/>
      </w:r>
      <w:r w:rsidRPr="00971882" w:rsidR="002A41C6">
        <w:rPr>
          <w:b/>
        </w:rPr>
        <w:t>Sensitive Information</w:t>
      </w:r>
      <w:r w:rsidRPr="00971882" w:rsidR="002560D7">
        <w:rPr>
          <w:rStyle w:val="FootnoteReference"/>
        </w:rPr>
        <w:t xml:space="preserve"> </w:t>
      </w:r>
    </w:p>
    <w:p w:rsidR="004D1E8C" w:rsidP="003B7B69" w:rsidRDefault="008B1B48" w14:paraId="24ECFD33" w14:textId="1BF7D4BF">
      <w:pPr>
        <w:spacing w:after="240"/>
      </w:pPr>
      <w:r>
        <w:t>Participants could perceive s</w:t>
      </w:r>
      <w:r w:rsidR="00A44E20">
        <w:t>ome of the interview questions included in the interview</w:t>
      </w:r>
      <w:r w:rsidR="00155D44">
        <w:t xml:space="preserve"> protocol</w:t>
      </w:r>
      <w:r w:rsidR="00A44E20">
        <w:t xml:space="preserve"> </w:t>
      </w:r>
      <w:r w:rsidR="00155D44">
        <w:t>as sensitive</w:t>
      </w:r>
      <w:r w:rsidR="00A44E20">
        <w:t>, such as those</w:t>
      </w:r>
      <w:r w:rsidRPr="00112ADA" w:rsidR="00A44E20">
        <w:t xml:space="preserve"> pertaining to relationship history and childbearing</w:t>
      </w:r>
      <w:r w:rsidR="00A44E20">
        <w:t>. T</w:t>
      </w:r>
      <w:r w:rsidRPr="00112ADA" w:rsidR="00A44E20">
        <w:t>he</w:t>
      </w:r>
      <w:r w:rsidR="00A44E20">
        <w:t>se</w:t>
      </w:r>
      <w:r w:rsidRPr="00112ADA" w:rsidR="00A44E20">
        <w:t xml:space="preserve"> questions are necessary for </w:t>
      </w:r>
      <w:r w:rsidR="00A44E20">
        <w:t>the Success Sequence</w:t>
      </w:r>
      <w:r w:rsidR="004D1E8C">
        <w:t xml:space="preserve"> Interview</w:t>
      </w:r>
      <w:r w:rsidR="00A44E20">
        <w:t xml:space="preserve"> study to address </w:t>
      </w:r>
      <w:r w:rsidRPr="00112ADA" w:rsidR="00A44E20">
        <w:t>ACF’s informational needs</w:t>
      </w:r>
      <w:r>
        <w:t>:</w:t>
      </w:r>
      <w:r w:rsidRPr="00112ADA" w:rsidR="00A44E20">
        <w:t xml:space="preserve"> namely, </w:t>
      </w:r>
      <w:r w:rsidR="00A44E20">
        <w:t>to</w:t>
      </w:r>
      <w:r w:rsidRPr="00112ADA" w:rsidR="00A44E20">
        <w:t xml:space="preserve"> improve SRAE program content </w:t>
      </w:r>
      <w:r w:rsidR="00A44E20">
        <w:t>related to</w:t>
      </w:r>
      <w:r w:rsidRPr="00112ADA" w:rsidR="00A44E20">
        <w:t xml:space="preserve"> the success sequence (</w:t>
      </w:r>
      <w:r w:rsidR="00A44E20">
        <w:t>S</w:t>
      </w:r>
      <w:r w:rsidRPr="00112ADA" w:rsidR="00A44E20">
        <w:t>ection A2).</w:t>
      </w:r>
    </w:p>
    <w:p w:rsidR="004D1E8C" w:rsidP="003B7B69" w:rsidRDefault="002E137E" w14:paraId="031162F9" w14:textId="2665A6FC">
      <w:pPr>
        <w:spacing w:after="240"/>
      </w:pPr>
      <w:r w:rsidRPr="00971882">
        <w:t>Before the start of the interviews, participants will read the consent form (Appendix B), which describes the purpose of the study, indicates their rights as research participants, and acknowledges their consen</w:t>
      </w:r>
      <w:r w:rsidR="004D1E8C">
        <w:t>t before starting the interview.</w:t>
      </w:r>
      <w:r w:rsidRPr="00971882">
        <w:t xml:space="preserve"> </w:t>
      </w:r>
      <w:r w:rsidR="008B1B48">
        <w:t>The Interviewers will inform a</w:t>
      </w:r>
      <w:r w:rsidRPr="00971882">
        <w:t>ll participants they do not have to respond to any questions that make them uncomfortable</w:t>
      </w:r>
      <w:r w:rsidR="00804B4C">
        <w:t xml:space="preserve"> and</w:t>
      </w:r>
      <w:r w:rsidRPr="00971882">
        <w:t xml:space="preserve"> their participation is voluntary</w:t>
      </w:r>
      <w:r w:rsidR="00804B4C">
        <w:t>.</w:t>
      </w:r>
    </w:p>
    <w:p w:rsidRPr="00971882" w:rsidR="002E137E" w:rsidP="003B7B69" w:rsidRDefault="008B1B48" w14:paraId="12FA7C8F" w14:textId="0ADF4A01">
      <w:pPr>
        <w:spacing w:after="240"/>
      </w:pPr>
      <w:r>
        <w:t>An institutional review board has approved t</w:t>
      </w:r>
      <w:r w:rsidR="00804B4C">
        <w:t>he</w:t>
      </w:r>
      <w:r w:rsidRPr="00971882" w:rsidR="002E137E">
        <w:t xml:space="preserve"> protocol and all related materials, such as the consent form</w:t>
      </w:r>
      <w:r w:rsidR="00804B4C">
        <w:t>.</w:t>
      </w:r>
    </w:p>
    <w:p w:rsidRPr="00971882" w:rsidR="002E137E" w:rsidP="00617B26" w:rsidRDefault="002E137E" w14:paraId="2E8931C6" w14:textId="2502FB94">
      <w:pPr>
        <w:spacing w:after="240" w:line="240" w:lineRule="auto"/>
      </w:pPr>
      <w:r w:rsidRPr="00971882">
        <w:t>Table A</w:t>
      </w:r>
      <w:r w:rsidRPr="00971882" w:rsidR="00A96ABF">
        <w:t>.2</w:t>
      </w:r>
      <w:r w:rsidRPr="00971882">
        <w:t xml:space="preserve"> list</w:t>
      </w:r>
      <w:r w:rsidR="00804B4C">
        <w:t>s</w:t>
      </w:r>
      <w:r w:rsidRPr="00971882">
        <w:t xml:space="preserve"> sensitive questions that will be in the interview</w:t>
      </w:r>
      <w:r w:rsidR="00804B4C">
        <w:t xml:space="preserve"> and</w:t>
      </w:r>
      <w:r w:rsidRPr="00971882">
        <w:t xml:space="preserve"> the justification for asking them.</w:t>
      </w:r>
    </w:p>
    <w:p w:rsidRPr="00971882" w:rsidR="002E137E" w:rsidP="002E137E" w:rsidRDefault="002E137E" w14:paraId="604738C4" w14:textId="6CC46FDC">
      <w:pPr>
        <w:pStyle w:val="MarkforTableHeading"/>
        <w:rPr>
          <w:rFonts w:asciiTheme="minorHAnsi" w:hAnsiTheme="minorHAnsi" w:cstheme="minorHAnsi"/>
          <w:sz w:val="22"/>
          <w:szCs w:val="22"/>
        </w:rPr>
      </w:pPr>
      <w:r w:rsidRPr="00971882">
        <w:rPr>
          <w:rFonts w:asciiTheme="minorHAnsi" w:hAnsiTheme="minorHAnsi" w:cstheme="minorHAnsi"/>
          <w:sz w:val="22"/>
          <w:szCs w:val="22"/>
        </w:rPr>
        <w:t>Table A</w:t>
      </w:r>
      <w:r w:rsidRPr="00971882" w:rsidR="00A96ABF">
        <w:rPr>
          <w:rFonts w:asciiTheme="minorHAnsi" w:hAnsiTheme="minorHAnsi" w:cstheme="minorHAnsi"/>
          <w:sz w:val="22"/>
          <w:szCs w:val="22"/>
        </w:rPr>
        <w:t>.2</w:t>
      </w:r>
      <w:r w:rsidRPr="00971882">
        <w:rPr>
          <w:rFonts w:asciiTheme="minorHAnsi" w:hAnsiTheme="minorHAnsi" w:cstheme="minorHAnsi"/>
          <w:sz w:val="22"/>
          <w:szCs w:val="22"/>
        </w:rPr>
        <w:t>. Justification for sensitive questions in the</w:t>
      </w:r>
      <w:r w:rsidR="006659EF">
        <w:rPr>
          <w:rFonts w:asciiTheme="minorHAnsi" w:hAnsiTheme="minorHAnsi" w:cstheme="minorHAnsi"/>
          <w:sz w:val="22"/>
          <w:szCs w:val="22"/>
        </w:rPr>
        <w:t xml:space="preserve"> screener and</w:t>
      </w:r>
      <w:r w:rsidRPr="00971882">
        <w:rPr>
          <w:rFonts w:asciiTheme="minorHAnsi" w:hAnsiTheme="minorHAnsi" w:cstheme="minorHAnsi"/>
          <w:sz w:val="22"/>
          <w:szCs w:val="22"/>
        </w:rPr>
        <w:t xml:space="preserve"> interview protocol</w:t>
      </w:r>
    </w:p>
    <w:tbl>
      <w:tblPr>
        <w:tblW w:w="0" w:type="auto"/>
        <w:tblLook w:val="04A0" w:firstRow="1" w:lastRow="0" w:firstColumn="1" w:lastColumn="0" w:noHBand="0" w:noVBand="1"/>
      </w:tblPr>
      <w:tblGrid>
        <w:gridCol w:w="4675"/>
        <w:gridCol w:w="4675"/>
      </w:tblGrid>
      <w:tr w:rsidRPr="00804B4C" w:rsidR="00804B4C" w:rsidTr="00804B4C" w14:paraId="4BB89AC8" w14:textId="77777777">
        <w:tc>
          <w:tcPr>
            <w:tcW w:w="4675" w:type="dxa"/>
            <w:shd w:val="clear" w:color="auto" w:fill="1F497D" w:themeFill="text2"/>
          </w:tcPr>
          <w:p w:rsidRPr="00804B4C" w:rsidR="00804B4C" w:rsidP="00804B4C" w:rsidRDefault="00804B4C" w14:paraId="3DE51A25" w14:textId="77777777">
            <w:pPr>
              <w:pStyle w:val="TableHeaderCenter"/>
              <w:rPr>
                <w:b/>
                <w:bCs/>
              </w:rPr>
            </w:pPr>
            <w:r w:rsidRPr="00804B4C">
              <w:rPr>
                <w:b/>
                <w:bCs/>
              </w:rPr>
              <w:t>Topics and interview questions</w:t>
            </w:r>
          </w:p>
        </w:tc>
        <w:tc>
          <w:tcPr>
            <w:tcW w:w="4675" w:type="dxa"/>
            <w:shd w:val="clear" w:color="auto" w:fill="1F497D" w:themeFill="text2"/>
          </w:tcPr>
          <w:p w:rsidRPr="00804B4C" w:rsidR="00804B4C" w:rsidP="00804B4C" w:rsidRDefault="00804B4C" w14:paraId="1928C274" w14:textId="77777777">
            <w:pPr>
              <w:pStyle w:val="TableHeaderCenter"/>
              <w:jc w:val="left"/>
              <w:rPr>
                <w:b/>
                <w:bCs/>
              </w:rPr>
            </w:pPr>
            <w:r w:rsidRPr="00804B4C">
              <w:rPr>
                <w:b/>
                <w:bCs/>
              </w:rPr>
              <w:t>Justification</w:t>
            </w:r>
          </w:p>
        </w:tc>
      </w:tr>
    </w:tbl>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971882" w:rsidR="002E137E" w:rsidTr="00804B4C" w14:paraId="6E5F8DE6" w14:textId="77777777">
        <w:tc>
          <w:tcPr>
            <w:tcW w:w="4675" w:type="dxa"/>
            <w:tcBorders>
              <w:bottom w:val="single" w:color="auto" w:sz="4" w:space="0"/>
            </w:tcBorders>
          </w:tcPr>
          <w:p w:rsidRPr="00971882" w:rsidR="002E137E" w:rsidP="007D77D1" w:rsidRDefault="002E137E" w14:paraId="23F8377E" w14:textId="77777777">
            <w:pPr>
              <w:spacing w:before="40"/>
              <w:rPr>
                <w:rFonts w:ascii="Calibri" w:hAnsi="Calibri" w:cs="Calibri"/>
                <w:b/>
                <w:bCs/>
                <w:iCs/>
              </w:rPr>
            </w:pPr>
            <w:r w:rsidRPr="00971882">
              <w:rPr>
                <w:rFonts w:ascii="Calibri" w:hAnsi="Calibri" w:cs="Calibri"/>
                <w:b/>
                <w:bCs/>
                <w:iCs/>
              </w:rPr>
              <w:t>Income and economic support</w:t>
            </w:r>
          </w:p>
          <w:p w:rsidRPr="00121682" w:rsidR="002E137E" w:rsidP="002E137E" w:rsidRDefault="002E137E" w14:paraId="047590DA" w14:textId="77777777">
            <w:pPr>
              <w:pStyle w:val="ListParagraph"/>
              <w:numPr>
                <w:ilvl w:val="0"/>
                <w:numId w:val="43"/>
              </w:numPr>
              <w:ind w:left="242" w:hanging="270"/>
              <w:rPr>
                <w:rFonts w:ascii="Calibri" w:hAnsi="Calibri" w:cs="Calibri"/>
                <w:iCs/>
                <w:lang w:val="es-US"/>
              </w:rPr>
            </w:pPr>
            <w:proofErr w:type="spellStart"/>
            <w:r w:rsidRPr="00121682">
              <w:rPr>
                <w:rFonts w:ascii="Calibri" w:hAnsi="Calibri" w:cs="Calibri"/>
                <w:iCs/>
                <w:lang w:val="es-US"/>
              </w:rPr>
              <w:t>Screener</w:t>
            </w:r>
            <w:proofErr w:type="spellEnd"/>
            <w:r w:rsidRPr="00121682">
              <w:rPr>
                <w:rFonts w:ascii="Calibri" w:hAnsi="Calibri" w:cs="Calibri"/>
                <w:iCs/>
                <w:lang w:val="es-US"/>
              </w:rPr>
              <w:t xml:space="preserve"> (Q3, Q6, Q7, Q8)</w:t>
            </w:r>
          </w:p>
          <w:p w:rsidRPr="00971882" w:rsidR="002E137E" w:rsidP="002E137E" w:rsidRDefault="003C73D5" w14:paraId="2D42B7E4" w14:textId="1B315627">
            <w:pPr>
              <w:pStyle w:val="ListParagraph"/>
              <w:numPr>
                <w:ilvl w:val="0"/>
                <w:numId w:val="43"/>
              </w:numPr>
              <w:ind w:left="242" w:hanging="270"/>
              <w:rPr>
                <w:rFonts w:ascii="Calibri" w:hAnsi="Calibri" w:cs="Calibri"/>
                <w:iCs/>
              </w:rPr>
            </w:pPr>
            <w:r>
              <w:rPr>
                <w:rFonts w:ascii="Calibri" w:hAnsi="Calibri" w:cs="Calibri"/>
                <w:iCs/>
              </w:rPr>
              <w:t xml:space="preserve">Interview Protocol: </w:t>
            </w:r>
            <w:r w:rsidRPr="00971882" w:rsidR="002E137E">
              <w:rPr>
                <w:rFonts w:ascii="Calibri" w:hAnsi="Calibri" w:cs="Calibri"/>
                <w:iCs/>
              </w:rPr>
              <w:t xml:space="preserve">Employment (Section </w:t>
            </w:r>
            <w:r>
              <w:rPr>
                <w:rFonts w:ascii="Calibri" w:hAnsi="Calibri" w:cs="Calibri"/>
                <w:iCs/>
              </w:rPr>
              <w:t>B</w:t>
            </w:r>
            <w:r w:rsidRPr="00971882" w:rsidR="002E137E">
              <w:rPr>
                <w:rFonts w:ascii="Calibri" w:hAnsi="Calibri" w:cs="Calibri"/>
                <w:iCs/>
              </w:rPr>
              <w:t>)</w:t>
            </w:r>
          </w:p>
          <w:p w:rsidRPr="00971882" w:rsidR="002E137E" w:rsidP="002E137E" w:rsidRDefault="003C73D5" w14:paraId="73955E3F" w14:textId="58B5AE22">
            <w:pPr>
              <w:pStyle w:val="ListParagraph"/>
              <w:numPr>
                <w:ilvl w:val="0"/>
                <w:numId w:val="43"/>
              </w:numPr>
              <w:ind w:left="242" w:hanging="270"/>
              <w:rPr>
                <w:rFonts w:ascii="Calibri" w:hAnsi="Calibri" w:cs="Calibri"/>
                <w:iCs/>
              </w:rPr>
            </w:pPr>
            <w:r>
              <w:rPr>
                <w:rFonts w:ascii="Calibri" w:hAnsi="Calibri" w:cs="Calibri"/>
                <w:iCs/>
              </w:rPr>
              <w:t>Interview Protocol: Financial Status</w:t>
            </w:r>
            <w:r w:rsidRPr="00971882" w:rsidR="002E137E">
              <w:rPr>
                <w:rFonts w:ascii="Calibri" w:hAnsi="Calibri" w:cs="Calibri"/>
                <w:iCs/>
              </w:rPr>
              <w:t xml:space="preserve"> (Section </w:t>
            </w:r>
            <w:r>
              <w:rPr>
                <w:rFonts w:ascii="Calibri" w:hAnsi="Calibri" w:cs="Calibri"/>
                <w:iCs/>
              </w:rPr>
              <w:t>D</w:t>
            </w:r>
            <w:r w:rsidRPr="00971882" w:rsidR="002E137E">
              <w:rPr>
                <w:rFonts w:ascii="Calibri" w:hAnsi="Calibri" w:cs="Calibri"/>
                <w:iCs/>
              </w:rPr>
              <w:t>)</w:t>
            </w:r>
          </w:p>
        </w:tc>
        <w:tc>
          <w:tcPr>
            <w:tcW w:w="4675" w:type="dxa"/>
            <w:tcBorders>
              <w:bottom w:val="single" w:color="auto" w:sz="4" w:space="0"/>
            </w:tcBorders>
          </w:tcPr>
          <w:p w:rsidRPr="00971882" w:rsidR="002E137E" w:rsidP="007D77D1" w:rsidRDefault="002E137E" w14:paraId="444D8E79" w14:textId="77777777">
            <w:pPr>
              <w:spacing w:before="40"/>
              <w:rPr>
                <w:rFonts w:ascii="Calibri" w:hAnsi="Calibri" w:cs="Calibri"/>
              </w:rPr>
            </w:pPr>
            <w:r w:rsidRPr="00971882">
              <w:rPr>
                <w:rFonts w:ascii="Calibri" w:hAnsi="Calibri" w:cs="Calibri"/>
              </w:rPr>
              <w:t>A primary goal of success sequence research is to determine whether adults who follow the sequence are economically self-sufficient. These questions are the primary outcome variables and provide context for the variations in income and support as they relate to the sequence of life milestones.</w:t>
            </w:r>
          </w:p>
        </w:tc>
      </w:tr>
      <w:tr w:rsidRPr="00971882" w:rsidR="002E137E" w:rsidTr="00804B4C" w14:paraId="7162C822" w14:textId="77777777">
        <w:trPr>
          <w:trHeight w:val="1349"/>
        </w:trPr>
        <w:tc>
          <w:tcPr>
            <w:tcW w:w="4675" w:type="dxa"/>
            <w:tcBorders>
              <w:top w:val="single" w:color="auto" w:sz="4" w:space="0"/>
              <w:bottom w:val="single" w:color="auto" w:sz="4" w:space="0"/>
            </w:tcBorders>
          </w:tcPr>
          <w:p w:rsidRPr="00971882" w:rsidR="002E137E" w:rsidP="007D77D1" w:rsidRDefault="002E137E" w14:paraId="62D39781" w14:textId="1B1B3C9E">
            <w:pPr>
              <w:spacing w:before="40"/>
              <w:rPr>
                <w:rFonts w:ascii="Calibri" w:hAnsi="Calibri" w:cs="Calibri"/>
              </w:rPr>
            </w:pPr>
            <w:r w:rsidRPr="00971882">
              <w:rPr>
                <w:rFonts w:ascii="Calibri" w:hAnsi="Calibri" w:cs="Calibri"/>
                <w:b/>
                <w:bCs/>
              </w:rPr>
              <w:t>Relationship</w:t>
            </w:r>
            <w:r w:rsidRPr="00971882">
              <w:rPr>
                <w:rFonts w:ascii="Calibri" w:hAnsi="Calibri" w:cs="Calibri"/>
              </w:rPr>
              <w:t xml:space="preserve"> </w:t>
            </w:r>
            <w:r w:rsidRPr="00971882">
              <w:rPr>
                <w:rFonts w:ascii="Calibri" w:hAnsi="Calibri" w:cs="Calibri"/>
                <w:b/>
                <w:bCs/>
              </w:rPr>
              <w:t xml:space="preserve">history </w:t>
            </w:r>
            <w:r w:rsidR="00804B4C">
              <w:rPr>
                <w:rFonts w:ascii="Calibri" w:hAnsi="Calibri" w:cs="Calibri"/>
                <w:b/>
                <w:bCs/>
              </w:rPr>
              <w:t>and childbearing</w:t>
            </w:r>
          </w:p>
          <w:p w:rsidRPr="00971882" w:rsidR="002E137E" w:rsidP="002E137E" w:rsidRDefault="002E137E" w14:paraId="6A681FE1" w14:textId="0BE023BB">
            <w:pPr>
              <w:pStyle w:val="ListParagraph"/>
              <w:numPr>
                <w:ilvl w:val="0"/>
                <w:numId w:val="43"/>
              </w:numPr>
              <w:ind w:left="242" w:hanging="242"/>
              <w:rPr>
                <w:rFonts w:ascii="Calibri" w:hAnsi="Calibri" w:cs="Calibri"/>
                <w:iCs/>
              </w:rPr>
            </w:pPr>
            <w:r w:rsidRPr="00971882">
              <w:rPr>
                <w:rFonts w:ascii="Calibri" w:hAnsi="Calibri" w:cs="Calibri"/>
                <w:iCs/>
              </w:rPr>
              <w:t>Screener (Q4</w:t>
            </w:r>
            <w:r w:rsidR="00804B4C">
              <w:rPr>
                <w:rFonts w:ascii="Calibri" w:hAnsi="Calibri" w:cs="Calibri"/>
                <w:iCs/>
              </w:rPr>
              <w:t>-Q5</w:t>
            </w:r>
            <w:r w:rsidRPr="00971882">
              <w:rPr>
                <w:rFonts w:ascii="Calibri" w:hAnsi="Calibri" w:cs="Calibri"/>
                <w:iCs/>
              </w:rPr>
              <w:t>)</w:t>
            </w:r>
          </w:p>
          <w:p w:rsidRPr="00971882" w:rsidR="002E137E" w:rsidP="002E137E" w:rsidRDefault="002E137E" w14:paraId="379BE9C8" w14:textId="13E3E50D">
            <w:pPr>
              <w:pStyle w:val="ListParagraph"/>
              <w:numPr>
                <w:ilvl w:val="0"/>
                <w:numId w:val="43"/>
              </w:numPr>
              <w:ind w:left="242" w:hanging="242"/>
              <w:rPr>
                <w:rFonts w:ascii="Calibri" w:hAnsi="Calibri" w:cs="Calibri"/>
              </w:rPr>
            </w:pPr>
            <w:r w:rsidRPr="00971882">
              <w:rPr>
                <w:rFonts w:ascii="Calibri" w:hAnsi="Calibri" w:cs="Calibri"/>
                <w:iCs/>
              </w:rPr>
              <w:t xml:space="preserve">Interview Protocol </w:t>
            </w:r>
            <w:r w:rsidR="00091228">
              <w:rPr>
                <w:rFonts w:ascii="Calibri" w:hAnsi="Calibri" w:cs="Calibri"/>
                <w:iCs/>
              </w:rPr>
              <w:t>Family Life</w:t>
            </w:r>
            <w:r w:rsidRPr="00971882">
              <w:rPr>
                <w:rFonts w:ascii="Calibri" w:hAnsi="Calibri" w:cs="Calibri"/>
                <w:iCs/>
              </w:rPr>
              <w:t xml:space="preserve"> Section </w:t>
            </w:r>
            <w:r w:rsidR="00091228">
              <w:rPr>
                <w:rFonts w:ascii="Calibri" w:hAnsi="Calibri" w:cs="Calibri"/>
                <w:iCs/>
              </w:rPr>
              <w:t>(</w:t>
            </w:r>
            <w:r w:rsidRPr="00971882">
              <w:rPr>
                <w:rFonts w:ascii="Calibri" w:hAnsi="Calibri" w:cs="Calibri"/>
                <w:iCs/>
              </w:rPr>
              <w:t>Section</w:t>
            </w:r>
            <w:r w:rsidR="00091228">
              <w:rPr>
                <w:rFonts w:ascii="Calibri" w:hAnsi="Calibri" w:cs="Calibri"/>
                <w:iCs/>
              </w:rPr>
              <w:t xml:space="preserve"> C</w:t>
            </w:r>
            <w:r w:rsidRPr="00971882">
              <w:rPr>
                <w:rFonts w:ascii="Calibri" w:hAnsi="Calibri" w:cs="Calibri"/>
                <w:iCs/>
              </w:rPr>
              <w:t>)</w:t>
            </w:r>
          </w:p>
        </w:tc>
        <w:tc>
          <w:tcPr>
            <w:tcW w:w="4675" w:type="dxa"/>
            <w:tcBorders>
              <w:top w:val="single" w:color="auto" w:sz="4" w:space="0"/>
              <w:bottom w:val="single" w:color="auto" w:sz="4" w:space="0"/>
            </w:tcBorders>
          </w:tcPr>
          <w:p w:rsidRPr="00971882" w:rsidR="002E137E" w:rsidP="007D77D1" w:rsidRDefault="002E137E" w14:paraId="73647ED6" w14:textId="2FCC3899">
            <w:pPr>
              <w:spacing w:before="40"/>
              <w:rPr>
                <w:rFonts w:ascii="Calibri" w:hAnsi="Calibri" w:cs="Calibri"/>
              </w:rPr>
            </w:pPr>
            <w:r w:rsidRPr="00971882">
              <w:rPr>
                <w:rFonts w:ascii="Calibri" w:hAnsi="Calibri" w:cs="Calibri"/>
              </w:rPr>
              <w:t xml:space="preserve">To understand participants’ rationale for completing or not completing the success sequence milestones in the prescribed order, it is necessary to understand the circumstances that led to participants’ decisions about relationships, cohabitation, </w:t>
            </w:r>
            <w:r w:rsidRPr="00971882" w:rsidR="00B113A7">
              <w:rPr>
                <w:rFonts w:ascii="Calibri" w:hAnsi="Calibri" w:cs="Calibri"/>
              </w:rPr>
              <w:t xml:space="preserve">and </w:t>
            </w:r>
            <w:r w:rsidRPr="00971882">
              <w:rPr>
                <w:rFonts w:ascii="Calibri" w:hAnsi="Calibri" w:cs="Calibri"/>
              </w:rPr>
              <w:t>marriage</w:t>
            </w:r>
            <w:r w:rsidR="00804B4C">
              <w:rPr>
                <w:rFonts w:ascii="Calibri" w:hAnsi="Calibri" w:cs="Calibri"/>
              </w:rPr>
              <w:t xml:space="preserve"> and childbearing</w:t>
            </w:r>
            <w:r w:rsidRPr="00971882">
              <w:rPr>
                <w:rFonts w:ascii="Calibri" w:hAnsi="Calibri" w:cs="Calibri"/>
              </w:rPr>
              <w:t>.</w:t>
            </w:r>
          </w:p>
        </w:tc>
      </w:tr>
      <w:tr w:rsidRPr="00971882" w:rsidR="00692F38" w:rsidTr="003C73D5" w14:paraId="4A4BF6F3" w14:textId="77777777">
        <w:trPr>
          <w:trHeight w:val="1169"/>
        </w:trPr>
        <w:tc>
          <w:tcPr>
            <w:tcW w:w="4675" w:type="dxa"/>
            <w:tcBorders>
              <w:top w:val="single" w:color="auto" w:sz="4" w:space="0"/>
              <w:bottom w:val="single" w:color="auto" w:sz="4" w:space="0"/>
            </w:tcBorders>
          </w:tcPr>
          <w:p w:rsidR="00692F38" w:rsidP="007D77D1" w:rsidRDefault="00692F38" w14:paraId="1C5BB8E4" w14:textId="14824E9B">
            <w:pPr>
              <w:spacing w:before="40"/>
              <w:rPr>
                <w:rFonts w:ascii="Calibri" w:hAnsi="Calibri" w:cs="Calibri"/>
                <w:b/>
                <w:bCs/>
              </w:rPr>
            </w:pPr>
            <w:r>
              <w:rPr>
                <w:rFonts w:ascii="Calibri" w:hAnsi="Calibri" w:cs="Calibri"/>
                <w:b/>
                <w:bCs/>
              </w:rPr>
              <w:t>Gender and sexual orientation</w:t>
            </w:r>
          </w:p>
          <w:p w:rsidR="00692F38" w:rsidP="00692F38" w:rsidRDefault="00692F38" w14:paraId="05D0B21D" w14:textId="086CE6FA">
            <w:pPr>
              <w:pStyle w:val="ListParagraph"/>
              <w:numPr>
                <w:ilvl w:val="0"/>
                <w:numId w:val="43"/>
              </w:numPr>
              <w:ind w:left="242" w:hanging="242"/>
              <w:rPr>
                <w:rFonts w:ascii="Calibri" w:hAnsi="Calibri" w:cs="Calibri"/>
                <w:iCs/>
              </w:rPr>
            </w:pPr>
            <w:r w:rsidRPr="00971882">
              <w:rPr>
                <w:rFonts w:ascii="Calibri" w:hAnsi="Calibri" w:cs="Calibri"/>
                <w:iCs/>
              </w:rPr>
              <w:t>Screener (</w:t>
            </w:r>
            <w:r>
              <w:rPr>
                <w:rFonts w:ascii="Calibri" w:hAnsi="Calibri" w:cs="Calibri"/>
                <w:iCs/>
              </w:rPr>
              <w:t>Q9</w:t>
            </w:r>
            <w:r w:rsidRPr="00971882">
              <w:rPr>
                <w:rFonts w:ascii="Calibri" w:hAnsi="Calibri" w:cs="Calibri"/>
                <w:iCs/>
              </w:rPr>
              <w:t>)</w:t>
            </w:r>
          </w:p>
          <w:p w:rsidRPr="003C73D5" w:rsidR="00692F38" w:rsidP="003C73D5" w:rsidRDefault="003C73D5" w14:paraId="47E0AA3A" w14:textId="0FF52D45">
            <w:pPr>
              <w:pStyle w:val="ListParagraph"/>
              <w:numPr>
                <w:ilvl w:val="0"/>
                <w:numId w:val="43"/>
              </w:numPr>
              <w:ind w:left="242" w:hanging="270"/>
              <w:rPr>
                <w:rFonts w:ascii="Calibri" w:hAnsi="Calibri" w:cs="Calibri"/>
                <w:iCs/>
              </w:rPr>
            </w:pPr>
            <w:r w:rsidRPr="00971882">
              <w:rPr>
                <w:rFonts w:ascii="Calibri" w:hAnsi="Calibri" w:cs="Calibri"/>
                <w:iCs/>
              </w:rPr>
              <w:t xml:space="preserve">Interview Protocol </w:t>
            </w:r>
            <w:r>
              <w:rPr>
                <w:rFonts w:ascii="Calibri" w:hAnsi="Calibri" w:cs="Calibri"/>
                <w:iCs/>
              </w:rPr>
              <w:t xml:space="preserve">Family Life Section </w:t>
            </w:r>
            <w:r w:rsidRPr="00971882">
              <w:rPr>
                <w:rFonts w:ascii="Calibri" w:hAnsi="Calibri" w:cs="Calibri"/>
                <w:iCs/>
              </w:rPr>
              <w:t>(</w:t>
            </w:r>
            <w:r w:rsidR="00091228">
              <w:rPr>
                <w:rFonts w:ascii="Calibri" w:hAnsi="Calibri" w:cs="Calibri"/>
                <w:iCs/>
              </w:rPr>
              <w:t>Section C, Q</w:t>
            </w:r>
            <w:r>
              <w:rPr>
                <w:rFonts w:ascii="Calibri" w:hAnsi="Calibri" w:cs="Calibri"/>
                <w:iCs/>
              </w:rPr>
              <w:t>C3a</w:t>
            </w:r>
            <w:r w:rsidRPr="00971882">
              <w:rPr>
                <w:rFonts w:ascii="Calibri" w:hAnsi="Calibri" w:cs="Calibri"/>
                <w:iCs/>
              </w:rPr>
              <w:t>)</w:t>
            </w:r>
          </w:p>
        </w:tc>
        <w:tc>
          <w:tcPr>
            <w:tcW w:w="4675" w:type="dxa"/>
            <w:tcBorders>
              <w:top w:val="single" w:color="auto" w:sz="4" w:space="0"/>
              <w:bottom w:val="single" w:color="auto" w:sz="4" w:space="0"/>
            </w:tcBorders>
          </w:tcPr>
          <w:p w:rsidRPr="00971882" w:rsidR="00692F38" w:rsidP="007D77D1" w:rsidRDefault="00091228" w14:paraId="10EF603E" w14:textId="20D4408C">
            <w:pPr>
              <w:spacing w:before="40"/>
              <w:rPr>
                <w:rFonts w:ascii="Calibri" w:hAnsi="Calibri" w:cs="Calibri"/>
              </w:rPr>
            </w:pPr>
            <w:r>
              <w:rPr>
                <w:rFonts w:ascii="Calibri" w:hAnsi="Calibri" w:cs="Calibri"/>
              </w:rPr>
              <w:t xml:space="preserve">Gender and sexual orientation may impact the life milestones and the ordering in which a participant </w:t>
            </w:r>
            <w:r w:rsidR="00060FEE">
              <w:rPr>
                <w:rFonts w:ascii="Calibri" w:hAnsi="Calibri" w:cs="Calibri"/>
              </w:rPr>
              <w:t>completes them, for example whether a pregnancy has occurred or the impact of sexual orientation on marriage and childbearing.</w:t>
            </w:r>
          </w:p>
        </w:tc>
      </w:tr>
      <w:tr w:rsidRPr="00971882" w:rsidR="00060FEE" w:rsidTr="003C73D5" w14:paraId="4CEFC2C5" w14:textId="77777777">
        <w:trPr>
          <w:trHeight w:val="1169"/>
        </w:trPr>
        <w:tc>
          <w:tcPr>
            <w:tcW w:w="4675" w:type="dxa"/>
            <w:tcBorders>
              <w:top w:val="single" w:color="auto" w:sz="4" w:space="0"/>
              <w:bottom w:val="single" w:color="auto" w:sz="4" w:space="0"/>
            </w:tcBorders>
          </w:tcPr>
          <w:p w:rsidR="00060FEE" w:rsidP="007D77D1" w:rsidRDefault="00060FEE" w14:paraId="415D02B1" w14:textId="77777777">
            <w:pPr>
              <w:spacing w:before="40"/>
              <w:rPr>
                <w:rFonts w:ascii="Calibri" w:hAnsi="Calibri" w:cs="Calibri"/>
                <w:b/>
                <w:bCs/>
              </w:rPr>
            </w:pPr>
            <w:r>
              <w:rPr>
                <w:rFonts w:ascii="Calibri" w:hAnsi="Calibri" w:cs="Calibri"/>
                <w:b/>
                <w:bCs/>
              </w:rPr>
              <w:lastRenderedPageBreak/>
              <w:t>Mental or physical health barriers or other barriers</w:t>
            </w:r>
          </w:p>
          <w:p w:rsidRPr="00060FEE" w:rsidR="00060FEE" w:rsidP="00060FEE" w:rsidRDefault="00060FEE" w14:paraId="6F140A9B" w14:textId="3965A912">
            <w:pPr>
              <w:pStyle w:val="ListParagraph"/>
              <w:numPr>
                <w:ilvl w:val="0"/>
                <w:numId w:val="43"/>
              </w:numPr>
              <w:ind w:left="242" w:hanging="242"/>
              <w:rPr>
                <w:rFonts w:ascii="Calibri" w:hAnsi="Calibri" w:cs="Calibri"/>
                <w:b/>
                <w:bCs/>
              </w:rPr>
            </w:pPr>
            <w:r w:rsidRPr="00060FEE">
              <w:rPr>
                <w:rFonts w:ascii="Calibri" w:hAnsi="Calibri" w:cs="Calibri"/>
                <w:iCs/>
              </w:rPr>
              <w:t xml:space="preserve">Interview Protocol </w:t>
            </w:r>
            <w:r>
              <w:rPr>
                <w:rFonts w:ascii="Calibri" w:hAnsi="Calibri" w:cs="Calibri"/>
                <w:iCs/>
              </w:rPr>
              <w:t>Employment</w:t>
            </w:r>
            <w:r w:rsidRPr="00060FEE">
              <w:rPr>
                <w:rFonts w:ascii="Calibri" w:hAnsi="Calibri" w:cs="Calibri"/>
                <w:iCs/>
              </w:rPr>
              <w:t xml:space="preserve"> Section (Section </w:t>
            </w:r>
            <w:r w:rsidR="00725674">
              <w:rPr>
                <w:rFonts w:ascii="Calibri" w:hAnsi="Calibri" w:cs="Calibri"/>
                <w:iCs/>
              </w:rPr>
              <w:t>B</w:t>
            </w:r>
            <w:r w:rsidRPr="00060FEE">
              <w:rPr>
                <w:rFonts w:ascii="Calibri" w:hAnsi="Calibri" w:cs="Calibri"/>
                <w:iCs/>
              </w:rPr>
              <w:t>, Q</w:t>
            </w:r>
            <w:r>
              <w:rPr>
                <w:rFonts w:ascii="Calibri" w:hAnsi="Calibri" w:cs="Calibri"/>
                <w:iCs/>
              </w:rPr>
              <w:t>B14-QB15</w:t>
            </w:r>
            <w:r w:rsidR="00725674">
              <w:rPr>
                <w:rFonts w:ascii="Calibri" w:hAnsi="Calibri" w:cs="Calibri"/>
                <w:iCs/>
              </w:rPr>
              <w:t>b</w:t>
            </w:r>
            <w:r w:rsidRPr="00060FEE">
              <w:rPr>
                <w:rFonts w:ascii="Calibri" w:hAnsi="Calibri" w:cs="Calibri"/>
                <w:iCs/>
              </w:rPr>
              <w:t>)</w:t>
            </w:r>
          </w:p>
        </w:tc>
        <w:tc>
          <w:tcPr>
            <w:tcW w:w="4675" w:type="dxa"/>
            <w:tcBorders>
              <w:top w:val="single" w:color="auto" w:sz="4" w:space="0"/>
              <w:bottom w:val="single" w:color="auto" w:sz="4" w:space="0"/>
            </w:tcBorders>
          </w:tcPr>
          <w:p w:rsidR="00060FEE" w:rsidP="007D77D1" w:rsidRDefault="00060FEE" w14:paraId="6EE7C7FA" w14:textId="28A7EBD2">
            <w:pPr>
              <w:spacing w:before="40"/>
              <w:rPr>
                <w:rFonts w:ascii="Calibri" w:hAnsi="Calibri" w:cs="Calibri"/>
              </w:rPr>
            </w:pPr>
            <w:r>
              <w:rPr>
                <w:rFonts w:ascii="Calibri" w:hAnsi="Calibri" w:cs="Calibri"/>
              </w:rPr>
              <w:t>The attainment and ordering of the life milestones may be impacted by mental or physical health barriers, or by other barriers such as engagement with the criminal justice system. These questions are necessary to gain a more complete picture of barriers that may have impacted the success sequence.</w:t>
            </w:r>
          </w:p>
        </w:tc>
      </w:tr>
    </w:tbl>
    <w:p w:rsidRPr="00971882" w:rsidR="00D32E6D" w:rsidP="00617B26" w:rsidRDefault="00D32E6D" w14:paraId="0DA926DF" w14:textId="77777777">
      <w:pPr>
        <w:spacing w:after="240" w:line="240" w:lineRule="auto"/>
        <w:rPr>
          <w:rFonts w:cstheme="minorHAnsi"/>
        </w:rPr>
      </w:pPr>
    </w:p>
    <w:p w:rsidRPr="00971882" w:rsidR="00230CAA" w:rsidP="00617B26" w:rsidRDefault="00B23277" w14:paraId="1316A99D" w14:textId="4C48D95C">
      <w:pPr>
        <w:spacing w:after="120" w:line="240" w:lineRule="auto"/>
        <w:rPr>
          <w:b/>
        </w:rPr>
      </w:pPr>
      <w:r w:rsidRPr="00971882">
        <w:rPr>
          <w:b/>
        </w:rPr>
        <w:t>A12</w:t>
      </w:r>
      <w:r w:rsidRPr="00971882">
        <w:t>.</w:t>
      </w:r>
      <w:r w:rsidRPr="00971882">
        <w:tab/>
      </w:r>
      <w:r w:rsidRPr="00971882" w:rsidR="005D4A40">
        <w:rPr>
          <w:b/>
        </w:rPr>
        <w:t>Burden</w:t>
      </w:r>
    </w:p>
    <w:p w:rsidRPr="00971882" w:rsidR="00230CAA" w:rsidP="00617B26" w:rsidRDefault="00230CAA" w14:paraId="5972B4E8" w14:textId="19743EC4">
      <w:pPr>
        <w:spacing w:after="60" w:line="240" w:lineRule="auto"/>
        <w:rPr>
          <w:i/>
        </w:rPr>
      </w:pPr>
      <w:r w:rsidRPr="00971882">
        <w:rPr>
          <w:i/>
        </w:rPr>
        <w:t>Explanation of Burden Estimates</w:t>
      </w:r>
    </w:p>
    <w:p w:rsidRPr="00971882" w:rsidR="002E137E" w:rsidP="003B7B69" w:rsidRDefault="002E137E" w14:paraId="41520C6C" w14:textId="5407ED62">
      <w:pPr>
        <w:spacing w:after="240"/>
      </w:pPr>
      <w:r w:rsidRPr="00971882">
        <w:t>In Table A</w:t>
      </w:r>
      <w:r w:rsidRPr="00971882" w:rsidR="000267C2">
        <w:t>.3</w:t>
      </w:r>
      <w:r w:rsidRPr="00971882">
        <w:t>, we summarize the estimated reporting burden and costs for each instrument.</w:t>
      </w:r>
    </w:p>
    <w:p w:rsidRPr="00971882" w:rsidR="002E137E" w:rsidP="003B7B69" w:rsidRDefault="002E137E" w14:paraId="03B36BE5" w14:textId="019C36AE">
      <w:pPr>
        <w:spacing w:after="240"/>
      </w:pPr>
      <w:r w:rsidRPr="00971882">
        <w:rPr>
          <w:b/>
          <w:bCs/>
        </w:rPr>
        <w:t>Screener.</w:t>
      </w:r>
      <w:r w:rsidRPr="00971882">
        <w:t xml:space="preserve"> </w:t>
      </w:r>
      <w:r w:rsidR="00BB03D9">
        <w:t xml:space="preserve">As described in Section A2, to ensure interviews are conducted proportional to the number of individuals reporting on their milestone order completion from the NLSY97 economic analysis, </w:t>
      </w:r>
      <w:r w:rsidR="003C6132">
        <w:t>we propose conducting</w:t>
      </w:r>
      <w:r w:rsidR="00D617DD">
        <w:t xml:space="preserve"> 225 completed interviews</w:t>
      </w:r>
      <w:r w:rsidR="003C6132">
        <w:t>. We</w:t>
      </w:r>
      <w:r w:rsidRPr="00971882">
        <w:t xml:space="preserve"> estimate </w:t>
      </w:r>
      <w:r w:rsidR="00D222AE">
        <w:t xml:space="preserve">it will be necessary to </w:t>
      </w:r>
      <w:r w:rsidRPr="00971882">
        <w:t>complet</w:t>
      </w:r>
      <w:r w:rsidR="00D222AE">
        <w:t>e</w:t>
      </w:r>
      <w:r w:rsidRPr="00971882">
        <w:t xml:space="preserve"> an eligibility screen with a</w:t>
      </w:r>
      <w:r w:rsidR="00D222AE">
        <w:t>bout</w:t>
      </w:r>
      <w:r w:rsidRPr="00971882">
        <w:t xml:space="preserve"> 675 respondents</w:t>
      </w:r>
      <w:r w:rsidR="003C6132">
        <w:t xml:space="preserve"> to obtain 225 completed interviews</w:t>
      </w:r>
      <w:r w:rsidRPr="00971882">
        <w:t xml:space="preserve">. </w:t>
      </w:r>
      <w:r w:rsidR="003C6132">
        <w:t xml:space="preserve">Each potential participant will be screened on the key success sequence milestones. </w:t>
      </w:r>
      <w:r w:rsidR="000E1BC8">
        <w:t>To conduct interviews in</w:t>
      </w:r>
      <w:r w:rsidR="00FC4474">
        <w:t xml:space="preserve"> proportionality to the NLSY</w:t>
      </w:r>
      <w:r w:rsidR="000E1BC8">
        <w:t xml:space="preserve">97 success sequence milestones findings as described in Appendix </w:t>
      </w:r>
      <w:r w:rsidR="00632DAF">
        <w:t>C</w:t>
      </w:r>
      <w:r w:rsidR="000E1BC8">
        <w:t xml:space="preserve">, Table </w:t>
      </w:r>
      <w:r w:rsidR="00B7244E">
        <w:t>C</w:t>
      </w:r>
      <w:r w:rsidR="000E1BC8">
        <w:t>.1</w:t>
      </w:r>
      <w:r w:rsidR="00FC4474">
        <w:t xml:space="preserve">, </w:t>
      </w:r>
      <w:r w:rsidR="000E1BC8">
        <w:t xml:space="preserve">we anticipate screener participants will mirror the milestones achieved in the NLSY97 data. Therefore, we anticipate that of the 675 screener participants, 438 will fall into the top 10 most common milestone pathways </w:t>
      </w:r>
      <w:r w:rsidR="002702D0">
        <w:t>and</w:t>
      </w:r>
      <w:r w:rsidR="000E1BC8">
        <w:t xml:space="preserve"> </w:t>
      </w:r>
      <w:r w:rsidR="00FC4474">
        <w:t xml:space="preserve">328 </w:t>
      </w:r>
      <w:r w:rsidR="002702D0">
        <w:t xml:space="preserve">will </w:t>
      </w:r>
      <w:r w:rsidR="00FC4474">
        <w:t>screen out</w:t>
      </w:r>
      <w:r w:rsidR="002702D0">
        <w:t xml:space="preserve"> of the study simply to</w:t>
      </w:r>
      <w:r w:rsidR="00FC4474">
        <w:t xml:space="preserve"> </w:t>
      </w:r>
      <w:r w:rsidR="005D24CD">
        <w:t>achieve the proposed</w:t>
      </w:r>
      <w:r w:rsidR="00FC4474">
        <w:t xml:space="preserve"> target </w:t>
      </w:r>
      <w:r w:rsidR="002702D0">
        <w:t xml:space="preserve">interview </w:t>
      </w:r>
      <w:r w:rsidR="00FC4474">
        <w:t>sample sizes for those categories.</w:t>
      </w:r>
      <w:r w:rsidR="005D24CD">
        <w:t xml:space="preserve"> We aim to screen an additional 237 participants to obtain a</w:t>
      </w:r>
      <w:r w:rsidR="00D222AE">
        <w:t>bout</w:t>
      </w:r>
      <w:r w:rsidR="005D24CD">
        <w:t xml:space="preserve"> 115 interview participants for the</w:t>
      </w:r>
      <w:r w:rsidR="002702D0">
        <w:t xml:space="preserve"> remaining</w:t>
      </w:r>
      <w:r w:rsidR="005D24CD">
        <w:t xml:space="preserve"> </w:t>
      </w:r>
      <w:proofErr w:type="gramStart"/>
      <w:r w:rsidR="005D24CD">
        <w:t>less</w:t>
      </w:r>
      <w:proofErr w:type="gramEnd"/>
      <w:r w:rsidR="005D24CD">
        <w:t xml:space="preserve"> common pathways</w:t>
      </w:r>
      <w:r w:rsidR="002702D0">
        <w:t xml:space="preserve"> found in the NLSY97 data</w:t>
      </w:r>
      <w:r w:rsidR="005D24CD">
        <w:t>.</w:t>
      </w:r>
      <w:r w:rsidR="00FC4474">
        <w:t xml:space="preserve"> </w:t>
      </w:r>
      <w:r w:rsidR="004845BE">
        <w:t xml:space="preserve">The overall goal is </w:t>
      </w:r>
      <w:r w:rsidR="005D24CD">
        <w:t>to obtain 110 interview participants in the 10 most common pathways and 115 participants in the less common pathways</w:t>
      </w:r>
      <w:r w:rsidRPr="00971882">
        <w:t>.</w:t>
      </w:r>
      <w:r w:rsidRPr="004845BE" w:rsidR="004845BE">
        <w:t xml:space="preserve"> </w:t>
      </w:r>
      <w:r w:rsidRPr="00971882" w:rsidR="004845BE">
        <w:t>The eligibility screener will take a</w:t>
      </w:r>
      <w:r w:rsidR="004845BE">
        <w:t>bout</w:t>
      </w:r>
      <w:r w:rsidRPr="00971882" w:rsidR="004845BE">
        <w:t xml:space="preserve"> 5 minutes (0.083 hours)</w:t>
      </w:r>
      <w:r w:rsidR="004845BE">
        <w:t xml:space="preserve">, </w:t>
      </w:r>
      <w:r w:rsidRPr="00971882" w:rsidR="004845BE">
        <w:t>for a total estimated annual burden of 56 hours</w:t>
      </w:r>
      <w:r w:rsidR="004845BE">
        <w:t>.</w:t>
      </w:r>
    </w:p>
    <w:p w:rsidRPr="00971882" w:rsidR="002E137E" w:rsidP="003B7B69" w:rsidRDefault="002E137E" w14:paraId="153EEFCF" w14:textId="79142741">
      <w:pPr>
        <w:spacing w:after="240"/>
      </w:pPr>
      <w:r w:rsidRPr="00971882">
        <w:rPr>
          <w:b/>
          <w:bCs/>
        </w:rPr>
        <w:t>Interview.</w:t>
      </w:r>
      <w:r w:rsidRPr="00971882">
        <w:t xml:space="preserve"> We estimate </w:t>
      </w:r>
      <w:r w:rsidR="002702D0">
        <w:t xml:space="preserve">up to </w:t>
      </w:r>
      <w:r w:rsidRPr="00971882">
        <w:t>225 of the eligible online research panel participants</w:t>
      </w:r>
      <w:r w:rsidR="002702D0">
        <w:t xml:space="preserve"> selected to participate in the study</w:t>
      </w:r>
      <w:r w:rsidRPr="00971882">
        <w:t xml:space="preserve"> will complete the interviews.</w:t>
      </w:r>
      <w:bookmarkStart w:name="_Hlk72727333" w:id="13"/>
      <w:r w:rsidRPr="00971882">
        <w:t xml:space="preserve"> </w:t>
      </w:r>
      <w:bookmarkEnd w:id="13"/>
      <w:r w:rsidR="00D617DD">
        <w:t>The number of completes is necessary to systematically test the success sequence pathways</w:t>
      </w:r>
      <w:r w:rsidR="000E3709">
        <w:t xml:space="preserve"> found in the economic analysis</w:t>
      </w:r>
      <w:r w:rsidR="00D617DD">
        <w:t xml:space="preserve"> with a purposively selected diverse sample</w:t>
      </w:r>
      <w:r w:rsidR="000E3709">
        <w:t xml:space="preserve">. </w:t>
      </w:r>
      <w:r w:rsidR="007720F6">
        <w:t xml:space="preserve">As described further in Supporting Statement Part B, Section B2, </w:t>
      </w:r>
      <w:r w:rsidR="000E3709">
        <w:t>the target sample size</w:t>
      </w:r>
      <w:r w:rsidR="007720F6">
        <w:t xml:space="preserve"> of 225 is</w:t>
      </w:r>
      <w:r w:rsidR="000E3709">
        <w:t xml:space="preserve"> necessary to proportionally match</w:t>
      </w:r>
      <w:r w:rsidR="007720F6">
        <w:t xml:space="preserve"> the interview sample to the number of cases by milestone</w:t>
      </w:r>
      <w:r w:rsidR="00AD306C">
        <w:t xml:space="preserve"> combinations found in the economic analysis.</w:t>
      </w:r>
      <w:r w:rsidR="007720F6">
        <w:t xml:space="preserve"> </w:t>
      </w:r>
      <w:r w:rsidRPr="00971882">
        <w:t>We estimate the interview will take 45 minutes for completion via an online chat board, for an estimated annual burden of 169 hours.</w:t>
      </w:r>
    </w:p>
    <w:p w:rsidRPr="00971882" w:rsidR="002E137E" w:rsidP="00617B26" w:rsidRDefault="002E137E" w14:paraId="0D7781CB" w14:textId="77777777">
      <w:pPr>
        <w:spacing w:after="60" w:line="240" w:lineRule="auto"/>
        <w:rPr>
          <w:i/>
        </w:rPr>
      </w:pPr>
      <w:r w:rsidRPr="00971882">
        <w:rPr>
          <w:i/>
        </w:rPr>
        <w:t>Estimated Annualized Cost to Respondents</w:t>
      </w:r>
    </w:p>
    <w:p w:rsidRPr="00971882" w:rsidR="002E137E" w:rsidP="003B7B69" w:rsidRDefault="002E137E" w14:paraId="6E6E8F6C" w14:textId="3FDD3475">
      <w:pPr>
        <w:spacing w:after="240"/>
        <w:rPr>
          <w:iCs/>
        </w:rPr>
      </w:pPr>
      <w:r w:rsidRPr="00971882">
        <w:rPr>
          <w:iCs/>
        </w:rPr>
        <w:t>We estimate</w:t>
      </w:r>
      <w:r w:rsidRPr="00971882" w:rsidR="00326399">
        <w:rPr>
          <w:iCs/>
        </w:rPr>
        <w:t xml:space="preserve"> </w:t>
      </w:r>
      <w:r w:rsidRPr="00971882">
        <w:rPr>
          <w:iCs/>
        </w:rPr>
        <w:t xml:space="preserve">the average hourly wage for </w:t>
      </w:r>
      <w:r w:rsidR="002B56D5">
        <w:rPr>
          <w:iCs/>
        </w:rPr>
        <w:t xml:space="preserve">the </w:t>
      </w:r>
      <w:r w:rsidRPr="003B7B69">
        <w:t>participants</w:t>
      </w:r>
      <w:r w:rsidRPr="00971882">
        <w:rPr>
          <w:iCs/>
        </w:rPr>
        <w:t xml:space="preserve"> </w:t>
      </w:r>
      <w:r w:rsidR="002B56D5">
        <w:rPr>
          <w:iCs/>
        </w:rPr>
        <w:t>of</w:t>
      </w:r>
      <w:r w:rsidRPr="00971882">
        <w:rPr>
          <w:iCs/>
        </w:rPr>
        <w:t xml:space="preserve"> this study is the average hourly wage of “all occupations” taken from the May 2020 National Occupation Employment and Wage Estimates, U.S. Bureau of Labor Statistics ($27.07).</w:t>
      </w:r>
      <w:r w:rsidRPr="00971882">
        <w:rPr>
          <w:rStyle w:val="FootnoteReference"/>
          <w:iCs/>
        </w:rPr>
        <w:footnoteReference w:id="11"/>
      </w:r>
      <w:r w:rsidRPr="00971882">
        <w:rPr>
          <w:iCs/>
        </w:rPr>
        <w:t xml:space="preserve"> </w:t>
      </w:r>
      <w:r w:rsidR="002B56D5">
        <w:rPr>
          <w:iCs/>
        </w:rPr>
        <w:t>The estimated burden results appear in Table A.3.</w:t>
      </w:r>
    </w:p>
    <w:p w:rsidRPr="00971882" w:rsidR="002E137E" w:rsidP="002E137E" w:rsidRDefault="002E137E" w14:paraId="228106CA" w14:textId="319B8FAA">
      <w:pPr>
        <w:pStyle w:val="MarkforTableHeading"/>
        <w:rPr>
          <w:rFonts w:asciiTheme="minorHAnsi" w:hAnsiTheme="minorHAnsi" w:cstheme="minorHAnsi"/>
          <w:sz w:val="22"/>
          <w:szCs w:val="22"/>
        </w:rPr>
      </w:pPr>
      <w:r w:rsidRPr="00971882">
        <w:rPr>
          <w:rFonts w:asciiTheme="minorHAnsi" w:hAnsiTheme="minorHAnsi" w:cstheme="minorHAnsi"/>
          <w:sz w:val="22"/>
          <w:szCs w:val="22"/>
        </w:rPr>
        <w:lastRenderedPageBreak/>
        <w:t>Table A</w:t>
      </w:r>
      <w:r w:rsidRPr="00971882" w:rsidR="000267C2">
        <w:rPr>
          <w:rFonts w:asciiTheme="minorHAnsi" w:hAnsiTheme="minorHAnsi" w:cstheme="minorHAnsi"/>
          <w:sz w:val="22"/>
          <w:szCs w:val="22"/>
        </w:rPr>
        <w:t>.3</w:t>
      </w:r>
      <w:r w:rsidRPr="00971882">
        <w:rPr>
          <w:rFonts w:asciiTheme="minorHAnsi" w:hAnsiTheme="minorHAnsi" w:cstheme="minorHAnsi"/>
          <w:sz w:val="22"/>
          <w:szCs w:val="22"/>
        </w:rPr>
        <w:t>. Total burden requested under this information collection</w:t>
      </w:r>
    </w:p>
    <w:tbl>
      <w:tblPr>
        <w:tblStyle w:val="TableGrid1"/>
        <w:tblW w:w="95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170"/>
        <w:gridCol w:w="1530"/>
        <w:gridCol w:w="1170"/>
        <w:gridCol w:w="1260"/>
        <w:gridCol w:w="810"/>
        <w:gridCol w:w="1085"/>
      </w:tblGrid>
      <w:tr w:rsidRPr="00E57343" w:rsidR="002B56D5" w:rsidTr="00AD306C" w14:paraId="38B4CB06" w14:textId="77777777">
        <w:tc>
          <w:tcPr>
            <w:tcW w:w="2520" w:type="dxa"/>
            <w:shd w:val="clear" w:color="auto" w:fill="1F497D" w:themeFill="text2"/>
            <w:vAlign w:val="bottom"/>
            <w:hideMark/>
          </w:tcPr>
          <w:p w:rsidRPr="00E57343" w:rsidR="002B56D5" w:rsidP="004F5DCD" w:rsidRDefault="002B56D5" w14:paraId="750EDE2C" w14:textId="77777777">
            <w:pPr>
              <w:pStyle w:val="TableHeaderCenter"/>
              <w:ind w:left="-72" w:right="-72"/>
              <w:rPr>
                <w:b/>
                <w:bCs/>
                <w:sz w:val="18"/>
                <w:szCs w:val="18"/>
              </w:rPr>
            </w:pPr>
            <w:r w:rsidRPr="00E57343">
              <w:rPr>
                <w:b/>
                <w:bCs/>
                <w:sz w:val="18"/>
                <w:szCs w:val="18"/>
              </w:rPr>
              <w:t>Instrument</w:t>
            </w:r>
          </w:p>
        </w:tc>
        <w:tc>
          <w:tcPr>
            <w:tcW w:w="1170" w:type="dxa"/>
            <w:shd w:val="clear" w:color="auto" w:fill="1F497D" w:themeFill="text2"/>
            <w:vAlign w:val="bottom"/>
            <w:hideMark/>
          </w:tcPr>
          <w:p w:rsidRPr="00E57343" w:rsidR="002B56D5" w:rsidP="004F5DCD" w:rsidRDefault="002B56D5" w14:paraId="566E3678" w14:textId="77777777">
            <w:pPr>
              <w:pStyle w:val="TableHeaderCenter"/>
              <w:ind w:left="-72" w:right="-72"/>
              <w:rPr>
                <w:b/>
                <w:bCs/>
                <w:sz w:val="18"/>
                <w:szCs w:val="18"/>
              </w:rPr>
            </w:pPr>
            <w:r w:rsidRPr="00E57343">
              <w:rPr>
                <w:b/>
                <w:bCs/>
                <w:sz w:val="18"/>
                <w:szCs w:val="18"/>
              </w:rPr>
              <w:t xml:space="preserve">No. of </w:t>
            </w:r>
            <w:r>
              <w:rPr>
                <w:b/>
                <w:bCs/>
                <w:sz w:val="18"/>
                <w:szCs w:val="18"/>
              </w:rPr>
              <w:t>p</w:t>
            </w:r>
            <w:r w:rsidRPr="00E57343">
              <w:rPr>
                <w:b/>
                <w:bCs/>
                <w:sz w:val="18"/>
                <w:szCs w:val="18"/>
              </w:rPr>
              <w:t>articipants (total over request period)</w:t>
            </w:r>
          </w:p>
        </w:tc>
        <w:tc>
          <w:tcPr>
            <w:tcW w:w="1530" w:type="dxa"/>
            <w:shd w:val="clear" w:color="auto" w:fill="1F497D" w:themeFill="text2"/>
            <w:vAlign w:val="bottom"/>
            <w:hideMark/>
          </w:tcPr>
          <w:p w:rsidRPr="00E57343" w:rsidR="002B56D5" w:rsidP="004F5DCD" w:rsidRDefault="002B56D5" w14:paraId="5D2C766E" w14:textId="77777777">
            <w:pPr>
              <w:pStyle w:val="TableHeaderCenter"/>
              <w:ind w:left="-72" w:right="-72"/>
              <w:rPr>
                <w:b/>
                <w:bCs/>
                <w:sz w:val="18"/>
                <w:szCs w:val="18"/>
              </w:rPr>
            </w:pPr>
            <w:r w:rsidRPr="00E57343">
              <w:rPr>
                <w:b/>
                <w:bCs/>
                <w:sz w:val="18"/>
                <w:szCs w:val="18"/>
              </w:rPr>
              <w:t xml:space="preserve">No. of </w:t>
            </w:r>
            <w:r>
              <w:rPr>
                <w:b/>
                <w:bCs/>
                <w:sz w:val="18"/>
                <w:szCs w:val="18"/>
              </w:rPr>
              <w:t>r</w:t>
            </w:r>
            <w:r w:rsidRPr="00E57343">
              <w:rPr>
                <w:b/>
                <w:bCs/>
                <w:sz w:val="18"/>
                <w:szCs w:val="18"/>
              </w:rPr>
              <w:t xml:space="preserve">esponses per </w:t>
            </w:r>
            <w:r>
              <w:rPr>
                <w:b/>
                <w:bCs/>
                <w:sz w:val="18"/>
                <w:szCs w:val="18"/>
              </w:rPr>
              <w:t>p</w:t>
            </w:r>
            <w:r w:rsidRPr="00E57343">
              <w:rPr>
                <w:b/>
                <w:bCs/>
                <w:sz w:val="18"/>
                <w:szCs w:val="18"/>
              </w:rPr>
              <w:t>articipant (total over request period)</w:t>
            </w:r>
          </w:p>
        </w:tc>
        <w:tc>
          <w:tcPr>
            <w:tcW w:w="1170" w:type="dxa"/>
            <w:shd w:val="clear" w:color="auto" w:fill="1F497D" w:themeFill="text2"/>
            <w:vAlign w:val="bottom"/>
            <w:hideMark/>
          </w:tcPr>
          <w:p w:rsidRPr="00E57343" w:rsidR="002B56D5" w:rsidP="004F5DCD" w:rsidRDefault="002B56D5" w14:paraId="0DC835D4" w14:textId="77777777">
            <w:pPr>
              <w:pStyle w:val="TableHeaderCenter"/>
              <w:ind w:left="-72" w:right="-72"/>
              <w:rPr>
                <w:b/>
                <w:bCs/>
                <w:sz w:val="18"/>
                <w:szCs w:val="18"/>
              </w:rPr>
            </w:pPr>
            <w:r w:rsidRPr="00E57343">
              <w:rPr>
                <w:b/>
                <w:bCs/>
                <w:sz w:val="18"/>
                <w:szCs w:val="18"/>
              </w:rPr>
              <w:t xml:space="preserve">Avg. </w:t>
            </w:r>
            <w:r>
              <w:rPr>
                <w:b/>
                <w:bCs/>
                <w:sz w:val="18"/>
                <w:szCs w:val="18"/>
              </w:rPr>
              <w:t>b</w:t>
            </w:r>
            <w:r w:rsidRPr="00E57343">
              <w:rPr>
                <w:b/>
                <w:bCs/>
                <w:sz w:val="18"/>
                <w:szCs w:val="18"/>
              </w:rPr>
              <w:t xml:space="preserve">urden per </w:t>
            </w:r>
            <w:r>
              <w:rPr>
                <w:b/>
                <w:bCs/>
                <w:sz w:val="18"/>
                <w:szCs w:val="18"/>
              </w:rPr>
              <w:t>r</w:t>
            </w:r>
            <w:r w:rsidRPr="00E57343">
              <w:rPr>
                <w:b/>
                <w:bCs/>
                <w:sz w:val="18"/>
                <w:szCs w:val="18"/>
              </w:rPr>
              <w:t>esponse (hours)</w:t>
            </w:r>
          </w:p>
        </w:tc>
        <w:tc>
          <w:tcPr>
            <w:tcW w:w="1260" w:type="dxa"/>
            <w:shd w:val="clear" w:color="auto" w:fill="1F497D" w:themeFill="text2"/>
            <w:vAlign w:val="bottom"/>
          </w:tcPr>
          <w:p w:rsidRPr="00E57343" w:rsidR="002B56D5" w:rsidP="004F5DCD" w:rsidRDefault="002B56D5" w14:paraId="54C5ADA7" w14:textId="77777777">
            <w:pPr>
              <w:pStyle w:val="TableHeaderCenter"/>
              <w:ind w:left="-72" w:right="-72"/>
              <w:rPr>
                <w:b/>
                <w:bCs/>
                <w:sz w:val="18"/>
                <w:szCs w:val="18"/>
              </w:rPr>
            </w:pPr>
            <w:r w:rsidRPr="00E57343">
              <w:rPr>
                <w:b/>
                <w:bCs/>
                <w:sz w:val="18"/>
                <w:szCs w:val="18"/>
              </w:rPr>
              <w:t>Total</w:t>
            </w:r>
            <w:r>
              <w:rPr>
                <w:b/>
                <w:bCs/>
                <w:sz w:val="18"/>
                <w:szCs w:val="18"/>
              </w:rPr>
              <w:t>/annual</w:t>
            </w:r>
            <w:r w:rsidRPr="00E57343">
              <w:rPr>
                <w:b/>
                <w:bCs/>
                <w:sz w:val="18"/>
                <w:szCs w:val="18"/>
              </w:rPr>
              <w:t xml:space="preserve"> </w:t>
            </w:r>
            <w:r>
              <w:rPr>
                <w:b/>
                <w:bCs/>
                <w:sz w:val="18"/>
                <w:szCs w:val="18"/>
              </w:rPr>
              <w:t>b</w:t>
            </w:r>
            <w:r w:rsidRPr="00E57343">
              <w:rPr>
                <w:b/>
                <w:bCs/>
                <w:sz w:val="18"/>
                <w:szCs w:val="18"/>
              </w:rPr>
              <w:t>urden (hours)</w:t>
            </w:r>
          </w:p>
        </w:tc>
        <w:tc>
          <w:tcPr>
            <w:tcW w:w="810" w:type="dxa"/>
            <w:shd w:val="clear" w:color="auto" w:fill="1F497D" w:themeFill="text2"/>
            <w:vAlign w:val="bottom"/>
            <w:hideMark/>
          </w:tcPr>
          <w:p w:rsidRPr="00E57343" w:rsidR="002B56D5" w:rsidP="004F5DCD" w:rsidRDefault="002B56D5" w14:paraId="3EA3BCE1" w14:textId="77777777">
            <w:pPr>
              <w:pStyle w:val="TableHeaderCenter"/>
              <w:ind w:left="-72" w:right="-72"/>
              <w:rPr>
                <w:b/>
                <w:bCs/>
                <w:sz w:val="18"/>
                <w:szCs w:val="18"/>
              </w:rPr>
            </w:pPr>
            <w:r w:rsidRPr="00E57343">
              <w:rPr>
                <w:b/>
                <w:bCs/>
                <w:sz w:val="18"/>
                <w:szCs w:val="18"/>
              </w:rPr>
              <w:t xml:space="preserve">Average </w:t>
            </w:r>
            <w:r>
              <w:rPr>
                <w:b/>
                <w:bCs/>
                <w:sz w:val="18"/>
                <w:szCs w:val="18"/>
              </w:rPr>
              <w:t>h</w:t>
            </w:r>
            <w:r w:rsidRPr="00E57343">
              <w:rPr>
                <w:b/>
                <w:bCs/>
                <w:sz w:val="18"/>
                <w:szCs w:val="18"/>
              </w:rPr>
              <w:t xml:space="preserve">ourly </w:t>
            </w:r>
            <w:r>
              <w:rPr>
                <w:b/>
                <w:bCs/>
                <w:sz w:val="18"/>
                <w:szCs w:val="18"/>
              </w:rPr>
              <w:t>w</w:t>
            </w:r>
            <w:r w:rsidRPr="00E57343">
              <w:rPr>
                <w:b/>
                <w:bCs/>
                <w:sz w:val="18"/>
                <w:szCs w:val="18"/>
              </w:rPr>
              <w:t xml:space="preserve">age </w:t>
            </w:r>
            <w:r>
              <w:rPr>
                <w:b/>
                <w:bCs/>
                <w:sz w:val="18"/>
                <w:szCs w:val="18"/>
              </w:rPr>
              <w:t>r</w:t>
            </w:r>
            <w:r w:rsidRPr="00E57343">
              <w:rPr>
                <w:b/>
                <w:bCs/>
                <w:sz w:val="18"/>
                <w:szCs w:val="18"/>
              </w:rPr>
              <w:t>ate</w:t>
            </w:r>
          </w:p>
        </w:tc>
        <w:tc>
          <w:tcPr>
            <w:tcW w:w="1085" w:type="dxa"/>
            <w:shd w:val="clear" w:color="auto" w:fill="1F497D" w:themeFill="text2"/>
            <w:vAlign w:val="bottom"/>
            <w:hideMark/>
          </w:tcPr>
          <w:p w:rsidRPr="00E57343" w:rsidR="002B56D5" w:rsidP="004F5DCD" w:rsidRDefault="002B56D5" w14:paraId="2A91DC15" w14:textId="77777777">
            <w:pPr>
              <w:pStyle w:val="TableHeaderCenter"/>
              <w:ind w:left="-72" w:right="-72"/>
              <w:rPr>
                <w:b/>
                <w:bCs/>
                <w:sz w:val="18"/>
                <w:szCs w:val="18"/>
              </w:rPr>
            </w:pPr>
            <w:r w:rsidRPr="00E57343">
              <w:rPr>
                <w:b/>
                <w:bCs/>
                <w:sz w:val="18"/>
                <w:szCs w:val="18"/>
              </w:rPr>
              <w:t xml:space="preserve">Total </w:t>
            </w:r>
            <w:r>
              <w:rPr>
                <w:b/>
                <w:bCs/>
                <w:sz w:val="18"/>
                <w:szCs w:val="18"/>
              </w:rPr>
              <w:t>a</w:t>
            </w:r>
            <w:r w:rsidRPr="00E57343">
              <w:rPr>
                <w:b/>
                <w:bCs/>
                <w:sz w:val="18"/>
                <w:szCs w:val="18"/>
              </w:rPr>
              <w:t xml:space="preserve">nnual </w:t>
            </w:r>
            <w:r>
              <w:rPr>
                <w:b/>
                <w:bCs/>
                <w:sz w:val="18"/>
                <w:szCs w:val="18"/>
              </w:rPr>
              <w:t>p</w:t>
            </w:r>
            <w:r w:rsidRPr="00E57343">
              <w:rPr>
                <w:b/>
                <w:bCs/>
                <w:sz w:val="18"/>
                <w:szCs w:val="18"/>
              </w:rPr>
              <w:t xml:space="preserve">articipant </w:t>
            </w:r>
            <w:r>
              <w:rPr>
                <w:b/>
                <w:bCs/>
                <w:sz w:val="18"/>
                <w:szCs w:val="18"/>
              </w:rPr>
              <w:t>c</w:t>
            </w:r>
            <w:r w:rsidRPr="00E57343">
              <w:rPr>
                <w:b/>
                <w:bCs/>
                <w:sz w:val="18"/>
                <w:szCs w:val="18"/>
              </w:rPr>
              <w:t>ost</w:t>
            </w:r>
          </w:p>
        </w:tc>
      </w:tr>
    </w:tbl>
    <w:tbl>
      <w:tblPr>
        <w:tblStyle w:val="TableGrid"/>
        <w:tblW w:w="9540" w:type="dxa"/>
        <w:tblInd w:w="-5" w:type="dxa"/>
        <w:tblLayout w:type="fixed"/>
        <w:tblLook w:val="01E0" w:firstRow="1" w:lastRow="1" w:firstColumn="1" w:lastColumn="1" w:noHBand="0" w:noVBand="0"/>
      </w:tblPr>
      <w:tblGrid>
        <w:gridCol w:w="2520"/>
        <w:gridCol w:w="1170"/>
        <w:gridCol w:w="1530"/>
        <w:gridCol w:w="1355"/>
        <w:gridCol w:w="895"/>
        <w:gridCol w:w="990"/>
        <w:gridCol w:w="1080"/>
      </w:tblGrid>
      <w:tr w:rsidRPr="00971882" w:rsidR="002E137E" w:rsidTr="002B56D5" w14:paraId="63312347" w14:textId="77777777">
        <w:tc>
          <w:tcPr>
            <w:tcW w:w="2520" w:type="dxa"/>
            <w:tcBorders>
              <w:top w:val="nil"/>
              <w:left w:val="nil"/>
              <w:bottom w:val="single" w:color="auto" w:sz="4" w:space="0"/>
              <w:right w:val="nil"/>
            </w:tcBorders>
          </w:tcPr>
          <w:p w:rsidRPr="00971882" w:rsidR="002E137E" w:rsidP="007D77D1" w:rsidRDefault="002E137E" w14:paraId="7356B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971882">
              <w:rPr>
                <w:rFonts w:ascii="Calibri" w:hAnsi="Calibri" w:cs="Calibri"/>
                <w:bCs/>
              </w:rPr>
              <w:t>Instrument 1. Success Sequence Screener</w:t>
            </w:r>
          </w:p>
        </w:tc>
        <w:tc>
          <w:tcPr>
            <w:tcW w:w="1170" w:type="dxa"/>
            <w:tcBorders>
              <w:top w:val="nil"/>
              <w:left w:val="nil"/>
              <w:bottom w:val="single" w:color="auto" w:sz="4" w:space="0"/>
              <w:right w:val="nil"/>
            </w:tcBorders>
            <w:vAlign w:val="center"/>
          </w:tcPr>
          <w:p w:rsidRPr="00971882" w:rsidR="002E137E" w:rsidP="007D77D1" w:rsidRDefault="002E137E" w14:paraId="607F0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675</w:t>
            </w:r>
          </w:p>
        </w:tc>
        <w:tc>
          <w:tcPr>
            <w:tcW w:w="1530" w:type="dxa"/>
            <w:tcBorders>
              <w:top w:val="nil"/>
              <w:left w:val="nil"/>
              <w:bottom w:val="single" w:color="auto" w:sz="4" w:space="0"/>
              <w:right w:val="nil"/>
            </w:tcBorders>
            <w:vAlign w:val="center"/>
          </w:tcPr>
          <w:p w:rsidRPr="00971882" w:rsidR="002E137E" w:rsidP="007D77D1" w:rsidRDefault="002E137E" w14:paraId="04745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1</w:t>
            </w:r>
          </w:p>
        </w:tc>
        <w:tc>
          <w:tcPr>
            <w:tcW w:w="1355" w:type="dxa"/>
            <w:tcBorders>
              <w:top w:val="nil"/>
              <w:left w:val="nil"/>
              <w:bottom w:val="single" w:color="auto" w:sz="4" w:space="0"/>
              <w:right w:val="nil"/>
            </w:tcBorders>
            <w:vAlign w:val="center"/>
          </w:tcPr>
          <w:p w:rsidRPr="00971882" w:rsidR="002E137E" w:rsidP="007D77D1" w:rsidRDefault="002E137E" w14:paraId="7E9F4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0.083</w:t>
            </w:r>
          </w:p>
        </w:tc>
        <w:tc>
          <w:tcPr>
            <w:tcW w:w="895" w:type="dxa"/>
            <w:tcBorders>
              <w:top w:val="nil"/>
              <w:left w:val="nil"/>
              <w:bottom w:val="single" w:color="auto" w:sz="4" w:space="0"/>
              <w:right w:val="nil"/>
            </w:tcBorders>
            <w:vAlign w:val="center"/>
          </w:tcPr>
          <w:p w:rsidRPr="00971882" w:rsidR="002E137E" w:rsidP="007D77D1" w:rsidRDefault="002E137E" w14:paraId="3FCA4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56</w:t>
            </w:r>
          </w:p>
        </w:tc>
        <w:tc>
          <w:tcPr>
            <w:tcW w:w="990" w:type="dxa"/>
            <w:tcBorders>
              <w:top w:val="nil"/>
              <w:left w:val="nil"/>
              <w:bottom w:val="single" w:color="auto" w:sz="4" w:space="0"/>
              <w:right w:val="nil"/>
            </w:tcBorders>
            <w:vAlign w:val="center"/>
          </w:tcPr>
          <w:p w:rsidRPr="00971882" w:rsidR="002E137E" w:rsidP="007D77D1" w:rsidRDefault="002E137E" w14:paraId="4DDF5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$27.07</w:t>
            </w:r>
          </w:p>
        </w:tc>
        <w:tc>
          <w:tcPr>
            <w:tcW w:w="1080" w:type="dxa"/>
            <w:tcBorders>
              <w:top w:val="nil"/>
              <w:left w:val="nil"/>
              <w:bottom w:val="single" w:color="auto" w:sz="4" w:space="0"/>
              <w:right w:val="nil"/>
            </w:tcBorders>
            <w:vAlign w:val="center"/>
          </w:tcPr>
          <w:p w:rsidRPr="00971882" w:rsidR="002E137E" w:rsidP="007D77D1" w:rsidRDefault="002E137E" w14:paraId="0C5CE7B1" w14:textId="60EA5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$1,51</w:t>
            </w:r>
            <w:r w:rsidR="004845BE">
              <w:rPr>
                <w:rFonts w:ascii="Calibri" w:hAnsi="Calibri" w:cs="Calibri"/>
                <w:bCs/>
              </w:rPr>
              <w:t>5.92</w:t>
            </w:r>
          </w:p>
        </w:tc>
      </w:tr>
      <w:tr w:rsidRPr="00971882" w:rsidR="002E137E" w:rsidTr="002B56D5" w14:paraId="0C0758B7" w14:textId="77777777">
        <w:tc>
          <w:tcPr>
            <w:tcW w:w="2520" w:type="dxa"/>
            <w:tcBorders>
              <w:top w:val="single" w:color="auto" w:sz="4" w:space="0"/>
              <w:left w:val="nil"/>
              <w:bottom w:val="single" w:color="auto" w:sz="4" w:space="0"/>
              <w:right w:val="nil"/>
            </w:tcBorders>
          </w:tcPr>
          <w:p w:rsidRPr="00971882" w:rsidR="002E137E" w:rsidP="007D77D1" w:rsidRDefault="002E137E" w14:paraId="6F233A8C" w14:textId="1BB43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971882">
              <w:rPr>
                <w:rFonts w:ascii="Calibri" w:hAnsi="Calibri" w:cs="Calibri"/>
                <w:bCs/>
              </w:rPr>
              <w:t xml:space="preserve">Instrument 2. Success Sequence Interview </w:t>
            </w:r>
            <w:r w:rsidR="00CE2E90">
              <w:rPr>
                <w:rFonts w:ascii="Calibri" w:hAnsi="Calibri" w:cs="Calibri"/>
                <w:bCs/>
              </w:rPr>
              <w:t>Protocol</w:t>
            </w:r>
          </w:p>
        </w:tc>
        <w:tc>
          <w:tcPr>
            <w:tcW w:w="1170" w:type="dxa"/>
            <w:tcBorders>
              <w:top w:val="single" w:color="auto" w:sz="4" w:space="0"/>
              <w:left w:val="nil"/>
              <w:bottom w:val="single" w:color="auto" w:sz="4" w:space="0"/>
              <w:right w:val="nil"/>
            </w:tcBorders>
            <w:vAlign w:val="center"/>
          </w:tcPr>
          <w:p w:rsidRPr="00971882" w:rsidR="002E137E" w:rsidP="007D77D1" w:rsidRDefault="002E137E" w14:paraId="358A12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225</w:t>
            </w:r>
          </w:p>
        </w:tc>
        <w:tc>
          <w:tcPr>
            <w:tcW w:w="1530" w:type="dxa"/>
            <w:tcBorders>
              <w:top w:val="single" w:color="auto" w:sz="4" w:space="0"/>
              <w:left w:val="nil"/>
              <w:bottom w:val="single" w:color="auto" w:sz="4" w:space="0"/>
              <w:right w:val="nil"/>
            </w:tcBorders>
            <w:vAlign w:val="center"/>
          </w:tcPr>
          <w:p w:rsidRPr="00971882" w:rsidR="002E137E" w:rsidP="007D77D1" w:rsidRDefault="002E137E" w14:paraId="0CED27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1</w:t>
            </w:r>
          </w:p>
        </w:tc>
        <w:tc>
          <w:tcPr>
            <w:tcW w:w="1355" w:type="dxa"/>
            <w:tcBorders>
              <w:top w:val="single" w:color="auto" w:sz="4" w:space="0"/>
              <w:left w:val="nil"/>
              <w:bottom w:val="single" w:color="auto" w:sz="4" w:space="0"/>
              <w:right w:val="nil"/>
            </w:tcBorders>
            <w:vAlign w:val="center"/>
          </w:tcPr>
          <w:p w:rsidRPr="00971882" w:rsidR="002E137E" w:rsidP="007D77D1" w:rsidRDefault="002E137E" w14:paraId="01117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0.75</w:t>
            </w:r>
          </w:p>
        </w:tc>
        <w:tc>
          <w:tcPr>
            <w:tcW w:w="895" w:type="dxa"/>
            <w:tcBorders>
              <w:top w:val="single" w:color="auto" w:sz="4" w:space="0"/>
              <w:left w:val="nil"/>
              <w:bottom w:val="single" w:color="auto" w:sz="4" w:space="0"/>
              <w:right w:val="nil"/>
            </w:tcBorders>
            <w:vAlign w:val="center"/>
          </w:tcPr>
          <w:p w:rsidRPr="00971882" w:rsidR="002E137E" w:rsidP="007D77D1" w:rsidRDefault="002E137E" w14:paraId="156855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169</w:t>
            </w:r>
          </w:p>
        </w:tc>
        <w:tc>
          <w:tcPr>
            <w:tcW w:w="990" w:type="dxa"/>
            <w:tcBorders>
              <w:top w:val="single" w:color="auto" w:sz="4" w:space="0"/>
              <w:left w:val="nil"/>
              <w:bottom w:val="single" w:color="auto" w:sz="4" w:space="0"/>
              <w:right w:val="nil"/>
            </w:tcBorders>
            <w:vAlign w:val="center"/>
            <w:hideMark/>
          </w:tcPr>
          <w:p w:rsidRPr="00971882" w:rsidR="002E137E" w:rsidP="007D77D1" w:rsidRDefault="002E137E" w14:paraId="5E919C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$27.07</w:t>
            </w:r>
          </w:p>
        </w:tc>
        <w:tc>
          <w:tcPr>
            <w:tcW w:w="1080" w:type="dxa"/>
            <w:tcBorders>
              <w:top w:val="single" w:color="auto" w:sz="4" w:space="0"/>
              <w:left w:val="nil"/>
              <w:bottom w:val="single" w:color="auto" w:sz="4" w:space="0"/>
              <w:right w:val="nil"/>
            </w:tcBorders>
            <w:vAlign w:val="center"/>
            <w:hideMark/>
          </w:tcPr>
          <w:p w:rsidRPr="00971882" w:rsidR="002E137E" w:rsidP="007D77D1" w:rsidRDefault="002E137E" w14:paraId="1338FB24" w14:textId="181D6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Cs/>
              </w:rPr>
              <w:t>$4,5</w:t>
            </w:r>
            <w:r w:rsidR="004845BE">
              <w:rPr>
                <w:rFonts w:ascii="Calibri" w:hAnsi="Calibri" w:cs="Calibri"/>
                <w:bCs/>
              </w:rPr>
              <w:t>74.83</w:t>
            </w:r>
          </w:p>
        </w:tc>
      </w:tr>
      <w:tr w:rsidRPr="00971882" w:rsidR="002E137E" w:rsidTr="002B56D5" w14:paraId="4CA634E9" w14:textId="77777777">
        <w:tc>
          <w:tcPr>
            <w:tcW w:w="6575" w:type="dxa"/>
            <w:gridSpan w:val="4"/>
            <w:tcBorders>
              <w:top w:val="single" w:color="auto" w:sz="4" w:space="0"/>
              <w:left w:val="nil"/>
              <w:bottom w:val="single" w:color="auto" w:sz="4" w:space="0"/>
              <w:right w:val="nil"/>
            </w:tcBorders>
            <w:vAlign w:val="center"/>
          </w:tcPr>
          <w:p w:rsidRPr="00971882" w:rsidR="002E137E" w:rsidP="002B56D5" w:rsidRDefault="002B56D5" w14:paraId="10E326A5" w14:textId="7BE21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Pr>
                <w:rFonts w:ascii="Calibri" w:hAnsi="Calibri" w:cs="Calibri"/>
                <w:b/>
              </w:rPr>
              <w:t>Estimated total annual burden</w:t>
            </w:r>
          </w:p>
        </w:tc>
        <w:tc>
          <w:tcPr>
            <w:tcW w:w="895" w:type="dxa"/>
            <w:tcBorders>
              <w:top w:val="single" w:color="auto" w:sz="4" w:space="0"/>
              <w:left w:val="nil"/>
              <w:bottom w:val="single" w:color="auto" w:sz="4" w:space="0"/>
              <w:right w:val="nil"/>
            </w:tcBorders>
            <w:vAlign w:val="center"/>
          </w:tcPr>
          <w:p w:rsidRPr="00971882" w:rsidR="002E137E" w:rsidP="007D77D1" w:rsidRDefault="002E137E" w14:paraId="754E4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
              </w:rPr>
              <w:t>225</w:t>
            </w:r>
          </w:p>
        </w:tc>
        <w:tc>
          <w:tcPr>
            <w:tcW w:w="990" w:type="dxa"/>
            <w:tcBorders>
              <w:top w:val="single" w:color="auto" w:sz="4" w:space="0"/>
              <w:left w:val="nil"/>
              <w:bottom w:val="single" w:color="auto" w:sz="4" w:space="0"/>
              <w:right w:val="nil"/>
            </w:tcBorders>
            <w:vAlign w:val="center"/>
          </w:tcPr>
          <w:p w:rsidRPr="00971882" w:rsidR="002E137E" w:rsidP="007D77D1" w:rsidRDefault="002E137E" w14:paraId="57864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080" w:type="dxa"/>
            <w:tcBorders>
              <w:top w:val="single" w:color="auto" w:sz="4" w:space="0"/>
              <w:left w:val="nil"/>
              <w:bottom w:val="single" w:color="auto" w:sz="4" w:space="0"/>
              <w:right w:val="nil"/>
            </w:tcBorders>
            <w:vAlign w:val="center"/>
          </w:tcPr>
          <w:p w:rsidRPr="00971882" w:rsidR="002E137E" w:rsidP="007D77D1" w:rsidRDefault="002E137E" w14:paraId="56B08334" w14:textId="3B3FE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971882">
              <w:rPr>
                <w:rFonts w:ascii="Calibri" w:hAnsi="Calibri" w:cs="Calibri"/>
                <w:b/>
              </w:rPr>
              <w:t>$6,0</w:t>
            </w:r>
            <w:r w:rsidR="004845BE">
              <w:rPr>
                <w:rFonts w:ascii="Calibri" w:hAnsi="Calibri" w:cs="Calibri"/>
                <w:b/>
              </w:rPr>
              <w:t>90.75</w:t>
            </w:r>
          </w:p>
        </w:tc>
      </w:tr>
    </w:tbl>
    <w:p w:rsidRPr="00971882" w:rsidR="001F0446" w:rsidP="00617B26" w:rsidRDefault="001F0446" w14:paraId="24B69DBB" w14:textId="77777777">
      <w:pPr>
        <w:spacing w:after="240" w:line="240" w:lineRule="auto"/>
        <w:rPr>
          <w:i/>
        </w:rPr>
      </w:pPr>
    </w:p>
    <w:p w:rsidRPr="00971882" w:rsidR="00373D2F" w:rsidP="00F40B80" w:rsidRDefault="00B23277" w14:paraId="3D55F30E" w14:textId="079CEC34">
      <w:pPr>
        <w:spacing w:after="120" w:line="240" w:lineRule="auto"/>
        <w:rPr>
          <w:rFonts w:cstheme="minorHAnsi"/>
        </w:rPr>
      </w:pPr>
      <w:r w:rsidRPr="00971882">
        <w:rPr>
          <w:rFonts w:cstheme="minorHAnsi"/>
          <w:b/>
        </w:rPr>
        <w:t>A13</w:t>
      </w:r>
      <w:r w:rsidRPr="00971882">
        <w:rPr>
          <w:rFonts w:cstheme="minorHAnsi"/>
        </w:rPr>
        <w:t>.</w:t>
      </w:r>
      <w:r w:rsidRPr="00971882">
        <w:rPr>
          <w:rFonts w:cstheme="minorHAnsi"/>
        </w:rPr>
        <w:tab/>
      </w:r>
      <w:r w:rsidRPr="00971882" w:rsidR="00083227">
        <w:rPr>
          <w:rFonts w:cstheme="minorHAnsi"/>
          <w:b/>
        </w:rPr>
        <w:t>Costs</w:t>
      </w:r>
    </w:p>
    <w:p w:rsidRPr="00971882" w:rsidR="00373D2F" w:rsidP="003B7B69" w:rsidRDefault="002E137E" w14:paraId="0FF19BD8" w14:textId="0ADF72BA">
      <w:pPr>
        <w:spacing w:after="240"/>
      </w:pPr>
      <w:r w:rsidRPr="00971882">
        <w:t>There are no additional costs to respondents.</w:t>
      </w:r>
    </w:p>
    <w:p w:rsidRPr="00971882" w:rsidR="00373D2F" w:rsidP="00CA2A0D" w:rsidRDefault="00B23277" w14:paraId="6BC921C3" w14:textId="5EBD686E">
      <w:pPr>
        <w:spacing w:after="120" w:line="240" w:lineRule="auto"/>
        <w:rPr>
          <w:rFonts w:cstheme="minorHAnsi"/>
        </w:rPr>
      </w:pPr>
      <w:r w:rsidRPr="00971882">
        <w:rPr>
          <w:rFonts w:cstheme="minorHAnsi"/>
          <w:b/>
        </w:rPr>
        <w:t>A14</w:t>
      </w:r>
      <w:r w:rsidRPr="00971882">
        <w:rPr>
          <w:rFonts w:cstheme="minorHAnsi"/>
        </w:rPr>
        <w:t>.</w:t>
      </w:r>
      <w:r w:rsidRPr="00971882">
        <w:rPr>
          <w:rFonts w:cstheme="minorHAnsi"/>
        </w:rPr>
        <w:tab/>
      </w:r>
      <w:r w:rsidRPr="00971882" w:rsidR="00577243">
        <w:rPr>
          <w:rFonts w:cstheme="minorHAnsi"/>
          <w:b/>
        </w:rPr>
        <w:t>Estimated Annualized Costs to the Federal Government</w:t>
      </w:r>
    </w:p>
    <w:p w:rsidR="002B56D5" w:rsidP="003B7B69" w:rsidRDefault="002B56D5" w14:paraId="2C944231" w14:textId="1DB5E882">
      <w:pPr>
        <w:spacing w:after="240"/>
      </w:pPr>
      <w:r w:rsidRPr="00BE2816">
        <w:t>The total cost to the federal government for this study is $</w:t>
      </w:r>
      <w:r>
        <w:t>1</w:t>
      </w:r>
      <w:r w:rsidR="004845BE">
        <w:t>73, 659</w:t>
      </w:r>
      <w:r>
        <w:t xml:space="preserve"> </w:t>
      </w:r>
      <w:r w:rsidRPr="00BE2816">
        <w:t>(Table A</w:t>
      </w:r>
      <w:r>
        <w:t>.4</w:t>
      </w:r>
      <w:r w:rsidRPr="00BE2816">
        <w:t>). This includes the costs incurred for designing and administ</w:t>
      </w:r>
      <w:r>
        <w:t>e</w:t>
      </w:r>
      <w:r w:rsidRPr="00BE2816">
        <w:t xml:space="preserve">ring all collection instruments, </w:t>
      </w:r>
      <w:proofErr w:type="gramStart"/>
      <w:r w:rsidRPr="00BE2816">
        <w:t>processing</w:t>
      </w:r>
      <w:proofErr w:type="gramEnd"/>
      <w:r w:rsidRPr="00BE2816">
        <w:t xml:space="preserve"> and analyzing the data, and preparing reports.</w:t>
      </w:r>
    </w:p>
    <w:p w:rsidRPr="001013C0" w:rsidR="002B56D5" w:rsidP="002B56D5" w:rsidRDefault="002B56D5" w14:paraId="4AC02E3D" w14:textId="77777777">
      <w:pPr>
        <w:keepNext/>
        <w:keepLines/>
        <w:spacing w:before="40" w:after="40"/>
        <w:rPr>
          <w:rFonts w:ascii="Arial" w:hAnsi="Arial" w:eastAsia="Times New Roman" w:cs="Times New Roman"/>
          <w:b/>
          <w:color w:val="000000"/>
          <w:sz w:val="20"/>
        </w:rPr>
      </w:pPr>
      <w:bookmarkStart w:name="_Toc77949003" w:id="14"/>
      <w:r w:rsidRPr="001013C0">
        <w:rPr>
          <w:rFonts w:ascii="Arial" w:hAnsi="Arial" w:eastAsia="Times New Roman" w:cs="Times New Roman"/>
          <w:b/>
          <w:color w:val="000000"/>
          <w:sz w:val="20"/>
        </w:rPr>
        <w:t>Table A</w:t>
      </w:r>
      <w:r>
        <w:rPr>
          <w:rFonts w:ascii="Arial" w:hAnsi="Arial" w:eastAsia="Times New Roman" w:cs="Times New Roman"/>
          <w:b/>
          <w:color w:val="000000"/>
          <w:sz w:val="20"/>
        </w:rPr>
        <w:t>.4</w:t>
      </w:r>
      <w:r w:rsidRPr="001013C0">
        <w:rPr>
          <w:rFonts w:ascii="Arial" w:hAnsi="Arial" w:eastAsia="Times New Roman" w:cs="Times New Roman"/>
          <w:b/>
          <w:color w:val="000000"/>
          <w:sz w:val="20"/>
        </w:rPr>
        <w:t>. Estimated total cost by category</w:t>
      </w:r>
      <w:bookmarkEnd w:id="14"/>
    </w:p>
    <w:tbl>
      <w:tblPr>
        <w:tblStyle w:val="MathUBaseTable"/>
        <w:tblW w:w="9350" w:type="dxa"/>
        <w:tblLook w:val="04A0" w:firstRow="1" w:lastRow="0" w:firstColumn="1" w:lastColumn="0" w:noHBand="0" w:noVBand="1"/>
      </w:tblPr>
      <w:tblGrid>
        <w:gridCol w:w="4878"/>
        <w:gridCol w:w="4472"/>
      </w:tblGrid>
      <w:tr w:rsidRPr="001013C0" w:rsidR="00102D17" w:rsidTr="004F5DCD" w14:paraId="3B1856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bottom w:val="nil"/>
            </w:tcBorders>
            <w:hideMark/>
          </w:tcPr>
          <w:p w:rsidRPr="001013C0" w:rsidR="00102D17" w:rsidP="004F5DCD" w:rsidRDefault="00102D17" w14:paraId="035B4477" w14:textId="77777777">
            <w:pPr>
              <w:pStyle w:val="TableHeaderCenter"/>
              <w:jc w:val="left"/>
              <w:rPr>
                <w:rFonts w:eastAsia="Times New Roman"/>
              </w:rPr>
            </w:pPr>
            <w:r w:rsidRPr="001013C0">
              <w:rPr>
                <w:rFonts w:eastAsia="Times New Roman"/>
              </w:rPr>
              <w:t xml:space="preserve">Cost </w:t>
            </w:r>
            <w:r>
              <w:rPr>
                <w:rFonts w:eastAsia="Times New Roman"/>
              </w:rPr>
              <w:t>c</w:t>
            </w:r>
            <w:r w:rsidRPr="001013C0">
              <w:rPr>
                <w:rFonts w:eastAsia="Times New Roman"/>
              </w:rPr>
              <w:t>ategory</w:t>
            </w:r>
          </w:p>
        </w:tc>
        <w:tc>
          <w:tcPr>
            <w:tcW w:w="4472" w:type="dxa"/>
            <w:tcBorders>
              <w:bottom w:val="nil"/>
            </w:tcBorders>
            <w:hideMark/>
          </w:tcPr>
          <w:p w:rsidRPr="001013C0" w:rsidR="00102D17" w:rsidP="004F5DCD" w:rsidRDefault="00102D17" w14:paraId="5F5E2E05"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1013C0">
              <w:rPr>
                <w:rFonts w:eastAsia="Times New Roman"/>
              </w:rPr>
              <w:t xml:space="preserve">Estimated </w:t>
            </w:r>
            <w:r>
              <w:rPr>
                <w:rFonts w:eastAsia="Times New Roman"/>
              </w:rPr>
              <w:t>c</w:t>
            </w:r>
            <w:r w:rsidRPr="001013C0">
              <w:rPr>
                <w:rFonts w:eastAsia="Times New Roman"/>
              </w:rPr>
              <w:t>osts</w:t>
            </w:r>
          </w:p>
        </w:tc>
      </w:tr>
    </w:tbl>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878"/>
        <w:gridCol w:w="4477"/>
      </w:tblGrid>
      <w:tr w:rsidRPr="00971882" w:rsidR="002E137E" w:rsidTr="008123FD" w14:paraId="496E8063" w14:textId="77777777">
        <w:tc>
          <w:tcPr>
            <w:tcW w:w="4878" w:type="dxa"/>
            <w:tcMar>
              <w:top w:w="0" w:type="dxa"/>
              <w:left w:w="108" w:type="dxa"/>
              <w:bottom w:w="0" w:type="dxa"/>
              <w:right w:w="108" w:type="dxa"/>
            </w:tcMar>
            <w:vAlign w:val="center"/>
          </w:tcPr>
          <w:p w:rsidRPr="00971882" w:rsidR="002E137E" w:rsidP="007D77D1" w:rsidRDefault="002E137E" w14:paraId="16C6D953" w14:textId="66A57607">
            <w:pPr>
              <w:spacing w:after="0"/>
              <w:rPr>
                <w:sz w:val="20"/>
              </w:rPr>
            </w:pPr>
          </w:p>
        </w:tc>
        <w:tc>
          <w:tcPr>
            <w:tcW w:w="4477" w:type="dxa"/>
            <w:tcMar>
              <w:top w:w="0" w:type="dxa"/>
              <w:left w:w="108" w:type="dxa"/>
              <w:bottom w:w="0" w:type="dxa"/>
              <w:right w:w="108" w:type="dxa"/>
            </w:tcMar>
            <w:vAlign w:val="center"/>
          </w:tcPr>
          <w:p w:rsidRPr="00971882" w:rsidR="002E137E" w:rsidP="007D77D1" w:rsidRDefault="002E137E" w14:paraId="658C10D4" w14:textId="4A33EB30">
            <w:pPr>
              <w:spacing w:after="0"/>
              <w:jc w:val="center"/>
              <w:rPr>
                <w:sz w:val="20"/>
              </w:rPr>
            </w:pPr>
          </w:p>
        </w:tc>
      </w:tr>
      <w:tr w:rsidRPr="00971882" w:rsidR="002E137E" w:rsidTr="00102D17" w14:paraId="3232CD53" w14:textId="77777777">
        <w:tc>
          <w:tcPr>
            <w:tcW w:w="4878" w:type="dxa"/>
            <w:tcMar>
              <w:top w:w="0" w:type="dxa"/>
              <w:left w:w="108" w:type="dxa"/>
              <w:bottom w:w="0" w:type="dxa"/>
              <w:right w:w="108" w:type="dxa"/>
            </w:tcMar>
            <w:vAlign w:val="center"/>
            <w:hideMark/>
          </w:tcPr>
          <w:p w:rsidRPr="00971882" w:rsidR="002E137E" w:rsidP="007D77D1" w:rsidRDefault="002E137E" w14:paraId="2F403AF8" w14:textId="77777777">
            <w:pPr>
              <w:spacing w:after="0"/>
              <w:rPr>
                <w:rFonts w:ascii="Calibri" w:hAnsi="Calibri" w:eastAsia="Calibri" w:cs="Calibri"/>
                <w:sz w:val="20"/>
              </w:rPr>
            </w:pPr>
            <w:r w:rsidRPr="00971882">
              <w:rPr>
                <w:sz w:val="20"/>
              </w:rPr>
              <w:t>Field work</w:t>
            </w:r>
          </w:p>
        </w:tc>
        <w:tc>
          <w:tcPr>
            <w:tcW w:w="4477" w:type="dxa"/>
            <w:tcMar>
              <w:top w:w="0" w:type="dxa"/>
              <w:left w:w="108" w:type="dxa"/>
              <w:bottom w:w="0" w:type="dxa"/>
              <w:right w:w="108" w:type="dxa"/>
            </w:tcMar>
            <w:vAlign w:val="center"/>
            <w:hideMark/>
          </w:tcPr>
          <w:p w:rsidRPr="00971882" w:rsidR="002E137E" w:rsidP="007D77D1" w:rsidRDefault="002E137E" w14:paraId="4E23103D" w14:textId="337E04F9">
            <w:pPr>
              <w:spacing w:after="0"/>
              <w:jc w:val="center"/>
              <w:rPr>
                <w:sz w:val="20"/>
              </w:rPr>
            </w:pPr>
            <w:r w:rsidRPr="00971882">
              <w:rPr>
                <w:sz w:val="20"/>
              </w:rPr>
              <w:t>$123,659</w:t>
            </w:r>
          </w:p>
        </w:tc>
      </w:tr>
      <w:tr w:rsidRPr="00971882" w:rsidR="002E137E" w:rsidTr="00102D17" w14:paraId="2E6C6FC7" w14:textId="77777777">
        <w:tc>
          <w:tcPr>
            <w:tcW w:w="4878" w:type="dxa"/>
            <w:tcMar>
              <w:top w:w="0" w:type="dxa"/>
              <w:left w:w="108" w:type="dxa"/>
              <w:bottom w:w="0" w:type="dxa"/>
              <w:right w:w="108" w:type="dxa"/>
            </w:tcMar>
            <w:vAlign w:val="center"/>
            <w:hideMark/>
          </w:tcPr>
          <w:p w:rsidRPr="00971882" w:rsidR="002E137E" w:rsidP="007D77D1" w:rsidRDefault="002E137E" w14:paraId="61FBC8D6" w14:textId="77777777">
            <w:pPr>
              <w:spacing w:after="0"/>
              <w:rPr>
                <w:rFonts w:ascii="Calibri" w:hAnsi="Calibri" w:eastAsia="Calibri" w:cs="Calibri"/>
                <w:sz w:val="20"/>
              </w:rPr>
            </w:pPr>
            <w:r w:rsidRPr="00971882">
              <w:rPr>
                <w:sz w:val="20"/>
              </w:rPr>
              <w:t>Summary brief</w:t>
            </w:r>
          </w:p>
        </w:tc>
        <w:tc>
          <w:tcPr>
            <w:tcW w:w="4477" w:type="dxa"/>
            <w:tcMar>
              <w:top w:w="0" w:type="dxa"/>
              <w:left w:w="108" w:type="dxa"/>
              <w:bottom w:w="0" w:type="dxa"/>
              <w:right w:w="108" w:type="dxa"/>
            </w:tcMar>
            <w:vAlign w:val="center"/>
            <w:hideMark/>
          </w:tcPr>
          <w:p w:rsidRPr="00971882" w:rsidR="002E137E" w:rsidP="007D77D1" w:rsidRDefault="00C60802" w14:paraId="135491DC" w14:textId="28AC94EF">
            <w:pPr>
              <w:spacing w:after="0"/>
              <w:jc w:val="center"/>
              <w:rPr>
                <w:sz w:val="20"/>
              </w:rPr>
            </w:pPr>
            <w:r>
              <w:rPr>
                <w:sz w:val="20"/>
              </w:rPr>
              <w:t xml:space="preserve"> </w:t>
            </w:r>
            <w:r w:rsidRPr="00971882" w:rsidR="002E137E">
              <w:rPr>
                <w:sz w:val="20"/>
              </w:rPr>
              <w:t>$</w:t>
            </w:r>
            <w:r w:rsidR="004C14EA">
              <w:rPr>
                <w:sz w:val="20"/>
              </w:rPr>
              <w:t>50,000</w:t>
            </w:r>
          </w:p>
        </w:tc>
      </w:tr>
      <w:tr w:rsidRPr="00971882" w:rsidR="002E137E" w:rsidTr="00102D17" w14:paraId="0C6E64DC" w14:textId="77777777">
        <w:tc>
          <w:tcPr>
            <w:tcW w:w="4878" w:type="dxa"/>
            <w:tcMar>
              <w:top w:w="0" w:type="dxa"/>
              <w:left w:w="108" w:type="dxa"/>
              <w:bottom w:w="0" w:type="dxa"/>
              <w:right w:w="108" w:type="dxa"/>
            </w:tcMar>
            <w:vAlign w:val="center"/>
            <w:hideMark/>
          </w:tcPr>
          <w:p w:rsidRPr="002B56D5" w:rsidR="002E137E" w:rsidP="00102D17" w:rsidRDefault="002E137E" w14:paraId="1108EA61" w14:textId="77777777">
            <w:pPr>
              <w:spacing w:after="0"/>
              <w:rPr>
                <w:rFonts w:ascii="Calibri" w:hAnsi="Calibri" w:eastAsia="Calibri" w:cs="Calibri"/>
                <w:b/>
                <w:sz w:val="20"/>
              </w:rPr>
            </w:pPr>
            <w:r w:rsidRPr="002B56D5">
              <w:rPr>
                <w:b/>
                <w:color w:val="000000"/>
                <w:sz w:val="20"/>
              </w:rPr>
              <w:t>Total/annual costs over the request period</w:t>
            </w:r>
          </w:p>
        </w:tc>
        <w:tc>
          <w:tcPr>
            <w:tcW w:w="4477" w:type="dxa"/>
            <w:tcMar>
              <w:top w:w="0" w:type="dxa"/>
              <w:left w:w="108" w:type="dxa"/>
              <w:bottom w:w="0" w:type="dxa"/>
              <w:right w:w="108" w:type="dxa"/>
            </w:tcMar>
            <w:vAlign w:val="center"/>
            <w:hideMark/>
          </w:tcPr>
          <w:p w:rsidRPr="002B56D5" w:rsidR="002E137E" w:rsidP="007D77D1" w:rsidRDefault="002E137E" w14:paraId="1E1450D9" w14:textId="44D25B4A">
            <w:pPr>
              <w:spacing w:after="0"/>
              <w:jc w:val="center"/>
              <w:rPr>
                <w:b/>
                <w:sz w:val="20"/>
              </w:rPr>
            </w:pPr>
            <w:r w:rsidRPr="002B56D5">
              <w:rPr>
                <w:b/>
                <w:sz w:val="20"/>
              </w:rPr>
              <w:t>$</w:t>
            </w:r>
            <w:r w:rsidR="004845BE">
              <w:rPr>
                <w:b/>
                <w:sz w:val="20"/>
              </w:rPr>
              <w:t>173, 659</w:t>
            </w:r>
          </w:p>
        </w:tc>
      </w:tr>
    </w:tbl>
    <w:p w:rsidR="00E11725" w:rsidP="00E11725" w:rsidRDefault="00E11725" w14:paraId="2FE22897" w14:textId="77777777">
      <w:pPr>
        <w:keepLines/>
        <w:spacing w:after="240" w:line="240" w:lineRule="auto"/>
        <w:rPr>
          <w:rFonts w:cstheme="minorHAnsi"/>
          <w:bCs/>
        </w:rPr>
      </w:pPr>
    </w:p>
    <w:p w:rsidRPr="00971882" w:rsidR="0068383E" w:rsidP="00E11725" w:rsidRDefault="00B23277" w14:paraId="3C111F63" w14:textId="123BE553">
      <w:pPr>
        <w:keepLines/>
        <w:spacing w:after="240" w:line="240" w:lineRule="auto"/>
        <w:rPr>
          <w:rFonts w:cstheme="minorHAnsi"/>
        </w:rPr>
      </w:pPr>
      <w:r w:rsidRPr="00971882">
        <w:rPr>
          <w:rFonts w:cstheme="minorHAnsi"/>
          <w:b/>
        </w:rPr>
        <w:t>A15</w:t>
      </w:r>
      <w:r w:rsidRPr="00971882">
        <w:rPr>
          <w:rFonts w:cstheme="minorHAnsi"/>
        </w:rPr>
        <w:t>.</w:t>
      </w:r>
      <w:r w:rsidRPr="00971882">
        <w:rPr>
          <w:rFonts w:cstheme="minorHAnsi"/>
        </w:rPr>
        <w:tab/>
      </w:r>
      <w:r w:rsidRPr="00971882" w:rsidR="007C7B4B">
        <w:rPr>
          <w:rFonts w:cstheme="minorHAnsi"/>
          <w:b/>
        </w:rPr>
        <w:t>Reasons for changes in burden</w:t>
      </w:r>
      <w:r w:rsidRPr="00971882" w:rsidR="007C7B4B">
        <w:rPr>
          <w:rFonts w:cstheme="minorHAnsi"/>
        </w:rPr>
        <w:t xml:space="preserve"> </w:t>
      </w:r>
    </w:p>
    <w:p w:rsidRPr="00971882" w:rsidR="00553F88" w:rsidP="003B7B69" w:rsidRDefault="00553F88" w14:paraId="461CD89D" w14:textId="236AF1C8">
      <w:pPr>
        <w:spacing w:after="240"/>
        <w:rPr>
          <w:rFonts w:cstheme="minorHAnsi"/>
        </w:rPr>
      </w:pPr>
      <w:r w:rsidRPr="00971882">
        <w:rPr>
          <w:rFonts w:cstheme="minorHAnsi"/>
        </w:rPr>
        <w:t xml:space="preserve">This is a new </w:t>
      </w:r>
      <w:r w:rsidRPr="003B7B69">
        <w:t>information</w:t>
      </w:r>
      <w:r w:rsidRPr="00971882">
        <w:rPr>
          <w:rFonts w:cstheme="minorHAnsi"/>
        </w:rPr>
        <w:t xml:space="preserve"> collection request.</w:t>
      </w:r>
    </w:p>
    <w:p w:rsidRPr="00971882" w:rsidR="000D4E9A" w:rsidP="00F40B80" w:rsidRDefault="00B23277" w14:paraId="2FB760D1" w14:textId="50337F9C">
      <w:pPr>
        <w:spacing w:after="120" w:line="240" w:lineRule="auto"/>
        <w:rPr>
          <w:rFonts w:cstheme="minorHAnsi"/>
        </w:rPr>
      </w:pPr>
      <w:r w:rsidRPr="00971882">
        <w:rPr>
          <w:rFonts w:cstheme="minorHAnsi"/>
          <w:b/>
        </w:rPr>
        <w:t>A16</w:t>
      </w:r>
      <w:r w:rsidRPr="00971882">
        <w:rPr>
          <w:rFonts w:cstheme="minorHAnsi"/>
        </w:rPr>
        <w:t>.</w:t>
      </w:r>
      <w:r w:rsidRPr="00971882">
        <w:rPr>
          <w:rFonts w:cstheme="minorHAnsi"/>
        </w:rPr>
        <w:tab/>
      </w:r>
      <w:r w:rsidRPr="00971882" w:rsidR="00083227">
        <w:rPr>
          <w:rFonts w:cstheme="minorHAnsi"/>
          <w:b/>
        </w:rPr>
        <w:t>Timeline</w:t>
      </w:r>
    </w:p>
    <w:p w:rsidRPr="00971882" w:rsidR="00553F88" w:rsidP="003B7B69" w:rsidRDefault="00553F88" w14:paraId="16DE1C2D" w14:textId="13DCE592">
      <w:pPr>
        <w:spacing w:after="240"/>
      </w:pPr>
      <w:r w:rsidRPr="00971882">
        <w:t xml:space="preserve">Recruitment for interviews </w:t>
      </w:r>
      <w:r w:rsidR="000930C6">
        <w:t>should</w:t>
      </w:r>
      <w:r w:rsidRPr="00971882">
        <w:t xml:space="preserve"> begin</w:t>
      </w:r>
      <w:r w:rsidR="00102D17">
        <w:t xml:space="preserve"> immediately after OMB approval,</w:t>
      </w:r>
      <w:r w:rsidRPr="00971882">
        <w:t xml:space="preserve"> during late winter or early spring 2022</w:t>
      </w:r>
      <w:r w:rsidR="00102D17">
        <w:t xml:space="preserve">. </w:t>
      </w:r>
      <w:r w:rsidRPr="00971882">
        <w:t xml:space="preserve">We expect to conduct the interviews over a </w:t>
      </w:r>
      <w:r w:rsidRPr="00971882" w:rsidR="000267C2">
        <w:t>six</w:t>
      </w:r>
      <w:r w:rsidRPr="00971882">
        <w:t xml:space="preserve">-week period. Following data collection, Mathematica will include the results in an internal memorandum to </w:t>
      </w:r>
      <w:r w:rsidR="00433F14">
        <w:t>ACF</w:t>
      </w:r>
      <w:r w:rsidRPr="00971882">
        <w:t>. The memorandum will summarize key themes and descri</w:t>
      </w:r>
      <w:r w:rsidR="00002618">
        <w:t>be</w:t>
      </w:r>
      <w:r w:rsidRPr="00971882">
        <w:t xml:space="preserve"> the study methods a</w:t>
      </w:r>
      <w:r w:rsidR="00002618">
        <w:t>nd</w:t>
      </w:r>
      <w:r w:rsidRPr="00971882">
        <w:t xml:space="preserve"> the limitations regarding generalizability and </w:t>
      </w:r>
      <w:r w:rsidR="00102D17">
        <w:t xml:space="preserve">use for </w:t>
      </w:r>
      <w:r w:rsidR="00002618">
        <w:t xml:space="preserve">making </w:t>
      </w:r>
      <w:r w:rsidRPr="00971882">
        <w:t>policy decision</w:t>
      </w:r>
      <w:r w:rsidR="00002618">
        <w:t>s</w:t>
      </w:r>
      <w:r w:rsidRPr="00971882">
        <w:t xml:space="preserve">. Mathematica will develop the first draft of the memorandum during </w:t>
      </w:r>
      <w:r w:rsidRPr="00971882" w:rsidR="000267C2">
        <w:t>late spring</w:t>
      </w:r>
      <w:r w:rsidRPr="00971882" w:rsidR="00CB2657">
        <w:t xml:space="preserve"> </w:t>
      </w:r>
      <w:proofErr w:type="gramStart"/>
      <w:r w:rsidRPr="00971882">
        <w:t>2022, and</w:t>
      </w:r>
      <w:proofErr w:type="gramEnd"/>
      <w:r w:rsidRPr="00971882">
        <w:t xml:space="preserve"> </w:t>
      </w:r>
      <w:r w:rsidR="00002618">
        <w:t xml:space="preserve">deliver </w:t>
      </w:r>
      <w:r w:rsidRPr="00971882">
        <w:t xml:space="preserve">the final memorandum </w:t>
      </w:r>
      <w:r w:rsidR="00433F14">
        <w:t xml:space="preserve">and an external brief </w:t>
      </w:r>
      <w:r w:rsidRPr="00971882">
        <w:t xml:space="preserve">to </w:t>
      </w:r>
      <w:r w:rsidR="00433F14">
        <w:t>ACF</w:t>
      </w:r>
      <w:r w:rsidRPr="00971882" w:rsidR="00433F14">
        <w:t xml:space="preserve"> </w:t>
      </w:r>
      <w:r w:rsidRPr="00971882">
        <w:t xml:space="preserve">in </w:t>
      </w:r>
      <w:r w:rsidRPr="00971882" w:rsidR="000267C2">
        <w:t>summer</w:t>
      </w:r>
      <w:r w:rsidRPr="00971882">
        <w:t xml:space="preserve"> 2022.</w:t>
      </w:r>
    </w:p>
    <w:p w:rsidRPr="00971882" w:rsidR="00C73360" w:rsidP="00F40B80" w:rsidRDefault="00B23277" w14:paraId="2F1B2639" w14:textId="0320905F">
      <w:pPr>
        <w:spacing w:after="120" w:line="240" w:lineRule="auto"/>
        <w:rPr>
          <w:rFonts w:cstheme="minorHAnsi"/>
        </w:rPr>
      </w:pPr>
      <w:r w:rsidRPr="00971882">
        <w:rPr>
          <w:rFonts w:cstheme="minorHAnsi"/>
          <w:b/>
        </w:rPr>
        <w:t>A17</w:t>
      </w:r>
      <w:r w:rsidRPr="00971882">
        <w:rPr>
          <w:rFonts w:cstheme="minorHAnsi"/>
        </w:rPr>
        <w:t>.</w:t>
      </w:r>
      <w:r w:rsidRPr="00971882">
        <w:rPr>
          <w:rFonts w:cstheme="minorHAnsi"/>
        </w:rPr>
        <w:tab/>
      </w:r>
      <w:r w:rsidRPr="00971882" w:rsidR="00C73360">
        <w:rPr>
          <w:rFonts w:cstheme="minorHAnsi"/>
          <w:b/>
        </w:rPr>
        <w:t>Exceptions</w:t>
      </w:r>
    </w:p>
    <w:p w:rsidRPr="00971882" w:rsidR="00083227" w:rsidP="00F40B80" w:rsidRDefault="00CB1F9B" w14:paraId="1E574BF6" w14:textId="4053504E">
      <w:pPr>
        <w:spacing w:after="240"/>
      </w:pPr>
      <w:r w:rsidRPr="00971882">
        <w:t>No exceptions are necessary for this information collection.</w:t>
      </w:r>
    </w:p>
    <w:p w:rsidRPr="00971882" w:rsidR="00306028" w:rsidP="00971882" w:rsidRDefault="00306028" w14:paraId="503603E8" w14:textId="77777777">
      <w:pPr>
        <w:spacing w:before="480" w:after="240" w:line="240" w:lineRule="auto"/>
        <w:rPr>
          <w:b/>
        </w:rPr>
      </w:pPr>
      <w:r w:rsidRPr="00971882">
        <w:rPr>
          <w:b/>
        </w:rPr>
        <w:lastRenderedPageBreak/>
        <w:t>Attachments</w:t>
      </w:r>
    </w:p>
    <w:p w:rsidRPr="00971882" w:rsidR="00553F88" w:rsidP="00553F88" w:rsidRDefault="00553F88" w14:paraId="2C494479" w14:textId="77777777">
      <w:pPr>
        <w:spacing w:after="120"/>
        <w:ind w:left="187"/>
        <w:rPr>
          <w:b/>
          <w:bCs/>
        </w:rPr>
      </w:pPr>
      <w:r w:rsidRPr="00971882">
        <w:rPr>
          <w:b/>
          <w:bCs/>
        </w:rPr>
        <w:t>Appendices</w:t>
      </w:r>
    </w:p>
    <w:p w:rsidRPr="00971882" w:rsidR="00553F88" w:rsidP="00553F88" w:rsidRDefault="00553F88" w14:paraId="11D4A263" w14:textId="70A89175">
      <w:pPr>
        <w:spacing w:after="120" w:line="240" w:lineRule="auto"/>
        <w:ind w:left="180"/>
      </w:pPr>
      <w:r w:rsidRPr="00971882">
        <w:t>Appendix A: Success Sequence Recruitment Materials</w:t>
      </w:r>
      <w:r w:rsidR="00102D17">
        <w:t xml:space="preserve"> </w:t>
      </w:r>
      <w:r w:rsidR="00BE0E16">
        <w:t>(English and Spanish)</w:t>
      </w:r>
    </w:p>
    <w:p w:rsidRPr="00971882" w:rsidR="00553F88" w:rsidP="00553F88" w:rsidRDefault="00553F88" w14:paraId="25666DEF" w14:textId="14E7283A">
      <w:pPr>
        <w:spacing w:after="120" w:line="240" w:lineRule="auto"/>
        <w:ind w:left="180"/>
      </w:pPr>
      <w:r w:rsidRPr="00971882">
        <w:t>Appendix B: Consent Form</w:t>
      </w:r>
      <w:r w:rsidR="00BE0E16">
        <w:t xml:space="preserve"> (English and Spanish)</w:t>
      </w:r>
    </w:p>
    <w:p w:rsidR="00A67239" w:rsidP="00A67239" w:rsidRDefault="00A67239" w14:paraId="40F00395" w14:textId="4D923772">
      <w:pPr>
        <w:spacing w:after="120" w:line="240" w:lineRule="auto"/>
        <w:ind w:left="180"/>
      </w:pPr>
      <w:bookmarkStart w:name="_Hlk82504293" w:id="15"/>
      <w:r>
        <w:t xml:space="preserve">Appendix </w:t>
      </w:r>
      <w:r w:rsidR="00773AE0">
        <w:t>C</w:t>
      </w:r>
      <w:r>
        <w:t>: Success Sequence Interview Study Target Sample</w:t>
      </w:r>
    </w:p>
    <w:p w:rsidR="00A67239" w:rsidP="00A67239" w:rsidRDefault="00A67239" w14:paraId="52C638AE" w14:textId="7D65FA49">
      <w:pPr>
        <w:spacing w:after="120" w:line="240" w:lineRule="auto"/>
        <w:ind w:left="180"/>
      </w:pPr>
      <w:r>
        <w:t xml:space="preserve">Appendix </w:t>
      </w:r>
      <w:r w:rsidR="00773AE0">
        <w:t>D</w:t>
      </w:r>
      <w:r>
        <w:t xml:space="preserve">: </w:t>
      </w:r>
      <w:proofErr w:type="spellStart"/>
      <w:r>
        <w:t>QualBoard</w:t>
      </w:r>
      <w:proofErr w:type="spellEnd"/>
      <w:r>
        <w:t xml:space="preserve"> Invitation Email Sample Screen Shot (English and Spanish)</w:t>
      </w:r>
    </w:p>
    <w:bookmarkEnd w:id="15"/>
    <w:p w:rsidRPr="00971882" w:rsidR="00D47D38" w:rsidP="00553F88" w:rsidRDefault="00D47D38" w14:paraId="494CD428" w14:textId="4326FB83">
      <w:pPr>
        <w:spacing w:after="240" w:line="240" w:lineRule="auto"/>
        <w:ind w:left="187"/>
      </w:pPr>
    </w:p>
    <w:p w:rsidRPr="00971882" w:rsidR="00553F88" w:rsidP="00553F88" w:rsidRDefault="00553F88" w14:paraId="7F73F649" w14:textId="77777777">
      <w:pPr>
        <w:spacing w:after="120"/>
        <w:ind w:left="180"/>
        <w:rPr>
          <w:b/>
          <w:bCs/>
        </w:rPr>
      </w:pPr>
      <w:r w:rsidRPr="00971882">
        <w:rPr>
          <w:b/>
          <w:bCs/>
        </w:rPr>
        <w:t>Instruments</w:t>
      </w:r>
    </w:p>
    <w:p w:rsidRPr="00971882" w:rsidR="00553F88" w:rsidP="00553F88" w:rsidRDefault="00553F88" w14:paraId="1EBC5132" w14:textId="3FABF376">
      <w:pPr>
        <w:spacing w:after="120" w:line="240" w:lineRule="auto"/>
        <w:ind w:left="180"/>
      </w:pPr>
      <w:r w:rsidRPr="00971882">
        <w:t>Instrument 1: Success Sequence Screener</w:t>
      </w:r>
      <w:r w:rsidR="00BE0E16">
        <w:t xml:space="preserve"> (English and Spanish)</w:t>
      </w:r>
    </w:p>
    <w:p w:rsidRPr="00971882" w:rsidR="00553F88" w:rsidP="00553F88" w:rsidRDefault="00553F88" w14:paraId="3983BC9D" w14:textId="2C4010F2">
      <w:pPr>
        <w:spacing w:after="120" w:line="240" w:lineRule="auto"/>
        <w:ind w:left="180"/>
      </w:pPr>
      <w:r w:rsidRPr="00971882">
        <w:t xml:space="preserve">Instrument 2: Success Sequence Interview </w:t>
      </w:r>
      <w:r w:rsidR="00CE2E90">
        <w:t>Protocol</w:t>
      </w:r>
      <w:r w:rsidR="00BE0E16">
        <w:t xml:space="preserve"> (English and Spanish)</w:t>
      </w:r>
    </w:p>
    <w:sectPr w:rsidRPr="00971882" w:rsidR="00553F88"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9FFA6" w14:textId="77777777" w:rsidR="006F7021" w:rsidRDefault="006F7021" w:rsidP="0004063C">
      <w:pPr>
        <w:spacing w:after="0" w:line="240" w:lineRule="auto"/>
      </w:pPr>
      <w:r>
        <w:separator/>
      </w:r>
    </w:p>
  </w:endnote>
  <w:endnote w:type="continuationSeparator" w:id="0">
    <w:p w14:paraId="2B537B1F" w14:textId="77777777" w:rsidR="006F7021" w:rsidRDefault="006F702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2C045414" w:rsidR="00FA6523" w:rsidRDefault="00FA6523" w:rsidP="00CA2A0D">
        <w:pPr>
          <w:pStyle w:val="Footer"/>
          <w:jc w:val="right"/>
        </w:pPr>
        <w:r>
          <w:fldChar w:fldCharType="begin"/>
        </w:r>
        <w:r>
          <w:instrText xml:space="preserve"> PAGE   \* MERGEFORMAT </w:instrText>
        </w:r>
        <w:r>
          <w:fldChar w:fldCharType="separate"/>
        </w:r>
        <w:r w:rsidR="008123FD">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A0424" w14:textId="77777777" w:rsidR="006F7021" w:rsidRDefault="006F7021" w:rsidP="0004063C">
      <w:pPr>
        <w:spacing w:after="0" w:line="240" w:lineRule="auto"/>
      </w:pPr>
      <w:r>
        <w:separator/>
      </w:r>
    </w:p>
  </w:footnote>
  <w:footnote w:type="continuationSeparator" w:id="0">
    <w:p w14:paraId="01FFC1A5" w14:textId="77777777" w:rsidR="006F7021" w:rsidRDefault="006F7021" w:rsidP="0004063C">
      <w:pPr>
        <w:spacing w:after="0" w:line="240" w:lineRule="auto"/>
      </w:pPr>
      <w:r>
        <w:continuationSeparator/>
      </w:r>
    </w:p>
  </w:footnote>
  <w:footnote w:id="1">
    <w:p w14:paraId="5D4C6306" w14:textId="77777777" w:rsidR="00FA6523" w:rsidRPr="00FB27D2" w:rsidRDefault="00FA6523" w:rsidP="007734BB">
      <w:pPr>
        <w:pStyle w:val="FootnoteText"/>
        <w:spacing w:after="120"/>
        <w:rPr>
          <w:rFonts w:cs="Calibri"/>
          <w:color w:val="000000"/>
          <w:shd w:val="clear" w:color="auto" w:fill="FEFEFE"/>
        </w:rPr>
      </w:pPr>
      <w:r>
        <w:rPr>
          <w:rStyle w:val="FootnoteReference"/>
        </w:rPr>
        <w:footnoteRef/>
      </w:r>
      <w:r>
        <w:t xml:space="preserve"> </w:t>
      </w:r>
      <w:r w:rsidRPr="0086469C">
        <w:t>Family and Youth Services Bureau. “State Personal Responsibility Education Program Fact Sheet.” Washington,</w:t>
      </w:r>
      <w:r>
        <w:t xml:space="preserve"> </w:t>
      </w:r>
      <w:r w:rsidRPr="0086469C">
        <w:t xml:space="preserve">DC: Family and Youth Services Bureau, 2020. Available at </w:t>
      </w:r>
      <w:hyperlink r:id="rId1" w:history="1">
        <w:r w:rsidRPr="00F76DB2">
          <w:rPr>
            <w:rStyle w:val="Hyperlink"/>
          </w:rPr>
          <w:t>https://www.acf.hhs.gov/fysb/fact-sheet/title-v-state-sexual-risk-avoidance-education-fact-sheet</w:t>
        </w:r>
      </w:hyperlink>
      <w:r w:rsidRPr="0086469C">
        <w:t>.</w:t>
      </w:r>
    </w:p>
  </w:footnote>
  <w:footnote w:id="2">
    <w:p w14:paraId="063724D3" w14:textId="393F87C9" w:rsidR="00FA6523" w:rsidRDefault="00FA6523" w:rsidP="000910D6">
      <w:pPr>
        <w:pStyle w:val="FootnoteText"/>
        <w:spacing w:after="120"/>
      </w:pPr>
      <w:r>
        <w:rPr>
          <w:rStyle w:val="FootnoteReference"/>
        </w:rPr>
        <w:footnoteRef/>
      </w:r>
      <w:r>
        <w:t xml:space="preserve"> </w:t>
      </w:r>
      <w:r w:rsidRPr="004A1B9B">
        <w:t>Haskins, R., and I.V. Sawhill. </w:t>
      </w:r>
      <w:r w:rsidRPr="004A1B9B">
        <w:rPr>
          <w:i/>
        </w:rPr>
        <w:t>Creating an Opportunity Society</w:t>
      </w:r>
      <w:r w:rsidRPr="004A1B9B">
        <w:t>. Washington, DC: Brookings Institution Press, 2009.</w:t>
      </w:r>
    </w:p>
  </w:footnote>
  <w:footnote w:id="3">
    <w:p w14:paraId="0D2F5354" w14:textId="1F152BF1" w:rsidR="00FA6523" w:rsidRDefault="00FA6523" w:rsidP="0081755A">
      <w:pPr>
        <w:pStyle w:val="FootnoteText"/>
        <w:spacing w:after="120"/>
      </w:pPr>
      <w:r>
        <w:rPr>
          <w:rStyle w:val="FootnoteReference"/>
        </w:rPr>
        <w:footnoteRef/>
      </w:r>
      <w:r>
        <w:t xml:space="preserve"> </w:t>
      </w:r>
      <w:proofErr w:type="spellStart"/>
      <w:r w:rsidRPr="004A1B9B">
        <w:t>Goesling</w:t>
      </w:r>
      <w:proofErr w:type="spellEnd"/>
      <w:r w:rsidRPr="004A1B9B">
        <w:t>, B</w:t>
      </w:r>
      <w:r>
        <w:t>.</w:t>
      </w:r>
      <w:r w:rsidRPr="004A1B9B">
        <w:t xml:space="preserve">, </w:t>
      </w:r>
      <w:r>
        <w:t xml:space="preserve">H. </w:t>
      </w:r>
      <w:proofErr w:type="spellStart"/>
      <w:r w:rsidRPr="004A1B9B">
        <w:t>Inanc</w:t>
      </w:r>
      <w:proofErr w:type="spellEnd"/>
      <w:r>
        <w:t xml:space="preserve">, </w:t>
      </w:r>
      <w:r w:rsidRPr="004A1B9B">
        <w:t xml:space="preserve">and </w:t>
      </w:r>
      <w:r>
        <w:t xml:space="preserve">A. </w:t>
      </w:r>
      <w:proofErr w:type="spellStart"/>
      <w:r w:rsidRPr="004A1B9B">
        <w:t>Rachidi</w:t>
      </w:r>
      <w:proofErr w:type="spellEnd"/>
      <w:r w:rsidRPr="004A1B9B">
        <w:t>. “</w:t>
      </w:r>
      <w:r w:rsidRPr="00F63C38">
        <w:rPr>
          <w:iCs/>
        </w:rPr>
        <w:t>Success Sequence: A Synthesis of the Literature</w:t>
      </w:r>
      <w:r w:rsidRPr="004A1B9B">
        <w:rPr>
          <w:iCs/>
        </w:rPr>
        <w:t>.”</w:t>
      </w:r>
      <w:r w:rsidRPr="004A1B9B">
        <w:rPr>
          <w:i/>
        </w:rPr>
        <w:t xml:space="preserve"> </w:t>
      </w:r>
      <w:r w:rsidRPr="004A1B9B">
        <w:t>OPRE Report #2020-41.</w:t>
      </w:r>
      <w:r w:rsidRPr="004A1B9B">
        <w:rPr>
          <w:i/>
        </w:rPr>
        <w:t xml:space="preserve"> </w:t>
      </w:r>
      <w:r w:rsidRPr="004A1B9B">
        <w:t>Washington, DC: Office of Planning, Research and Evaluation, Administration for Children and Families, U.S. Department of Health and Human Services, 2020.</w:t>
      </w:r>
    </w:p>
  </w:footnote>
  <w:footnote w:id="4">
    <w:p w14:paraId="6B9C653A" w14:textId="1999C236" w:rsidR="00FA6523" w:rsidRDefault="00FA6523" w:rsidP="00DD1AF3">
      <w:pPr>
        <w:pStyle w:val="FootnoteText"/>
      </w:pPr>
      <w:r>
        <w:rPr>
          <w:rStyle w:val="FootnoteReference"/>
        </w:rPr>
        <w:footnoteRef/>
      </w:r>
      <w:r>
        <w:t xml:space="preserve"> </w:t>
      </w:r>
      <w:bookmarkStart w:id="4" w:name="_Hlk80084471"/>
      <w:proofErr w:type="spellStart"/>
      <w:r w:rsidRPr="004A1B9B">
        <w:t>Inanc</w:t>
      </w:r>
      <w:proofErr w:type="spellEnd"/>
      <w:r w:rsidRPr="004A1B9B">
        <w:t>, H</w:t>
      </w:r>
      <w:r>
        <w:t>.</w:t>
      </w:r>
      <w:r w:rsidRPr="004A1B9B">
        <w:t xml:space="preserve">, </w:t>
      </w:r>
      <w:r>
        <w:t xml:space="preserve">A. </w:t>
      </w:r>
      <w:r w:rsidRPr="004A1B9B">
        <w:t>Spitzer</w:t>
      </w:r>
      <w:r>
        <w:t xml:space="preserve">, </w:t>
      </w:r>
      <w:r w:rsidRPr="004A1B9B">
        <w:t>and B</w:t>
      </w:r>
      <w:r>
        <w:t xml:space="preserve">. </w:t>
      </w:r>
      <w:proofErr w:type="spellStart"/>
      <w:r w:rsidRPr="004A1B9B">
        <w:t>Goesling</w:t>
      </w:r>
      <w:proofErr w:type="spellEnd"/>
      <w:r w:rsidRPr="004A1B9B">
        <w:t>. “</w:t>
      </w:r>
      <w:r w:rsidRPr="00F63C38">
        <w:t>Assessing the Benefits of the Success Sequence for Economic Self-Sufficiency and Family Stability</w:t>
      </w:r>
      <w:r>
        <w:t>.</w:t>
      </w:r>
      <w:r w:rsidRPr="004A1B9B">
        <w:t xml:space="preserve">” OPRE Report </w:t>
      </w:r>
      <w:r w:rsidRPr="00F875DB">
        <w:t>#</w:t>
      </w:r>
      <w:r w:rsidRPr="00C34B53">
        <w:t>2021-</w:t>
      </w:r>
      <w:r>
        <w:t>148</w:t>
      </w:r>
      <w:r w:rsidRPr="00C34B53">
        <w:t>.</w:t>
      </w:r>
      <w:r w:rsidRPr="00F875DB">
        <w:t xml:space="preserve"> Washington</w:t>
      </w:r>
      <w:r w:rsidRPr="004A1B9B">
        <w:t>, DC: Office of Planning, Research and Evaluation, Administration for Children and Families, U.S. Department of Health and Human Services.</w:t>
      </w:r>
      <w:bookmarkEnd w:id="4"/>
    </w:p>
  </w:footnote>
  <w:footnote w:id="5">
    <w:p w14:paraId="34C74E2E" w14:textId="42BC2F03" w:rsidR="00193F57" w:rsidRDefault="00193F57">
      <w:pPr>
        <w:pStyle w:val="FootnoteText"/>
      </w:pPr>
      <w:r>
        <w:rPr>
          <w:rStyle w:val="FootnoteReference"/>
        </w:rPr>
        <w:footnoteRef/>
      </w:r>
      <w:r>
        <w:t xml:space="preserve"> </w:t>
      </w:r>
      <w:proofErr w:type="spellStart"/>
      <w:r w:rsidRPr="004A1B9B">
        <w:t>Inanc</w:t>
      </w:r>
      <w:proofErr w:type="spellEnd"/>
      <w:r w:rsidRPr="004A1B9B">
        <w:t>, H</w:t>
      </w:r>
      <w:r>
        <w:t>.</w:t>
      </w:r>
      <w:r w:rsidRPr="004A1B9B">
        <w:t xml:space="preserve">, </w:t>
      </w:r>
      <w:r>
        <w:t xml:space="preserve">A. </w:t>
      </w:r>
      <w:r w:rsidRPr="004A1B9B">
        <w:t>Spitzer</w:t>
      </w:r>
      <w:r>
        <w:t xml:space="preserve">, </w:t>
      </w:r>
      <w:r w:rsidRPr="004A1B9B">
        <w:t>and B</w:t>
      </w:r>
      <w:r>
        <w:t xml:space="preserve">. </w:t>
      </w:r>
      <w:proofErr w:type="spellStart"/>
      <w:r w:rsidRPr="004A1B9B">
        <w:t>Goesling</w:t>
      </w:r>
      <w:proofErr w:type="spellEnd"/>
      <w:r w:rsidRPr="004A1B9B">
        <w:t>. “</w:t>
      </w:r>
      <w:r w:rsidRPr="00F63C38">
        <w:t>Assessing the Benefits of the Success Sequence for Economic Self-Sufficiency and Family Stability</w:t>
      </w:r>
      <w:r>
        <w:t>.</w:t>
      </w:r>
      <w:r w:rsidRPr="004A1B9B">
        <w:t xml:space="preserve">” OPRE Report </w:t>
      </w:r>
      <w:r w:rsidRPr="00F875DB">
        <w:t>#</w:t>
      </w:r>
      <w:r w:rsidRPr="00C34B53">
        <w:t>2021-</w:t>
      </w:r>
      <w:r>
        <w:t>148</w:t>
      </w:r>
      <w:r w:rsidRPr="00C34B53">
        <w:t>.</w:t>
      </w:r>
      <w:r w:rsidRPr="00F875DB">
        <w:t xml:space="preserve"> Washington</w:t>
      </w:r>
      <w:r w:rsidRPr="004A1B9B">
        <w:t>, DC: Office of Planning, Research and Evaluation, Administration for Children and Families, U.S. Department of Health and Human Services.</w:t>
      </w:r>
    </w:p>
  </w:footnote>
  <w:footnote w:id="6">
    <w:p w14:paraId="4E844586" w14:textId="77777777" w:rsidR="00FA6523" w:rsidRDefault="00FA6523" w:rsidP="006C2456">
      <w:pPr>
        <w:pStyle w:val="FootnoteText"/>
        <w:spacing w:after="120"/>
      </w:pPr>
      <w:r>
        <w:rPr>
          <w:rStyle w:val="FootnoteReference"/>
        </w:rPr>
        <w:footnoteRef/>
      </w:r>
      <w:r>
        <w:t xml:space="preserve"> </w:t>
      </w:r>
      <w:r w:rsidRPr="00762B2E">
        <w:t>Paulson</w:t>
      </w:r>
      <w:r>
        <w:t>,</w:t>
      </w:r>
      <w:r w:rsidRPr="00762B2E">
        <w:t xml:space="preserve"> S. </w:t>
      </w:r>
      <w:r>
        <w:t>“</w:t>
      </w:r>
      <w:r w:rsidRPr="00762B2E">
        <w:t>The Use of Ethnography and Narrative Interviews in a Study of ‘Cultures of Dance.’</w:t>
      </w:r>
      <w:r>
        <w:t>”</w:t>
      </w:r>
      <w:r w:rsidRPr="00762B2E">
        <w:t> </w:t>
      </w:r>
      <w:r w:rsidRPr="00762B2E">
        <w:rPr>
          <w:i/>
          <w:iCs/>
        </w:rPr>
        <w:t>Journal of Health Psychology</w:t>
      </w:r>
      <w:r>
        <w:t>, vol. 16, no. 1,</w:t>
      </w:r>
      <w:r w:rsidRPr="00762B2E">
        <w:t xml:space="preserve"> </w:t>
      </w:r>
      <w:r>
        <w:t xml:space="preserve">2011, pp. </w:t>
      </w:r>
      <w:r w:rsidRPr="00762B2E">
        <w:t>148</w:t>
      </w:r>
      <w:r>
        <w:t>–</w:t>
      </w:r>
      <w:r w:rsidRPr="00762B2E">
        <w:t>157.</w:t>
      </w:r>
    </w:p>
  </w:footnote>
  <w:footnote w:id="7">
    <w:p w14:paraId="436C0178" w14:textId="77777777" w:rsidR="00FA6523" w:rsidRDefault="00FA6523" w:rsidP="006C2456">
      <w:pPr>
        <w:pStyle w:val="FootnoteText"/>
        <w:spacing w:after="120"/>
      </w:pPr>
      <w:r>
        <w:rPr>
          <w:rStyle w:val="FootnoteReference"/>
        </w:rPr>
        <w:footnoteRef/>
      </w:r>
      <w:r>
        <w:t xml:space="preserve"> </w:t>
      </w:r>
      <w:r w:rsidRPr="00F95DE6">
        <w:t xml:space="preserve">Reisner, S.L., </w:t>
      </w:r>
      <w:r>
        <w:t xml:space="preserve">R.K. </w:t>
      </w:r>
      <w:r w:rsidRPr="00F95DE6">
        <w:t xml:space="preserve">Randazzo, </w:t>
      </w:r>
      <w:r>
        <w:t xml:space="preserve">J.M. </w:t>
      </w:r>
      <w:r w:rsidRPr="00F95DE6">
        <w:t xml:space="preserve">White </w:t>
      </w:r>
      <w:proofErr w:type="spellStart"/>
      <w:r w:rsidRPr="00F95DE6">
        <w:t>Hughto</w:t>
      </w:r>
      <w:proofErr w:type="spellEnd"/>
      <w:r w:rsidRPr="00F95DE6">
        <w:t xml:space="preserve">, </w:t>
      </w:r>
      <w:r>
        <w:t xml:space="preserve">S. </w:t>
      </w:r>
      <w:proofErr w:type="spellStart"/>
      <w:r w:rsidRPr="00F95DE6">
        <w:t>Peitzmeier</w:t>
      </w:r>
      <w:proofErr w:type="spellEnd"/>
      <w:r w:rsidRPr="00F95DE6">
        <w:t xml:space="preserve">, </w:t>
      </w:r>
      <w:r>
        <w:t xml:space="preserve">L.Z. </w:t>
      </w:r>
      <w:r w:rsidRPr="00F95DE6">
        <w:t xml:space="preserve">DuBois, </w:t>
      </w:r>
      <w:r>
        <w:t xml:space="preserve">D.J. </w:t>
      </w:r>
      <w:r w:rsidRPr="00F95DE6">
        <w:t xml:space="preserve">Pardee, </w:t>
      </w:r>
      <w:r>
        <w:t xml:space="preserve">E. </w:t>
      </w:r>
      <w:r w:rsidRPr="00F95DE6">
        <w:t xml:space="preserve">Marrow, </w:t>
      </w:r>
      <w:r>
        <w:t xml:space="preserve">S. </w:t>
      </w:r>
      <w:r w:rsidRPr="00F95DE6">
        <w:t xml:space="preserve">McLean, </w:t>
      </w:r>
      <w:r>
        <w:t>and J.</w:t>
      </w:r>
      <w:r w:rsidRPr="00F95DE6">
        <w:t xml:space="preserve"> Potter. </w:t>
      </w:r>
      <w:r>
        <w:t>“</w:t>
      </w:r>
      <w:r w:rsidRPr="00F95DE6">
        <w:t xml:space="preserve">Sensitive Health Topics </w:t>
      </w:r>
      <w:r>
        <w:t>w</w:t>
      </w:r>
      <w:r w:rsidRPr="00F95DE6">
        <w:t>ith Underserved Patient Populations: Methodological Considerations for Online Focus Group Discussions.</w:t>
      </w:r>
      <w:r>
        <w:t>”</w:t>
      </w:r>
      <w:r w:rsidRPr="00F95DE6">
        <w:t xml:space="preserve"> </w:t>
      </w:r>
      <w:r w:rsidRPr="00005AB2">
        <w:rPr>
          <w:i/>
          <w:iCs/>
        </w:rPr>
        <w:t>Qualitative Health Research</w:t>
      </w:r>
      <w:r w:rsidRPr="00F95DE6">
        <w:t xml:space="preserve">, </w:t>
      </w:r>
      <w:r>
        <w:t xml:space="preserve">vol. </w:t>
      </w:r>
      <w:r w:rsidRPr="00F95DE6">
        <w:t>28</w:t>
      </w:r>
      <w:r>
        <w:t xml:space="preserve">, no. </w:t>
      </w:r>
      <w:r w:rsidRPr="00F95DE6">
        <w:t>10,</w:t>
      </w:r>
      <w:r>
        <w:t xml:space="preserve"> 2018,</w:t>
      </w:r>
      <w:r w:rsidRPr="00F95DE6">
        <w:t xml:space="preserve"> </w:t>
      </w:r>
      <w:r>
        <w:t xml:space="preserve">pp. </w:t>
      </w:r>
      <w:r w:rsidRPr="00F95DE6">
        <w:t>1658–1673.</w:t>
      </w:r>
    </w:p>
  </w:footnote>
  <w:footnote w:id="8">
    <w:p w14:paraId="31CEB36C" w14:textId="17E69BCA" w:rsidR="001D607A" w:rsidRDefault="001D607A" w:rsidP="001D607A">
      <w:pPr>
        <w:pStyle w:val="FootnoteText"/>
        <w:spacing w:after="120"/>
      </w:pPr>
      <w:r>
        <w:rPr>
          <w:rStyle w:val="FootnoteReference"/>
        </w:rPr>
        <w:footnoteRef/>
      </w:r>
      <w:r>
        <w:t xml:space="preserve"> </w:t>
      </w:r>
      <w:r w:rsidRPr="00F95DE6">
        <w:t xml:space="preserve">Reisner, S.L., </w:t>
      </w:r>
      <w:r>
        <w:t xml:space="preserve">R.K. </w:t>
      </w:r>
      <w:r w:rsidRPr="00F95DE6">
        <w:t xml:space="preserve">Randazzo, </w:t>
      </w:r>
      <w:r>
        <w:t xml:space="preserve">J.M. </w:t>
      </w:r>
      <w:r w:rsidRPr="00F95DE6">
        <w:t xml:space="preserve">White </w:t>
      </w:r>
      <w:proofErr w:type="spellStart"/>
      <w:r w:rsidRPr="00F95DE6">
        <w:t>Hughto</w:t>
      </w:r>
      <w:proofErr w:type="spellEnd"/>
      <w:r w:rsidRPr="00F95DE6">
        <w:t xml:space="preserve">, </w:t>
      </w:r>
      <w:r>
        <w:t xml:space="preserve">S. </w:t>
      </w:r>
      <w:proofErr w:type="spellStart"/>
      <w:r w:rsidRPr="00F95DE6">
        <w:t>Peitzmeier</w:t>
      </w:r>
      <w:proofErr w:type="spellEnd"/>
      <w:r w:rsidRPr="00F95DE6">
        <w:t xml:space="preserve">, </w:t>
      </w:r>
      <w:r>
        <w:t xml:space="preserve">L.Z. </w:t>
      </w:r>
      <w:r w:rsidRPr="00F95DE6">
        <w:t xml:space="preserve">DuBois, </w:t>
      </w:r>
      <w:r>
        <w:t xml:space="preserve">D.J. </w:t>
      </w:r>
      <w:r w:rsidRPr="00F95DE6">
        <w:t xml:space="preserve">Pardee, </w:t>
      </w:r>
      <w:r>
        <w:t xml:space="preserve">E. </w:t>
      </w:r>
      <w:r w:rsidRPr="00F95DE6">
        <w:t xml:space="preserve">Marrow, </w:t>
      </w:r>
      <w:r>
        <w:t xml:space="preserve">S. </w:t>
      </w:r>
      <w:r w:rsidRPr="00F95DE6">
        <w:t xml:space="preserve">McLean, </w:t>
      </w:r>
      <w:r>
        <w:t>and J.</w:t>
      </w:r>
      <w:r w:rsidRPr="00F95DE6">
        <w:t xml:space="preserve"> Potter. </w:t>
      </w:r>
      <w:r>
        <w:t>“</w:t>
      </w:r>
      <w:r w:rsidRPr="00F95DE6">
        <w:t xml:space="preserve">Sensitive Health Topics </w:t>
      </w:r>
      <w:r>
        <w:t>w</w:t>
      </w:r>
      <w:r w:rsidRPr="00F95DE6">
        <w:t>ith Underserved Patient Populations: Methodological Considerations for Online Focus Group Discussions.</w:t>
      </w:r>
      <w:r>
        <w:t>”</w:t>
      </w:r>
      <w:r w:rsidRPr="00F95DE6">
        <w:t xml:space="preserve"> </w:t>
      </w:r>
      <w:r w:rsidRPr="00005AB2">
        <w:rPr>
          <w:i/>
          <w:iCs/>
        </w:rPr>
        <w:t>Qualitative Health Research</w:t>
      </w:r>
      <w:r w:rsidRPr="00F95DE6">
        <w:t xml:space="preserve">, </w:t>
      </w:r>
      <w:r>
        <w:t xml:space="preserve">vol. </w:t>
      </w:r>
      <w:r w:rsidRPr="00F95DE6">
        <w:t>28</w:t>
      </w:r>
      <w:r>
        <w:t xml:space="preserve">, no. </w:t>
      </w:r>
      <w:r w:rsidRPr="00F95DE6">
        <w:t>10,</w:t>
      </w:r>
      <w:r>
        <w:t xml:space="preserve"> 2018,</w:t>
      </w:r>
      <w:r w:rsidRPr="00F95DE6">
        <w:t xml:space="preserve"> </w:t>
      </w:r>
      <w:r>
        <w:t xml:space="preserve">pp. </w:t>
      </w:r>
      <w:r w:rsidRPr="00F95DE6">
        <w:t>1658–1673.</w:t>
      </w:r>
    </w:p>
  </w:footnote>
  <w:footnote w:id="9">
    <w:p w14:paraId="51D404FF" w14:textId="0CE1700E" w:rsidR="00D1266B" w:rsidRDefault="00D1266B">
      <w:pPr>
        <w:pStyle w:val="FootnoteText"/>
      </w:pPr>
      <w:r>
        <w:rPr>
          <w:rStyle w:val="FootnoteReference"/>
        </w:rPr>
        <w:footnoteRef/>
      </w:r>
      <w:r>
        <w:t xml:space="preserve"> Pre-test conducted under</w:t>
      </w:r>
      <w:r w:rsidRPr="00971882">
        <w:t xml:space="preserve"> generic OMB clearance package #0970-0355.</w:t>
      </w:r>
    </w:p>
  </w:footnote>
  <w:footnote w:id="10">
    <w:p w14:paraId="242C7D46" w14:textId="77777777" w:rsidR="00FA6523" w:rsidRDefault="00FA6523" w:rsidP="00DD3FBD">
      <w:pPr>
        <w:pStyle w:val="FootnoteText"/>
        <w:spacing w:after="120"/>
      </w:pPr>
      <w:r>
        <w:rPr>
          <w:rStyle w:val="FootnoteReference"/>
        </w:rPr>
        <w:footnoteRef/>
      </w:r>
      <w:r>
        <w:t xml:space="preserve"> </w:t>
      </w:r>
      <w:proofErr w:type="spellStart"/>
      <w:r>
        <w:t>Opdenakker</w:t>
      </w:r>
      <w:proofErr w:type="spellEnd"/>
      <w:r>
        <w:t xml:space="preserve">, R. “Advantages and Disadvantages of Four Interview Techniques in Qualitative Research.” </w:t>
      </w:r>
      <w:r w:rsidRPr="00933088">
        <w:rPr>
          <w:i/>
          <w:iCs/>
        </w:rPr>
        <w:t xml:space="preserve">Qualitative Research in </w:t>
      </w:r>
      <w:proofErr w:type="spellStart"/>
      <w:r w:rsidRPr="00933088">
        <w:rPr>
          <w:i/>
          <w:iCs/>
        </w:rPr>
        <w:t>Ibero</w:t>
      </w:r>
      <w:proofErr w:type="spellEnd"/>
      <w:r w:rsidRPr="00933088">
        <w:rPr>
          <w:i/>
          <w:iCs/>
        </w:rPr>
        <w:t xml:space="preserve"> America</w:t>
      </w:r>
      <w:r>
        <w:t>, vol. 7, no. 4, 2006, p. 7.</w:t>
      </w:r>
    </w:p>
  </w:footnote>
  <w:footnote w:id="11">
    <w:p w14:paraId="1F48B260" w14:textId="21280A16" w:rsidR="00FA6523" w:rsidRDefault="00FA6523" w:rsidP="002E137E">
      <w:pPr>
        <w:pStyle w:val="FootnoteText"/>
        <w:spacing w:after="120"/>
      </w:pPr>
      <w:r>
        <w:rPr>
          <w:rStyle w:val="FootnoteReference"/>
        </w:rPr>
        <w:footnoteRef/>
      </w:r>
      <w:r>
        <w:t xml:space="preserve"> </w:t>
      </w:r>
      <w:r w:rsidR="00A37C4D">
        <w:t xml:space="preserve">U.S. Bureau of </w:t>
      </w:r>
      <w:r w:rsidR="000930C6">
        <w:t>L</w:t>
      </w:r>
      <w:r w:rsidR="00A37C4D">
        <w:t>abor Statistics. “</w:t>
      </w:r>
      <w:r w:rsidR="000930C6">
        <w:t xml:space="preserve">May 2020 National Occupational Employment and Wage Estimates.” Available at </w:t>
      </w:r>
      <w:r w:rsidRPr="005C5A3B">
        <w:t>https://www.bls.gov/oes/current/oes_nat.htm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77777777" w:rsidR="00FA6523" w:rsidRPr="000D7D44" w:rsidRDefault="00FA6523"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FEB8BF9" w14:textId="2CC18B12" w:rsidR="00FA6523" w:rsidRDefault="00FA6523"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424D0C0"/>
    <w:lvl w:ilvl="0">
      <w:start w:val="1"/>
      <w:numFmt w:val="decimal"/>
      <w:pStyle w:val="ListNumber"/>
      <w:lvlText w:val="%1."/>
      <w:lvlJc w:val="left"/>
      <w:pPr>
        <w:tabs>
          <w:tab w:val="num" w:pos="360"/>
        </w:tabs>
        <w:ind w:left="360" w:hanging="360"/>
      </w:pPr>
      <w:rPr>
        <w:rFonts w:hint="default"/>
        <w:b/>
        <w:i w:val="0"/>
        <w:color w:val="auto"/>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57841"/>
    <w:multiLevelType w:val="hybridMultilevel"/>
    <w:tmpl w:val="411C316E"/>
    <w:lvl w:ilvl="0" w:tplc="0409000F">
      <w:start w:val="1"/>
      <w:numFmt w:val="decimal"/>
      <w:lvlText w:val="%1."/>
      <w:lvlJc w:val="left"/>
      <w:pPr>
        <w:ind w:left="720" w:hanging="360"/>
      </w:pPr>
      <w:rPr>
        <w:rFonts w:hint="default"/>
      </w:rPr>
    </w:lvl>
    <w:lvl w:ilvl="1" w:tplc="BF8A9A9C">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DE56C7"/>
    <w:multiLevelType w:val="hybridMultilevel"/>
    <w:tmpl w:val="8E3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5C8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E2391"/>
    <w:multiLevelType w:val="hybridMultilevel"/>
    <w:tmpl w:val="5740B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309AA"/>
    <w:multiLevelType w:val="hybridMultilevel"/>
    <w:tmpl w:val="EF76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636244"/>
    <w:multiLevelType w:val="multilevel"/>
    <w:tmpl w:val="3610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166D7"/>
    <w:multiLevelType w:val="hybridMultilevel"/>
    <w:tmpl w:val="31E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7"/>
  </w:num>
  <w:num w:numId="4">
    <w:abstractNumId w:val="35"/>
  </w:num>
  <w:num w:numId="5">
    <w:abstractNumId w:val="22"/>
  </w:num>
  <w:num w:numId="6">
    <w:abstractNumId w:val="46"/>
  </w:num>
  <w:num w:numId="7">
    <w:abstractNumId w:val="6"/>
  </w:num>
  <w:num w:numId="8">
    <w:abstractNumId w:val="13"/>
  </w:num>
  <w:num w:numId="9">
    <w:abstractNumId w:val="21"/>
  </w:num>
  <w:num w:numId="10">
    <w:abstractNumId w:val="44"/>
  </w:num>
  <w:num w:numId="11">
    <w:abstractNumId w:val="48"/>
  </w:num>
  <w:num w:numId="12">
    <w:abstractNumId w:val="41"/>
  </w:num>
  <w:num w:numId="13">
    <w:abstractNumId w:val="34"/>
  </w:num>
  <w:num w:numId="14">
    <w:abstractNumId w:val="43"/>
  </w:num>
  <w:num w:numId="15">
    <w:abstractNumId w:val="25"/>
  </w:num>
  <w:num w:numId="16">
    <w:abstractNumId w:val="33"/>
  </w:num>
  <w:num w:numId="17">
    <w:abstractNumId w:val="20"/>
  </w:num>
  <w:num w:numId="18">
    <w:abstractNumId w:val="11"/>
  </w:num>
  <w:num w:numId="19">
    <w:abstractNumId w:val="10"/>
  </w:num>
  <w:num w:numId="20">
    <w:abstractNumId w:val="32"/>
  </w:num>
  <w:num w:numId="21">
    <w:abstractNumId w:val="1"/>
  </w:num>
  <w:num w:numId="22">
    <w:abstractNumId w:val="3"/>
  </w:num>
  <w:num w:numId="23">
    <w:abstractNumId w:val="26"/>
  </w:num>
  <w:num w:numId="24">
    <w:abstractNumId w:val="4"/>
  </w:num>
  <w:num w:numId="25">
    <w:abstractNumId w:val="16"/>
  </w:num>
  <w:num w:numId="26">
    <w:abstractNumId w:val="47"/>
  </w:num>
  <w:num w:numId="27">
    <w:abstractNumId w:val="42"/>
  </w:num>
  <w:num w:numId="28">
    <w:abstractNumId w:val="18"/>
  </w:num>
  <w:num w:numId="29">
    <w:abstractNumId w:val="17"/>
  </w:num>
  <w:num w:numId="30">
    <w:abstractNumId w:val="5"/>
  </w:num>
  <w:num w:numId="31">
    <w:abstractNumId w:val="12"/>
  </w:num>
  <w:num w:numId="32">
    <w:abstractNumId w:val="28"/>
  </w:num>
  <w:num w:numId="33">
    <w:abstractNumId w:val="36"/>
  </w:num>
  <w:num w:numId="34">
    <w:abstractNumId w:val="15"/>
  </w:num>
  <w:num w:numId="35">
    <w:abstractNumId w:val="23"/>
  </w:num>
  <w:num w:numId="36">
    <w:abstractNumId w:val="19"/>
  </w:num>
  <w:num w:numId="37">
    <w:abstractNumId w:val="37"/>
  </w:num>
  <w:num w:numId="38">
    <w:abstractNumId w:val="29"/>
  </w:num>
  <w:num w:numId="39">
    <w:abstractNumId w:val="9"/>
  </w:num>
  <w:num w:numId="40">
    <w:abstractNumId w:val="45"/>
  </w:num>
  <w:num w:numId="41">
    <w:abstractNumId w:val="39"/>
  </w:num>
  <w:num w:numId="42">
    <w:abstractNumId w:val="2"/>
  </w:num>
  <w:num w:numId="43">
    <w:abstractNumId w:val="14"/>
  </w:num>
  <w:num w:numId="44">
    <w:abstractNumId w:val="27"/>
  </w:num>
  <w:num w:numId="45">
    <w:abstractNumId w:val="0"/>
  </w:num>
  <w:num w:numId="46">
    <w:abstractNumId w:val="27"/>
    <w:lvlOverride w:ilvl="0">
      <w:startOverride w:val="1"/>
    </w:lvlOverride>
  </w:num>
  <w:num w:numId="47">
    <w:abstractNumId w:val="38"/>
  </w:num>
  <w:num w:numId="48">
    <w:abstractNumId w:val="24"/>
  </w:num>
  <w:num w:numId="49">
    <w:abstractNumId w:val="40"/>
  </w:num>
  <w:num w:numId="5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BFF"/>
    <w:rsid w:val="00002618"/>
    <w:rsid w:val="000028B6"/>
    <w:rsid w:val="0001255D"/>
    <w:rsid w:val="00026192"/>
    <w:rsid w:val="000267C2"/>
    <w:rsid w:val="00027E79"/>
    <w:rsid w:val="00031AEB"/>
    <w:rsid w:val="0004063C"/>
    <w:rsid w:val="0004247F"/>
    <w:rsid w:val="00044434"/>
    <w:rsid w:val="00044D4E"/>
    <w:rsid w:val="00044F17"/>
    <w:rsid w:val="0005192C"/>
    <w:rsid w:val="00060B30"/>
    <w:rsid w:val="00060C59"/>
    <w:rsid w:val="00060FEE"/>
    <w:rsid w:val="00062AFB"/>
    <w:rsid w:val="000655DD"/>
    <w:rsid w:val="0007008D"/>
    <w:rsid w:val="00071F79"/>
    <w:rsid w:val="0007251B"/>
    <w:rsid w:val="000733A5"/>
    <w:rsid w:val="0007619C"/>
    <w:rsid w:val="00080E2C"/>
    <w:rsid w:val="00082142"/>
    <w:rsid w:val="00082C5B"/>
    <w:rsid w:val="00083227"/>
    <w:rsid w:val="00086CBE"/>
    <w:rsid w:val="0008759C"/>
    <w:rsid w:val="0009080D"/>
    <w:rsid w:val="00090812"/>
    <w:rsid w:val="000910D6"/>
    <w:rsid w:val="00091228"/>
    <w:rsid w:val="000921F0"/>
    <w:rsid w:val="000930C6"/>
    <w:rsid w:val="0009378D"/>
    <w:rsid w:val="0009771F"/>
    <w:rsid w:val="000A012A"/>
    <w:rsid w:val="000B24BB"/>
    <w:rsid w:val="000B380C"/>
    <w:rsid w:val="000B4B60"/>
    <w:rsid w:val="000B5EA0"/>
    <w:rsid w:val="000D4E9A"/>
    <w:rsid w:val="000D7D44"/>
    <w:rsid w:val="000E1BC8"/>
    <w:rsid w:val="000E3709"/>
    <w:rsid w:val="000E7A73"/>
    <w:rsid w:val="000F1C99"/>
    <w:rsid w:val="000F1E4A"/>
    <w:rsid w:val="00100D34"/>
    <w:rsid w:val="00102D17"/>
    <w:rsid w:val="00103EFD"/>
    <w:rsid w:val="00105FB8"/>
    <w:rsid w:val="001061B2"/>
    <w:rsid w:val="00107627"/>
    <w:rsid w:val="00107D87"/>
    <w:rsid w:val="00112D09"/>
    <w:rsid w:val="0011744F"/>
    <w:rsid w:val="00121682"/>
    <w:rsid w:val="001253F4"/>
    <w:rsid w:val="00140F13"/>
    <w:rsid w:val="00155D44"/>
    <w:rsid w:val="00157482"/>
    <w:rsid w:val="0016554F"/>
    <w:rsid w:val="00165DE4"/>
    <w:rsid w:val="00165E30"/>
    <w:rsid w:val="00167876"/>
    <w:rsid w:val="001707D8"/>
    <w:rsid w:val="00177F55"/>
    <w:rsid w:val="00177FC3"/>
    <w:rsid w:val="0018011F"/>
    <w:rsid w:val="00186BCC"/>
    <w:rsid w:val="00190048"/>
    <w:rsid w:val="00193F57"/>
    <w:rsid w:val="00197477"/>
    <w:rsid w:val="001A38FD"/>
    <w:rsid w:val="001B0A76"/>
    <w:rsid w:val="001B46A9"/>
    <w:rsid w:val="001B6E1A"/>
    <w:rsid w:val="001C4CCB"/>
    <w:rsid w:val="001D396D"/>
    <w:rsid w:val="001D607A"/>
    <w:rsid w:val="001D7761"/>
    <w:rsid w:val="001E3EDE"/>
    <w:rsid w:val="001F0446"/>
    <w:rsid w:val="001F0DA6"/>
    <w:rsid w:val="001F57F5"/>
    <w:rsid w:val="0020052B"/>
    <w:rsid w:val="0020401C"/>
    <w:rsid w:val="0020629A"/>
    <w:rsid w:val="00206E11"/>
    <w:rsid w:val="00206FE3"/>
    <w:rsid w:val="00207554"/>
    <w:rsid w:val="00210BA2"/>
    <w:rsid w:val="00211261"/>
    <w:rsid w:val="00224DD0"/>
    <w:rsid w:val="002269D0"/>
    <w:rsid w:val="00230CAA"/>
    <w:rsid w:val="00240BE1"/>
    <w:rsid w:val="002517BB"/>
    <w:rsid w:val="00255815"/>
    <w:rsid w:val="002560D7"/>
    <w:rsid w:val="00256E24"/>
    <w:rsid w:val="002601A8"/>
    <w:rsid w:val="0026040E"/>
    <w:rsid w:val="00265491"/>
    <w:rsid w:val="002702D0"/>
    <w:rsid w:val="00276CE2"/>
    <w:rsid w:val="0028331F"/>
    <w:rsid w:val="002849BA"/>
    <w:rsid w:val="002871A4"/>
    <w:rsid w:val="00287AF1"/>
    <w:rsid w:val="0029073E"/>
    <w:rsid w:val="002977C9"/>
    <w:rsid w:val="002A41C6"/>
    <w:rsid w:val="002A6B5E"/>
    <w:rsid w:val="002A6D1D"/>
    <w:rsid w:val="002B561B"/>
    <w:rsid w:val="002B56D5"/>
    <w:rsid w:val="002B5DBE"/>
    <w:rsid w:val="002B785B"/>
    <w:rsid w:val="002C241E"/>
    <w:rsid w:val="002E137E"/>
    <w:rsid w:val="002E23B2"/>
    <w:rsid w:val="002E4537"/>
    <w:rsid w:val="002E6CCF"/>
    <w:rsid w:val="002F33D0"/>
    <w:rsid w:val="002F3E4D"/>
    <w:rsid w:val="00300722"/>
    <w:rsid w:val="0030316D"/>
    <w:rsid w:val="003050D5"/>
    <w:rsid w:val="00306028"/>
    <w:rsid w:val="00307056"/>
    <w:rsid w:val="00317D2C"/>
    <w:rsid w:val="00326399"/>
    <w:rsid w:val="0033109A"/>
    <w:rsid w:val="003333BA"/>
    <w:rsid w:val="00347B57"/>
    <w:rsid w:val="00363AAB"/>
    <w:rsid w:val="003664F6"/>
    <w:rsid w:val="00366BE3"/>
    <w:rsid w:val="00373D2F"/>
    <w:rsid w:val="003778D0"/>
    <w:rsid w:val="003862F7"/>
    <w:rsid w:val="00394073"/>
    <w:rsid w:val="003A7774"/>
    <w:rsid w:val="003B1D76"/>
    <w:rsid w:val="003B42B1"/>
    <w:rsid w:val="003B4B59"/>
    <w:rsid w:val="003B7B69"/>
    <w:rsid w:val="003C184E"/>
    <w:rsid w:val="003C6132"/>
    <w:rsid w:val="003C7358"/>
    <w:rsid w:val="003C73D5"/>
    <w:rsid w:val="003C790E"/>
    <w:rsid w:val="003E062D"/>
    <w:rsid w:val="003E61F6"/>
    <w:rsid w:val="003F1AF6"/>
    <w:rsid w:val="00401D0C"/>
    <w:rsid w:val="00407537"/>
    <w:rsid w:val="004126B3"/>
    <w:rsid w:val="004165BD"/>
    <w:rsid w:val="0042220D"/>
    <w:rsid w:val="00430435"/>
    <w:rsid w:val="004308BA"/>
    <w:rsid w:val="004328A4"/>
    <w:rsid w:val="0043377A"/>
    <w:rsid w:val="00433F14"/>
    <w:rsid w:val="004379B6"/>
    <w:rsid w:val="0044428E"/>
    <w:rsid w:val="00446465"/>
    <w:rsid w:val="00450594"/>
    <w:rsid w:val="00452415"/>
    <w:rsid w:val="00452BF5"/>
    <w:rsid w:val="00456EBA"/>
    <w:rsid w:val="00460D54"/>
    <w:rsid w:val="00461D3E"/>
    <w:rsid w:val="004706CC"/>
    <w:rsid w:val="00470876"/>
    <w:rsid w:val="00473590"/>
    <w:rsid w:val="00483264"/>
    <w:rsid w:val="004845BE"/>
    <w:rsid w:val="004935E9"/>
    <w:rsid w:val="004B4839"/>
    <w:rsid w:val="004B75AC"/>
    <w:rsid w:val="004C14EA"/>
    <w:rsid w:val="004C19FF"/>
    <w:rsid w:val="004C3644"/>
    <w:rsid w:val="004D00DB"/>
    <w:rsid w:val="004D0426"/>
    <w:rsid w:val="004D12DD"/>
    <w:rsid w:val="004D1E8C"/>
    <w:rsid w:val="004D6997"/>
    <w:rsid w:val="004E0BFD"/>
    <w:rsid w:val="004E5778"/>
    <w:rsid w:val="004E6EA4"/>
    <w:rsid w:val="004E7ED8"/>
    <w:rsid w:val="0050376D"/>
    <w:rsid w:val="00512C25"/>
    <w:rsid w:val="005302CB"/>
    <w:rsid w:val="00534902"/>
    <w:rsid w:val="00534D07"/>
    <w:rsid w:val="00534FA6"/>
    <w:rsid w:val="0054255A"/>
    <w:rsid w:val="00545D45"/>
    <w:rsid w:val="00545E63"/>
    <w:rsid w:val="00553F88"/>
    <w:rsid w:val="0055434C"/>
    <w:rsid w:val="00564D57"/>
    <w:rsid w:val="00570546"/>
    <w:rsid w:val="00577243"/>
    <w:rsid w:val="00591283"/>
    <w:rsid w:val="005A61CE"/>
    <w:rsid w:val="005A7E5A"/>
    <w:rsid w:val="005B1285"/>
    <w:rsid w:val="005B1410"/>
    <w:rsid w:val="005B3075"/>
    <w:rsid w:val="005B3CF4"/>
    <w:rsid w:val="005B47BC"/>
    <w:rsid w:val="005B5FCC"/>
    <w:rsid w:val="005D24CD"/>
    <w:rsid w:val="005D4A40"/>
    <w:rsid w:val="005E0E08"/>
    <w:rsid w:val="005E3F36"/>
    <w:rsid w:val="005E493B"/>
    <w:rsid w:val="005E74BD"/>
    <w:rsid w:val="005E74DB"/>
    <w:rsid w:val="005E787B"/>
    <w:rsid w:val="005F2951"/>
    <w:rsid w:val="005F4B72"/>
    <w:rsid w:val="005F535D"/>
    <w:rsid w:val="00617B26"/>
    <w:rsid w:val="00624DDC"/>
    <w:rsid w:val="006253B6"/>
    <w:rsid w:val="006257ED"/>
    <w:rsid w:val="0062686E"/>
    <w:rsid w:val="0062745B"/>
    <w:rsid w:val="00630B30"/>
    <w:rsid w:val="00632DAF"/>
    <w:rsid w:val="006354C2"/>
    <w:rsid w:val="00651FF6"/>
    <w:rsid w:val="006659EF"/>
    <w:rsid w:val="00673969"/>
    <w:rsid w:val="0067422B"/>
    <w:rsid w:val="00675C88"/>
    <w:rsid w:val="0068303E"/>
    <w:rsid w:val="0068383E"/>
    <w:rsid w:val="00692F38"/>
    <w:rsid w:val="00693932"/>
    <w:rsid w:val="006A261E"/>
    <w:rsid w:val="006A2B00"/>
    <w:rsid w:val="006A4221"/>
    <w:rsid w:val="006A4D02"/>
    <w:rsid w:val="006A71C3"/>
    <w:rsid w:val="006A7299"/>
    <w:rsid w:val="006B1BF9"/>
    <w:rsid w:val="006B31DA"/>
    <w:rsid w:val="006B53F1"/>
    <w:rsid w:val="006B6037"/>
    <w:rsid w:val="006C0E56"/>
    <w:rsid w:val="006C2456"/>
    <w:rsid w:val="006E3B45"/>
    <w:rsid w:val="006E4F82"/>
    <w:rsid w:val="006E72B5"/>
    <w:rsid w:val="006F226E"/>
    <w:rsid w:val="006F7021"/>
    <w:rsid w:val="00717BDC"/>
    <w:rsid w:val="00721395"/>
    <w:rsid w:val="00723A28"/>
    <w:rsid w:val="00725674"/>
    <w:rsid w:val="00725E55"/>
    <w:rsid w:val="00736B62"/>
    <w:rsid w:val="00740C4D"/>
    <w:rsid w:val="00746EF1"/>
    <w:rsid w:val="00764C85"/>
    <w:rsid w:val="00766300"/>
    <w:rsid w:val="007720F6"/>
    <w:rsid w:val="007734BB"/>
    <w:rsid w:val="00773AE0"/>
    <w:rsid w:val="007759EC"/>
    <w:rsid w:val="00783064"/>
    <w:rsid w:val="0078427D"/>
    <w:rsid w:val="00786706"/>
    <w:rsid w:val="00793646"/>
    <w:rsid w:val="00793E3E"/>
    <w:rsid w:val="007A29C5"/>
    <w:rsid w:val="007B3901"/>
    <w:rsid w:val="007B5728"/>
    <w:rsid w:val="007B5B08"/>
    <w:rsid w:val="007B7FD3"/>
    <w:rsid w:val="007C6224"/>
    <w:rsid w:val="007C7B4B"/>
    <w:rsid w:val="007D0F6E"/>
    <w:rsid w:val="007D6B18"/>
    <w:rsid w:val="007D77D1"/>
    <w:rsid w:val="007F2F2A"/>
    <w:rsid w:val="00804B4C"/>
    <w:rsid w:val="008123FD"/>
    <w:rsid w:val="0081755A"/>
    <w:rsid w:val="0082061E"/>
    <w:rsid w:val="00821968"/>
    <w:rsid w:val="00823428"/>
    <w:rsid w:val="00826340"/>
    <w:rsid w:val="00834C54"/>
    <w:rsid w:val="008369BA"/>
    <w:rsid w:val="00837840"/>
    <w:rsid w:val="00840D32"/>
    <w:rsid w:val="00842312"/>
    <w:rsid w:val="00843933"/>
    <w:rsid w:val="00847FA0"/>
    <w:rsid w:val="008502D9"/>
    <w:rsid w:val="00850F4C"/>
    <w:rsid w:val="00852AC4"/>
    <w:rsid w:val="008626CD"/>
    <w:rsid w:val="00862ADD"/>
    <w:rsid w:val="00864C1F"/>
    <w:rsid w:val="00867E31"/>
    <w:rsid w:val="00870FA1"/>
    <w:rsid w:val="0087521A"/>
    <w:rsid w:val="00875220"/>
    <w:rsid w:val="00886155"/>
    <w:rsid w:val="00891CD9"/>
    <w:rsid w:val="00893149"/>
    <w:rsid w:val="008949A5"/>
    <w:rsid w:val="008A145F"/>
    <w:rsid w:val="008B1B48"/>
    <w:rsid w:val="008B26B1"/>
    <w:rsid w:val="008B753B"/>
    <w:rsid w:val="008C7CA9"/>
    <w:rsid w:val="008D5148"/>
    <w:rsid w:val="008D78D4"/>
    <w:rsid w:val="008E0239"/>
    <w:rsid w:val="008E0E7C"/>
    <w:rsid w:val="008E352E"/>
    <w:rsid w:val="008E4718"/>
    <w:rsid w:val="008E5DB3"/>
    <w:rsid w:val="008F0FC1"/>
    <w:rsid w:val="008F2446"/>
    <w:rsid w:val="008F63C0"/>
    <w:rsid w:val="00901040"/>
    <w:rsid w:val="00906F6A"/>
    <w:rsid w:val="00923C72"/>
    <w:rsid w:val="00923F25"/>
    <w:rsid w:val="0092572B"/>
    <w:rsid w:val="00942F65"/>
    <w:rsid w:val="00951A2D"/>
    <w:rsid w:val="00963503"/>
    <w:rsid w:val="00965DBD"/>
    <w:rsid w:val="00970E3C"/>
    <w:rsid w:val="00971882"/>
    <w:rsid w:val="00971944"/>
    <w:rsid w:val="009744C7"/>
    <w:rsid w:val="009815C6"/>
    <w:rsid w:val="00984BF6"/>
    <w:rsid w:val="00992D71"/>
    <w:rsid w:val="00992DAE"/>
    <w:rsid w:val="00996201"/>
    <w:rsid w:val="00996225"/>
    <w:rsid w:val="00997E15"/>
    <w:rsid w:val="009A39E1"/>
    <w:rsid w:val="009A3AD8"/>
    <w:rsid w:val="009A6EE8"/>
    <w:rsid w:val="009B0F58"/>
    <w:rsid w:val="009B60EB"/>
    <w:rsid w:val="009C0F9D"/>
    <w:rsid w:val="009C2C33"/>
    <w:rsid w:val="009C3380"/>
    <w:rsid w:val="009C4072"/>
    <w:rsid w:val="009D714C"/>
    <w:rsid w:val="009D71F0"/>
    <w:rsid w:val="009E16C9"/>
    <w:rsid w:val="009E407C"/>
    <w:rsid w:val="009E5503"/>
    <w:rsid w:val="009E5F16"/>
    <w:rsid w:val="009E6045"/>
    <w:rsid w:val="009E7E38"/>
    <w:rsid w:val="009F265B"/>
    <w:rsid w:val="009F482C"/>
    <w:rsid w:val="009F68DB"/>
    <w:rsid w:val="009F73A4"/>
    <w:rsid w:val="00A0187D"/>
    <w:rsid w:val="00A03E3F"/>
    <w:rsid w:val="00A1108E"/>
    <w:rsid w:val="00A11A30"/>
    <w:rsid w:val="00A1350F"/>
    <w:rsid w:val="00A27CD0"/>
    <w:rsid w:val="00A3155A"/>
    <w:rsid w:val="00A336A8"/>
    <w:rsid w:val="00A362B6"/>
    <w:rsid w:val="00A37C4D"/>
    <w:rsid w:val="00A430BF"/>
    <w:rsid w:val="00A439BD"/>
    <w:rsid w:val="00A44E20"/>
    <w:rsid w:val="00A516F6"/>
    <w:rsid w:val="00A52129"/>
    <w:rsid w:val="00A63C11"/>
    <w:rsid w:val="00A65DF9"/>
    <w:rsid w:val="00A67239"/>
    <w:rsid w:val="00A67DFF"/>
    <w:rsid w:val="00A71475"/>
    <w:rsid w:val="00A714DC"/>
    <w:rsid w:val="00A7179C"/>
    <w:rsid w:val="00A71D77"/>
    <w:rsid w:val="00A761CB"/>
    <w:rsid w:val="00A85701"/>
    <w:rsid w:val="00A8748F"/>
    <w:rsid w:val="00A94C39"/>
    <w:rsid w:val="00A96ABF"/>
    <w:rsid w:val="00AB0CF8"/>
    <w:rsid w:val="00AB7636"/>
    <w:rsid w:val="00AC147F"/>
    <w:rsid w:val="00AC3C04"/>
    <w:rsid w:val="00AD0344"/>
    <w:rsid w:val="00AD1368"/>
    <w:rsid w:val="00AD1C5C"/>
    <w:rsid w:val="00AD306C"/>
    <w:rsid w:val="00AD3261"/>
    <w:rsid w:val="00AD4355"/>
    <w:rsid w:val="00AD5B3E"/>
    <w:rsid w:val="00AD6F40"/>
    <w:rsid w:val="00AE0A37"/>
    <w:rsid w:val="00AE3F5F"/>
    <w:rsid w:val="00AE4D3F"/>
    <w:rsid w:val="00AE67A6"/>
    <w:rsid w:val="00AF02E0"/>
    <w:rsid w:val="00AF1026"/>
    <w:rsid w:val="00AF357C"/>
    <w:rsid w:val="00AF5BBE"/>
    <w:rsid w:val="00B026D1"/>
    <w:rsid w:val="00B04785"/>
    <w:rsid w:val="00B104FA"/>
    <w:rsid w:val="00B113A7"/>
    <w:rsid w:val="00B13297"/>
    <w:rsid w:val="00B13DC4"/>
    <w:rsid w:val="00B17B7C"/>
    <w:rsid w:val="00B202DA"/>
    <w:rsid w:val="00B20778"/>
    <w:rsid w:val="00B23277"/>
    <w:rsid w:val="00B245AD"/>
    <w:rsid w:val="00B26B7D"/>
    <w:rsid w:val="00B4182B"/>
    <w:rsid w:val="00B4547E"/>
    <w:rsid w:val="00B51D1B"/>
    <w:rsid w:val="00B55E54"/>
    <w:rsid w:val="00B55EFF"/>
    <w:rsid w:val="00B56589"/>
    <w:rsid w:val="00B64365"/>
    <w:rsid w:val="00B64D05"/>
    <w:rsid w:val="00B70460"/>
    <w:rsid w:val="00B71AB7"/>
    <w:rsid w:val="00B7244E"/>
    <w:rsid w:val="00B82F91"/>
    <w:rsid w:val="00B9441B"/>
    <w:rsid w:val="00BA73C1"/>
    <w:rsid w:val="00BA7FC0"/>
    <w:rsid w:val="00BB03D9"/>
    <w:rsid w:val="00BB4BF8"/>
    <w:rsid w:val="00BD0578"/>
    <w:rsid w:val="00BD14DF"/>
    <w:rsid w:val="00BD702B"/>
    <w:rsid w:val="00BD7963"/>
    <w:rsid w:val="00BD7B78"/>
    <w:rsid w:val="00BE0E16"/>
    <w:rsid w:val="00BE371B"/>
    <w:rsid w:val="00BE4E0F"/>
    <w:rsid w:val="00BE632F"/>
    <w:rsid w:val="00BE773B"/>
    <w:rsid w:val="00BF296F"/>
    <w:rsid w:val="00BF2A73"/>
    <w:rsid w:val="00BF7284"/>
    <w:rsid w:val="00C05352"/>
    <w:rsid w:val="00C1039B"/>
    <w:rsid w:val="00C13F2E"/>
    <w:rsid w:val="00C32404"/>
    <w:rsid w:val="00C34B53"/>
    <w:rsid w:val="00C517BC"/>
    <w:rsid w:val="00C5217A"/>
    <w:rsid w:val="00C53AEC"/>
    <w:rsid w:val="00C60802"/>
    <w:rsid w:val="00C7152E"/>
    <w:rsid w:val="00C72F98"/>
    <w:rsid w:val="00C73360"/>
    <w:rsid w:val="00C84F66"/>
    <w:rsid w:val="00C86CB2"/>
    <w:rsid w:val="00C91C71"/>
    <w:rsid w:val="00C95126"/>
    <w:rsid w:val="00C9687F"/>
    <w:rsid w:val="00C97AA9"/>
    <w:rsid w:val="00CA2A0D"/>
    <w:rsid w:val="00CA6B61"/>
    <w:rsid w:val="00CA72A5"/>
    <w:rsid w:val="00CB1F9B"/>
    <w:rsid w:val="00CB2657"/>
    <w:rsid w:val="00CB4358"/>
    <w:rsid w:val="00CB57CE"/>
    <w:rsid w:val="00CC07BF"/>
    <w:rsid w:val="00CC3A0A"/>
    <w:rsid w:val="00CC4651"/>
    <w:rsid w:val="00CC6CB8"/>
    <w:rsid w:val="00CD4DDF"/>
    <w:rsid w:val="00CE018E"/>
    <w:rsid w:val="00CE2E90"/>
    <w:rsid w:val="00CE6E71"/>
    <w:rsid w:val="00CE70F2"/>
    <w:rsid w:val="00CE7A4A"/>
    <w:rsid w:val="00CF315D"/>
    <w:rsid w:val="00CF503F"/>
    <w:rsid w:val="00D0391C"/>
    <w:rsid w:val="00D04003"/>
    <w:rsid w:val="00D1266B"/>
    <w:rsid w:val="00D1343F"/>
    <w:rsid w:val="00D13AA8"/>
    <w:rsid w:val="00D222AE"/>
    <w:rsid w:val="00D239B5"/>
    <w:rsid w:val="00D24F40"/>
    <w:rsid w:val="00D263DA"/>
    <w:rsid w:val="00D30B6F"/>
    <w:rsid w:val="00D32B72"/>
    <w:rsid w:val="00D32E6D"/>
    <w:rsid w:val="00D37EC1"/>
    <w:rsid w:val="00D4033C"/>
    <w:rsid w:val="00D42A1A"/>
    <w:rsid w:val="00D45504"/>
    <w:rsid w:val="00D47D38"/>
    <w:rsid w:val="00D51547"/>
    <w:rsid w:val="00D5346A"/>
    <w:rsid w:val="00D55767"/>
    <w:rsid w:val="00D56F05"/>
    <w:rsid w:val="00D617DD"/>
    <w:rsid w:val="00D62181"/>
    <w:rsid w:val="00D6451B"/>
    <w:rsid w:val="00D71BA0"/>
    <w:rsid w:val="00D71C5F"/>
    <w:rsid w:val="00D749DF"/>
    <w:rsid w:val="00D76290"/>
    <w:rsid w:val="00D82755"/>
    <w:rsid w:val="00D82E67"/>
    <w:rsid w:val="00D831AC"/>
    <w:rsid w:val="00D87B09"/>
    <w:rsid w:val="00D91B85"/>
    <w:rsid w:val="00D97926"/>
    <w:rsid w:val="00DA0A00"/>
    <w:rsid w:val="00DA13E2"/>
    <w:rsid w:val="00DA3557"/>
    <w:rsid w:val="00DA4701"/>
    <w:rsid w:val="00DB44B9"/>
    <w:rsid w:val="00DC0EC0"/>
    <w:rsid w:val="00DC65F2"/>
    <w:rsid w:val="00DC7876"/>
    <w:rsid w:val="00DC7DD5"/>
    <w:rsid w:val="00DD1AF3"/>
    <w:rsid w:val="00DD1B9D"/>
    <w:rsid w:val="00DD3FBD"/>
    <w:rsid w:val="00DD6DA6"/>
    <w:rsid w:val="00DE3ED7"/>
    <w:rsid w:val="00DF1291"/>
    <w:rsid w:val="00DF1756"/>
    <w:rsid w:val="00DF2DBD"/>
    <w:rsid w:val="00DF3F4A"/>
    <w:rsid w:val="00E01D96"/>
    <w:rsid w:val="00E07E21"/>
    <w:rsid w:val="00E11725"/>
    <w:rsid w:val="00E1392C"/>
    <w:rsid w:val="00E20C82"/>
    <w:rsid w:val="00E22AC6"/>
    <w:rsid w:val="00E24830"/>
    <w:rsid w:val="00E25115"/>
    <w:rsid w:val="00E2766A"/>
    <w:rsid w:val="00E318A6"/>
    <w:rsid w:val="00E41C62"/>
    <w:rsid w:val="00E41EE9"/>
    <w:rsid w:val="00E44AB6"/>
    <w:rsid w:val="00E461D4"/>
    <w:rsid w:val="00E55332"/>
    <w:rsid w:val="00E55C29"/>
    <w:rsid w:val="00E60243"/>
    <w:rsid w:val="00E603F7"/>
    <w:rsid w:val="00E6057F"/>
    <w:rsid w:val="00E62285"/>
    <w:rsid w:val="00E62819"/>
    <w:rsid w:val="00E64DB4"/>
    <w:rsid w:val="00E71E25"/>
    <w:rsid w:val="00E75B3F"/>
    <w:rsid w:val="00E7738F"/>
    <w:rsid w:val="00E77B10"/>
    <w:rsid w:val="00E87B67"/>
    <w:rsid w:val="00E9045F"/>
    <w:rsid w:val="00E967EC"/>
    <w:rsid w:val="00EA0D4F"/>
    <w:rsid w:val="00EA405B"/>
    <w:rsid w:val="00EB3E81"/>
    <w:rsid w:val="00EB4C26"/>
    <w:rsid w:val="00EB50B1"/>
    <w:rsid w:val="00EB6134"/>
    <w:rsid w:val="00EB74A5"/>
    <w:rsid w:val="00EC1170"/>
    <w:rsid w:val="00EC1A6C"/>
    <w:rsid w:val="00EC282C"/>
    <w:rsid w:val="00EC46E1"/>
    <w:rsid w:val="00EC6FBD"/>
    <w:rsid w:val="00ED1E5A"/>
    <w:rsid w:val="00ED2E9A"/>
    <w:rsid w:val="00ED622A"/>
    <w:rsid w:val="00ED7509"/>
    <w:rsid w:val="00EE38AF"/>
    <w:rsid w:val="00EE45FA"/>
    <w:rsid w:val="00EE4D35"/>
    <w:rsid w:val="00EE5BF5"/>
    <w:rsid w:val="00EE6A54"/>
    <w:rsid w:val="00EF254B"/>
    <w:rsid w:val="00EF4FF2"/>
    <w:rsid w:val="00F071DE"/>
    <w:rsid w:val="00F077B2"/>
    <w:rsid w:val="00F104CF"/>
    <w:rsid w:val="00F13EFA"/>
    <w:rsid w:val="00F1626E"/>
    <w:rsid w:val="00F211A1"/>
    <w:rsid w:val="00F213D1"/>
    <w:rsid w:val="00F32DEE"/>
    <w:rsid w:val="00F36439"/>
    <w:rsid w:val="00F40B80"/>
    <w:rsid w:val="00F42246"/>
    <w:rsid w:val="00F50744"/>
    <w:rsid w:val="00F74630"/>
    <w:rsid w:val="00F76E4A"/>
    <w:rsid w:val="00F87CA1"/>
    <w:rsid w:val="00F9122A"/>
    <w:rsid w:val="00FA5DEB"/>
    <w:rsid w:val="00FA6523"/>
    <w:rsid w:val="00FA6D2C"/>
    <w:rsid w:val="00FB57B0"/>
    <w:rsid w:val="00FB5BF6"/>
    <w:rsid w:val="00FB6E70"/>
    <w:rsid w:val="00FC4474"/>
    <w:rsid w:val="00FC779A"/>
    <w:rsid w:val="00FD5BCF"/>
    <w:rsid w:val="00FD673B"/>
    <w:rsid w:val="00FF39C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70446DF5-AACF-428C-A769-8DAA7D46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9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Heading2A">
    <w:name w:val="Heading 2A"/>
    <w:basedOn w:val="Normal"/>
    <w:rsid w:val="00DD1AF3"/>
    <w:pPr>
      <w:spacing w:after="120" w:line="240" w:lineRule="auto"/>
      <w:ind w:left="540" w:hanging="540"/>
    </w:pPr>
    <w:rPr>
      <w:b/>
    </w:rPr>
  </w:style>
  <w:style w:type="paragraph" w:customStyle="1" w:styleId="Heading3A">
    <w:name w:val="Heading 3A"/>
    <w:basedOn w:val="Normal"/>
    <w:rsid w:val="00DD1AF3"/>
    <w:pPr>
      <w:spacing w:after="120" w:line="240" w:lineRule="auto"/>
    </w:pPr>
    <w:rPr>
      <w:i/>
    </w:rPr>
  </w:style>
  <w:style w:type="paragraph" w:customStyle="1" w:styleId="MarkforTableHeading">
    <w:name w:val="Mark for Table Heading"/>
    <w:basedOn w:val="Normal"/>
    <w:next w:val="Normal"/>
    <w:qFormat/>
    <w:rsid w:val="006C2456"/>
    <w:pPr>
      <w:keepNext/>
      <w:tabs>
        <w:tab w:val="left" w:pos="432"/>
      </w:tabs>
      <w:spacing w:after="60" w:line="240" w:lineRule="auto"/>
      <w:jc w:val="both"/>
    </w:pPr>
    <w:rPr>
      <w:rFonts w:ascii="Lucida Sans" w:eastAsia="Times New Roman" w:hAnsi="Lucida Sans" w:cs="Times New Roman"/>
      <w:b/>
      <w:sz w:val="18"/>
      <w:szCs w:val="24"/>
    </w:rPr>
  </w:style>
  <w:style w:type="paragraph" w:styleId="ListNumber">
    <w:name w:val="List Number"/>
    <w:basedOn w:val="Normal"/>
    <w:qFormat/>
    <w:rsid w:val="009C2C33"/>
    <w:pPr>
      <w:numPr>
        <w:numId w:val="45"/>
      </w:numPr>
      <w:adjustRightInd w:val="0"/>
      <w:spacing w:after="80" w:line="264" w:lineRule="auto"/>
    </w:pPr>
  </w:style>
  <w:style w:type="paragraph" w:customStyle="1" w:styleId="ListAlpha2">
    <w:name w:val="List Alpha 2"/>
    <w:basedOn w:val="List2"/>
    <w:qFormat/>
    <w:rsid w:val="009C2C33"/>
    <w:pPr>
      <w:numPr>
        <w:numId w:val="44"/>
      </w:numPr>
      <w:tabs>
        <w:tab w:val="clear" w:pos="720"/>
      </w:tabs>
      <w:spacing w:after="80" w:line="264" w:lineRule="auto"/>
      <w:ind w:left="1440"/>
      <w:contextualSpacing w:val="0"/>
    </w:pPr>
  </w:style>
  <w:style w:type="paragraph" w:styleId="List2">
    <w:name w:val="List 2"/>
    <w:basedOn w:val="Normal"/>
    <w:uiPriority w:val="99"/>
    <w:semiHidden/>
    <w:unhideWhenUsed/>
    <w:rsid w:val="009C2C33"/>
    <w:pPr>
      <w:ind w:left="720" w:hanging="360"/>
      <w:contextualSpacing/>
    </w:pPr>
  </w:style>
  <w:style w:type="paragraph" w:customStyle="1" w:styleId="H4">
    <w:name w:val="H4"/>
    <w:basedOn w:val="Normal"/>
    <w:next w:val="Normal"/>
    <w:qFormat/>
    <w:rsid w:val="00C97AA9"/>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Paragraph">
    <w:name w:val="Paragraph"/>
    <w:basedOn w:val="Normal"/>
    <w:qFormat/>
    <w:rsid w:val="00C97AA9"/>
    <w:pPr>
      <w:spacing w:after="160" w:line="264" w:lineRule="auto"/>
    </w:pPr>
  </w:style>
  <w:style w:type="paragraph" w:customStyle="1" w:styleId="TableHeaderCenter">
    <w:name w:val="Table Header Center"/>
    <w:basedOn w:val="Normal"/>
    <w:qFormat/>
    <w:rsid w:val="00FA6523"/>
    <w:pPr>
      <w:keepNext/>
      <w:spacing w:before="40" w:after="20" w:line="264" w:lineRule="auto"/>
      <w:jc w:val="center"/>
    </w:pPr>
    <w:rPr>
      <w:rFonts w:asciiTheme="majorHAnsi" w:hAnsiTheme="majorHAnsi"/>
      <w:color w:val="FFFFFF" w:themeColor="background1"/>
      <w:sz w:val="20"/>
    </w:rPr>
  </w:style>
  <w:style w:type="paragraph" w:customStyle="1" w:styleId="ParagraphContinued">
    <w:name w:val="Paragraph Continued"/>
    <w:basedOn w:val="Paragraph"/>
    <w:next w:val="Paragraph"/>
    <w:qFormat/>
    <w:rsid w:val="00D56F05"/>
    <w:pPr>
      <w:spacing w:before="120" w:after="120"/>
    </w:pPr>
  </w:style>
  <w:style w:type="table" w:customStyle="1" w:styleId="MathUBaseTable">
    <w:name w:val="MathU Base Table"/>
    <w:basedOn w:val="TableNormal"/>
    <w:uiPriority w:val="99"/>
    <w:rsid w:val="00102D17"/>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table" w:customStyle="1" w:styleId="TableGrid1">
    <w:name w:val="Table Grid1"/>
    <w:basedOn w:val="TableNormal"/>
    <w:next w:val="TableGrid"/>
    <w:uiPriority w:val="99"/>
    <w:rsid w:val="002B56D5"/>
    <w:pPr>
      <w:spacing w:after="0" w:line="240" w:lineRule="auto"/>
    </w:pPr>
    <w:tblPr>
      <w:tblBorders>
        <w:top w:val="dotted" w:sz="12" w:space="0" w:color="1F497D" w:themeColor="text2"/>
        <w:bottom w:val="dotted" w:sz="12" w:space="0" w:color="1F497D" w:themeColor="text2"/>
      </w:tblBorders>
    </w:tblPr>
  </w:style>
  <w:style w:type="character" w:styleId="FollowedHyperlink">
    <w:name w:val="FollowedHyperlink"/>
    <w:basedOn w:val="DefaultParagraphFont"/>
    <w:uiPriority w:val="99"/>
    <w:semiHidden/>
    <w:unhideWhenUsed/>
    <w:rsid w:val="00CA6B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82623483">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35526240">
      <w:bodyDiv w:val="1"/>
      <w:marLeft w:val="0"/>
      <w:marRight w:val="0"/>
      <w:marTop w:val="0"/>
      <w:marBottom w:val="0"/>
      <w:divBdr>
        <w:top w:val="none" w:sz="0" w:space="0" w:color="auto"/>
        <w:left w:val="none" w:sz="0" w:space="0" w:color="auto"/>
        <w:bottom w:val="none" w:sz="0" w:space="0" w:color="auto"/>
        <w:right w:val="none" w:sz="0" w:space="0" w:color="auto"/>
      </w:divBdr>
    </w:div>
    <w:div w:id="668338152">
      <w:bodyDiv w:val="1"/>
      <w:marLeft w:val="0"/>
      <w:marRight w:val="0"/>
      <w:marTop w:val="0"/>
      <w:marBottom w:val="0"/>
      <w:divBdr>
        <w:top w:val="none" w:sz="0" w:space="0" w:color="auto"/>
        <w:left w:val="none" w:sz="0" w:space="0" w:color="auto"/>
        <w:bottom w:val="none" w:sz="0" w:space="0" w:color="auto"/>
        <w:right w:val="none" w:sz="0" w:space="0" w:color="auto"/>
      </w:divBdr>
    </w:div>
    <w:div w:id="717508826">
      <w:bodyDiv w:val="1"/>
      <w:marLeft w:val="0"/>
      <w:marRight w:val="0"/>
      <w:marTop w:val="0"/>
      <w:marBottom w:val="0"/>
      <w:divBdr>
        <w:top w:val="none" w:sz="0" w:space="0" w:color="auto"/>
        <w:left w:val="none" w:sz="0" w:space="0" w:color="auto"/>
        <w:bottom w:val="none" w:sz="0" w:space="0" w:color="auto"/>
        <w:right w:val="none" w:sz="0" w:space="0" w:color="auto"/>
      </w:divBdr>
    </w:div>
    <w:div w:id="74488223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91813221">
      <w:bodyDiv w:val="1"/>
      <w:marLeft w:val="0"/>
      <w:marRight w:val="0"/>
      <w:marTop w:val="0"/>
      <w:marBottom w:val="0"/>
      <w:divBdr>
        <w:top w:val="none" w:sz="0" w:space="0" w:color="auto"/>
        <w:left w:val="none" w:sz="0" w:space="0" w:color="auto"/>
        <w:bottom w:val="none" w:sz="0" w:space="0" w:color="auto"/>
        <w:right w:val="none" w:sz="0" w:space="0" w:color="auto"/>
      </w:divBdr>
    </w:div>
    <w:div w:id="1823960095">
      <w:bodyDiv w:val="1"/>
      <w:marLeft w:val="0"/>
      <w:marRight w:val="0"/>
      <w:marTop w:val="0"/>
      <w:marBottom w:val="0"/>
      <w:divBdr>
        <w:top w:val="none" w:sz="0" w:space="0" w:color="auto"/>
        <w:left w:val="none" w:sz="0" w:space="0" w:color="auto"/>
        <w:bottom w:val="none" w:sz="0" w:space="0" w:color="auto"/>
        <w:right w:val="none" w:sz="0" w:space="0" w:color="auto"/>
      </w:divBdr>
    </w:div>
    <w:div w:id="1828931787">
      <w:bodyDiv w:val="1"/>
      <w:marLeft w:val="0"/>
      <w:marRight w:val="0"/>
      <w:marTop w:val="0"/>
      <w:marBottom w:val="0"/>
      <w:divBdr>
        <w:top w:val="none" w:sz="0" w:space="0" w:color="auto"/>
        <w:left w:val="none" w:sz="0" w:space="0" w:color="auto"/>
        <w:bottom w:val="none" w:sz="0" w:space="0" w:color="auto"/>
        <w:right w:val="none" w:sz="0" w:space="0" w:color="auto"/>
      </w:divBdr>
    </w:div>
    <w:div w:id="212546380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fysb/fact-sheet/title-v-state-sexual-risk-avoidance-education-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63EDD-AD09-4CBA-BC2E-EA023637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Soble</dc:creator>
  <cp:lastModifiedBy>Jones, Molly (ACF)</cp:lastModifiedBy>
  <cp:revision>4</cp:revision>
  <dcterms:created xsi:type="dcterms:W3CDTF">2022-01-05T16:47:00Z</dcterms:created>
  <dcterms:modified xsi:type="dcterms:W3CDTF">2022-01-07T10:50:00Z</dcterms:modified>
</cp:coreProperties>
</file>