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B7525" w:rsidR="0004289E" w:rsidP="004B7525" w:rsidRDefault="0004289E" w14:paraId="794A9B45" w14:textId="3A96CE4D">
      <w:pPr>
        <w:spacing w:after="40"/>
        <w:ind w:right="-43"/>
        <w:rPr>
          <w:rFonts w:eastAsiaTheme="minorHAnsi"/>
          <w:b/>
          <w:bCs/>
          <w:sz w:val="22"/>
          <w:szCs w:val="22"/>
        </w:rPr>
      </w:pPr>
      <w:bookmarkStart w:name="_GoBack" w:id="0"/>
      <w:bookmarkEnd w:id="0"/>
      <w:r w:rsidRPr="004B7525">
        <w:rPr>
          <w:rFonts w:eastAsiaTheme="minorHAnsi"/>
          <w:b/>
          <w:bCs/>
          <w:sz w:val="22"/>
          <w:szCs w:val="22"/>
        </w:rPr>
        <w:t xml:space="preserve">Table </w:t>
      </w:r>
      <w:r w:rsidR="00F21C17">
        <w:rPr>
          <w:rFonts w:eastAsiaTheme="minorHAnsi"/>
          <w:b/>
          <w:bCs/>
          <w:sz w:val="22"/>
          <w:szCs w:val="22"/>
        </w:rPr>
        <w:t>C</w:t>
      </w:r>
      <w:r w:rsidRPr="004B7525">
        <w:rPr>
          <w:rFonts w:eastAsiaTheme="minorHAnsi"/>
          <w:b/>
          <w:bCs/>
          <w:sz w:val="22"/>
          <w:szCs w:val="22"/>
        </w:rPr>
        <w:t xml:space="preserve">.1. </w:t>
      </w:r>
      <w:r w:rsidRPr="004B7525" w:rsidR="004B7525">
        <w:rPr>
          <w:rFonts w:eastAsiaTheme="minorHAnsi"/>
          <w:b/>
          <w:bCs/>
          <w:sz w:val="22"/>
          <w:szCs w:val="22"/>
        </w:rPr>
        <w:t>Proportional number of cases needed for the Success Sequence Interview study based on p</w:t>
      </w:r>
      <w:r w:rsidRPr="004B7525">
        <w:rPr>
          <w:rFonts w:eastAsiaTheme="minorHAnsi"/>
          <w:b/>
          <w:bCs/>
          <w:sz w:val="22"/>
          <w:szCs w:val="22"/>
        </w:rPr>
        <w:t xml:space="preserve">ercent of cases </w:t>
      </w:r>
      <w:r w:rsidRPr="004B7525" w:rsidR="004B7525">
        <w:rPr>
          <w:rFonts w:eastAsiaTheme="minorHAnsi"/>
          <w:b/>
          <w:bCs/>
          <w:sz w:val="22"/>
          <w:szCs w:val="22"/>
        </w:rPr>
        <w:t>in the NLSY economic analysis</w:t>
      </w:r>
      <w:r w:rsidR="00537C23">
        <w:rPr>
          <w:rFonts w:eastAsiaTheme="minorHAnsi"/>
          <w:b/>
          <w:bCs/>
          <w:sz w:val="22"/>
          <w:szCs w:val="22"/>
        </w:rPr>
        <w:t xml:space="preserve"> by order of key success sequence model milestones achieved</w:t>
      </w:r>
      <w:r w:rsidRPr="004B7525" w:rsidR="004B7525">
        <w:rPr>
          <w:rFonts w:eastAsiaTheme="minorHAnsi"/>
          <w:b/>
          <w:bCs/>
          <w:sz w:val="22"/>
          <w:szCs w:val="22"/>
        </w:rPr>
        <w:t>.</w:t>
      </w:r>
      <w:r w:rsidRPr="004B7525" w:rsidR="004B7525">
        <w:rPr>
          <w:rFonts w:eastAsiaTheme="minorHAnsi"/>
          <w:b/>
          <w:bCs/>
          <w:sz w:val="22"/>
          <w:szCs w:val="22"/>
          <w:vertAlign w:val="superscript"/>
        </w:rPr>
        <w:t>1</w:t>
      </w:r>
      <w:r w:rsidRPr="004B7525">
        <w:rPr>
          <w:rFonts w:eastAsiaTheme="minorHAnsi"/>
          <w:b/>
          <w:bCs/>
          <w:sz w:val="22"/>
          <w:szCs w:val="22"/>
        </w:rPr>
        <w:t xml:space="preserve"> </w:t>
      </w:r>
    </w:p>
    <w:tbl>
      <w:tblPr>
        <w:tblW w:w="10973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2060"/>
        <w:gridCol w:w="2060"/>
        <w:gridCol w:w="1553"/>
        <w:gridCol w:w="1800"/>
        <w:gridCol w:w="1440"/>
      </w:tblGrid>
      <w:tr w:rsidRPr="0004289E" w:rsidR="0004289E" w:rsidTr="004B7525" w14:paraId="5BB1C38D" w14:textId="77777777">
        <w:trPr>
          <w:trHeight w:val="510"/>
        </w:trPr>
        <w:tc>
          <w:tcPr>
            <w:tcW w:w="2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46B5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37C23" w:rsidR="00537C23" w:rsidP="00537C23" w:rsidRDefault="0004289E" w14:paraId="3E339C87" w14:textId="33B39EFB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Milestone 1</w:t>
            </w:r>
            <w:r w:rsidR="00537C23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2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046B5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37C23" w:rsidR="00537C23" w:rsidP="00537C23" w:rsidRDefault="0004289E" w14:paraId="5D08C7A0" w14:textId="0CE6D90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Milestone 2</w:t>
            </w:r>
          </w:p>
        </w:tc>
        <w:tc>
          <w:tcPr>
            <w:tcW w:w="2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046B5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37C23" w:rsidR="00537C23" w:rsidP="00537C23" w:rsidRDefault="0004289E" w14:paraId="34DF2423" w14:textId="0F21A7B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Milestone 3</w:t>
            </w:r>
          </w:p>
        </w:tc>
        <w:tc>
          <w:tcPr>
            <w:tcW w:w="15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046B5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F7A127A" w14:textId="7777777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Milestone 4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046B5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3923C244" w14:textId="6DD4D90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Percent observed in NLSY</w:t>
            </w:r>
            <w:r w:rsidR="00D806A2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97</w:t>
            </w:r>
            <w:r w:rsidRPr="0004289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data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046B5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3409CF" w14:paraId="2BE06C91" w14:textId="47B8344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Success Sequence Interview Study Target Sample</w:t>
            </w:r>
          </w:p>
        </w:tc>
      </w:tr>
      <w:tr w:rsidRPr="0004289E" w:rsidR="0004289E" w:rsidTr="004B7525" w14:paraId="6B472889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4DA7DFF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High school graduation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3C49296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Employment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5DC73B19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3F331BA1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26B7B86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7129CA6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</w:tr>
      <w:tr w:rsidRPr="0004289E" w:rsidR="0004289E" w:rsidTr="004B7525" w14:paraId="2A720250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23EAFC7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High school graduation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08E536D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Employment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5C7540A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Marriage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93F08A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Childbearing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223B1C4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14.2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50B77E3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</w:tr>
      <w:tr w:rsidRPr="0004289E" w:rsidR="0004289E" w:rsidTr="004B7525" w14:paraId="4E8D232F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72CF73F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High school graduation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BA1318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Employment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1F5337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Marriage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06C399D9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8F1CFD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0FBFDCF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</w:tr>
      <w:tr w:rsidRPr="0004289E" w:rsidR="0004289E" w:rsidTr="004B7525" w14:paraId="15ECA46B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78B9D0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High school graduation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2144FB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Employment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4043EDF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Childbearing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090CCA37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4AB65D4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5125103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Pr="0004289E" w:rsidR="0004289E" w:rsidTr="004B7525" w14:paraId="33C29A18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326C4F7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Employment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0030B98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High school graduation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84B611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Marriage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2ED792E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Childbearing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F2BAC5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97E77B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Pr="0004289E" w:rsidR="0004289E" w:rsidTr="004B7525" w14:paraId="61EB8E6F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4B9E478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High school graduation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22C25A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Employment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42AE007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Childbearing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2854ABE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Marriage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53545CA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672EC9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Pr="0004289E" w:rsidR="0004289E" w:rsidTr="004B7525" w14:paraId="2BD094F7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24C424E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Employment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3C8469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High school graduation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05493A85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556B91C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4B085B3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AA0F48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Pr="0004289E" w:rsidR="0004289E" w:rsidTr="004B7525" w14:paraId="7D4340E6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7BEF7FA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Employment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2E000A4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Childbearing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5297D21C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25646779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7E244A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5E6FACC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Pr="0004289E" w:rsidR="0004289E" w:rsidTr="004B7525" w14:paraId="4339D764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81DC12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High school graduation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4886AEFC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71F3C286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2F7A8BBD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0B4F8B4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059F16C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Pr="0004289E" w:rsidR="0004289E" w:rsidTr="004B7525" w14:paraId="45279DC0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D08DDE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Employment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78361187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4D4B58BC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5E980554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091149F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774FA2D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Pr="0004289E" w:rsidR="0004289E" w:rsidTr="004B7525" w14:paraId="0C3F20C9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BDBA1B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High school graduation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53D7066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Marriage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7B1E587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Employment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5635ABE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Childbearing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4104D0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067E16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Pr="0004289E" w:rsidR="0004289E" w:rsidTr="004B7525" w14:paraId="56A4552B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CD975D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Employment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D8B9DF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High school graduation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2038D2B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Childbearing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3EF9A927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0ADB06C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0F9EB57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Pr="0004289E" w:rsidR="0004289E" w:rsidTr="004B7525" w14:paraId="694BFC18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796442A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Childbearing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65D564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Employment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5C30350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7562C5A9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945EE0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3AC9C30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Pr="0004289E" w:rsidR="0004289E" w:rsidTr="004B7525" w14:paraId="29D85516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23131E0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Employment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2F73CF4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High school graduation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08E4B83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Marriage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497C818E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4883016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4DA681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Pr="0004289E" w:rsidR="0004289E" w:rsidTr="004B7525" w14:paraId="038FF229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B44E3D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Employment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4CE5877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High school graduation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C8A004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Childbearing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753856F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Marriage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0D6C1E2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07CDF72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Pr="0004289E" w:rsidR="0004289E" w:rsidTr="004B7525" w14:paraId="422710ED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4449B19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Childbearing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5A2EA527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4A82A4F4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0FF120A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2463C49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227A1FE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Pr="0004289E" w:rsidR="0004289E" w:rsidTr="004B7525" w14:paraId="64CB0241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FC1216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High school graduation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5F2C177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Childbearing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398CBAA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Employment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6E12F4B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7E04AE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22A6670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Pr="0004289E" w:rsidR="0004289E" w:rsidTr="004B7525" w14:paraId="1F178964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5B2276D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Employment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5436004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Childbearing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36B58C6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Marriage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DD7C80B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0A22478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01EF7D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Pr="0004289E" w:rsidR="0004289E" w:rsidTr="004B7525" w14:paraId="729A54A4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4FE8C5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Employment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45A6BE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Marriage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BEA3A4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Childbearing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3CAD34C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718B6E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3A2D301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Pr="0004289E" w:rsidR="0004289E" w:rsidTr="004B7525" w14:paraId="651587C7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25AE0E9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High school graduation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2171953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Marriage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D77005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Childbearing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79556990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5CBFB69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41CCB3A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Pr="0004289E" w:rsidR="0004289E" w:rsidTr="004B7525" w14:paraId="57122396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0606C34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High school graduation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4C7E101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Childbearing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B3B72D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Employment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52B2201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Marriage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686C93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4BE2CE5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Pr="0004289E" w:rsidR="0004289E" w:rsidTr="004B7525" w14:paraId="5CDD72EB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DEC1EB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High school graduation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6640C0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Childbearing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72F555F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0DEAE0A7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06B9108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04BCDFA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Pr="0004289E" w:rsidR="0004289E" w:rsidTr="004B7525" w14:paraId="56BD3DC7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368E8C5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Childbearing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5ABDAA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Employment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7CF0E13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Marriage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3FFD9217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7DDA475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39F0677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Pr="0004289E" w:rsidR="0004289E" w:rsidTr="004B7525" w14:paraId="0645C12D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34F7F26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High school graduation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271C387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Marriage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00AEB9D3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4A1B748C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A52EEB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7A9D795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Pr="0004289E" w:rsidR="0004289E" w:rsidTr="004B7525" w14:paraId="2332BBDB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3D108D7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Childbearing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3F1048A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Marriage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EC00582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57A03A12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38E0A97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DD22DC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Pr="0004289E" w:rsidR="0004289E" w:rsidTr="004B7525" w14:paraId="43762FA4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C5D798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Childbearing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590B258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High school graduation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BAA7F0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Employment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76D84672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2137CD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20AA61C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Pr="0004289E" w:rsidR="0004289E" w:rsidTr="004B7525" w14:paraId="312C6BD6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280E755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High school graduation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4DB7EDA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Marriage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2426281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Childbearing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6DBF7A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Employment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FB9B07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31B2BDE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Pr="0004289E" w:rsidR="0004289E" w:rsidTr="004B7525" w14:paraId="3F059045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031C29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Employment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001F5A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Marriage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46395A90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215412D1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3162A0D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2FC1F5F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Pr="0004289E" w:rsidR="0004289E" w:rsidTr="004B7525" w14:paraId="75AA7085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537C7FD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Childbearing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A41D7C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High school graduation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7AFF408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Employment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2D5C9D4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Marriage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550B1D1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2667C2D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Pr="0004289E" w:rsidR="0004289E" w:rsidTr="004B7525" w14:paraId="0CB41C68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26AB83E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No milestones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CF0B3E7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59325D1D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7C2B0436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94D944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503E9A5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Pr="0004289E" w:rsidR="0004289E" w:rsidTr="004B7525" w14:paraId="0CDD9BE2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74B26D9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High school graduation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7C2403D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Childbearing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0CB426D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Marriage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76432147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0860A7D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7F12BCB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Pr="0004289E" w:rsidR="0004289E" w:rsidTr="004B7525" w14:paraId="7C1E545A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2CB1EEF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High school graduation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4129469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Marriage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786901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Employment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3052656C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409BA5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43FBC0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Pr="0004289E" w:rsidR="0004289E" w:rsidTr="004B7525" w14:paraId="24D9A9DB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3296F6C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Childbearing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4863AA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Marriage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0C86383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Employment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427A4B9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4FE701A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C37699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Pr="0004289E" w:rsidR="0004289E" w:rsidTr="004B7525" w14:paraId="27B5C4E5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4D5609C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High school graduation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78C2F61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Childbearing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A68549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Marriage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3F81ABD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Employment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CA9935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4087758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Pr="0004289E" w:rsidR="0004289E" w:rsidTr="004B7525" w14:paraId="05B1DE02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034F45C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Childbearing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334D32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Employment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C95AD0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High school graduation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451AD96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Marriage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3214115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46E9781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Pr="0004289E" w:rsidR="0004289E" w:rsidTr="004B7525" w14:paraId="11046123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39EB4A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Marriage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4A85B19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Childbearing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05FB449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Employment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38391C1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397B495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49BA741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Pr="0004289E" w:rsidR="0004289E" w:rsidTr="004B7525" w14:paraId="499E09F7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700F39D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Marriage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32A6A1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Childbearing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5D3583D2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90EEC59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7C8E031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F19BE1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Pr="0004289E" w:rsidR="0004289E" w:rsidTr="004B7525" w14:paraId="2E57EFCB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4EF1169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Childbearing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1FC216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High school graduation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09A4D01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0A88D803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3ED3AAD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594E5D2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Pr="0004289E" w:rsidR="0004289E" w:rsidTr="004B7525" w14:paraId="6F18F815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7E96FDA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Childbearing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018F129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Employment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8C919F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High school graduation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05F64D9D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550C2B0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4EDC28E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Pr="0004289E" w:rsidR="0004289E" w:rsidTr="004B7525" w14:paraId="6BEB44D3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2BF22E3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Childbearing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04E5010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High school graduation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06530B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Marriage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250B187A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35B6D00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41581A0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Pr="0004289E" w:rsidR="0004289E" w:rsidTr="004B7525" w14:paraId="78EFA16B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3BBC3B0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Childbearing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3F31566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High school graduation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2CDA07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Marriage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0591BB4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Employment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42CAD95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7B0138D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Pr="0004289E" w:rsidR="0004289E" w:rsidTr="004B7525" w14:paraId="3921C881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C1080F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Employment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4030E17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Childbearing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2E45981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High school graduation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3EE8CE13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0436845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3A7F1A5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Pr="0004289E" w:rsidR="0004289E" w:rsidTr="004B7525" w14:paraId="16F4A946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015DB5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Employment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418CC10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Childbearing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4FD6A96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High school graduation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792E79A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Marriage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06FF2C8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065C1DE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Pr="0004289E" w:rsidR="0004289E" w:rsidTr="004B7525" w14:paraId="67E9233F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430EA14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Marriage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234EA34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Employment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ADB676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Childbearing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E1B07F3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E0CE93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705AD6A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Pr="0004289E" w:rsidR="0004289E" w:rsidTr="004B7525" w14:paraId="3AB5509D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75FA27C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Childbearing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8D54C8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Marriage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49E65A8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High school graduation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252B7AF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Employment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019C0C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47058B1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Pr="0004289E" w:rsidR="0004289E" w:rsidTr="004B7525" w14:paraId="2F613050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58E2626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Employment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7FE64C0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Marriage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40FEB7D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High school graduation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06DFF8D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Childbearing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595A375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750A836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Pr="0004289E" w:rsidR="0004289E" w:rsidTr="004B7525" w14:paraId="0FA278F1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3E87319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Marriage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387825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Employment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09F4A4C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59F21C86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383D357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F3A036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Pr="0004289E" w:rsidR="0004289E" w:rsidTr="004B7525" w14:paraId="03DA6B40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706713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Marriage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7D31551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High school graduation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89B447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Childbearing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279DE6F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Employment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FB3515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4D45A51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Pr="0004289E" w:rsidR="0004289E" w:rsidTr="004B7525" w14:paraId="62DCC557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D51233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Childbearing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5CC0817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Marriage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034A58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High school graduation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5EBDFA76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393E6E5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2B1BC18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Pr="0004289E" w:rsidR="0004289E" w:rsidTr="004B7525" w14:paraId="14E65BB1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4A8B7E4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Marriage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4779A24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5B61540F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3FE29C64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7396731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DCAB74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Pr="0004289E" w:rsidR="0004289E" w:rsidTr="004B7525" w14:paraId="658F4D31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45845A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Marriage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2974116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High school graduation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4CC3CB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Employment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0A41F6F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Childbearing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FAC74A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36047F2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Pr="0004289E" w:rsidR="0004289E" w:rsidTr="004B7525" w14:paraId="639ABD3A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45912FF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Employment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DE9BE1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Marriage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3B2D79E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High school graduation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5AA96F33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311BD5C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3E56D3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Pr="0004289E" w:rsidR="0004289E" w:rsidTr="004B7525" w14:paraId="64357F9F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425A3E6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Marriage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B18B13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Childbearing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D533C8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High school graduation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D45238A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0071369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247B69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Pr="0004289E" w:rsidR="0004289E" w:rsidTr="004B7525" w14:paraId="09173C02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736DF34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Childbearing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5C19E9C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Employment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929E66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Marriage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077A0F3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High school graduation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70A5564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1EB408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Pr="0004289E" w:rsidR="0004289E" w:rsidTr="004B7525" w14:paraId="16B79F7A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5B65DEB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Employment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E1DB89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Marriage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054070B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Childbearing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4303AB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High school graduation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948BD4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692BF0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Pr="0004289E" w:rsidR="0004289E" w:rsidTr="004B7525" w14:paraId="0EF99118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D6DD1A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Marriage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911C93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Childbearing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5A60337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High school graduation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37A448A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Employment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3485283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7365444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Pr="0004289E" w:rsidR="0004289E" w:rsidTr="004B7525" w14:paraId="44C98DE2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74000D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Marriage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0D6CF7A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Employment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28654FF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High school graduation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51BA1E42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C27AE2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495108C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Pr="0004289E" w:rsidR="0004289E" w:rsidTr="004B7525" w14:paraId="42CAE187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0354F2A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Marriage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CEE3C3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Childbearing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0A8A2A9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Employment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7190840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High school graduation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5026AC1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76A5697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Pr="0004289E" w:rsidR="0004289E" w:rsidTr="004B7525" w14:paraId="0F9C180D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7C3ACAF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Marriage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768A28A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High school graduation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2D47238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Employment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D2AD22E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0ECDE3E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0BAD3A2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Pr="0004289E" w:rsidR="0004289E" w:rsidTr="004B7525" w14:paraId="3774504C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72535B3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Marriage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02DEA16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High school graduation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31E19E7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Childbearing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3788223B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7C95FF5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217242A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Pr="0004289E" w:rsidR="0004289E" w:rsidTr="004B7525" w14:paraId="2626D2EE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0439339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Marriage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217D531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Employment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5FE88EE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High school graduation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77BE80E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Childbearing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263904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20A2F1E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Pr="0004289E" w:rsidR="0004289E" w:rsidTr="004B7525" w14:paraId="03A205F6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3A76CE2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Employment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7ACF71E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Childbearing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03518C8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Marriage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A89CAC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High school graduation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4334E7B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5FA9795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Pr="0004289E" w:rsidR="0004289E" w:rsidTr="004B7525" w14:paraId="28F6F691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79CB56A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Marriage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08C9206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Employment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26ED35D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Childbearing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7537167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High school graduation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5D6627F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3317893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Pr="0004289E" w:rsidR="0004289E" w:rsidTr="00D55736" w14:paraId="374237CF" w14:textId="77777777">
        <w:trPr>
          <w:cantSplit/>
          <w:trHeight w:val="300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255DE36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Childbearing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DE8DDC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Marriage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098FDC9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Employment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F0ECF3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High school graduation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263077E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2C759E2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Pr="0004289E" w:rsidR="0004289E" w:rsidTr="00D55736" w14:paraId="76657788" w14:textId="77777777">
        <w:trPr>
          <w:cantSplit/>
          <w:trHeight w:val="300"/>
        </w:trPr>
        <w:tc>
          <w:tcPr>
            <w:tcW w:w="20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0263C5A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Marriage</w:t>
            </w:r>
          </w:p>
        </w:tc>
        <w:tc>
          <w:tcPr>
            <w:tcW w:w="20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48A2A67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High school graduation</w:t>
            </w:r>
          </w:p>
        </w:tc>
        <w:tc>
          <w:tcPr>
            <w:tcW w:w="20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22D99E78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55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11A12DA6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6F60FAC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4289E" w:rsidR="0004289E" w:rsidRDefault="0004289E" w14:paraId="76820E2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289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Pr="0004289E" w:rsidR="00D55736" w:rsidTr="00D55736" w14:paraId="5D7AE171" w14:textId="77777777">
        <w:trPr>
          <w:cantSplit/>
          <w:trHeight w:val="300"/>
        </w:trPr>
        <w:tc>
          <w:tcPr>
            <w:tcW w:w="20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D55736" w:rsidR="00D55736" w:rsidRDefault="00D55736" w14:paraId="02285234" w14:textId="0F042A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57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  <w:r w:rsidR="00D03B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Target Sample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04289E" w:rsidR="00D55736" w:rsidRDefault="00D55736" w14:paraId="5FE64B7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04289E" w:rsidR="00D55736" w:rsidRDefault="00D55736" w14:paraId="20E8EA86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04289E" w:rsidR="00D55736" w:rsidRDefault="00D55736" w14:paraId="2279D133" w14:textId="7777777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04289E" w:rsidR="00D55736" w:rsidRDefault="00D55736" w14:paraId="365B660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D3878" w:rsidR="00D55736" w:rsidRDefault="00D55736" w14:paraId="6B66B000" w14:textId="1F60DCA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D3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225</w:t>
            </w:r>
          </w:p>
        </w:tc>
      </w:tr>
    </w:tbl>
    <w:p w:rsidRPr="0004289E" w:rsidR="0004289E" w:rsidP="0004289E" w:rsidRDefault="004B7525" w14:paraId="0ACBD5E7" w14:textId="47667DD5">
      <w:pPr>
        <w:pStyle w:val="CommentText"/>
      </w:pPr>
      <w:r w:rsidRPr="004B7525">
        <w:rPr>
          <w:vertAlign w:val="superscript"/>
        </w:rPr>
        <w:t xml:space="preserve">1 </w:t>
      </w:r>
      <w:r>
        <w:t>Spitzer, A., Inanc, H., Larson, A. and Mittone, M. “Findings from the supplementary quantitative analysis on the factors associated with youth pathways to adulthood and economic self-sufficiency.” Memorandum submitted to OPRE. Cambridge, MA: Mathematica, September 2021.</w:t>
      </w:r>
    </w:p>
    <w:sectPr w:rsidRPr="0004289E" w:rsidR="0004289E" w:rsidSect="002B03ED">
      <w:headerReference w:type="default" r:id="rId8"/>
      <w:pgSz w:w="12240" w:h="15840"/>
      <w:pgMar w:top="1440" w:right="99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8008B" w14:textId="77777777" w:rsidR="00A40990" w:rsidRDefault="00A40990" w:rsidP="007C32BF">
      <w:r>
        <w:separator/>
      </w:r>
    </w:p>
  </w:endnote>
  <w:endnote w:type="continuationSeparator" w:id="0">
    <w:p w14:paraId="13468664" w14:textId="77777777" w:rsidR="00A40990" w:rsidRDefault="00A40990" w:rsidP="007C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1CF3C" w14:textId="77777777" w:rsidR="00A40990" w:rsidRDefault="00A40990" w:rsidP="007C32BF">
      <w:r>
        <w:separator/>
      </w:r>
    </w:p>
  </w:footnote>
  <w:footnote w:type="continuationSeparator" w:id="0">
    <w:p w14:paraId="7AA44D93" w14:textId="77777777" w:rsidR="00A40990" w:rsidRDefault="00A40990" w:rsidP="007C3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B7CFA" w14:textId="5D08DB81" w:rsidR="00261A77" w:rsidRDefault="00261A77" w:rsidP="00F34368">
    <w:pPr>
      <w:rPr>
        <w:rFonts w:ascii="Arial" w:hAnsi="Arial" w:cs="Arial"/>
        <w:sz w:val="20"/>
        <w:szCs w:val="20"/>
      </w:rPr>
    </w:pPr>
    <w:bookmarkStart w:id="1" w:name="_Hlk46395450"/>
    <w:r>
      <w:rPr>
        <w:rFonts w:ascii="Arial" w:hAnsi="Arial" w:cs="Arial"/>
        <w:sz w:val="20"/>
        <w:szCs w:val="20"/>
      </w:rPr>
      <w:t xml:space="preserve">Appendix </w:t>
    </w:r>
    <w:r w:rsidR="00F21C17">
      <w:rPr>
        <w:rFonts w:ascii="Arial" w:hAnsi="Arial" w:cs="Arial"/>
        <w:sz w:val="20"/>
        <w:szCs w:val="20"/>
      </w:rPr>
      <w:t>C</w:t>
    </w:r>
    <w:r>
      <w:rPr>
        <w:rFonts w:ascii="Arial" w:hAnsi="Arial" w:cs="Arial"/>
        <w:sz w:val="20"/>
        <w:szCs w:val="20"/>
      </w:rPr>
      <w:t xml:space="preserve">. </w:t>
    </w:r>
    <w:r w:rsidR="00B610F1">
      <w:rPr>
        <w:rFonts w:ascii="Arial" w:hAnsi="Arial" w:cs="Arial"/>
        <w:sz w:val="20"/>
        <w:szCs w:val="20"/>
      </w:rPr>
      <w:t>Success Sequence Interview Study Target Sample</w:t>
    </w:r>
  </w:p>
  <w:p w14:paraId="4847B75F" w14:textId="77777777" w:rsidR="00261A77" w:rsidRPr="0049004A" w:rsidRDefault="00261A77" w:rsidP="0049004A">
    <w:pPr>
      <w:pStyle w:val="CommentText"/>
    </w:pPr>
  </w:p>
  <w:bookmarkEnd w:id="1"/>
  <w:p w14:paraId="7AF9CE14" w14:textId="77777777" w:rsidR="00F34368" w:rsidRDefault="00F343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42D4D"/>
    <w:multiLevelType w:val="hybridMultilevel"/>
    <w:tmpl w:val="1EC4B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A17"/>
    <w:rsid w:val="0001570C"/>
    <w:rsid w:val="0004289E"/>
    <w:rsid w:val="00054715"/>
    <w:rsid w:val="00066262"/>
    <w:rsid w:val="00070D3E"/>
    <w:rsid w:val="0007707B"/>
    <w:rsid w:val="00092364"/>
    <w:rsid w:val="000A2119"/>
    <w:rsid w:val="000A2C0A"/>
    <w:rsid w:val="000D0D1D"/>
    <w:rsid w:val="000E3AE0"/>
    <w:rsid w:val="000E66E6"/>
    <w:rsid w:val="000E6ABD"/>
    <w:rsid w:val="00117EB3"/>
    <w:rsid w:val="00125589"/>
    <w:rsid w:val="00147806"/>
    <w:rsid w:val="00167132"/>
    <w:rsid w:val="00182A17"/>
    <w:rsid w:val="001864DA"/>
    <w:rsid w:val="00187DC6"/>
    <w:rsid w:val="001B4569"/>
    <w:rsid w:val="00206FA2"/>
    <w:rsid w:val="00225139"/>
    <w:rsid w:val="0023227C"/>
    <w:rsid w:val="002562F2"/>
    <w:rsid w:val="00261A77"/>
    <w:rsid w:val="002A3B58"/>
    <w:rsid w:val="002A55E2"/>
    <w:rsid w:val="002B03ED"/>
    <w:rsid w:val="002B1F74"/>
    <w:rsid w:val="002B3FBC"/>
    <w:rsid w:val="002E4F6C"/>
    <w:rsid w:val="003174E3"/>
    <w:rsid w:val="00334E3E"/>
    <w:rsid w:val="003409CF"/>
    <w:rsid w:val="00373C43"/>
    <w:rsid w:val="00392624"/>
    <w:rsid w:val="003B7D84"/>
    <w:rsid w:val="003D488F"/>
    <w:rsid w:val="003D6495"/>
    <w:rsid w:val="003D6802"/>
    <w:rsid w:val="00400330"/>
    <w:rsid w:val="00445355"/>
    <w:rsid w:val="00455B92"/>
    <w:rsid w:val="004679B4"/>
    <w:rsid w:val="0049004A"/>
    <w:rsid w:val="004B25FE"/>
    <w:rsid w:val="004B7525"/>
    <w:rsid w:val="004C0F37"/>
    <w:rsid w:val="004C287E"/>
    <w:rsid w:val="004D54B3"/>
    <w:rsid w:val="004E45E9"/>
    <w:rsid w:val="00502C4A"/>
    <w:rsid w:val="00510D8F"/>
    <w:rsid w:val="00526248"/>
    <w:rsid w:val="00537C23"/>
    <w:rsid w:val="0054104D"/>
    <w:rsid w:val="00541529"/>
    <w:rsid w:val="00546E4C"/>
    <w:rsid w:val="00556297"/>
    <w:rsid w:val="00560268"/>
    <w:rsid w:val="00574B31"/>
    <w:rsid w:val="005A49E1"/>
    <w:rsid w:val="005C0727"/>
    <w:rsid w:val="005C6DE9"/>
    <w:rsid w:val="005D4552"/>
    <w:rsid w:val="005E68BD"/>
    <w:rsid w:val="005E6BB5"/>
    <w:rsid w:val="006103FE"/>
    <w:rsid w:val="00633B7D"/>
    <w:rsid w:val="00640CE7"/>
    <w:rsid w:val="006552A6"/>
    <w:rsid w:val="00661E34"/>
    <w:rsid w:val="00667D0E"/>
    <w:rsid w:val="0068631D"/>
    <w:rsid w:val="00696E57"/>
    <w:rsid w:val="006A4EA1"/>
    <w:rsid w:val="006B1E90"/>
    <w:rsid w:val="006D776A"/>
    <w:rsid w:val="006E4E35"/>
    <w:rsid w:val="006F062D"/>
    <w:rsid w:val="00716D1E"/>
    <w:rsid w:val="00720392"/>
    <w:rsid w:val="00722F7B"/>
    <w:rsid w:val="00730A88"/>
    <w:rsid w:val="007346DB"/>
    <w:rsid w:val="007646DE"/>
    <w:rsid w:val="00770CBB"/>
    <w:rsid w:val="00793777"/>
    <w:rsid w:val="007A10C8"/>
    <w:rsid w:val="007C0278"/>
    <w:rsid w:val="007C32BF"/>
    <w:rsid w:val="007D172A"/>
    <w:rsid w:val="007E0B6B"/>
    <w:rsid w:val="007E17D3"/>
    <w:rsid w:val="008065C5"/>
    <w:rsid w:val="008234F7"/>
    <w:rsid w:val="00823EA4"/>
    <w:rsid w:val="0086572B"/>
    <w:rsid w:val="00892B26"/>
    <w:rsid w:val="008C573F"/>
    <w:rsid w:val="008E2183"/>
    <w:rsid w:val="008F3E23"/>
    <w:rsid w:val="00917A13"/>
    <w:rsid w:val="00917BC0"/>
    <w:rsid w:val="00924CC2"/>
    <w:rsid w:val="00927A04"/>
    <w:rsid w:val="00931387"/>
    <w:rsid w:val="00936D83"/>
    <w:rsid w:val="00940EFA"/>
    <w:rsid w:val="00963C8B"/>
    <w:rsid w:val="009848F3"/>
    <w:rsid w:val="009A3E43"/>
    <w:rsid w:val="009D3897"/>
    <w:rsid w:val="009D414A"/>
    <w:rsid w:val="009E01EE"/>
    <w:rsid w:val="009E034A"/>
    <w:rsid w:val="009E23E8"/>
    <w:rsid w:val="009E59AB"/>
    <w:rsid w:val="009F0016"/>
    <w:rsid w:val="009F0813"/>
    <w:rsid w:val="00A108A7"/>
    <w:rsid w:val="00A21642"/>
    <w:rsid w:val="00A300F0"/>
    <w:rsid w:val="00A40990"/>
    <w:rsid w:val="00A477B6"/>
    <w:rsid w:val="00A97F3F"/>
    <w:rsid w:val="00AC127C"/>
    <w:rsid w:val="00AF52D2"/>
    <w:rsid w:val="00B2084C"/>
    <w:rsid w:val="00B610F1"/>
    <w:rsid w:val="00B6627B"/>
    <w:rsid w:val="00B7601A"/>
    <w:rsid w:val="00BA1B42"/>
    <w:rsid w:val="00BD4C50"/>
    <w:rsid w:val="00BD7DA9"/>
    <w:rsid w:val="00C11273"/>
    <w:rsid w:val="00C14723"/>
    <w:rsid w:val="00C278C5"/>
    <w:rsid w:val="00C41FCC"/>
    <w:rsid w:val="00C47E8C"/>
    <w:rsid w:val="00C562D6"/>
    <w:rsid w:val="00C76AC9"/>
    <w:rsid w:val="00CA27EE"/>
    <w:rsid w:val="00CB762D"/>
    <w:rsid w:val="00CB793D"/>
    <w:rsid w:val="00CF346E"/>
    <w:rsid w:val="00D03B5D"/>
    <w:rsid w:val="00D13A15"/>
    <w:rsid w:val="00D205E0"/>
    <w:rsid w:val="00D23BBC"/>
    <w:rsid w:val="00D24086"/>
    <w:rsid w:val="00D5206A"/>
    <w:rsid w:val="00D54D24"/>
    <w:rsid w:val="00D55736"/>
    <w:rsid w:val="00D60166"/>
    <w:rsid w:val="00D806A2"/>
    <w:rsid w:val="00D97B46"/>
    <w:rsid w:val="00DA5E00"/>
    <w:rsid w:val="00DB61D2"/>
    <w:rsid w:val="00DD6516"/>
    <w:rsid w:val="00E13B2C"/>
    <w:rsid w:val="00E42A9E"/>
    <w:rsid w:val="00E6739A"/>
    <w:rsid w:val="00E81EAC"/>
    <w:rsid w:val="00EA4829"/>
    <w:rsid w:val="00ED003A"/>
    <w:rsid w:val="00ED3878"/>
    <w:rsid w:val="00EF4BB8"/>
    <w:rsid w:val="00F03FEF"/>
    <w:rsid w:val="00F21C17"/>
    <w:rsid w:val="00F34368"/>
    <w:rsid w:val="00F461AC"/>
    <w:rsid w:val="00F46D63"/>
    <w:rsid w:val="00F53AE3"/>
    <w:rsid w:val="00FB19F2"/>
    <w:rsid w:val="00FD157F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8FC9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CommentText"/>
    <w:autoRedefine/>
    <w:qFormat/>
    <w:rsid w:val="00182A17"/>
    <w:pPr>
      <w:tabs>
        <w:tab w:val="left" w:pos="6210"/>
      </w:tabs>
      <w:spacing w:after="0" w:line="240" w:lineRule="auto"/>
      <w:ind w:right="-36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38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38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82A1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182A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2A17"/>
    <w:rPr>
      <w:rFonts w:ascii="Times New Roman" w:eastAsia="Calibri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32BF"/>
    <w:pPr>
      <w:tabs>
        <w:tab w:val="clear" w:pos="621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2BF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32BF"/>
    <w:pPr>
      <w:tabs>
        <w:tab w:val="clear" w:pos="621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2BF"/>
    <w:rPr>
      <w:rFonts w:ascii="Times New Roman" w:eastAsia="Calibr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B3FB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FBC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F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FBC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qFormat/>
    <w:rsid w:val="00696E57"/>
    <w:rPr>
      <w:color w:val="0000FF" w:themeColor="hyperlink"/>
      <w:u w:val="single"/>
    </w:rPr>
  </w:style>
  <w:style w:type="paragraph" w:customStyle="1" w:styleId="CM116">
    <w:name w:val="CM116"/>
    <w:basedOn w:val="Normal"/>
    <w:next w:val="Normal"/>
    <w:rsid w:val="00187DC6"/>
    <w:pPr>
      <w:tabs>
        <w:tab w:val="clear" w:pos="6210"/>
      </w:tabs>
      <w:autoSpaceDE w:val="0"/>
      <w:autoSpaceDN w:val="0"/>
      <w:adjustRightInd w:val="0"/>
      <w:ind w:right="0"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D38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38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ragraph">
    <w:name w:val="Paragraph"/>
    <w:basedOn w:val="Normal"/>
    <w:qFormat/>
    <w:rsid w:val="00F34368"/>
    <w:pPr>
      <w:tabs>
        <w:tab w:val="clear" w:pos="6210"/>
      </w:tabs>
      <w:spacing w:after="160" w:line="264" w:lineRule="auto"/>
      <w:ind w:right="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4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5B7138-56D2-4CE3-A5F8-2D7B25619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2022-01-05T16:54:00Z</dcterms:created>
  <dcterms:modified xsi:type="dcterms:W3CDTF">2022-01-05T16:54:00Z</dcterms:modified>
</cp:coreProperties>
</file>