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4184" w:rsidR="006C67C4" w:rsidRDefault="00144AB0" w14:paraId="480F3E2D" w14:textId="55FB041F">
      <w:pPr>
        <w:jc w:val="center"/>
      </w:pPr>
      <w:r w:rsidRPr="00224184">
        <w:t>Department of Justice</w:t>
      </w:r>
    </w:p>
    <w:p w:rsidRPr="00224184" w:rsidR="006C67C4" w:rsidRDefault="00144AB0" w14:paraId="0BD131BF" w14:textId="19DA0D54">
      <w:pPr>
        <w:jc w:val="center"/>
      </w:pPr>
      <w:r w:rsidRPr="00224184">
        <w:t>Bureau of Alcohol, Tobacco, Firearms and Explosives</w:t>
      </w:r>
    </w:p>
    <w:p w:rsidRPr="00224184" w:rsidR="006C67C4" w:rsidRDefault="006C67C4" w14:paraId="736E275A" w14:textId="77777777">
      <w:pPr>
        <w:jc w:val="center"/>
      </w:pPr>
      <w:r w:rsidRPr="00224184">
        <w:t>Supporting Statement</w:t>
      </w:r>
    </w:p>
    <w:p w:rsidRPr="00144AB0" w:rsidR="006C67C4" w:rsidP="00144AB0" w:rsidRDefault="00B270BB" w14:paraId="6F36179B" w14:textId="31196405">
      <w:pPr>
        <w:jc w:val="center"/>
      </w:pPr>
      <w:r w:rsidRPr="00224184">
        <w:t xml:space="preserve">OMB </w:t>
      </w:r>
      <w:r w:rsidRPr="00224184" w:rsidR="006C67C4">
        <w:t>1140-000</w:t>
      </w:r>
      <w:r w:rsidRPr="00224184" w:rsidR="0063212C">
        <w:t>9</w:t>
      </w:r>
    </w:p>
    <w:p w:rsidRPr="00224184" w:rsidR="006C67C4" w:rsidRDefault="0063212C" w14:paraId="2D7C4365" w14:textId="6B9E418C">
      <w:pPr>
        <w:jc w:val="center"/>
      </w:pPr>
      <w:bookmarkStart w:name="_Hlk84253930" w:id="0"/>
      <w:r w:rsidRPr="00224184">
        <w:rPr>
          <w:color w:val="221E1F"/>
        </w:rPr>
        <w:t xml:space="preserve">Application to Register as an Importer of U.S. Munitions Import List </w:t>
      </w:r>
      <w:r w:rsidR="00A8683E">
        <w:rPr>
          <w:color w:val="221E1F"/>
        </w:rPr>
        <w:t xml:space="preserve">(USMIL) </w:t>
      </w:r>
      <w:r w:rsidRPr="00224184">
        <w:rPr>
          <w:color w:val="221E1F"/>
        </w:rPr>
        <w:t>Articles</w:t>
      </w:r>
      <w:r w:rsidR="00144AB0">
        <w:rPr>
          <w:color w:val="221E1F"/>
        </w:rPr>
        <w:t xml:space="preserve"> – </w:t>
      </w:r>
      <w:bookmarkStart w:name="_Hlk86250084" w:id="1"/>
      <w:r w:rsidRPr="00224184">
        <w:rPr>
          <w:color w:val="221E1F"/>
        </w:rPr>
        <w:t>ATF Form 4587(5330.4)</w:t>
      </w:r>
    </w:p>
    <w:bookmarkEnd w:id="0"/>
    <w:bookmarkEnd w:id="1"/>
    <w:p w:rsidRPr="00224184" w:rsidR="006C67C4" w:rsidRDefault="006C67C4" w14:paraId="133246CC" w14:textId="77777777">
      <w:pPr>
        <w:rPr>
          <w:b/>
          <w:bCs/>
        </w:rPr>
      </w:pPr>
    </w:p>
    <w:p w:rsidRPr="00224184" w:rsidR="009922D1" w:rsidRDefault="006C67C4" w14:paraId="13EF0D61" w14:textId="77777777">
      <w:pPr>
        <w:numPr>
          <w:ilvl w:val="0"/>
          <w:numId w:val="2"/>
        </w:numPr>
        <w:rPr>
          <w:b/>
          <w:bCs/>
        </w:rPr>
      </w:pPr>
      <w:r w:rsidRPr="00224184">
        <w:rPr>
          <w:b/>
          <w:bCs/>
        </w:rPr>
        <w:t xml:space="preserve">Justification </w:t>
      </w:r>
    </w:p>
    <w:p w:rsidR="006C67C4" w:rsidP="009922D1" w:rsidRDefault="006C67C4" w14:paraId="0AD2B011" w14:textId="54E1090B">
      <w:pPr>
        <w:ind w:left="360"/>
      </w:pPr>
    </w:p>
    <w:p w:rsidR="00655B94" w:rsidP="00224184" w:rsidRDefault="00331B2D" w14:paraId="55DE6660" w14:textId="5000AD6A">
      <w:pPr>
        <w:numPr>
          <w:ilvl w:val="1"/>
          <w:numId w:val="2"/>
        </w:numPr>
      </w:pPr>
      <w:r>
        <w:t>T</w:t>
      </w:r>
      <w:r w:rsidR="00655B94">
        <w:t>he Arms Export Control Act of 1976 (22 U.S.C. § 2778(1)(A)(i)) established a comprehensive system for regulating the importation of defense articles and services</w:t>
      </w:r>
      <w:r>
        <w:t xml:space="preserve"> by implementing eligibility and permit requirements</w:t>
      </w:r>
      <w:r w:rsidR="00655B94">
        <w:t xml:space="preserve">. Under 22 U.S.C. § 2778(1)(A)(i) and the implementing regulations in 27 CFR Part 447, </w:t>
      </w:r>
      <w:r w:rsidR="001C019B">
        <w:t xml:space="preserve">all </w:t>
      </w:r>
      <w:r w:rsidR="00655B94">
        <w:t>persons engaged in the business of importing defense articles and services</w:t>
      </w:r>
      <w:r w:rsidR="00224184">
        <w:t>,</w:t>
      </w:r>
      <w:r w:rsidR="00655B94">
        <w:t xml:space="preserve"> are required to register with the Bureau of Alcohol, Tobacco, Firearms and Explosives</w:t>
      </w:r>
      <w:r w:rsidR="001C019B">
        <w:t xml:space="preserve"> (ATF). Specifically, they must register</w:t>
      </w:r>
      <w:r w:rsidR="006304A0">
        <w:t xml:space="preserve"> using</w:t>
      </w:r>
      <w:r w:rsidR="001C019B">
        <w:t xml:space="preserve"> the</w:t>
      </w:r>
      <w:r w:rsidR="006304A0">
        <w:t xml:space="preserve"> </w:t>
      </w:r>
      <w:r w:rsidRPr="001C019B" w:rsidR="001C019B">
        <w:t xml:space="preserve">Application to Register as an Importer of U.S. Munitions Import List </w:t>
      </w:r>
      <w:r w:rsidR="00A8683E">
        <w:t xml:space="preserve">(USMIL) </w:t>
      </w:r>
      <w:r w:rsidRPr="001C019B" w:rsidR="001C019B">
        <w:t>Articles – ATF Form 4587(5330.4)</w:t>
      </w:r>
      <w:r w:rsidR="001C019B">
        <w:t xml:space="preserve"> </w:t>
      </w:r>
      <w:r w:rsidR="006304A0">
        <w:t xml:space="preserve">(ATF F 4587(5330.4)) </w:t>
      </w:r>
      <w:r w:rsidR="00655B94">
        <w:t>and pay a registration fee.</w:t>
      </w:r>
    </w:p>
    <w:p w:rsidR="00655B94" w:rsidP="00655B94" w:rsidRDefault="00655B94" w14:paraId="50C1CBD8" w14:textId="35B60DA3">
      <w:pPr>
        <w:ind w:left="1440"/>
      </w:pPr>
    </w:p>
    <w:p w:rsidR="00655B94" w:rsidP="00655B94" w:rsidRDefault="00655B94" w14:paraId="2435FCD5" w14:textId="45098DB4">
      <w:pPr>
        <w:ind w:left="1440"/>
      </w:pPr>
      <w:r>
        <w:t xml:space="preserve">On December 6, 1984, the Department of State published a </w:t>
      </w:r>
      <w:r w:rsidR="002E42F6">
        <w:t>f</w:t>
      </w:r>
      <w:r w:rsidR="001C019B">
        <w:t xml:space="preserve">inal </w:t>
      </w:r>
      <w:r w:rsidR="002E42F6">
        <w:t>r</w:t>
      </w:r>
      <w:r>
        <w:t>ule (49 FR 47684) revising the International Traffic in Arms Regulations (ITAR).</w:t>
      </w:r>
      <w:r w:rsidR="001C019B">
        <w:t xml:space="preserve"> </w:t>
      </w:r>
      <w:r>
        <w:t>ATF subsequently published a final rule (50 FR 42157 (1985))</w:t>
      </w:r>
      <w:r w:rsidR="002E42F6">
        <w:t>,</w:t>
      </w:r>
      <w:r>
        <w:t xml:space="preserve"> to conform 27 CFR </w:t>
      </w:r>
      <w:r w:rsidR="001C019B">
        <w:t xml:space="preserve">Part </w:t>
      </w:r>
      <w:r>
        <w:t xml:space="preserve">447 </w:t>
      </w:r>
      <w:r w:rsidR="002E42F6">
        <w:t>to</w:t>
      </w:r>
      <w:r>
        <w:t xml:space="preserve"> the revised ITAR. Th</w:t>
      </w:r>
      <w:r w:rsidR="002E42F6">
        <w:t>is</w:t>
      </w:r>
      <w:r>
        <w:t xml:space="preserve"> final rule became effective on October 11, 1985. </w:t>
      </w:r>
      <w:r w:rsidR="002E42F6">
        <w:t>However, t</w:t>
      </w:r>
      <w:r>
        <w:t>he procedures to register as an importer</w:t>
      </w:r>
      <w:r w:rsidR="006314B4">
        <w:t xml:space="preserve"> of defense articles and services</w:t>
      </w:r>
      <w:r>
        <w:t xml:space="preserve"> have not changed. </w:t>
      </w:r>
    </w:p>
    <w:p w:rsidR="00655B94" w:rsidP="00655B94" w:rsidRDefault="00655B94" w14:paraId="7FC9DE0C" w14:textId="3FAC09DB">
      <w:pPr>
        <w:ind w:left="1440"/>
      </w:pPr>
    </w:p>
    <w:p w:rsidRPr="0081782B" w:rsidR="009922D1" w:rsidP="00224184" w:rsidRDefault="00C04936" w14:paraId="09A3ED3D" w14:textId="043F5F2A">
      <w:pPr>
        <w:tabs>
          <w:tab w:val="left" w:pos="1440"/>
        </w:tabs>
        <w:ind w:left="1440"/>
      </w:pPr>
      <w:r>
        <w:t xml:space="preserve">ATF requests approval to make the following changes to </w:t>
      </w:r>
      <w:r w:rsidRPr="00224184" w:rsidR="0046219E">
        <w:t>ATF F</w:t>
      </w:r>
      <w:r w:rsidRPr="00224184" w:rsidR="0063212C">
        <w:t>orm</w:t>
      </w:r>
      <w:r w:rsidR="00413D65">
        <w:t xml:space="preserve"> </w:t>
      </w:r>
      <w:r w:rsidRPr="00224184" w:rsidR="0063212C">
        <w:t>4587(5330.4)</w:t>
      </w:r>
      <w:r w:rsidRPr="0081782B" w:rsidR="00FE0B0D">
        <w:t>:</w:t>
      </w:r>
    </w:p>
    <w:p w:rsidR="009922D1" w:rsidP="009922D1" w:rsidRDefault="009922D1" w14:paraId="70D0E82B" w14:textId="77777777">
      <w:pPr>
        <w:pStyle w:val="ListParagraph"/>
      </w:pPr>
    </w:p>
    <w:p w:rsidR="00732DA7" w:rsidP="00224184" w:rsidRDefault="0081782B" w14:paraId="6F227113" w14:textId="6E63116D">
      <w:pPr>
        <w:numPr>
          <w:ilvl w:val="2"/>
          <w:numId w:val="2"/>
        </w:numPr>
        <w:ind w:hanging="720"/>
      </w:pPr>
      <w:r>
        <w:rPr>
          <w:rFonts w:eastAsia="Calibri"/>
        </w:rPr>
        <w:t xml:space="preserve">The </w:t>
      </w:r>
      <w:r w:rsidRPr="009922D1" w:rsidR="00413D65">
        <w:rPr>
          <w:rFonts w:eastAsia="Calibri"/>
          <w:szCs w:val="22"/>
        </w:rPr>
        <w:t>Registration number</w:t>
      </w:r>
      <w:r w:rsidR="00413D65">
        <w:rPr>
          <w:rFonts w:eastAsia="Calibri"/>
          <w:i/>
          <w:iCs/>
        </w:rPr>
        <w:t xml:space="preserve"> </w:t>
      </w:r>
      <w:r w:rsidR="00413D65">
        <w:rPr>
          <w:rFonts w:eastAsia="Calibri"/>
        </w:rPr>
        <w:t xml:space="preserve">in the </w:t>
      </w:r>
      <w:r w:rsidRPr="00224184" w:rsidR="0063212C">
        <w:rPr>
          <w:rFonts w:eastAsia="Calibri"/>
          <w:i/>
          <w:iCs/>
        </w:rPr>
        <w:t>For ATF Use Only</w:t>
      </w:r>
      <w:r w:rsidRPr="009922D1" w:rsidR="0063212C">
        <w:rPr>
          <w:rFonts w:eastAsia="Calibri"/>
        </w:rPr>
        <w:t xml:space="preserve"> </w:t>
      </w:r>
      <w:r>
        <w:rPr>
          <w:rFonts w:eastAsia="Calibri"/>
        </w:rPr>
        <w:t>S</w:t>
      </w:r>
      <w:r w:rsidRPr="009922D1">
        <w:rPr>
          <w:rFonts w:eastAsia="Calibri"/>
        </w:rPr>
        <w:t>ection</w:t>
      </w:r>
      <w:r w:rsidR="00413D65">
        <w:rPr>
          <w:rFonts w:eastAsia="Calibri"/>
        </w:rPr>
        <w:t xml:space="preserve"> </w:t>
      </w:r>
      <w:r w:rsidRPr="00413D65" w:rsidR="00413D65">
        <w:rPr>
          <w:rFonts w:eastAsia="Calibri"/>
          <w:szCs w:val="22"/>
        </w:rPr>
        <w:t>was aligned left</w:t>
      </w:r>
      <w:r w:rsidRPr="00413D65" w:rsidR="0063212C">
        <w:rPr>
          <w:rFonts w:eastAsia="Calibri"/>
          <w:szCs w:val="22"/>
        </w:rPr>
        <w:t>.</w:t>
      </w:r>
    </w:p>
    <w:p w:rsidR="00732DA7" w:rsidP="00732DA7" w:rsidRDefault="00732DA7" w14:paraId="445BBB5A" w14:textId="36DA0E43">
      <w:pPr>
        <w:ind w:left="2160"/>
      </w:pPr>
    </w:p>
    <w:p w:rsidR="00732DA7" w:rsidP="00224184" w:rsidRDefault="0007154A" w14:paraId="44ED4F6B" w14:textId="42ADA7F4">
      <w:pPr>
        <w:numPr>
          <w:ilvl w:val="2"/>
          <w:numId w:val="2"/>
        </w:numPr>
        <w:ind w:hanging="720"/>
      </w:pPr>
      <w:r w:rsidRPr="00732DA7">
        <w:rPr>
          <w:rFonts w:eastAsia="Calibri"/>
          <w:szCs w:val="22"/>
        </w:rPr>
        <w:t xml:space="preserve">The </w:t>
      </w:r>
      <w:r w:rsidRPr="00224184">
        <w:rPr>
          <w:rFonts w:eastAsia="Calibri"/>
          <w:szCs w:val="22"/>
        </w:rPr>
        <w:t xml:space="preserve">statement above </w:t>
      </w:r>
      <w:r w:rsidRPr="00224184">
        <w:rPr>
          <w:rFonts w:eastAsia="Calibri"/>
          <w:i/>
          <w:iCs/>
          <w:szCs w:val="22"/>
        </w:rPr>
        <w:t>Block 1</w:t>
      </w:r>
      <w:r w:rsidR="0081782B">
        <w:rPr>
          <w:rFonts w:eastAsia="Calibri"/>
          <w:szCs w:val="22"/>
        </w:rPr>
        <w:t xml:space="preserve"> was updated to re</w:t>
      </w:r>
      <w:r w:rsidR="00413D65">
        <w:rPr>
          <w:rFonts w:eastAsia="Calibri"/>
          <w:szCs w:val="22"/>
        </w:rPr>
        <w:t xml:space="preserve">move </w:t>
      </w:r>
      <w:r w:rsidRPr="00413D65">
        <w:rPr>
          <w:rFonts w:eastAsia="Calibri"/>
          <w:szCs w:val="22"/>
        </w:rPr>
        <w:t>an extra space between the words “a</w:t>
      </w:r>
      <w:r w:rsidR="002E42F6">
        <w:rPr>
          <w:rFonts w:eastAsia="Calibri"/>
          <w:szCs w:val="22"/>
        </w:rPr>
        <w:t>s</w:t>
      </w:r>
      <w:r w:rsidRPr="00413D65">
        <w:rPr>
          <w:rFonts w:eastAsia="Calibri"/>
          <w:szCs w:val="22"/>
        </w:rPr>
        <w:t>” and “required.”</w:t>
      </w:r>
    </w:p>
    <w:p w:rsidR="00732DA7" w:rsidP="00732DA7" w:rsidRDefault="00732DA7" w14:paraId="02A4241A" w14:textId="77777777">
      <w:pPr>
        <w:ind w:left="2160"/>
      </w:pPr>
    </w:p>
    <w:p w:rsidR="00732DA7" w:rsidP="00224184" w:rsidRDefault="0007154A" w14:paraId="6B71445E" w14:textId="76EE09C9">
      <w:pPr>
        <w:pStyle w:val="ListParagraph"/>
        <w:numPr>
          <w:ilvl w:val="2"/>
          <w:numId w:val="2"/>
        </w:numPr>
        <w:ind w:hanging="720"/>
      </w:pPr>
      <w:r w:rsidRPr="00224184">
        <w:rPr>
          <w:i/>
          <w:iCs/>
        </w:rPr>
        <w:t>Block 5</w:t>
      </w:r>
      <w:r w:rsidRPr="00224184" w:rsidR="00413D65">
        <w:t xml:space="preserve"> was amended </w:t>
      </w:r>
      <w:r w:rsidRPr="00AD12C5" w:rsidR="00507DD0">
        <w:t xml:space="preserve">to remove an </w:t>
      </w:r>
      <w:r w:rsidRPr="00732DA7">
        <w:t>extra space after “for</w:t>
      </w:r>
      <w:r w:rsidR="00507DD0">
        <w:t>,</w:t>
      </w:r>
      <w:r w:rsidRPr="00732DA7">
        <w:t>”</w:t>
      </w:r>
      <w:r w:rsidR="00507DD0">
        <w:t xml:space="preserve"> delete</w:t>
      </w:r>
      <w:r w:rsidRPr="00507DD0">
        <w:t xml:space="preserve"> “</w:t>
      </w:r>
      <w:r w:rsidR="002E42F6">
        <w:t>E</w:t>
      </w:r>
      <w:r w:rsidRPr="00507DD0">
        <w:t>nclose check or money order for payment of fee indicated</w:t>
      </w:r>
      <w:r w:rsidR="00507DD0">
        <w:t xml:space="preserve">,” and </w:t>
      </w:r>
      <w:r w:rsidRPr="00507DD0">
        <w:t>change of instruction number from “3” to “2.”</w:t>
      </w:r>
    </w:p>
    <w:p w:rsidR="00732DA7" w:rsidP="00732DA7" w:rsidRDefault="00732DA7" w14:paraId="2CEAF7F7" w14:textId="77777777">
      <w:pPr>
        <w:ind w:left="2160"/>
      </w:pPr>
    </w:p>
    <w:p w:rsidR="00732DA7" w:rsidP="00224184" w:rsidRDefault="0007154A" w14:paraId="5AF8CCDC" w14:textId="6536D332">
      <w:pPr>
        <w:numPr>
          <w:ilvl w:val="2"/>
          <w:numId w:val="2"/>
        </w:numPr>
        <w:ind w:hanging="720"/>
      </w:pPr>
      <w:r w:rsidRPr="00224184">
        <w:rPr>
          <w:rFonts w:eastAsia="Calibri"/>
          <w:i/>
          <w:iCs/>
          <w:szCs w:val="22"/>
        </w:rPr>
        <w:t>Block 10</w:t>
      </w:r>
      <w:r w:rsidR="00C804C5">
        <w:rPr>
          <w:rFonts w:eastAsia="Calibri"/>
          <w:szCs w:val="22"/>
        </w:rPr>
        <w:t xml:space="preserve"> was updated to remove a duplicated </w:t>
      </w:r>
      <w:r w:rsidRPr="00C804C5" w:rsidR="00B8112D">
        <w:rPr>
          <w:rFonts w:eastAsia="Calibri"/>
          <w:szCs w:val="22"/>
        </w:rPr>
        <w:t>“Jones”</w:t>
      </w:r>
      <w:r w:rsidR="00C804C5">
        <w:rPr>
          <w:rFonts w:eastAsia="Calibri"/>
          <w:szCs w:val="22"/>
        </w:rPr>
        <w:t xml:space="preserve"> and correct the </w:t>
      </w:r>
      <w:r w:rsidRPr="00C804C5" w:rsidR="00EF0934">
        <w:rPr>
          <w:rFonts w:eastAsia="Calibri"/>
          <w:szCs w:val="22"/>
        </w:rPr>
        <w:t xml:space="preserve">punctuation </w:t>
      </w:r>
      <w:r w:rsidR="00C804C5">
        <w:rPr>
          <w:rFonts w:eastAsia="Calibri"/>
          <w:szCs w:val="22"/>
        </w:rPr>
        <w:t>for</w:t>
      </w:r>
      <w:r w:rsidRPr="00C804C5" w:rsidR="00EF0934">
        <w:rPr>
          <w:rFonts w:eastAsia="Calibri"/>
          <w:szCs w:val="22"/>
        </w:rPr>
        <w:t xml:space="preserve"> “Mrs.”</w:t>
      </w:r>
    </w:p>
    <w:p w:rsidR="00732DA7" w:rsidP="00732DA7" w:rsidRDefault="00732DA7" w14:paraId="1C38906E" w14:textId="77777777">
      <w:pPr>
        <w:ind w:left="2160"/>
      </w:pPr>
    </w:p>
    <w:p w:rsidR="00732DA7" w:rsidP="00224184" w:rsidRDefault="00C804C5" w14:paraId="4BF5CC21" w14:textId="39DE6F40">
      <w:pPr>
        <w:numPr>
          <w:ilvl w:val="2"/>
          <w:numId w:val="2"/>
        </w:numPr>
        <w:ind w:hanging="720"/>
      </w:pPr>
      <w:r w:rsidRPr="00224184">
        <w:rPr>
          <w:rFonts w:eastAsia="Calibri"/>
          <w:i/>
          <w:iCs/>
          <w:szCs w:val="22"/>
        </w:rPr>
        <w:t>Item 2</w:t>
      </w:r>
      <w:r w:rsidRPr="00224184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o</w:t>
      </w:r>
      <w:r w:rsidRPr="00732DA7" w:rsidR="00EF0934">
        <w:rPr>
          <w:rFonts w:eastAsia="Calibri"/>
          <w:szCs w:val="22"/>
        </w:rPr>
        <w:t>n the instruction page</w:t>
      </w:r>
      <w:r>
        <w:rPr>
          <w:rFonts w:eastAsia="Calibri"/>
          <w:szCs w:val="22"/>
        </w:rPr>
        <w:t xml:space="preserve"> was updated to include </w:t>
      </w:r>
      <w:r w:rsidRPr="00732DA7" w:rsidR="00EF0934">
        <w:rPr>
          <w:rFonts w:eastAsia="Calibri"/>
          <w:szCs w:val="22"/>
        </w:rPr>
        <w:t xml:space="preserve">the following </w:t>
      </w:r>
    </w:p>
    <w:p w:rsidR="00C804C5" w:rsidP="00C804C5" w:rsidRDefault="00EF0934" w14:paraId="7875C4FB" w14:textId="665FD455">
      <w:pPr>
        <w:ind w:left="1440" w:firstLine="720"/>
        <w:rPr>
          <w:rFonts w:eastAsia="Calibri"/>
          <w:szCs w:val="22"/>
        </w:rPr>
      </w:pPr>
      <w:r w:rsidRPr="00732DA7">
        <w:rPr>
          <w:rFonts w:eastAsia="Calibri"/>
          <w:szCs w:val="22"/>
        </w:rPr>
        <w:t>statement:</w:t>
      </w:r>
      <w:r w:rsidR="00C804C5">
        <w:rPr>
          <w:rFonts w:eastAsia="Calibri"/>
          <w:szCs w:val="22"/>
        </w:rPr>
        <w:t xml:space="preserve"> “</w:t>
      </w:r>
      <w:r w:rsidRPr="00732DA7">
        <w:rPr>
          <w:rFonts w:eastAsia="Calibri"/>
          <w:szCs w:val="22"/>
        </w:rPr>
        <w:t>This form must be completed via</w:t>
      </w:r>
      <w:r w:rsidR="001525B2">
        <w:rPr>
          <w:rFonts w:eastAsia="Calibri"/>
          <w:szCs w:val="22"/>
        </w:rPr>
        <w:t xml:space="preserve"> Pay.gov</w:t>
      </w:r>
      <w:r w:rsidRPr="00732DA7">
        <w:rPr>
          <w:rFonts w:eastAsia="Calibri"/>
          <w:szCs w:val="22"/>
        </w:rPr>
        <w:t xml:space="preserve">. Type </w:t>
      </w:r>
      <w:r w:rsidR="002E42F6">
        <w:rPr>
          <w:rFonts w:eastAsia="Calibri"/>
          <w:szCs w:val="22"/>
        </w:rPr>
        <w:t>“</w:t>
      </w:r>
      <w:r w:rsidRPr="00732DA7">
        <w:rPr>
          <w:rFonts w:eastAsia="Calibri"/>
          <w:szCs w:val="22"/>
        </w:rPr>
        <w:t xml:space="preserve">ATF Form </w:t>
      </w:r>
    </w:p>
    <w:p w:rsidR="00732DA7" w:rsidP="00224184" w:rsidRDefault="00EF0934" w14:paraId="7ADFFA69" w14:textId="37691D17">
      <w:pPr>
        <w:ind w:left="1440" w:firstLine="720"/>
      </w:pPr>
      <w:r w:rsidRPr="00732DA7">
        <w:rPr>
          <w:rFonts w:eastAsia="Calibri"/>
          <w:szCs w:val="22"/>
        </w:rPr>
        <w:t>4587</w:t>
      </w:r>
      <w:r w:rsidR="002E42F6">
        <w:rPr>
          <w:rFonts w:eastAsia="Calibri"/>
          <w:szCs w:val="22"/>
        </w:rPr>
        <w:t>”</w:t>
      </w:r>
      <w:r w:rsidRPr="00732DA7">
        <w:rPr>
          <w:rFonts w:eastAsia="Calibri"/>
          <w:szCs w:val="22"/>
        </w:rPr>
        <w:t xml:space="preserve"> in the search bar and the link to the application will appear.</w:t>
      </w:r>
      <w:r w:rsidR="00C804C5">
        <w:rPr>
          <w:rFonts w:eastAsia="Calibri"/>
          <w:szCs w:val="22"/>
        </w:rPr>
        <w:t>”</w:t>
      </w:r>
    </w:p>
    <w:p w:rsidR="00732DA7" w:rsidP="00732DA7" w:rsidRDefault="00732DA7" w14:paraId="1067861E" w14:textId="77777777">
      <w:pPr>
        <w:ind w:left="2160"/>
      </w:pPr>
    </w:p>
    <w:p w:rsidRPr="00C804C5" w:rsidR="001D5FEA" w:rsidP="00224184" w:rsidRDefault="00C804C5" w14:paraId="4FA18147" w14:textId="31CF51B9">
      <w:pPr>
        <w:pStyle w:val="ListParagraph"/>
        <w:numPr>
          <w:ilvl w:val="2"/>
          <w:numId w:val="2"/>
        </w:numPr>
        <w:ind w:hanging="720"/>
      </w:pPr>
      <w:r w:rsidRPr="00AD12C5">
        <w:lastRenderedPageBreak/>
        <w:t>The second sentence</w:t>
      </w:r>
      <w:r w:rsidRPr="00224184">
        <w:t xml:space="preserve"> in</w:t>
      </w:r>
      <w:r w:rsidRPr="00224184">
        <w:rPr>
          <w:i/>
          <w:iCs/>
        </w:rPr>
        <w:t xml:space="preserve"> Item 3</w:t>
      </w:r>
      <w:r w:rsidRPr="00AD12C5">
        <w:t xml:space="preserve"> o</w:t>
      </w:r>
      <w:r w:rsidRPr="00224184" w:rsidR="00EF0934">
        <w:t xml:space="preserve">n the instruction page </w:t>
      </w:r>
      <w:r>
        <w:t>was removed.</w:t>
      </w:r>
      <w:r w:rsidRPr="00C804C5" w:rsidR="00732DA7">
        <w:tab/>
      </w:r>
    </w:p>
    <w:p w:rsidR="009922D1" w:rsidP="00224184" w:rsidRDefault="009922D1" w14:paraId="459B2B72" w14:textId="77777777">
      <w:pPr>
        <w:tabs>
          <w:tab w:val="left" w:pos="990"/>
        </w:tabs>
        <w:ind w:left="720"/>
        <w:contextualSpacing/>
      </w:pPr>
    </w:p>
    <w:p w:rsidR="006C67C4" w:rsidP="00224184" w:rsidRDefault="00A02B45" w14:paraId="427E69F4" w14:textId="3A7919C2">
      <w:pPr>
        <w:pStyle w:val="ListParagraph"/>
        <w:numPr>
          <w:ilvl w:val="1"/>
          <w:numId w:val="2"/>
        </w:numPr>
      </w:pPr>
      <w:r>
        <w:t>ATF personnel will use t</w:t>
      </w:r>
      <w:r w:rsidR="006C67C4">
        <w:t xml:space="preserve">he data </w:t>
      </w:r>
      <w:r>
        <w:t xml:space="preserve">collected </w:t>
      </w:r>
      <w:r w:rsidR="006C67C4">
        <w:t xml:space="preserve">on </w:t>
      </w:r>
      <w:bookmarkStart w:name="_Hlk84320573" w:id="2"/>
      <w:r w:rsidR="006C67C4">
        <w:t xml:space="preserve">ATF Form </w:t>
      </w:r>
      <w:r w:rsidR="00EF0934">
        <w:t>45</w:t>
      </w:r>
      <w:r w:rsidR="009922D1">
        <w:t xml:space="preserve">87(5330.4) </w:t>
      </w:r>
      <w:bookmarkEnd w:id="2"/>
      <w:r w:rsidR="00FD5ECD">
        <w:t>to</w:t>
      </w:r>
      <w:r w:rsidR="006314B4">
        <w:t xml:space="preserve"> d</w:t>
      </w:r>
      <w:r w:rsidR="00FD5ECD">
        <w:t xml:space="preserve">etermine if the applicant is </w:t>
      </w:r>
      <w:r w:rsidR="00292BA3">
        <w:t xml:space="preserve">qualified </w:t>
      </w:r>
      <w:r w:rsidR="00FD5ECD">
        <w:t>to register as an importer</w:t>
      </w:r>
      <w:r>
        <w:t>,</w:t>
      </w:r>
      <w:r w:rsidR="006314B4">
        <w:t xml:space="preserve"> e</w:t>
      </w:r>
      <w:r w:rsidR="00FD5ECD">
        <w:t>ffect the registration</w:t>
      </w:r>
      <w:r>
        <w:t>, and</w:t>
      </w:r>
      <w:r w:rsidR="006314B4">
        <w:t xml:space="preserve"> f</w:t>
      </w:r>
      <w:r w:rsidR="00FD5ECD">
        <w:t>acilitate the collection of registration fees</w:t>
      </w:r>
      <w:r w:rsidR="006314B4">
        <w:t xml:space="preserve">. </w:t>
      </w:r>
      <w:r w:rsidR="006C67C4">
        <w:t xml:space="preserve">Additionally, information may be disclosed to other Federal, State, foreign, and local law </w:t>
      </w:r>
      <w:r w:rsidR="008A6DC9">
        <w:t>enforcement,</w:t>
      </w:r>
      <w:r w:rsidR="006C67C4">
        <w:t xml:space="preserve"> and regulatory agency personnel</w:t>
      </w:r>
      <w:r>
        <w:t>,</w:t>
      </w:r>
      <w:r w:rsidR="006C67C4">
        <w:t xml:space="preserve"> to verify information on the application</w:t>
      </w:r>
      <w:r w:rsidR="002E42F6">
        <w:t>,</w:t>
      </w:r>
      <w:r w:rsidR="006C67C4">
        <w:t xml:space="preserve"> and to aid in the performance of their duties with respect to the enforcement and regulation of firearms and/or ammunition</w:t>
      </w:r>
      <w:r w:rsidR="006314B4">
        <w:t>,</w:t>
      </w:r>
      <w:r w:rsidR="006C67C4">
        <w:t xml:space="preserve"> where such disclosure is not prohibited by law.</w:t>
      </w:r>
      <w:r>
        <w:t xml:space="preserve"> </w:t>
      </w:r>
      <w:r w:rsidR="006C67C4">
        <w:t xml:space="preserve">The licensee is required to retain </w:t>
      </w:r>
      <w:r w:rsidR="006314B4">
        <w:t xml:space="preserve">a copy of </w:t>
      </w:r>
      <w:r w:rsidR="006C67C4">
        <w:t>th</w:t>
      </w:r>
      <w:r w:rsidR="006314B4">
        <w:t xml:space="preserve">eir completed </w:t>
      </w:r>
      <w:r w:rsidR="006C67C4">
        <w:t xml:space="preserve">form </w:t>
      </w:r>
      <w:r w:rsidR="00017FDD">
        <w:t xml:space="preserve">permanently. </w:t>
      </w:r>
    </w:p>
    <w:p w:rsidR="006C67C4" w:rsidRDefault="006C67C4" w14:paraId="06B3969A" w14:textId="77777777">
      <w:pPr>
        <w:ind w:left="720"/>
      </w:pPr>
    </w:p>
    <w:p w:rsidRPr="00B84EA9" w:rsidR="006C67C4" w:rsidP="00732DA7" w:rsidRDefault="006C67C4" w14:paraId="32A54712" w14:textId="0F317582">
      <w:pPr>
        <w:pStyle w:val="ListParagraph"/>
        <w:numPr>
          <w:ilvl w:val="1"/>
          <w:numId w:val="2"/>
        </w:numPr>
      </w:pPr>
      <w:r w:rsidRPr="00B84EA9">
        <w:t xml:space="preserve">The </w:t>
      </w:r>
      <w:r w:rsidR="00A02B45">
        <w:t xml:space="preserve">fillable </w:t>
      </w:r>
      <w:bookmarkStart w:name="_Hlk84320884" w:id="3"/>
      <w:r w:rsidR="00A02B45">
        <w:t>ATF Form 4587(5330.4)</w:t>
      </w:r>
      <w:bookmarkEnd w:id="3"/>
      <w:r w:rsidR="00A02B45">
        <w:t xml:space="preserve"> </w:t>
      </w:r>
      <w:r w:rsidRPr="00B84EA9">
        <w:t xml:space="preserve">is available on the </w:t>
      </w:r>
      <w:r w:rsidRPr="00B84EA9" w:rsidR="00B84EA9">
        <w:t>Pay.gov</w:t>
      </w:r>
      <w:r w:rsidRPr="00B84EA9" w:rsidR="006738C5">
        <w:t xml:space="preserve"> website</w:t>
      </w:r>
      <w:r w:rsidR="00A02B45">
        <w:t>:</w:t>
      </w:r>
      <w:r w:rsidRPr="00B84EA9" w:rsidR="006738C5">
        <w:t xml:space="preserve"> </w:t>
      </w:r>
      <w:hyperlink w:history="1" r:id="rId8">
        <w:r w:rsidRPr="00B84EA9" w:rsidR="00B84EA9">
          <w:rPr>
            <w:rStyle w:val="Hyperlink"/>
          </w:rPr>
          <w:t>www.pay.gov</w:t>
        </w:r>
      </w:hyperlink>
      <w:r w:rsidRPr="00B84EA9" w:rsidR="00512FBB">
        <w:t xml:space="preserve">. </w:t>
      </w:r>
      <w:r w:rsidRPr="00B84EA9" w:rsidR="00B15C7F">
        <w:t>The form may be printed</w:t>
      </w:r>
      <w:r w:rsidR="00A02B45">
        <w:t>, completed,</w:t>
      </w:r>
      <w:r w:rsidRPr="00B84EA9" w:rsidR="00B15C7F">
        <w:t xml:space="preserve"> and mailed to ATF</w:t>
      </w:r>
      <w:r w:rsidR="00A02B45">
        <w:t xml:space="preserve"> for processing</w:t>
      </w:r>
      <w:r w:rsidRPr="00B84EA9" w:rsidR="00B15C7F">
        <w:t>. The form may also be submitted to ATF electronically via the eForms system.</w:t>
      </w:r>
    </w:p>
    <w:p w:rsidR="006C67C4" w:rsidRDefault="006C67C4" w14:paraId="09A44F11" w14:textId="77777777">
      <w:pPr>
        <w:ind w:left="720"/>
      </w:pPr>
    </w:p>
    <w:p w:rsidR="006C67C4" w:rsidP="00732DA7" w:rsidRDefault="006C67C4" w14:paraId="7F79E443" w14:textId="7775BAB7">
      <w:pPr>
        <w:pStyle w:val="ListParagraph"/>
        <w:numPr>
          <w:ilvl w:val="1"/>
          <w:numId w:val="2"/>
        </w:numPr>
      </w:pPr>
      <w:r>
        <w:t xml:space="preserve">ATF uses a </w:t>
      </w:r>
      <w:r w:rsidR="003C66FA">
        <w:t>uniform subject classification system to identify duplication and to ensure that any similar information already available cannot be used or modified for use for the purpose of this collection.</w:t>
      </w:r>
    </w:p>
    <w:p w:rsidR="006C67C4" w:rsidRDefault="006C67C4" w14:paraId="0236DB2D" w14:textId="77777777"/>
    <w:p w:rsidR="00A02B45" w:rsidRDefault="003C66FA" w14:paraId="5D5730C1" w14:textId="52D2A901">
      <w:pPr>
        <w:pStyle w:val="ListParagraph"/>
        <w:numPr>
          <w:ilvl w:val="1"/>
          <w:numId w:val="2"/>
        </w:numPr>
      </w:pPr>
      <w:r>
        <w:t xml:space="preserve">ATF </w:t>
      </w:r>
      <w:r w:rsidR="006C67C4">
        <w:t>does not use any method to minimize the burden to small business</w:t>
      </w:r>
      <w:r w:rsidR="006314B4">
        <w:t>. A</w:t>
      </w:r>
      <w:r w:rsidR="006C67C4">
        <w:t xml:space="preserve">ll </w:t>
      </w:r>
      <w:r w:rsidR="002E42F6">
        <w:t xml:space="preserve">business </w:t>
      </w:r>
      <w:r w:rsidR="00A02B45">
        <w:t>owners</w:t>
      </w:r>
      <w:r w:rsidRPr="00A02B45" w:rsidR="00A02B45">
        <w:t xml:space="preserve"> </w:t>
      </w:r>
      <w:r w:rsidR="00A02B45">
        <w:t xml:space="preserve">are required by statute to complete this form to </w:t>
      </w:r>
      <w:r w:rsidR="00C422F7">
        <w:t>register</w:t>
      </w:r>
      <w:r w:rsidR="00A02B45">
        <w:t xml:space="preserve"> as an</w:t>
      </w:r>
      <w:r w:rsidR="00C422F7">
        <w:t xml:space="preserve"> importer</w:t>
      </w:r>
      <w:r w:rsidR="00A02B45">
        <w:t xml:space="preserve"> of defense articles and services</w:t>
      </w:r>
      <w:r w:rsidR="006C67C4">
        <w:t>, regardless of size</w:t>
      </w:r>
      <w:r w:rsidR="00A02B45">
        <w:t xml:space="preserve"> of their business.</w:t>
      </w:r>
    </w:p>
    <w:p w:rsidR="006C67C4" w:rsidRDefault="006C67C4" w14:paraId="739009AC" w14:textId="77777777"/>
    <w:p w:rsidR="006C67C4" w:rsidP="00732DA7" w:rsidRDefault="00A02B45" w14:paraId="77CFFDF9" w14:textId="3A05F336">
      <w:pPr>
        <w:pStyle w:val="ListParagraph"/>
        <w:numPr>
          <w:ilvl w:val="1"/>
          <w:numId w:val="2"/>
        </w:numPr>
      </w:pPr>
      <w:r>
        <w:t>People</w:t>
      </w:r>
      <w:r w:rsidR="006C67C4">
        <w:t xml:space="preserve"> </w:t>
      </w:r>
      <w:r>
        <w:t>will</w:t>
      </w:r>
      <w:r w:rsidR="006C67C4">
        <w:t xml:space="preserve"> illegally import firearms, ammunition, and </w:t>
      </w:r>
      <w:r>
        <w:t>defense articles</w:t>
      </w:r>
      <w:r w:rsidR="006C67C4">
        <w:t xml:space="preserve"> </w:t>
      </w:r>
      <w:r w:rsidR="00CC2298">
        <w:t xml:space="preserve">and services </w:t>
      </w:r>
      <w:r w:rsidR="006C67C4">
        <w:t>into the United States</w:t>
      </w:r>
      <w:r>
        <w:t xml:space="preserve"> without this collection.</w:t>
      </w:r>
      <w:r w:rsidR="00CC2298">
        <w:t xml:space="preserve"> </w:t>
      </w:r>
      <w:r w:rsidRPr="00CC2298" w:rsidR="00CC2298">
        <w:t>ATF Form 4587(5330.4)</w:t>
      </w:r>
      <w:r w:rsidR="00CC2298">
        <w:t xml:space="preserve"> </w:t>
      </w:r>
      <w:r w:rsidR="006C67C4">
        <w:t xml:space="preserve">serves as authorization to </w:t>
      </w:r>
      <w:r w:rsidR="00903B38">
        <w:t xml:space="preserve">be an </w:t>
      </w:r>
      <w:r w:rsidR="006C67C4">
        <w:t>import</w:t>
      </w:r>
      <w:r w:rsidR="00903B38">
        <w:t>er</w:t>
      </w:r>
      <w:r w:rsidR="007276BB">
        <w:t xml:space="preserve"> of</w:t>
      </w:r>
      <w:r w:rsidR="006C67C4">
        <w:t xml:space="preserve"> such </w:t>
      </w:r>
      <w:r w:rsidR="003B4FF9">
        <w:t xml:space="preserve">defense </w:t>
      </w:r>
      <w:r w:rsidR="006C67C4">
        <w:t>articles</w:t>
      </w:r>
      <w:r w:rsidR="00CC2298">
        <w:t xml:space="preserve"> and services</w:t>
      </w:r>
      <w:r w:rsidR="006C67C4">
        <w:t>.</w:t>
      </w:r>
    </w:p>
    <w:p w:rsidR="006C67C4" w:rsidRDefault="006C67C4" w14:paraId="014F2848" w14:textId="77777777"/>
    <w:p w:rsidR="006C67C4" w:rsidP="00732DA7" w:rsidRDefault="006C67C4" w14:paraId="54C8F825" w14:textId="1A8E1633">
      <w:pPr>
        <w:pStyle w:val="ListParagraph"/>
        <w:numPr>
          <w:ilvl w:val="1"/>
          <w:numId w:val="2"/>
        </w:numPr>
      </w:pPr>
      <w:r>
        <w:t xml:space="preserve">There are no special circumstances </w:t>
      </w:r>
      <w:r w:rsidR="00CC2298">
        <w:t>associated with this</w:t>
      </w:r>
      <w:r>
        <w:t xml:space="preserve"> collection</w:t>
      </w:r>
      <w:r w:rsidR="00CC2298">
        <w:t>, which</w:t>
      </w:r>
      <w:r>
        <w:t xml:space="preserve"> is conducted in a manner consistent with </w:t>
      </w:r>
      <w:r w:rsidR="00FC0C58">
        <w:t>22 U.S.C. § 2778(1)(A)(i)</w:t>
      </w:r>
      <w:r>
        <w:t>.</w:t>
      </w:r>
    </w:p>
    <w:p w:rsidR="006C67C4" w:rsidRDefault="006C67C4" w14:paraId="3CE480CE" w14:textId="77777777"/>
    <w:p w:rsidR="006C67C4" w:rsidP="00732DA7" w:rsidRDefault="00C92F71" w14:paraId="252E2A37" w14:textId="46E1F842">
      <w:pPr>
        <w:pStyle w:val="ListParagraph"/>
        <w:numPr>
          <w:ilvl w:val="1"/>
          <w:numId w:val="2"/>
        </w:numPr>
      </w:pPr>
      <w:r>
        <w:t xml:space="preserve">All comments received during the 60-day Federal Register (FR) notice period received a response. </w:t>
      </w:r>
      <w:r w:rsidR="00583C98">
        <w:t>However, a</w:t>
      </w:r>
      <w:r w:rsidR="00CC2298">
        <w:t xml:space="preserve"> 30-day </w:t>
      </w:r>
      <w:r>
        <w:t xml:space="preserve">FR </w:t>
      </w:r>
      <w:r w:rsidR="00CC2298">
        <w:t xml:space="preserve">notice will be published to solicit public comments. </w:t>
      </w:r>
    </w:p>
    <w:p w:rsidR="006C67C4" w:rsidRDefault="006C67C4" w14:paraId="77164F7A" w14:textId="77777777"/>
    <w:p w:rsidR="006C67C4" w:rsidP="00732DA7" w:rsidRDefault="006C67C4" w14:paraId="2DF3F0CF" w14:textId="1757EFD3">
      <w:pPr>
        <w:pStyle w:val="ListParagraph"/>
        <w:numPr>
          <w:ilvl w:val="1"/>
          <w:numId w:val="2"/>
        </w:numPr>
      </w:pPr>
      <w:r>
        <w:t>No payment or gift is associated with this collection.</w:t>
      </w:r>
    </w:p>
    <w:p w:rsidR="006C67C4" w:rsidRDefault="006C67C4" w14:paraId="026A07D9" w14:textId="77777777"/>
    <w:p w:rsidR="006C67C4" w:rsidP="00732DA7" w:rsidRDefault="00610E87" w14:paraId="38BBD0B9" w14:textId="13EE68DB">
      <w:pPr>
        <w:pStyle w:val="ListParagraph"/>
        <w:numPr>
          <w:ilvl w:val="1"/>
          <w:numId w:val="2"/>
        </w:numPr>
      </w:pPr>
      <w:r w:rsidRPr="00EC7B8C">
        <w:t>The confidentiality of information obtained from regulated individuals is</w:t>
      </w:r>
      <w:r w:rsidR="003B4FF9">
        <w:t xml:space="preserve"> </w:t>
      </w:r>
      <w:r w:rsidRPr="00EC7B8C">
        <w:t xml:space="preserve">protected under the provisions of 5 U.S.C. </w:t>
      </w:r>
      <w:r>
        <w:t>§</w:t>
      </w:r>
      <w:r w:rsidRPr="00EC7B8C">
        <w:t xml:space="preserve">552 and 26 U.S.C. </w:t>
      </w:r>
      <w:r>
        <w:t>§</w:t>
      </w:r>
      <w:r w:rsidRPr="00EC7B8C">
        <w:t>6103</w:t>
      </w:r>
      <w:r w:rsidR="00CC2298">
        <w:t xml:space="preserve">. </w:t>
      </w:r>
    </w:p>
    <w:p w:rsidR="006C67C4" w:rsidRDefault="006C67C4" w14:paraId="1843083A" w14:textId="77777777"/>
    <w:p w:rsidR="006C67C4" w:rsidP="00732DA7" w:rsidRDefault="006C67C4" w14:paraId="5E9F5A55" w14:textId="77777777">
      <w:pPr>
        <w:pStyle w:val="ListParagraph"/>
        <w:numPr>
          <w:ilvl w:val="1"/>
          <w:numId w:val="2"/>
        </w:numPr>
      </w:pPr>
      <w:r>
        <w:t>No questions of a sensitive nature are asked.</w:t>
      </w:r>
    </w:p>
    <w:p w:rsidR="006C67C4" w:rsidRDefault="006C67C4" w14:paraId="225950BD" w14:textId="77777777">
      <w:bookmarkStart w:name="_Hlk76124122" w:id="4"/>
    </w:p>
    <w:p w:rsidR="006C67C4" w:rsidP="00732DA7" w:rsidRDefault="006C67C4" w14:paraId="577B1EAD" w14:textId="556E1838">
      <w:pPr>
        <w:pStyle w:val="ListParagraph"/>
        <w:numPr>
          <w:ilvl w:val="1"/>
          <w:numId w:val="2"/>
        </w:numPr>
      </w:pPr>
      <w:r>
        <w:t xml:space="preserve">The number of respondents associated with this collection is </w:t>
      </w:r>
      <w:r w:rsidR="00D32AA1">
        <w:t>400</w:t>
      </w:r>
      <w:r>
        <w:t>. Each respondent co</w:t>
      </w:r>
      <w:r w:rsidR="003716AA">
        <w:t xml:space="preserve">mpletes the form </w:t>
      </w:r>
      <w:r w:rsidR="003B4FF9">
        <w:t xml:space="preserve">once </w:t>
      </w:r>
      <w:r w:rsidR="00A8683E">
        <w:t>annually</w:t>
      </w:r>
      <w:r>
        <w:t xml:space="preserve">. The total responses </w:t>
      </w:r>
      <w:r w:rsidR="00211C1C">
        <w:t>are</w:t>
      </w:r>
      <w:r>
        <w:t xml:space="preserve"> </w:t>
      </w:r>
      <w:r w:rsidR="003B4FF9">
        <w:t xml:space="preserve">also </w:t>
      </w:r>
      <w:r w:rsidR="00D32AA1">
        <w:t>4</w:t>
      </w:r>
      <w:r>
        <w:t xml:space="preserve">00. </w:t>
      </w:r>
      <w:r w:rsidR="00211C1C">
        <w:t>Each respondents take approximately</w:t>
      </w:r>
      <w:r>
        <w:t xml:space="preserve"> 30 minutes</w:t>
      </w:r>
      <w:r w:rsidR="00211C1C">
        <w:t xml:space="preserve"> to complete the form</w:t>
      </w:r>
      <w:r>
        <w:t xml:space="preserve">. The total </w:t>
      </w:r>
      <w:r>
        <w:lastRenderedPageBreak/>
        <w:t xml:space="preserve">annual burden </w:t>
      </w:r>
      <w:r w:rsidR="00D32AA1">
        <w:t xml:space="preserve">hours </w:t>
      </w:r>
      <w:r w:rsidR="00211C1C">
        <w:t xml:space="preserve">are </w:t>
      </w:r>
      <w:r w:rsidR="00D32AA1">
        <w:t>200</w:t>
      </w:r>
      <w:r>
        <w:t>.</w:t>
      </w:r>
      <w:r w:rsidR="00D32AA1">
        <w:t xml:space="preserve"> The record keeping requirement for this </w:t>
      </w:r>
      <w:r w:rsidR="006314B4">
        <w:t>IC</w:t>
      </w:r>
      <w:r w:rsidR="00D32AA1">
        <w:t xml:space="preserve"> is 10 years.</w:t>
      </w:r>
    </w:p>
    <w:p w:rsidR="006C67C4" w:rsidRDefault="006C67C4" w14:paraId="2954BFA5" w14:textId="77777777"/>
    <w:p w:rsidR="00CC2298" w:rsidP="00732DA7" w:rsidRDefault="00CC2298" w14:paraId="2385405F" w14:textId="5000638E">
      <w:pPr>
        <w:pStyle w:val="ListParagraph"/>
        <w:numPr>
          <w:ilvl w:val="1"/>
          <w:numId w:val="2"/>
        </w:numPr>
      </w:pPr>
      <w:r>
        <w:t>R</w:t>
      </w:r>
      <w:r w:rsidR="006C67C4">
        <w:t xml:space="preserve">espondents </w:t>
      </w:r>
      <w:r>
        <w:t>who</w:t>
      </w:r>
      <w:r w:rsidR="006C67C4">
        <w:t xml:space="preserve"> do not file </w:t>
      </w:r>
      <w:bookmarkStart w:name="_Hlk86242261" w:id="5"/>
      <w:r>
        <w:t xml:space="preserve">ATF Form 4587(5330.4) </w:t>
      </w:r>
      <w:bookmarkEnd w:id="5"/>
      <w:r w:rsidR="006C67C4">
        <w:t>electronically must mail the</w:t>
      </w:r>
      <w:r>
        <w:t xml:space="preserve"> completed</w:t>
      </w:r>
      <w:r w:rsidR="006C67C4">
        <w:t xml:space="preserve"> form to ATF</w:t>
      </w:r>
      <w:r>
        <w:t xml:space="preserve"> for processing</w:t>
      </w:r>
      <w:r w:rsidR="006C67C4">
        <w:t xml:space="preserve">. Therefore, the cost to respondents who choose not to file electronically is postage. Of the </w:t>
      </w:r>
      <w:r w:rsidR="00D32AA1">
        <w:t>4</w:t>
      </w:r>
      <w:r w:rsidR="006C67C4">
        <w:t>00 respond</w:t>
      </w:r>
      <w:r w:rsidR="00512FBB">
        <w:t>e</w:t>
      </w:r>
      <w:r w:rsidR="003716AA">
        <w:t xml:space="preserve">nts </w:t>
      </w:r>
      <w:r w:rsidR="006314B4">
        <w:t>who</w:t>
      </w:r>
      <w:r w:rsidR="003716AA">
        <w:t xml:space="preserve"> complete the form, </w:t>
      </w:r>
      <w:r w:rsidR="00D32AA1">
        <w:t>2</w:t>
      </w:r>
      <w:r w:rsidR="003716AA">
        <w:t>00</w:t>
      </w:r>
      <w:r w:rsidR="006314B4">
        <w:t xml:space="preserve"> of them</w:t>
      </w:r>
      <w:r w:rsidR="003716AA">
        <w:t xml:space="preserve"> </w:t>
      </w:r>
      <w:r w:rsidR="006C67C4">
        <w:t xml:space="preserve">file electronically. The </w:t>
      </w:r>
      <w:r w:rsidR="003A6ED8">
        <w:t xml:space="preserve">postage cost is based on </w:t>
      </w:r>
      <w:r w:rsidR="00D32AA1">
        <w:t>2</w:t>
      </w:r>
      <w:r w:rsidR="003716AA">
        <w:t xml:space="preserve">00 </w:t>
      </w:r>
      <w:r w:rsidR="006C67C4">
        <w:t>respondents x</w:t>
      </w:r>
      <w:r w:rsidR="00DE24A5">
        <w:t xml:space="preserve"> </w:t>
      </w:r>
      <w:r w:rsidR="00B270BB">
        <w:t>$</w:t>
      </w:r>
      <w:r w:rsidR="00DE24A5">
        <w:t>.</w:t>
      </w:r>
      <w:r w:rsidR="00D32AA1">
        <w:t>55</w:t>
      </w:r>
      <w:r w:rsidR="00B270BB">
        <w:t xml:space="preserve"> postage rate</w:t>
      </w:r>
      <w:r w:rsidR="00512FBB">
        <w:t xml:space="preserve"> </w:t>
      </w:r>
      <w:r w:rsidR="003A6ED8">
        <w:t>= $</w:t>
      </w:r>
      <w:r w:rsidR="00D32AA1">
        <w:t>110</w:t>
      </w:r>
      <w:r w:rsidR="005334C8">
        <w:t>.00</w:t>
      </w:r>
      <w:r>
        <w:t>.</w:t>
      </w:r>
    </w:p>
    <w:p w:rsidR="00CC2298" w:rsidP="00224184" w:rsidRDefault="00CC2298" w14:paraId="4A034DF5" w14:textId="77777777">
      <w:pPr>
        <w:pStyle w:val="ListParagraph"/>
      </w:pPr>
    </w:p>
    <w:p w:rsidR="006C67C4" w:rsidRDefault="00211C1C" w14:paraId="23395E57" w14:textId="39E504A5">
      <w:pPr>
        <w:pStyle w:val="ListParagraph"/>
        <w:numPr>
          <w:ilvl w:val="1"/>
          <w:numId w:val="2"/>
        </w:numPr>
      </w:pPr>
      <w:r>
        <w:t xml:space="preserve">The total </w:t>
      </w:r>
      <w:r w:rsidR="00AA292D">
        <w:t xml:space="preserve">Federal government </w:t>
      </w:r>
      <w:r>
        <w:t xml:space="preserve">costs for </w:t>
      </w:r>
      <w:r w:rsidR="00AA292D">
        <w:t xml:space="preserve">printing </w:t>
      </w:r>
      <w:r>
        <w:t xml:space="preserve">and stocking </w:t>
      </w:r>
      <w:r w:rsidR="003B4FF9">
        <w:t xml:space="preserve">ATF Form 4587(5330.4) </w:t>
      </w:r>
      <w:r w:rsidR="00AA292D">
        <w:t xml:space="preserve">at the ATF Distribution Center </w:t>
      </w:r>
      <w:r>
        <w:t>are outlined below</w:t>
      </w:r>
      <w:r w:rsidR="006C67C4">
        <w:t>:</w:t>
      </w:r>
    </w:p>
    <w:p w:rsidR="006C67C4" w:rsidRDefault="006C67C4" w14:paraId="6AE4F2BD" w14:textId="77777777"/>
    <w:p w:rsidR="006C67C4" w:rsidP="00791E29" w:rsidRDefault="006C67C4" w14:paraId="6C413345" w14:textId="2D903B63">
      <w:pPr>
        <w:ind w:left="1080" w:firstLine="360"/>
      </w:pPr>
      <w:r>
        <w:t>Printing</w:t>
      </w:r>
      <w:r>
        <w:tab/>
      </w:r>
      <w:r>
        <w:tab/>
        <w:t>$</w:t>
      </w:r>
      <w:r w:rsidR="00791E29">
        <w:t>200</w:t>
      </w:r>
      <w:r>
        <w:t>.00</w:t>
      </w:r>
    </w:p>
    <w:p w:rsidRPr="00224184" w:rsidR="00791E29" w:rsidP="00791E29" w:rsidRDefault="00791E29" w14:paraId="53A8186F" w14:textId="535E4069">
      <w:pPr>
        <w:ind w:left="1080" w:firstLine="360"/>
        <w:rPr>
          <w:u w:val="single"/>
        </w:rPr>
      </w:pPr>
      <w:r>
        <w:t>Labor</w:t>
      </w:r>
      <w:r>
        <w:tab/>
      </w:r>
      <w:r>
        <w:tab/>
      </w:r>
      <w:r>
        <w:tab/>
      </w:r>
      <w:r w:rsidRPr="00224184">
        <w:rPr>
          <w:u w:val="single"/>
        </w:rPr>
        <w:t>$11,600.00</w:t>
      </w:r>
    </w:p>
    <w:p w:rsidRPr="00224184" w:rsidR="00791E29" w:rsidP="00791E29" w:rsidRDefault="00791E29" w14:paraId="05B730E1" w14:textId="40966DAF">
      <w:pPr>
        <w:ind w:left="1080" w:firstLine="360"/>
        <w:rPr>
          <w:u w:val="single"/>
        </w:rPr>
      </w:pPr>
      <w:r>
        <w:t>Total</w:t>
      </w:r>
      <w:r>
        <w:tab/>
      </w:r>
      <w:r>
        <w:tab/>
      </w:r>
      <w:r>
        <w:tab/>
      </w:r>
      <w:r w:rsidRPr="00224184">
        <w:rPr>
          <w:u w:val="single"/>
        </w:rPr>
        <w:t>$11,800.00</w:t>
      </w:r>
    </w:p>
    <w:p w:rsidR="006C67C4" w:rsidRDefault="006C67C4" w14:paraId="1C58CC97" w14:textId="77777777">
      <w:pPr>
        <w:ind w:left="1080"/>
      </w:pPr>
    </w:p>
    <w:p w:rsidR="00211C1C" w:rsidRDefault="00211C1C" w14:paraId="20BC7BD9" w14:textId="2907FC0F">
      <w:pPr>
        <w:pStyle w:val="ListParagraph"/>
        <w:numPr>
          <w:ilvl w:val="1"/>
          <w:numId w:val="2"/>
        </w:numPr>
      </w:pPr>
      <w:bookmarkStart w:name="_Hlk86250775" w:id="6"/>
      <w:r>
        <w:t>Due to more individuals registering to import defense articles and services, the total respondents, responses, and burden hours to this collection have increased from 300, 300</w:t>
      </w:r>
      <w:r w:rsidR="003B4FF9">
        <w:t>,</w:t>
      </w:r>
      <w:r>
        <w:t xml:space="preserve"> and 150 hours respectively</w:t>
      </w:r>
      <w:r w:rsidR="006314B4">
        <w:t xml:space="preserve"> in 201</w:t>
      </w:r>
      <w:r w:rsidR="00292BA3">
        <w:t>8</w:t>
      </w:r>
      <w:r>
        <w:t xml:space="preserve">, to 400, 400, and 200 hours currently. </w:t>
      </w:r>
    </w:p>
    <w:bookmarkEnd w:id="4"/>
    <w:bookmarkEnd w:id="6"/>
    <w:p w:rsidR="006C67C4" w:rsidP="00224184" w:rsidRDefault="006C67C4" w14:paraId="394843B9" w14:textId="77777777">
      <w:pPr>
        <w:pStyle w:val="ListParagraph"/>
        <w:ind w:left="1440"/>
      </w:pPr>
    </w:p>
    <w:p w:rsidR="006C67C4" w:rsidP="00732DA7" w:rsidRDefault="006C67C4" w14:paraId="245AF4FD" w14:textId="77777777">
      <w:pPr>
        <w:pStyle w:val="ListParagraph"/>
        <w:numPr>
          <w:ilvl w:val="1"/>
          <w:numId w:val="2"/>
        </w:numPr>
      </w:pPr>
      <w:r>
        <w:t>The results of this collection will not be published.</w:t>
      </w:r>
    </w:p>
    <w:p w:rsidR="006C67C4" w:rsidRDefault="006C67C4" w14:paraId="50754D26" w14:textId="77777777"/>
    <w:p w:rsidR="006C67C4" w:rsidP="00732DA7" w:rsidRDefault="006C67C4" w14:paraId="3F1D9055" w14:textId="49596A92">
      <w:pPr>
        <w:pStyle w:val="ListParagraph"/>
        <w:numPr>
          <w:ilvl w:val="1"/>
          <w:numId w:val="2"/>
        </w:numPr>
      </w:pPr>
      <w:r>
        <w:t xml:space="preserve">ATF </w:t>
      </w:r>
      <w:r w:rsidR="003B4FF9">
        <w:t>is not</w:t>
      </w:r>
      <w:r w:rsidRPr="00EC7B8C" w:rsidR="00791E29">
        <w:t xml:space="preserve"> request</w:t>
      </w:r>
      <w:r w:rsidR="003B4FF9">
        <w:t>ing</w:t>
      </w:r>
      <w:r w:rsidRPr="00EC7B8C" w:rsidR="00791E29">
        <w:t xml:space="preserve"> approval </w:t>
      </w:r>
      <w:r w:rsidR="003B4FF9">
        <w:t>to exclude</w:t>
      </w:r>
      <w:r w:rsidRPr="00EC7B8C" w:rsidR="00791E29">
        <w:t xml:space="preserve"> the </w:t>
      </w:r>
      <w:r w:rsidR="00211C1C">
        <w:t xml:space="preserve">Office of Management and Budget </w:t>
      </w:r>
      <w:r w:rsidRPr="00211C1C" w:rsidR="00211C1C">
        <w:t xml:space="preserve">expiration date </w:t>
      </w:r>
      <w:r w:rsidRPr="00EC7B8C" w:rsidR="00791E29">
        <w:t>for this collection.</w:t>
      </w:r>
    </w:p>
    <w:p w:rsidR="006C67C4" w:rsidRDefault="006C67C4" w14:paraId="6C36EB70" w14:textId="77777777"/>
    <w:p w:rsidR="006C67C4" w:rsidP="00732DA7" w:rsidRDefault="006C67C4" w14:paraId="11F30A5F" w14:textId="77777777">
      <w:pPr>
        <w:pStyle w:val="ListParagraph"/>
        <w:numPr>
          <w:ilvl w:val="1"/>
          <w:numId w:val="2"/>
        </w:numPr>
      </w:pPr>
      <w:r>
        <w:t>There are no exceptions to the certification statement.</w:t>
      </w:r>
    </w:p>
    <w:p w:rsidR="006C67C4" w:rsidRDefault="006C67C4" w14:paraId="33E19A88" w14:textId="77777777"/>
    <w:p w:rsidR="006C67C4" w:rsidRDefault="006C67C4" w14:paraId="70F219D6" w14:textId="77777777"/>
    <w:p w:rsidRPr="00224184" w:rsidR="006C67C4" w:rsidP="00732DA7" w:rsidRDefault="006C67C4" w14:paraId="12D61D0F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224184">
        <w:rPr>
          <w:b/>
          <w:bCs/>
        </w:rPr>
        <w:t>Collections of Information Employing Statistical Methods</w:t>
      </w:r>
    </w:p>
    <w:p w:rsidR="006C67C4" w:rsidRDefault="006C67C4" w14:paraId="3B2574BC" w14:textId="77777777">
      <w:pPr>
        <w:ind w:left="360"/>
      </w:pPr>
    </w:p>
    <w:p w:rsidR="006C67C4" w:rsidP="006D2AC4" w:rsidRDefault="006C67C4" w14:paraId="26FC1130" w14:textId="180F6294">
      <w:pPr>
        <w:ind w:left="720"/>
      </w:pPr>
      <w:r>
        <w:t>This information request does not employ statistical methods.</w:t>
      </w:r>
    </w:p>
    <w:p w:rsidR="00A24A3D" w:rsidRDefault="00A24A3D" w14:paraId="2F2C1D74" w14:textId="77777777">
      <w:pPr>
        <w:ind w:left="720"/>
      </w:pPr>
    </w:p>
    <w:p w:rsidR="00A24A3D" w:rsidRDefault="00A24A3D" w14:paraId="4A72BBC3" w14:textId="77777777">
      <w:pPr>
        <w:ind w:left="720"/>
      </w:pPr>
    </w:p>
    <w:sectPr w:rsidR="00A24A3D" w:rsidSect="00C0493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A6F5" w14:textId="77777777" w:rsidR="00776DEC" w:rsidRDefault="00776DEC">
      <w:r>
        <w:separator/>
      </w:r>
    </w:p>
  </w:endnote>
  <w:endnote w:type="continuationSeparator" w:id="0">
    <w:p w14:paraId="7995B412" w14:textId="77777777" w:rsidR="00776DEC" w:rsidRDefault="0077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4CC4" w14:textId="77777777" w:rsidR="006C67C4" w:rsidRDefault="006C67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CA16A" w14:textId="77777777" w:rsidR="006C67C4" w:rsidRDefault="006C6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F2D7" w14:textId="77777777" w:rsidR="006C67C4" w:rsidRDefault="006C67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DC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78B211D" w14:textId="77777777" w:rsidR="006C67C4" w:rsidRDefault="006C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2F55" w14:textId="77777777" w:rsidR="00776DEC" w:rsidRDefault="00776DEC">
      <w:r>
        <w:separator/>
      </w:r>
    </w:p>
  </w:footnote>
  <w:footnote w:type="continuationSeparator" w:id="0">
    <w:p w14:paraId="24F63872" w14:textId="77777777" w:rsidR="00776DEC" w:rsidRDefault="0077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820"/>
    <w:multiLevelType w:val="hybridMultilevel"/>
    <w:tmpl w:val="CC1E0F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4C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87B"/>
    <w:multiLevelType w:val="hybridMultilevel"/>
    <w:tmpl w:val="C9DA3F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CE792F"/>
    <w:multiLevelType w:val="hybridMultilevel"/>
    <w:tmpl w:val="80281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312C3"/>
    <w:multiLevelType w:val="hybridMultilevel"/>
    <w:tmpl w:val="FFB0B1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D44D1A"/>
    <w:multiLevelType w:val="hybridMultilevel"/>
    <w:tmpl w:val="BAA4DB5C"/>
    <w:lvl w:ilvl="0" w:tplc="4CE6983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F201AC"/>
    <w:multiLevelType w:val="hybridMultilevel"/>
    <w:tmpl w:val="5296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90B23"/>
    <w:multiLevelType w:val="hybridMultilevel"/>
    <w:tmpl w:val="D564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F8E"/>
    <w:multiLevelType w:val="hybridMultilevel"/>
    <w:tmpl w:val="00203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AC30FE"/>
    <w:multiLevelType w:val="hybridMultilevel"/>
    <w:tmpl w:val="63C867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2D6B69"/>
    <w:multiLevelType w:val="hybridMultilevel"/>
    <w:tmpl w:val="95CC3E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04EFF"/>
    <w:multiLevelType w:val="hybridMultilevel"/>
    <w:tmpl w:val="F08CD03C"/>
    <w:lvl w:ilvl="0" w:tplc="91CA6EA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E44979"/>
    <w:multiLevelType w:val="hybridMultilevel"/>
    <w:tmpl w:val="C5C0DA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090872"/>
    <w:multiLevelType w:val="hybridMultilevel"/>
    <w:tmpl w:val="5F8E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0F3C"/>
    <w:multiLevelType w:val="hybridMultilevel"/>
    <w:tmpl w:val="2EF622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FC3852"/>
    <w:multiLevelType w:val="hybridMultilevel"/>
    <w:tmpl w:val="A26A3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43629"/>
    <w:multiLevelType w:val="hybridMultilevel"/>
    <w:tmpl w:val="00AC1B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5745A4"/>
    <w:multiLevelType w:val="hybridMultilevel"/>
    <w:tmpl w:val="C3CE5E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8D4EC0"/>
    <w:multiLevelType w:val="hybridMultilevel"/>
    <w:tmpl w:val="5B6E0FE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A71E3F"/>
    <w:multiLevelType w:val="hybridMultilevel"/>
    <w:tmpl w:val="36DE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F7073"/>
    <w:multiLevelType w:val="hybridMultilevel"/>
    <w:tmpl w:val="8312EF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A029ED"/>
    <w:multiLevelType w:val="hybridMultilevel"/>
    <w:tmpl w:val="542C8D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43754E"/>
    <w:multiLevelType w:val="hybridMultilevel"/>
    <w:tmpl w:val="E0F6F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E82E2A"/>
    <w:multiLevelType w:val="hybridMultilevel"/>
    <w:tmpl w:val="E132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10A9B"/>
    <w:multiLevelType w:val="hybridMultilevel"/>
    <w:tmpl w:val="1232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676A9"/>
    <w:multiLevelType w:val="hybridMultilevel"/>
    <w:tmpl w:val="FB6C11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3645B3"/>
    <w:multiLevelType w:val="hybridMultilevel"/>
    <w:tmpl w:val="D2A48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5A5C8F"/>
    <w:multiLevelType w:val="hybridMultilevel"/>
    <w:tmpl w:val="3F481E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70D52A8"/>
    <w:multiLevelType w:val="hybridMultilevel"/>
    <w:tmpl w:val="9994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26791"/>
    <w:multiLevelType w:val="hybridMultilevel"/>
    <w:tmpl w:val="0B1C98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B624A8"/>
    <w:multiLevelType w:val="hybridMultilevel"/>
    <w:tmpl w:val="EC3A0C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281331"/>
    <w:multiLevelType w:val="hybridMultilevel"/>
    <w:tmpl w:val="E8D24C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8867BA"/>
    <w:multiLevelType w:val="hybridMultilevel"/>
    <w:tmpl w:val="19285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A205EC"/>
    <w:multiLevelType w:val="hybridMultilevel"/>
    <w:tmpl w:val="B8DA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3C5F14"/>
    <w:multiLevelType w:val="hybridMultilevel"/>
    <w:tmpl w:val="2A3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06590"/>
    <w:multiLevelType w:val="hybridMultilevel"/>
    <w:tmpl w:val="FE5CC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986B75"/>
    <w:multiLevelType w:val="hybridMultilevel"/>
    <w:tmpl w:val="894813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6554C9"/>
    <w:multiLevelType w:val="hybridMultilevel"/>
    <w:tmpl w:val="D160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641250"/>
    <w:multiLevelType w:val="hybridMultilevel"/>
    <w:tmpl w:val="93220A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266D95"/>
    <w:multiLevelType w:val="hybridMultilevel"/>
    <w:tmpl w:val="9C76F3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25"/>
  </w:num>
  <w:num w:numId="8">
    <w:abstractNumId w:val="21"/>
  </w:num>
  <w:num w:numId="9">
    <w:abstractNumId w:val="27"/>
  </w:num>
  <w:num w:numId="10">
    <w:abstractNumId w:val="22"/>
  </w:num>
  <w:num w:numId="11">
    <w:abstractNumId w:val="5"/>
  </w:num>
  <w:num w:numId="12">
    <w:abstractNumId w:val="18"/>
  </w:num>
  <w:num w:numId="13">
    <w:abstractNumId w:val="34"/>
  </w:num>
  <w:num w:numId="14">
    <w:abstractNumId w:val="31"/>
  </w:num>
  <w:num w:numId="15">
    <w:abstractNumId w:val="23"/>
  </w:num>
  <w:num w:numId="16">
    <w:abstractNumId w:val="8"/>
  </w:num>
  <w:num w:numId="17">
    <w:abstractNumId w:val="12"/>
  </w:num>
  <w:num w:numId="18">
    <w:abstractNumId w:val="37"/>
  </w:num>
  <w:num w:numId="19">
    <w:abstractNumId w:val="32"/>
  </w:num>
  <w:num w:numId="20">
    <w:abstractNumId w:val="33"/>
  </w:num>
  <w:num w:numId="21">
    <w:abstractNumId w:val="38"/>
  </w:num>
  <w:num w:numId="22">
    <w:abstractNumId w:val="7"/>
  </w:num>
  <w:num w:numId="23">
    <w:abstractNumId w:val="24"/>
  </w:num>
  <w:num w:numId="24">
    <w:abstractNumId w:val="35"/>
  </w:num>
  <w:num w:numId="25">
    <w:abstractNumId w:val="28"/>
  </w:num>
  <w:num w:numId="26">
    <w:abstractNumId w:val="26"/>
  </w:num>
  <w:num w:numId="27">
    <w:abstractNumId w:val="36"/>
  </w:num>
  <w:num w:numId="28">
    <w:abstractNumId w:val="13"/>
  </w:num>
  <w:num w:numId="29">
    <w:abstractNumId w:val="15"/>
  </w:num>
  <w:num w:numId="30">
    <w:abstractNumId w:val="16"/>
  </w:num>
  <w:num w:numId="31">
    <w:abstractNumId w:val="19"/>
  </w:num>
  <w:num w:numId="32">
    <w:abstractNumId w:val="29"/>
  </w:num>
  <w:num w:numId="33">
    <w:abstractNumId w:val="11"/>
  </w:num>
  <w:num w:numId="34">
    <w:abstractNumId w:val="3"/>
  </w:num>
  <w:num w:numId="35">
    <w:abstractNumId w:val="1"/>
  </w:num>
  <w:num w:numId="36">
    <w:abstractNumId w:val="20"/>
  </w:num>
  <w:num w:numId="37">
    <w:abstractNumId w:val="14"/>
  </w:num>
  <w:num w:numId="38">
    <w:abstractNumId w:val="2"/>
  </w:num>
  <w:num w:numId="39">
    <w:abstractNumId w:val="3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7B"/>
    <w:rsid w:val="000157CF"/>
    <w:rsid w:val="00017FDD"/>
    <w:rsid w:val="0007154A"/>
    <w:rsid w:val="000C718E"/>
    <w:rsid w:val="001314F9"/>
    <w:rsid w:val="00137E10"/>
    <w:rsid w:val="00144AB0"/>
    <w:rsid w:val="001525B2"/>
    <w:rsid w:val="001607E8"/>
    <w:rsid w:val="00192D6A"/>
    <w:rsid w:val="001C019B"/>
    <w:rsid w:val="001D1183"/>
    <w:rsid w:val="001D5FEA"/>
    <w:rsid w:val="001E70EE"/>
    <w:rsid w:val="001F2220"/>
    <w:rsid w:val="00211C1C"/>
    <w:rsid w:val="00224184"/>
    <w:rsid w:val="00237DC8"/>
    <w:rsid w:val="002444BD"/>
    <w:rsid w:val="00292BA3"/>
    <w:rsid w:val="002A4DD8"/>
    <w:rsid w:val="002E42F6"/>
    <w:rsid w:val="00303E2D"/>
    <w:rsid w:val="00323523"/>
    <w:rsid w:val="00331B2D"/>
    <w:rsid w:val="003716AA"/>
    <w:rsid w:val="003A6ED8"/>
    <w:rsid w:val="003B4FF9"/>
    <w:rsid w:val="003B5867"/>
    <w:rsid w:val="003C66FA"/>
    <w:rsid w:val="00413D65"/>
    <w:rsid w:val="004168FD"/>
    <w:rsid w:val="00452D38"/>
    <w:rsid w:val="0046219E"/>
    <w:rsid w:val="00480053"/>
    <w:rsid w:val="004B669E"/>
    <w:rsid w:val="004E317C"/>
    <w:rsid w:val="00507DD0"/>
    <w:rsid w:val="00512FBB"/>
    <w:rsid w:val="005334C8"/>
    <w:rsid w:val="005630F4"/>
    <w:rsid w:val="005721E5"/>
    <w:rsid w:val="00583900"/>
    <w:rsid w:val="00583C98"/>
    <w:rsid w:val="005F4606"/>
    <w:rsid w:val="00610E87"/>
    <w:rsid w:val="006304A0"/>
    <w:rsid w:val="006314B4"/>
    <w:rsid w:val="0063212C"/>
    <w:rsid w:val="00655B94"/>
    <w:rsid w:val="00672F74"/>
    <w:rsid w:val="006738C5"/>
    <w:rsid w:val="0069219E"/>
    <w:rsid w:val="00694A81"/>
    <w:rsid w:val="006A5132"/>
    <w:rsid w:val="006C67C4"/>
    <w:rsid w:val="006D2AC4"/>
    <w:rsid w:val="006E6BCF"/>
    <w:rsid w:val="006F0961"/>
    <w:rsid w:val="00726F4E"/>
    <w:rsid w:val="007276BB"/>
    <w:rsid w:val="00732DA7"/>
    <w:rsid w:val="00746CDB"/>
    <w:rsid w:val="00770268"/>
    <w:rsid w:val="00776DEC"/>
    <w:rsid w:val="00791E29"/>
    <w:rsid w:val="007F2A93"/>
    <w:rsid w:val="0081782B"/>
    <w:rsid w:val="00834724"/>
    <w:rsid w:val="008548D0"/>
    <w:rsid w:val="008A6DC9"/>
    <w:rsid w:val="008B3506"/>
    <w:rsid w:val="008C217B"/>
    <w:rsid w:val="008C5D4E"/>
    <w:rsid w:val="008D1D05"/>
    <w:rsid w:val="00903B38"/>
    <w:rsid w:val="00911EBC"/>
    <w:rsid w:val="00954A35"/>
    <w:rsid w:val="009612BB"/>
    <w:rsid w:val="0099094F"/>
    <w:rsid w:val="009922D1"/>
    <w:rsid w:val="009C14E4"/>
    <w:rsid w:val="009D16D4"/>
    <w:rsid w:val="009E6B81"/>
    <w:rsid w:val="00A02B45"/>
    <w:rsid w:val="00A24A3D"/>
    <w:rsid w:val="00A4605A"/>
    <w:rsid w:val="00A607DF"/>
    <w:rsid w:val="00A66EE7"/>
    <w:rsid w:val="00A8683E"/>
    <w:rsid w:val="00A87AC0"/>
    <w:rsid w:val="00A9070E"/>
    <w:rsid w:val="00A9499F"/>
    <w:rsid w:val="00AA292D"/>
    <w:rsid w:val="00AC61E3"/>
    <w:rsid w:val="00AD12C5"/>
    <w:rsid w:val="00AF00AA"/>
    <w:rsid w:val="00B00CBE"/>
    <w:rsid w:val="00B0706D"/>
    <w:rsid w:val="00B15C7F"/>
    <w:rsid w:val="00B270BB"/>
    <w:rsid w:val="00B46455"/>
    <w:rsid w:val="00B46538"/>
    <w:rsid w:val="00B5265B"/>
    <w:rsid w:val="00B70A7D"/>
    <w:rsid w:val="00B8112D"/>
    <w:rsid w:val="00B84EA9"/>
    <w:rsid w:val="00B95024"/>
    <w:rsid w:val="00B96F83"/>
    <w:rsid w:val="00BA709F"/>
    <w:rsid w:val="00BE1A5E"/>
    <w:rsid w:val="00C04936"/>
    <w:rsid w:val="00C225B4"/>
    <w:rsid w:val="00C32564"/>
    <w:rsid w:val="00C422F7"/>
    <w:rsid w:val="00C76B6B"/>
    <w:rsid w:val="00C804C5"/>
    <w:rsid w:val="00C92F71"/>
    <w:rsid w:val="00CB326F"/>
    <w:rsid w:val="00CC2298"/>
    <w:rsid w:val="00D042FC"/>
    <w:rsid w:val="00D12D34"/>
    <w:rsid w:val="00D24FB7"/>
    <w:rsid w:val="00D32AA1"/>
    <w:rsid w:val="00D516B4"/>
    <w:rsid w:val="00D637AE"/>
    <w:rsid w:val="00D85CD3"/>
    <w:rsid w:val="00DB7966"/>
    <w:rsid w:val="00DE24A5"/>
    <w:rsid w:val="00E30686"/>
    <w:rsid w:val="00E318F9"/>
    <w:rsid w:val="00E645BE"/>
    <w:rsid w:val="00E70F6E"/>
    <w:rsid w:val="00E934ED"/>
    <w:rsid w:val="00EE5F92"/>
    <w:rsid w:val="00EF0934"/>
    <w:rsid w:val="00EF4809"/>
    <w:rsid w:val="00EF6513"/>
    <w:rsid w:val="00F30B0E"/>
    <w:rsid w:val="00F8431D"/>
    <w:rsid w:val="00F90780"/>
    <w:rsid w:val="00FB2154"/>
    <w:rsid w:val="00FC0C58"/>
    <w:rsid w:val="00FC5AEE"/>
    <w:rsid w:val="00FC6E5B"/>
    <w:rsid w:val="00FD406B"/>
    <w:rsid w:val="00FD5ECD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DB43C"/>
  <w15:chartTrackingRefBased/>
  <w15:docId w15:val="{008B10A7-5112-4468-8204-F6F5736F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512F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265B"/>
    <w:pPr>
      <w:ind w:left="720"/>
      <w:contextualSpacing/>
    </w:pPr>
    <w:rPr>
      <w:rFonts w:eastAsia="Calibri"/>
      <w:szCs w:val="22"/>
    </w:rPr>
  </w:style>
  <w:style w:type="paragraph" w:styleId="Revision">
    <w:name w:val="Revision"/>
    <w:hidden/>
    <w:uiPriority w:val="99"/>
    <w:semiHidden/>
    <w:rsid w:val="00FE0B0D"/>
    <w:rPr>
      <w:sz w:val="24"/>
      <w:szCs w:val="24"/>
    </w:rPr>
  </w:style>
  <w:style w:type="paragraph" w:styleId="BalloonText">
    <w:name w:val="Balloon Text"/>
    <w:basedOn w:val="Normal"/>
    <w:link w:val="BalloonTextChar"/>
    <w:rsid w:val="00FE0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0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C723-C126-4CA2-9255-D8582BCE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5747</CharactersWithSpaces>
  <SharedDoc>false</SharedDoc>
  <HLinks>
    <vt:vector size="12" baseType="variant">
      <vt:variant>
        <vt:i4>6225928</vt:i4>
      </vt:variant>
      <vt:variant>
        <vt:i4>3</vt:i4>
      </vt:variant>
      <vt:variant>
        <vt:i4>0</vt:i4>
      </vt:variant>
      <vt:variant>
        <vt:i4>5</vt:i4>
      </vt:variant>
      <vt:variant>
        <vt:lpwstr>http://www.atfonline.gov/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http://www.atf.gov/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 (Contractor)</cp:lastModifiedBy>
  <cp:revision>4</cp:revision>
  <cp:lastPrinted>2008-09-22T20:27:00Z</cp:lastPrinted>
  <dcterms:created xsi:type="dcterms:W3CDTF">2022-01-11T15:38:00Z</dcterms:created>
  <dcterms:modified xsi:type="dcterms:W3CDTF">2022-01-11T15:40:00Z</dcterms:modified>
</cp:coreProperties>
</file>