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2362" w:rsidR="00EB2362" w:rsidP="00EB2362" w:rsidRDefault="004D4B87" w14:paraId="2E1DCA76" w14:textId="77777777">
      <w:pPr>
        <w:pStyle w:val="Heading1"/>
        <w:widowControl/>
        <w:jc w:val="center"/>
        <w:rPr>
          <w:bCs w:val="0"/>
        </w:rPr>
      </w:pPr>
      <w:r w:rsidRPr="00B00B3E">
        <w:rPr>
          <w:bCs w:val="0"/>
        </w:rPr>
        <w:t xml:space="preserve">SUPPORTING STATEMENT FOR PAPERWORK REDUCTION ACT 1995 </w:t>
      </w:r>
      <w:r w:rsidRPr="00B00B3E" w:rsidR="00127070">
        <w:rPr>
          <w:bCs w:val="0"/>
        </w:rPr>
        <w:t xml:space="preserve">OF </w:t>
      </w:r>
      <w:r w:rsidRPr="00B00B3E">
        <w:rPr>
          <w:bCs w:val="0"/>
        </w:rPr>
        <w:t>SUBMISSIONS</w:t>
      </w:r>
      <w:r w:rsidR="00EB2362">
        <w:rPr>
          <w:bCs w:val="0"/>
        </w:rPr>
        <w:t xml:space="preserve">: </w:t>
      </w:r>
      <w:r w:rsidRPr="00EB2362" w:rsidR="00762007">
        <w:rPr>
          <w:bCs w:val="0"/>
        </w:rPr>
        <w:t>PROHIBITED TRANSACTION CLASS EXEMPTION 2004-07</w:t>
      </w:r>
      <w:r w:rsidR="00762007">
        <w:rPr>
          <w:bCs w:val="0"/>
        </w:rPr>
        <w:t xml:space="preserve">, </w:t>
      </w:r>
      <w:r w:rsidRPr="00EB2362" w:rsidR="00762007">
        <w:rPr>
          <w:bCs w:val="0"/>
        </w:rPr>
        <w:t xml:space="preserve">ACQUISITION </w:t>
      </w:r>
      <w:r w:rsidR="00762007">
        <w:rPr>
          <w:bCs w:val="0"/>
        </w:rPr>
        <w:t>A</w:t>
      </w:r>
      <w:r w:rsidRPr="00EB2362" w:rsidR="00762007">
        <w:rPr>
          <w:bCs w:val="0"/>
        </w:rPr>
        <w:t xml:space="preserve">ND SALE </w:t>
      </w:r>
      <w:r w:rsidR="00762007">
        <w:rPr>
          <w:bCs w:val="0"/>
        </w:rPr>
        <w:t>O</w:t>
      </w:r>
      <w:r w:rsidRPr="00EB2362" w:rsidR="00762007">
        <w:rPr>
          <w:bCs w:val="0"/>
        </w:rPr>
        <w:t xml:space="preserve">F TRUST REIT SHARES </w:t>
      </w:r>
      <w:r w:rsidR="00762007">
        <w:rPr>
          <w:bCs w:val="0"/>
        </w:rPr>
        <w:t>B</w:t>
      </w:r>
      <w:r w:rsidRPr="00EB2362" w:rsidR="00762007">
        <w:rPr>
          <w:bCs w:val="0"/>
        </w:rPr>
        <w:t xml:space="preserve">Y INDIVIDUAL ACCOUNT PLANS SPONSORED </w:t>
      </w:r>
      <w:r w:rsidR="00762007">
        <w:rPr>
          <w:bCs w:val="0"/>
        </w:rPr>
        <w:t>B</w:t>
      </w:r>
      <w:r w:rsidRPr="00EB2362" w:rsidR="00762007">
        <w:rPr>
          <w:bCs w:val="0"/>
        </w:rPr>
        <w:t>Y TRUST REITS</w:t>
      </w:r>
    </w:p>
    <w:p w:rsidRPr="00B00B3E" w:rsidR="004D4B87" w:rsidP="00B00B3E" w:rsidRDefault="004D4B87" w14:paraId="47ECD01B" w14:textId="77777777">
      <w:pPr>
        <w:pStyle w:val="Heading1"/>
        <w:widowControl/>
        <w:jc w:val="center"/>
        <w:rPr>
          <w:bCs w:val="0"/>
        </w:rPr>
      </w:pPr>
    </w:p>
    <w:p w:rsidR="00E9568F" w:rsidP="00BE5063" w:rsidRDefault="00BE5063" w14:paraId="62F88156" w14:textId="77777777">
      <w:pPr>
        <w:widowControl/>
        <w:rPr>
          <w:sz w:val="24"/>
          <w:szCs w:val="24"/>
        </w:rPr>
      </w:pPr>
      <w:r w:rsidRPr="00BE5063">
        <w:rPr>
          <w:sz w:val="24"/>
          <w:szCs w:val="24"/>
        </w:rPr>
        <w:t>This ICR seeks approval for an extension of an existing control number.</w:t>
      </w:r>
    </w:p>
    <w:p w:rsidRPr="006E1D99" w:rsidR="00BE5063" w:rsidP="00BE5063" w:rsidRDefault="00BE5063" w14:paraId="72869ECD" w14:textId="77777777">
      <w:pPr>
        <w:widowControl/>
        <w:rPr>
          <w:sz w:val="24"/>
          <w:szCs w:val="24"/>
        </w:rPr>
      </w:pPr>
    </w:p>
    <w:p w:rsidR="004D4B87" w:rsidP="007D0E51" w:rsidRDefault="00127070" w14:paraId="31870128" w14:textId="77777777">
      <w:pPr>
        <w:widowControl/>
        <w:numPr>
          <w:ilvl w:val="0"/>
          <w:numId w:val="21"/>
        </w:numPr>
        <w:ind w:hanging="720"/>
        <w:outlineLvl w:val="0"/>
        <w:rPr>
          <w:rStyle w:val="Quick1Char"/>
          <w:i w:val="0"/>
        </w:rPr>
      </w:pPr>
      <w:r>
        <w:rPr>
          <w:rStyle w:val="Quick1Char"/>
          <w:i w:val="0"/>
        </w:rPr>
        <w:t>JUSTIFICATION</w:t>
      </w:r>
    </w:p>
    <w:p w:rsidRPr="00BD4D3B" w:rsidR="00E9568F" w:rsidP="007D0E51" w:rsidRDefault="00E9568F" w14:paraId="2344178D" w14:textId="77777777">
      <w:pPr>
        <w:widowControl/>
        <w:ind w:left="720"/>
        <w:outlineLvl w:val="0"/>
        <w:rPr>
          <w:bCs w:val="0"/>
          <w:sz w:val="24"/>
        </w:rPr>
      </w:pPr>
    </w:p>
    <w:p w:rsidRPr="00BA1235" w:rsidR="004D4B87" w:rsidP="007D0E51" w:rsidRDefault="004D4B87" w14:paraId="064842A9" w14:textId="77777777">
      <w:pPr>
        <w:pStyle w:val="Quick1"/>
        <w:widowControl/>
        <w:rPr>
          <w:b/>
          <w:i w:val="0"/>
        </w:rPr>
      </w:pPr>
      <w:r w:rsidRPr="00BA1235">
        <w:rPr>
          <w:b/>
          <w:i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55CD4" w:rsidR="00E55CD4" w:rsidP="007D0E51" w:rsidRDefault="00E55CD4" w14:paraId="1D31F6FB" w14:textId="77777777">
      <w:pPr>
        <w:pStyle w:val="BodyTextIndent"/>
        <w:widowControl/>
        <w:rPr>
          <w:b w:val="0"/>
          <w:bCs w:val="0"/>
          <w:szCs w:val="24"/>
        </w:rPr>
      </w:pPr>
    </w:p>
    <w:p w:rsidRPr="00E55CD4" w:rsidR="00E55CD4" w:rsidP="007D0E51" w:rsidRDefault="00E55CD4" w14:paraId="20DCCDC2" w14:textId="77777777">
      <w:pPr>
        <w:pStyle w:val="BodyTextIndent"/>
        <w:widowControl/>
        <w:rPr>
          <w:b w:val="0"/>
          <w:bCs w:val="0"/>
          <w:szCs w:val="24"/>
        </w:rPr>
      </w:pPr>
      <w:r w:rsidRPr="00E55CD4">
        <w:rPr>
          <w:b w:val="0"/>
          <w:bCs w:val="0"/>
          <w:szCs w:val="24"/>
        </w:rPr>
        <w:t>The Employee Retirement Inco</w:t>
      </w:r>
      <w:r w:rsidR="0072420E">
        <w:rPr>
          <w:b w:val="0"/>
          <w:bCs w:val="0"/>
          <w:szCs w:val="24"/>
        </w:rPr>
        <w:t>me Security Act of 1974 (ERISA)</w:t>
      </w:r>
      <w:r w:rsidRPr="00E55CD4">
        <w:rPr>
          <w:b w:val="0"/>
          <w:bCs w:val="0"/>
          <w:szCs w:val="24"/>
        </w:rPr>
        <w:t xml:space="preserve"> and t</w:t>
      </w:r>
      <w:r w:rsidR="0072420E">
        <w:rPr>
          <w:b w:val="0"/>
          <w:bCs w:val="0"/>
          <w:szCs w:val="24"/>
        </w:rPr>
        <w:t>he Internal Revenue Code (</w:t>
      </w:r>
      <w:r w:rsidR="00440E19">
        <w:rPr>
          <w:b w:val="0"/>
          <w:bCs w:val="0"/>
          <w:szCs w:val="24"/>
        </w:rPr>
        <w:t xml:space="preserve">the </w:t>
      </w:r>
      <w:r w:rsidR="0072420E">
        <w:rPr>
          <w:b w:val="0"/>
          <w:bCs w:val="0"/>
          <w:szCs w:val="24"/>
        </w:rPr>
        <w:t>Code)</w:t>
      </w:r>
      <w:r w:rsidRPr="00E55CD4">
        <w:rPr>
          <w:b w:val="0"/>
          <w:bCs w:val="0"/>
          <w:szCs w:val="24"/>
        </w:rPr>
        <w:t xml:space="preserve"> provide that the Secretary of Labor and the Secretary of Treasury, respectively, may grant exemptions from certain prohibited transaction provisions under </w:t>
      </w:r>
      <w:proofErr w:type="gramStart"/>
      <w:r w:rsidRPr="00E55CD4">
        <w:rPr>
          <w:b w:val="0"/>
          <w:bCs w:val="0"/>
          <w:szCs w:val="24"/>
        </w:rPr>
        <w:t>ERISA  and</w:t>
      </w:r>
      <w:proofErr w:type="gramEnd"/>
      <w:r w:rsidRPr="00E55CD4">
        <w:rPr>
          <w:b w:val="0"/>
          <w:bCs w:val="0"/>
          <w:szCs w:val="24"/>
        </w:rPr>
        <w:t xml:space="preserve"> the Code.  Section 408(a) of ERISA authorizes the Secretary of Labor to grant administrative exemptions from the restrictions of section 406 of ERISA</w:t>
      </w:r>
      <w:r w:rsidR="003E10B1">
        <w:rPr>
          <w:b w:val="0"/>
          <w:bCs w:val="0"/>
          <w:szCs w:val="24"/>
        </w:rPr>
        <w:t>,</w:t>
      </w:r>
      <w:r w:rsidRPr="00E55CD4">
        <w:rPr>
          <w:b w:val="0"/>
          <w:bCs w:val="0"/>
          <w:szCs w:val="24"/>
        </w:rPr>
        <w:t xml:space="preserve"> while section 4975(c)(2) of the Code authorizes the Secretary of Treasury or his delegate to grant exemptions from the prohibitions of section 4975(c)(1). </w:t>
      </w:r>
    </w:p>
    <w:p w:rsidRPr="00E55CD4" w:rsidR="00E55CD4" w:rsidP="007D0E51" w:rsidRDefault="00E55CD4" w14:paraId="51CE4565" w14:textId="77777777">
      <w:pPr>
        <w:widowControl/>
        <w:ind w:left="720"/>
        <w:rPr>
          <w:b w:val="0"/>
          <w:bCs w:val="0"/>
          <w:sz w:val="24"/>
          <w:szCs w:val="24"/>
        </w:rPr>
      </w:pPr>
    </w:p>
    <w:p w:rsidRPr="00E55CD4" w:rsidR="00E55CD4" w:rsidP="007D0E51" w:rsidRDefault="00E55CD4" w14:paraId="71491D30" w14:textId="77777777">
      <w:pPr>
        <w:widowControl/>
        <w:ind w:left="720"/>
        <w:rPr>
          <w:b w:val="0"/>
          <w:bCs w:val="0"/>
          <w:sz w:val="24"/>
          <w:szCs w:val="24"/>
        </w:rPr>
      </w:pPr>
      <w:r w:rsidRPr="00E55CD4">
        <w:rPr>
          <w:b w:val="0"/>
          <w:bCs w:val="0"/>
          <w:sz w:val="24"/>
          <w:szCs w:val="24"/>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Pr="00E55CD4" w:rsidR="00E55CD4" w:rsidP="007D0E51" w:rsidRDefault="00E55CD4" w14:paraId="1CF1B10D" w14:textId="77777777">
      <w:pPr>
        <w:pStyle w:val="Quick1"/>
        <w:widowControl/>
        <w:numPr>
          <w:ilvl w:val="0"/>
          <w:numId w:val="0"/>
        </w:numPr>
        <w:tabs>
          <w:tab w:val="left" w:pos="-1440"/>
        </w:tabs>
        <w:ind w:left="720"/>
        <w:rPr>
          <w:b/>
          <w:bCs w:val="0"/>
          <w:szCs w:val="24"/>
        </w:rPr>
      </w:pPr>
    </w:p>
    <w:p w:rsidR="00BD4D3B" w:rsidP="007D0E51" w:rsidRDefault="00FD08B2" w14:paraId="7F2207E0" w14:textId="03A3F85E">
      <w:pPr>
        <w:pStyle w:val="BodyText"/>
        <w:ind w:left="720"/>
      </w:pPr>
      <w:r>
        <w:t xml:space="preserve">Prohibited Transaction Exemption </w:t>
      </w:r>
      <w:r w:rsidR="00F457C1">
        <w:t>20</w:t>
      </w:r>
      <w:r>
        <w:t>04-07</w:t>
      </w:r>
      <w:r w:rsidRPr="00C0247E" w:rsidR="00E55CD4">
        <w:t xml:space="preserve"> </w:t>
      </w:r>
      <w:r w:rsidR="00BD4D3B">
        <w:t>permits an individual account pension plan sponsored by a real estate investment trust (REIT)</w:t>
      </w:r>
      <w:r w:rsidRPr="00C419DD" w:rsidR="00DB7385">
        <w:rPr>
          <w:rStyle w:val="FootnoteReference"/>
          <w:vertAlign w:val="superscript"/>
        </w:rPr>
        <w:footnoteReference w:id="1"/>
      </w:r>
      <w:r w:rsidR="00BD4D3B">
        <w:t xml:space="preserve"> </w:t>
      </w:r>
      <w:r w:rsidR="00470190">
        <w:t>within the meaning of Code section 856 that is organized as a trust under applicable law</w:t>
      </w:r>
      <w:r w:rsidR="00BD4D3B">
        <w:t xml:space="preserve"> (Trust REIT), or </w:t>
      </w:r>
      <w:r w:rsidR="003E10B1">
        <w:t xml:space="preserve">by </w:t>
      </w:r>
      <w:r w:rsidR="00BD4D3B">
        <w:t>its affiliates, to purchase, hold and sell publicly traded shares of beneficial interest in the Trust REIT</w:t>
      </w:r>
      <w:r w:rsidR="00666EDA">
        <w:t xml:space="preserve"> at the direction of the participant or an independent fiduciary</w:t>
      </w:r>
      <w:r w:rsidR="00BD4D3B">
        <w:t xml:space="preserve">.  </w:t>
      </w:r>
      <w:r w:rsidR="0001748D">
        <w:t xml:space="preserve">The relief also covers contributions in kind of REIT shares. </w:t>
      </w:r>
      <w:r w:rsidR="007C78A1">
        <w:t xml:space="preserve"> </w:t>
      </w:r>
      <w:r w:rsidR="00BD4D3B">
        <w:t xml:space="preserve">Such purchases, holdings, and sales would otherwise be prohibited under </w:t>
      </w:r>
      <w:r w:rsidR="00666EDA">
        <w:t xml:space="preserve">ERISA </w:t>
      </w:r>
      <w:r w:rsidR="00BD4D3B">
        <w:t xml:space="preserve">section 406 and </w:t>
      </w:r>
      <w:r w:rsidR="00666EDA">
        <w:t xml:space="preserve">Code section </w:t>
      </w:r>
      <w:r w:rsidR="00BD4D3B">
        <w:t>4975.</w:t>
      </w:r>
      <w:r w:rsidRPr="00C0247E" w:rsidR="00E55CD4">
        <w:t xml:space="preserve"> </w:t>
      </w:r>
      <w:r w:rsidR="00BD4D3B">
        <w:t xml:space="preserve"> </w:t>
      </w:r>
    </w:p>
    <w:p w:rsidR="002B5714" w:rsidP="007D0E51" w:rsidRDefault="002B5714" w14:paraId="57951981" w14:textId="77777777">
      <w:pPr>
        <w:pStyle w:val="BodyText"/>
        <w:ind w:left="720"/>
      </w:pPr>
    </w:p>
    <w:p w:rsidRPr="00D562E2" w:rsidR="00BD4D3B" w:rsidP="007D0E51" w:rsidRDefault="00BD4D3B" w14:paraId="0E0050E5" w14:textId="7EF3CED0">
      <w:pPr>
        <w:widowControl/>
        <w:ind w:left="720"/>
        <w:rPr>
          <w:b w:val="0"/>
          <w:bCs w:val="0"/>
          <w:sz w:val="24"/>
        </w:rPr>
      </w:pPr>
      <w:r>
        <w:rPr>
          <w:b w:val="0"/>
          <w:bCs w:val="0"/>
          <w:sz w:val="24"/>
        </w:rPr>
        <w:lastRenderedPageBreak/>
        <w:t>The class exemption requires, among other conditions,</w:t>
      </w:r>
      <w:r w:rsidRPr="00D562E2">
        <w:rPr>
          <w:b w:val="0"/>
          <w:bCs w:val="0"/>
          <w:sz w:val="24"/>
        </w:rPr>
        <w:t xml:space="preserve"> </w:t>
      </w:r>
      <w:r>
        <w:rPr>
          <w:b w:val="0"/>
          <w:bCs w:val="0"/>
          <w:sz w:val="24"/>
        </w:rPr>
        <w:t>that</w:t>
      </w:r>
      <w:r w:rsidR="00DB7385">
        <w:rPr>
          <w:b w:val="0"/>
          <w:bCs w:val="0"/>
          <w:sz w:val="24"/>
        </w:rPr>
        <w:t xml:space="preserve"> </w:t>
      </w:r>
      <w:r w:rsidR="0039129B">
        <w:rPr>
          <w:b w:val="0"/>
          <w:bCs w:val="0"/>
          <w:sz w:val="24"/>
        </w:rPr>
        <w:t xml:space="preserve">the Trust REIT (or its agent) provide the </w:t>
      </w:r>
      <w:r w:rsidR="00CF7BFF">
        <w:rPr>
          <w:b w:val="0"/>
          <w:bCs w:val="0"/>
          <w:sz w:val="24"/>
        </w:rPr>
        <w:t xml:space="preserve">person </w:t>
      </w:r>
      <w:r w:rsidR="003E10B1">
        <w:rPr>
          <w:b w:val="0"/>
          <w:bCs w:val="0"/>
          <w:sz w:val="24"/>
        </w:rPr>
        <w:t xml:space="preserve">who has authority to direct acquisition or sale of REIT shares </w:t>
      </w:r>
      <w:r w:rsidR="0039129B">
        <w:rPr>
          <w:b w:val="0"/>
          <w:bCs w:val="0"/>
          <w:sz w:val="24"/>
        </w:rPr>
        <w:t xml:space="preserve">with the most recent prospectus, quarterly report, and annual report concerning the Trust REIT </w:t>
      </w:r>
      <w:r w:rsidR="00A5369E">
        <w:rPr>
          <w:b w:val="0"/>
          <w:bCs w:val="0"/>
          <w:sz w:val="24"/>
        </w:rPr>
        <w:t>prior to or immediately after</w:t>
      </w:r>
      <w:r w:rsidR="0039129B">
        <w:rPr>
          <w:b w:val="0"/>
          <w:bCs w:val="0"/>
          <w:sz w:val="24"/>
        </w:rPr>
        <w:t xml:space="preserve"> an initial investment in the Trust REIT</w:t>
      </w:r>
      <w:r w:rsidR="00CF7BFF">
        <w:rPr>
          <w:b w:val="0"/>
          <w:bCs w:val="0"/>
          <w:sz w:val="24"/>
        </w:rPr>
        <w:t>.  The person with such authority may be, under the terms of the plan, either an independent fiduciary or a participant exercising investment rights pertaining to his or her individual account under the plan.  U</w:t>
      </w:r>
      <w:r w:rsidR="0039129B">
        <w:rPr>
          <w:b w:val="0"/>
          <w:bCs w:val="0"/>
          <w:sz w:val="24"/>
        </w:rPr>
        <w:t>pdated versions o</w:t>
      </w:r>
      <w:r w:rsidR="00CF7BFF">
        <w:rPr>
          <w:b w:val="0"/>
          <w:bCs w:val="0"/>
          <w:sz w:val="24"/>
        </w:rPr>
        <w:t>f th</w:t>
      </w:r>
      <w:r w:rsidR="0039129B">
        <w:rPr>
          <w:b w:val="0"/>
          <w:bCs w:val="0"/>
          <w:sz w:val="24"/>
        </w:rPr>
        <w:t xml:space="preserve">e reports </w:t>
      </w:r>
      <w:r w:rsidR="00CF7BFF">
        <w:rPr>
          <w:b w:val="0"/>
          <w:bCs w:val="0"/>
          <w:sz w:val="24"/>
        </w:rPr>
        <w:t xml:space="preserve">must </w:t>
      </w:r>
      <w:r w:rsidR="0039129B">
        <w:rPr>
          <w:b w:val="0"/>
          <w:bCs w:val="0"/>
          <w:sz w:val="24"/>
        </w:rPr>
        <w:t xml:space="preserve">be provided </w:t>
      </w:r>
      <w:r w:rsidR="003E10B1">
        <w:rPr>
          <w:b w:val="0"/>
          <w:bCs w:val="0"/>
          <w:sz w:val="24"/>
        </w:rPr>
        <w:t xml:space="preserve">to the </w:t>
      </w:r>
      <w:r w:rsidR="00CF7BFF">
        <w:rPr>
          <w:b w:val="0"/>
          <w:bCs w:val="0"/>
          <w:sz w:val="24"/>
        </w:rPr>
        <w:t>directing person</w:t>
      </w:r>
      <w:r w:rsidR="003E10B1">
        <w:rPr>
          <w:b w:val="0"/>
          <w:bCs w:val="0"/>
          <w:sz w:val="24"/>
        </w:rPr>
        <w:t xml:space="preserve"> </w:t>
      </w:r>
      <w:r w:rsidR="0039129B">
        <w:rPr>
          <w:b w:val="0"/>
          <w:bCs w:val="0"/>
          <w:sz w:val="24"/>
        </w:rPr>
        <w:t>as published.  The exemption further requires the plan to maintain records concerning investments in a Trust REIT, subject to appropriate confidentiality procedures, for a period of six years</w:t>
      </w:r>
      <w:r w:rsidRPr="00D562E2">
        <w:rPr>
          <w:b w:val="0"/>
          <w:bCs w:val="0"/>
          <w:sz w:val="24"/>
        </w:rPr>
        <w:t xml:space="preserve"> and </w:t>
      </w:r>
      <w:r w:rsidR="0039129B">
        <w:rPr>
          <w:b w:val="0"/>
          <w:bCs w:val="0"/>
          <w:sz w:val="24"/>
        </w:rPr>
        <w:t>make them</w:t>
      </w:r>
      <w:r w:rsidRPr="00D562E2">
        <w:rPr>
          <w:b w:val="0"/>
          <w:bCs w:val="0"/>
          <w:sz w:val="24"/>
        </w:rPr>
        <w:t xml:space="preserve"> available to </w:t>
      </w:r>
      <w:r w:rsidR="0039129B">
        <w:rPr>
          <w:b w:val="0"/>
          <w:bCs w:val="0"/>
          <w:sz w:val="24"/>
        </w:rPr>
        <w:t>interested persons including the Department</w:t>
      </w:r>
      <w:r w:rsidR="00A5369E">
        <w:rPr>
          <w:b w:val="0"/>
          <w:bCs w:val="0"/>
          <w:sz w:val="24"/>
        </w:rPr>
        <w:t>, Internal Revenue Service, fiduciary or authorized representative of the plan,</w:t>
      </w:r>
      <w:r w:rsidR="0039129B">
        <w:rPr>
          <w:b w:val="0"/>
          <w:bCs w:val="0"/>
          <w:sz w:val="24"/>
        </w:rPr>
        <w:t xml:space="preserve"> and participants and beneficiaries.  </w:t>
      </w:r>
      <w:r w:rsidR="00712A7B">
        <w:rPr>
          <w:b w:val="0"/>
          <w:bCs w:val="0"/>
          <w:sz w:val="24"/>
        </w:rPr>
        <w:t>The confidentiality procedures must be designed to protect</w:t>
      </w:r>
      <w:r w:rsidRPr="00D562E2" w:rsidR="00712A7B">
        <w:rPr>
          <w:b w:val="0"/>
          <w:bCs w:val="0"/>
          <w:sz w:val="24"/>
        </w:rPr>
        <w:t xml:space="preserve"> against t</w:t>
      </w:r>
      <w:r w:rsidR="00CF7BFF">
        <w:rPr>
          <w:b w:val="0"/>
          <w:bCs w:val="0"/>
          <w:sz w:val="24"/>
        </w:rPr>
        <w:t>he possibility that an employer</w:t>
      </w:r>
      <w:r w:rsidRPr="00D562E2" w:rsidR="00712A7B">
        <w:rPr>
          <w:b w:val="0"/>
          <w:bCs w:val="0"/>
          <w:sz w:val="24"/>
        </w:rPr>
        <w:t xml:space="preserve"> </w:t>
      </w:r>
      <w:r w:rsidR="00CF7BFF">
        <w:rPr>
          <w:b w:val="0"/>
          <w:bCs w:val="0"/>
          <w:sz w:val="24"/>
        </w:rPr>
        <w:t>may</w:t>
      </w:r>
      <w:r w:rsidRPr="00D562E2" w:rsidR="00712A7B">
        <w:rPr>
          <w:b w:val="0"/>
          <w:bCs w:val="0"/>
          <w:sz w:val="24"/>
        </w:rPr>
        <w:t xml:space="preserve"> exert undue influence on participants regarding share-related transactions</w:t>
      </w:r>
      <w:r w:rsidR="00712A7B">
        <w:rPr>
          <w:b w:val="0"/>
          <w:bCs w:val="0"/>
          <w:sz w:val="24"/>
        </w:rPr>
        <w:t>, and t</w:t>
      </w:r>
      <w:r w:rsidR="0039129B">
        <w:rPr>
          <w:b w:val="0"/>
          <w:bCs w:val="0"/>
          <w:sz w:val="24"/>
        </w:rPr>
        <w:t xml:space="preserve">he participants and beneficiaries </w:t>
      </w:r>
      <w:r w:rsidR="003E10B1">
        <w:rPr>
          <w:b w:val="0"/>
          <w:bCs w:val="0"/>
          <w:sz w:val="24"/>
        </w:rPr>
        <w:t xml:space="preserve">of the plan </w:t>
      </w:r>
      <w:r w:rsidR="00712A7B">
        <w:rPr>
          <w:b w:val="0"/>
          <w:bCs w:val="0"/>
          <w:sz w:val="24"/>
        </w:rPr>
        <w:t xml:space="preserve">must </w:t>
      </w:r>
      <w:r w:rsidR="0039129B">
        <w:rPr>
          <w:b w:val="0"/>
          <w:bCs w:val="0"/>
          <w:sz w:val="24"/>
        </w:rPr>
        <w:t>be provided with a statement describing the confidentiality procedures in place</w:t>
      </w:r>
      <w:r w:rsidRPr="00D562E2">
        <w:rPr>
          <w:b w:val="0"/>
          <w:bCs w:val="0"/>
          <w:sz w:val="24"/>
        </w:rPr>
        <w:t xml:space="preserve"> and the fiduciary responsible for monitoring these procedures.</w:t>
      </w:r>
    </w:p>
    <w:p w:rsidRPr="00BA1235" w:rsidR="00BD4D3B" w:rsidP="007D0E51" w:rsidRDefault="00BD4D3B" w14:paraId="3D2C0B4D" w14:textId="77777777">
      <w:pPr>
        <w:widowControl/>
        <w:ind w:left="720"/>
        <w:rPr>
          <w:bCs w:val="0"/>
          <w:sz w:val="24"/>
        </w:rPr>
      </w:pPr>
    </w:p>
    <w:p w:rsidRPr="00BA1235" w:rsidR="004D4B87" w:rsidP="007D0E51" w:rsidRDefault="004D4B87" w14:paraId="5DBA65F5" w14:textId="77777777">
      <w:pPr>
        <w:pStyle w:val="Quick1"/>
        <w:widowControl/>
        <w:rPr>
          <w:b/>
          <w:i w:val="0"/>
        </w:rPr>
      </w:pPr>
      <w:r w:rsidRPr="00BA1235">
        <w:rPr>
          <w:b/>
          <w:i w:val="0"/>
        </w:rPr>
        <w:t>Indicate how, by whom, and for what purpose the information is to be used.  Except for a new collection, indicate the actual use the agency has made of the information received from the current collection.</w:t>
      </w:r>
    </w:p>
    <w:p w:rsidRPr="00FD56B6" w:rsidR="004D4B87" w:rsidP="007D0E51" w:rsidRDefault="004D4B87" w14:paraId="52E651CD" w14:textId="77777777">
      <w:pPr>
        <w:pStyle w:val="Quick1"/>
        <w:widowControl/>
        <w:numPr>
          <w:ilvl w:val="0"/>
          <w:numId w:val="0"/>
        </w:numPr>
        <w:ind w:left="720"/>
        <w:rPr>
          <w:bCs w:val="0"/>
          <w:i w:val="0"/>
        </w:rPr>
      </w:pPr>
    </w:p>
    <w:p w:rsidR="002A5F3F" w:rsidP="007D0E51" w:rsidRDefault="00F1037A" w14:paraId="68DD1198" w14:textId="77777777">
      <w:pPr>
        <w:widowControl/>
        <w:ind w:left="720"/>
        <w:rPr>
          <w:b w:val="0"/>
          <w:bCs w:val="0"/>
          <w:sz w:val="24"/>
          <w:szCs w:val="24"/>
        </w:rPr>
      </w:pPr>
      <w:r w:rsidRPr="00D562E2">
        <w:rPr>
          <w:b w:val="0"/>
          <w:bCs w:val="0"/>
          <w:sz w:val="24"/>
          <w:szCs w:val="24"/>
        </w:rPr>
        <w:t>The information collection requirements of the exemption are intend</w:t>
      </w:r>
      <w:r w:rsidRPr="00D562E2" w:rsidR="00577333">
        <w:rPr>
          <w:b w:val="0"/>
          <w:bCs w:val="0"/>
          <w:sz w:val="24"/>
          <w:szCs w:val="24"/>
        </w:rPr>
        <w:t>ed to protect the interests of P</w:t>
      </w:r>
      <w:r w:rsidRPr="00D562E2">
        <w:rPr>
          <w:b w:val="0"/>
          <w:bCs w:val="0"/>
          <w:sz w:val="24"/>
          <w:szCs w:val="24"/>
        </w:rPr>
        <w:t xml:space="preserve">lan participants and beneficiaries by ensuring that </w:t>
      </w:r>
      <w:r w:rsidRPr="00D562E2" w:rsidR="00577333">
        <w:rPr>
          <w:b w:val="0"/>
          <w:bCs w:val="0"/>
          <w:sz w:val="24"/>
          <w:szCs w:val="24"/>
        </w:rPr>
        <w:t>P</w:t>
      </w:r>
      <w:r w:rsidRPr="00D562E2">
        <w:rPr>
          <w:b w:val="0"/>
          <w:bCs w:val="0"/>
          <w:sz w:val="24"/>
          <w:szCs w:val="24"/>
        </w:rPr>
        <w:t xml:space="preserve">lan participants, </w:t>
      </w:r>
      <w:r w:rsidRPr="00D562E2" w:rsidR="00577333">
        <w:rPr>
          <w:b w:val="0"/>
          <w:bCs w:val="0"/>
          <w:sz w:val="24"/>
          <w:szCs w:val="24"/>
        </w:rPr>
        <w:t>P</w:t>
      </w:r>
      <w:r w:rsidRPr="00D562E2">
        <w:rPr>
          <w:b w:val="0"/>
          <w:bCs w:val="0"/>
          <w:sz w:val="24"/>
          <w:szCs w:val="24"/>
        </w:rPr>
        <w:t>lan fiduciaries, and employers and employee organizations with employees and members cover</w:t>
      </w:r>
      <w:r w:rsidRPr="00D562E2" w:rsidR="009C479B">
        <w:rPr>
          <w:b w:val="0"/>
          <w:bCs w:val="0"/>
          <w:sz w:val="24"/>
          <w:szCs w:val="24"/>
        </w:rPr>
        <w:t>ed</w:t>
      </w:r>
      <w:r w:rsidRPr="00D562E2">
        <w:rPr>
          <w:b w:val="0"/>
          <w:bCs w:val="0"/>
          <w:sz w:val="24"/>
          <w:szCs w:val="24"/>
        </w:rPr>
        <w:t xml:space="preserve"> by a </w:t>
      </w:r>
      <w:r w:rsidRPr="00D562E2" w:rsidR="00577333">
        <w:rPr>
          <w:b w:val="0"/>
          <w:bCs w:val="0"/>
          <w:sz w:val="24"/>
          <w:szCs w:val="24"/>
        </w:rPr>
        <w:t>P</w:t>
      </w:r>
      <w:r w:rsidRPr="00D562E2">
        <w:rPr>
          <w:b w:val="0"/>
          <w:bCs w:val="0"/>
          <w:sz w:val="24"/>
          <w:szCs w:val="24"/>
        </w:rPr>
        <w:t xml:space="preserve">lan of the Trust REIT or one of its employer affiliates </w:t>
      </w:r>
      <w:r w:rsidR="002A5F3F">
        <w:rPr>
          <w:b w:val="0"/>
          <w:bCs w:val="0"/>
          <w:sz w:val="24"/>
          <w:szCs w:val="24"/>
        </w:rPr>
        <w:t>are informed about the plan’s transactions involving Trust REIT shares and can monitor compliance with t</w:t>
      </w:r>
      <w:r w:rsidR="00BA1235">
        <w:rPr>
          <w:b w:val="0"/>
          <w:bCs w:val="0"/>
          <w:sz w:val="24"/>
          <w:szCs w:val="24"/>
        </w:rPr>
        <w:t>he conditions of the exemption.</w:t>
      </w:r>
      <w:r w:rsidR="002A5F3F">
        <w:rPr>
          <w:b w:val="0"/>
          <w:bCs w:val="0"/>
          <w:sz w:val="24"/>
          <w:szCs w:val="24"/>
        </w:rPr>
        <w:t xml:space="preserve">  In addition, the </w:t>
      </w:r>
      <w:r w:rsidR="00B753F4">
        <w:rPr>
          <w:b w:val="0"/>
          <w:bCs w:val="0"/>
          <w:sz w:val="24"/>
          <w:szCs w:val="24"/>
        </w:rPr>
        <w:t>disclosure requirements</w:t>
      </w:r>
      <w:r w:rsidR="002A5F3F">
        <w:rPr>
          <w:b w:val="0"/>
          <w:bCs w:val="0"/>
          <w:sz w:val="24"/>
          <w:szCs w:val="24"/>
        </w:rPr>
        <w:t xml:space="preserve"> provide fiduciaries with </w:t>
      </w:r>
      <w:r w:rsidRPr="00D562E2">
        <w:rPr>
          <w:b w:val="0"/>
          <w:bCs w:val="0"/>
          <w:sz w:val="24"/>
          <w:szCs w:val="24"/>
        </w:rPr>
        <w:t xml:space="preserve">sufficient information </w:t>
      </w:r>
      <w:r w:rsidR="002A5F3F">
        <w:rPr>
          <w:b w:val="0"/>
          <w:bCs w:val="0"/>
          <w:sz w:val="24"/>
          <w:szCs w:val="24"/>
        </w:rPr>
        <w:t xml:space="preserve">on which to decide whether to invest in Trust REIT shares and </w:t>
      </w:r>
      <w:r w:rsidR="00B753F4">
        <w:rPr>
          <w:b w:val="0"/>
          <w:bCs w:val="0"/>
          <w:sz w:val="24"/>
          <w:szCs w:val="24"/>
        </w:rPr>
        <w:t xml:space="preserve">whether </w:t>
      </w:r>
      <w:r w:rsidR="002A5F3F">
        <w:rPr>
          <w:b w:val="0"/>
          <w:bCs w:val="0"/>
          <w:sz w:val="24"/>
          <w:szCs w:val="24"/>
        </w:rPr>
        <w:t>to continue such investments.  The Department and the IRS</w:t>
      </w:r>
      <w:r w:rsidR="00B753F4">
        <w:rPr>
          <w:b w:val="0"/>
          <w:bCs w:val="0"/>
          <w:sz w:val="24"/>
          <w:szCs w:val="24"/>
        </w:rPr>
        <w:t>, as well as the other specified interested persons,</w:t>
      </w:r>
      <w:r w:rsidR="002A5F3F">
        <w:rPr>
          <w:b w:val="0"/>
          <w:bCs w:val="0"/>
          <w:sz w:val="24"/>
          <w:szCs w:val="24"/>
        </w:rPr>
        <w:t xml:space="preserve"> also </w:t>
      </w:r>
      <w:r w:rsidR="00B753F4">
        <w:rPr>
          <w:b w:val="0"/>
          <w:bCs w:val="0"/>
          <w:sz w:val="24"/>
          <w:szCs w:val="24"/>
        </w:rPr>
        <w:t>can rely on the recordkeeping</w:t>
      </w:r>
      <w:r w:rsidR="002A5F3F">
        <w:rPr>
          <w:b w:val="0"/>
          <w:bCs w:val="0"/>
          <w:sz w:val="24"/>
          <w:szCs w:val="24"/>
        </w:rPr>
        <w:t xml:space="preserve"> requirement to oversee compliance with the </w:t>
      </w:r>
      <w:r w:rsidRPr="00D562E2">
        <w:rPr>
          <w:b w:val="0"/>
          <w:bCs w:val="0"/>
          <w:sz w:val="24"/>
          <w:szCs w:val="24"/>
        </w:rPr>
        <w:t>conditions of the exemption</w:t>
      </w:r>
      <w:r w:rsidR="002A5F3F">
        <w:rPr>
          <w:b w:val="0"/>
          <w:bCs w:val="0"/>
          <w:sz w:val="24"/>
          <w:szCs w:val="24"/>
        </w:rPr>
        <w:t>.</w:t>
      </w:r>
    </w:p>
    <w:p w:rsidRPr="00D562E2" w:rsidR="004D4B87" w:rsidP="007D0E51" w:rsidRDefault="004D4B87" w14:paraId="03F8D22F" w14:textId="77777777">
      <w:pPr>
        <w:widowControl/>
        <w:ind w:left="720"/>
        <w:rPr>
          <w:b w:val="0"/>
          <w:bCs w:val="0"/>
          <w:sz w:val="24"/>
        </w:rPr>
      </w:pPr>
    </w:p>
    <w:p w:rsidRPr="00BA1235" w:rsidR="004D4B87" w:rsidP="007D0E51" w:rsidRDefault="004D4B87" w14:paraId="7BA40001" w14:textId="77777777">
      <w:pPr>
        <w:pStyle w:val="Quick1"/>
        <w:widowControl/>
        <w:rPr>
          <w:b/>
          <w:i w:val="0"/>
        </w:rPr>
      </w:pPr>
      <w:r w:rsidRPr="00BA1235">
        <w:rPr>
          <w:b/>
          <w:i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F761B0" w:rsidR="004D4B87" w:rsidP="007D0E51" w:rsidRDefault="004D4B87" w14:paraId="5DA129A3" w14:textId="77777777">
      <w:pPr>
        <w:pStyle w:val="Quick1"/>
        <w:widowControl/>
        <w:numPr>
          <w:ilvl w:val="0"/>
          <w:numId w:val="0"/>
        </w:numPr>
        <w:ind w:left="720"/>
        <w:rPr>
          <w:bCs w:val="0"/>
          <w:i w:val="0"/>
        </w:rPr>
      </w:pPr>
    </w:p>
    <w:p w:rsidR="004D4B87" w:rsidP="007D0E51" w:rsidRDefault="002A5F3F" w14:paraId="0AC7350D" w14:textId="77777777">
      <w:pPr>
        <w:widowControl/>
        <w:ind w:left="720"/>
        <w:rPr>
          <w:b w:val="0"/>
          <w:bCs w:val="0"/>
          <w:sz w:val="24"/>
        </w:rPr>
      </w:pPr>
      <w:r>
        <w:rPr>
          <w:b w:val="0"/>
          <w:bCs w:val="0"/>
          <w:sz w:val="24"/>
        </w:rPr>
        <w:t>Under 29 C.F.R. § 2520.104b-1(c</w:t>
      </w:r>
      <w:r w:rsidR="004D4B87">
        <w:rPr>
          <w:b w:val="0"/>
          <w:bCs w:val="0"/>
          <w:sz w:val="24"/>
        </w:rPr>
        <w:t xml:space="preserve">) of ERISA, </w:t>
      </w:r>
      <w:r>
        <w:rPr>
          <w:b w:val="0"/>
          <w:bCs w:val="0"/>
          <w:sz w:val="24"/>
        </w:rPr>
        <w:t xml:space="preserve">plan administrators are permitted to use </w:t>
      </w:r>
      <w:r w:rsidR="004D4B87">
        <w:rPr>
          <w:b w:val="0"/>
          <w:bCs w:val="0"/>
          <w:sz w:val="24"/>
        </w:rPr>
        <w:t>electronic media to satisfy the requirements of § 2520.10</w:t>
      </w:r>
      <w:r w:rsidR="00DC1816">
        <w:rPr>
          <w:b w:val="0"/>
          <w:bCs w:val="0"/>
          <w:sz w:val="24"/>
        </w:rPr>
        <w:t>4b-1(b)</w:t>
      </w:r>
      <w:r>
        <w:rPr>
          <w:b w:val="0"/>
          <w:bCs w:val="0"/>
          <w:sz w:val="24"/>
        </w:rPr>
        <w:t xml:space="preserve"> concerning disclosure of information to plan participants and beneficiaries; in addition, regulation section </w:t>
      </w:r>
      <w:r>
        <w:rPr>
          <w:b w:val="0"/>
          <w:bCs w:val="0"/>
          <w:sz w:val="24"/>
        </w:rPr>
        <w:lastRenderedPageBreak/>
        <w:t>2520.</w:t>
      </w:r>
      <w:r w:rsidR="004D4B87">
        <w:rPr>
          <w:b w:val="0"/>
          <w:bCs w:val="0"/>
          <w:sz w:val="24"/>
        </w:rPr>
        <w:t>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r>
        <w:rPr>
          <w:b w:val="0"/>
          <w:bCs w:val="0"/>
          <w:sz w:val="24"/>
        </w:rPr>
        <w:t>, including the information collections imposed under this exemption</w:t>
      </w:r>
      <w:r w:rsidR="00DA4005">
        <w:rPr>
          <w:b w:val="0"/>
          <w:bCs w:val="0"/>
          <w:sz w:val="24"/>
        </w:rPr>
        <w:t>.</w:t>
      </w:r>
    </w:p>
    <w:p w:rsidR="002A5F3F" w:rsidP="007D0E51" w:rsidRDefault="002A5F3F" w14:paraId="174AD73E" w14:textId="77777777">
      <w:pPr>
        <w:widowControl/>
        <w:ind w:left="720"/>
        <w:rPr>
          <w:b w:val="0"/>
          <w:bCs w:val="0"/>
          <w:sz w:val="24"/>
        </w:rPr>
      </w:pPr>
    </w:p>
    <w:p w:rsidR="002A5F3F" w:rsidP="007D0E51" w:rsidRDefault="002A5F3F" w14:paraId="2D301CBF" w14:textId="77777777">
      <w:pPr>
        <w:widowControl/>
        <w:ind w:left="720"/>
        <w:rPr>
          <w:b w:val="0"/>
          <w:bCs w:val="0"/>
          <w:sz w:val="24"/>
        </w:rPr>
      </w:pPr>
      <w:r>
        <w:rPr>
          <w:b w:val="0"/>
          <w:bCs w:val="0"/>
          <w:sz w:val="24"/>
        </w:rPr>
        <w:t xml:space="preserve">As explained further below, the Department does not believe that the Trust REITs and plans affected by this information collection </w:t>
      </w:r>
      <w:r w:rsidR="00B753F4">
        <w:rPr>
          <w:b w:val="0"/>
          <w:bCs w:val="0"/>
          <w:sz w:val="24"/>
        </w:rPr>
        <w:t>are likely to</w:t>
      </w:r>
      <w:r>
        <w:rPr>
          <w:b w:val="0"/>
          <w:bCs w:val="0"/>
          <w:sz w:val="24"/>
        </w:rPr>
        <w:t xml:space="preserve"> use electronic means to satisfy the </w:t>
      </w:r>
      <w:r w:rsidR="00B753F4">
        <w:rPr>
          <w:b w:val="0"/>
          <w:bCs w:val="0"/>
          <w:sz w:val="24"/>
        </w:rPr>
        <w:t xml:space="preserve">exemption’s </w:t>
      </w:r>
      <w:r>
        <w:rPr>
          <w:b w:val="0"/>
          <w:bCs w:val="0"/>
          <w:sz w:val="24"/>
        </w:rPr>
        <w:t>information collection requirements.</w:t>
      </w:r>
    </w:p>
    <w:p w:rsidR="002A5F3F" w:rsidP="007D0E51" w:rsidRDefault="002A5F3F" w14:paraId="29CBA035" w14:textId="77777777">
      <w:pPr>
        <w:pStyle w:val="BodyText"/>
        <w:ind w:left="720"/>
        <w:rPr>
          <w:i/>
          <w:iCs/>
        </w:rPr>
      </w:pPr>
    </w:p>
    <w:p w:rsidRPr="00BA1235" w:rsidR="004D4B87" w:rsidP="007D0E51" w:rsidRDefault="004D4B87" w14:paraId="03CDDC69" w14:textId="77777777">
      <w:pPr>
        <w:pStyle w:val="Quick1"/>
        <w:widowControl/>
        <w:rPr>
          <w:b/>
          <w:i w:val="0"/>
        </w:rPr>
      </w:pPr>
      <w:r w:rsidRPr="00BA1235">
        <w:rPr>
          <w:b/>
          <w:i w:val="0"/>
        </w:rPr>
        <w:t>Describe efforts to identify duplication.  Show specifically why any similar information already available cannot be used or modified for use for the purposes described in Item 2 above.</w:t>
      </w:r>
    </w:p>
    <w:p w:rsidRPr="00F761B0" w:rsidR="00D562E2" w:rsidP="007D0E51" w:rsidRDefault="00D562E2" w14:paraId="0B8D62BE" w14:textId="77777777">
      <w:pPr>
        <w:pStyle w:val="BodyText"/>
        <w:tabs>
          <w:tab w:val="left" w:pos="-1440"/>
        </w:tabs>
        <w:ind w:left="720"/>
        <w:rPr>
          <w:iCs/>
          <w:szCs w:val="24"/>
        </w:rPr>
      </w:pPr>
    </w:p>
    <w:p w:rsidR="004D4B87" w:rsidP="007D0E51" w:rsidRDefault="00935EA5" w14:paraId="4A11C826" w14:textId="77777777">
      <w:pPr>
        <w:pStyle w:val="BodyText"/>
        <w:tabs>
          <w:tab w:val="left" w:pos="-1440"/>
        </w:tabs>
        <w:ind w:left="720"/>
      </w:pPr>
      <w:r>
        <w:t xml:space="preserve">It is likely that some duplication of disclosure and recordkeeping requirements exists between state and federal laws and this exemption.  However, </w:t>
      </w:r>
      <w:proofErr w:type="gramStart"/>
      <w:r w:rsidR="005E4261">
        <w:t>little</w:t>
      </w:r>
      <w:proofErr w:type="gramEnd"/>
      <w:r w:rsidR="005E4261">
        <w:t xml:space="preserve"> or </w:t>
      </w:r>
      <w:r>
        <w:t xml:space="preserve">no actual duplicative </w:t>
      </w:r>
      <w:r w:rsidR="00B753F4">
        <w:t>effort</w:t>
      </w:r>
      <w:r>
        <w:t xml:space="preserve"> is expected because </w:t>
      </w:r>
      <w:r w:rsidR="002A5F3F">
        <w:t xml:space="preserve">the </w:t>
      </w:r>
      <w:r w:rsidR="00B753F4">
        <w:t>same documents will satisfy both the disclosure</w:t>
      </w:r>
      <w:r>
        <w:t xml:space="preserve"> and record</w:t>
      </w:r>
      <w:r w:rsidR="002A5F3F">
        <w:t xml:space="preserve">keeping required by this information collection </w:t>
      </w:r>
      <w:r w:rsidR="00B753F4">
        <w:t xml:space="preserve">and other requirements of </w:t>
      </w:r>
      <w:r w:rsidR="002A5F3F">
        <w:t>state and federal law.</w:t>
      </w:r>
      <w:r w:rsidR="00AC7BBE">
        <w:t xml:space="preserve">  </w:t>
      </w:r>
      <w:r w:rsidR="008F4AF6">
        <w:t xml:space="preserve">For example, </w:t>
      </w:r>
      <w:r w:rsidR="002A5F3F">
        <w:t>the</w:t>
      </w:r>
      <w:r w:rsidR="004D4B87">
        <w:t xml:space="preserve"> requirement </w:t>
      </w:r>
      <w:r w:rsidR="002A5F3F">
        <w:t xml:space="preserve">to provide </w:t>
      </w:r>
      <w:r w:rsidR="004D4B87">
        <w:t>prospectus</w:t>
      </w:r>
      <w:r w:rsidR="002A5F3F">
        <w:t>es</w:t>
      </w:r>
      <w:r w:rsidR="004D4B87">
        <w:t>, quarterly report</w:t>
      </w:r>
      <w:r w:rsidR="002A5F3F">
        <w:t>s</w:t>
      </w:r>
      <w:r w:rsidR="004D4B87">
        <w:t>, and annual report</w:t>
      </w:r>
      <w:r w:rsidR="002A5F3F">
        <w:t>s</w:t>
      </w:r>
      <w:r w:rsidR="004D4B87">
        <w:t xml:space="preserve"> </w:t>
      </w:r>
      <w:r w:rsidR="002A5F3F">
        <w:t xml:space="preserve">under the exemption parallels the disclosure requirements </w:t>
      </w:r>
      <w:r w:rsidR="004D4B87">
        <w:t>of the Securities and Exchange Commission.</w:t>
      </w:r>
    </w:p>
    <w:p w:rsidR="004D4B87" w:rsidP="007D0E51" w:rsidRDefault="004D4B87" w14:paraId="27382B54" w14:textId="77777777">
      <w:pPr>
        <w:widowControl/>
        <w:tabs>
          <w:tab w:val="left" w:pos="-1440"/>
        </w:tabs>
        <w:ind w:left="720"/>
        <w:rPr>
          <w:b w:val="0"/>
          <w:bCs w:val="0"/>
          <w:sz w:val="24"/>
        </w:rPr>
      </w:pPr>
    </w:p>
    <w:p w:rsidRPr="00BA1235" w:rsidR="004D4B87" w:rsidP="007D0E51" w:rsidRDefault="004D4B87" w14:paraId="30E300F8" w14:textId="77777777">
      <w:pPr>
        <w:pStyle w:val="Quick1"/>
        <w:widowControl/>
        <w:rPr>
          <w:b/>
          <w:i w:val="0"/>
        </w:rPr>
      </w:pPr>
      <w:r w:rsidRPr="00BA1235">
        <w:rPr>
          <w:b/>
          <w:i w:val="0"/>
        </w:rPr>
        <w:t>If the collection of information impacts small businesses or other small entities</w:t>
      </w:r>
      <w:r w:rsidRPr="00BA1235" w:rsidR="00DB7385">
        <w:rPr>
          <w:b/>
          <w:i w:val="0"/>
        </w:rPr>
        <w:t xml:space="preserve"> </w:t>
      </w:r>
      <w:r w:rsidRPr="00BA1235">
        <w:rPr>
          <w:b/>
          <w:i w:val="0"/>
        </w:rPr>
        <w:t>describe any methods used to minimize burden.</w:t>
      </w:r>
    </w:p>
    <w:p w:rsidRPr="00F761B0" w:rsidR="004D4B87" w:rsidP="007D0E51" w:rsidRDefault="004D4B87" w14:paraId="0FA90090" w14:textId="77777777">
      <w:pPr>
        <w:widowControl/>
        <w:tabs>
          <w:tab w:val="left" w:pos="-1440"/>
        </w:tabs>
        <w:ind w:left="720"/>
        <w:rPr>
          <w:b w:val="0"/>
          <w:bCs w:val="0"/>
          <w:iCs/>
          <w:sz w:val="24"/>
        </w:rPr>
      </w:pPr>
    </w:p>
    <w:p w:rsidRPr="00F761B0" w:rsidR="004D4B87" w:rsidP="007D0E51" w:rsidRDefault="00962BCA" w14:paraId="61875F50" w14:textId="77777777">
      <w:pPr>
        <w:pStyle w:val="BodyText"/>
        <w:ind w:left="720"/>
      </w:pPr>
      <w:r w:rsidRPr="00F761B0">
        <w:t xml:space="preserve">The information collections apply only if a </w:t>
      </w:r>
      <w:r w:rsidRPr="00F761B0" w:rsidR="002A5F3F">
        <w:t xml:space="preserve">plan sponsored by a </w:t>
      </w:r>
      <w:r w:rsidRPr="00F761B0">
        <w:t xml:space="preserve">Trust REIT or employer affiliate decides to </w:t>
      </w:r>
      <w:r w:rsidRPr="00F761B0" w:rsidR="002A5F3F">
        <w:t xml:space="preserve">invest in shares of the Trust REIT Shares; no entity is </w:t>
      </w:r>
      <w:r w:rsidRPr="00F761B0" w:rsidR="004D4B87">
        <w:t>r</w:t>
      </w:r>
      <w:r w:rsidRPr="00F761B0" w:rsidR="00274EFB">
        <w:t xml:space="preserve">equired to </w:t>
      </w:r>
      <w:r w:rsidRPr="00F761B0" w:rsidR="002A5F3F">
        <w:t xml:space="preserve">invest in </w:t>
      </w:r>
      <w:r w:rsidRPr="00F761B0" w:rsidR="00274EFB">
        <w:t xml:space="preserve">these shares. </w:t>
      </w:r>
      <w:r w:rsidR="00BA1235">
        <w:t xml:space="preserve"> </w:t>
      </w:r>
      <w:r w:rsidRPr="00F761B0" w:rsidR="00667BE9">
        <w:t>Further, the Department assumes that the Trust REITs affected by this information collection are large, sophisticated financial institutions.</w:t>
      </w:r>
      <w:r w:rsidRPr="00F761B0" w:rsidR="00BE47CC">
        <w:t xml:space="preserve">  </w:t>
      </w:r>
      <w:r w:rsidRPr="00F761B0" w:rsidR="004D4B87">
        <w:t xml:space="preserve">The Department believes </w:t>
      </w:r>
      <w:r w:rsidRPr="00F761B0" w:rsidR="00B753F4">
        <w:t xml:space="preserve">therefore </w:t>
      </w:r>
      <w:r w:rsidRPr="00F761B0" w:rsidR="004D4B87">
        <w:t xml:space="preserve">that the </w:t>
      </w:r>
      <w:r w:rsidRPr="00F761B0">
        <w:t xml:space="preserve">class </w:t>
      </w:r>
      <w:r w:rsidRPr="00F761B0" w:rsidR="004D4B87">
        <w:t xml:space="preserve">exemption </w:t>
      </w:r>
      <w:r w:rsidRPr="00F761B0">
        <w:t xml:space="preserve">does </w:t>
      </w:r>
      <w:r w:rsidRPr="00F761B0" w:rsidR="004D4B87">
        <w:t xml:space="preserve">not have a significant impact on small </w:t>
      </w:r>
      <w:r w:rsidRPr="00F761B0" w:rsidR="002A5F3F">
        <w:t>entities</w:t>
      </w:r>
      <w:r w:rsidRPr="00F761B0" w:rsidR="004D4B87">
        <w:t>.</w:t>
      </w:r>
    </w:p>
    <w:p w:rsidRPr="00F761B0" w:rsidR="00DC1816" w:rsidP="007D0E51" w:rsidRDefault="00DC1816" w14:paraId="21607973" w14:textId="77777777">
      <w:pPr>
        <w:pStyle w:val="Quick1"/>
        <w:widowControl/>
        <w:numPr>
          <w:ilvl w:val="0"/>
          <w:numId w:val="0"/>
        </w:numPr>
        <w:ind w:left="720"/>
        <w:rPr>
          <w:bCs w:val="0"/>
          <w:i w:val="0"/>
        </w:rPr>
      </w:pPr>
    </w:p>
    <w:p w:rsidRPr="00BA1235" w:rsidR="004D4B87" w:rsidP="007D0E51" w:rsidRDefault="004D4B87" w14:paraId="0D1FEE26" w14:textId="77777777">
      <w:pPr>
        <w:pStyle w:val="Quick1"/>
        <w:widowControl/>
        <w:rPr>
          <w:b/>
          <w:i w:val="0"/>
        </w:rPr>
      </w:pPr>
      <w:r w:rsidRPr="00BA1235">
        <w:rPr>
          <w:b/>
          <w:i w:val="0"/>
        </w:rPr>
        <w:t>Describe the consequence to Federal program or policy activities if the collection is not conducted or is conducted less frequently, as well as any technical or legal obstacles to reducing burden.</w:t>
      </w:r>
    </w:p>
    <w:p w:rsidRPr="00F761B0" w:rsidR="00D562E2" w:rsidP="007D0E51" w:rsidRDefault="00D562E2" w14:paraId="1CFFD237" w14:textId="77777777">
      <w:pPr>
        <w:pStyle w:val="BodyText"/>
        <w:tabs>
          <w:tab w:val="left" w:pos="-1440"/>
        </w:tabs>
        <w:ind w:left="720"/>
        <w:rPr>
          <w:iCs/>
          <w:szCs w:val="24"/>
        </w:rPr>
      </w:pPr>
    </w:p>
    <w:p w:rsidRPr="00BA1235" w:rsidR="006E6B99" w:rsidP="00BA1235" w:rsidRDefault="00B753F4" w14:paraId="1D305A7B" w14:textId="77777777">
      <w:pPr>
        <w:pStyle w:val="BodyText"/>
        <w:tabs>
          <w:tab w:val="left" w:pos="-1440"/>
        </w:tabs>
        <w:ind w:left="720"/>
        <w:rPr>
          <w:b/>
          <w:bCs/>
        </w:rPr>
      </w:pPr>
      <w:r>
        <w:t>I</w:t>
      </w:r>
      <w:r w:rsidR="004D4B87">
        <w:t>nvest</w:t>
      </w:r>
      <w:r>
        <w:t>ing</w:t>
      </w:r>
      <w:r w:rsidR="004D4B87">
        <w:t xml:space="preserve"> in shares of beneficial interest in a Trust REIT is a voluntary undertaking on the part of </w:t>
      </w:r>
      <w:r>
        <w:t>a</w:t>
      </w:r>
      <w:r w:rsidR="004D4B87">
        <w:t xml:space="preserve"> </w:t>
      </w:r>
      <w:r>
        <w:t>plan, and the information collection</w:t>
      </w:r>
      <w:r w:rsidR="004D4B87">
        <w:t xml:space="preserve"> requirements of the class exemption </w:t>
      </w:r>
      <w:r w:rsidR="00376B26">
        <w:t xml:space="preserve">become </w:t>
      </w:r>
      <w:r w:rsidR="004D4B87">
        <w:t xml:space="preserve">mandatory </w:t>
      </w:r>
      <w:r w:rsidR="00376B26">
        <w:t xml:space="preserve">only </w:t>
      </w:r>
      <w:r>
        <w:t>if a plan wishes to make such an investment,</w:t>
      </w:r>
      <w:r w:rsidR="00376B26">
        <w:t xml:space="preserve"> </w:t>
      </w:r>
      <w:r w:rsidR="004D4B87">
        <w:t xml:space="preserve">not </w:t>
      </w:r>
      <w:r w:rsidR="00376B26">
        <w:t xml:space="preserve">based </w:t>
      </w:r>
      <w:r w:rsidR="004D4B87">
        <w:t xml:space="preserve">on a predetermined </w:t>
      </w:r>
      <w:proofErr w:type="gramStart"/>
      <w:r w:rsidR="004D4B87">
        <w:t>time period</w:t>
      </w:r>
      <w:proofErr w:type="gramEnd"/>
      <w:r w:rsidR="004D4B87">
        <w:t xml:space="preserve">.  </w:t>
      </w:r>
      <w:r>
        <w:t>The information collections are</w:t>
      </w:r>
      <w:r w:rsidR="004D4B87">
        <w:t xml:space="preserve"> necessary to ensure that th</w:t>
      </w:r>
      <w:r w:rsidR="00376B26">
        <w:t xml:space="preserve">e </w:t>
      </w:r>
      <w:r>
        <w:lastRenderedPageBreak/>
        <w:t xml:space="preserve">conditions of the </w:t>
      </w:r>
      <w:r w:rsidR="00376B26">
        <w:t xml:space="preserve">exemption </w:t>
      </w:r>
      <w:r>
        <w:t xml:space="preserve">are met; less frequent collection of this information would cause a risk of harm to </w:t>
      </w:r>
      <w:r w:rsidR="004D4B87">
        <w:t>participants and beneficiaries</w:t>
      </w:r>
      <w:r>
        <w:t xml:space="preserve"> of the affected plans</w:t>
      </w:r>
      <w:r w:rsidR="004D4B87">
        <w:t>.</w:t>
      </w:r>
    </w:p>
    <w:p w:rsidR="00130171" w:rsidP="007D0E51" w:rsidRDefault="00130171" w14:paraId="630BD3A2" w14:textId="77777777">
      <w:pPr>
        <w:pStyle w:val="Quick1"/>
        <w:widowControl/>
        <w:numPr>
          <w:ilvl w:val="0"/>
          <w:numId w:val="0"/>
        </w:numPr>
        <w:ind w:left="720"/>
      </w:pPr>
    </w:p>
    <w:p w:rsidRPr="00BA1235" w:rsidR="004D4B87" w:rsidP="007D0E51" w:rsidRDefault="004D4B87" w14:paraId="57C2DB78" w14:textId="77777777">
      <w:pPr>
        <w:pStyle w:val="Quick1"/>
        <w:widowControl/>
        <w:rPr>
          <w:b/>
          <w:i w:val="0"/>
        </w:rPr>
      </w:pPr>
      <w:r w:rsidRPr="00BA1235">
        <w:rPr>
          <w:b/>
          <w:i w:val="0"/>
        </w:rPr>
        <w:t>Explain any special circumstances that would cause an information collection to be conducted in a manner:</w:t>
      </w:r>
    </w:p>
    <w:p w:rsidRPr="00BA1235" w:rsidR="004D4B87" w:rsidP="007D0E51" w:rsidRDefault="004D4B87" w14:paraId="696A80D4" w14:textId="77777777">
      <w:pPr>
        <w:widowControl/>
        <w:numPr>
          <w:ilvl w:val="0"/>
          <w:numId w:val="18"/>
        </w:numPr>
        <w:tabs>
          <w:tab w:val="left" w:pos="-1440"/>
        </w:tabs>
        <w:ind w:hanging="720"/>
        <w:rPr>
          <w:bCs w:val="0"/>
          <w:iCs/>
          <w:sz w:val="24"/>
          <w:szCs w:val="24"/>
        </w:rPr>
      </w:pPr>
      <w:r w:rsidRPr="00BA1235">
        <w:rPr>
          <w:bCs w:val="0"/>
          <w:iCs/>
          <w:sz w:val="24"/>
          <w:szCs w:val="24"/>
        </w:rPr>
        <w:t xml:space="preserve">requiring respondents to report information to the agency more often than </w:t>
      </w:r>
      <w:proofErr w:type="gramStart"/>
      <w:r w:rsidRPr="00BA1235">
        <w:rPr>
          <w:bCs w:val="0"/>
          <w:iCs/>
          <w:sz w:val="24"/>
          <w:szCs w:val="24"/>
        </w:rPr>
        <w:t>quarterly;</w:t>
      </w:r>
      <w:proofErr w:type="gramEnd"/>
    </w:p>
    <w:p w:rsidRPr="00BA1235" w:rsidR="004D4B87" w:rsidP="007D0E51" w:rsidRDefault="004D4B87" w14:paraId="35DD36FC" w14:textId="77777777">
      <w:pPr>
        <w:widowControl/>
        <w:numPr>
          <w:ilvl w:val="0"/>
          <w:numId w:val="18"/>
        </w:numPr>
        <w:tabs>
          <w:tab w:val="left" w:pos="-1440"/>
        </w:tabs>
        <w:ind w:hanging="720"/>
        <w:rPr>
          <w:bCs w:val="0"/>
          <w:iCs/>
          <w:sz w:val="24"/>
          <w:szCs w:val="24"/>
        </w:rPr>
      </w:pPr>
      <w:r w:rsidRPr="00BA1235">
        <w:rPr>
          <w:bCs w:val="0"/>
          <w:iCs/>
          <w:sz w:val="24"/>
          <w:szCs w:val="24"/>
        </w:rPr>
        <w:t xml:space="preserve">requiring respondents to prepare a written response to a collection of information in fewer than 30 days after receipt of </w:t>
      </w:r>
      <w:proofErr w:type="gramStart"/>
      <w:r w:rsidRPr="00BA1235">
        <w:rPr>
          <w:bCs w:val="0"/>
          <w:iCs/>
          <w:sz w:val="24"/>
          <w:szCs w:val="24"/>
        </w:rPr>
        <w:t>it;</w:t>
      </w:r>
      <w:proofErr w:type="gramEnd"/>
    </w:p>
    <w:p w:rsidRPr="00BA1235" w:rsidR="004D4B87" w:rsidP="007D0E51" w:rsidRDefault="004D4B87" w14:paraId="02931F97" w14:textId="77777777">
      <w:pPr>
        <w:widowControl/>
        <w:numPr>
          <w:ilvl w:val="0"/>
          <w:numId w:val="18"/>
        </w:numPr>
        <w:tabs>
          <w:tab w:val="left" w:pos="-1440"/>
        </w:tabs>
        <w:ind w:hanging="720"/>
        <w:rPr>
          <w:bCs w:val="0"/>
          <w:iCs/>
          <w:sz w:val="24"/>
          <w:szCs w:val="24"/>
        </w:rPr>
      </w:pPr>
      <w:r w:rsidRPr="00BA1235">
        <w:rPr>
          <w:bCs w:val="0"/>
          <w:iCs/>
          <w:sz w:val="24"/>
          <w:szCs w:val="24"/>
        </w:rPr>
        <w:t xml:space="preserve">requiring respondents to submit more than an original and two copies of any </w:t>
      </w:r>
      <w:proofErr w:type="gramStart"/>
      <w:r w:rsidRPr="00BA1235">
        <w:rPr>
          <w:bCs w:val="0"/>
          <w:iCs/>
          <w:sz w:val="24"/>
          <w:szCs w:val="24"/>
        </w:rPr>
        <w:t>document;</w:t>
      </w:r>
      <w:proofErr w:type="gramEnd"/>
    </w:p>
    <w:p w:rsidRPr="00BA1235" w:rsidR="004D4B87" w:rsidP="007D0E51" w:rsidRDefault="004D4B87" w14:paraId="612FA69D" w14:textId="77777777">
      <w:pPr>
        <w:widowControl/>
        <w:numPr>
          <w:ilvl w:val="0"/>
          <w:numId w:val="18"/>
        </w:numPr>
        <w:tabs>
          <w:tab w:val="left" w:pos="-1440"/>
        </w:tabs>
        <w:ind w:hanging="720"/>
        <w:rPr>
          <w:bCs w:val="0"/>
          <w:iCs/>
          <w:sz w:val="24"/>
          <w:szCs w:val="24"/>
        </w:rPr>
      </w:pPr>
      <w:r w:rsidRPr="00BA1235">
        <w:rPr>
          <w:bCs w:val="0"/>
          <w:iCs/>
          <w:sz w:val="24"/>
          <w:szCs w:val="24"/>
        </w:rPr>
        <w:t xml:space="preserve">requiring respondents to retain records, other than health, medical, government contract, grant-in-aid, or tax records for more than three </w:t>
      </w:r>
      <w:proofErr w:type="gramStart"/>
      <w:r w:rsidRPr="00BA1235">
        <w:rPr>
          <w:bCs w:val="0"/>
          <w:iCs/>
          <w:sz w:val="24"/>
          <w:szCs w:val="24"/>
        </w:rPr>
        <w:t>years;</w:t>
      </w:r>
      <w:proofErr w:type="gramEnd"/>
    </w:p>
    <w:p w:rsidRPr="00BA1235" w:rsidR="004D4B87" w:rsidP="007D0E51" w:rsidRDefault="004D4B87" w14:paraId="7C17CF2B" w14:textId="77777777">
      <w:pPr>
        <w:widowControl/>
        <w:numPr>
          <w:ilvl w:val="0"/>
          <w:numId w:val="18"/>
        </w:numPr>
        <w:tabs>
          <w:tab w:val="left" w:pos="-1440"/>
        </w:tabs>
        <w:ind w:hanging="720"/>
        <w:rPr>
          <w:bCs w:val="0"/>
          <w:iCs/>
          <w:sz w:val="24"/>
          <w:szCs w:val="24"/>
        </w:rPr>
      </w:pPr>
      <w:r w:rsidRPr="00BA1235">
        <w:rPr>
          <w:bCs w:val="0"/>
          <w:iCs/>
          <w:sz w:val="24"/>
          <w:szCs w:val="24"/>
        </w:rPr>
        <w:t xml:space="preserve">in connection with a statistical survey, that is not designed to produce valid and reliable results that can be generalized to the universe of </w:t>
      </w:r>
      <w:proofErr w:type="gramStart"/>
      <w:r w:rsidRPr="00BA1235">
        <w:rPr>
          <w:bCs w:val="0"/>
          <w:iCs/>
          <w:sz w:val="24"/>
          <w:szCs w:val="24"/>
        </w:rPr>
        <w:t>study;</w:t>
      </w:r>
      <w:proofErr w:type="gramEnd"/>
    </w:p>
    <w:p w:rsidRPr="00BA1235" w:rsidR="004D4B87" w:rsidP="007D0E51" w:rsidRDefault="004D4B87" w14:paraId="38739850" w14:textId="77777777">
      <w:pPr>
        <w:widowControl/>
        <w:numPr>
          <w:ilvl w:val="0"/>
          <w:numId w:val="18"/>
        </w:numPr>
        <w:tabs>
          <w:tab w:val="left" w:pos="-1440"/>
        </w:tabs>
        <w:ind w:hanging="720"/>
        <w:rPr>
          <w:bCs w:val="0"/>
          <w:iCs/>
          <w:sz w:val="24"/>
          <w:szCs w:val="24"/>
        </w:rPr>
      </w:pPr>
      <w:r w:rsidRPr="00BA1235">
        <w:rPr>
          <w:bCs w:val="0"/>
          <w:iCs/>
          <w:sz w:val="24"/>
          <w:szCs w:val="24"/>
        </w:rPr>
        <w:t xml:space="preserve">requiring the use of a statistical data classification that has not been reviewed and approved by </w:t>
      </w:r>
      <w:proofErr w:type="gramStart"/>
      <w:r w:rsidRPr="00BA1235">
        <w:rPr>
          <w:bCs w:val="0"/>
          <w:iCs/>
          <w:sz w:val="24"/>
          <w:szCs w:val="24"/>
        </w:rPr>
        <w:t>OMB;</w:t>
      </w:r>
      <w:proofErr w:type="gramEnd"/>
    </w:p>
    <w:p w:rsidRPr="00BA1235" w:rsidR="004D4B87" w:rsidP="007D0E51" w:rsidRDefault="004D4B87" w14:paraId="45A6F9EC" w14:textId="77777777">
      <w:pPr>
        <w:widowControl/>
        <w:numPr>
          <w:ilvl w:val="0"/>
          <w:numId w:val="18"/>
        </w:numPr>
        <w:tabs>
          <w:tab w:val="left" w:pos="-1440"/>
        </w:tabs>
        <w:ind w:hanging="720"/>
        <w:rPr>
          <w:bCs w:val="0"/>
          <w:iCs/>
          <w:sz w:val="24"/>
          <w:szCs w:val="24"/>
        </w:rPr>
      </w:pPr>
      <w:r w:rsidRPr="00BA1235">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A1235" w:rsidR="004D4B87" w:rsidP="007D0E51" w:rsidRDefault="004D4B87" w14:paraId="31CEA9CD" w14:textId="77777777">
      <w:pPr>
        <w:widowControl/>
        <w:numPr>
          <w:ilvl w:val="0"/>
          <w:numId w:val="18"/>
        </w:numPr>
        <w:tabs>
          <w:tab w:val="left" w:pos="-1440"/>
        </w:tabs>
        <w:ind w:hanging="720"/>
        <w:rPr>
          <w:bCs w:val="0"/>
          <w:iCs/>
          <w:sz w:val="24"/>
          <w:szCs w:val="24"/>
        </w:rPr>
      </w:pPr>
      <w:r w:rsidRPr="00BA1235">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D4B87" w:rsidP="007D0E51" w:rsidRDefault="004D4B87" w14:paraId="6054F9DC" w14:textId="77777777">
      <w:pPr>
        <w:widowControl/>
        <w:tabs>
          <w:tab w:val="left" w:pos="-1440"/>
        </w:tabs>
        <w:ind w:left="720"/>
        <w:rPr>
          <w:b w:val="0"/>
          <w:bCs w:val="0"/>
          <w:i/>
          <w:iCs/>
          <w:sz w:val="24"/>
        </w:rPr>
      </w:pPr>
    </w:p>
    <w:p w:rsidR="004D4B87" w:rsidP="007D0E51" w:rsidRDefault="004D4B87" w14:paraId="37024557" w14:textId="77777777">
      <w:pPr>
        <w:widowControl/>
        <w:ind w:left="720"/>
        <w:rPr>
          <w:b w:val="0"/>
          <w:bCs w:val="0"/>
          <w:color w:val="000000"/>
          <w:sz w:val="24"/>
        </w:rPr>
      </w:pPr>
      <w:r>
        <w:rPr>
          <w:b w:val="0"/>
          <w:bCs w:val="0"/>
          <w:color w:val="000000"/>
          <w:sz w:val="24"/>
        </w:rPr>
        <w:t xml:space="preserve">The exemption requires a </w:t>
      </w:r>
      <w:r w:rsidR="00376B26">
        <w:rPr>
          <w:b w:val="0"/>
          <w:bCs w:val="0"/>
          <w:color w:val="000000"/>
          <w:sz w:val="24"/>
        </w:rPr>
        <w:t>p</w:t>
      </w:r>
      <w:r>
        <w:rPr>
          <w:b w:val="0"/>
          <w:bCs w:val="0"/>
          <w:color w:val="000000"/>
          <w:sz w:val="24"/>
        </w:rPr>
        <w:t xml:space="preserve">lan to maintain for a period of six years the records necessary to enable certain </w:t>
      </w:r>
      <w:r w:rsidR="00376B26">
        <w:rPr>
          <w:b w:val="0"/>
          <w:bCs w:val="0"/>
          <w:color w:val="000000"/>
          <w:sz w:val="24"/>
        </w:rPr>
        <w:t xml:space="preserve">specified </w:t>
      </w:r>
      <w:r>
        <w:rPr>
          <w:b w:val="0"/>
          <w:bCs w:val="0"/>
          <w:color w:val="000000"/>
          <w:sz w:val="24"/>
        </w:rPr>
        <w:t xml:space="preserve">persons </w:t>
      </w:r>
      <w:r w:rsidR="00376B26">
        <w:rPr>
          <w:b w:val="0"/>
          <w:bCs w:val="0"/>
          <w:color w:val="000000"/>
          <w:sz w:val="24"/>
        </w:rPr>
        <w:t xml:space="preserve">(e.g., participants, beneficiaries, the Department, and the IRS) </w:t>
      </w:r>
      <w:r>
        <w:rPr>
          <w:b w:val="0"/>
          <w:bCs w:val="0"/>
          <w:color w:val="000000"/>
          <w:sz w:val="24"/>
        </w:rPr>
        <w:t>to determine whether the conditions of the proposed exemption had been met.  The six-year recordkeeping requirement is consistent with the statutory requirements in section 107 of ERISA</w:t>
      </w:r>
      <w:r w:rsidR="00376B26">
        <w:rPr>
          <w:b w:val="0"/>
          <w:bCs w:val="0"/>
          <w:color w:val="000000"/>
          <w:sz w:val="24"/>
        </w:rPr>
        <w:t>,</w:t>
      </w:r>
      <w:r>
        <w:rPr>
          <w:b w:val="0"/>
          <w:bCs w:val="0"/>
          <w:color w:val="000000"/>
          <w:sz w:val="24"/>
        </w:rPr>
        <w:t xml:space="preserve"> as well as general recordkeeping requirements for tax information under the Code.  The requirement is also consistent with statutory requirements under ERISA section 413, relating to the statute of limitations for actions for fiduciary breach and for other violations of Part 4 of</w:t>
      </w:r>
      <w:r w:rsidR="00DA4005">
        <w:rPr>
          <w:b w:val="0"/>
          <w:bCs w:val="0"/>
          <w:color w:val="000000"/>
          <w:sz w:val="24"/>
        </w:rPr>
        <w:t xml:space="preserve"> Title I of ERISA.</w:t>
      </w:r>
    </w:p>
    <w:p w:rsidR="004D4B87" w:rsidP="007D0E51" w:rsidRDefault="004D4B87" w14:paraId="6D2ADAF7" w14:textId="77777777">
      <w:pPr>
        <w:widowControl/>
        <w:ind w:left="720"/>
        <w:rPr>
          <w:b w:val="0"/>
          <w:bCs w:val="0"/>
          <w:sz w:val="24"/>
        </w:rPr>
      </w:pPr>
    </w:p>
    <w:p w:rsidRPr="00BA1235" w:rsidR="004D4B87" w:rsidP="007D0E51" w:rsidRDefault="004D4B87" w14:paraId="201F370F" w14:textId="77777777">
      <w:pPr>
        <w:pStyle w:val="Quick1"/>
        <w:widowControl/>
        <w:rPr>
          <w:b/>
          <w:i w:val="0"/>
          <w:iCs/>
        </w:rPr>
      </w:pPr>
      <w:r w:rsidRPr="00BA1235">
        <w:rPr>
          <w:rStyle w:val="BodyTextChar"/>
          <w:b/>
          <w:i w:val="0"/>
        </w:rPr>
        <w:t xml:space="preserve">If applicable, provide a copy and identify the date and page number of </w:t>
      </w:r>
      <w:proofErr w:type="gramStart"/>
      <w:r w:rsidRPr="00BA1235">
        <w:rPr>
          <w:rStyle w:val="BodyTextChar"/>
          <w:b/>
          <w:i w:val="0"/>
        </w:rPr>
        <w:t>publication</w:t>
      </w:r>
      <w:proofErr w:type="gramEnd"/>
      <w:r w:rsidRPr="00BA1235">
        <w:rPr>
          <w:rStyle w:val="BodyTextChar"/>
          <w:b/>
          <w:i w:val="0"/>
        </w:rPr>
        <w:t xml:space="preserve"> in the Federal Register of the agency's notice, required by 5 CFR 1320.8(d), soliciting comments on the information collection prior to submission to OMB.  Summarize public comments received in response to that notice and describe </w:t>
      </w:r>
      <w:r w:rsidRPr="00BA1235">
        <w:rPr>
          <w:rStyle w:val="BodyTextChar"/>
          <w:b/>
          <w:i w:val="0"/>
        </w:rPr>
        <w:lastRenderedPageBreak/>
        <w:t>actions taken by the agency in response to these comments.  Specifically address comments received on cost and hour burden</w:t>
      </w:r>
      <w:r w:rsidRPr="00BA1235">
        <w:rPr>
          <w:b/>
          <w:i w:val="0"/>
          <w:iCs/>
        </w:rPr>
        <w:t>.</w:t>
      </w:r>
    </w:p>
    <w:p w:rsidRPr="00BA1235" w:rsidR="004D4B87" w:rsidP="007D0E51" w:rsidRDefault="004D4B87" w14:paraId="689001B4" w14:textId="77777777">
      <w:pPr>
        <w:widowControl/>
        <w:ind w:left="720"/>
        <w:rPr>
          <w:bCs w:val="0"/>
          <w:iCs/>
          <w:sz w:val="24"/>
        </w:rPr>
      </w:pPr>
    </w:p>
    <w:p w:rsidRPr="00BA1235" w:rsidR="004D4B87" w:rsidP="007D0E51" w:rsidRDefault="004D4B87" w14:paraId="779E4CA0" w14:textId="77777777">
      <w:pPr>
        <w:pStyle w:val="BodyText3"/>
        <w:ind w:left="720"/>
        <w:rPr>
          <w:bCs w:val="0"/>
          <w:i w:val="0"/>
          <w:sz w:val="24"/>
          <w:szCs w:val="24"/>
        </w:rPr>
      </w:pPr>
      <w:r w:rsidRPr="00BA1235">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A1235" w:rsidR="004D4B87" w:rsidP="007D0E51" w:rsidRDefault="004D4B87" w14:paraId="0EEE8818" w14:textId="77777777">
      <w:pPr>
        <w:widowControl/>
        <w:ind w:left="720"/>
        <w:rPr>
          <w:bCs w:val="0"/>
          <w:iCs/>
          <w:sz w:val="24"/>
          <w:szCs w:val="24"/>
        </w:rPr>
      </w:pPr>
    </w:p>
    <w:p w:rsidRPr="00BA1235" w:rsidR="004D4B87" w:rsidP="007D0E51" w:rsidRDefault="004D4B87" w14:paraId="6FE7BED5" w14:textId="77777777">
      <w:pPr>
        <w:pStyle w:val="BodyText3"/>
        <w:ind w:left="720"/>
        <w:rPr>
          <w:i w:val="0"/>
          <w:sz w:val="24"/>
          <w:szCs w:val="24"/>
        </w:rPr>
      </w:pPr>
      <w:r w:rsidRPr="00BA1235">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D4B87" w:rsidP="007D0E51" w:rsidRDefault="004D4B87" w14:paraId="2890E179" w14:textId="77777777">
      <w:pPr>
        <w:widowControl/>
        <w:ind w:left="720"/>
        <w:rPr>
          <w:b w:val="0"/>
          <w:bCs w:val="0"/>
          <w:i/>
          <w:iCs/>
          <w:sz w:val="24"/>
        </w:rPr>
      </w:pPr>
    </w:p>
    <w:p w:rsidR="004D4B87" w:rsidP="007D0E51" w:rsidRDefault="00F457C1" w14:paraId="5926AE9B" w14:textId="77777777">
      <w:pPr>
        <w:pStyle w:val="BodyText"/>
        <w:ind w:left="720"/>
      </w:pPr>
      <w:r>
        <w:t>T</w:t>
      </w:r>
      <w:r w:rsidR="00376B26">
        <w:t>he Department’s n</w:t>
      </w:r>
      <w:r w:rsidR="004D4B87">
        <w:t xml:space="preserve">otice </w:t>
      </w:r>
      <w:r w:rsidR="00376B26">
        <w:t xml:space="preserve">announcing its intention to request extension of OMB’s approval of this information collection was published in the </w:t>
      </w:r>
      <w:r w:rsidR="004D4B87">
        <w:rPr>
          <w:u w:val="single"/>
        </w:rPr>
        <w:t>Federal Register</w:t>
      </w:r>
      <w:r w:rsidR="00376B26">
        <w:t xml:space="preserve"> on </w:t>
      </w:r>
      <w:r w:rsidRPr="00C8677B" w:rsidR="00C8677B">
        <w:t>November 9</w:t>
      </w:r>
      <w:r w:rsidR="00DB7385">
        <w:t xml:space="preserve">, </w:t>
      </w:r>
      <w:r w:rsidR="00C8677B">
        <w:t xml:space="preserve">2021 </w:t>
      </w:r>
      <w:r w:rsidR="009D5BCF">
        <w:t>(</w:t>
      </w:r>
      <w:r w:rsidR="00C8677B">
        <w:t xml:space="preserve">86 </w:t>
      </w:r>
      <w:r w:rsidR="009D5BCF">
        <w:t xml:space="preserve">FR </w:t>
      </w:r>
      <w:r w:rsidRPr="00C8677B" w:rsidR="00C8677B">
        <w:t>62208</w:t>
      </w:r>
      <w:r w:rsidR="009D5BCF">
        <w:t>)</w:t>
      </w:r>
      <w:r w:rsidR="00DB7385">
        <w:t>.</w:t>
      </w:r>
      <w:r w:rsidR="009D5BCF">
        <w:t xml:space="preserve"> </w:t>
      </w:r>
      <w:r>
        <w:t xml:space="preserve"> The notice </w:t>
      </w:r>
      <w:r w:rsidR="002F1F18">
        <w:t>solicit</w:t>
      </w:r>
      <w:r>
        <w:t>ed</w:t>
      </w:r>
      <w:r w:rsidR="00376B26">
        <w:t xml:space="preserve"> public comme</w:t>
      </w:r>
      <w:r w:rsidR="002F1F18">
        <w:t>nt on the extension and provid</w:t>
      </w:r>
      <w:r>
        <w:t xml:space="preserve">ed </w:t>
      </w:r>
      <w:r w:rsidR="00376B26">
        <w:t>60 days for such purpose</w:t>
      </w:r>
      <w:r w:rsidRPr="00130171" w:rsidR="004D4B87">
        <w:t>,</w:t>
      </w:r>
      <w:r w:rsidRPr="00F07F35" w:rsidR="004D4B87">
        <w:t xml:space="preserve"> </w:t>
      </w:r>
      <w:r w:rsidR="004D4B87">
        <w:t>as required by 5 CFR 1320.8(d).</w:t>
      </w:r>
      <w:r w:rsidR="00376B26">
        <w:t xml:space="preserve">  No comments were received.</w:t>
      </w:r>
    </w:p>
    <w:p w:rsidR="004D4B87" w:rsidP="007D0E51" w:rsidRDefault="004D4B87" w14:paraId="3C054D5F" w14:textId="77777777">
      <w:pPr>
        <w:widowControl/>
        <w:ind w:left="720"/>
        <w:rPr>
          <w:b w:val="0"/>
          <w:bCs w:val="0"/>
          <w:sz w:val="24"/>
        </w:rPr>
      </w:pPr>
    </w:p>
    <w:p w:rsidRPr="00BA1235" w:rsidR="004D4B87" w:rsidP="007D0E51" w:rsidRDefault="004D4B87" w14:paraId="3275FFEB" w14:textId="77777777">
      <w:pPr>
        <w:pStyle w:val="Quick1"/>
        <w:widowControl/>
        <w:rPr>
          <w:b/>
          <w:i w:val="0"/>
        </w:rPr>
      </w:pPr>
      <w:r w:rsidRPr="00BA1235">
        <w:rPr>
          <w:b/>
          <w:i w:val="0"/>
        </w:rPr>
        <w:t>Explain any decision to provide any payment or gift to respondents, other than remuneration of contractors or grantees.</w:t>
      </w:r>
    </w:p>
    <w:p w:rsidR="004D4B87" w:rsidP="007D0E51" w:rsidRDefault="004D4B87" w14:paraId="73E79C01" w14:textId="77777777">
      <w:pPr>
        <w:widowControl/>
        <w:ind w:left="720"/>
        <w:rPr>
          <w:b w:val="0"/>
          <w:bCs w:val="0"/>
          <w:sz w:val="24"/>
        </w:rPr>
      </w:pPr>
    </w:p>
    <w:p w:rsidR="004D4B87" w:rsidP="007D0E51" w:rsidRDefault="004D4B87" w14:paraId="1758D710" w14:textId="77777777">
      <w:pPr>
        <w:pStyle w:val="BodyText"/>
        <w:ind w:left="720"/>
      </w:pPr>
      <w:r>
        <w:t>None.</w:t>
      </w:r>
    </w:p>
    <w:p w:rsidR="004D4B87" w:rsidP="007D0E51" w:rsidRDefault="004D4B87" w14:paraId="463F4EAA" w14:textId="77777777">
      <w:pPr>
        <w:widowControl/>
        <w:ind w:left="720"/>
        <w:rPr>
          <w:b w:val="0"/>
          <w:bCs w:val="0"/>
          <w:sz w:val="24"/>
        </w:rPr>
      </w:pPr>
    </w:p>
    <w:p w:rsidRPr="00A021D7" w:rsidR="004D4B87" w:rsidP="007D0E51" w:rsidRDefault="004D4B87" w14:paraId="05B99F09" w14:textId="77777777">
      <w:pPr>
        <w:pStyle w:val="Quick1"/>
        <w:widowControl/>
        <w:rPr>
          <w:b/>
          <w:i w:val="0"/>
        </w:rPr>
      </w:pPr>
      <w:r w:rsidRPr="00A021D7">
        <w:rPr>
          <w:b/>
          <w:i w:val="0"/>
        </w:rPr>
        <w:t>Describe any assurance of confidentiality provided to respondents and the basis for the assurance in statute, regulation, or agency policy.</w:t>
      </w:r>
    </w:p>
    <w:p w:rsidR="004D4B87" w:rsidP="007D0E51" w:rsidRDefault="004D4B87" w14:paraId="3D16D67D" w14:textId="77777777">
      <w:pPr>
        <w:widowControl/>
        <w:ind w:left="720"/>
        <w:rPr>
          <w:b w:val="0"/>
          <w:bCs w:val="0"/>
          <w:sz w:val="24"/>
        </w:rPr>
      </w:pPr>
    </w:p>
    <w:p w:rsidR="004D4B87" w:rsidP="007D0E51" w:rsidRDefault="004D4B87" w14:paraId="302F586C" w14:textId="77777777">
      <w:pPr>
        <w:widowControl/>
        <w:ind w:left="720"/>
        <w:rPr>
          <w:b w:val="0"/>
          <w:bCs w:val="0"/>
          <w:sz w:val="24"/>
        </w:rPr>
      </w:pPr>
      <w:r>
        <w:rPr>
          <w:b w:val="0"/>
          <w:bCs w:val="0"/>
          <w:sz w:val="24"/>
        </w:rPr>
        <w:t>None.</w:t>
      </w:r>
    </w:p>
    <w:p w:rsidR="004D4B87" w:rsidP="007D0E51" w:rsidRDefault="004D4B87" w14:paraId="235FE700" w14:textId="77777777">
      <w:pPr>
        <w:widowControl/>
        <w:ind w:left="720"/>
        <w:rPr>
          <w:b w:val="0"/>
          <w:bCs w:val="0"/>
          <w:sz w:val="24"/>
        </w:rPr>
      </w:pPr>
    </w:p>
    <w:p w:rsidRPr="00A021D7" w:rsidR="004D4B87" w:rsidP="007D0E51" w:rsidRDefault="004D4B87" w14:paraId="312DB495" w14:textId="77777777">
      <w:pPr>
        <w:pStyle w:val="Quick1"/>
        <w:widowControl/>
        <w:rPr>
          <w:b/>
          <w:i w:val="0"/>
        </w:rPr>
      </w:pPr>
      <w:r w:rsidRPr="00A021D7">
        <w:rPr>
          <w:b/>
          <w:i w:val="0"/>
        </w:rPr>
        <w:t xml:space="preserve">Provide additional justification for any questions of a sensitive nature, such as sexual behavior and attitudes, religious beliefs, and other matters that are commonly considered private. </w:t>
      </w:r>
      <w:r w:rsidRPr="00A021D7" w:rsidR="00A021D7">
        <w:rPr>
          <w:b/>
          <w:i w:val="0"/>
        </w:rPr>
        <w:t xml:space="preserve"> </w:t>
      </w:r>
      <w:r w:rsidRPr="00A021D7">
        <w:rPr>
          <w:b/>
          <w:i w:val="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4B87" w:rsidP="007D0E51" w:rsidRDefault="004D4B87" w14:paraId="417579D7" w14:textId="77777777">
      <w:pPr>
        <w:widowControl/>
        <w:ind w:left="720"/>
        <w:rPr>
          <w:b w:val="0"/>
          <w:bCs w:val="0"/>
          <w:i/>
          <w:iCs/>
          <w:sz w:val="24"/>
        </w:rPr>
      </w:pPr>
    </w:p>
    <w:p w:rsidR="004D4B87" w:rsidP="007D0E51" w:rsidRDefault="004D4B87" w14:paraId="52D01268" w14:textId="77777777">
      <w:pPr>
        <w:pStyle w:val="BodyText"/>
        <w:ind w:left="720"/>
      </w:pPr>
      <w:r>
        <w:t>Not applicable.</w:t>
      </w:r>
    </w:p>
    <w:p w:rsidR="004D4B87" w:rsidP="007D0E51" w:rsidRDefault="004D4B87" w14:paraId="135F0FCD" w14:textId="77777777">
      <w:pPr>
        <w:pStyle w:val="BodyText"/>
        <w:ind w:left="720"/>
      </w:pPr>
    </w:p>
    <w:p w:rsidR="00A021D7" w:rsidP="001D174E" w:rsidRDefault="00A021D7" w14:paraId="40EDF427" w14:textId="77777777">
      <w:pPr>
        <w:widowControl/>
        <w:numPr>
          <w:ilvl w:val="0"/>
          <w:numId w:val="22"/>
        </w:numPr>
        <w:tabs>
          <w:tab w:val="clear" w:pos="360"/>
          <w:tab w:val="left" w:pos="-1440"/>
        </w:tabs>
        <w:ind w:left="720" w:hanging="720"/>
        <w:rPr>
          <w:sz w:val="24"/>
        </w:rPr>
      </w:pPr>
      <w:r w:rsidRPr="00A021D7">
        <w:rPr>
          <w:sz w:val="24"/>
        </w:rPr>
        <w:t xml:space="preserve">Provide estimates of the hour burden of the collection of information.  The </w:t>
      </w:r>
    </w:p>
    <w:p w:rsidRPr="00A021D7" w:rsidR="00A021D7" w:rsidP="00A021D7" w:rsidRDefault="00A021D7" w14:paraId="03BC5D5B" w14:textId="77777777">
      <w:pPr>
        <w:widowControl/>
        <w:tabs>
          <w:tab w:val="left" w:pos="-1440"/>
        </w:tabs>
        <w:rPr>
          <w:sz w:val="24"/>
        </w:rPr>
      </w:pPr>
      <w:r>
        <w:rPr>
          <w:sz w:val="24"/>
        </w:rPr>
        <w:tab/>
      </w:r>
      <w:r w:rsidRPr="00A021D7">
        <w:rPr>
          <w:sz w:val="24"/>
        </w:rPr>
        <w:t>statement should:</w:t>
      </w:r>
    </w:p>
    <w:p w:rsidR="00A021D7" w:rsidP="00A021D7" w:rsidRDefault="00A021D7" w14:paraId="6C560FB9" w14:textId="77777777">
      <w:pPr>
        <w:widowControl/>
        <w:numPr>
          <w:ilvl w:val="0"/>
          <w:numId w:val="23"/>
        </w:numPr>
        <w:tabs>
          <w:tab w:val="left" w:pos="-1440"/>
        </w:tabs>
        <w:rPr>
          <w:iCs/>
          <w:sz w:val="24"/>
        </w:rPr>
      </w:pPr>
      <w:r w:rsidRPr="00A021D7">
        <w:rPr>
          <w:iCs/>
          <w:sz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021D7" w:rsidP="00A021D7" w:rsidRDefault="00A021D7" w14:paraId="3CA617BB" w14:textId="77777777">
      <w:pPr>
        <w:widowControl/>
        <w:numPr>
          <w:ilvl w:val="0"/>
          <w:numId w:val="23"/>
        </w:numPr>
        <w:tabs>
          <w:tab w:val="left" w:pos="-1440"/>
        </w:tabs>
        <w:rPr>
          <w:iCs/>
          <w:sz w:val="24"/>
        </w:rPr>
      </w:pPr>
      <w:r w:rsidRPr="00A021D7">
        <w:rPr>
          <w:iCs/>
          <w:sz w:val="24"/>
        </w:rPr>
        <w:t xml:space="preserve">If this request for approval covers more than one form, provide separate hour burden estimates for each </w:t>
      </w:r>
      <w:proofErr w:type="gramStart"/>
      <w:r w:rsidRPr="00A021D7">
        <w:rPr>
          <w:iCs/>
          <w:sz w:val="24"/>
        </w:rPr>
        <w:t>form</w:t>
      </w:r>
      <w:proofErr w:type="gramEnd"/>
      <w:r w:rsidRPr="00A021D7">
        <w:rPr>
          <w:iCs/>
          <w:sz w:val="24"/>
        </w:rPr>
        <w:t xml:space="preserve"> and aggregate the hour burdens in Item 13.</w:t>
      </w:r>
    </w:p>
    <w:p w:rsidRPr="00A021D7" w:rsidR="00A021D7" w:rsidP="00A021D7" w:rsidRDefault="00A021D7" w14:paraId="4AE92D96" w14:textId="77777777">
      <w:pPr>
        <w:widowControl/>
        <w:numPr>
          <w:ilvl w:val="0"/>
          <w:numId w:val="23"/>
        </w:numPr>
        <w:tabs>
          <w:tab w:val="left" w:pos="-1440"/>
        </w:tabs>
        <w:rPr>
          <w:iCs/>
          <w:sz w:val="24"/>
        </w:rPr>
      </w:pPr>
      <w:r w:rsidRPr="00A021D7">
        <w:rPr>
          <w:iCs/>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1C316B" w:rsidP="007D0E51" w:rsidRDefault="001C316B" w14:paraId="6E86A65C" w14:textId="77777777">
      <w:pPr>
        <w:widowControl/>
        <w:tabs>
          <w:tab w:val="left" w:pos="-1440"/>
        </w:tabs>
        <w:ind w:left="720"/>
        <w:rPr>
          <w:b w:val="0"/>
          <w:bCs w:val="0"/>
          <w:iCs/>
          <w:sz w:val="24"/>
          <w:szCs w:val="24"/>
        </w:rPr>
      </w:pPr>
    </w:p>
    <w:p w:rsidRPr="00F457C1" w:rsidR="00F457C1" w:rsidP="007D0E51" w:rsidRDefault="00F457C1" w14:paraId="3EA91394" w14:textId="77777777">
      <w:pPr>
        <w:widowControl/>
        <w:ind w:left="720"/>
        <w:rPr>
          <w:b w:val="0"/>
          <w:bCs w:val="0"/>
          <w:sz w:val="24"/>
        </w:rPr>
      </w:pPr>
      <w:r w:rsidRPr="00F457C1">
        <w:rPr>
          <w:b w:val="0"/>
          <w:bCs w:val="0"/>
          <w:sz w:val="24"/>
        </w:rPr>
        <w:t xml:space="preserve">The Department assumes that the Trust REITs affected by this information collection, which are large, sophisticated financial institutions, will use existing in-house resources to provide the disclosures and maintain the plan recordkeeping systems to satisfy the information collection requirements.  Given the nature of the information collection requirements, the Department assumes that the collections will be completed by clerical personnel.  </w:t>
      </w:r>
      <w:r w:rsidR="00411721">
        <w:rPr>
          <w:b w:val="0"/>
          <w:bCs w:val="0"/>
          <w:sz w:val="24"/>
        </w:rPr>
        <w:t>The</w:t>
      </w:r>
      <w:r w:rsidRPr="00F457C1">
        <w:rPr>
          <w:b w:val="0"/>
          <w:bCs w:val="0"/>
          <w:sz w:val="24"/>
        </w:rPr>
        <w:t xml:space="preserve"> Department assumes an hourly </w:t>
      </w:r>
      <w:r w:rsidR="00411721">
        <w:rPr>
          <w:b w:val="0"/>
          <w:bCs w:val="0"/>
          <w:sz w:val="24"/>
        </w:rPr>
        <w:t>labor cost</w:t>
      </w:r>
      <w:r w:rsidRPr="00F457C1" w:rsidR="00411721">
        <w:rPr>
          <w:b w:val="0"/>
          <w:bCs w:val="0"/>
          <w:sz w:val="24"/>
        </w:rPr>
        <w:t xml:space="preserve"> </w:t>
      </w:r>
      <w:r w:rsidRPr="00F457C1">
        <w:rPr>
          <w:b w:val="0"/>
          <w:bCs w:val="0"/>
          <w:sz w:val="24"/>
        </w:rPr>
        <w:t xml:space="preserve">rate of </w:t>
      </w:r>
      <w:r w:rsidRPr="00D35325" w:rsidR="00D35325">
        <w:rPr>
          <w:b w:val="0"/>
          <w:bCs w:val="0"/>
          <w:sz w:val="24"/>
        </w:rPr>
        <w:t>$55.23</w:t>
      </w:r>
      <w:r w:rsidRPr="00F457C1">
        <w:rPr>
          <w:b w:val="0"/>
          <w:bCs w:val="0"/>
          <w:sz w:val="24"/>
        </w:rPr>
        <w:t>.</w:t>
      </w:r>
      <w:r w:rsidRPr="00C419DD" w:rsidR="000459FE">
        <w:rPr>
          <w:rStyle w:val="FootnoteReference"/>
          <w:b w:val="0"/>
          <w:bCs w:val="0"/>
          <w:sz w:val="24"/>
          <w:vertAlign w:val="superscript"/>
        </w:rPr>
        <w:footnoteReference w:id="2"/>
      </w:r>
    </w:p>
    <w:p w:rsidRPr="00F457C1" w:rsidR="00F457C1" w:rsidP="007D0E51" w:rsidRDefault="00F457C1" w14:paraId="7760EDDA" w14:textId="77777777">
      <w:pPr>
        <w:widowControl/>
        <w:ind w:left="720"/>
        <w:rPr>
          <w:b w:val="0"/>
          <w:bCs w:val="0"/>
          <w:sz w:val="24"/>
        </w:rPr>
      </w:pPr>
    </w:p>
    <w:p w:rsidRPr="00F457C1" w:rsidR="00F457C1" w:rsidP="007D0E51" w:rsidRDefault="00F457C1" w14:paraId="5C91C346" w14:textId="77777777">
      <w:pPr>
        <w:widowControl/>
        <w:ind w:left="720"/>
        <w:rPr>
          <w:b w:val="0"/>
          <w:bCs w:val="0"/>
          <w:sz w:val="24"/>
        </w:rPr>
      </w:pPr>
      <w:r w:rsidRPr="00F457C1">
        <w:rPr>
          <w:b w:val="0"/>
          <w:bCs w:val="0"/>
          <w:sz w:val="24"/>
        </w:rPr>
        <w:t xml:space="preserve">Information recently received from the National Association of Real Estate Investment Trusts (NAREIT) indicates that, as of </w:t>
      </w:r>
      <w:r w:rsidR="00D35325">
        <w:rPr>
          <w:b w:val="0"/>
          <w:bCs w:val="0"/>
          <w:sz w:val="24"/>
        </w:rPr>
        <w:t>November 30</w:t>
      </w:r>
      <w:r w:rsidR="00411721">
        <w:rPr>
          <w:b w:val="0"/>
          <w:bCs w:val="0"/>
          <w:sz w:val="24"/>
        </w:rPr>
        <w:t xml:space="preserve">, </w:t>
      </w:r>
      <w:r w:rsidR="00D35325">
        <w:rPr>
          <w:b w:val="0"/>
          <w:bCs w:val="0"/>
          <w:sz w:val="24"/>
        </w:rPr>
        <w:t>2021</w:t>
      </w:r>
      <w:r w:rsidRPr="00F457C1">
        <w:rPr>
          <w:b w:val="0"/>
          <w:bCs w:val="0"/>
          <w:sz w:val="24"/>
        </w:rPr>
        <w:t xml:space="preserve">, there were </w:t>
      </w:r>
      <w:r w:rsidR="00D35325">
        <w:rPr>
          <w:b w:val="0"/>
          <w:bCs w:val="0"/>
          <w:sz w:val="24"/>
        </w:rPr>
        <w:t>219</w:t>
      </w:r>
      <w:r w:rsidRPr="00F457C1" w:rsidR="00D35325">
        <w:rPr>
          <w:b w:val="0"/>
          <w:bCs w:val="0"/>
          <w:sz w:val="24"/>
        </w:rPr>
        <w:t xml:space="preserve"> </w:t>
      </w:r>
      <w:r w:rsidRPr="00F457C1">
        <w:rPr>
          <w:b w:val="0"/>
          <w:bCs w:val="0"/>
          <w:sz w:val="24"/>
        </w:rPr>
        <w:t xml:space="preserve">publicly traded REITS, with </w:t>
      </w:r>
      <w:r w:rsidR="00D35325">
        <w:rPr>
          <w:b w:val="0"/>
          <w:bCs w:val="0"/>
          <w:sz w:val="24"/>
        </w:rPr>
        <w:t>67</w:t>
      </w:r>
      <w:r w:rsidRPr="00F457C1" w:rsidR="00411721">
        <w:rPr>
          <w:b w:val="0"/>
          <w:bCs w:val="0"/>
          <w:sz w:val="24"/>
        </w:rPr>
        <w:t xml:space="preserve"> </w:t>
      </w:r>
      <w:r w:rsidRPr="00F457C1">
        <w:rPr>
          <w:b w:val="0"/>
          <w:bCs w:val="0"/>
          <w:sz w:val="24"/>
        </w:rPr>
        <w:t xml:space="preserve">organized as Trust REITs, the only entities affected by this information collection.  In comments submitted to the Department in connection with the promulgation of this class exemption, NAREIT indicated that all eligible Trust REITs were expected to rely on the exemption.  The Department continues to assume the validity of this assumption.  The Department therefore estimates that </w:t>
      </w:r>
      <w:r w:rsidR="00D35325">
        <w:rPr>
          <w:b w:val="0"/>
          <w:bCs w:val="0"/>
          <w:sz w:val="24"/>
        </w:rPr>
        <w:t>67</w:t>
      </w:r>
      <w:r w:rsidRPr="00F457C1" w:rsidR="00D35325">
        <w:rPr>
          <w:b w:val="0"/>
          <w:bCs w:val="0"/>
          <w:sz w:val="24"/>
        </w:rPr>
        <w:t xml:space="preserve"> </w:t>
      </w:r>
      <w:r w:rsidRPr="00F457C1">
        <w:rPr>
          <w:b w:val="0"/>
          <w:bCs w:val="0"/>
          <w:sz w:val="24"/>
        </w:rPr>
        <w:t>respondents will be affected by this information collection.</w:t>
      </w:r>
    </w:p>
    <w:p w:rsidRPr="00F457C1" w:rsidR="00F457C1" w:rsidP="007D0E51" w:rsidRDefault="00F457C1" w14:paraId="5EFD30AA" w14:textId="77777777">
      <w:pPr>
        <w:widowControl/>
        <w:ind w:left="720"/>
        <w:rPr>
          <w:b w:val="0"/>
          <w:bCs w:val="0"/>
          <w:sz w:val="24"/>
        </w:rPr>
      </w:pPr>
    </w:p>
    <w:p w:rsidR="004B35B8" w:rsidP="007D0E51" w:rsidRDefault="00F457C1" w14:paraId="3240DA9A" w14:textId="2EADF79A">
      <w:pPr>
        <w:widowControl/>
        <w:ind w:left="720"/>
        <w:rPr>
          <w:b w:val="0"/>
          <w:bCs w:val="0"/>
          <w:sz w:val="24"/>
        </w:rPr>
      </w:pPr>
      <w:r w:rsidRPr="00F457C1">
        <w:rPr>
          <w:b w:val="0"/>
          <w:bCs w:val="0"/>
          <w:sz w:val="24"/>
        </w:rPr>
        <w:t xml:space="preserve">When a plan fiduciary has the authority to direct investment in the Trust REIT, the Trust REIT (or its agent or affiliate) must furnish the prospectuses and reports to the fiduciary, initially and as they are subsequently published.  In any case in which a participant has the authority to direct investment of his or her individual account assets in a Trust REIT, </w:t>
      </w:r>
      <w:r w:rsidRPr="00F457C1">
        <w:rPr>
          <w:b w:val="0"/>
          <w:bCs w:val="0"/>
          <w:sz w:val="24"/>
        </w:rPr>
        <w:lastRenderedPageBreak/>
        <w:t xml:space="preserve">the Trust REIT (or its agent or affiliate) must furnish the prospectuses and reports to the participant.  The Department has assumed, for this analysis, that all plans associated with Trust REITs will permit investment direction by the participants.  Further, although electronic distribution of such documents is permitted under the Department’s regulations, the Department has assumed, for this analysis, that these reports will be distributed by mail to participants, based on </w:t>
      </w:r>
      <w:r w:rsidR="009F1B34">
        <w:rPr>
          <w:b w:val="0"/>
          <w:bCs w:val="0"/>
          <w:sz w:val="24"/>
        </w:rPr>
        <w:t xml:space="preserve">past </w:t>
      </w:r>
      <w:r w:rsidRPr="00F457C1">
        <w:rPr>
          <w:b w:val="0"/>
          <w:bCs w:val="0"/>
          <w:sz w:val="24"/>
        </w:rPr>
        <w:t>conversation with NAREIT concerning practices of Trust REITs.  Finally, the Department assumes the fourth quarter report will be distributed with or incorporated into the annual report.  Therefore, each participant in a plan associated with a Trust REIT will receive by mail three information packages from the plan.</w:t>
      </w:r>
    </w:p>
    <w:p w:rsidR="004B35B8" w:rsidP="007D0E51" w:rsidRDefault="004B35B8" w14:paraId="7D0F0E8C" w14:textId="77777777">
      <w:pPr>
        <w:widowControl/>
        <w:ind w:left="720"/>
        <w:rPr>
          <w:b w:val="0"/>
          <w:bCs w:val="0"/>
          <w:sz w:val="24"/>
        </w:rPr>
      </w:pPr>
    </w:p>
    <w:p w:rsidRPr="00F457C1" w:rsidR="004B35B8" w:rsidP="007D0E51" w:rsidRDefault="004B35B8" w14:paraId="45AE1170" w14:textId="4D807C97">
      <w:pPr>
        <w:widowControl/>
        <w:ind w:left="720"/>
        <w:rPr>
          <w:b w:val="0"/>
          <w:bCs w:val="0"/>
          <w:sz w:val="24"/>
        </w:rPr>
      </w:pPr>
      <w:r w:rsidRPr="00F457C1">
        <w:rPr>
          <w:b w:val="0"/>
          <w:bCs w:val="0"/>
          <w:sz w:val="24"/>
        </w:rPr>
        <w:t xml:space="preserve">NAREIT indicates that each Trust REIT has an average number of 700 employees eligible to participate in its pension plan, for a total of </w:t>
      </w:r>
      <w:r w:rsidR="00D35325">
        <w:rPr>
          <w:b w:val="0"/>
          <w:bCs w:val="0"/>
          <w:sz w:val="24"/>
        </w:rPr>
        <w:t>46,900</w:t>
      </w:r>
      <w:r w:rsidRPr="00F457C1">
        <w:rPr>
          <w:b w:val="0"/>
          <w:bCs w:val="0"/>
          <w:sz w:val="24"/>
        </w:rPr>
        <w:t xml:space="preserve"> eligible employees (</w:t>
      </w:r>
      <w:r w:rsidR="00D35325">
        <w:rPr>
          <w:b w:val="0"/>
          <w:bCs w:val="0"/>
          <w:sz w:val="24"/>
        </w:rPr>
        <w:t>67</w:t>
      </w:r>
      <w:r w:rsidRPr="00F457C1" w:rsidR="00D35325">
        <w:rPr>
          <w:b w:val="0"/>
          <w:bCs w:val="0"/>
          <w:sz w:val="24"/>
        </w:rPr>
        <w:t xml:space="preserve"> </w:t>
      </w:r>
      <w:r w:rsidRPr="00F457C1">
        <w:rPr>
          <w:b w:val="0"/>
          <w:bCs w:val="0"/>
          <w:sz w:val="24"/>
        </w:rPr>
        <w:t xml:space="preserve">plans x 700 employees).  The Department assumes that all employees eligible to participate in a Trust REIT plan will do so and further that all plans will engage in Trust REIT share transactions and will permit the participants to make investment decisions.  The number of responses anticipated annually under this information collection is therefore </w:t>
      </w:r>
      <w:r w:rsidRPr="00D35325" w:rsidR="00D35325">
        <w:rPr>
          <w:b w:val="0"/>
          <w:bCs w:val="0"/>
          <w:sz w:val="24"/>
        </w:rPr>
        <w:t>140,700</w:t>
      </w:r>
      <w:r w:rsidRPr="00D35325" w:rsidDel="00D35325" w:rsidR="00D35325">
        <w:rPr>
          <w:b w:val="0"/>
          <w:bCs w:val="0"/>
          <w:sz w:val="24"/>
        </w:rPr>
        <w:t xml:space="preserve"> </w:t>
      </w:r>
      <w:r w:rsidRPr="00F457C1">
        <w:rPr>
          <w:b w:val="0"/>
          <w:bCs w:val="0"/>
          <w:sz w:val="24"/>
        </w:rPr>
        <w:t>(</w:t>
      </w:r>
      <w:r w:rsidR="00D35325">
        <w:rPr>
          <w:b w:val="0"/>
          <w:bCs w:val="0"/>
          <w:sz w:val="24"/>
        </w:rPr>
        <w:t>67</w:t>
      </w:r>
      <w:r w:rsidRPr="00F457C1" w:rsidR="00D35325">
        <w:rPr>
          <w:b w:val="0"/>
          <w:bCs w:val="0"/>
          <w:sz w:val="24"/>
        </w:rPr>
        <w:t xml:space="preserve"> </w:t>
      </w:r>
      <w:r w:rsidRPr="00F457C1">
        <w:rPr>
          <w:b w:val="0"/>
          <w:bCs w:val="0"/>
          <w:sz w:val="24"/>
        </w:rPr>
        <w:t xml:space="preserve">Trust REITs </w:t>
      </w:r>
      <w:r w:rsidR="00824765">
        <w:rPr>
          <w:b w:val="0"/>
          <w:bCs w:val="0"/>
          <w:sz w:val="24"/>
        </w:rPr>
        <w:t>times</w:t>
      </w:r>
      <w:r w:rsidRPr="00F457C1" w:rsidR="00824765">
        <w:rPr>
          <w:b w:val="0"/>
          <w:bCs w:val="0"/>
          <w:sz w:val="24"/>
        </w:rPr>
        <w:t xml:space="preserve"> </w:t>
      </w:r>
      <w:r w:rsidRPr="00F457C1">
        <w:rPr>
          <w:b w:val="0"/>
          <w:bCs w:val="0"/>
          <w:sz w:val="24"/>
        </w:rPr>
        <w:t>3 quarterly reports</w:t>
      </w:r>
      <w:r w:rsidR="00824765">
        <w:rPr>
          <w:b w:val="0"/>
          <w:bCs w:val="0"/>
          <w:sz w:val="24"/>
        </w:rPr>
        <w:t xml:space="preserve"> per Trust REIT times 700 average number of employees per Trust REIT</w:t>
      </w:r>
      <w:r w:rsidRPr="00F457C1">
        <w:rPr>
          <w:b w:val="0"/>
          <w:bCs w:val="0"/>
          <w:sz w:val="24"/>
        </w:rPr>
        <w:t>).</w:t>
      </w:r>
    </w:p>
    <w:p w:rsidRPr="00F457C1" w:rsidR="004B35B8" w:rsidP="007D0E51" w:rsidRDefault="004B35B8" w14:paraId="41DFC3D7" w14:textId="77777777">
      <w:pPr>
        <w:widowControl/>
        <w:ind w:left="720"/>
        <w:rPr>
          <w:b w:val="0"/>
          <w:bCs w:val="0"/>
          <w:sz w:val="24"/>
        </w:rPr>
      </w:pPr>
    </w:p>
    <w:p w:rsidRPr="00F457C1" w:rsidR="00F457C1" w:rsidP="007D0E51" w:rsidRDefault="00F457C1" w14:paraId="4068D3E4" w14:textId="77777777">
      <w:pPr>
        <w:widowControl/>
        <w:ind w:left="720"/>
        <w:rPr>
          <w:b w:val="0"/>
          <w:bCs w:val="0"/>
          <w:sz w:val="24"/>
        </w:rPr>
      </w:pPr>
      <w:r w:rsidRPr="00F457C1">
        <w:rPr>
          <w:b w:val="0"/>
          <w:bCs w:val="0"/>
          <w:sz w:val="24"/>
        </w:rPr>
        <w:t xml:space="preserve">Because Trust REITs will make use of modern employee tracking database software to prepare the information for mailing (addressing envelopes via </w:t>
      </w:r>
      <w:proofErr w:type="gramStart"/>
      <w:r w:rsidRPr="00F457C1">
        <w:rPr>
          <w:b w:val="0"/>
          <w:bCs w:val="0"/>
          <w:sz w:val="24"/>
        </w:rPr>
        <w:t>high speed</w:t>
      </w:r>
      <w:proofErr w:type="gramEnd"/>
      <w:r w:rsidRPr="00F457C1">
        <w:rPr>
          <w:b w:val="0"/>
          <w:bCs w:val="0"/>
          <w:sz w:val="24"/>
        </w:rPr>
        <w:t xml:space="preserve"> printer, etc.), the Department estimates that 3 minutes of clerical time will be required to prepare and mail each information package.  The total annual </w:t>
      </w:r>
      <w:r w:rsidR="00356E99">
        <w:rPr>
          <w:b w:val="0"/>
          <w:bCs w:val="0"/>
          <w:sz w:val="24"/>
        </w:rPr>
        <w:t xml:space="preserve">hour </w:t>
      </w:r>
      <w:r w:rsidRPr="00F457C1">
        <w:rPr>
          <w:b w:val="0"/>
          <w:bCs w:val="0"/>
          <w:sz w:val="24"/>
        </w:rPr>
        <w:t xml:space="preserve">burden for distribution of information packages is </w:t>
      </w:r>
      <w:r w:rsidRPr="00132BB3" w:rsidR="00132BB3">
        <w:rPr>
          <w:b w:val="0"/>
          <w:bCs w:val="0"/>
          <w:sz w:val="24"/>
        </w:rPr>
        <w:t>7,035</w:t>
      </w:r>
      <w:r w:rsidR="00132BB3">
        <w:rPr>
          <w:b w:val="0"/>
          <w:bCs w:val="0"/>
          <w:sz w:val="24"/>
        </w:rPr>
        <w:t xml:space="preserve"> </w:t>
      </w:r>
      <w:r w:rsidRPr="00F457C1">
        <w:rPr>
          <w:b w:val="0"/>
          <w:bCs w:val="0"/>
          <w:sz w:val="24"/>
        </w:rPr>
        <w:t xml:space="preserve">hours (3 minutes x </w:t>
      </w:r>
      <w:r w:rsidRPr="00132BB3" w:rsidR="00132BB3">
        <w:rPr>
          <w:b w:val="0"/>
          <w:bCs w:val="0"/>
          <w:sz w:val="24"/>
        </w:rPr>
        <w:t xml:space="preserve">46,900 </w:t>
      </w:r>
      <w:r w:rsidRPr="00F457C1">
        <w:rPr>
          <w:b w:val="0"/>
          <w:bCs w:val="0"/>
          <w:sz w:val="24"/>
        </w:rPr>
        <w:t>participants x 3 mailing</w:t>
      </w:r>
      <w:r w:rsidR="00D915D4">
        <w:rPr>
          <w:b w:val="0"/>
          <w:bCs w:val="0"/>
          <w:sz w:val="24"/>
        </w:rPr>
        <w:t>s</w:t>
      </w:r>
      <w:r w:rsidRPr="00F457C1">
        <w:rPr>
          <w:b w:val="0"/>
          <w:bCs w:val="0"/>
          <w:sz w:val="24"/>
        </w:rPr>
        <w:t xml:space="preserve"> per year).  At </w:t>
      </w:r>
      <w:r w:rsidRPr="00132BB3" w:rsidR="00132BB3">
        <w:rPr>
          <w:b w:val="0"/>
          <w:bCs w:val="0"/>
          <w:sz w:val="24"/>
        </w:rPr>
        <w:t>$55.23</w:t>
      </w:r>
      <w:r w:rsidR="00132BB3">
        <w:rPr>
          <w:b w:val="0"/>
          <w:bCs w:val="0"/>
          <w:sz w:val="24"/>
        </w:rPr>
        <w:t xml:space="preserve"> </w:t>
      </w:r>
      <w:r w:rsidRPr="00F457C1">
        <w:rPr>
          <w:b w:val="0"/>
          <w:bCs w:val="0"/>
          <w:sz w:val="24"/>
        </w:rPr>
        <w:t xml:space="preserve">per clerical hour, the equivalent cost of these burden hours is </w:t>
      </w:r>
      <w:r w:rsidR="00D915D4">
        <w:rPr>
          <w:b w:val="0"/>
          <w:bCs w:val="0"/>
          <w:sz w:val="24"/>
        </w:rPr>
        <w:t xml:space="preserve">approximately </w:t>
      </w:r>
      <w:r w:rsidRPr="00132BB3" w:rsidR="00132BB3">
        <w:rPr>
          <w:b w:val="0"/>
          <w:bCs w:val="0"/>
          <w:sz w:val="24"/>
        </w:rPr>
        <w:t>$388,520</w:t>
      </w:r>
      <w:r w:rsidRPr="00F457C1">
        <w:rPr>
          <w:b w:val="0"/>
          <w:bCs w:val="0"/>
          <w:sz w:val="24"/>
        </w:rPr>
        <w:t>.</w:t>
      </w:r>
    </w:p>
    <w:p w:rsidRPr="00F457C1" w:rsidR="00F457C1" w:rsidP="007D0E51" w:rsidRDefault="00F457C1" w14:paraId="1095A1EE" w14:textId="77777777">
      <w:pPr>
        <w:widowControl/>
        <w:ind w:left="720"/>
        <w:rPr>
          <w:b w:val="0"/>
          <w:bCs w:val="0"/>
          <w:sz w:val="24"/>
        </w:rPr>
      </w:pPr>
    </w:p>
    <w:p w:rsidRPr="00F457C1" w:rsidR="00F457C1" w:rsidP="007D0E51" w:rsidRDefault="00F457C1" w14:paraId="5771E19B" w14:textId="77777777">
      <w:pPr>
        <w:widowControl/>
        <w:ind w:left="720"/>
        <w:rPr>
          <w:b w:val="0"/>
          <w:bCs w:val="0"/>
          <w:sz w:val="24"/>
        </w:rPr>
      </w:pPr>
      <w:r w:rsidRPr="00F457C1">
        <w:rPr>
          <w:b w:val="0"/>
          <w:bCs w:val="0"/>
          <w:sz w:val="24"/>
        </w:rPr>
        <w:t xml:space="preserve">A plan that invests in Trust REIT shares must provide its participants, in writing, a description of the confidentiality procedures in place to protect information relating to purchase, holding and sale of Trust REIT shares and participants’ exercise of voting, tender and other similar rights with respect to such shares.  The description must include the name, </w:t>
      </w:r>
      <w:proofErr w:type="gramStart"/>
      <w:r w:rsidRPr="00F457C1">
        <w:rPr>
          <w:b w:val="0"/>
          <w:bCs w:val="0"/>
          <w:sz w:val="24"/>
        </w:rPr>
        <w:t>address</w:t>
      </w:r>
      <w:proofErr w:type="gramEnd"/>
      <w:r w:rsidRPr="00F457C1">
        <w:rPr>
          <w:b w:val="0"/>
          <w:bCs w:val="0"/>
          <w:sz w:val="24"/>
        </w:rPr>
        <w:t xml:space="preserve"> and phone number of fiduciary responsible for monitoring c</w:t>
      </w:r>
      <w:r w:rsidR="00A021D7">
        <w:rPr>
          <w:b w:val="0"/>
          <w:bCs w:val="0"/>
          <w:sz w:val="24"/>
        </w:rPr>
        <w:t xml:space="preserve">ompliance with the procedures. </w:t>
      </w:r>
      <w:r w:rsidRPr="00F457C1">
        <w:rPr>
          <w:b w:val="0"/>
          <w:bCs w:val="0"/>
          <w:sz w:val="24"/>
        </w:rPr>
        <w:t xml:space="preserve"> The Department believes that plans will include this information in the initial enrollment packet given to eligible employees upon their entry to the plan.  Because this information is unlikely to change substantially from year to year, and because initial enrollment packets must be reviewed and updated regularly as part of the plan’s usual and customary practices, the Department believes that this requirement adds no appreciable additional burden to the plan’s operations.</w:t>
      </w:r>
    </w:p>
    <w:p w:rsidRPr="00F457C1" w:rsidR="00F457C1" w:rsidP="007D0E51" w:rsidRDefault="00F457C1" w14:paraId="46E8CF59" w14:textId="77777777">
      <w:pPr>
        <w:widowControl/>
        <w:ind w:left="720"/>
        <w:rPr>
          <w:b w:val="0"/>
          <w:bCs w:val="0"/>
          <w:sz w:val="24"/>
        </w:rPr>
      </w:pPr>
    </w:p>
    <w:p w:rsidRPr="00F457C1" w:rsidR="00F457C1" w:rsidP="007D0E51" w:rsidRDefault="00F457C1" w14:paraId="6C677394" w14:textId="77777777">
      <w:pPr>
        <w:widowControl/>
        <w:ind w:left="720"/>
        <w:rPr>
          <w:b w:val="0"/>
          <w:bCs w:val="0"/>
          <w:sz w:val="24"/>
        </w:rPr>
      </w:pPr>
      <w:r w:rsidRPr="00F457C1">
        <w:rPr>
          <w:b w:val="0"/>
          <w:bCs w:val="0"/>
          <w:sz w:val="24"/>
        </w:rPr>
        <w:lastRenderedPageBreak/>
        <w:t xml:space="preserve">The six-year recordkeeping requirement of the exemption is consistent with other ERISA recordkeeping requirements and with requirements pertaining to maintenance of tax records, and so is expected to add only a minimal additional burden to existing practices.  For purposes of this analysis, the Department assumes that each Trust REIT (or its employer affiliates) will need an additional ten minutes annually of clerical time to review records and make disclosures as necessary, for an additional hour burden of approximately </w:t>
      </w:r>
      <w:r w:rsidR="007B3646">
        <w:rPr>
          <w:b w:val="0"/>
          <w:bCs w:val="0"/>
          <w:sz w:val="24"/>
        </w:rPr>
        <w:t xml:space="preserve">11.17 </w:t>
      </w:r>
      <w:r w:rsidRPr="00F457C1">
        <w:rPr>
          <w:b w:val="0"/>
          <w:bCs w:val="0"/>
          <w:sz w:val="24"/>
        </w:rPr>
        <w:t>hours (</w:t>
      </w:r>
      <w:r w:rsidR="007B3646">
        <w:rPr>
          <w:b w:val="0"/>
          <w:bCs w:val="0"/>
          <w:sz w:val="24"/>
        </w:rPr>
        <w:t>67</w:t>
      </w:r>
      <w:r w:rsidRPr="00F457C1" w:rsidR="007B3646">
        <w:rPr>
          <w:b w:val="0"/>
          <w:bCs w:val="0"/>
          <w:sz w:val="24"/>
        </w:rPr>
        <w:t xml:space="preserve"> </w:t>
      </w:r>
      <w:r w:rsidRPr="00F457C1">
        <w:rPr>
          <w:b w:val="0"/>
          <w:bCs w:val="0"/>
          <w:sz w:val="24"/>
        </w:rPr>
        <w:t xml:space="preserve">Trust REITs x 10 minutes = </w:t>
      </w:r>
      <w:r w:rsidR="007B3646">
        <w:rPr>
          <w:b w:val="0"/>
          <w:bCs w:val="0"/>
          <w:sz w:val="24"/>
        </w:rPr>
        <w:t>11.17</w:t>
      </w:r>
      <w:r w:rsidRPr="00F457C1" w:rsidR="003D66E2">
        <w:rPr>
          <w:b w:val="0"/>
          <w:bCs w:val="0"/>
          <w:sz w:val="24"/>
        </w:rPr>
        <w:t xml:space="preserve"> </w:t>
      </w:r>
      <w:r w:rsidRPr="00F457C1">
        <w:rPr>
          <w:b w:val="0"/>
          <w:bCs w:val="0"/>
          <w:sz w:val="24"/>
        </w:rPr>
        <w:t>hours)</w:t>
      </w:r>
      <w:r w:rsidR="007B18FB">
        <w:rPr>
          <w:b w:val="0"/>
          <w:bCs w:val="0"/>
          <w:sz w:val="24"/>
        </w:rPr>
        <w:t xml:space="preserve"> with an equivalent cost of approximately </w:t>
      </w:r>
      <w:r w:rsidR="001C5E6C">
        <w:rPr>
          <w:b w:val="0"/>
          <w:bCs w:val="0"/>
          <w:sz w:val="24"/>
        </w:rPr>
        <w:t>$616.7</w:t>
      </w:r>
      <w:r w:rsidR="0013464A">
        <w:rPr>
          <w:b w:val="0"/>
          <w:bCs w:val="0"/>
          <w:sz w:val="24"/>
        </w:rPr>
        <w:t>.</w:t>
      </w:r>
    </w:p>
    <w:p w:rsidRPr="00F457C1" w:rsidR="00F457C1" w:rsidP="007D0E51" w:rsidRDefault="00F457C1" w14:paraId="57C9E455" w14:textId="77777777">
      <w:pPr>
        <w:widowControl/>
        <w:ind w:left="720"/>
        <w:rPr>
          <w:b w:val="0"/>
          <w:bCs w:val="0"/>
          <w:sz w:val="24"/>
        </w:rPr>
      </w:pPr>
    </w:p>
    <w:p w:rsidR="003931C8" w:rsidP="007D0E51" w:rsidRDefault="00F457C1" w14:paraId="77497C8C" w14:textId="77777777">
      <w:pPr>
        <w:widowControl/>
        <w:ind w:left="720"/>
        <w:rPr>
          <w:b w:val="0"/>
          <w:bCs w:val="0"/>
          <w:sz w:val="24"/>
        </w:rPr>
      </w:pPr>
      <w:r w:rsidRPr="00F457C1">
        <w:rPr>
          <w:b w:val="0"/>
          <w:bCs w:val="0"/>
          <w:sz w:val="24"/>
        </w:rPr>
        <w:t xml:space="preserve">In sum, the Department estimates that the total hour burden for the information collection requirements under this exemption will be </w:t>
      </w:r>
      <w:r w:rsidR="00B56073">
        <w:rPr>
          <w:b w:val="0"/>
          <w:bCs w:val="0"/>
          <w:sz w:val="24"/>
        </w:rPr>
        <w:t>7,046</w:t>
      </w:r>
      <w:r w:rsidR="003D66E2">
        <w:rPr>
          <w:b w:val="0"/>
          <w:bCs w:val="0"/>
          <w:sz w:val="24"/>
        </w:rPr>
        <w:t xml:space="preserve"> </w:t>
      </w:r>
      <w:r w:rsidRPr="00F457C1">
        <w:rPr>
          <w:b w:val="0"/>
          <w:bCs w:val="0"/>
          <w:sz w:val="24"/>
        </w:rPr>
        <w:t>hours (</w:t>
      </w:r>
      <w:r w:rsidRPr="00B56073" w:rsidR="00B56073">
        <w:rPr>
          <w:b w:val="0"/>
          <w:bCs w:val="0"/>
          <w:sz w:val="24"/>
        </w:rPr>
        <w:t>7</w:t>
      </w:r>
      <w:r w:rsidR="00B56073">
        <w:rPr>
          <w:b w:val="0"/>
          <w:bCs w:val="0"/>
          <w:sz w:val="24"/>
        </w:rPr>
        <w:t>,</w:t>
      </w:r>
      <w:r w:rsidRPr="00B56073" w:rsidR="00B56073">
        <w:rPr>
          <w:b w:val="0"/>
          <w:bCs w:val="0"/>
          <w:sz w:val="24"/>
        </w:rPr>
        <w:t>035</w:t>
      </w:r>
      <w:r w:rsidR="00B56073">
        <w:rPr>
          <w:b w:val="0"/>
          <w:bCs w:val="0"/>
          <w:sz w:val="24"/>
        </w:rPr>
        <w:t xml:space="preserve"> </w:t>
      </w:r>
      <w:r w:rsidRPr="00F457C1">
        <w:rPr>
          <w:b w:val="0"/>
          <w:bCs w:val="0"/>
          <w:sz w:val="24"/>
        </w:rPr>
        <w:t xml:space="preserve">hours + </w:t>
      </w:r>
      <w:r w:rsidR="00B56073">
        <w:rPr>
          <w:b w:val="0"/>
          <w:bCs w:val="0"/>
          <w:sz w:val="24"/>
        </w:rPr>
        <w:t>11.17</w:t>
      </w:r>
      <w:r w:rsidRPr="00F457C1" w:rsidR="003D66E2">
        <w:rPr>
          <w:b w:val="0"/>
          <w:bCs w:val="0"/>
          <w:sz w:val="24"/>
        </w:rPr>
        <w:t xml:space="preserve"> </w:t>
      </w:r>
      <w:r w:rsidRPr="00F457C1">
        <w:rPr>
          <w:b w:val="0"/>
          <w:bCs w:val="0"/>
          <w:sz w:val="24"/>
        </w:rPr>
        <w:t xml:space="preserve">hours).  The equivalent cost of this hour burden is estimated at </w:t>
      </w:r>
      <w:r w:rsidRPr="00B56073" w:rsidR="00B56073">
        <w:rPr>
          <w:b w:val="0"/>
          <w:bCs w:val="0"/>
          <w:sz w:val="24"/>
        </w:rPr>
        <w:t>$389,137</w:t>
      </w:r>
      <w:r w:rsidRPr="00B56073" w:rsidDel="00B56073" w:rsidR="00B56073">
        <w:rPr>
          <w:b w:val="0"/>
          <w:bCs w:val="0"/>
          <w:sz w:val="24"/>
        </w:rPr>
        <w:t xml:space="preserve"> </w:t>
      </w:r>
      <w:r w:rsidR="00B56073">
        <w:rPr>
          <w:b w:val="0"/>
          <w:bCs w:val="0"/>
          <w:sz w:val="24"/>
        </w:rPr>
        <w:t>(</w:t>
      </w:r>
      <w:r w:rsidRPr="00B56073" w:rsidR="00B56073">
        <w:rPr>
          <w:b w:val="0"/>
          <w:bCs w:val="0"/>
          <w:sz w:val="24"/>
        </w:rPr>
        <w:t>$388,520</w:t>
      </w:r>
      <w:r w:rsidR="00D378EB">
        <w:rPr>
          <w:b w:val="0"/>
          <w:bCs w:val="0"/>
          <w:sz w:val="24"/>
        </w:rPr>
        <w:t xml:space="preserve"> </w:t>
      </w:r>
      <w:r w:rsidR="007B18FB">
        <w:rPr>
          <w:b w:val="0"/>
          <w:bCs w:val="0"/>
          <w:sz w:val="24"/>
        </w:rPr>
        <w:t xml:space="preserve">+ </w:t>
      </w:r>
      <w:r w:rsidRPr="00B56073" w:rsidR="00B56073">
        <w:rPr>
          <w:b w:val="0"/>
          <w:bCs w:val="0"/>
          <w:sz w:val="24"/>
        </w:rPr>
        <w:t>$617</w:t>
      </w:r>
      <w:r w:rsidRPr="00F457C1">
        <w:rPr>
          <w:b w:val="0"/>
          <w:bCs w:val="0"/>
          <w:sz w:val="24"/>
        </w:rPr>
        <w:t>).</w:t>
      </w:r>
    </w:p>
    <w:p w:rsidR="005E79D1" w:rsidP="007D0E51" w:rsidRDefault="00D378EB" w14:paraId="593C07BC" w14:textId="77777777">
      <w:pPr>
        <w:widowControl/>
        <w:ind w:left="720"/>
        <w:rPr>
          <w:b w:val="0"/>
          <w:bCs w:val="0"/>
          <w:sz w:val="24"/>
        </w:rPr>
      </w:pPr>
      <w:r>
        <w:rPr>
          <w:b w:val="0"/>
          <w:bCs w:val="0"/>
          <w:sz w:val="24"/>
        </w:rPr>
        <w:t xml:space="preserve"> </w:t>
      </w:r>
    </w:p>
    <w:p w:rsidRPr="00B00B3E" w:rsidR="005E79D1" w:rsidP="005E79D1" w:rsidRDefault="005E79D1" w14:paraId="6F01A151" w14:textId="77777777">
      <w:pPr>
        <w:widowControl/>
        <w:autoSpaceDE/>
        <w:autoSpaceDN/>
        <w:adjustRightInd/>
        <w:ind w:left="720"/>
        <w:jc w:val="center"/>
        <w:rPr>
          <w:i/>
          <w:iCs/>
          <w:sz w:val="24"/>
          <w:szCs w:val="24"/>
        </w:rPr>
      </w:pPr>
      <w:r w:rsidRPr="00B00B3E">
        <w:rPr>
          <w:iCs/>
          <w:sz w:val="24"/>
          <w:szCs w:val="24"/>
        </w:rPr>
        <w:t>Estimated Annualized Respondent Cost and Hour Burden</w:t>
      </w:r>
    </w:p>
    <w:p w:rsidRPr="00E01820" w:rsidR="005E79D1" w:rsidP="005E79D1" w:rsidRDefault="005E79D1" w14:paraId="2C96A174" w14:textId="77777777">
      <w:pPr>
        <w:widowControl/>
        <w:autoSpaceDE/>
        <w:autoSpaceDN/>
        <w:adjustRightInd/>
        <w:ind w:left="720"/>
        <w:rPr>
          <w:iCs/>
        </w:rPr>
      </w:pPr>
    </w:p>
    <w:tbl>
      <w:tblPr>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2"/>
        <w:gridCol w:w="1422"/>
        <w:gridCol w:w="1343"/>
        <w:gridCol w:w="1198"/>
        <w:gridCol w:w="1044"/>
        <w:gridCol w:w="989"/>
        <w:gridCol w:w="900"/>
        <w:gridCol w:w="1257"/>
      </w:tblGrid>
      <w:tr w:rsidRPr="00E01820" w:rsidR="005E79D1" w:rsidTr="00801D8C" w14:paraId="2C7EAE82" w14:textId="77777777">
        <w:tc>
          <w:tcPr>
            <w:tcW w:w="1803" w:type="dxa"/>
            <w:tcBorders>
              <w:top w:val="single" w:color="auto" w:sz="4" w:space="0"/>
              <w:left w:val="single" w:color="auto" w:sz="4" w:space="0"/>
              <w:bottom w:val="single" w:color="auto" w:sz="4" w:space="0"/>
              <w:right w:val="single" w:color="auto" w:sz="4" w:space="0"/>
            </w:tcBorders>
            <w:shd w:val="clear" w:color="auto" w:fill="8DB3E2"/>
            <w:vAlign w:val="center"/>
          </w:tcPr>
          <w:p w:rsidRPr="00E01820" w:rsidR="005E79D1" w:rsidP="00801D8C" w:rsidRDefault="005E79D1" w14:paraId="29BCB0E4" w14:textId="77777777">
            <w:pPr>
              <w:widowControl/>
              <w:autoSpaceDE/>
              <w:autoSpaceDN/>
              <w:adjustRightInd/>
              <w:spacing w:line="276" w:lineRule="auto"/>
              <w:jc w:val="center"/>
              <w:rPr>
                <w:sz w:val="22"/>
                <w:szCs w:val="22"/>
              </w:rPr>
            </w:pPr>
            <w:r w:rsidRPr="00E01820">
              <w:rPr>
                <w:sz w:val="22"/>
                <w:szCs w:val="22"/>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5E79D1" w:rsidP="00801D8C" w:rsidRDefault="005E79D1" w14:paraId="46DAD4D3" w14:textId="77777777">
            <w:pPr>
              <w:widowControl/>
              <w:autoSpaceDE/>
              <w:autoSpaceDN/>
              <w:adjustRightInd/>
              <w:spacing w:line="276" w:lineRule="auto"/>
              <w:jc w:val="center"/>
              <w:rPr>
                <w:sz w:val="22"/>
                <w:szCs w:val="22"/>
              </w:rPr>
            </w:pPr>
            <w:r w:rsidRPr="00E01820">
              <w:rPr>
                <w:sz w:val="22"/>
                <w:szCs w:val="22"/>
              </w:rPr>
              <w:t xml:space="preserve">No. </w:t>
            </w:r>
          </w:p>
          <w:p w:rsidRPr="00E01820" w:rsidR="005E79D1" w:rsidP="00801D8C" w:rsidRDefault="005E79D1" w14:paraId="54236CC1" w14:textId="77777777">
            <w:pPr>
              <w:widowControl/>
              <w:autoSpaceDE/>
              <w:autoSpaceDN/>
              <w:adjustRightInd/>
              <w:spacing w:line="276" w:lineRule="auto"/>
              <w:jc w:val="center"/>
              <w:rPr>
                <w:sz w:val="22"/>
                <w:szCs w:val="22"/>
              </w:rPr>
            </w:pPr>
            <w:r w:rsidRPr="00E01820">
              <w:rPr>
                <w:sz w:val="22"/>
                <w:szCs w:val="22"/>
              </w:rPr>
              <w:t>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5E79D1" w:rsidP="00801D8C" w:rsidRDefault="005E79D1" w14:paraId="6E101A9A" w14:textId="77777777">
            <w:pPr>
              <w:widowControl/>
              <w:autoSpaceDE/>
              <w:autoSpaceDN/>
              <w:adjustRightInd/>
              <w:spacing w:line="276" w:lineRule="auto"/>
              <w:jc w:val="center"/>
              <w:rPr>
                <w:sz w:val="22"/>
                <w:szCs w:val="22"/>
              </w:rPr>
            </w:pPr>
          </w:p>
          <w:p w:rsidRPr="00E01820" w:rsidR="005E79D1" w:rsidP="00801D8C" w:rsidRDefault="005E79D1" w14:paraId="7AD974C3" w14:textId="77777777">
            <w:pPr>
              <w:widowControl/>
              <w:autoSpaceDE/>
              <w:autoSpaceDN/>
              <w:adjustRightInd/>
              <w:spacing w:line="276" w:lineRule="auto"/>
              <w:jc w:val="center"/>
              <w:rPr>
                <w:sz w:val="22"/>
                <w:szCs w:val="22"/>
              </w:rPr>
            </w:pPr>
            <w:r w:rsidRPr="00E01820">
              <w:rPr>
                <w:sz w:val="22"/>
                <w:szCs w:val="22"/>
              </w:rPr>
              <w:t>No. of Responses</w:t>
            </w:r>
          </w:p>
          <w:p w:rsidRPr="00E01820" w:rsidR="005E79D1" w:rsidP="00801D8C" w:rsidRDefault="005E79D1" w14:paraId="03614F8F" w14:textId="77777777">
            <w:pPr>
              <w:widowControl/>
              <w:autoSpaceDE/>
              <w:autoSpaceDN/>
              <w:adjustRightInd/>
              <w:spacing w:line="276" w:lineRule="auto"/>
              <w:jc w:val="center"/>
              <w:rPr>
                <w:sz w:val="22"/>
                <w:szCs w:val="22"/>
              </w:rPr>
            </w:pPr>
            <w:r w:rsidRPr="00E01820">
              <w:rPr>
                <w:sz w:val="22"/>
                <w:szCs w:val="22"/>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5E79D1" w:rsidP="00801D8C" w:rsidRDefault="005E79D1" w14:paraId="4735D805" w14:textId="77777777">
            <w:pPr>
              <w:widowControl/>
              <w:autoSpaceDE/>
              <w:autoSpaceDN/>
              <w:adjustRightInd/>
              <w:spacing w:line="276" w:lineRule="auto"/>
              <w:jc w:val="center"/>
              <w:rPr>
                <w:sz w:val="22"/>
                <w:szCs w:val="22"/>
              </w:rPr>
            </w:pPr>
            <w:r w:rsidRPr="00E01820">
              <w:rPr>
                <w:sz w:val="22"/>
                <w:szCs w:val="22"/>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5E79D1" w:rsidP="00801D8C" w:rsidRDefault="005E79D1" w14:paraId="77AD250F" w14:textId="77777777">
            <w:pPr>
              <w:widowControl/>
              <w:autoSpaceDE/>
              <w:autoSpaceDN/>
              <w:adjustRightInd/>
              <w:spacing w:line="276" w:lineRule="auto"/>
              <w:jc w:val="center"/>
              <w:rPr>
                <w:sz w:val="22"/>
                <w:szCs w:val="22"/>
              </w:rPr>
            </w:pPr>
            <w:r w:rsidRPr="00E01820">
              <w:rPr>
                <w:sz w:val="22"/>
                <w:szCs w:val="22"/>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5E79D1" w:rsidP="00801D8C" w:rsidRDefault="005E79D1" w14:paraId="4873AA35" w14:textId="77777777">
            <w:pPr>
              <w:widowControl/>
              <w:autoSpaceDE/>
              <w:autoSpaceDN/>
              <w:adjustRightInd/>
              <w:spacing w:line="276" w:lineRule="auto"/>
              <w:jc w:val="center"/>
              <w:rPr>
                <w:sz w:val="22"/>
                <w:szCs w:val="22"/>
              </w:rPr>
            </w:pPr>
            <w:r w:rsidRPr="00E01820">
              <w:rPr>
                <w:sz w:val="22"/>
                <w:szCs w:val="22"/>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5E79D1" w:rsidP="00801D8C" w:rsidRDefault="005E79D1" w14:paraId="1855938A" w14:textId="77777777">
            <w:pPr>
              <w:widowControl/>
              <w:autoSpaceDE/>
              <w:autoSpaceDN/>
              <w:adjustRightInd/>
              <w:spacing w:line="276" w:lineRule="auto"/>
              <w:jc w:val="center"/>
              <w:rPr>
                <w:sz w:val="22"/>
                <w:szCs w:val="22"/>
              </w:rPr>
            </w:pPr>
            <w:r w:rsidRPr="00E01820">
              <w:rPr>
                <w:sz w:val="22"/>
                <w:szCs w:val="22"/>
              </w:rPr>
              <w:t>Hourly</w:t>
            </w:r>
          </w:p>
          <w:p w:rsidRPr="00E01820" w:rsidR="005E79D1" w:rsidP="00801D8C" w:rsidRDefault="005E79D1" w14:paraId="2609D845" w14:textId="77777777">
            <w:pPr>
              <w:widowControl/>
              <w:autoSpaceDE/>
              <w:autoSpaceDN/>
              <w:adjustRightInd/>
              <w:spacing w:line="276" w:lineRule="auto"/>
              <w:jc w:val="center"/>
              <w:rPr>
                <w:sz w:val="22"/>
                <w:szCs w:val="22"/>
              </w:rPr>
            </w:pPr>
            <w:r w:rsidRPr="00E01820">
              <w:rPr>
                <w:sz w:val="22"/>
                <w:szCs w:val="22"/>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5E79D1" w:rsidP="00801D8C" w:rsidRDefault="00A52807" w14:paraId="62BA9F50" w14:textId="77777777">
            <w:pPr>
              <w:widowControl/>
              <w:autoSpaceDE/>
              <w:autoSpaceDN/>
              <w:adjustRightInd/>
              <w:spacing w:line="276" w:lineRule="auto"/>
              <w:jc w:val="center"/>
              <w:rPr>
                <w:sz w:val="22"/>
                <w:szCs w:val="22"/>
              </w:rPr>
            </w:pPr>
            <w:r>
              <w:rPr>
                <w:sz w:val="22"/>
                <w:szCs w:val="22"/>
              </w:rPr>
              <w:t>Equivalent</w:t>
            </w:r>
            <w:r w:rsidRPr="00E01820" w:rsidR="005E79D1">
              <w:rPr>
                <w:sz w:val="22"/>
                <w:szCs w:val="22"/>
              </w:rPr>
              <w:t xml:space="preserve"> Cost</w:t>
            </w:r>
          </w:p>
        </w:tc>
      </w:tr>
      <w:tr w:rsidRPr="00E01820" w:rsidR="005E79D1" w:rsidTr="00801D8C" w14:paraId="119A4936" w14:textId="77777777">
        <w:tc>
          <w:tcPr>
            <w:tcW w:w="1803" w:type="dxa"/>
            <w:tcBorders>
              <w:top w:val="single" w:color="auto" w:sz="4" w:space="0"/>
              <w:left w:val="single" w:color="auto" w:sz="4" w:space="0"/>
              <w:bottom w:val="single" w:color="auto" w:sz="4" w:space="0"/>
              <w:right w:val="single" w:color="auto" w:sz="4" w:space="0"/>
            </w:tcBorders>
          </w:tcPr>
          <w:p w:rsidRPr="00B00B3E" w:rsidR="005E79D1" w:rsidP="00801D8C" w:rsidRDefault="001C5E6C" w14:paraId="12F98107" w14:textId="77777777">
            <w:pPr>
              <w:widowControl/>
              <w:autoSpaceDE/>
              <w:autoSpaceDN/>
              <w:adjustRightInd/>
              <w:spacing w:line="276" w:lineRule="auto"/>
              <w:rPr>
                <w:b w:val="0"/>
                <w:iCs/>
                <w:sz w:val="22"/>
                <w:szCs w:val="22"/>
              </w:rPr>
            </w:pPr>
            <w:r>
              <w:rPr>
                <w:b w:val="0"/>
                <w:iCs/>
                <w:sz w:val="22"/>
                <w:szCs w:val="22"/>
              </w:rPr>
              <w:t>Prepare a</w:t>
            </w:r>
            <w:r w:rsidRPr="001C5E6C">
              <w:rPr>
                <w:b w:val="0"/>
                <w:iCs/>
                <w:sz w:val="22"/>
                <w:szCs w:val="22"/>
              </w:rPr>
              <w:t>nd Mail Each Information Package</w:t>
            </w:r>
            <w:r>
              <w:rPr>
                <w:b w:val="0"/>
                <w:iCs/>
                <w:sz w:val="22"/>
                <w:szCs w:val="22"/>
              </w:rPr>
              <w:t xml:space="preserve"> </w:t>
            </w:r>
            <w:proofErr w:type="gramStart"/>
            <w:r>
              <w:rPr>
                <w:b w:val="0"/>
                <w:iCs/>
                <w:sz w:val="22"/>
                <w:szCs w:val="22"/>
              </w:rPr>
              <w:t>-  Clerical</w:t>
            </w:r>
            <w:proofErr w:type="gramEnd"/>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C21304" w14:paraId="08D7AE2E" w14:textId="77777777">
            <w:pPr>
              <w:widowControl/>
              <w:autoSpaceDE/>
              <w:autoSpaceDN/>
              <w:adjustRightInd/>
              <w:spacing w:line="276" w:lineRule="auto"/>
              <w:jc w:val="center"/>
              <w:rPr>
                <w:b w:val="0"/>
                <w:sz w:val="22"/>
                <w:szCs w:val="22"/>
              </w:rPr>
            </w:pPr>
            <w:r>
              <w:rPr>
                <w:b w:val="0"/>
                <w:sz w:val="22"/>
                <w:szCs w:val="22"/>
              </w:rPr>
              <w:t>67</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C21304" w14:paraId="5541DCDF" w14:textId="77777777">
            <w:pPr>
              <w:widowControl/>
              <w:autoSpaceDE/>
              <w:autoSpaceDN/>
              <w:adjustRightInd/>
              <w:spacing w:line="276" w:lineRule="auto"/>
              <w:jc w:val="center"/>
              <w:rPr>
                <w:b w:val="0"/>
                <w:sz w:val="22"/>
                <w:szCs w:val="22"/>
              </w:rPr>
            </w:pPr>
            <w:r w:rsidRPr="00B00B3E">
              <w:rPr>
                <w:b w:val="0"/>
                <w:sz w:val="22"/>
                <w:szCs w:val="22"/>
              </w:rPr>
              <w:t>2</w:t>
            </w:r>
            <w:r w:rsidR="0014321E">
              <w:rPr>
                <w:b w:val="0"/>
                <w:sz w:val="22"/>
                <w:szCs w:val="22"/>
              </w:rPr>
              <w:t>,</w:t>
            </w:r>
            <w:r w:rsidRPr="00B00B3E">
              <w:rPr>
                <w:b w:val="0"/>
                <w:sz w:val="22"/>
                <w:szCs w:val="22"/>
              </w:rPr>
              <w:t>100</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C21304" w14:paraId="5AC33FC3" w14:textId="77777777">
            <w:pPr>
              <w:widowControl/>
              <w:autoSpaceDE/>
              <w:autoSpaceDN/>
              <w:adjustRightInd/>
              <w:spacing w:line="276" w:lineRule="auto"/>
              <w:jc w:val="center"/>
              <w:rPr>
                <w:b w:val="0"/>
                <w:sz w:val="22"/>
                <w:szCs w:val="22"/>
              </w:rPr>
            </w:pPr>
            <w:r w:rsidRPr="00B00B3E">
              <w:rPr>
                <w:b w:val="0"/>
                <w:sz w:val="22"/>
                <w:szCs w:val="22"/>
              </w:rPr>
              <w:t>140,700</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2392A" w14:paraId="0F71F322" w14:textId="5538959B">
            <w:pPr>
              <w:widowControl/>
              <w:autoSpaceDE/>
              <w:autoSpaceDN/>
              <w:adjustRightInd/>
              <w:spacing w:line="276" w:lineRule="auto"/>
              <w:jc w:val="center"/>
              <w:rPr>
                <w:b w:val="0"/>
                <w:sz w:val="22"/>
                <w:szCs w:val="22"/>
              </w:rPr>
            </w:pPr>
            <w:r>
              <w:rPr>
                <w:b w:val="0"/>
                <w:sz w:val="22"/>
                <w:szCs w:val="22"/>
              </w:rPr>
              <w:t>3/60</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C21304" w14:paraId="21892A48" w14:textId="77777777">
            <w:pPr>
              <w:widowControl/>
              <w:autoSpaceDE/>
              <w:autoSpaceDN/>
              <w:adjustRightInd/>
              <w:spacing w:line="276" w:lineRule="auto"/>
              <w:jc w:val="center"/>
              <w:rPr>
                <w:b w:val="0"/>
                <w:sz w:val="22"/>
                <w:szCs w:val="22"/>
              </w:rPr>
            </w:pPr>
            <w:r w:rsidRPr="00B00B3E">
              <w:rPr>
                <w:b w:val="0"/>
                <w:sz w:val="22"/>
                <w:szCs w:val="22"/>
              </w:rPr>
              <w:t>7,035</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C21304" w14:paraId="2627D836" w14:textId="77777777">
            <w:pPr>
              <w:widowControl/>
              <w:autoSpaceDE/>
              <w:autoSpaceDN/>
              <w:adjustRightInd/>
              <w:spacing w:line="276" w:lineRule="auto"/>
              <w:jc w:val="center"/>
              <w:rPr>
                <w:b w:val="0"/>
                <w:sz w:val="22"/>
                <w:szCs w:val="22"/>
              </w:rPr>
            </w:pPr>
            <w:r w:rsidRPr="00B00B3E">
              <w:rPr>
                <w:b w:val="0"/>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C21304" w14:paraId="619E511A" w14:textId="77777777">
            <w:pPr>
              <w:widowControl/>
              <w:autoSpaceDE/>
              <w:autoSpaceDN/>
              <w:adjustRightInd/>
              <w:spacing w:line="276" w:lineRule="auto"/>
              <w:jc w:val="center"/>
              <w:rPr>
                <w:b w:val="0"/>
                <w:sz w:val="22"/>
                <w:szCs w:val="22"/>
              </w:rPr>
            </w:pPr>
            <w:r w:rsidRPr="00B00B3E">
              <w:rPr>
                <w:b w:val="0"/>
                <w:sz w:val="22"/>
                <w:szCs w:val="22"/>
              </w:rPr>
              <w:t>$388,520</w:t>
            </w:r>
          </w:p>
        </w:tc>
      </w:tr>
      <w:tr w:rsidRPr="00E01820" w:rsidR="005E79D1" w:rsidTr="00801D8C" w14:paraId="41045B92" w14:textId="77777777">
        <w:tc>
          <w:tcPr>
            <w:tcW w:w="1803" w:type="dxa"/>
            <w:tcBorders>
              <w:top w:val="single" w:color="auto" w:sz="4" w:space="0"/>
              <w:left w:val="single" w:color="auto" w:sz="4" w:space="0"/>
              <w:bottom w:val="single" w:color="auto" w:sz="4" w:space="0"/>
              <w:right w:val="single" w:color="auto" w:sz="4" w:space="0"/>
            </w:tcBorders>
          </w:tcPr>
          <w:p w:rsidRPr="00B00B3E" w:rsidR="005E79D1" w:rsidP="00801D8C" w:rsidRDefault="001C5E6C" w14:paraId="66F74C45" w14:textId="77777777">
            <w:pPr>
              <w:widowControl/>
              <w:autoSpaceDE/>
              <w:autoSpaceDN/>
              <w:adjustRightInd/>
              <w:spacing w:line="276" w:lineRule="auto"/>
              <w:rPr>
                <w:b w:val="0"/>
                <w:iCs/>
                <w:sz w:val="22"/>
                <w:szCs w:val="22"/>
              </w:rPr>
            </w:pPr>
            <w:r>
              <w:rPr>
                <w:b w:val="0"/>
                <w:iCs/>
                <w:sz w:val="22"/>
                <w:szCs w:val="22"/>
              </w:rPr>
              <w:t>Review Records a</w:t>
            </w:r>
            <w:r w:rsidRPr="001C5E6C">
              <w:rPr>
                <w:b w:val="0"/>
                <w:iCs/>
                <w:sz w:val="22"/>
                <w:szCs w:val="22"/>
              </w:rPr>
              <w:t>nd Make Disclosures</w:t>
            </w:r>
            <w:r w:rsidR="00A52807">
              <w:rPr>
                <w:b w:val="0"/>
                <w:iCs/>
                <w:sz w:val="22"/>
                <w:szCs w:val="22"/>
              </w:rPr>
              <w:t xml:space="preserve">- </w:t>
            </w:r>
            <w:r w:rsidRPr="001C5E6C">
              <w:rPr>
                <w:b w:val="0"/>
                <w:iCs/>
                <w:sz w:val="22"/>
                <w:szCs w:val="22"/>
              </w:rPr>
              <w:t>Clerical</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3835E0FD" w14:textId="77777777">
            <w:pPr>
              <w:widowControl/>
              <w:autoSpaceDE/>
              <w:autoSpaceDN/>
              <w:adjustRightInd/>
              <w:spacing w:line="276" w:lineRule="auto"/>
              <w:jc w:val="center"/>
              <w:rPr>
                <w:b w:val="0"/>
                <w:sz w:val="22"/>
                <w:szCs w:val="22"/>
              </w:rPr>
            </w:pPr>
            <w:r w:rsidRPr="00B00B3E">
              <w:rPr>
                <w:b w:val="0"/>
                <w:sz w:val="22"/>
                <w:szCs w:val="22"/>
              </w:rPr>
              <w:t>67</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06050F4C" w14:textId="77777777">
            <w:pPr>
              <w:widowControl/>
              <w:autoSpaceDE/>
              <w:autoSpaceDN/>
              <w:adjustRightInd/>
              <w:spacing w:line="276" w:lineRule="auto"/>
              <w:jc w:val="center"/>
              <w:rPr>
                <w:b w:val="0"/>
                <w:sz w:val="22"/>
                <w:szCs w:val="22"/>
              </w:rPr>
            </w:pPr>
            <w:r>
              <w:rPr>
                <w:b w:val="0"/>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0B2891BB" w14:textId="77777777">
            <w:pPr>
              <w:widowControl/>
              <w:autoSpaceDE/>
              <w:autoSpaceDN/>
              <w:adjustRightInd/>
              <w:spacing w:line="276" w:lineRule="auto"/>
              <w:jc w:val="center"/>
              <w:rPr>
                <w:b w:val="0"/>
                <w:sz w:val="22"/>
                <w:szCs w:val="22"/>
              </w:rPr>
            </w:pPr>
            <w:r>
              <w:rPr>
                <w:b w:val="0"/>
                <w:sz w:val="22"/>
                <w:szCs w:val="22"/>
              </w:rPr>
              <w:t>67</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2392A" w14:paraId="2E6B7279" w14:textId="76D03299">
            <w:pPr>
              <w:widowControl/>
              <w:autoSpaceDE/>
              <w:autoSpaceDN/>
              <w:adjustRightInd/>
              <w:spacing w:line="276" w:lineRule="auto"/>
              <w:jc w:val="center"/>
              <w:rPr>
                <w:b w:val="0"/>
                <w:sz w:val="22"/>
                <w:szCs w:val="22"/>
              </w:rPr>
            </w:pPr>
            <w:r>
              <w:rPr>
                <w:b w:val="0"/>
                <w:sz w:val="22"/>
                <w:szCs w:val="22"/>
              </w:rPr>
              <w:t xml:space="preserve"> 10/60</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6B1366FE" w14:textId="77777777">
            <w:pPr>
              <w:widowControl/>
              <w:autoSpaceDE/>
              <w:autoSpaceDN/>
              <w:adjustRightInd/>
              <w:spacing w:line="276" w:lineRule="auto"/>
              <w:jc w:val="center"/>
              <w:rPr>
                <w:b w:val="0"/>
                <w:sz w:val="22"/>
                <w:szCs w:val="22"/>
              </w:rPr>
            </w:pPr>
            <w:r>
              <w:rPr>
                <w:b w:val="0"/>
                <w:sz w:val="22"/>
                <w:szCs w:val="22"/>
              </w:rPr>
              <w:t>11.17</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626312B6" w14:textId="77777777">
            <w:pPr>
              <w:widowControl/>
              <w:autoSpaceDE/>
              <w:autoSpaceDN/>
              <w:adjustRightInd/>
              <w:spacing w:line="276" w:lineRule="auto"/>
              <w:jc w:val="center"/>
              <w:rPr>
                <w:b w:val="0"/>
                <w:sz w:val="22"/>
                <w:szCs w:val="22"/>
              </w:rPr>
            </w:pPr>
            <w:r w:rsidRPr="001C5E6C">
              <w:rPr>
                <w:b w:val="0"/>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C450AF" w:rsidRDefault="001C5E6C" w14:paraId="0DD1B473" w14:textId="77777777">
            <w:pPr>
              <w:widowControl/>
              <w:autoSpaceDE/>
              <w:autoSpaceDN/>
              <w:adjustRightInd/>
              <w:spacing w:line="276" w:lineRule="auto"/>
              <w:jc w:val="center"/>
              <w:rPr>
                <w:b w:val="0"/>
                <w:sz w:val="22"/>
                <w:szCs w:val="22"/>
              </w:rPr>
            </w:pPr>
            <w:r>
              <w:rPr>
                <w:b w:val="0"/>
                <w:sz w:val="22"/>
                <w:szCs w:val="22"/>
              </w:rPr>
              <w:t>$61</w:t>
            </w:r>
            <w:r w:rsidR="00C450AF">
              <w:rPr>
                <w:b w:val="0"/>
                <w:sz w:val="22"/>
                <w:szCs w:val="22"/>
              </w:rPr>
              <w:t>7</w:t>
            </w:r>
          </w:p>
        </w:tc>
      </w:tr>
      <w:tr w:rsidRPr="00E01820" w:rsidR="005E79D1" w:rsidTr="00801D8C" w14:paraId="0BCE8C64" w14:textId="77777777">
        <w:trPr>
          <w:trHeight w:val="64"/>
        </w:trPr>
        <w:tc>
          <w:tcPr>
            <w:tcW w:w="1803" w:type="dxa"/>
            <w:tcBorders>
              <w:top w:val="single" w:color="auto" w:sz="4" w:space="0"/>
              <w:left w:val="single" w:color="auto" w:sz="4" w:space="0"/>
              <w:bottom w:val="single" w:color="auto" w:sz="4" w:space="0"/>
              <w:right w:val="single" w:color="auto" w:sz="4" w:space="0"/>
            </w:tcBorders>
          </w:tcPr>
          <w:p w:rsidRPr="00B00B3E" w:rsidR="005E79D1" w:rsidP="00B00B3E" w:rsidRDefault="005E79D1" w14:paraId="5F39C7EE" w14:textId="77777777">
            <w:pPr>
              <w:widowControl/>
              <w:autoSpaceDE/>
              <w:autoSpaceDN/>
              <w:adjustRightInd/>
              <w:spacing w:line="276" w:lineRule="auto"/>
              <w:rPr>
                <w:b w:val="0"/>
                <w:sz w:val="22"/>
                <w:szCs w:val="22"/>
              </w:rPr>
            </w:pPr>
            <w:r w:rsidRPr="00B00B3E">
              <w:rPr>
                <w:b w:val="0"/>
                <w:sz w:val="22"/>
                <w:szCs w:val="22"/>
              </w:rPr>
              <w:t>Total</w:t>
            </w:r>
            <w:r w:rsidRPr="00B00B3E" w:rsidR="001C5E6C">
              <w:rPr>
                <w:b w:val="0"/>
                <w:sz w:val="22"/>
                <w:szCs w:val="22"/>
              </w:rPr>
              <w:t xml:space="preserve"> Unduplicated</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46B7D1C6" w14:textId="77777777">
            <w:pPr>
              <w:widowControl/>
              <w:autoSpaceDE/>
              <w:autoSpaceDN/>
              <w:adjustRightInd/>
              <w:spacing w:line="276" w:lineRule="auto"/>
              <w:jc w:val="center"/>
              <w:rPr>
                <w:b w:val="0"/>
                <w:sz w:val="22"/>
                <w:szCs w:val="22"/>
              </w:rPr>
            </w:pPr>
            <w:r>
              <w:rPr>
                <w:b w:val="0"/>
                <w:sz w:val="22"/>
                <w:szCs w:val="22"/>
              </w:rPr>
              <w:t>67</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95210" w14:paraId="14F76A61" w14:textId="77777777">
            <w:pPr>
              <w:widowControl/>
              <w:autoSpaceDE/>
              <w:autoSpaceDN/>
              <w:adjustRightInd/>
              <w:spacing w:line="276" w:lineRule="auto"/>
              <w:jc w:val="center"/>
              <w:rPr>
                <w:b w:val="0"/>
                <w:sz w:val="22"/>
                <w:szCs w:val="22"/>
              </w:rPr>
            </w:pPr>
            <w:r>
              <w:rPr>
                <w:b w:val="0"/>
                <w:sz w:val="22"/>
                <w:szCs w:val="22"/>
              </w:rPr>
              <w:t>2,100</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8D2ECA" w14:paraId="72B8CFB8" w14:textId="77777777">
            <w:pPr>
              <w:widowControl/>
              <w:autoSpaceDE/>
              <w:autoSpaceDN/>
              <w:adjustRightInd/>
              <w:spacing w:line="276" w:lineRule="auto"/>
              <w:jc w:val="center"/>
              <w:rPr>
                <w:b w:val="0"/>
                <w:sz w:val="22"/>
                <w:szCs w:val="22"/>
              </w:rPr>
            </w:pPr>
            <w:r>
              <w:rPr>
                <w:b w:val="0"/>
                <w:sz w:val="22"/>
                <w:szCs w:val="22"/>
              </w:rPr>
              <w:t>140,7</w:t>
            </w:r>
            <w:r w:rsidR="00DA0E85">
              <w:rPr>
                <w:b w:val="0"/>
                <w:sz w:val="22"/>
                <w:szCs w:val="22"/>
              </w:rPr>
              <w:t>00</w:t>
            </w:r>
            <w:r w:rsidR="00F05C74">
              <w:rPr>
                <w:b w:val="0"/>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5E79D1" w14:paraId="3705C6CC" w14:textId="2C3208E0">
            <w:pPr>
              <w:widowControl/>
              <w:autoSpaceDE/>
              <w:autoSpaceDN/>
              <w:adjustRightInd/>
              <w:spacing w:line="276" w:lineRule="auto"/>
              <w:jc w:val="center"/>
              <w:rPr>
                <w:b w:val="0"/>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73A84ACF" w14:textId="77777777">
            <w:pPr>
              <w:widowControl/>
              <w:autoSpaceDE/>
              <w:autoSpaceDN/>
              <w:adjustRightInd/>
              <w:spacing w:line="276" w:lineRule="auto"/>
              <w:jc w:val="center"/>
              <w:rPr>
                <w:b w:val="0"/>
                <w:sz w:val="22"/>
                <w:szCs w:val="22"/>
              </w:rPr>
            </w:pPr>
            <w:r w:rsidRPr="00B00B3E">
              <w:rPr>
                <w:b w:val="0"/>
                <w:sz w:val="22"/>
                <w:szCs w:val="22"/>
              </w:rPr>
              <w:t>7,046</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5E79D1" w14:paraId="1A4AEB13" w14:textId="77777777">
            <w:pPr>
              <w:widowControl/>
              <w:autoSpaceDE/>
              <w:autoSpaceDN/>
              <w:adjustRightInd/>
              <w:spacing w:line="276" w:lineRule="auto"/>
              <w:jc w:val="center"/>
              <w:rPr>
                <w:b w:val="0"/>
                <w:sz w:val="22"/>
                <w:szCs w:val="22"/>
              </w:rPr>
            </w:pPr>
            <w:r w:rsidRPr="00B00B3E">
              <w:rPr>
                <w:b w:val="0"/>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B00B3E" w:rsidR="005E79D1" w:rsidP="00801D8C" w:rsidRDefault="001C5E6C" w14:paraId="472905C1" w14:textId="77777777">
            <w:pPr>
              <w:widowControl/>
              <w:autoSpaceDE/>
              <w:autoSpaceDN/>
              <w:adjustRightInd/>
              <w:spacing w:line="276" w:lineRule="auto"/>
              <w:jc w:val="center"/>
              <w:rPr>
                <w:b w:val="0"/>
                <w:sz w:val="22"/>
                <w:szCs w:val="22"/>
              </w:rPr>
            </w:pPr>
            <w:r>
              <w:rPr>
                <w:b w:val="0"/>
                <w:sz w:val="22"/>
                <w:szCs w:val="22"/>
              </w:rPr>
              <w:t>$389,137</w:t>
            </w:r>
          </w:p>
        </w:tc>
      </w:tr>
    </w:tbl>
    <w:p w:rsidR="004B3716" w:rsidP="00B00B3E" w:rsidRDefault="004B3716" w14:paraId="0DEC928D" w14:textId="77777777">
      <w:pPr>
        <w:widowControl/>
        <w:rPr>
          <w:b w:val="0"/>
          <w:bCs w:val="0"/>
          <w:sz w:val="24"/>
        </w:rPr>
      </w:pPr>
      <w:r>
        <w:rPr>
          <w:b w:val="0"/>
          <w:bCs w:val="0"/>
          <w:sz w:val="24"/>
        </w:rPr>
        <w:t>Note:</w:t>
      </w:r>
    </w:p>
    <w:p w:rsidRPr="004A1102" w:rsidR="004A1102" w:rsidP="004A1102" w:rsidRDefault="00F05C74" w14:paraId="18A713E0" w14:textId="77777777">
      <w:pPr>
        <w:widowControl/>
        <w:rPr>
          <w:b w:val="0"/>
          <w:bCs w:val="0"/>
          <w:sz w:val="24"/>
        </w:rPr>
      </w:pPr>
      <w:r>
        <w:rPr>
          <w:b w:val="0"/>
          <w:bCs w:val="0"/>
          <w:sz w:val="24"/>
        </w:rPr>
        <w:t>* As discussed previously, t</w:t>
      </w:r>
      <w:r w:rsidRPr="00F05C74">
        <w:rPr>
          <w:b w:val="0"/>
          <w:bCs w:val="0"/>
          <w:sz w:val="24"/>
        </w:rPr>
        <w:t xml:space="preserve">he number of responses anticipated annually is 140,700 </w:t>
      </w:r>
    </w:p>
    <w:p w:rsidRPr="004A1102" w:rsidR="004A1102" w:rsidP="004A1102" w:rsidRDefault="004A1102" w14:paraId="51050FBC" w14:textId="77777777">
      <w:pPr>
        <w:widowControl/>
        <w:rPr>
          <w:b w:val="0"/>
          <w:bCs w:val="0"/>
          <w:sz w:val="24"/>
        </w:rPr>
      </w:pPr>
      <w:r w:rsidRPr="004A1102">
        <w:rPr>
          <w:b w:val="0"/>
          <w:bCs w:val="0"/>
          <w:sz w:val="24"/>
        </w:rPr>
        <w:t>(67 Trust REITs times 3 quarterly reports per Trust REIT times 700 average number of employees per Trust REIT).</w:t>
      </w:r>
    </w:p>
    <w:p w:rsidR="00F05C74" w:rsidP="00B00B3E" w:rsidRDefault="00F05C74" w14:paraId="0138A1C8" w14:textId="77777777">
      <w:pPr>
        <w:widowControl/>
        <w:rPr>
          <w:b w:val="0"/>
          <w:bCs w:val="0"/>
          <w:sz w:val="24"/>
        </w:rPr>
      </w:pPr>
    </w:p>
    <w:p w:rsidRPr="00A021D7" w:rsidR="00A021D7" w:rsidP="00A021D7" w:rsidRDefault="00A021D7" w14:paraId="74A318DF" w14:textId="77777777">
      <w:pPr>
        <w:widowControl/>
        <w:numPr>
          <w:ilvl w:val="0"/>
          <w:numId w:val="24"/>
        </w:numPr>
        <w:rPr>
          <w:bCs w:val="0"/>
          <w:iCs/>
          <w:sz w:val="24"/>
          <w:szCs w:val="24"/>
        </w:rPr>
      </w:pPr>
      <w:r w:rsidRPr="00A021D7">
        <w:rPr>
          <w:bCs w:val="0"/>
          <w:iCs/>
          <w:sz w:val="24"/>
          <w:szCs w:val="24"/>
        </w:rPr>
        <w:t xml:space="preserve">Provide an estimate of the total annual cost burden to respondents or record  </w:t>
      </w:r>
    </w:p>
    <w:p w:rsidRPr="00A021D7" w:rsidR="00A021D7" w:rsidP="00A021D7" w:rsidRDefault="00A021D7" w14:paraId="2FFE0B17" w14:textId="77777777">
      <w:pPr>
        <w:widowControl/>
        <w:ind w:left="720"/>
        <w:rPr>
          <w:bCs w:val="0"/>
          <w:iCs/>
          <w:sz w:val="24"/>
          <w:szCs w:val="24"/>
        </w:rPr>
      </w:pPr>
      <w:r w:rsidRPr="00A021D7">
        <w:rPr>
          <w:bCs w:val="0"/>
          <w:iCs/>
          <w:sz w:val="24"/>
          <w:szCs w:val="24"/>
        </w:rPr>
        <w:t>keepers resulting from the collection of information.  (Do not include the cost of any hour burden shown in Items 12 or 14).</w:t>
      </w:r>
    </w:p>
    <w:p w:rsidRPr="00A021D7" w:rsidR="00A021D7" w:rsidP="00A021D7" w:rsidRDefault="00A021D7" w14:paraId="3FFC3BE9" w14:textId="77777777">
      <w:pPr>
        <w:widowControl/>
        <w:numPr>
          <w:ilvl w:val="0"/>
          <w:numId w:val="25"/>
        </w:numPr>
        <w:rPr>
          <w:bCs w:val="0"/>
          <w:iCs/>
          <w:sz w:val="24"/>
          <w:szCs w:val="24"/>
        </w:rPr>
      </w:pPr>
      <w:r w:rsidRPr="00A021D7">
        <w:rPr>
          <w:iCs/>
          <w:sz w:val="24"/>
          <w:szCs w:val="24"/>
        </w:rPr>
        <w:t>The cost estimate should be split into 2 components</w:t>
      </w:r>
      <w:proofErr w:type="gramStart"/>
      <w:r w:rsidRPr="00A021D7">
        <w:rPr>
          <w:iCs/>
          <w:sz w:val="24"/>
          <w:szCs w:val="24"/>
        </w:rPr>
        <w:t>:  (</w:t>
      </w:r>
      <w:proofErr w:type="gramEnd"/>
      <w:r w:rsidRPr="00A021D7">
        <w:rPr>
          <w:iCs/>
          <w:sz w:val="24"/>
          <w:szCs w:val="24"/>
        </w:rPr>
        <w:t>a) a total capital</w:t>
      </w:r>
      <w:r w:rsidRPr="00A021D7">
        <w:rPr>
          <w:bCs w:val="0"/>
          <w:iCs/>
          <w:sz w:val="24"/>
          <w:szCs w:val="24"/>
        </w:rPr>
        <w:t> </w:t>
      </w:r>
      <w:r w:rsidRPr="00A021D7">
        <w:rPr>
          <w:iCs/>
          <w:sz w:val="24"/>
          <w:szCs w:val="24"/>
        </w:rPr>
        <w:t>and </w:t>
      </w:r>
      <w:proofErr w:type="spellStart"/>
      <w:r w:rsidRPr="00A021D7">
        <w:rPr>
          <w:iCs/>
          <w:sz w:val="24"/>
          <w:szCs w:val="24"/>
        </w:rPr>
        <w:t>start up</w:t>
      </w:r>
      <w:proofErr w:type="spellEnd"/>
      <w:r w:rsidRPr="00A021D7">
        <w:rPr>
          <w:iCs/>
          <w:sz w:val="24"/>
          <w:szCs w:val="24"/>
        </w:rPr>
        <w:t xml:space="preserve"> cost component (annualized over its expected useful </w:t>
      </w:r>
      <w:r w:rsidRPr="00A021D7">
        <w:rPr>
          <w:iCs/>
          <w:sz w:val="24"/>
          <w:szCs w:val="24"/>
        </w:rPr>
        <w:lastRenderedPageBreak/>
        <w:t>life); and (b) a</w:t>
      </w:r>
      <w:r w:rsidRPr="00A021D7">
        <w:rPr>
          <w:bCs w:val="0"/>
          <w:iCs/>
          <w:sz w:val="24"/>
          <w:szCs w:val="24"/>
        </w:rPr>
        <w:t> </w:t>
      </w:r>
      <w:r w:rsidRPr="00A021D7">
        <w:rPr>
          <w:iCs/>
          <w:sz w:val="24"/>
          <w:szCs w:val="24"/>
        </w:rPr>
        <w:t xml:space="preserve">total operation and maintenance and purchase of service component.  The estimates should </w:t>
      </w:r>
      <w:proofErr w:type="gramStart"/>
      <w:r w:rsidRPr="00A021D7">
        <w:rPr>
          <w:iCs/>
          <w:sz w:val="24"/>
          <w:szCs w:val="24"/>
        </w:rPr>
        <w:t>take into account</w:t>
      </w:r>
      <w:proofErr w:type="gramEnd"/>
      <w:r w:rsidRPr="00A021D7">
        <w:rPr>
          <w:i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A021D7">
        <w:rPr>
          <w:iCs/>
          <w:sz w:val="24"/>
          <w:szCs w:val="24"/>
        </w:rPr>
        <w:t>time period</w:t>
      </w:r>
      <w:proofErr w:type="gramEnd"/>
      <w:r w:rsidRPr="00A021D7">
        <w:rPr>
          <w:i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A021D7">
        <w:rPr>
          <w:iCs/>
          <w:sz w:val="24"/>
          <w:szCs w:val="24"/>
        </w:rPr>
        <w:t>drilling</w:t>
      </w:r>
      <w:proofErr w:type="gramEnd"/>
      <w:r w:rsidRPr="00A021D7">
        <w:rPr>
          <w:iCs/>
          <w:sz w:val="24"/>
          <w:szCs w:val="24"/>
        </w:rPr>
        <w:t xml:space="preserve"> and testing equipment; and record storage facilities.</w:t>
      </w:r>
      <w:r w:rsidRPr="00A021D7">
        <w:rPr>
          <w:bCs w:val="0"/>
          <w:iCs/>
          <w:sz w:val="24"/>
          <w:szCs w:val="24"/>
        </w:rPr>
        <w:t> </w:t>
      </w:r>
    </w:p>
    <w:p w:rsidRPr="00A021D7" w:rsidR="00A021D7" w:rsidP="00A021D7" w:rsidRDefault="00A021D7" w14:paraId="4A932938" w14:textId="77777777">
      <w:pPr>
        <w:widowControl/>
        <w:numPr>
          <w:ilvl w:val="0"/>
          <w:numId w:val="25"/>
        </w:numPr>
        <w:rPr>
          <w:bCs w:val="0"/>
          <w:iCs/>
          <w:sz w:val="24"/>
          <w:szCs w:val="24"/>
        </w:rPr>
      </w:pPr>
      <w:r w:rsidRPr="00A021D7">
        <w:rPr>
          <w:i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021D7">
        <w:rPr>
          <w:iCs/>
          <w:sz w:val="24"/>
          <w:szCs w:val="24"/>
        </w:rPr>
        <w:t>process</w:t>
      </w:r>
      <w:proofErr w:type="gramEnd"/>
      <w:r w:rsidRPr="00A021D7">
        <w:rPr>
          <w:iCs/>
          <w:sz w:val="24"/>
          <w:szCs w:val="24"/>
        </w:rPr>
        <w:t xml:space="preserve"> and use existing economic or regulatory impact analysis associated with the rulemaking containing the information collection, as appropriate.</w:t>
      </w:r>
      <w:r w:rsidRPr="00A021D7">
        <w:rPr>
          <w:bCs w:val="0"/>
          <w:iCs/>
          <w:sz w:val="24"/>
          <w:szCs w:val="24"/>
        </w:rPr>
        <w:t> </w:t>
      </w:r>
    </w:p>
    <w:p w:rsidRPr="00A021D7" w:rsidR="00A021D7" w:rsidP="00A021D7" w:rsidRDefault="00A021D7" w14:paraId="0AA11F71" w14:textId="77777777">
      <w:pPr>
        <w:widowControl/>
        <w:numPr>
          <w:ilvl w:val="0"/>
          <w:numId w:val="25"/>
        </w:numPr>
        <w:rPr>
          <w:bCs w:val="0"/>
          <w:iCs/>
          <w:sz w:val="24"/>
          <w:szCs w:val="24"/>
        </w:rPr>
      </w:pPr>
      <w:r w:rsidRPr="00A021D7">
        <w:rPr>
          <w:i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50FDC" w:rsidP="007D0E51" w:rsidRDefault="00E50FDC" w14:paraId="623FDA36" w14:textId="77777777">
      <w:pPr>
        <w:pStyle w:val="Quick1"/>
        <w:widowControl/>
        <w:numPr>
          <w:ilvl w:val="0"/>
          <w:numId w:val="0"/>
        </w:numPr>
        <w:ind w:left="720"/>
      </w:pPr>
    </w:p>
    <w:p w:rsidR="00E50FDC" w:rsidP="007D0E51" w:rsidRDefault="00E50FDC" w14:paraId="46A3313E" w14:textId="77777777">
      <w:pPr>
        <w:widowControl/>
        <w:ind w:left="720"/>
        <w:rPr>
          <w:b w:val="0"/>
          <w:bCs w:val="0"/>
          <w:sz w:val="24"/>
        </w:rPr>
      </w:pPr>
      <w:r>
        <w:rPr>
          <w:b w:val="0"/>
          <w:bCs w:val="0"/>
          <w:sz w:val="24"/>
        </w:rPr>
        <w:t xml:space="preserve">The Department has determined that the only additional annual costs arising from this exemption are the mailing costs of the information package to participants.  The Department estimates that approximately </w:t>
      </w:r>
      <w:r w:rsidRPr="00B56073" w:rsidR="00B56073">
        <w:rPr>
          <w:b w:val="0"/>
          <w:bCs w:val="0"/>
          <w:sz w:val="24"/>
        </w:rPr>
        <w:t>140,700</w:t>
      </w:r>
      <w:r>
        <w:rPr>
          <w:b w:val="0"/>
          <w:bCs w:val="0"/>
          <w:sz w:val="24"/>
        </w:rPr>
        <w:t xml:space="preserve"> reports will be mailed annually to participants (</w:t>
      </w:r>
      <w:r w:rsidRPr="00FE172E" w:rsidR="00FE172E">
        <w:rPr>
          <w:b w:val="0"/>
          <w:bCs w:val="0"/>
          <w:sz w:val="24"/>
        </w:rPr>
        <w:t xml:space="preserve">46,900 </w:t>
      </w:r>
      <w:r>
        <w:rPr>
          <w:b w:val="0"/>
          <w:bCs w:val="0"/>
          <w:sz w:val="24"/>
        </w:rPr>
        <w:t>participants times 3 reports per year).  The Department calculates that the direct cost for mailing each report is $</w:t>
      </w:r>
      <w:r w:rsidR="00FE172E">
        <w:rPr>
          <w:b w:val="0"/>
          <w:bCs w:val="0"/>
          <w:sz w:val="24"/>
        </w:rPr>
        <w:t>3.31</w:t>
      </w:r>
      <w:r>
        <w:rPr>
          <w:b w:val="0"/>
          <w:bCs w:val="0"/>
          <w:sz w:val="24"/>
        </w:rPr>
        <w:t xml:space="preserve"> (on average a </w:t>
      </w:r>
      <w:proofErr w:type="gramStart"/>
      <w:r>
        <w:rPr>
          <w:b w:val="0"/>
          <w:bCs w:val="0"/>
          <w:sz w:val="24"/>
        </w:rPr>
        <w:t>35 page</w:t>
      </w:r>
      <w:proofErr w:type="gramEnd"/>
      <w:r>
        <w:rPr>
          <w:b w:val="0"/>
          <w:bCs w:val="0"/>
          <w:sz w:val="24"/>
        </w:rPr>
        <w:t xml:space="preserve"> report at $0.05 per page, plus </w:t>
      </w:r>
      <w:r w:rsidRPr="00FE172E" w:rsidR="00FE172E">
        <w:rPr>
          <w:b w:val="0"/>
          <w:bCs w:val="0"/>
          <w:sz w:val="24"/>
        </w:rPr>
        <w:t>$1.56</w:t>
      </w:r>
      <w:r w:rsidR="00FE172E">
        <w:rPr>
          <w:b w:val="0"/>
          <w:bCs w:val="0"/>
          <w:sz w:val="24"/>
        </w:rPr>
        <w:t xml:space="preserve"> </w:t>
      </w:r>
      <w:r>
        <w:rPr>
          <w:b w:val="0"/>
          <w:bCs w:val="0"/>
          <w:sz w:val="24"/>
        </w:rPr>
        <w:t>for postage.</w:t>
      </w:r>
      <w:r w:rsidRPr="00B00B3E" w:rsidR="00BD4FEB">
        <w:rPr>
          <w:rStyle w:val="FootnoteReference"/>
          <w:b w:val="0"/>
          <w:bCs w:val="0"/>
          <w:sz w:val="24"/>
          <w:vertAlign w:val="superscript"/>
        </w:rPr>
        <w:footnoteReference w:id="3"/>
      </w:r>
      <w:r w:rsidRPr="00B00B3E">
        <w:rPr>
          <w:b w:val="0"/>
          <w:bCs w:val="0"/>
          <w:sz w:val="24"/>
          <w:vertAlign w:val="superscript"/>
        </w:rPr>
        <w:t xml:space="preserve"> </w:t>
      </w:r>
      <w:r>
        <w:rPr>
          <w:b w:val="0"/>
          <w:bCs w:val="0"/>
          <w:sz w:val="24"/>
        </w:rPr>
        <w:t xml:space="preserve"> The total annual cost burden is therefore estimated at </w:t>
      </w:r>
      <w:r w:rsidR="005006D8">
        <w:rPr>
          <w:b w:val="0"/>
          <w:bCs w:val="0"/>
          <w:sz w:val="24"/>
        </w:rPr>
        <w:t xml:space="preserve">approximately </w:t>
      </w:r>
      <w:r w:rsidRPr="00FE172E" w:rsidR="00FE172E">
        <w:rPr>
          <w:b w:val="0"/>
          <w:bCs w:val="0"/>
          <w:sz w:val="24"/>
        </w:rPr>
        <w:t>$465,717</w:t>
      </w:r>
      <w:r w:rsidRPr="00FE172E" w:rsidDel="00FE172E" w:rsidR="00FE172E">
        <w:rPr>
          <w:b w:val="0"/>
          <w:bCs w:val="0"/>
          <w:sz w:val="24"/>
        </w:rPr>
        <w:t xml:space="preserve"> </w:t>
      </w:r>
      <w:r>
        <w:rPr>
          <w:b w:val="0"/>
          <w:bCs w:val="0"/>
          <w:sz w:val="24"/>
        </w:rPr>
        <w:t>(</w:t>
      </w:r>
      <w:r w:rsidRPr="00FE172E" w:rsidR="00FE172E">
        <w:rPr>
          <w:b w:val="0"/>
          <w:bCs w:val="0"/>
          <w:sz w:val="24"/>
        </w:rPr>
        <w:t>140,700</w:t>
      </w:r>
      <w:r w:rsidR="00FE172E">
        <w:rPr>
          <w:b w:val="0"/>
          <w:bCs w:val="0"/>
          <w:sz w:val="24"/>
        </w:rPr>
        <w:t xml:space="preserve"> </w:t>
      </w:r>
      <w:r>
        <w:rPr>
          <w:b w:val="0"/>
          <w:bCs w:val="0"/>
          <w:sz w:val="24"/>
        </w:rPr>
        <w:t>reports x $</w:t>
      </w:r>
      <w:r w:rsidR="00FE172E">
        <w:rPr>
          <w:b w:val="0"/>
          <w:bCs w:val="0"/>
          <w:sz w:val="24"/>
        </w:rPr>
        <w:t>3.31</w:t>
      </w:r>
      <w:r>
        <w:rPr>
          <w:b w:val="0"/>
          <w:bCs w:val="0"/>
          <w:sz w:val="24"/>
        </w:rPr>
        <w:t xml:space="preserve"> per report).</w:t>
      </w:r>
    </w:p>
    <w:p w:rsidRPr="00A021D7" w:rsidR="00F457C1" w:rsidP="007D0E51" w:rsidRDefault="00F457C1" w14:paraId="7DA4F960" w14:textId="77777777">
      <w:pPr>
        <w:widowControl/>
        <w:ind w:left="720"/>
        <w:rPr>
          <w:bCs w:val="0"/>
          <w:sz w:val="24"/>
        </w:rPr>
      </w:pPr>
    </w:p>
    <w:p w:rsidRPr="00A021D7" w:rsidR="004D4B87" w:rsidP="007D0E51" w:rsidRDefault="004D4B87" w14:paraId="3CFFE09F" w14:textId="77777777">
      <w:pPr>
        <w:pStyle w:val="Quick1"/>
        <w:widowControl/>
        <w:rPr>
          <w:b/>
          <w:i w:val="0"/>
        </w:rPr>
      </w:pPr>
      <w:r w:rsidRPr="00A021D7">
        <w:rPr>
          <w:b/>
          <w:i w:val="0"/>
        </w:rPr>
        <w:t xml:space="preserve">Provide estimates of annualized cost to the Federal government.  Also, provide a description of the method used to estimate cost, which should include quantification of hours, operational expenses (such as equipment, overhead, printing, and support </w:t>
      </w:r>
      <w:r w:rsidRPr="00A021D7">
        <w:rPr>
          <w:b/>
          <w:i w:val="0"/>
        </w:rPr>
        <w:lastRenderedPageBreak/>
        <w:t>staff), and any other expense that would not have been incurred without this collection of information.  Agencies also may aggregate cost estimates from Items 12, 13, and 14 in a single table.</w:t>
      </w:r>
    </w:p>
    <w:p w:rsidR="004D4B87" w:rsidP="007D0E51" w:rsidRDefault="004D4B87" w14:paraId="3F58FA45" w14:textId="77777777">
      <w:pPr>
        <w:widowControl/>
        <w:ind w:left="720"/>
        <w:rPr>
          <w:b w:val="0"/>
          <w:bCs w:val="0"/>
          <w:sz w:val="24"/>
        </w:rPr>
      </w:pPr>
    </w:p>
    <w:p w:rsidR="00130171" w:rsidP="00B00B3E" w:rsidRDefault="004D4B87" w14:paraId="5385FFFB" w14:textId="77777777">
      <w:pPr>
        <w:widowControl/>
        <w:ind w:left="720"/>
        <w:rPr>
          <w:b w:val="0"/>
          <w:bCs w:val="0"/>
          <w:sz w:val="24"/>
        </w:rPr>
      </w:pPr>
      <w:r>
        <w:rPr>
          <w:b w:val="0"/>
          <w:bCs w:val="0"/>
          <w:sz w:val="24"/>
        </w:rPr>
        <w:t>There is no cost to the Federal government associated with this information collection.</w:t>
      </w:r>
    </w:p>
    <w:p w:rsidR="00130171" w:rsidP="007D0E51" w:rsidRDefault="00130171" w14:paraId="56BA34FF" w14:textId="77777777">
      <w:pPr>
        <w:widowControl/>
        <w:tabs>
          <w:tab w:val="left" w:pos="-1440"/>
        </w:tabs>
        <w:ind w:left="720"/>
        <w:rPr>
          <w:b w:val="0"/>
          <w:bCs w:val="0"/>
          <w:sz w:val="24"/>
        </w:rPr>
      </w:pPr>
    </w:p>
    <w:p w:rsidRPr="00A101C4" w:rsidR="004D4B87" w:rsidP="007D0E51" w:rsidRDefault="004D4B87" w14:paraId="408FFB4B" w14:textId="77777777">
      <w:pPr>
        <w:pStyle w:val="Quick1"/>
        <w:widowControl/>
        <w:rPr>
          <w:b/>
          <w:i w:val="0"/>
        </w:rPr>
      </w:pPr>
      <w:r w:rsidRPr="00A101C4">
        <w:rPr>
          <w:b/>
          <w:i w:val="0"/>
        </w:rPr>
        <w:t>Explain the reasons for any program changes or adjustments reporting in Items 13 or 14.</w:t>
      </w:r>
    </w:p>
    <w:p w:rsidR="00F457C1" w:rsidP="007D0E51" w:rsidRDefault="00F457C1" w14:paraId="6EA85239" w14:textId="77777777">
      <w:pPr>
        <w:pStyle w:val="Quick1"/>
        <w:widowControl/>
        <w:numPr>
          <w:ilvl w:val="0"/>
          <w:numId w:val="0"/>
        </w:numPr>
        <w:ind w:left="720"/>
      </w:pPr>
    </w:p>
    <w:p w:rsidR="00F457C1" w:rsidP="007D0E51" w:rsidRDefault="00F457C1" w14:paraId="4A6736B7" w14:textId="77777777">
      <w:pPr>
        <w:widowControl/>
        <w:ind w:left="720"/>
        <w:rPr>
          <w:b w:val="0"/>
          <w:bCs w:val="0"/>
          <w:iCs/>
          <w:sz w:val="24"/>
        </w:rPr>
      </w:pPr>
      <w:r>
        <w:rPr>
          <w:b w:val="0"/>
          <w:bCs w:val="0"/>
          <w:iCs/>
          <w:sz w:val="24"/>
        </w:rPr>
        <w:t xml:space="preserve">There have been no program changes in this exemption since the prior submission; however, the Department has updated estimates underlying the analysis.  </w:t>
      </w:r>
      <w:r w:rsidR="00975855">
        <w:rPr>
          <w:b w:val="0"/>
          <w:bCs w:val="0"/>
          <w:iCs/>
          <w:sz w:val="24"/>
        </w:rPr>
        <w:t xml:space="preserve">The number of affected trusts </w:t>
      </w:r>
      <w:r w:rsidR="00374383">
        <w:rPr>
          <w:b w:val="0"/>
          <w:bCs w:val="0"/>
          <w:iCs/>
          <w:sz w:val="24"/>
        </w:rPr>
        <w:t>has decreased but</w:t>
      </w:r>
      <w:r w:rsidR="00975855">
        <w:rPr>
          <w:b w:val="0"/>
          <w:bCs w:val="0"/>
          <w:iCs/>
          <w:sz w:val="24"/>
        </w:rPr>
        <w:t xml:space="preserve"> the costs of labor have all increased</w:t>
      </w:r>
      <w:r w:rsidR="008C1B4C">
        <w:rPr>
          <w:b w:val="0"/>
          <w:bCs w:val="0"/>
          <w:iCs/>
          <w:sz w:val="24"/>
        </w:rPr>
        <w:t xml:space="preserve">, which resulted in a </w:t>
      </w:r>
      <w:r w:rsidR="00374383">
        <w:rPr>
          <w:b w:val="0"/>
          <w:bCs w:val="0"/>
          <w:iCs/>
          <w:sz w:val="24"/>
        </w:rPr>
        <w:t xml:space="preserve">decrease </w:t>
      </w:r>
      <w:r w:rsidR="008C1B4C">
        <w:rPr>
          <w:b w:val="0"/>
          <w:bCs w:val="0"/>
          <w:iCs/>
          <w:sz w:val="24"/>
        </w:rPr>
        <w:t xml:space="preserve">in the hour </w:t>
      </w:r>
      <w:r w:rsidR="00374383">
        <w:rPr>
          <w:b w:val="0"/>
          <w:bCs w:val="0"/>
          <w:iCs/>
          <w:sz w:val="24"/>
        </w:rPr>
        <w:t xml:space="preserve">burden </w:t>
      </w:r>
      <w:r w:rsidR="001C524D">
        <w:rPr>
          <w:b w:val="0"/>
          <w:bCs w:val="0"/>
          <w:iCs/>
          <w:sz w:val="24"/>
        </w:rPr>
        <w:t xml:space="preserve">with </w:t>
      </w:r>
      <w:r w:rsidR="00374383">
        <w:rPr>
          <w:b w:val="0"/>
          <w:bCs w:val="0"/>
          <w:iCs/>
          <w:sz w:val="24"/>
        </w:rPr>
        <w:t xml:space="preserve">an increase in the </w:t>
      </w:r>
      <w:r w:rsidR="008C1B4C">
        <w:rPr>
          <w:b w:val="0"/>
          <w:bCs w:val="0"/>
          <w:iCs/>
          <w:sz w:val="24"/>
        </w:rPr>
        <w:t xml:space="preserve">cost burden, </w:t>
      </w:r>
      <w:r w:rsidR="00374383">
        <w:rPr>
          <w:b w:val="0"/>
          <w:bCs w:val="0"/>
          <w:iCs/>
          <w:sz w:val="24"/>
        </w:rPr>
        <w:t xml:space="preserve">when </w:t>
      </w:r>
      <w:r w:rsidR="008C1B4C">
        <w:rPr>
          <w:b w:val="0"/>
          <w:bCs w:val="0"/>
          <w:iCs/>
          <w:sz w:val="24"/>
        </w:rPr>
        <w:t xml:space="preserve">compared </w:t>
      </w:r>
      <w:r w:rsidR="00B30902">
        <w:rPr>
          <w:b w:val="0"/>
          <w:bCs w:val="0"/>
          <w:iCs/>
          <w:sz w:val="24"/>
        </w:rPr>
        <w:t xml:space="preserve">to </w:t>
      </w:r>
      <w:r w:rsidR="008C1B4C">
        <w:rPr>
          <w:b w:val="0"/>
          <w:bCs w:val="0"/>
          <w:iCs/>
          <w:sz w:val="24"/>
        </w:rPr>
        <w:t>the previous submission</w:t>
      </w:r>
      <w:r>
        <w:rPr>
          <w:b w:val="0"/>
          <w:bCs w:val="0"/>
          <w:iCs/>
          <w:sz w:val="24"/>
        </w:rPr>
        <w:t>.</w:t>
      </w:r>
    </w:p>
    <w:p w:rsidR="003E0E88" w:rsidP="007D0E51" w:rsidRDefault="003E0E88" w14:paraId="74AAD46F" w14:textId="77777777">
      <w:pPr>
        <w:widowControl/>
        <w:ind w:left="720"/>
        <w:rPr>
          <w:b w:val="0"/>
          <w:bCs w:val="0"/>
          <w:iCs/>
          <w:sz w:val="24"/>
        </w:rPr>
      </w:pPr>
    </w:p>
    <w:p w:rsidRPr="00A101C4" w:rsidR="004D4B87" w:rsidP="007D0E51" w:rsidRDefault="004D4B87" w14:paraId="58A48AE0" w14:textId="77777777">
      <w:pPr>
        <w:pStyle w:val="Quick1"/>
        <w:widowControl/>
        <w:rPr>
          <w:b/>
          <w:i w:val="0"/>
        </w:rPr>
      </w:pPr>
      <w:r w:rsidRPr="00A101C4">
        <w:rPr>
          <w:b/>
          <w:i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4B87" w:rsidP="007D0E51" w:rsidRDefault="004D4B87" w14:paraId="3B70AA96" w14:textId="77777777">
      <w:pPr>
        <w:widowControl/>
        <w:ind w:left="720"/>
        <w:rPr>
          <w:b w:val="0"/>
          <w:bCs w:val="0"/>
          <w:sz w:val="24"/>
        </w:rPr>
      </w:pPr>
    </w:p>
    <w:p w:rsidR="004D4B87" w:rsidP="007D0E51" w:rsidRDefault="004D4B87" w14:paraId="6C4D15F4" w14:textId="77777777">
      <w:pPr>
        <w:pStyle w:val="BodyText"/>
        <w:ind w:left="720"/>
        <w:outlineLvl w:val="0"/>
      </w:pPr>
      <w:r>
        <w:t>There are no plans to publish the results of this collection of information.</w:t>
      </w:r>
    </w:p>
    <w:p w:rsidR="004D4B87" w:rsidP="007D0E51" w:rsidRDefault="004D4B87" w14:paraId="64502D32" w14:textId="77777777">
      <w:pPr>
        <w:widowControl/>
        <w:ind w:left="720"/>
        <w:rPr>
          <w:b w:val="0"/>
          <w:bCs w:val="0"/>
          <w:sz w:val="24"/>
        </w:rPr>
      </w:pPr>
    </w:p>
    <w:p w:rsidRPr="00A101C4" w:rsidR="004D4B87" w:rsidP="007D0E51" w:rsidRDefault="004D4B87" w14:paraId="72E2C53B" w14:textId="77777777">
      <w:pPr>
        <w:pStyle w:val="Quick1"/>
        <w:widowControl/>
        <w:rPr>
          <w:b/>
          <w:i w:val="0"/>
        </w:rPr>
      </w:pPr>
      <w:r w:rsidRPr="00A101C4">
        <w:rPr>
          <w:b/>
          <w:i w:val="0"/>
        </w:rPr>
        <w:t>If seeking approval to not display the expiration date for OMB approval of the information collection, explain the reasons that display would be inappropriate.</w:t>
      </w:r>
    </w:p>
    <w:p w:rsidR="004D4B87" w:rsidP="007D0E51" w:rsidRDefault="004D4B87" w14:paraId="00B5621F" w14:textId="77777777">
      <w:pPr>
        <w:widowControl/>
        <w:ind w:left="720"/>
        <w:rPr>
          <w:b w:val="0"/>
          <w:bCs w:val="0"/>
          <w:sz w:val="24"/>
        </w:rPr>
      </w:pPr>
    </w:p>
    <w:p w:rsidR="004D4B87" w:rsidP="007D0E51" w:rsidRDefault="004D4B87" w14:paraId="4981F223" w14:textId="77777777">
      <w:pPr>
        <w:widowControl/>
        <w:ind w:left="720"/>
        <w:rPr>
          <w:b w:val="0"/>
          <w:bCs w:val="0"/>
          <w:sz w:val="24"/>
        </w:rPr>
      </w:pPr>
      <w:r>
        <w:rPr>
          <w:b w:val="0"/>
          <w:bCs w:val="0"/>
          <w:sz w:val="24"/>
        </w:rPr>
        <w:t xml:space="preserve">The OMB expiration date will be published in the </w:t>
      </w:r>
      <w:r>
        <w:rPr>
          <w:b w:val="0"/>
          <w:bCs w:val="0"/>
          <w:sz w:val="24"/>
          <w:u w:val="single"/>
        </w:rPr>
        <w:t>Federal Register</w:t>
      </w:r>
      <w:r w:rsidR="003E0E88">
        <w:rPr>
          <w:b w:val="0"/>
          <w:bCs w:val="0"/>
          <w:sz w:val="24"/>
        </w:rPr>
        <w:t xml:space="preserve"> upon OMB approval.</w:t>
      </w:r>
    </w:p>
    <w:p w:rsidR="004D4B87" w:rsidP="007D0E51" w:rsidRDefault="004D4B87" w14:paraId="19330F5F" w14:textId="77777777">
      <w:pPr>
        <w:widowControl/>
        <w:ind w:left="720"/>
        <w:rPr>
          <w:b w:val="0"/>
          <w:bCs w:val="0"/>
          <w:sz w:val="24"/>
        </w:rPr>
      </w:pPr>
    </w:p>
    <w:p w:rsidRPr="00A101C4" w:rsidR="004D4B87" w:rsidP="007D0E51" w:rsidRDefault="004D4B87" w14:paraId="56E1689B" w14:textId="77777777">
      <w:pPr>
        <w:pStyle w:val="Quick1"/>
        <w:widowControl/>
        <w:rPr>
          <w:b/>
          <w:i w:val="0"/>
        </w:rPr>
      </w:pPr>
      <w:r w:rsidRPr="00A101C4">
        <w:rPr>
          <w:b/>
          <w:i w:val="0"/>
        </w:rPr>
        <w:t>Explain each exception to the certification s</w:t>
      </w:r>
      <w:r w:rsidRPr="00A101C4" w:rsidR="00A101C4">
        <w:rPr>
          <w:b/>
          <w:i w:val="0"/>
        </w:rPr>
        <w:t>tatement identified in Item 19.</w:t>
      </w:r>
    </w:p>
    <w:p w:rsidR="004D4B87" w:rsidP="007D0E51" w:rsidRDefault="004D4B87" w14:paraId="2076EBE3" w14:textId="77777777">
      <w:pPr>
        <w:widowControl/>
        <w:ind w:left="720"/>
        <w:rPr>
          <w:sz w:val="24"/>
        </w:rPr>
      </w:pPr>
    </w:p>
    <w:p w:rsidR="004D4B87" w:rsidP="007D0E51" w:rsidRDefault="004D4B87" w14:paraId="0D441452" w14:textId="77777777">
      <w:pPr>
        <w:widowControl/>
        <w:ind w:left="720"/>
        <w:outlineLvl w:val="0"/>
        <w:rPr>
          <w:b w:val="0"/>
          <w:bCs w:val="0"/>
          <w:sz w:val="24"/>
        </w:rPr>
      </w:pPr>
      <w:r>
        <w:rPr>
          <w:b w:val="0"/>
          <w:bCs w:val="0"/>
          <w:sz w:val="24"/>
        </w:rPr>
        <w:t>None.</w:t>
      </w:r>
    </w:p>
    <w:p w:rsidR="004D4B87" w:rsidP="007D0E51" w:rsidRDefault="004D4B87" w14:paraId="07CC51C1" w14:textId="77777777">
      <w:pPr>
        <w:widowControl/>
        <w:ind w:left="720"/>
        <w:rPr>
          <w:b w:val="0"/>
          <w:bCs w:val="0"/>
          <w:sz w:val="24"/>
        </w:rPr>
      </w:pPr>
    </w:p>
    <w:p w:rsidRPr="00E371FB" w:rsidR="004D4B87" w:rsidP="007D0E51" w:rsidRDefault="004D4B87" w14:paraId="446902EC" w14:textId="77777777">
      <w:pPr>
        <w:widowControl/>
        <w:tabs>
          <w:tab w:val="left" w:pos="-1440"/>
        </w:tabs>
        <w:ind w:left="720" w:hanging="720"/>
        <w:outlineLvl w:val="0"/>
        <w:rPr>
          <w:bCs w:val="0"/>
          <w:sz w:val="24"/>
        </w:rPr>
      </w:pPr>
      <w:r w:rsidRPr="00E371FB">
        <w:rPr>
          <w:bCs w:val="0"/>
          <w:sz w:val="24"/>
        </w:rPr>
        <w:t>B.</w:t>
      </w:r>
      <w:r w:rsidRPr="00E371FB">
        <w:rPr>
          <w:bCs w:val="0"/>
          <w:sz w:val="24"/>
        </w:rPr>
        <w:tab/>
      </w:r>
      <w:r w:rsidRPr="00E371FB" w:rsidR="00DD68DA">
        <w:rPr>
          <w:bCs w:val="0"/>
          <w:sz w:val="24"/>
        </w:rPr>
        <w:t>COLLECTIONS OF INFORMATION EMPLOYING STATISTICAL METHODS</w:t>
      </w:r>
    </w:p>
    <w:p w:rsidR="004D4B87" w:rsidP="007D0E51" w:rsidRDefault="004D4B87" w14:paraId="0BA1FF37" w14:textId="77777777">
      <w:pPr>
        <w:widowControl/>
        <w:ind w:left="720"/>
        <w:rPr>
          <w:b w:val="0"/>
          <w:bCs w:val="0"/>
          <w:sz w:val="24"/>
        </w:rPr>
      </w:pPr>
    </w:p>
    <w:p w:rsidR="004D4B87" w:rsidP="007D0E51" w:rsidRDefault="004D4B87" w14:paraId="60C88E89" w14:textId="77777777">
      <w:pPr>
        <w:widowControl/>
        <w:ind w:left="720"/>
        <w:rPr>
          <w:b w:val="0"/>
          <w:bCs w:val="0"/>
          <w:sz w:val="24"/>
        </w:rPr>
      </w:pPr>
      <w:r>
        <w:rPr>
          <w:b w:val="0"/>
          <w:bCs w:val="0"/>
          <w:sz w:val="24"/>
        </w:rPr>
        <w:t>Not applicable.</w:t>
      </w:r>
    </w:p>
    <w:sectPr w:rsidR="004D4B87">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F19E" w14:textId="77777777" w:rsidR="00F179E3" w:rsidRDefault="00F179E3">
      <w:r>
        <w:separator/>
      </w:r>
    </w:p>
  </w:endnote>
  <w:endnote w:type="continuationSeparator" w:id="0">
    <w:p w14:paraId="3BCEB213" w14:textId="77777777" w:rsidR="00F179E3" w:rsidRDefault="00F1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87D6" w14:textId="77777777" w:rsidR="009D5BCF" w:rsidRDefault="009D5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26E340" w14:textId="77777777" w:rsidR="009D5BCF" w:rsidRDefault="009D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7112" w14:textId="7326C838" w:rsidR="009D5BCF" w:rsidRPr="00BD4FEB" w:rsidRDefault="009D5BCF">
    <w:pPr>
      <w:pStyle w:val="Footer"/>
      <w:framePr w:wrap="around" w:vAnchor="text" w:hAnchor="margin" w:xAlign="center" w:y="1"/>
      <w:rPr>
        <w:rStyle w:val="PageNumber"/>
        <w:sz w:val="24"/>
      </w:rPr>
    </w:pPr>
    <w:r w:rsidRPr="00BD4FEB">
      <w:rPr>
        <w:rStyle w:val="PageNumber"/>
        <w:sz w:val="24"/>
      </w:rPr>
      <w:fldChar w:fldCharType="begin"/>
    </w:r>
    <w:r w:rsidRPr="00BD4FEB">
      <w:rPr>
        <w:rStyle w:val="PageNumber"/>
        <w:sz w:val="24"/>
      </w:rPr>
      <w:instrText xml:space="preserve">PAGE  </w:instrText>
    </w:r>
    <w:r w:rsidRPr="00BD4FEB">
      <w:rPr>
        <w:rStyle w:val="PageNumber"/>
        <w:sz w:val="24"/>
      </w:rPr>
      <w:fldChar w:fldCharType="separate"/>
    </w:r>
    <w:r w:rsidR="00CF5BF3">
      <w:rPr>
        <w:rStyle w:val="PageNumber"/>
        <w:noProof/>
        <w:sz w:val="24"/>
      </w:rPr>
      <w:t>10</w:t>
    </w:r>
    <w:r w:rsidRPr="00BD4FEB">
      <w:rPr>
        <w:rStyle w:val="PageNumber"/>
        <w:sz w:val="24"/>
      </w:rPr>
      <w:fldChar w:fldCharType="end"/>
    </w:r>
  </w:p>
  <w:p w14:paraId="037AA033" w14:textId="77777777" w:rsidR="009D5BCF" w:rsidRDefault="009D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A055" w14:textId="77777777" w:rsidR="00F179E3" w:rsidRDefault="00F179E3">
      <w:r>
        <w:separator/>
      </w:r>
    </w:p>
  </w:footnote>
  <w:footnote w:type="continuationSeparator" w:id="0">
    <w:p w14:paraId="4165941B" w14:textId="77777777" w:rsidR="00F179E3" w:rsidRDefault="00F179E3">
      <w:r>
        <w:continuationSeparator/>
      </w:r>
    </w:p>
  </w:footnote>
  <w:footnote w:id="1">
    <w:p w14:paraId="527984F2" w14:textId="77777777" w:rsidR="00DB7385" w:rsidRPr="00C419DD" w:rsidRDefault="00DB7385">
      <w:pPr>
        <w:pStyle w:val="FootnoteText"/>
        <w:rPr>
          <w:b w:val="0"/>
          <w:sz w:val="20"/>
        </w:rPr>
      </w:pPr>
      <w:r w:rsidRPr="00C419DD">
        <w:rPr>
          <w:rStyle w:val="FootnoteReference"/>
          <w:b w:val="0"/>
          <w:sz w:val="20"/>
          <w:vertAlign w:val="superscript"/>
        </w:rPr>
        <w:footnoteRef/>
      </w:r>
      <w:r w:rsidRPr="00C419DD">
        <w:rPr>
          <w:b w:val="0"/>
          <w:sz w:val="20"/>
        </w:rPr>
        <w:t xml:space="preserve"> A trust REIT is a security that sells like a stock on the major exchanges and invests in real estate directly, either through properties or mortgages.  </w:t>
      </w:r>
    </w:p>
  </w:footnote>
  <w:footnote w:id="2">
    <w:p w14:paraId="1AEE1C78" w14:textId="77777777" w:rsidR="000459FE" w:rsidRPr="00C419DD" w:rsidRDefault="000459FE">
      <w:pPr>
        <w:pStyle w:val="FootnoteText"/>
        <w:rPr>
          <w:b w:val="0"/>
          <w:sz w:val="20"/>
        </w:rPr>
      </w:pPr>
      <w:r w:rsidRPr="00C419DD">
        <w:rPr>
          <w:rStyle w:val="FootnoteReference"/>
          <w:b w:val="0"/>
          <w:sz w:val="20"/>
          <w:vertAlign w:val="superscript"/>
        </w:rPr>
        <w:footnoteRef/>
      </w:r>
      <w:r w:rsidRPr="00C419DD">
        <w:rPr>
          <w:b w:val="0"/>
          <w:sz w:val="20"/>
        </w:rPr>
        <w:t xml:space="preserve"> </w:t>
      </w:r>
      <w:r w:rsidR="0020781D" w:rsidRPr="0020781D">
        <w:rPr>
          <w:b w:val="0"/>
          <w:sz w:val="20"/>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3">
    <w:p w14:paraId="3BC6F84B" w14:textId="77777777" w:rsidR="00BD4FEB" w:rsidRPr="00BD4FEB" w:rsidRDefault="00BD4FEB" w:rsidP="00BD4FEB">
      <w:pPr>
        <w:pStyle w:val="FootnoteText"/>
        <w:rPr>
          <w:b w:val="0"/>
          <w:sz w:val="20"/>
        </w:rPr>
      </w:pPr>
      <w:r w:rsidRPr="00B00B3E">
        <w:rPr>
          <w:rStyle w:val="FootnoteReference"/>
          <w:sz w:val="20"/>
          <w:vertAlign w:val="superscript"/>
        </w:rPr>
        <w:footnoteRef/>
      </w:r>
      <w:r w:rsidRPr="00B00B3E">
        <w:rPr>
          <w:sz w:val="20"/>
        </w:rPr>
        <w:t xml:space="preserve"> </w:t>
      </w:r>
      <w:r>
        <w:rPr>
          <w:b w:val="0"/>
          <w:sz w:val="20"/>
        </w:rPr>
        <w:t xml:space="preserve">The cost of postage of a large flat envelope, which weighs three ounces is $1.56. </w:t>
      </w:r>
      <w:r w:rsidRPr="00BD4FEB">
        <w:rPr>
          <w:b w:val="0"/>
          <w:sz w:val="20"/>
        </w:rPr>
        <w:t xml:space="preserve">For more information on mailing rates, see at </w:t>
      </w:r>
      <w:hyperlink r:id="rId1" w:anchor="_c037" w:history="1">
        <w:r w:rsidRPr="00BD4FEB">
          <w:rPr>
            <w:rStyle w:val="Hyperlink"/>
            <w:b w:val="0"/>
            <w:sz w:val="20"/>
          </w:rPr>
          <w:t>https://pe.usps.com/text/dmm300/Notice123.htm?_gl=1*1e2kxda*_ga*MzY1MzQ2NTE0LjE2Mjc2NDg3MDY.*_ga_3NXP3C8S9V*MTY0MTkxMjc5MC45LjEuMTY0MTkxMzE1MC4w#_c037</w:t>
        </w:r>
      </w:hyperlink>
      <w:r w:rsidRPr="00BD4FEB">
        <w:rPr>
          <w:b w:val="0"/>
          <w:sz w:val="20"/>
        </w:rPr>
        <w:t>.</w:t>
      </w:r>
    </w:p>
    <w:p w14:paraId="5B3020C6" w14:textId="77777777" w:rsidR="00BD4FEB" w:rsidRPr="00B00B3E" w:rsidRDefault="00BD4FEB">
      <w:pPr>
        <w:pStyle w:val="FootnoteText"/>
        <w:rPr>
          <w:b w:val="0"/>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1F6" w14:textId="77777777" w:rsidR="009D5BCF" w:rsidRDefault="009D5BCF" w:rsidP="00B00B3E">
    <w:pPr>
      <w:rPr>
        <w:b w:val="0"/>
        <w:bCs w:val="0"/>
      </w:rPr>
    </w:pPr>
    <w:r>
      <w:rPr>
        <w:b w:val="0"/>
        <w:bCs w:val="0"/>
      </w:rPr>
      <w:t>Prohibited Transaction Class Exemption 2004-07</w:t>
    </w:r>
  </w:p>
  <w:p w14:paraId="51F74855" w14:textId="77777777" w:rsidR="009D5BCF" w:rsidRDefault="009D5BCF" w:rsidP="00B00B3E">
    <w:pPr>
      <w:rPr>
        <w:b w:val="0"/>
        <w:bCs w:val="0"/>
      </w:rPr>
    </w:pPr>
    <w:r>
      <w:rPr>
        <w:b w:val="0"/>
        <w:bCs w:val="0"/>
      </w:rPr>
      <w:t xml:space="preserve">Acquisition and </w:t>
    </w:r>
    <w:smartTag w:uri="urn:schemas-microsoft-com:office:smarttags" w:element="City">
      <w:smartTag w:uri="urn:schemas-microsoft-com:office:smarttags" w:element="place">
        <w:r>
          <w:rPr>
            <w:b w:val="0"/>
            <w:bCs w:val="0"/>
          </w:rPr>
          <w:t>Sale</w:t>
        </w:r>
      </w:smartTag>
    </w:smartTag>
    <w:r>
      <w:rPr>
        <w:b w:val="0"/>
        <w:bCs w:val="0"/>
      </w:rPr>
      <w:t xml:space="preserve"> of Trust REIT Shares by </w:t>
    </w:r>
  </w:p>
  <w:p w14:paraId="169EC70A" w14:textId="77777777" w:rsidR="009D5BCF" w:rsidRDefault="009D5BCF" w:rsidP="00B00B3E">
    <w:pPr>
      <w:rPr>
        <w:b w:val="0"/>
        <w:bCs w:val="0"/>
      </w:rPr>
    </w:pPr>
    <w:r>
      <w:rPr>
        <w:b w:val="0"/>
        <w:bCs w:val="0"/>
      </w:rPr>
      <w:t>Individual Account Plans Sponsored by Trust REITS</w:t>
    </w:r>
  </w:p>
  <w:p w14:paraId="64467C29" w14:textId="77777777" w:rsidR="009D5BCF" w:rsidRDefault="009D5BCF" w:rsidP="00B00B3E">
    <w:pPr>
      <w:rPr>
        <w:b w:val="0"/>
        <w:bCs w:val="0"/>
      </w:rPr>
    </w:pPr>
    <w:r>
      <w:rPr>
        <w:b w:val="0"/>
        <w:bCs w:val="0"/>
      </w:rPr>
      <w:t>OMB Number 1210-0124</w:t>
    </w:r>
  </w:p>
  <w:p w14:paraId="7F160D34" w14:textId="77777777" w:rsidR="005603D5" w:rsidRDefault="005603D5" w:rsidP="00B00B3E">
    <w:pPr>
      <w:rPr>
        <w:b w:val="0"/>
        <w:bCs w:val="0"/>
      </w:rPr>
    </w:pPr>
    <w:r>
      <w:rPr>
        <w:b w:val="0"/>
        <w:bCs w:val="0"/>
      </w:rPr>
      <w:t>Expiration Date: 04/30/2022</w:t>
    </w:r>
  </w:p>
  <w:p w14:paraId="0C057BB4" w14:textId="77777777" w:rsidR="009D5BCF" w:rsidRDefault="009D5BCF">
    <w:pPr>
      <w:pStyle w:val="Header"/>
      <w:jc w:val="right"/>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E5BF6"/>
    <w:multiLevelType w:val="hybridMultilevel"/>
    <w:tmpl w:val="7A769C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D6B05"/>
    <w:multiLevelType w:val="hybridMultilevel"/>
    <w:tmpl w:val="EDFEC152"/>
    <w:lvl w:ilvl="0" w:tplc="04090007">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DB41BB"/>
    <w:multiLevelType w:val="hybridMultilevel"/>
    <w:tmpl w:val="E72ADA04"/>
    <w:lvl w:ilvl="0" w:tplc="3552F89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D83E80"/>
    <w:multiLevelType w:val="hybridMultilevel"/>
    <w:tmpl w:val="C0FC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C542F3"/>
    <w:multiLevelType w:val="hybridMultilevel"/>
    <w:tmpl w:val="57364E4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4D5888"/>
    <w:multiLevelType w:val="hybridMultilevel"/>
    <w:tmpl w:val="245C2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3CB3074"/>
    <w:multiLevelType w:val="hybridMultilevel"/>
    <w:tmpl w:val="1BDE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CB63CA"/>
    <w:multiLevelType w:val="hybridMultilevel"/>
    <w:tmpl w:val="119255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B0C6B46"/>
    <w:multiLevelType w:val="hybridMultilevel"/>
    <w:tmpl w:val="2FC03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 w:numId="3">
    <w:abstractNumId w:val="0"/>
    <w:lvlOverride w:ilvl="0">
      <w:startOverride w:val="3"/>
      <w:lvl w:ilvl="0">
        <w:start w:val="3"/>
        <w:numFmt w:val="decimal"/>
        <w:pStyle w:val="Quick1"/>
        <w:lvlText w:val="%1."/>
        <w:lvlJc w:val="left"/>
      </w:lvl>
    </w:lvlOverride>
  </w:num>
  <w:num w:numId="4">
    <w:abstractNumId w:val="15"/>
  </w:num>
  <w:num w:numId="5">
    <w:abstractNumId w:val="9"/>
  </w:num>
  <w:num w:numId="6">
    <w:abstractNumId w:val="16"/>
  </w:num>
  <w:num w:numId="7">
    <w:abstractNumId w:val="10"/>
  </w:num>
  <w:num w:numId="8">
    <w:abstractNumId w:val="5"/>
  </w:num>
  <w:num w:numId="9">
    <w:abstractNumId w:val="12"/>
  </w:num>
  <w:num w:numId="10">
    <w:abstractNumId w:val="3"/>
  </w:num>
  <w:num w:numId="11">
    <w:abstractNumId w:val="6"/>
  </w:num>
  <w:num w:numId="12">
    <w:abstractNumId w:val="20"/>
  </w:num>
  <w:num w:numId="13">
    <w:abstractNumId w:val="1"/>
  </w:num>
  <w:num w:numId="14">
    <w:abstractNumId w:val="2"/>
  </w:num>
  <w:num w:numId="15">
    <w:abstractNumId w:val="4"/>
  </w:num>
  <w:num w:numId="16">
    <w:abstractNumId w:val="18"/>
  </w:num>
  <w:num w:numId="17">
    <w:abstractNumId w:val="11"/>
  </w:num>
  <w:num w:numId="18">
    <w:abstractNumId w:val="19"/>
  </w:num>
  <w:num w:numId="19">
    <w:abstractNumId w:val="7"/>
  </w:num>
  <w:num w:numId="20">
    <w:abstractNumId w:val="13"/>
  </w:num>
  <w:num w:numId="21">
    <w:abstractNumId w:val="8"/>
  </w:num>
  <w:num w:numId="22">
    <w:abstractNumId w:val="0"/>
    <w:lvlOverride w:ilvl="0">
      <w:lvl w:ilvl="0">
        <w:start w:val="1"/>
        <w:numFmt w:val="decimal"/>
        <w:pStyle w:val="Quick1"/>
        <w:lvlText w:val="%1."/>
        <w:lvlJc w:val="left"/>
        <w:pPr>
          <w:tabs>
            <w:tab w:val="num" w:pos="360"/>
          </w:tabs>
          <w:ind w:left="360" w:hanging="360"/>
        </w:pPr>
        <w:rPr>
          <w:rFonts w:hint="default"/>
        </w:rPr>
      </w:lvl>
    </w:lvlOverride>
  </w:num>
  <w:num w:numId="23">
    <w:abstractNumId w:val="17"/>
  </w:num>
  <w:num w:numId="24">
    <w:abstractNumId w:val="0"/>
    <w:lvlOverride w:ilvl="0">
      <w:lvl w:ilvl="0">
        <w:start w:val="1"/>
        <w:numFmt w:val="decimal"/>
        <w:pStyle w:val="Quick1"/>
        <w:lvlText w:val="%1."/>
        <w:lvlJc w:val="left"/>
        <w:pPr>
          <w:tabs>
            <w:tab w:val="num" w:pos="0"/>
          </w:tabs>
          <w:ind w:left="0" w:firstLine="0"/>
        </w:pPr>
        <w:rPr>
          <w:rFonts w:hint="default"/>
          <w:i w:val="0"/>
          <w:sz w:val="24"/>
          <w:szCs w:val="24"/>
        </w:rPr>
      </w:lvl>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4E"/>
    <w:rsid w:val="00003832"/>
    <w:rsid w:val="0001748D"/>
    <w:rsid w:val="00034364"/>
    <w:rsid w:val="000459FE"/>
    <w:rsid w:val="00052AB1"/>
    <w:rsid w:val="00061B66"/>
    <w:rsid w:val="00062B44"/>
    <w:rsid w:val="00090A51"/>
    <w:rsid w:val="00091732"/>
    <w:rsid w:val="000D560D"/>
    <w:rsid w:val="000E06CE"/>
    <w:rsid w:val="000E62AF"/>
    <w:rsid w:val="00105B82"/>
    <w:rsid w:val="0012392A"/>
    <w:rsid w:val="00125604"/>
    <w:rsid w:val="00127070"/>
    <w:rsid w:val="00130171"/>
    <w:rsid w:val="00132BB3"/>
    <w:rsid w:val="0013464A"/>
    <w:rsid w:val="001405F8"/>
    <w:rsid w:val="0014321E"/>
    <w:rsid w:val="00195210"/>
    <w:rsid w:val="001C316B"/>
    <w:rsid w:val="001C524D"/>
    <w:rsid w:val="001C5E6C"/>
    <w:rsid w:val="001D174E"/>
    <w:rsid w:val="001E663F"/>
    <w:rsid w:val="0020781D"/>
    <w:rsid w:val="00230F13"/>
    <w:rsid w:val="00243139"/>
    <w:rsid w:val="00245165"/>
    <w:rsid w:val="002708A7"/>
    <w:rsid w:val="002717CE"/>
    <w:rsid w:val="00272735"/>
    <w:rsid w:val="00274EFB"/>
    <w:rsid w:val="002956FD"/>
    <w:rsid w:val="00295954"/>
    <w:rsid w:val="002A1BD3"/>
    <w:rsid w:val="002A5F3F"/>
    <w:rsid w:val="002B5714"/>
    <w:rsid w:val="002B723E"/>
    <w:rsid w:val="002B7E62"/>
    <w:rsid w:val="002D2422"/>
    <w:rsid w:val="002E54FF"/>
    <w:rsid w:val="002F1F18"/>
    <w:rsid w:val="00301C54"/>
    <w:rsid w:val="00322EA3"/>
    <w:rsid w:val="003538F5"/>
    <w:rsid w:val="003555E1"/>
    <w:rsid w:val="00356E99"/>
    <w:rsid w:val="00372B89"/>
    <w:rsid w:val="00374383"/>
    <w:rsid w:val="00376B26"/>
    <w:rsid w:val="00390BC9"/>
    <w:rsid w:val="0039129B"/>
    <w:rsid w:val="003931C8"/>
    <w:rsid w:val="003C79B7"/>
    <w:rsid w:val="003D285B"/>
    <w:rsid w:val="003D66E2"/>
    <w:rsid w:val="003E0E88"/>
    <w:rsid w:val="003E10B1"/>
    <w:rsid w:val="003E6342"/>
    <w:rsid w:val="00411721"/>
    <w:rsid w:val="00437BF2"/>
    <w:rsid w:val="00440E19"/>
    <w:rsid w:val="00450EF3"/>
    <w:rsid w:val="00453A3D"/>
    <w:rsid w:val="00470190"/>
    <w:rsid w:val="004743F0"/>
    <w:rsid w:val="0047684E"/>
    <w:rsid w:val="0049416F"/>
    <w:rsid w:val="004A0F62"/>
    <w:rsid w:val="004A1102"/>
    <w:rsid w:val="004B35B8"/>
    <w:rsid w:val="004B3716"/>
    <w:rsid w:val="004D4B87"/>
    <w:rsid w:val="004E34C2"/>
    <w:rsid w:val="005006D8"/>
    <w:rsid w:val="00501879"/>
    <w:rsid w:val="00527F1B"/>
    <w:rsid w:val="005603D5"/>
    <w:rsid w:val="00577333"/>
    <w:rsid w:val="00595942"/>
    <w:rsid w:val="005B0887"/>
    <w:rsid w:val="005B601B"/>
    <w:rsid w:val="005E36F5"/>
    <w:rsid w:val="005E4261"/>
    <w:rsid w:val="005E79D1"/>
    <w:rsid w:val="00621329"/>
    <w:rsid w:val="00637EF8"/>
    <w:rsid w:val="00654C05"/>
    <w:rsid w:val="00661C48"/>
    <w:rsid w:val="00662410"/>
    <w:rsid w:val="00666EDA"/>
    <w:rsid w:val="00667BE9"/>
    <w:rsid w:val="00681745"/>
    <w:rsid w:val="0068521B"/>
    <w:rsid w:val="00687FEC"/>
    <w:rsid w:val="006B2C6E"/>
    <w:rsid w:val="006B4442"/>
    <w:rsid w:val="006C4546"/>
    <w:rsid w:val="006C688C"/>
    <w:rsid w:val="006E1D99"/>
    <w:rsid w:val="006E5FF7"/>
    <w:rsid w:val="006E6B99"/>
    <w:rsid w:val="006F5A65"/>
    <w:rsid w:val="00712A7B"/>
    <w:rsid w:val="00715E72"/>
    <w:rsid w:val="0072420E"/>
    <w:rsid w:val="00745CDD"/>
    <w:rsid w:val="00762007"/>
    <w:rsid w:val="00775B9F"/>
    <w:rsid w:val="00786EC2"/>
    <w:rsid w:val="00796B4E"/>
    <w:rsid w:val="007A4F84"/>
    <w:rsid w:val="007A6723"/>
    <w:rsid w:val="007B18FB"/>
    <w:rsid w:val="007B3646"/>
    <w:rsid w:val="007C78A1"/>
    <w:rsid w:val="007D0E51"/>
    <w:rsid w:val="007F137B"/>
    <w:rsid w:val="007F4F7D"/>
    <w:rsid w:val="00801D8C"/>
    <w:rsid w:val="00824765"/>
    <w:rsid w:val="00842162"/>
    <w:rsid w:val="00843B3E"/>
    <w:rsid w:val="00856DB0"/>
    <w:rsid w:val="00874C75"/>
    <w:rsid w:val="008851B4"/>
    <w:rsid w:val="008B291E"/>
    <w:rsid w:val="008C1B4C"/>
    <w:rsid w:val="008C2332"/>
    <w:rsid w:val="008D2ECA"/>
    <w:rsid w:val="008D5134"/>
    <w:rsid w:val="008F4AF6"/>
    <w:rsid w:val="008F4FAC"/>
    <w:rsid w:val="00935EA5"/>
    <w:rsid w:val="00952F19"/>
    <w:rsid w:val="00962BCA"/>
    <w:rsid w:val="00963471"/>
    <w:rsid w:val="00975855"/>
    <w:rsid w:val="00985403"/>
    <w:rsid w:val="009B081C"/>
    <w:rsid w:val="009C479B"/>
    <w:rsid w:val="009D3F5A"/>
    <w:rsid w:val="009D43F9"/>
    <w:rsid w:val="009D5BCF"/>
    <w:rsid w:val="009E493E"/>
    <w:rsid w:val="009E4FE6"/>
    <w:rsid w:val="009E5772"/>
    <w:rsid w:val="009F1B34"/>
    <w:rsid w:val="009F69E6"/>
    <w:rsid w:val="00A0095D"/>
    <w:rsid w:val="00A014FC"/>
    <w:rsid w:val="00A021D7"/>
    <w:rsid w:val="00A101C4"/>
    <w:rsid w:val="00A223CD"/>
    <w:rsid w:val="00A33621"/>
    <w:rsid w:val="00A423E2"/>
    <w:rsid w:val="00A52807"/>
    <w:rsid w:val="00A5369E"/>
    <w:rsid w:val="00A61630"/>
    <w:rsid w:val="00A71AE9"/>
    <w:rsid w:val="00A74565"/>
    <w:rsid w:val="00A91448"/>
    <w:rsid w:val="00AB039A"/>
    <w:rsid w:val="00AC7BBE"/>
    <w:rsid w:val="00AD2C68"/>
    <w:rsid w:val="00AD7C3B"/>
    <w:rsid w:val="00AE4825"/>
    <w:rsid w:val="00AF2AE0"/>
    <w:rsid w:val="00B00B3E"/>
    <w:rsid w:val="00B247F8"/>
    <w:rsid w:val="00B30902"/>
    <w:rsid w:val="00B33B59"/>
    <w:rsid w:val="00B56073"/>
    <w:rsid w:val="00B619CA"/>
    <w:rsid w:val="00B70E1F"/>
    <w:rsid w:val="00B753F4"/>
    <w:rsid w:val="00BA1235"/>
    <w:rsid w:val="00BB0001"/>
    <w:rsid w:val="00BB5F56"/>
    <w:rsid w:val="00BD4D3B"/>
    <w:rsid w:val="00BD4FEB"/>
    <w:rsid w:val="00BE47CC"/>
    <w:rsid w:val="00BE5063"/>
    <w:rsid w:val="00BF3BAD"/>
    <w:rsid w:val="00C0247E"/>
    <w:rsid w:val="00C05137"/>
    <w:rsid w:val="00C15AF1"/>
    <w:rsid w:val="00C175C2"/>
    <w:rsid w:val="00C21304"/>
    <w:rsid w:val="00C23D69"/>
    <w:rsid w:val="00C419DD"/>
    <w:rsid w:val="00C450AF"/>
    <w:rsid w:val="00C452D2"/>
    <w:rsid w:val="00C477A6"/>
    <w:rsid w:val="00C53721"/>
    <w:rsid w:val="00C609ED"/>
    <w:rsid w:val="00C8677B"/>
    <w:rsid w:val="00CB003A"/>
    <w:rsid w:val="00CF5BF3"/>
    <w:rsid w:val="00CF6014"/>
    <w:rsid w:val="00CF7BFF"/>
    <w:rsid w:val="00D31130"/>
    <w:rsid w:val="00D35325"/>
    <w:rsid w:val="00D36EAD"/>
    <w:rsid w:val="00D378EB"/>
    <w:rsid w:val="00D562E2"/>
    <w:rsid w:val="00D748CD"/>
    <w:rsid w:val="00D74F54"/>
    <w:rsid w:val="00D915D4"/>
    <w:rsid w:val="00D91D60"/>
    <w:rsid w:val="00DA0E85"/>
    <w:rsid w:val="00DA2156"/>
    <w:rsid w:val="00DA4005"/>
    <w:rsid w:val="00DA498D"/>
    <w:rsid w:val="00DA51A1"/>
    <w:rsid w:val="00DB3AA0"/>
    <w:rsid w:val="00DB7385"/>
    <w:rsid w:val="00DC1816"/>
    <w:rsid w:val="00DD6047"/>
    <w:rsid w:val="00DD68DA"/>
    <w:rsid w:val="00DF409C"/>
    <w:rsid w:val="00E1239A"/>
    <w:rsid w:val="00E12A41"/>
    <w:rsid w:val="00E34FCA"/>
    <w:rsid w:val="00E371FB"/>
    <w:rsid w:val="00E50FDC"/>
    <w:rsid w:val="00E522B6"/>
    <w:rsid w:val="00E55CD4"/>
    <w:rsid w:val="00E9568F"/>
    <w:rsid w:val="00E95EA0"/>
    <w:rsid w:val="00EB0A1E"/>
    <w:rsid w:val="00EB2362"/>
    <w:rsid w:val="00ED0D5D"/>
    <w:rsid w:val="00ED2EDE"/>
    <w:rsid w:val="00F01979"/>
    <w:rsid w:val="00F05C74"/>
    <w:rsid w:val="00F06763"/>
    <w:rsid w:val="00F07F35"/>
    <w:rsid w:val="00F1037A"/>
    <w:rsid w:val="00F179E3"/>
    <w:rsid w:val="00F43749"/>
    <w:rsid w:val="00F43AF6"/>
    <w:rsid w:val="00F457C1"/>
    <w:rsid w:val="00F56633"/>
    <w:rsid w:val="00F56CA8"/>
    <w:rsid w:val="00F761B0"/>
    <w:rsid w:val="00F84823"/>
    <w:rsid w:val="00FB49F1"/>
    <w:rsid w:val="00FD08B2"/>
    <w:rsid w:val="00FD56B6"/>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419804E"/>
  <w15:chartTrackingRefBased/>
  <w15:docId w15:val="{E0188F82-334A-4B99-B7BA-C036FBDB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BD4D3B"/>
    <w:pPr>
      <w:numPr>
        <w:numId w:val="2"/>
      </w:numPr>
      <w:tabs>
        <w:tab w:val="clear" w:pos="360"/>
      </w:tabs>
      <w:ind w:left="720" w:hanging="720"/>
    </w:pPr>
    <w:rPr>
      <w:b w:val="0"/>
      <w:i/>
      <w:sz w:val="24"/>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character" w:customStyle="1" w:styleId="BodyTextChar">
    <w:name w:val="Body Text Char"/>
    <w:link w:val="BodyText"/>
    <w:rsid w:val="00ED2EDE"/>
    <w:rPr>
      <w:sz w:val="24"/>
      <w:lang w:val="en-US" w:eastAsia="en-US" w:bidi="ar-SA"/>
    </w:rPr>
  </w:style>
  <w:style w:type="paragraph" w:styleId="BalloonText">
    <w:name w:val="Balloon Text"/>
    <w:basedOn w:val="Normal"/>
    <w:semiHidden/>
    <w:rsid w:val="001C316B"/>
    <w:rPr>
      <w:rFonts w:ascii="Tahoma" w:hAnsi="Tahoma" w:cs="Tahoma"/>
      <w:sz w:val="16"/>
      <w:szCs w:val="16"/>
    </w:rPr>
  </w:style>
  <w:style w:type="character" w:customStyle="1" w:styleId="Quick1Char">
    <w:name w:val="Quick 1. Char"/>
    <w:link w:val="Quick1"/>
    <w:rsid w:val="00BD4D3B"/>
    <w:rPr>
      <w:bCs/>
      <w:i/>
      <w:sz w:val="24"/>
      <w:lang w:val="en-US" w:eastAsia="en-US" w:bidi="ar-SA"/>
    </w:rPr>
  </w:style>
  <w:style w:type="character" w:styleId="CommentReference">
    <w:name w:val="annotation reference"/>
    <w:rsid w:val="00DB7385"/>
    <w:rPr>
      <w:sz w:val="16"/>
      <w:szCs w:val="16"/>
    </w:rPr>
  </w:style>
  <w:style w:type="paragraph" w:styleId="CommentText">
    <w:name w:val="annotation text"/>
    <w:basedOn w:val="Normal"/>
    <w:link w:val="CommentTextChar"/>
    <w:rsid w:val="00DB7385"/>
  </w:style>
  <w:style w:type="character" w:customStyle="1" w:styleId="CommentTextChar">
    <w:name w:val="Comment Text Char"/>
    <w:link w:val="CommentText"/>
    <w:rsid w:val="00DB7385"/>
    <w:rPr>
      <w:b/>
      <w:bCs/>
    </w:rPr>
  </w:style>
  <w:style w:type="paragraph" w:styleId="CommentSubject">
    <w:name w:val="annotation subject"/>
    <w:basedOn w:val="CommentText"/>
    <w:next w:val="CommentText"/>
    <w:link w:val="CommentSubjectChar"/>
    <w:rsid w:val="00DB7385"/>
  </w:style>
  <w:style w:type="character" w:customStyle="1" w:styleId="CommentSubjectChar">
    <w:name w:val="Comment Subject Char"/>
    <w:basedOn w:val="CommentTextChar"/>
    <w:link w:val="CommentSubject"/>
    <w:rsid w:val="00DB7385"/>
    <w:rPr>
      <w:b/>
      <w:bCs/>
    </w:rPr>
  </w:style>
  <w:style w:type="character" w:styleId="Hyperlink">
    <w:name w:val="Hyperlink"/>
    <w:rsid w:val="00F07F35"/>
    <w:rPr>
      <w:color w:val="0000FF"/>
      <w:u w:val="single"/>
    </w:rPr>
  </w:style>
  <w:style w:type="character" w:styleId="FollowedHyperlink">
    <w:name w:val="FollowedHyperlink"/>
    <w:rsid w:val="00F07F35"/>
    <w:rPr>
      <w:color w:val="800080"/>
      <w:u w:val="single"/>
    </w:rPr>
  </w:style>
  <w:style w:type="paragraph" w:styleId="Revision">
    <w:name w:val="Revision"/>
    <w:hidden/>
    <w:uiPriority w:val="99"/>
    <w:semiHidden/>
    <w:rsid w:val="001C5E6C"/>
    <w:rPr>
      <w:b/>
      <w:bCs/>
    </w:rPr>
  </w:style>
  <w:style w:type="paragraph" w:styleId="ListParagraph">
    <w:name w:val="List Paragraph"/>
    <w:basedOn w:val="Normal"/>
    <w:uiPriority w:val="34"/>
    <w:qFormat/>
    <w:rsid w:val="00F05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e.usps.com/text/dmm300/Notice123.htm?_gl=1*1e2kxda*_ga*MzY1MzQ2NTE0LjE2Mjc2NDg3MDY.*_ga_3NXP3C8S9V*MTY0MTkxMjc5MC45LjEuMTY0MTkxMzE1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62C5672F86842A4F62C7B6E96C5AA" ma:contentTypeVersion="5" ma:contentTypeDescription="Create a new document." ma:contentTypeScope="" ma:versionID="a05e80c85e7db61a7f912e84276c34a5">
  <xsd:schema xmlns:xsd="http://www.w3.org/2001/XMLSchema" xmlns:xs="http://www.w3.org/2001/XMLSchema" xmlns:p="http://schemas.microsoft.com/office/2006/metadata/properties" xmlns:ns3="2ca40aa4-bae5-425a-b20c-f2c97b0b911a" xmlns:ns4="d9491da9-8b33-4f3c-b07f-5435e9555e96" targetNamespace="http://schemas.microsoft.com/office/2006/metadata/properties" ma:root="true" ma:fieldsID="81d7d331aac648e032fd6022b4d992f4" ns3:_="" ns4:_="">
    <xsd:import namespace="2ca40aa4-bae5-425a-b20c-f2c97b0b911a"/>
    <xsd:import namespace="d9491da9-8b33-4f3c-b07f-5435e9555e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40aa4-bae5-425a-b20c-f2c97b0b9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91da9-8b33-4f3c-b07f-5435e9555e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AEEC-5A60-4604-9D09-69371EAA37A2}">
  <ds:schemaRefs>
    <ds:schemaRef ds:uri="http://schemas.microsoft.com/sharepoint/v3/contenttype/forms"/>
  </ds:schemaRefs>
</ds:datastoreItem>
</file>

<file path=customXml/itemProps2.xml><?xml version="1.0" encoding="utf-8"?>
<ds:datastoreItem xmlns:ds="http://schemas.openxmlformats.org/officeDocument/2006/customXml" ds:itemID="{499B8BF5-ADDD-4E2E-A9B1-71ADAD5A06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3B9C7-F856-44F7-8D04-6DF31D4E9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40aa4-bae5-425a-b20c-f2c97b0b911a"/>
    <ds:schemaRef ds:uri="d9491da9-8b33-4f3c-b07f-5435e9555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2C688-1F8C-4EC0-ADE3-60C5C261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3586</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23758</CharactersWithSpaces>
  <SharedDoc>false</SharedDoc>
  <HLinks>
    <vt:vector size="6" baseType="variant">
      <vt:variant>
        <vt:i4>8323094</vt:i4>
      </vt:variant>
      <vt:variant>
        <vt:i4>0</vt:i4>
      </vt:variant>
      <vt:variant>
        <vt:i4>0</vt:i4>
      </vt:variant>
      <vt:variant>
        <vt:i4>5</vt:i4>
      </vt:variant>
      <vt:variant>
        <vt:lpwstr>https://pe.usps.com/text/dmm300/Notice123.htm?_gl=1*1e2kxda*_ga*MzY1MzQ2NTE0LjE2Mjc2NDg3MDY.*_ga_3NXP3C8S9V*MTY0MTkxMjc5MC45LjEuMTY0MTkxMzE1MC4w</vt:lpwstr>
      </vt:variant>
      <vt:variant>
        <vt:lpwstr>_c037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Khan, Mariam - EBSA</cp:lastModifiedBy>
  <cp:revision>2</cp:revision>
  <cp:lastPrinted>2015-09-15T14:33:00Z</cp:lastPrinted>
  <dcterms:created xsi:type="dcterms:W3CDTF">2022-02-15T15:27:00Z</dcterms:created>
  <dcterms:modified xsi:type="dcterms:W3CDTF">2022-02-15T15:27:00Z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0x010100AED62C5672F86842A4F62C7B6E96C5AA</vt:lpwstr>
  </property>
</Properties>
</file>