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B6541" w:rsidP="00990333" w:rsidRDefault="00BB6541" w14:paraId="4C96D758" w14:textId="77777777">
      <w:pPr>
        <w:pStyle w:val="Heading1"/>
        <w:keepNext w:val="0"/>
        <w:widowControl/>
        <w:rPr>
          <w:b w:val="0"/>
          <w:bCs w:val="0"/>
          <w:szCs w:val="24"/>
        </w:rPr>
      </w:pPr>
    </w:p>
    <w:p w:rsidRPr="00BB6541" w:rsidR="00BB6541" w:rsidP="00B61366" w:rsidRDefault="00BB6541" w14:paraId="1AFAF748" w14:textId="4D7C0B57">
      <w:pPr>
        <w:pStyle w:val="Heading1"/>
        <w:widowControl/>
        <w:jc w:val="center"/>
        <w:rPr>
          <w:bCs w:val="0"/>
          <w:szCs w:val="24"/>
        </w:rPr>
      </w:pPr>
      <w:r w:rsidRPr="00BB6541">
        <w:rPr>
          <w:bCs w:val="0"/>
          <w:szCs w:val="24"/>
        </w:rPr>
        <w:t>SUPPORTING STATEMENT FOR PAPERWORK REDUCTION ACT OF 1995: NOTICE OF RESEARCH EXCEPTION UNDER THE GENETIC INFORMATION NONDISCRIMINATION ACT</w:t>
      </w:r>
    </w:p>
    <w:p w:rsidR="00EC7EB1" w:rsidP="00BB6541" w:rsidRDefault="00EC7EB1" w14:paraId="2A075D03" w14:textId="77777777">
      <w:pPr>
        <w:widowControl/>
        <w:rPr>
          <w:b w:val="0"/>
          <w:bCs w:val="0"/>
          <w:sz w:val="24"/>
          <w:szCs w:val="24"/>
        </w:rPr>
      </w:pPr>
    </w:p>
    <w:p w:rsidR="00EC7EB1" w:rsidP="00EC7EB1" w:rsidRDefault="00EC7EB1" w14:paraId="140C7D6B" w14:textId="77777777">
      <w:pPr>
        <w:widowControl/>
        <w:rPr>
          <w:b w:val="0"/>
          <w:bCs w:val="0"/>
          <w:sz w:val="24"/>
          <w:szCs w:val="24"/>
        </w:rPr>
      </w:pPr>
      <w:r w:rsidRPr="00EC7EB1">
        <w:rPr>
          <w:b w:val="0"/>
          <w:bCs w:val="0"/>
          <w:sz w:val="24"/>
          <w:szCs w:val="24"/>
        </w:rPr>
        <w:t>This ICR seeks approval for an extension of an existing control number.</w:t>
      </w:r>
    </w:p>
    <w:p w:rsidRPr="00555658" w:rsidR="00AF3643" w:rsidP="00EC7EB1" w:rsidRDefault="00AF3643" w14:paraId="1F486D69" w14:textId="77777777">
      <w:pPr>
        <w:widowControl/>
        <w:rPr>
          <w:b w:val="0"/>
          <w:bCs w:val="0"/>
          <w:sz w:val="24"/>
          <w:szCs w:val="24"/>
        </w:rPr>
      </w:pPr>
    </w:p>
    <w:p w:rsidRPr="00BB6541" w:rsidR="00AA1E33" w:rsidP="004C4B42" w:rsidRDefault="00BB6541" w14:paraId="389A0FF7" w14:textId="5AA26840">
      <w:pPr>
        <w:widowControl/>
        <w:numPr>
          <w:ilvl w:val="0"/>
          <w:numId w:val="24"/>
        </w:numPr>
        <w:ind w:hanging="720"/>
        <w:outlineLvl w:val="0"/>
        <w:rPr>
          <w:bCs w:val="0"/>
          <w:sz w:val="24"/>
          <w:szCs w:val="24"/>
        </w:rPr>
      </w:pPr>
      <w:r w:rsidRPr="00BB6541">
        <w:rPr>
          <w:bCs w:val="0"/>
          <w:sz w:val="24"/>
          <w:szCs w:val="24"/>
        </w:rPr>
        <w:t>JUSTIFICATION</w:t>
      </w:r>
    </w:p>
    <w:p w:rsidRPr="00555658" w:rsidR="00AA1E33" w:rsidP="00990333" w:rsidRDefault="00AA1E33" w14:paraId="096340C3" w14:textId="77777777">
      <w:pPr>
        <w:widowControl/>
        <w:outlineLvl w:val="0"/>
        <w:rPr>
          <w:b w:val="0"/>
          <w:bCs w:val="0"/>
          <w:sz w:val="24"/>
          <w:szCs w:val="24"/>
        </w:rPr>
      </w:pPr>
    </w:p>
    <w:p w:rsidRPr="00BB6541" w:rsidR="00AA1E33" w:rsidP="00280B89" w:rsidRDefault="00AA1E33" w14:paraId="3FB83E00" w14:textId="77777777">
      <w:pPr>
        <w:pStyle w:val="Quick1"/>
        <w:widowControl/>
        <w:numPr>
          <w:ilvl w:val="0"/>
          <w:numId w:val="25"/>
        </w:numPr>
        <w:tabs>
          <w:tab w:val="left" w:pos="-1440"/>
        </w:tabs>
        <w:ind w:hanging="720"/>
        <w:rPr>
          <w:bCs w:val="0"/>
          <w:iCs/>
          <w:sz w:val="24"/>
          <w:szCs w:val="24"/>
        </w:rPr>
      </w:pPr>
      <w:r w:rsidRPr="00BB6541">
        <w:rPr>
          <w:bCs w:val="0"/>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665EB" w:rsidR="00AA1E33" w:rsidP="00280B89" w:rsidRDefault="00AA1E33" w14:paraId="1A2F5294" w14:textId="77777777">
      <w:pPr>
        <w:pStyle w:val="Quick1"/>
        <w:widowControl/>
        <w:numPr>
          <w:ilvl w:val="0"/>
          <w:numId w:val="0"/>
        </w:numPr>
        <w:tabs>
          <w:tab w:val="left" w:pos="-1440"/>
        </w:tabs>
        <w:ind w:left="720"/>
        <w:rPr>
          <w:b w:val="0"/>
          <w:bCs w:val="0"/>
          <w:iCs/>
          <w:sz w:val="24"/>
          <w:szCs w:val="24"/>
        </w:rPr>
      </w:pPr>
    </w:p>
    <w:p w:rsidRPr="00DF4CC6" w:rsidR="00B062B9" w:rsidP="008F5AA4" w:rsidRDefault="00B062B9" w14:paraId="247FC3AC" w14:textId="1B1127FF">
      <w:pPr>
        <w:pStyle w:val="Quick1"/>
        <w:widowControl/>
        <w:numPr>
          <w:ilvl w:val="0"/>
          <w:numId w:val="0"/>
        </w:numPr>
        <w:tabs>
          <w:tab w:val="left" w:pos="-1440"/>
        </w:tabs>
        <w:ind w:left="720"/>
        <w:rPr>
          <w:b w:val="0"/>
          <w:bCs w:val="0"/>
          <w:sz w:val="24"/>
          <w:szCs w:val="24"/>
        </w:rPr>
      </w:pPr>
      <w:r w:rsidRPr="00607563">
        <w:rPr>
          <w:b w:val="0"/>
          <w:bCs w:val="0"/>
          <w:sz w:val="24"/>
          <w:szCs w:val="24"/>
        </w:rPr>
        <w:t>The Genetic Information Nondiscrimination Act of 2008 (GINA), Public Law 110-233, was enacted on May 21, 2008.  Title I of GINA amended the Employee Retirement Income Security Act of 1974 (ERISA), the Public Health Service Act (PHS Act), the Internal Revenue Code of 1986 (</w:t>
      </w:r>
      <w:r w:rsidRPr="00607563" w:rsidR="00DD47C6">
        <w:rPr>
          <w:b w:val="0"/>
          <w:bCs w:val="0"/>
          <w:sz w:val="24"/>
          <w:szCs w:val="24"/>
        </w:rPr>
        <w:t xml:space="preserve">the </w:t>
      </w:r>
      <w:r w:rsidRPr="00607563">
        <w:rPr>
          <w:b w:val="0"/>
          <w:bCs w:val="0"/>
          <w:sz w:val="24"/>
          <w:szCs w:val="24"/>
        </w:rPr>
        <w:t>Code), and the Social Security Act (SSA) to prohibit discrimination in health coverage based on genetic information.  Sections 101 through 10</w:t>
      </w:r>
      <w:r w:rsidRPr="00607563" w:rsidR="008E22FB">
        <w:rPr>
          <w:b w:val="0"/>
          <w:bCs w:val="0"/>
          <w:sz w:val="24"/>
          <w:szCs w:val="24"/>
        </w:rPr>
        <w:t>3</w:t>
      </w:r>
      <w:r w:rsidRPr="00607563">
        <w:rPr>
          <w:b w:val="0"/>
          <w:bCs w:val="0"/>
          <w:sz w:val="24"/>
          <w:szCs w:val="24"/>
        </w:rPr>
        <w:t xml:space="preserve"> of Title I of GINA prevent employment-based group health plans</w:t>
      </w:r>
      <w:r w:rsidRPr="00555658" w:rsidR="008E22FB">
        <w:rPr>
          <w:b w:val="0"/>
          <w:bCs w:val="0"/>
          <w:iCs/>
          <w:sz w:val="24"/>
          <w:szCs w:val="24"/>
        </w:rPr>
        <w:t xml:space="preserve"> and</w:t>
      </w:r>
      <w:r w:rsidRPr="00607563" w:rsidR="008E22FB">
        <w:rPr>
          <w:b w:val="0"/>
          <w:bCs w:val="0"/>
          <w:sz w:val="24"/>
          <w:szCs w:val="24"/>
        </w:rPr>
        <w:t xml:space="preserve"> </w:t>
      </w:r>
      <w:r w:rsidRPr="00607563">
        <w:rPr>
          <w:b w:val="0"/>
          <w:bCs w:val="0"/>
          <w:sz w:val="24"/>
          <w:szCs w:val="24"/>
        </w:rPr>
        <w:t>health insurance issuers in the group</w:t>
      </w:r>
      <w:r w:rsidRPr="00041628">
        <w:rPr>
          <w:b w:val="0"/>
          <w:bCs w:val="0"/>
          <w:sz w:val="24"/>
          <w:szCs w:val="24"/>
        </w:rPr>
        <w:t xml:space="preserve"> and individual markets from discriminating based on genetic information</w:t>
      </w:r>
      <w:r w:rsidRPr="00607563">
        <w:rPr>
          <w:b w:val="0"/>
          <w:bCs w:val="0"/>
          <w:sz w:val="24"/>
          <w:szCs w:val="24"/>
        </w:rPr>
        <w:t xml:space="preserve"> and from collecting such information. The interim final regulations</w:t>
      </w:r>
      <w:r w:rsidRPr="00607563" w:rsidR="008E22FB">
        <w:rPr>
          <w:b w:val="0"/>
          <w:bCs w:val="0"/>
          <w:sz w:val="24"/>
          <w:szCs w:val="24"/>
        </w:rPr>
        <w:t>, which are codified at 29 CFR 2590.702</w:t>
      </w:r>
      <w:r w:rsidR="001945B0">
        <w:rPr>
          <w:b w:val="0"/>
          <w:bCs w:val="0"/>
          <w:sz w:val="24"/>
          <w:szCs w:val="24"/>
        </w:rPr>
        <w:t>-1</w:t>
      </w:r>
      <w:r w:rsidRPr="00607563" w:rsidR="008E22FB">
        <w:rPr>
          <w:b w:val="0"/>
          <w:bCs w:val="0"/>
          <w:sz w:val="24"/>
          <w:szCs w:val="24"/>
        </w:rPr>
        <w:t>,</w:t>
      </w:r>
      <w:r w:rsidRPr="00041628">
        <w:rPr>
          <w:b w:val="0"/>
          <w:bCs w:val="0"/>
          <w:sz w:val="24"/>
          <w:szCs w:val="24"/>
        </w:rPr>
        <w:t xml:space="preserve"> only interpret Sections 101 through 103 of Title I of GINA</w:t>
      </w:r>
      <w:r w:rsidRPr="00041628" w:rsidR="00DD47C6">
        <w:rPr>
          <w:b w:val="0"/>
          <w:bCs w:val="0"/>
          <w:sz w:val="24"/>
          <w:szCs w:val="24"/>
        </w:rPr>
        <w:t>.</w:t>
      </w:r>
    </w:p>
    <w:p w:rsidRPr="00555658" w:rsidR="0085713E" w:rsidP="00280B89" w:rsidRDefault="0085713E" w14:paraId="54825109" w14:textId="77777777">
      <w:pPr>
        <w:pStyle w:val="Quick1"/>
        <w:widowControl/>
        <w:numPr>
          <w:ilvl w:val="0"/>
          <w:numId w:val="0"/>
        </w:numPr>
        <w:tabs>
          <w:tab w:val="left" w:pos="-1440"/>
        </w:tabs>
        <w:ind w:left="720"/>
        <w:rPr>
          <w:b w:val="0"/>
          <w:bCs w:val="0"/>
          <w:iCs/>
          <w:sz w:val="24"/>
          <w:szCs w:val="24"/>
        </w:rPr>
      </w:pPr>
    </w:p>
    <w:p w:rsidRPr="00555658" w:rsidR="00900934" w:rsidP="00280B89" w:rsidRDefault="00900934" w14:paraId="266B9EE9" w14:textId="11A547A5">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While GINA does not mandate any specific benefits for health care services related to genetic tests, diseases, conditions, or genetic services, </w:t>
      </w:r>
      <w:r w:rsidRPr="00555658" w:rsidR="00DD47C6">
        <w:rPr>
          <w:b w:val="0"/>
          <w:bCs w:val="0"/>
          <w:iCs/>
          <w:sz w:val="24"/>
          <w:szCs w:val="24"/>
        </w:rPr>
        <w:t>it does</w:t>
      </w:r>
      <w:r w:rsidRPr="00555658">
        <w:rPr>
          <w:b w:val="0"/>
          <w:bCs w:val="0"/>
          <w:iCs/>
          <w:sz w:val="24"/>
          <w:szCs w:val="24"/>
        </w:rPr>
        <w:t xml:space="preserve"> establish rules that</w:t>
      </w:r>
      <w:r w:rsidR="005F04E0">
        <w:rPr>
          <w:b w:val="0"/>
          <w:bCs w:val="0"/>
          <w:iCs/>
          <w:sz w:val="24"/>
          <w:szCs w:val="24"/>
        </w:rPr>
        <w:t xml:space="preserve"> </w:t>
      </w:r>
      <w:r w:rsidRPr="00555658">
        <w:rPr>
          <w:b w:val="0"/>
          <w:bCs w:val="0"/>
          <w:iCs/>
          <w:sz w:val="24"/>
          <w:szCs w:val="24"/>
        </w:rPr>
        <w:t>generally prohibit a group health plan and a health insurance issuer in the group market from:</w:t>
      </w:r>
    </w:p>
    <w:p w:rsidRPr="00555658" w:rsidR="00900934" w:rsidP="00280B89" w:rsidRDefault="00900934" w14:paraId="09BC25EB" w14:textId="77777777">
      <w:pPr>
        <w:pStyle w:val="Quick1"/>
        <w:widowControl/>
        <w:numPr>
          <w:ilvl w:val="0"/>
          <w:numId w:val="0"/>
        </w:numPr>
        <w:tabs>
          <w:tab w:val="left" w:pos="-1440"/>
        </w:tabs>
        <w:ind w:left="720"/>
        <w:rPr>
          <w:b w:val="0"/>
          <w:bCs w:val="0"/>
          <w:iCs/>
          <w:sz w:val="24"/>
          <w:szCs w:val="24"/>
        </w:rPr>
      </w:pPr>
    </w:p>
    <w:p w:rsidRPr="00555658" w:rsidR="00900934" w:rsidP="00280B89" w:rsidRDefault="001945B0" w14:paraId="1207509C" w14:textId="61A854CC">
      <w:pPr>
        <w:pStyle w:val="Quick1"/>
        <w:widowControl/>
        <w:numPr>
          <w:ilvl w:val="0"/>
          <w:numId w:val="20"/>
        </w:numPr>
        <w:tabs>
          <w:tab w:val="left" w:pos="-1440"/>
        </w:tabs>
        <w:ind w:hanging="720"/>
        <w:rPr>
          <w:b w:val="0"/>
          <w:bCs w:val="0"/>
          <w:iCs/>
          <w:sz w:val="24"/>
          <w:szCs w:val="24"/>
        </w:rPr>
      </w:pPr>
      <w:r>
        <w:rPr>
          <w:b w:val="0"/>
          <w:bCs w:val="0"/>
          <w:iCs/>
          <w:sz w:val="24"/>
          <w:szCs w:val="24"/>
        </w:rPr>
        <w:t>adjusting</w:t>
      </w:r>
      <w:r w:rsidRPr="00555658" w:rsidR="00900934">
        <w:rPr>
          <w:b w:val="0"/>
          <w:bCs w:val="0"/>
          <w:iCs/>
          <w:sz w:val="24"/>
          <w:szCs w:val="24"/>
        </w:rPr>
        <w:t xml:space="preserve"> group premium or contribution amount</w:t>
      </w:r>
      <w:r w:rsidRPr="00555658" w:rsidR="00280B89">
        <w:rPr>
          <w:b w:val="0"/>
          <w:bCs w:val="0"/>
          <w:iCs/>
          <w:sz w:val="24"/>
          <w:szCs w:val="24"/>
        </w:rPr>
        <w:t xml:space="preserve">s based on genetic </w:t>
      </w:r>
      <w:proofErr w:type="gramStart"/>
      <w:r w:rsidRPr="00555658" w:rsidR="00280B89">
        <w:rPr>
          <w:b w:val="0"/>
          <w:bCs w:val="0"/>
          <w:iCs/>
          <w:sz w:val="24"/>
          <w:szCs w:val="24"/>
        </w:rPr>
        <w:t>information;</w:t>
      </w:r>
      <w:proofErr w:type="gramEnd"/>
    </w:p>
    <w:p w:rsidRPr="00555658" w:rsidR="00900934" w:rsidP="00280B89" w:rsidRDefault="00900934" w14:paraId="3DAC38E7" w14:textId="291B5FA5">
      <w:pPr>
        <w:pStyle w:val="Quick1"/>
        <w:widowControl/>
        <w:numPr>
          <w:ilvl w:val="0"/>
          <w:numId w:val="20"/>
        </w:numPr>
        <w:tabs>
          <w:tab w:val="left" w:pos="-1440"/>
        </w:tabs>
        <w:ind w:hanging="720"/>
        <w:rPr>
          <w:b w:val="0"/>
          <w:bCs w:val="0"/>
          <w:iCs/>
          <w:sz w:val="24"/>
          <w:szCs w:val="24"/>
        </w:rPr>
      </w:pPr>
      <w:r w:rsidRPr="00555658">
        <w:rPr>
          <w:b w:val="0"/>
          <w:bCs w:val="0"/>
          <w:iCs/>
          <w:sz w:val="24"/>
          <w:szCs w:val="24"/>
        </w:rPr>
        <w:t>requesting or requiring a</w:t>
      </w:r>
      <w:r w:rsidR="000E2122">
        <w:rPr>
          <w:b w:val="0"/>
          <w:bCs w:val="0"/>
          <w:iCs/>
          <w:sz w:val="24"/>
          <w:szCs w:val="24"/>
        </w:rPr>
        <w:t xml:space="preserve"> covered individual, a</w:t>
      </w:r>
      <w:r w:rsidRPr="00555658">
        <w:rPr>
          <w:b w:val="0"/>
          <w:bCs w:val="0"/>
          <w:iCs/>
          <w:sz w:val="24"/>
          <w:szCs w:val="24"/>
        </w:rPr>
        <w:t xml:space="preserve">n individual </w:t>
      </w:r>
      <w:r w:rsidR="000E2122">
        <w:rPr>
          <w:b w:val="0"/>
          <w:bCs w:val="0"/>
          <w:iCs/>
          <w:sz w:val="24"/>
          <w:szCs w:val="24"/>
        </w:rPr>
        <w:t xml:space="preserve">seeking coverage, </w:t>
      </w:r>
      <w:r w:rsidRPr="00555658">
        <w:rPr>
          <w:b w:val="0"/>
          <w:bCs w:val="0"/>
          <w:iCs/>
          <w:sz w:val="24"/>
          <w:szCs w:val="24"/>
        </w:rPr>
        <w:t xml:space="preserve">or </w:t>
      </w:r>
      <w:r w:rsidR="00312BA9">
        <w:rPr>
          <w:b w:val="0"/>
          <w:bCs w:val="0"/>
          <w:iCs/>
          <w:sz w:val="24"/>
          <w:szCs w:val="24"/>
        </w:rPr>
        <w:t xml:space="preserve">a </w:t>
      </w:r>
      <w:r w:rsidRPr="00555658">
        <w:rPr>
          <w:b w:val="0"/>
          <w:bCs w:val="0"/>
          <w:iCs/>
          <w:sz w:val="24"/>
          <w:szCs w:val="24"/>
        </w:rPr>
        <w:t>family member</w:t>
      </w:r>
      <w:r w:rsidRPr="00555658" w:rsidR="00280B89">
        <w:rPr>
          <w:b w:val="0"/>
          <w:bCs w:val="0"/>
          <w:iCs/>
          <w:sz w:val="24"/>
          <w:szCs w:val="24"/>
        </w:rPr>
        <w:t xml:space="preserve"> </w:t>
      </w:r>
      <w:r w:rsidR="000E2122">
        <w:rPr>
          <w:b w:val="0"/>
          <w:bCs w:val="0"/>
          <w:iCs/>
          <w:sz w:val="24"/>
          <w:szCs w:val="24"/>
        </w:rPr>
        <w:t>of those</w:t>
      </w:r>
      <w:r w:rsidR="008F1C14">
        <w:rPr>
          <w:b w:val="0"/>
          <w:bCs w:val="0"/>
          <w:iCs/>
          <w:sz w:val="24"/>
          <w:szCs w:val="24"/>
        </w:rPr>
        <w:t xml:space="preserve"> individual</w:t>
      </w:r>
      <w:r w:rsidR="000E2122">
        <w:rPr>
          <w:b w:val="0"/>
          <w:bCs w:val="0"/>
          <w:iCs/>
          <w:sz w:val="24"/>
          <w:szCs w:val="24"/>
        </w:rPr>
        <w:t>s</w:t>
      </w:r>
      <w:r w:rsidR="008F1C14">
        <w:rPr>
          <w:b w:val="0"/>
          <w:bCs w:val="0"/>
          <w:iCs/>
          <w:sz w:val="24"/>
          <w:szCs w:val="24"/>
        </w:rPr>
        <w:t xml:space="preserve"> </w:t>
      </w:r>
      <w:r w:rsidRPr="00555658" w:rsidR="00280B89">
        <w:rPr>
          <w:b w:val="0"/>
          <w:bCs w:val="0"/>
          <w:iCs/>
          <w:sz w:val="24"/>
          <w:szCs w:val="24"/>
        </w:rPr>
        <w:t>to undergo a genetic test; and</w:t>
      </w:r>
    </w:p>
    <w:p w:rsidRPr="00555658" w:rsidR="00B062B9" w:rsidP="00280B89" w:rsidRDefault="00900934" w14:paraId="130FD3A8" w14:textId="47D9D2B3">
      <w:pPr>
        <w:pStyle w:val="Quick1"/>
        <w:widowControl/>
        <w:numPr>
          <w:ilvl w:val="0"/>
          <w:numId w:val="20"/>
        </w:numPr>
        <w:tabs>
          <w:tab w:val="left" w:pos="-1440"/>
        </w:tabs>
        <w:ind w:hanging="720"/>
        <w:rPr>
          <w:b w:val="0"/>
          <w:bCs w:val="0"/>
          <w:iCs/>
          <w:sz w:val="24"/>
          <w:szCs w:val="24"/>
        </w:rPr>
      </w:pPr>
      <w:r w:rsidRPr="00555658">
        <w:rPr>
          <w:b w:val="0"/>
          <w:bCs w:val="0"/>
          <w:iCs/>
          <w:sz w:val="24"/>
          <w:szCs w:val="24"/>
        </w:rPr>
        <w:t>requesting, requiring</w:t>
      </w:r>
      <w:r w:rsidR="00B90E91">
        <w:rPr>
          <w:b w:val="0"/>
          <w:bCs w:val="0"/>
          <w:iCs/>
          <w:sz w:val="24"/>
          <w:szCs w:val="24"/>
        </w:rPr>
        <w:t>,</w:t>
      </w:r>
      <w:r w:rsidRPr="00555658">
        <w:rPr>
          <w:b w:val="0"/>
          <w:bCs w:val="0"/>
          <w:iCs/>
          <w:sz w:val="24"/>
          <w:szCs w:val="24"/>
        </w:rPr>
        <w:t xml:space="preserve"> or purchasing genetic information prior to or in connection with enrollment, or at any t</w:t>
      </w:r>
      <w:r w:rsidRPr="00555658" w:rsidR="00280B89">
        <w:rPr>
          <w:b w:val="0"/>
          <w:bCs w:val="0"/>
          <w:iCs/>
          <w:sz w:val="24"/>
          <w:szCs w:val="24"/>
        </w:rPr>
        <w:t>ime for underwriting purposes.</w:t>
      </w:r>
    </w:p>
    <w:p w:rsidRPr="00555658" w:rsidR="00900934" w:rsidP="00280B89" w:rsidRDefault="00900934" w14:paraId="6137906C" w14:textId="77777777">
      <w:pPr>
        <w:pStyle w:val="Quick1"/>
        <w:widowControl/>
        <w:numPr>
          <w:ilvl w:val="0"/>
          <w:numId w:val="0"/>
        </w:numPr>
        <w:tabs>
          <w:tab w:val="left" w:pos="-1440"/>
        </w:tabs>
        <w:ind w:left="720"/>
        <w:rPr>
          <w:b w:val="0"/>
          <w:bCs w:val="0"/>
          <w:iCs/>
          <w:sz w:val="24"/>
          <w:szCs w:val="24"/>
        </w:rPr>
      </w:pPr>
    </w:p>
    <w:p w:rsidRPr="00DF4CC6" w:rsidR="00900934" w:rsidRDefault="00900934" w14:paraId="2BAC6883" w14:textId="11C9FABE">
      <w:pPr>
        <w:pStyle w:val="Quick1"/>
        <w:widowControl/>
        <w:numPr>
          <w:ilvl w:val="0"/>
          <w:numId w:val="0"/>
        </w:numPr>
        <w:tabs>
          <w:tab w:val="left" w:pos="-1440"/>
        </w:tabs>
        <w:ind w:left="720"/>
        <w:rPr>
          <w:b w:val="0"/>
          <w:bCs w:val="0"/>
          <w:sz w:val="24"/>
          <w:szCs w:val="24"/>
        </w:rPr>
      </w:pPr>
      <w:r w:rsidRPr="00607563">
        <w:rPr>
          <w:b w:val="0"/>
          <w:bCs w:val="0"/>
          <w:sz w:val="24"/>
          <w:szCs w:val="24"/>
        </w:rPr>
        <w:t xml:space="preserve">GINA and the interim final regulations </w:t>
      </w:r>
      <w:r w:rsidRPr="00607563" w:rsidR="00115277">
        <w:rPr>
          <w:b w:val="0"/>
          <w:bCs w:val="0"/>
          <w:sz w:val="24"/>
          <w:szCs w:val="24"/>
        </w:rPr>
        <w:t>(29 CFR 2590.702</w:t>
      </w:r>
      <w:r w:rsidR="004D7429">
        <w:rPr>
          <w:b w:val="0"/>
          <w:bCs w:val="0"/>
          <w:sz w:val="24"/>
          <w:szCs w:val="24"/>
        </w:rPr>
        <w:t>-1</w:t>
      </w:r>
      <w:r w:rsidRPr="00607563" w:rsidR="00115277">
        <w:rPr>
          <w:b w:val="0"/>
          <w:bCs w:val="0"/>
          <w:sz w:val="24"/>
          <w:szCs w:val="24"/>
        </w:rPr>
        <w:t xml:space="preserve">(c)(5)) </w:t>
      </w:r>
      <w:r w:rsidRPr="00607563">
        <w:rPr>
          <w:b w:val="0"/>
          <w:bCs w:val="0"/>
          <w:sz w:val="24"/>
          <w:szCs w:val="24"/>
        </w:rPr>
        <w:t>provide an exception to the limitations on requesting or requiring genetic testing that allow</w:t>
      </w:r>
      <w:r w:rsidRPr="00041628" w:rsidR="00A80C43">
        <w:rPr>
          <w:b w:val="0"/>
          <w:bCs w:val="0"/>
          <w:sz w:val="24"/>
          <w:szCs w:val="24"/>
        </w:rPr>
        <w:t>s</w:t>
      </w:r>
      <w:r w:rsidRPr="00041628">
        <w:rPr>
          <w:b w:val="0"/>
          <w:bCs w:val="0"/>
          <w:sz w:val="24"/>
          <w:szCs w:val="24"/>
        </w:rPr>
        <w:t xml:space="preserve"> a group health plan or group health insurance issuer to request, but not require, a participant or beneficiary to undergo a genetic test if </w:t>
      </w:r>
      <w:proofErr w:type="gramStart"/>
      <w:r w:rsidRPr="00041628">
        <w:rPr>
          <w:b w:val="0"/>
          <w:bCs w:val="0"/>
          <w:sz w:val="24"/>
          <w:szCs w:val="24"/>
        </w:rPr>
        <w:t>all of</w:t>
      </w:r>
      <w:proofErr w:type="gramEnd"/>
      <w:r w:rsidRPr="00041628">
        <w:rPr>
          <w:b w:val="0"/>
          <w:bCs w:val="0"/>
          <w:sz w:val="24"/>
          <w:szCs w:val="24"/>
        </w:rPr>
        <w:t xml:space="preserve"> the following conditions of the </w:t>
      </w:r>
      <w:r w:rsidRPr="004A089A">
        <w:rPr>
          <w:b w:val="0"/>
          <w:bCs w:val="0"/>
          <w:sz w:val="24"/>
          <w:szCs w:val="24"/>
        </w:rPr>
        <w:t>research exception are satisfied:</w:t>
      </w:r>
    </w:p>
    <w:p w:rsidRPr="00555658" w:rsidR="00900934" w:rsidP="00280B89" w:rsidRDefault="00900934" w14:paraId="103224F0" w14:textId="77777777">
      <w:pPr>
        <w:pStyle w:val="Quick1"/>
        <w:widowControl/>
        <w:numPr>
          <w:ilvl w:val="0"/>
          <w:numId w:val="0"/>
        </w:numPr>
        <w:tabs>
          <w:tab w:val="left" w:pos="-1440"/>
        </w:tabs>
        <w:ind w:left="720"/>
        <w:rPr>
          <w:b w:val="0"/>
          <w:bCs w:val="0"/>
          <w:iCs/>
          <w:sz w:val="24"/>
          <w:szCs w:val="24"/>
        </w:rPr>
      </w:pPr>
    </w:p>
    <w:p w:rsidRPr="00555658" w:rsidR="00900934" w:rsidP="00280B89" w:rsidRDefault="00900934" w14:paraId="6EBFB944" w14:textId="161B13A4">
      <w:pPr>
        <w:pStyle w:val="Quick1"/>
        <w:widowControl/>
        <w:numPr>
          <w:ilvl w:val="0"/>
          <w:numId w:val="22"/>
        </w:numPr>
        <w:tabs>
          <w:tab w:val="clear" w:pos="720"/>
          <w:tab w:val="left" w:pos="-1440"/>
        </w:tabs>
        <w:ind w:left="1440" w:hanging="720"/>
        <w:rPr>
          <w:b w:val="0"/>
          <w:bCs w:val="0"/>
          <w:iCs/>
          <w:sz w:val="24"/>
          <w:szCs w:val="24"/>
        </w:rPr>
      </w:pPr>
      <w:r w:rsidRPr="00555658">
        <w:rPr>
          <w:b w:val="0"/>
          <w:bCs w:val="0"/>
          <w:iCs/>
          <w:sz w:val="24"/>
          <w:szCs w:val="24"/>
        </w:rPr>
        <w:lastRenderedPageBreak/>
        <w:t xml:space="preserve">The request must be made pursuant to research that complies with 45 CFR Part 46 (or equivalent Federal regulations) and any applicable State or local law or regulations for the protection of human subjects in research.  To comply with the informed consent requirements of 45 CFR 46.116(a)(8), a participant must receive a disclosure that participation in the research is voluntary, refusal to participate cannot involve any penalty or loss of benefits to which the </w:t>
      </w:r>
      <w:r w:rsidRPr="00555658" w:rsidR="005228CC">
        <w:rPr>
          <w:b w:val="0"/>
          <w:bCs w:val="0"/>
          <w:iCs/>
          <w:sz w:val="24"/>
          <w:szCs w:val="24"/>
        </w:rPr>
        <w:t>participant</w:t>
      </w:r>
      <w:r w:rsidRPr="00555658">
        <w:rPr>
          <w:b w:val="0"/>
          <w:bCs w:val="0"/>
          <w:iCs/>
          <w:sz w:val="24"/>
          <w:szCs w:val="24"/>
        </w:rPr>
        <w:t xml:space="preserve"> is otherwise entitled, and the </w:t>
      </w:r>
      <w:r w:rsidRPr="00555658" w:rsidR="005228CC">
        <w:rPr>
          <w:b w:val="0"/>
          <w:bCs w:val="0"/>
          <w:iCs/>
          <w:sz w:val="24"/>
          <w:szCs w:val="24"/>
        </w:rPr>
        <w:t>participant</w:t>
      </w:r>
      <w:r w:rsidRPr="00555658">
        <w:rPr>
          <w:b w:val="0"/>
          <w:bCs w:val="0"/>
          <w:iCs/>
          <w:sz w:val="24"/>
          <w:szCs w:val="24"/>
        </w:rPr>
        <w:t xml:space="preserve"> may discontinue participation at </w:t>
      </w:r>
      <w:proofErr w:type="spellStart"/>
      <w:r w:rsidRPr="00555658">
        <w:rPr>
          <w:b w:val="0"/>
          <w:bCs w:val="0"/>
          <w:iCs/>
          <w:sz w:val="24"/>
          <w:szCs w:val="24"/>
        </w:rPr>
        <w:t>anytime</w:t>
      </w:r>
      <w:proofErr w:type="spellEnd"/>
      <w:r w:rsidRPr="00555658">
        <w:rPr>
          <w:b w:val="0"/>
          <w:bCs w:val="0"/>
          <w:iCs/>
          <w:sz w:val="24"/>
          <w:szCs w:val="24"/>
        </w:rPr>
        <w:t xml:space="preserve"> without penalty or loss of benefits to which the </w:t>
      </w:r>
      <w:r w:rsidRPr="00555658" w:rsidR="005228CC">
        <w:rPr>
          <w:b w:val="0"/>
          <w:bCs w:val="0"/>
          <w:iCs/>
          <w:sz w:val="24"/>
          <w:szCs w:val="24"/>
        </w:rPr>
        <w:t>participant</w:t>
      </w:r>
      <w:r w:rsidRPr="00555658">
        <w:rPr>
          <w:b w:val="0"/>
          <w:bCs w:val="0"/>
          <w:iCs/>
          <w:sz w:val="24"/>
          <w:szCs w:val="24"/>
        </w:rPr>
        <w:t xml:space="preserve"> is entitled (the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 xml:space="preserve">isclosure).   The interim final regulations provide that when 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isclosure is received by participants when their informed consent is sought, no additional disclosures are required for purposes of the GINA research exception.</w:t>
      </w:r>
    </w:p>
    <w:p w:rsidRPr="00555658" w:rsidR="00900934" w:rsidP="002B6BBD" w:rsidRDefault="00900934" w14:paraId="4C335ABE" w14:textId="77777777">
      <w:pPr>
        <w:pStyle w:val="Quick1"/>
        <w:widowControl/>
        <w:numPr>
          <w:ilvl w:val="0"/>
          <w:numId w:val="0"/>
        </w:numPr>
        <w:tabs>
          <w:tab w:val="left" w:pos="-1440"/>
        </w:tabs>
        <w:rPr>
          <w:b w:val="0"/>
          <w:bCs w:val="0"/>
          <w:iCs/>
          <w:sz w:val="24"/>
          <w:szCs w:val="24"/>
        </w:rPr>
      </w:pPr>
    </w:p>
    <w:p w:rsidRPr="00555658" w:rsidR="00900934" w:rsidP="00280B89" w:rsidRDefault="00900934" w14:paraId="692CFA5F" w14:textId="6D19E917">
      <w:pPr>
        <w:pStyle w:val="Quick1"/>
        <w:widowControl/>
        <w:numPr>
          <w:ilvl w:val="0"/>
          <w:numId w:val="21"/>
        </w:numPr>
        <w:tabs>
          <w:tab w:val="left" w:pos="-1440"/>
        </w:tabs>
        <w:ind w:hanging="720"/>
        <w:rPr>
          <w:b w:val="0"/>
          <w:bCs w:val="0"/>
          <w:iCs/>
          <w:sz w:val="24"/>
          <w:szCs w:val="24"/>
        </w:rPr>
      </w:pPr>
      <w:r w:rsidRPr="00555658">
        <w:rPr>
          <w:b w:val="0"/>
          <w:bCs w:val="0"/>
          <w:iCs/>
          <w:sz w:val="24"/>
          <w:szCs w:val="24"/>
        </w:rPr>
        <w:t>The plan or issuer must make the request in writing and must clearly indicate to each participant or beneficiary (or in the case of a minor child, to the legal guardian of such beneficiary) to whom the request is made that compliance with the request is voluntary and noncompliance will have no effect on eligibility for benefits</w:t>
      </w:r>
      <w:r w:rsidRPr="00555658" w:rsidR="00DD47C6">
        <w:rPr>
          <w:b w:val="0"/>
          <w:bCs w:val="0"/>
          <w:iCs/>
          <w:sz w:val="24"/>
          <w:szCs w:val="24"/>
        </w:rPr>
        <w:t>,</w:t>
      </w:r>
      <w:r w:rsidRPr="00555658">
        <w:rPr>
          <w:b w:val="0"/>
          <w:bCs w:val="0"/>
          <w:iCs/>
          <w:sz w:val="24"/>
          <w:szCs w:val="24"/>
        </w:rPr>
        <w:t xml:space="preserve"> premium</w:t>
      </w:r>
      <w:r w:rsidRPr="00555658" w:rsidR="00DD47C6">
        <w:rPr>
          <w:b w:val="0"/>
          <w:bCs w:val="0"/>
          <w:iCs/>
          <w:sz w:val="24"/>
          <w:szCs w:val="24"/>
        </w:rPr>
        <w:t>,</w:t>
      </w:r>
      <w:r w:rsidRPr="00555658">
        <w:rPr>
          <w:b w:val="0"/>
          <w:bCs w:val="0"/>
          <w:iCs/>
          <w:sz w:val="24"/>
          <w:szCs w:val="24"/>
        </w:rPr>
        <w:t xml:space="preserve"> or contribution amounts.</w:t>
      </w:r>
    </w:p>
    <w:p w:rsidRPr="00555658" w:rsidR="00900934" w:rsidP="00280B89" w:rsidRDefault="00900934" w14:paraId="7D8DF60F" w14:textId="77777777">
      <w:pPr>
        <w:pStyle w:val="Quick1"/>
        <w:widowControl/>
        <w:numPr>
          <w:ilvl w:val="0"/>
          <w:numId w:val="0"/>
        </w:numPr>
        <w:tabs>
          <w:tab w:val="left" w:pos="-1440"/>
        </w:tabs>
        <w:ind w:left="1440" w:hanging="720"/>
        <w:rPr>
          <w:b w:val="0"/>
          <w:bCs w:val="0"/>
          <w:iCs/>
          <w:sz w:val="24"/>
          <w:szCs w:val="24"/>
        </w:rPr>
      </w:pPr>
    </w:p>
    <w:p w:rsidRPr="00555658" w:rsidR="00900934" w:rsidP="00280B89" w:rsidRDefault="00900934" w14:paraId="4A259EB3" w14:textId="77777777">
      <w:pPr>
        <w:pStyle w:val="Quick1"/>
        <w:widowControl/>
        <w:numPr>
          <w:ilvl w:val="0"/>
          <w:numId w:val="21"/>
        </w:numPr>
        <w:tabs>
          <w:tab w:val="left" w:pos="-1440"/>
        </w:tabs>
        <w:ind w:hanging="720"/>
        <w:rPr>
          <w:b w:val="0"/>
          <w:bCs w:val="0"/>
          <w:iCs/>
          <w:sz w:val="24"/>
          <w:szCs w:val="24"/>
        </w:rPr>
      </w:pPr>
      <w:r w:rsidRPr="00555658">
        <w:rPr>
          <w:b w:val="0"/>
          <w:bCs w:val="0"/>
          <w:iCs/>
          <w:sz w:val="24"/>
          <w:szCs w:val="24"/>
        </w:rPr>
        <w:t xml:space="preserve">None of the genetic information collected or acquired </w:t>
      </w:r>
      <w:proofErr w:type="gramStart"/>
      <w:r w:rsidRPr="00555658">
        <w:rPr>
          <w:b w:val="0"/>
          <w:bCs w:val="0"/>
          <w:iCs/>
          <w:sz w:val="24"/>
          <w:szCs w:val="24"/>
        </w:rPr>
        <w:t>as a result of</w:t>
      </w:r>
      <w:proofErr w:type="gramEnd"/>
      <w:r w:rsidRPr="00555658">
        <w:rPr>
          <w:b w:val="0"/>
          <w:bCs w:val="0"/>
          <w:iCs/>
          <w:sz w:val="24"/>
          <w:szCs w:val="24"/>
        </w:rPr>
        <w:t xml:space="preserve"> the research may be used for underwriting purposes.</w:t>
      </w:r>
    </w:p>
    <w:p w:rsidRPr="00555658" w:rsidR="00900934" w:rsidP="00280B89" w:rsidRDefault="00900934" w14:paraId="20461F9B" w14:textId="77777777">
      <w:pPr>
        <w:pStyle w:val="Quick1"/>
        <w:widowControl/>
        <w:numPr>
          <w:ilvl w:val="0"/>
          <w:numId w:val="0"/>
        </w:numPr>
        <w:tabs>
          <w:tab w:val="left" w:pos="-1440"/>
        </w:tabs>
        <w:ind w:left="1440" w:hanging="720"/>
        <w:rPr>
          <w:b w:val="0"/>
          <w:bCs w:val="0"/>
          <w:iCs/>
          <w:sz w:val="24"/>
          <w:szCs w:val="24"/>
        </w:rPr>
      </w:pPr>
    </w:p>
    <w:p w:rsidRPr="00DF4CC6" w:rsidR="00900934" w:rsidRDefault="00900934" w14:paraId="3D374A56" w14:textId="77777777">
      <w:pPr>
        <w:pStyle w:val="Quick1"/>
        <w:widowControl/>
        <w:numPr>
          <w:ilvl w:val="0"/>
          <w:numId w:val="21"/>
        </w:numPr>
        <w:tabs>
          <w:tab w:val="left" w:pos="-1440"/>
        </w:tabs>
        <w:ind w:hanging="720"/>
        <w:rPr>
          <w:b w:val="0"/>
          <w:bCs w:val="0"/>
          <w:sz w:val="24"/>
          <w:szCs w:val="24"/>
        </w:rPr>
      </w:pPr>
      <w:r w:rsidRPr="00607563">
        <w:rPr>
          <w:b w:val="0"/>
          <w:bCs w:val="0"/>
          <w:sz w:val="24"/>
          <w:szCs w:val="24"/>
        </w:rPr>
        <w:t>The plan or issuer must complete a copy of the “</w:t>
      </w:r>
      <w:r w:rsidRPr="1AACE986">
        <w:rPr>
          <w:b w:val="0"/>
          <w:bCs w:val="0"/>
          <w:i/>
          <w:iCs/>
          <w:sz w:val="24"/>
          <w:szCs w:val="24"/>
        </w:rPr>
        <w:t>Notice of Research Exception under the Genetic Information Nondiscrimination Act</w:t>
      </w:r>
      <w:r w:rsidRPr="00607563">
        <w:rPr>
          <w:b w:val="0"/>
          <w:bCs w:val="0"/>
          <w:sz w:val="24"/>
          <w:szCs w:val="24"/>
        </w:rPr>
        <w:t>” (the Notice) and provide it to the address specified in its instructions.  The Notice and instructions are available on the Department of Labor’s website (</w:t>
      </w:r>
      <w:hyperlink w:history="1" r:id="rId8">
        <w:r w:rsidRPr="00DF4CC6" w:rsidR="00A80C43">
          <w:rPr>
            <w:rStyle w:val="Hyperlink"/>
            <w:b w:val="0"/>
            <w:bCs w:val="0"/>
            <w:sz w:val="24"/>
            <w:szCs w:val="24"/>
          </w:rPr>
          <w:t>https://www.dol.gov/agencies/ebsa/employers-and-advisers/plan-administration-and-compliance/health-plans/notice-of-research-exception-under-gina</w:t>
        </w:r>
      </w:hyperlink>
      <w:r w:rsidRPr="00607563">
        <w:rPr>
          <w:b w:val="0"/>
          <w:bCs w:val="0"/>
          <w:sz w:val="24"/>
          <w:szCs w:val="24"/>
        </w:rPr>
        <w:t>).</w:t>
      </w:r>
    </w:p>
    <w:p w:rsidRPr="00555658" w:rsidR="00900934" w:rsidP="00280B89" w:rsidRDefault="00900934" w14:paraId="0D2B9498" w14:textId="77777777">
      <w:pPr>
        <w:pStyle w:val="Quick1"/>
        <w:widowControl/>
        <w:numPr>
          <w:ilvl w:val="0"/>
          <w:numId w:val="0"/>
        </w:numPr>
        <w:tabs>
          <w:tab w:val="left" w:pos="-1440"/>
        </w:tabs>
        <w:ind w:left="1440" w:hanging="720"/>
        <w:rPr>
          <w:b w:val="0"/>
          <w:bCs w:val="0"/>
          <w:iCs/>
          <w:sz w:val="24"/>
          <w:szCs w:val="24"/>
        </w:rPr>
      </w:pPr>
    </w:p>
    <w:p w:rsidRPr="00555658" w:rsidR="00900934" w:rsidP="00280B89" w:rsidRDefault="00900934" w14:paraId="5BF04C68" w14:textId="77777777">
      <w:pPr>
        <w:pStyle w:val="Quick1"/>
        <w:widowControl/>
        <w:numPr>
          <w:ilvl w:val="0"/>
          <w:numId w:val="0"/>
        </w:numPr>
        <w:tabs>
          <w:tab w:val="left" w:pos="-1440"/>
        </w:tabs>
        <w:ind w:left="720"/>
        <w:rPr>
          <w:b w:val="0"/>
          <w:bCs w:val="0"/>
          <w:iCs/>
          <w:sz w:val="24"/>
          <w:szCs w:val="24"/>
        </w:rPr>
      </w:pPr>
      <w:r w:rsidRPr="00555658">
        <w:rPr>
          <w:b w:val="0"/>
          <w:bCs w:val="0"/>
          <w:iCs/>
          <w:sz w:val="24"/>
          <w:szCs w:val="24"/>
        </w:rPr>
        <w:t xml:space="preserve">The </w:t>
      </w:r>
      <w:r w:rsidRPr="00555658" w:rsidR="005228CC">
        <w:rPr>
          <w:b w:val="0"/>
          <w:bCs w:val="0"/>
          <w:iCs/>
          <w:sz w:val="24"/>
          <w:szCs w:val="24"/>
        </w:rPr>
        <w:t>P</w:t>
      </w:r>
      <w:r w:rsidRPr="00555658">
        <w:rPr>
          <w:b w:val="0"/>
          <w:bCs w:val="0"/>
          <w:iCs/>
          <w:sz w:val="24"/>
          <w:szCs w:val="24"/>
        </w:rPr>
        <w:t xml:space="preserve">articipant </w:t>
      </w:r>
      <w:r w:rsidRPr="00555658" w:rsidR="005228CC">
        <w:rPr>
          <w:b w:val="0"/>
          <w:bCs w:val="0"/>
          <w:iCs/>
          <w:sz w:val="24"/>
          <w:szCs w:val="24"/>
        </w:rPr>
        <w:t>D</w:t>
      </w:r>
      <w:r w:rsidRPr="00555658">
        <w:rPr>
          <w:b w:val="0"/>
          <w:bCs w:val="0"/>
          <w:iCs/>
          <w:sz w:val="24"/>
          <w:szCs w:val="24"/>
        </w:rPr>
        <w:t>isclosure and the Notice are the information collection requests (ICRs) contained in the interim final rules.</w:t>
      </w:r>
    </w:p>
    <w:p w:rsidRPr="00555658" w:rsidR="00282B87" w:rsidP="00280B89" w:rsidRDefault="00282B87" w14:paraId="2CB00CAC" w14:textId="77777777">
      <w:pPr>
        <w:pStyle w:val="Quick1"/>
        <w:widowControl/>
        <w:numPr>
          <w:ilvl w:val="0"/>
          <w:numId w:val="0"/>
        </w:numPr>
        <w:tabs>
          <w:tab w:val="left" w:pos="-1440"/>
        </w:tabs>
        <w:ind w:left="720"/>
        <w:rPr>
          <w:b w:val="0"/>
          <w:bCs w:val="0"/>
          <w:iCs/>
          <w:sz w:val="24"/>
          <w:szCs w:val="24"/>
        </w:rPr>
      </w:pPr>
    </w:p>
    <w:p w:rsidRPr="00BB6541" w:rsidR="00AA1E33" w:rsidP="001F77F9" w:rsidRDefault="00AA1E33" w14:paraId="78E2E29F" w14:textId="77777777">
      <w:pPr>
        <w:pStyle w:val="Quick1"/>
        <w:widowControl/>
        <w:numPr>
          <w:ilvl w:val="0"/>
          <w:numId w:val="25"/>
        </w:numPr>
        <w:tabs>
          <w:tab w:val="left" w:pos="-1440"/>
        </w:tabs>
        <w:ind w:hanging="720"/>
        <w:rPr>
          <w:bCs w:val="0"/>
          <w:iCs/>
          <w:sz w:val="24"/>
          <w:szCs w:val="24"/>
        </w:rPr>
      </w:pPr>
      <w:r w:rsidRPr="00BB6541">
        <w:rPr>
          <w:bCs w:val="0"/>
          <w:iCs/>
          <w:sz w:val="24"/>
          <w:szCs w:val="24"/>
        </w:rPr>
        <w:t>Indicate how, by whom, and for what purpose the information is to be used.  Except for a new collection, indicate the actual use the agency has made of the information received from the current collection.</w:t>
      </w:r>
    </w:p>
    <w:p w:rsidRPr="00555658" w:rsidR="00AA1E33" w:rsidP="001F77F9" w:rsidRDefault="00AA1E33" w14:paraId="331CDA2F" w14:textId="77777777">
      <w:pPr>
        <w:pStyle w:val="Quick1"/>
        <w:widowControl/>
        <w:numPr>
          <w:ilvl w:val="0"/>
          <w:numId w:val="0"/>
        </w:numPr>
        <w:ind w:left="720"/>
        <w:rPr>
          <w:b w:val="0"/>
          <w:bCs w:val="0"/>
          <w:sz w:val="24"/>
          <w:szCs w:val="24"/>
        </w:rPr>
      </w:pPr>
    </w:p>
    <w:p w:rsidRPr="00555658" w:rsidR="00AA1E33" w:rsidP="001F77F9" w:rsidRDefault="00DA6B70" w14:paraId="74EB109E" w14:textId="77777777">
      <w:pPr>
        <w:pStyle w:val="Quick1"/>
        <w:widowControl/>
        <w:numPr>
          <w:ilvl w:val="0"/>
          <w:numId w:val="0"/>
        </w:numPr>
        <w:tabs>
          <w:tab w:val="left" w:pos="-1440"/>
        </w:tabs>
        <w:ind w:left="720"/>
        <w:rPr>
          <w:b w:val="0"/>
          <w:bCs w:val="0"/>
          <w:sz w:val="24"/>
          <w:szCs w:val="24"/>
        </w:rPr>
      </w:pPr>
      <w:r>
        <w:rPr>
          <w:b w:val="0"/>
          <w:bCs w:val="0"/>
          <w:sz w:val="24"/>
          <w:szCs w:val="24"/>
        </w:rPr>
        <w:t xml:space="preserve">The information provided in the Participant Disclosure will be used to inform prospective research participants of their rights under GINA.  </w:t>
      </w:r>
      <w:r w:rsidRPr="00555658" w:rsidR="00282B87">
        <w:rPr>
          <w:b w:val="0"/>
          <w:bCs w:val="0"/>
          <w:sz w:val="24"/>
          <w:szCs w:val="24"/>
        </w:rPr>
        <w:t xml:space="preserve">The information provided </w:t>
      </w:r>
      <w:r w:rsidRPr="00555658" w:rsidR="00DD47C6">
        <w:rPr>
          <w:b w:val="0"/>
          <w:bCs w:val="0"/>
          <w:sz w:val="24"/>
          <w:szCs w:val="24"/>
        </w:rPr>
        <w:t>i</w:t>
      </w:r>
      <w:r w:rsidRPr="00555658" w:rsidR="00282B87">
        <w:rPr>
          <w:b w:val="0"/>
          <w:bCs w:val="0"/>
          <w:sz w:val="24"/>
          <w:szCs w:val="24"/>
        </w:rPr>
        <w:t xml:space="preserve">n the </w:t>
      </w:r>
      <w:r w:rsidRPr="00555658" w:rsidR="00900934">
        <w:rPr>
          <w:b w:val="0"/>
          <w:bCs w:val="0"/>
          <w:sz w:val="24"/>
          <w:szCs w:val="24"/>
        </w:rPr>
        <w:t xml:space="preserve">Notice will be used to notify EBSA of the </w:t>
      </w:r>
      <w:r w:rsidRPr="00555658" w:rsidR="003E0A27">
        <w:rPr>
          <w:b w:val="0"/>
          <w:bCs w:val="0"/>
          <w:sz w:val="24"/>
          <w:szCs w:val="24"/>
        </w:rPr>
        <w:t xml:space="preserve">group health </w:t>
      </w:r>
      <w:r w:rsidRPr="00555658" w:rsidR="00900934">
        <w:rPr>
          <w:b w:val="0"/>
          <w:bCs w:val="0"/>
          <w:sz w:val="24"/>
          <w:szCs w:val="24"/>
        </w:rPr>
        <w:t>plans or issuers that are taking advantage of GINA’s research ex</w:t>
      </w:r>
      <w:r w:rsidRPr="00555658" w:rsidR="00DD47C6">
        <w:rPr>
          <w:b w:val="0"/>
          <w:bCs w:val="0"/>
          <w:sz w:val="24"/>
          <w:szCs w:val="24"/>
        </w:rPr>
        <w:t>ception</w:t>
      </w:r>
      <w:r w:rsidRPr="00555658" w:rsidR="00900934">
        <w:rPr>
          <w:b w:val="0"/>
          <w:bCs w:val="0"/>
          <w:sz w:val="24"/>
          <w:szCs w:val="24"/>
        </w:rPr>
        <w:t xml:space="preserve"> and to provide EBSA with information about the research program</w:t>
      </w:r>
      <w:r w:rsidRPr="00555658" w:rsidR="001F77F9">
        <w:rPr>
          <w:b w:val="0"/>
          <w:bCs w:val="0"/>
          <w:sz w:val="24"/>
          <w:szCs w:val="24"/>
        </w:rPr>
        <w:t>.</w:t>
      </w:r>
    </w:p>
    <w:p w:rsidRPr="00555658" w:rsidR="00AA1E33" w:rsidP="001F77F9" w:rsidRDefault="00AA1E33" w14:paraId="78E96B8A" w14:textId="77777777">
      <w:pPr>
        <w:widowControl/>
        <w:ind w:left="720"/>
        <w:rPr>
          <w:b w:val="0"/>
          <w:bCs w:val="0"/>
          <w:sz w:val="24"/>
          <w:szCs w:val="24"/>
        </w:rPr>
      </w:pPr>
    </w:p>
    <w:p w:rsidRPr="00BB6541" w:rsidR="00AA1E33" w:rsidP="001F77F9" w:rsidRDefault="00AA1E33" w14:paraId="2DCF8DF0" w14:textId="77777777">
      <w:pPr>
        <w:pStyle w:val="Quick1"/>
        <w:widowControl/>
        <w:numPr>
          <w:ilvl w:val="0"/>
          <w:numId w:val="25"/>
        </w:numPr>
        <w:ind w:hanging="720"/>
        <w:rPr>
          <w:bCs w:val="0"/>
          <w:iCs/>
          <w:sz w:val="24"/>
          <w:szCs w:val="24"/>
        </w:rPr>
      </w:pPr>
      <w:r w:rsidRPr="00BB6541">
        <w:rPr>
          <w:bCs w:val="0"/>
          <w:iCs/>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555658" w:rsidR="00AA1E33" w:rsidP="00CC32E8" w:rsidRDefault="00AA1E33" w14:paraId="0E84ECF5" w14:textId="77777777">
      <w:pPr>
        <w:pStyle w:val="Quick1"/>
        <w:widowControl/>
        <w:numPr>
          <w:ilvl w:val="0"/>
          <w:numId w:val="0"/>
        </w:numPr>
        <w:ind w:left="720"/>
        <w:rPr>
          <w:b w:val="0"/>
          <w:bCs w:val="0"/>
          <w:sz w:val="24"/>
          <w:szCs w:val="24"/>
        </w:rPr>
      </w:pPr>
    </w:p>
    <w:p w:rsidRPr="00555658" w:rsidR="00AA1E33" w:rsidP="00CC32E8" w:rsidRDefault="001818F3" w14:paraId="1C833265" w14:textId="77777777">
      <w:pPr>
        <w:widowControl/>
        <w:ind w:left="720"/>
        <w:rPr>
          <w:b w:val="0"/>
          <w:bCs w:val="0"/>
          <w:sz w:val="24"/>
          <w:szCs w:val="24"/>
        </w:rPr>
      </w:pPr>
      <w:r w:rsidRPr="00555658">
        <w:rPr>
          <w:b w:val="0"/>
          <w:bCs w:val="0"/>
          <w:sz w:val="24"/>
          <w:szCs w:val="24"/>
        </w:rPr>
        <w:t xml:space="preserve">The </w:t>
      </w:r>
      <w:r w:rsidRPr="00555658" w:rsidR="00900934">
        <w:rPr>
          <w:b w:val="0"/>
          <w:bCs w:val="0"/>
          <w:sz w:val="24"/>
          <w:szCs w:val="24"/>
        </w:rPr>
        <w:t xml:space="preserve">Notice will be available on the Department’s website, and the </w:t>
      </w:r>
      <w:r w:rsidRPr="00555658">
        <w:rPr>
          <w:b w:val="0"/>
          <w:bCs w:val="0"/>
          <w:sz w:val="24"/>
          <w:szCs w:val="24"/>
        </w:rPr>
        <w:t>Department will provide the capability for applic</w:t>
      </w:r>
      <w:r w:rsidRPr="00555658" w:rsidR="00EE6077">
        <w:rPr>
          <w:b w:val="0"/>
          <w:bCs w:val="0"/>
          <w:sz w:val="24"/>
          <w:szCs w:val="24"/>
        </w:rPr>
        <w:t xml:space="preserve">ants </w:t>
      </w:r>
      <w:r w:rsidRPr="00555658" w:rsidR="00B125C2">
        <w:rPr>
          <w:b w:val="0"/>
          <w:bCs w:val="0"/>
          <w:sz w:val="24"/>
          <w:szCs w:val="24"/>
        </w:rPr>
        <w:t xml:space="preserve">to </w:t>
      </w:r>
      <w:r w:rsidRPr="00555658" w:rsidR="00EE6077">
        <w:rPr>
          <w:b w:val="0"/>
          <w:bCs w:val="0"/>
          <w:sz w:val="24"/>
          <w:szCs w:val="24"/>
        </w:rPr>
        <w:t xml:space="preserve">file their </w:t>
      </w:r>
      <w:r w:rsidRPr="00555658" w:rsidR="00900934">
        <w:rPr>
          <w:b w:val="0"/>
          <w:bCs w:val="0"/>
          <w:sz w:val="24"/>
          <w:szCs w:val="24"/>
        </w:rPr>
        <w:t xml:space="preserve">Notices </w:t>
      </w:r>
      <w:r w:rsidRPr="00555658" w:rsidR="00EE6077">
        <w:rPr>
          <w:b w:val="0"/>
          <w:bCs w:val="0"/>
          <w:sz w:val="24"/>
          <w:szCs w:val="24"/>
        </w:rPr>
        <w:t>electronically.</w:t>
      </w:r>
    </w:p>
    <w:p w:rsidRPr="00555658" w:rsidR="0085713E" w:rsidP="00CC32E8" w:rsidRDefault="0085713E" w14:paraId="703119CA" w14:textId="77777777">
      <w:pPr>
        <w:pStyle w:val="BodyText"/>
        <w:ind w:left="720"/>
        <w:rPr>
          <w:iCs/>
          <w:szCs w:val="24"/>
        </w:rPr>
      </w:pPr>
    </w:p>
    <w:p w:rsidRPr="00BB6541" w:rsidR="00AA1E33" w:rsidP="00CC32E8" w:rsidRDefault="00AA1E33" w14:paraId="26B75711" w14:textId="77777777">
      <w:pPr>
        <w:widowControl/>
        <w:numPr>
          <w:ilvl w:val="0"/>
          <w:numId w:val="25"/>
        </w:numPr>
        <w:tabs>
          <w:tab w:val="left" w:pos="-1440"/>
        </w:tabs>
        <w:ind w:hanging="720"/>
        <w:rPr>
          <w:bCs w:val="0"/>
          <w:iCs/>
          <w:sz w:val="24"/>
          <w:szCs w:val="24"/>
        </w:rPr>
      </w:pPr>
      <w:r w:rsidRPr="00BB6541">
        <w:rPr>
          <w:bCs w:val="0"/>
          <w:iCs/>
          <w:sz w:val="24"/>
          <w:szCs w:val="24"/>
        </w:rPr>
        <w:t>Describe efforts to identify duplication.  Show specifically why any similar information already available cannot be used or modified for use for the purposes described in Item 2 above.</w:t>
      </w:r>
    </w:p>
    <w:p w:rsidRPr="008665EB" w:rsidR="00AA1E33" w:rsidP="00CC32E8" w:rsidRDefault="00AA1E33" w14:paraId="6293E43E" w14:textId="77777777">
      <w:pPr>
        <w:widowControl/>
        <w:tabs>
          <w:tab w:val="left" w:pos="-1440"/>
        </w:tabs>
        <w:ind w:left="720"/>
        <w:rPr>
          <w:b w:val="0"/>
          <w:bCs w:val="0"/>
          <w:iCs/>
          <w:sz w:val="24"/>
          <w:szCs w:val="24"/>
        </w:rPr>
      </w:pPr>
    </w:p>
    <w:p w:rsidRPr="00555658" w:rsidR="00AA1E33" w:rsidP="00CC32E8" w:rsidRDefault="00AA1E33" w14:paraId="5EA7F9C9" w14:textId="1FEAEA37">
      <w:pPr>
        <w:widowControl/>
        <w:tabs>
          <w:tab w:val="left" w:pos="-1440"/>
        </w:tabs>
        <w:ind w:left="720"/>
        <w:rPr>
          <w:b w:val="0"/>
          <w:bCs w:val="0"/>
          <w:sz w:val="24"/>
          <w:szCs w:val="24"/>
        </w:rPr>
      </w:pPr>
      <w:r w:rsidRPr="00555658">
        <w:rPr>
          <w:b w:val="0"/>
          <w:bCs w:val="0"/>
          <w:sz w:val="24"/>
          <w:szCs w:val="24"/>
        </w:rPr>
        <w:t>There is no duplication of information</w:t>
      </w:r>
      <w:r w:rsidRPr="00555658" w:rsidR="0058117B">
        <w:rPr>
          <w:b w:val="0"/>
          <w:bCs w:val="0"/>
          <w:sz w:val="24"/>
          <w:szCs w:val="24"/>
        </w:rPr>
        <w:t xml:space="preserve">. </w:t>
      </w:r>
      <w:r w:rsidR="00D974E2">
        <w:rPr>
          <w:b w:val="0"/>
          <w:bCs w:val="0"/>
          <w:sz w:val="24"/>
          <w:szCs w:val="24"/>
        </w:rPr>
        <w:t xml:space="preserve"> </w:t>
      </w:r>
      <w:r w:rsidRPr="00555658" w:rsidR="0058117B">
        <w:rPr>
          <w:b w:val="0"/>
          <w:bCs w:val="0"/>
          <w:sz w:val="24"/>
          <w:szCs w:val="24"/>
        </w:rPr>
        <w:t xml:space="preserve">The Department </w:t>
      </w:r>
      <w:r w:rsidRPr="00555658" w:rsidR="00282B87">
        <w:rPr>
          <w:b w:val="0"/>
          <w:bCs w:val="0"/>
          <w:sz w:val="24"/>
          <w:szCs w:val="24"/>
        </w:rPr>
        <w:t>consult</w:t>
      </w:r>
      <w:r w:rsidRPr="00555658" w:rsidR="008B32B2">
        <w:rPr>
          <w:b w:val="0"/>
          <w:bCs w:val="0"/>
          <w:sz w:val="24"/>
          <w:szCs w:val="24"/>
        </w:rPr>
        <w:t>ed</w:t>
      </w:r>
      <w:r w:rsidRPr="00555658" w:rsidR="00282B87">
        <w:rPr>
          <w:b w:val="0"/>
          <w:bCs w:val="0"/>
          <w:sz w:val="24"/>
          <w:szCs w:val="24"/>
        </w:rPr>
        <w:t xml:space="preserve"> with the Secretary of </w:t>
      </w:r>
      <w:r w:rsidRPr="00555658" w:rsidR="0056371A">
        <w:rPr>
          <w:b w:val="0"/>
          <w:bCs w:val="0"/>
          <w:sz w:val="24"/>
          <w:szCs w:val="24"/>
        </w:rPr>
        <w:t>Health and Human Services (HHS)</w:t>
      </w:r>
      <w:r w:rsidRPr="00555658" w:rsidR="00900934">
        <w:rPr>
          <w:b w:val="0"/>
          <w:bCs w:val="0"/>
          <w:sz w:val="24"/>
          <w:szCs w:val="24"/>
        </w:rPr>
        <w:t>, who is responsible for receiv</w:t>
      </w:r>
      <w:r w:rsidRPr="00555658" w:rsidR="003E0A27">
        <w:rPr>
          <w:b w:val="0"/>
          <w:bCs w:val="0"/>
          <w:sz w:val="24"/>
          <w:szCs w:val="24"/>
        </w:rPr>
        <w:t xml:space="preserve">ing </w:t>
      </w:r>
      <w:r w:rsidRPr="00555658" w:rsidR="00900934">
        <w:rPr>
          <w:b w:val="0"/>
          <w:bCs w:val="0"/>
          <w:sz w:val="24"/>
          <w:szCs w:val="24"/>
        </w:rPr>
        <w:t>Notices from issuers in the individual health insurance market</w:t>
      </w:r>
      <w:r w:rsidRPr="00555658" w:rsidR="003E0A27">
        <w:rPr>
          <w:b w:val="0"/>
          <w:bCs w:val="0"/>
          <w:sz w:val="24"/>
          <w:szCs w:val="24"/>
        </w:rPr>
        <w:t>,</w:t>
      </w:r>
      <w:r w:rsidRPr="00555658" w:rsidR="00900934">
        <w:rPr>
          <w:b w:val="0"/>
          <w:bCs w:val="0"/>
          <w:sz w:val="24"/>
          <w:szCs w:val="24"/>
        </w:rPr>
        <w:t xml:space="preserve"> in designing the Notice, and </w:t>
      </w:r>
      <w:r w:rsidRPr="00555658" w:rsidR="00EB5A4E">
        <w:rPr>
          <w:b w:val="0"/>
          <w:bCs w:val="0"/>
          <w:sz w:val="24"/>
          <w:szCs w:val="24"/>
        </w:rPr>
        <w:t xml:space="preserve">HHS </w:t>
      </w:r>
      <w:r w:rsidRPr="00555658" w:rsidR="00900934">
        <w:rPr>
          <w:b w:val="0"/>
          <w:bCs w:val="0"/>
          <w:sz w:val="24"/>
          <w:szCs w:val="24"/>
        </w:rPr>
        <w:t xml:space="preserve">will be using </w:t>
      </w:r>
      <w:r w:rsidRPr="00555658" w:rsidR="00EB5A4E">
        <w:rPr>
          <w:b w:val="0"/>
          <w:bCs w:val="0"/>
          <w:sz w:val="24"/>
          <w:szCs w:val="24"/>
        </w:rPr>
        <w:t xml:space="preserve">a similar </w:t>
      </w:r>
      <w:r w:rsidRPr="00555658" w:rsidR="003E0A27">
        <w:rPr>
          <w:b w:val="0"/>
          <w:bCs w:val="0"/>
          <w:sz w:val="24"/>
          <w:szCs w:val="24"/>
        </w:rPr>
        <w:t>Notice</w:t>
      </w:r>
      <w:r w:rsidRPr="00555658" w:rsidR="00282B87">
        <w:rPr>
          <w:b w:val="0"/>
          <w:bCs w:val="0"/>
          <w:sz w:val="24"/>
          <w:szCs w:val="24"/>
        </w:rPr>
        <w:t>.</w:t>
      </w:r>
    </w:p>
    <w:p w:rsidRPr="00555658" w:rsidR="00AA1E33" w:rsidP="00CC32E8" w:rsidRDefault="00AA1E33" w14:paraId="6D2676FF" w14:textId="77777777">
      <w:pPr>
        <w:widowControl/>
        <w:tabs>
          <w:tab w:val="left" w:pos="-1440"/>
        </w:tabs>
        <w:ind w:left="720"/>
        <w:rPr>
          <w:b w:val="0"/>
          <w:bCs w:val="0"/>
          <w:sz w:val="24"/>
          <w:szCs w:val="24"/>
        </w:rPr>
      </w:pPr>
    </w:p>
    <w:p w:rsidRPr="00BB6541" w:rsidR="00AA1E33" w:rsidP="007871F9" w:rsidRDefault="00AA1E33" w14:paraId="77B012D0" w14:textId="77777777">
      <w:pPr>
        <w:pStyle w:val="BodyText2"/>
        <w:numPr>
          <w:ilvl w:val="0"/>
          <w:numId w:val="25"/>
        </w:numPr>
        <w:ind w:hanging="720"/>
        <w:rPr>
          <w:b/>
          <w:i w:val="0"/>
          <w:sz w:val="24"/>
          <w:szCs w:val="24"/>
        </w:rPr>
      </w:pPr>
      <w:r w:rsidRPr="00BB6541">
        <w:rPr>
          <w:b/>
          <w:i w:val="0"/>
          <w:sz w:val="24"/>
          <w:szCs w:val="24"/>
        </w:rPr>
        <w:t>If the collection of information impacts small businesses or other small entities describe any methods used to minimize burden.</w:t>
      </w:r>
    </w:p>
    <w:p w:rsidRPr="008665EB" w:rsidR="00AA1E33" w:rsidP="007871F9" w:rsidRDefault="00AA1E33" w14:paraId="38CEB145" w14:textId="77777777">
      <w:pPr>
        <w:widowControl/>
        <w:tabs>
          <w:tab w:val="left" w:pos="-1440"/>
        </w:tabs>
        <w:ind w:left="720"/>
        <w:rPr>
          <w:b w:val="0"/>
          <w:bCs w:val="0"/>
          <w:iCs/>
          <w:sz w:val="24"/>
          <w:szCs w:val="24"/>
        </w:rPr>
      </w:pPr>
    </w:p>
    <w:p w:rsidRPr="00555658" w:rsidR="00AA1E33" w:rsidP="007871F9" w:rsidRDefault="00AA1E33" w14:paraId="6C7379B5" w14:textId="77777777">
      <w:pPr>
        <w:pStyle w:val="Quick1"/>
        <w:widowControl/>
        <w:numPr>
          <w:ilvl w:val="0"/>
          <w:numId w:val="0"/>
        </w:numPr>
        <w:ind w:left="720"/>
        <w:rPr>
          <w:b w:val="0"/>
          <w:bCs w:val="0"/>
          <w:sz w:val="24"/>
          <w:szCs w:val="24"/>
        </w:rPr>
      </w:pPr>
      <w:r w:rsidRPr="00555658">
        <w:rPr>
          <w:b w:val="0"/>
          <w:bCs w:val="0"/>
          <w:sz w:val="24"/>
          <w:szCs w:val="24"/>
        </w:rPr>
        <w:t>The information collection does not impact</w:t>
      </w:r>
      <w:r w:rsidRPr="00555658" w:rsidR="007871F9">
        <w:rPr>
          <w:b w:val="0"/>
          <w:bCs w:val="0"/>
          <w:sz w:val="24"/>
          <w:szCs w:val="24"/>
        </w:rPr>
        <w:t xml:space="preserve"> small businesses or entities.</w:t>
      </w:r>
    </w:p>
    <w:p w:rsidRPr="00555658" w:rsidR="0056371A" w:rsidP="007871F9" w:rsidRDefault="0056371A" w14:paraId="25110633" w14:textId="77777777">
      <w:pPr>
        <w:pStyle w:val="Quick1"/>
        <w:widowControl/>
        <w:numPr>
          <w:ilvl w:val="0"/>
          <w:numId w:val="0"/>
        </w:numPr>
        <w:ind w:left="720"/>
        <w:rPr>
          <w:b w:val="0"/>
          <w:bCs w:val="0"/>
          <w:sz w:val="24"/>
          <w:szCs w:val="24"/>
        </w:rPr>
      </w:pPr>
    </w:p>
    <w:p w:rsidRPr="00BB6541" w:rsidR="00AA1E33" w:rsidP="007871F9" w:rsidRDefault="00AA1E33" w14:paraId="1927864E" w14:textId="77777777">
      <w:pPr>
        <w:widowControl/>
        <w:numPr>
          <w:ilvl w:val="0"/>
          <w:numId w:val="25"/>
        </w:numPr>
        <w:tabs>
          <w:tab w:val="left" w:pos="-1440"/>
        </w:tabs>
        <w:ind w:hanging="720"/>
        <w:rPr>
          <w:bCs w:val="0"/>
          <w:iCs/>
          <w:sz w:val="24"/>
          <w:szCs w:val="24"/>
        </w:rPr>
      </w:pPr>
      <w:r w:rsidRPr="00BB6541">
        <w:rPr>
          <w:bCs w:val="0"/>
          <w:iCs/>
          <w:sz w:val="24"/>
          <w:szCs w:val="24"/>
        </w:rPr>
        <w:t>Describe the consequence to Federal program or policy activities if the collection is not conducted or is conducted less frequently, as well as any technical or legal obstacles to reducing burden.</w:t>
      </w:r>
    </w:p>
    <w:p w:rsidRPr="008665EB" w:rsidR="00AA1E33" w:rsidP="007871F9" w:rsidRDefault="00AA1E33" w14:paraId="1C582585" w14:textId="77777777">
      <w:pPr>
        <w:widowControl/>
        <w:tabs>
          <w:tab w:val="left" w:pos="-1440"/>
        </w:tabs>
        <w:ind w:left="720"/>
        <w:rPr>
          <w:b w:val="0"/>
          <w:bCs w:val="0"/>
          <w:iCs/>
          <w:sz w:val="24"/>
          <w:szCs w:val="24"/>
        </w:rPr>
      </w:pPr>
    </w:p>
    <w:p w:rsidRPr="00555658" w:rsidR="00AA1E33" w:rsidP="007871F9" w:rsidRDefault="0056371A" w14:paraId="7CA42838" w14:textId="77777777">
      <w:pPr>
        <w:widowControl/>
        <w:tabs>
          <w:tab w:val="left" w:pos="-1440"/>
        </w:tabs>
        <w:ind w:left="720"/>
        <w:rPr>
          <w:b w:val="0"/>
          <w:bCs w:val="0"/>
          <w:sz w:val="24"/>
          <w:szCs w:val="24"/>
        </w:rPr>
      </w:pPr>
      <w:r w:rsidRPr="00555658">
        <w:rPr>
          <w:b w:val="0"/>
          <w:bCs w:val="0"/>
          <w:sz w:val="24"/>
          <w:szCs w:val="24"/>
        </w:rPr>
        <w:t xml:space="preserve">If the information collection is not conducted, </w:t>
      </w:r>
      <w:r w:rsidRPr="00555658" w:rsidR="00EB5A4E">
        <w:rPr>
          <w:b w:val="0"/>
          <w:bCs w:val="0"/>
          <w:sz w:val="24"/>
          <w:szCs w:val="24"/>
        </w:rPr>
        <w:t xml:space="preserve">the Department </w:t>
      </w:r>
      <w:r w:rsidRPr="00555658">
        <w:rPr>
          <w:b w:val="0"/>
          <w:bCs w:val="0"/>
          <w:sz w:val="24"/>
          <w:szCs w:val="24"/>
        </w:rPr>
        <w:t xml:space="preserve">will not have sufficient information to </w:t>
      </w:r>
      <w:r w:rsidRPr="00555658" w:rsidR="00A73525">
        <w:rPr>
          <w:b w:val="0"/>
          <w:bCs w:val="0"/>
          <w:sz w:val="24"/>
          <w:szCs w:val="24"/>
        </w:rPr>
        <w:t xml:space="preserve">determine whether </w:t>
      </w:r>
      <w:r w:rsidRPr="00555658" w:rsidR="00A7230A">
        <w:rPr>
          <w:b w:val="0"/>
          <w:bCs w:val="0"/>
          <w:sz w:val="24"/>
          <w:szCs w:val="24"/>
        </w:rPr>
        <w:t>group health plans</w:t>
      </w:r>
      <w:r w:rsidRPr="00555658" w:rsidR="00A73525">
        <w:rPr>
          <w:b w:val="0"/>
          <w:bCs w:val="0"/>
          <w:sz w:val="24"/>
          <w:szCs w:val="24"/>
        </w:rPr>
        <w:t xml:space="preserve"> or issuers in the group </w:t>
      </w:r>
      <w:r w:rsidRPr="00555658" w:rsidR="00A7230A">
        <w:rPr>
          <w:b w:val="0"/>
          <w:bCs w:val="0"/>
          <w:sz w:val="24"/>
          <w:szCs w:val="24"/>
        </w:rPr>
        <w:t xml:space="preserve">health insurance </w:t>
      </w:r>
      <w:r w:rsidRPr="00555658" w:rsidR="00A73525">
        <w:rPr>
          <w:b w:val="0"/>
          <w:bCs w:val="0"/>
          <w:sz w:val="24"/>
          <w:szCs w:val="24"/>
        </w:rPr>
        <w:t xml:space="preserve">market </w:t>
      </w:r>
      <w:proofErr w:type="gramStart"/>
      <w:r w:rsidRPr="00555658" w:rsidR="00A7230A">
        <w:rPr>
          <w:b w:val="0"/>
          <w:bCs w:val="0"/>
          <w:sz w:val="24"/>
          <w:szCs w:val="24"/>
        </w:rPr>
        <w:t>are in compliance with</w:t>
      </w:r>
      <w:proofErr w:type="gramEnd"/>
      <w:r w:rsidRPr="00555658" w:rsidR="00A7230A">
        <w:rPr>
          <w:b w:val="0"/>
          <w:bCs w:val="0"/>
          <w:sz w:val="24"/>
          <w:szCs w:val="24"/>
        </w:rPr>
        <w:t xml:space="preserve"> the requirements of </w:t>
      </w:r>
      <w:r w:rsidRPr="00555658" w:rsidR="00A73525">
        <w:rPr>
          <w:b w:val="0"/>
          <w:bCs w:val="0"/>
          <w:sz w:val="24"/>
          <w:szCs w:val="24"/>
        </w:rPr>
        <w:t xml:space="preserve">GINA’s research exception. </w:t>
      </w:r>
    </w:p>
    <w:p w:rsidRPr="00BB6541" w:rsidR="0056371A" w:rsidP="007871F9" w:rsidRDefault="0056371A" w14:paraId="40A7E26E" w14:textId="77777777">
      <w:pPr>
        <w:widowControl/>
        <w:tabs>
          <w:tab w:val="left" w:pos="-1440"/>
        </w:tabs>
        <w:ind w:left="720"/>
        <w:rPr>
          <w:bCs w:val="0"/>
          <w:sz w:val="24"/>
          <w:szCs w:val="24"/>
        </w:rPr>
      </w:pPr>
    </w:p>
    <w:p w:rsidRPr="00BB6541" w:rsidR="00AA1E33" w:rsidP="00BB6541" w:rsidRDefault="00AA1E33" w14:paraId="24A2CB8F" w14:textId="38E4948B">
      <w:pPr>
        <w:widowControl/>
        <w:numPr>
          <w:ilvl w:val="0"/>
          <w:numId w:val="25"/>
        </w:numPr>
        <w:tabs>
          <w:tab w:val="left" w:pos="-1440"/>
        </w:tabs>
        <w:ind w:hanging="720"/>
        <w:rPr>
          <w:bCs w:val="0"/>
          <w:iCs/>
          <w:sz w:val="24"/>
          <w:szCs w:val="24"/>
        </w:rPr>
      </w:pPr>
      <w:r w:rsidRPr="00BB6541">
        <w:rPr>
          <w:bCs w:val="0"/>
          <w:iCs/>
          <w:sz w:val="24"/>
          <w:szCs w:val="24"/>
        </w:rPr>
        <w:t>Explain any special circumstances that would cause an information collection to be conducted in a manner:</w:t>
      </w:r>
    </w:p>
    <w:p w:rsidRPr="00BB6541" w:rsidR="00AA1E33" w:rsidP="005E11A5" w:rsidRDefault="00AA1E33" w14:paraId="1467EEF7" w14:textId="77777777">
      <w:pPr>
        <w:widowControl/>
        <w:numPr>
          <w:ilvl w:val="0"/>
          <w:numId w:val="11"/>
        </w:numPr>
        <w:tabs>
          <w:tab w:val="left" w:pos="-1440"/>
        </w:tabs>
        <w:ind w:hanging="720"/>
        <w:rPr>
          <w:bCs w:val="0"/>
          <w:iCs/>
          <w:sz w:val="24"/>
          <w:szCs w:val="24"/>
        </w:rPr>
      </w:pPr>
      <w:r w:rsidRPr="00BB6541">
        <w:rPr>
          <w:bCs w:val="0"/>
          <w:iCs/>
          <w:sz w:val="24"/>
          <w:szCs w:val="24"/>
        </w:rPr>
        <w:t xml:space="preserve">requiring respondents to report information to the agency more often than </w:t>
      </w:r>
      <w:proofErr w:type="gramStart"/>
      <w:r w:rsidRPr="00BB6541">
        <w:rPr>
          <w:bCs w:val="0"/>
          <w:iCs/>
          <w:sz w:val="24"/>
          <w:szCs w:val="24"/>
        </w:rPr>
        <w:t>quarterly;</w:t>
      </w:r>
      <w:proofErr w:type="gramEnd"/>
    </w:p>
    <w:p w:rsidRPr="00BB6541" w:rsidR="00AA1E33" w:rsidP="005E11A5" w:rsidRDefault="00AA1E33" w14:paraId="72472E2D" w14:textId="77777777">
      <w:pPr>
        <w:widowControl/>
        <w:numPr>
          <w:ilvl w:val="0"/>
          <w:numId w:val="11"/>
        </w:numPr>
        <w:tabs>
          <w:tab w:val="left" w:pos="-1440"/>
        </w:tabs>
        <w:ind w:hanging="720"/>
        <w:rPr>
          <w:bCs w:val="0"/>
          <w:iCs/>
          <w:sz w:val="24"/>
          <w:szCs w:val="24"/>
        </w:rPr>
      </w:pPr>
      <w:r w:rsidRPr="00BB6541">
        <w:rPr>
          <w:bCs w:val="0"/>
          <w:iCs/>
          <w:sz w:val="24"/>
          <w:szCs w:val="24"/>
        </w:rPr>
        <w:t xml:space="preserve">requiring respondents to prepare a written response to a collection of information in fewer than 30 days after receipt of </w:t>
      </w:r>
      <w:proofErr w:type="gramStart"/>
      <w:r w:rsidRPr="00BB6541">
        <w:rPr>
          <w:bCs w:val="0"/>
          <w:iCs/>
          <w:sz w:val="24"/>
          <w:szCs w:val="24"/>
        </w:rPr>
        <w:t>it;</w:t>
      </w:r>
      <w:proofErr w:type="gramEnd"/>
    </w:p>
    <w:p w:rsidRPr="00BB6541" w:rsidR="00AA1E33" w:rsidP="005E11A5" w:rsidRDefault="00AA1E33" w14:paraId="2FC37A3F" w14:textId="77777777">
      <w:pPr>
        <w:widowControl/>
        <w:numPr>
          <w:ilvl w:val="0"/>
          <w:numId w:val="11"/>
        </w:numPr>
        <w:tabs>
          <w:tab w:val="left" w:pos="-1440"/>
        </w:tabs>
        <w:ind w:hanging="720"/>
        <w:rPr>
          <w:bCs w:val="0"/>
          <w:iCs/>
          <w:sz w:val="24"/>
          <w:szCs w:val="24"/>
        </w:rPr>
      </w:pPr>
      <w:r w:rsidRPr="00BB6541">
        <w:rPr>
          <w:bCs w:val="0"/>
          <w:iCs/>
          <w:sz w:val="24"/>
          <w:szCs w:val="24"/>
        </w:rPr>
        <w:t xml:space="preserve">requiring respondents to submit more than an original and two copies of any </w:t>
      </w:r>
      <w:proofErr w:type="gramStart"/>
      <w:r w:rsidRPr="00BB6541">
        <w:rPr>
          <w:bCs w:val="0"/>
          <w:iCs/>
          <w:sz w:val="24"/>
          <w:szCs w:val="24"/>
        </w:rPr>
        <w:t>document;</w:t>
      </w:r>
      <w:proofErr w:type="gramEnd"/>
    </w:p>
    <w:p w:rsidRPr="00BB6541" w:rsidR="00AA1E33" w:rsidP="005E11A5" w:rsidRDefault="00AA1E33" w14:paraId="79358D23" w14:textId="77777777">
      <w:pPr>
        <w:widowControl/>
        <w:numPr>
          <w:ilvl w:val="0"/>
          <w:numId w:val="11"/>
        </w:numPr>
        <w:tabs>
          <w:tab w:val="left" w:pos="-1440"/>
        </w:tabs>
        <w:ind w:hanging="720"/>
        <w:rPr>
          <w:bCs w:val="0"/>
          <w:iCs/>
          <w:sz w:val="24"/>
          <w:szCs w:val="24"/>
        </w:rPr>
      </w:pPr>
      <w:r w:rsidRPr="00BB6541">
        <w:rPr>
          <w:bCs w:val="0"/>
          <w:iCs/>
          <w:sz w:val="24"/>
          <w:szCs w:val="24"/>
        </w:rPr>
        <w:t xml:space="preserve">requiring respondents to retain records, other than health, medical, government contract, grant-in-aid, or tax records for more than three </w:t>
      </w:r>
      <w:proofErr w:type="gramStart"/>
      <w:r w:rsidRPr="00BB6541">
        <w:rPr>
          <w:bCs w:val="0"/>
          <w:iCs/>
          <w:sz w:val="24"/>
          <w:szCs w:val="24"/>
        </w:rPr>
        <w:t>years;</w:t>
      </w:r>
      <w:proofErr w:type="gramEnd"/>
    </w:p>
    <w:p w:rsidRPr="00BB6541" w:rsidR="00AA1E33" w:rsidP="005E11A5" w:rsidRDefault="00AA1E33" w14:paraId="16747825" w14:textId="77777777">
      <w:pPr>
        <w:widowControl/>
        <w:numPr>
          <w:ilvl w:val="0"/>
          <w:numId w:val="11"/>
        </w:numPr>
        <w:tabs>
          <w:tab w:val="left" w:pos="-1440"/>
        </w:tabs>
        <w:ind w:hanging="720"/>
        <w:rPr>
          <w:bCs w:val="0"/>
          <w:iCs/>
          <w:sz w:val="24"/>
          <w:szCs w:val="24"/>
        </w:rPr>
      </w:pPr>
      <w:r w:rsidRPr="00BB6541">
        <w:rPr>
          <w:bCs w:val="0"/>
          <w:iCs/>
          <w:sz w:val="24"/>
          <w:szCs w:val="24"/>
        </w:rPr>
        <w:lastRenderedPageBreak/>
        <w:t xml:space="preserve">in connection with a statistical survey, that is not designed to produce valid and reliable results that can be generalized to the universe of </w:t>
      </w:r>
      <w:proofErr w:type="gramStart"/>
      <w:r w:rsidRPr="00BB6541">
        <w:rPr>
          <w:bCs w:val="0"/>
          <w:iCs/>
          <w:sz w:val="24"/>
          <w:szCs w:val="24"/>
        </w:rPr>
        <w:t>study;</w:t>
      </w:r>
      <w:proofErr w:type="gramEnd"/>
    </w:p>
    <w:p w:rsidRPr="00BB6541" w:rsidR="00AA1E33" w:rsidP="005E11A5" w:rsidRDefault="00AA1E33" w14:paraId="0D31E3CF" w14:textId="77777777">
      <w:pPr>
        <w:widowControl/>
        <w:numPr>
          <w:ilvl w:val="0"/>
          <w:numId w:val="11"/>
        </w:numPr>
        <w:tabs>
          <w:tab w:val="left" w:pos="-1440"/>
        </w:tabs>
        <w:ind w:hanging="720"/>
        <w:rPr>
          <w:bCs w:val="0"/>
          <w:iCs/>
          <w:sz w:val="24"/>
          <w:szCs w:val="24"/>
        </w:rPr>
      </w:pPr>
      <w:r w:rsidRPr="00BB6541">
        <w:rPr>
          <w:bCs w:val="0"/>
          <w:iCs/>
          <w:sz w:val="24"/>
          <w:szCs w:val="24"/>
        </w:rPr>
        <w:t xml:space="preserve">requiring the use of a statistical data classification that has not been reviewed and approved by </w:t>
      </w:r>
      <w:proofErr w:type="gramStart"/>
      <w:r w:rsidRPr="00BB6541">
        <w:rPr>
          <w:bCs w:val="0"/>
          <w:iCs/>
          <w:sz w:val="24"/>
          <w:szCs w:val="24"/>
        </w:rPr>
        <w:t>OMB;</w:t>
      </w:r>
      <w:proofErr w:type="gramEnd"/>
    </w:p>
    <w:p w:rsidRPr="00BB6541" w:rsidR="00AA1E33" w:rsidP="005E11A5" w:rsidRDefault="00AA1E33" w14:paraId="4DFD30CC" w14:textId="77777777">
      <w:pPr>
        <w:widowControl/>
        <w:numPr>
          <w:ilvl w:val="0"/>
          <w:numId w:val="11"/>
        </w:numPr>
        <w:tabs>
          <w:tab w:val="left" w:pos="-1440"/>
        </w:tabs>
        <w:ind w:hanging="720"/>
        <w:rPr>
          <w:bCs w:val="0"/>
          <w:iCs/>
          <w:sz w:val="24"/>
          <w:szCs w:val="24"/>
        </w:rPr>
      </w:pPr>
      <w:r w:rsidRPr="00BB6541">
        <w:rPr>
          <w:bCs w:val="0"/>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B6541" w:rsidR="00AA1E33" w:rsidP="005E11A5" w:rsidRDefault="00AA1E33" w14:paraId="0545EF95" w14:textId="77777777">
      <w:pPr>
        <w:widowControl/>
        <w:numPr>
          <w:ilvl w:val="0"/>
          <w:numId w:val="11"/>
        </w:numPr>
        <w:tabs>
          <w:tab w:val="left" w:pos="-1440"/>
        </w:tabs>
        <w:ind w:hanging="720"/>
        <w:rPr>
          <w:bCs w:val="0"/>
          <w:iCs/>
          <w:sz w:val="24"/>
          <w:szCs w:val="24"/>
        </w:rPr>
      </w:pPr>
      <w:r w:rsidRPr="00BB6541">
        <w:rPr>
          <w:bCs w:val="0"/>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8665EB" w:rsidR="00AA1E33" w:rsidP="005E11A5" w:rsidRDefault="00AA1E33" w14:paraId="6704E910" w14:textId="77777777">
      <w:pPr>
        <w:widowControl/>
        <w:tabs>
          <w:tab w:val="left" w:pos="-1440"/>
        </w:tabs>
        <w:ind w:left="720"/>
        <w:rPr>
          <w:b w:val="0"/>
          <w:bCs w:val="0"/>
          <w:iCs/>
          <w:sz w:val="24"/>
          <w:szCs w:val="24"/>
        </w:rPr>
      </w:pPr>
    </w:p>
    <w:p w:rsidRPr="00134256" w:rsidR="00DF4CC6" w:rsidP="005E11A5" w:rsidRDefault="00DF4CC6" w14:paraId="342D5440" w14:textId="50B8FBFD">
      <w:pPr>
        <w:widowControl/>
        <w:tabs>
          <w:tab w:val="left" w:pos="-1440"/>
        </w:tabs>
        <w:ind w:left="720"/>
        <w:rPr>
          <w:b w:val="0"/>
          <w:bCs w:val="0"/>
          <w:sz w:val="24"/>
          <w:szCs w:val="24"/>
        </w:rPr>
      </w:pPr>
      <w:r w:rsidRPr="00134256">
        <w:rPr>
          <w:b w:val="0"/>
          <w:bCs w:val="0"/>
          <w:sz w:val="24"/>
          <w:szCs w:val="24"/>
        </w:rPr>
        <w:t>There are no special circumstances that require the collection to be conducted in a manner inconsistent with the guidelines in 5 CFR 1320.5.</w:t>
      </w:r>
    </w:p>
    <w:p w:rsidRPr="00BB6541" w:rsidR="0085713E" w:rsidP="005E11A5" w:rsidRDefault="0085713E" w14:paraId="11C37479" w14:textId="77777777">
      <w:pPr>
        <w:widowControl/>
        <w:tabs>
          <w:tab w:val="left" w:pos="-1440"/>
        </w:tabs>
        <w:ind w:left="720"/>
        <w:rPr>
          <w:bCs w:val="0"/>
          <w:sz w:val="24"/>
          <w:szCs w:val="24"/>
        </w:rPr>
      </w:pPr>
    </w:p>
    <w:p w:rsidRPr="00BB6541" w:rsidR="00AA1E33" w:rsidP="00134256" w:rsidRDefault="00AA1E33" w14:paraId="12580FC4" w14:textId="77777777">
      <w:pPr>
        <w:widowControl/>
        <w:numPr>
          <w:ilvl w:val="0"/>
          <w:numId w:val="25"/>
        </w:numPr>
        <w:tabs>
          <w:tab w:val="left" w:pos="-1440"/>
        </w:tabs>
        <w:ind w:hanging="720"/>
        <w:rPr>
          <w:bCs w:val="0"/>
          <w:iCs/>
          <w:sz w:val="24"/>
          <w:szCs w:val="24"/>
        </w:rPr>
      </w:pPr>
      <w:r w:rsidRPr="00BB6541">
        <w:rPr>
          <w:bCs w:val="0"/>
          <w:iCs/>
          <w:sz w:val="24"/>
          <w:szCs w:val="24"/>
        </w:rPr>
        <w:t xml:space="preserve">If applicable, provide a copy and identify the date and page number of </w:t>
      </w:r>
      <w:proofErr w:type="gramStart"/>
      <w:r w:rsidRPr="00BB6541">
        <w:rPr>
          <w:bCs w:val="0"/>
          <w:iCs/>
          <w:sz w:val="24"/>
          <w:szCs w:val="24"/>
        </w:rPr>
        <w:t>publication</w:t>
      </w:r>
      <w:proofErr w:type="gramEnd"/>
      <w:r w:rsidRPr="00BB6541">
        <w:rPr>
          <w:bCs w:val="0"/>
          <w:i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B6541" w:rsidR="00AA1E33" w:rsidP="008272B1" w:rsidRDefault="00AA1E33" w14:paraId="57618275" w14:textId="77777777">
      <w:pPr>
        <w:widowControl/>
        <w:ind w:left="720"/>
        <w:rPr>
          <w:bCs w:val="0"/>
          <w:iCs/>
          <w:sz w:val="24"/>
          <w:szCs w:val="24"/>
        </w:rPr>
      </w:pPr>
    </w:p>
    <w:p w:rsidRPr="00BB6541" w:rsidR="00AA1E33" w:rsidP="008272B1" w:rsidRDefault="00AA1E33" w14:paraId="52D69B71" w14:textId="77777777">
      <w:pPr>
        <w:pStyle w:val="BodyText3"/>
        <w:ind w:left="720"/>
        <w:rPr>
          <w:bCs w:val="0"/>
          <w:i w:val="0"/>
          <w:sz w:val="24"/>
          <w:szCs w:val="24"/>
        </w:rPr>
      </w:pPr>
      <w:r w:rsidRPr="00BB6541">
        <w:rPr>
          <w:bCs w:val="0"/>
          <w:i w:val="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B6541" w:rsidR="00AA1E33" w:rsidP="008272B1" w:rsidRDefault="00AA1E33" w14:paraId="0E162F32" w14:textId="77777777">
      <w:pPr>
        <w:widowControl/>
        <w:ind w:left="720"/>
        <w:rPr>
          <w:bCs w:val="0"/>
          <w:iCs/>
          <w:sz w:val="24"/>
          <w:szCs w:val="24"/>
        </w:rPr>
      </w:pPr>
    </w:p>
    <w:p w:rsidRPr="00BB6541" w:rsidR="00AA1E33" w:rsidP="008272B1" w:rsidRDefault="00AA1E33" w14:paraId="041D4F49" w14:textId="77777777">
      <w:pPr>
        <w:pStyle w:val="BodyText3"/>
        <w:ind w:left="720"/>
        <w:rPr>
          <w:i w:val="0"/>
          <w:sz w:val="24"/>
          <w:szCs w:val="24"/>
        </w:rPr>
      </w:pPr>
      <w:r w:rsidRPr="00BB6541">
        <w:rPr>
          <w:bCs w:val="0"/>
          <w:i w:val="0"/>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B6541" w:rsidR="00AA1E33" w:rsidP="008272B1" w:rsidRDefault="00AA1E33" w14:paraId="737746E2" w14:textId="77777777">
      <w:pPr>
        <w:widowControl/>
        <w:ind w:left="720"/>
        <w:rPr>
          <w:bCs w:val="0"/>
          <w:iCs/>
          <w:sz w:val="24"/>
          <w:szCs w:val="24"/>
        </w:rPr>
      </w:pPr>
    </w:p>
    <w:p w:rsidRPr="00555658" w:rsidR="00A90073" w:rsidP="008272B1" w:rsidRDefault="00A00C40" w14:paraId="41E7421D" w14:textId="4133B8C2">
      <w:pPr>
        <w:pStyle w:val="BodyText"/>
        <w:ind w:left="720"/>
        <w:rPr>
          <w:bCs/>
          <w:szCs w:val="24"/>
        </w:rPr>
      </w:pPr>
      <w:r w:rsidRPr="00555658">
        <w:rPr>
          <w:bCs/>
          <w:szCs w:val="24"/>
        </w:rPr>
        <w:t xml:space="preserve">On </w:t>
      </w:r>
      <w:r w:rsidR="00972CB1">
        <w:rPr>
          <w:bCs/>
          <w:szCs w:val="24"/>
        </w:rPr>
        <w:t>November 9</w:t>
      </w:r>
      <w:r w:rsidR="005707F6">
        <w:rPr>
          <w:bCs/>
          <w:szCs w:val="24"/>
        </w:rPr>
        <w:t xml:space="preserve">, </w:t>
      </w:r>
      <w:r w:rsidR="00972CB1">
        <w:rPr>
          <w:bCs/>
          <w:szCs w:val="24"/>
        </w:rPr>
        <w:t>2021</w:t>
      </w:r>
      <w:r w:rsidRPr="00555658">
        <w:rPr>
          <w:bCs/>
          <w:szCs w:val="24"/>
        </w:rPr>
        <w:t xml:space="preserve">, the Department published in the </w:t>
      </w:r>
      <w:r w:rsidRPr="00134256">
        <w:rPr>
          <w:bCs/>
          <w:i/>
          <w:szCs w:val="24"/>
        </w:rPr>
        <w:t>Federal Register</w:t>
      </w:r>
      <w:r w:rsidRPr="00555658">
        <w:rPr>
          <w:bCs/>
          <w:szCs w:val="24"/>
        </w:rPr>
        <w:t xml:space="preserve"> (</w:t>
      </w:r>
      <w:r w:rsidR="00972CB1">
        <w:rPr>
          <w:bCs/>
          <w:szCs w:val="24"/>
        </w:rPr>
        <w:t>86</w:t>
      </w:r>
      <w:r w:rsidRPr="00555658" w:rsidR="00972CB1">
        <w:rPr>
          <w:bCs/>
          <w:szCs w:val="24"/>
        </w:rPr>
        <w:t xml:space="preserve"> </w:t>
      </w:r>
      <w:r w:rsidRPr="00555658">
        <w:rPr>
          <w:bCs/>
          <w:szCs w:val="24"/>
        </w:rPr>
        <w:t xml:space="preserve">FR </w:t>
      </w:r>
      <w:r w:rsidR="00972CB1">
        <w:rPr>
          <w:bCs/>
          <w:szCs w:val="24"/>
        </w:rPr>
        <w:t>62208</w:t>
      </w:r>
      <w:r w:rsidRPr="00555658">
        <w:rPr>
          <w:bCs/>
          <w:szCs w:val="24"/>
        </w:rPr>
        <w:t>) the notice announcing its intention to request extension of OMB’s approval of this information collection.  The notice solicited public comment on the extension and provided 60 days for such purpose, as required by 5 CFR 1320.8(d).  No comments were received.</w:t>
      </w:r>
    </w:p>
    <w:p w:rsidRPr="00555658" w:rsidR="00A90073" w:rsidP="008272B1" w:rsidRDefault="00A90073" w14:paraId="5FE02FAB" w14:textId="77777777">
      <w:pPr>
        <w:pStyle w:val="BodyText"/>
        <w:ind w:left="720"/>
        <w:rPr>
          <w:bCs/>
          <w:szCs w:val="24"/>
        </w:rPr>
      </w:pPr>
    </w:p>
    <w:p w:rsidRPr="00DB12A4" w:rsidR="00AA1E33" w:rsidP="008272B1" w:rsidRDefault="00AA1E33" w14:paraId="3691AADB" w14:textId="77777777">
      <w:pPr>
        <w:widowControl/>
        <w:numPr>
          <w:ilvl w:val="0"/>
          <w:numId w:val="25"/>
        </w:numPr>
        <w:tabs>
          <w:tab w:val="left" w:pos="-1440"/>
        </w:tabs>
        <w:ind w:hanging="720"/>
        <w:rPr>
          <w:bCs w:val="0"/>
          <w:iCs/>
          <w:sz w:val="24"/>
          <w:szCs w:val="24"/>
        </w:rPr>
      </w:pPr>
      <w:r w:rsidRPr="00DB12A4">
        <w:rPr>
          <w:bCs w:val="0"/>
          <w:iCs/>
          <w:sz w:val="24"/>
          <w:szCs w:val="24"/>
        </w:rPr>
        <w:lastRenderedPageBreak/>
        <w:t>Explain any decision to provide any payment or gift to respondents, other than remuneration of contractors or grantees.</w:t>
      </w:r>
    </w:p>
    <w:p w:rsidR="00AA1E33" w:rsidP="001E03FA" w:rsidRDefault="00AA1E33" w14:paraId="0D547771" w14:textId="5796294D">
      <w:pPr>
        <w:widowControl/>
        <w:ind w:left="720"/>
        <w:rPr>
          <w:b w:val="0"/>
          <w:bCs w:val="0"/>
          <w:sz w:val="24"/>
          <w:szCs w:val="24"/>
        </w:rPr>
      </w:pPr>
    </w:p>
    <w:p w:rsidRPr="00555658" w:rsidR="00134256" w:rsidP="001E03FA" w:rsidRDefault="00134256" w14:paraId="36BB4345" w14:textId="4EE29CBC">
      <w:pPr>
        <w:widowControl/>
        <w:ind w:left="720"/>
        <w:rPr>
          <w:b w:val="0"/>
          <w:bCs w:val="0"/>
          <w:sz w:val="24"/>
          <w:szCs w:val="24"/>
        </w:rPr>
      </w:pPr>
      <w:r>
        <w:rPr>
          <w:b w:val="0"/>
          <w:bCs w:val="0"/>
          <w:sz w:val="24"/>
          <w:szCs w:val="24"/>
        </w:rPr>
        <w:t>No payments or gifts are provided to respondents.</w:t>
      </w:r>
    </w:p>
    <w:p w:rsidRPr="00BB6541" w:rsidR="00AA1E33" w:rsidP="001E03FA" w:rsidRDefault="00AA1E33" w14:paraId="77D82D4E" w14:textId="788EC5E7">
      <w:pPr>
        <w:widowControl/>
        <w:ind w:left="720"/>
        <w:rPr>
          <w:bCs w:val="0"/>
          <w:sz w:val="24"/>
          <w:szCs w:val="24"/>
        </w:rPr>
      </w:pPr>
    </w:p>
    <w:p w:rsidRPr="00BB6541" w:rsidR="00AA1E33" w:rsidP="001E03FA" w:rsidRDefault="00AA1E33" w14:paraId="3B4F09D7" w14:textId="77777777">
      <w:pPr>
        <w:widowControl/>
        <w:numPr>
          <w:ilvl w:val="0"/>
          <w:numId w:val="25"/>
        </w:numPr>
        <w:tabs>
          <w:tab w:val="left" w:pos="-1440"/>
        </w:tabs>
        <w:ind w:hanging="720"/>
        <w:rPr>
          <w:bCs w:val="0"/>
          <w:iCs/>
          <w:sz w:val="24"/>
          <w:szCs w:val="24"/>
        </w:rPr>
      </w:pPr>
      <w:r w:rsidRPr="00BB6541">
        <w:rPr>
          <w:bCs w:val="0"/>
          <w:iCs/>
          <w:sz w:val="24"/>
          <w:szCs w:val="24"/>
        </w:rPr>
        <w:t>Describe any assurance of confidentiality provided to respondents and the basis for the assurance in statute, regulation, or agency policy.</w:t>
      </w:r>
    </w:p>
    <w:p w:rsidRPr="00555658" w:rsidR="00AA1E33" w:rsidP="001E03FA" w:rsidRDefault="00AA1E33" w14:paraId="6239445C" w14:textId="77777777">
      <w:pPr>
        <w:widowControl/>
        <w:ind w:left="720"/>
        <w:rPr>
          <w:b w:val="0"/>
          <w:bCs w:val="0"/>
          <w:sz w:val="24"/>
          <w:szCs w:val="24"/>
        </w:rPr>
      </w:pPr>
    </w:p>
    <w:p w:rsidRPr="00555658" w:rsidR="003E1E53" w:rsidP="001E03FA" w:rsidRDefault="00DF4CC6" w14:paraId="4A0073A9" w14:textId="2CFBBDA7">
      <w:pPr>
        <w:widowControl/>
        <w:ind w:left="720"/>
        <w:rPr>
          <w:b w:val="0"/>
          <w:bCs w:val="0"/>
          <w:sz w:val="24"/>
          <w:szCs w:val="24"/>
        </w:rPr>
      </w:pPr>
      <w:r>
        <w:rPr>
          <w:b w:val="0"/>
          <w:bCs w:val="0"/>
          <w:sz w:val="24"/>
          <w:szCs w:val="24"/>
        </w:rPr>
        <w:t>There is no assurance of confidentiality provided to respondents</w:t>
      </w:r>
      <w:r w:rsidR="00CA3EDA">
        <w:rPr>
          <w:b w:val="0"/>
          <w:bCs w:val="0"/>
          <w:sz w:val="24"/>
          <w:szCs w:val="24"/>
        </w:rPr>
        <w:t>.</w:t>
      </w:r>
    </w:p>
    <w:p w:rsidRPr="00BB6541" w:rsidR="00A73525" w:rsidP="001E03FA" w:rsidRDefault="00A73525" w14:paraId="0E61E600" w14:textId="77777777">
      <w:pPr>
        <w:widowControl/>
        <w:ind w:left="720"/>
        <w:rPr>
          <w:bCs w:val="0"/>
          <w:sz w:val="24"/>
          <w:szCs w:val="24"/>
        </w:rPr>
      </w:pPr>
    </w:p>
    <w:p w:rsidRPr="00BB6541" w:rsidR="00AA1E33" w:rsidP="00DD2438" w:rsidRDefault="00AA1E33" w14:paraId="5CC14C0A" w14:textId="77777777">
      <w:pPr>
        <w:widowControl/>
        <w:numPr>
          <w:ilvl w:val="0"/>
          <w:numId w:val="25"/>
        </w:numPr>
        <w:tabs>
          <w:tab w:val="left" w:pos="-1440"/>
        </w:tabs>
        <w:ind w:hanging="720"/>
        <w:rPr>
          <w:bCs w:val="0"/>
          <w:iCs/>
          <w:sz w:val="24"/>
          <w:szCs w:val="24"/>
        </w:rPr>
      </w:pPr>
      <w:r w:rsidRPr="00BB6541">
        <w:rPr>
          <w:bCs w:val="0"/>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665EB" w:rsidR="00AA1E33" w:rsidP="00DD2438" w:rsidRDefault="00AA1E33" w14:paraId="7E8F04C1" w14:textId="77777777">
      <w:pPr>
        <w:widowControl/>
        <w:ind w:left="720"/>
        <w:rPr>
          <w:b w:val="0"/>
          <w:bCs w:val="0"/>
          <w:iCs/>
          <w:sz w:val="24"/>
          <w:szCs w:val="24"/>
        </w:rPr>
      </w:pPr>
    </w:p>
    <w:p w:rsidRPr="00555658" w:rsidR="003E1E53" w:rsidP="1AACE986" w:rsidRDefault="00DF4CC6" w14:paraId="4FB65A3F" w14:textId="281E89BF">
      <w:pPr>
        <w:pStyle w:val="BodyText"/>
        <w:ind w:left="720"/>
        <w:rPr>
          <w:szCs w:val="24"/>
        </w:rPr>
      </w:pPr>
      <w:r>
        <w:t>T</w:t>
      </w:r>
      <w:r w:rsidRPr="00607563" w:rsidR="00CA3EDA">
        <w:t xml:space="preserve">here are no </w:t>
      </w:r>
      <w:r w:rsidRPr="00DF4CC6" w:rsidR="00CA3EDA">
        <w:t>questions of a sensitive nature.</w:t>
      </w:r>
    </w:p>
    <w:p w:rsidRPr="00555658" w:rsidR="00A73525" w:rsidP="00DD2438" w:rsidRDefault="00A73525" w14:paraId="21B0FFBA" w14:textId="77777777">
      <w:pPr>
        <w:pStyle w:val="BodyText"/>
        <w:ind w:left="720"/>
        <w:rPr>
          <w:szCs w:val="24"/>
        </w:rPr>
      </w:pPr>
    </w:p>
    <w:p w:rsidRPr="001457A2" w:rsidR="008855F0" w:rsidP="008855F0" w:rsidRDefault="008855F0" w14:paraId="209728B3" w14:textId="3B3B1E76">
      <w:pPr>
        <w:pStyle w:val="Quick1"/>
        <w:numPr>
          <w:ilvl w:val="0"/>
          <w:numId w:val="25"/>
        </w:numPr>
        <w:ind w:hanging="720"/>
        <w:rPr>
          <w:b w:val="0"/>
          <w:i/>
          <w:sz w:val="24"/>
          <w:szCs w:val="24"/>
        </w:rPr>
      </w:pPr>
      <w:r w:rsidRPr="001457A2">
        <w:rPr>
          <w:sz w:val="24"/>
          <w:szCs w:val="24"/>
        </w:rPr>
        <w:t>Provide estimates of the hour burden of the collection of information.  The statement should:</w:t>
      </w:r>
    </w:p>
    <w:p w:rsidRPr="001457A2" w:rsidR="008855F0" w:rsidP="008855F0" w:rsidRDefault="008855F0" w14:paraId="62011672" w14:textId="77777777">
      <w:pPr>
        <w:pStyle w:val="Style10ptItalicLeft05Hanging025"/>
        <w:numPr>
          <w:ilvl w:val="0"/>
          <w:numId w:val="28"/>
        </w:numPr>
        <w:tabs>
          <w:tab w:val="clear" w:pos="1080"/>
        </w:tabs>
        <w:ind w:left="1440" w:hanging="720"/>
        <w:rPr>
          <w:b/>
          <w:i w:val="0"/>
          <w:sz w:val="24"/>
          <w:szCs w:val="24"/>
        </w:rPr>
      </w:pPr>
      <w:r w:rsidRPr="001457A2">
        <w:rPr>
          <w:b/>
          <w:i w:val="0"/>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457A2" w:rsidR="008855F0" w:rsidP="008855F0" w:rsidRDefault="008855F0" w14:paraId="5EC6EED3" w14:textId="77777777">
      <w:pPr>
        <w:pStyle w:val="Style10ptItalicLeft05Hanging025"/>
        <w:numPr>
          <w:ilvl w:val="0"/>
          <w:numId w:val="28"/>
        </w:numPr>
        <w:tabs>
          <w:tab w:val="clear" w:pos="1080"/>
        </w:tabs>
        <w:ind w:left="1440" w:hanging="720"/>
        <w:rPr>
          <w:b/>
          <w:i w:val="0"/>
          <w:sz w:val="24"/>
          <w:szCs w:val="24"/>
        </w:rPr>
      </w:pPr>
      <w:r w:rsidRPr="001457A2">
        <w:rPr>
          <w:b/>
          <w:i w:val="0"/>
          <w:sz w:val="24"/>
          <w:szCs w:val="24"/>
        </w:rPr>
        <w:t xml:space="preserve">If this request for approval covers more than one form, provide separate hour burden estimates for each </w:t>
      </w:r>
      <w:proofErr w:type="gramStart"/>
      <w:r w:rsidRPr="001457A2">
        <w:rPr>
          <w:b/>
          <w:i w:val="0"/>
          <w:sz w:val="24"/>
          <w:szCs w:val="24"/>
        </w:rPr>
        <w:t>form</w:t>
      </w:r>
      <w:proofErr w:type="gramEnd"/>
      <w:r w:rsidRPr="001457A2">
        <w:rPr>
          <w:b/>
          <w:i w:val="0"/>
          <w:sz w:val="24"/>
          <w:szCs w:val="24"/>
        </w:rPr>
        <w:t xml:space="preserve"> and aggregate the hour burdens in Item 13.</w:t>
      </w:r>
    </w:p>
    <w:p w:rsidRPr="001457A2" w:rsidR="008855F0" w:rsidP="008855F0" w:rsidRDefault="008855F0" w14:paraId="10C50593" w14:textId="77777777">
      <w:pPr>
        <w:pStyle w:val="Style10ptItalicLeft05Hanging025"/>
        <w:numPr>
          <w:ilvl w:val="0"/>
          <w:numId w:val="28"/>
        </w:numPr>
        <w:tabs>
          <w:tab w:val="clear" w:pos="1080"/>
        </w:tabs>
        <w:ind w:left="1440" w:hanging="720"/>
        <w:rPr>
          <w:b/>
          <w:i w:val="0"/>
          <w:sz w:val="24"/>
          <w:szCs w:val="24"/>
        </w:rPr>
      </w:pPr>
      <w:r w:rsidRPr="001457A2">
        <w:rPr>
          <w:b/>
          <w:i w:val="0"/>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Pr="008665EB" w:rsidR="00F32121" w:rsidP="00DD2438" w:rsidRDefault="00F32121" w14:paraId="24C48D51" w14:textId="77777777">
      <w:pPr>
        <w:widowControl/>
        <w:tabs>
          <w:tab w:val="left" w:pos="-1440"/>
        </w:tabs>
        <w:ind w:left="720"/>
        <w:rPr>
          <w:b w:val="0"/>
          <w:bCs w:val="0"/>
          <w:iCs/>
          <w:sz w:val="24"/>
          <w:szCs w:val="24"/>
        </w:rPr>
      </w:pPr>
    </w:p>
    <w:p w:rsidR="00A73525" w:rsidP="00DD2438" w:rsidRDefault="00676080" w14:paraId="236E3585" w14:textId="14686B88">
      <w:pPr>
        <w:widowControl/>
        <w:tabs>
          <w:tab w:val="left" w:pos="-1440"/>
        </w:tabs>
        <w:ind w:left="720"/>
        <w:rPr>
          <w:b w:val="0"/>
          <w:bCs w:val="0"/>
          <w:iCs/>
          <w:sz w:val="24"/>
          <w:szCs w:val="24"/>
        </w:rPr>
      </w:pPr>
      <w:r>
        <w:rPr>
          <w:b w:val="0"/>
          <w:bCs w:val="0"/>
          <w:iCs/>
          <w:sz w:val="24"/>
          <w:szCs w:val="24"/>
        </w:rPr>
        <w:t>Based on the number of submissions made to the Department over the last three years, t</w:t>
      </w:r>
      <w:r w:rsidRPr="00555658" w:rsidR="00A73525">
        <w:rPr>
          <w:b w:val="0"/>
          <w:bCs w:val="0"/>
          <w:iCs/>
          <w:sz w:val="24"/>
          <w:szCs w:val="24"/>
        </w:rPr>
        <w:t xml:space="preserve">he Department estimates </w:t>
      </w:r>
      <w:r w:rsidR="00426CA7">
        <w:rPr>
          <w:b w:val="0"/>
          <w:bCs w:val="0"/>
          <w:iCs/>
          <w:sz w:val="24"/>
          <w:szCs w:val="24"/>
        </w:rPr>
        <w:t>48</w:t>
      </w:r>
      <w:r w:rsidRPr="00555658" w:rsidR="00646442">
        <w:rPr>
          <w:b w:val="0"/>
          <w:bCs w:val="0"/>
          <w:iCs/>
          <w:sz w:val="24"/>
          <w:szCs w:val="24"/>
        </w:rPr>
        <w:t xml:space="preserve"> </w:t>
      </w:r>
      <w:r w:rsidRPr="00555658" w:rsidR="00A73525">
        <w:rPr>
          <w:b w:val="0"/>
          <w:bCs w:val="0"/>
          <w:iCs/>
          <w:sz w:val="24"/>
          <w:szCs w:val="24"/>
        </w:rPr>
        <w:t>entities will take advantage of the research exception</w:t>
      </w:r>
      <w:r>
        <w:rPr>
          <w:b w:val="0"/>
          <w:bCs w:val="0"/>
          <w:iCs/>
          <w:sz w:val="24"/>
          <w:szCs w:val="24"/>
        </w:rPr>
        <w:t xml:space="preserve"> annually</w:t>
      </w:r>
      <w:r w:rsidRPr="00555658" w:rsidR="00A73525">
        <w:rPr>
          <w:b w:val="0"/>
          <w:bCs w:val="0"/>
          <w:iCs/>
          <w:sz w:val="24"/>
          <w:szCs w:val="24"/>
        </w:rPr>
        <w:t xml:space="preserve">, and that </w:t>
      </w:r>
      <w:proofErr w:type="gramStart"/>
      <w:r w:rsidRPr="00555658" w:rsidR="00A73525">
        <w:rPr>
          <w:b w:val="0"/>
          <w:bCs w:val="0"/>
          <w:iCs/>
          <w:sz w:val="24"/>
          <w:szCs w:val="24"/>
        </w:rPr>
        <w:t>all of</w:t>
      </w:r>
      <w:proofErr w:type="gramEnd"/>
      <w:r w:rsidRPr="00555658" w:rsidR="00A73525">
        <w:rPr>
          <w:b w:val="0"/>
          <w:bCs w:val="0"/>
          <w:iCs/>
          <w:sz w:val="24"/>
          <w:szCs w:val="24"/>
        </w:rPr>
        <w:t xml:space="preserve"> the entities will comply with the requirements of 45 CFR Part 46, including providing the participant disclosure.</w:t>
      </w:r>
      <w:r w:rsidRPr="00555658" w:rsidR="00A73525">
        <w:rPr>
          <w:rStyle w:val="footnoteref"/>
          <w:sz w:val="24"/>
          <w:szCs w:val="24"/>
        </w:rPr>
        <w:t xml:space="preserve"> </w:t>
      </w:r>
      <w:r w:rsidRPr="00555658" w:rsidR="00A73525">
        <w:rPr>
          <w:b w:val="0"/>
          <w:bCs w:val="0"/>
          <w:iCs/>
          <w:sz w:val="24"/>
          <w:szCs w:val="24"/>
        </w:rPr>
        <w:t xml:space="preserve"> </w:t>
      </w:r>
      <w:r w:rsidRPr="00555658" w:rsidR="00624F50">
        <w:rPr>
          <w:b w:val="0"/>
          <w:bCs w:val="0"/>
          <w:iCs/>
          <w:sz w:val="24"/>
          <w:szCs w:val="24"/>
        </w:rPr>
        <w:t xml:space="preserve">The entities must complete a copy of the </w:t>
      </w:r>
      <w:r w:rsidRPr="00555658" w:rsidR="00624F50">
        <w:rPr>
          <w:b w:val="0"/>
          <w:bCs w:val="0"/>
          <w:iCs/>
          <w:sz w:val="24"/>
          <w:szCs w:val="24"/>
        </w:rPr>
        <w:lastRenderedPageBreak/>
        <w:t>“</w:t>
      </w:r>
      <w:r w:rsidRPr="00555658" w:rsidR="00624F50">
        <w:rPr>
          <w:b w:val="0"/>
          <w:bCs w:val="0"/>
          <w:i/>
          <w:iCs/>
          <w:sz w:val="24"/>
          <w:szCs w:val="24"/>
        </w:rPr>
        <w:t>Notice of Research Exception under the Genetic Information Nondiscrimination Act</w:t>
      </w:r>
      <w:r w:rsidRPr="00555658" w:rsidR="00624F50">
        <w:rPr>
          <w:b w:val="0"/>
          <w:bCs w:val="0"/>
          <w:iCs/>
          <w:sz w:val="24"/>
          <w:szCs w:val="24"/>
        </w:rPr>
        <w:t xml:space="preserve">” </w:t>
      </w:r>
      <w:r w:rsidRPr="00162AF5" w:rsidR="00624F50">
        <w:rPr>
          <w:b w:val="0"/>
          <w:bCs w:val="0"/>
          <w:iCs/>
          <w:sz w:val="24"/>
          <w:szCs w:val="24"/>
        </w:rPr>
        <w:t>(the Notice) and provide it to the address specified in its instructions.  The Notice and instructions are available on the Department of Labor’s website</w:t>
      </w:r>
      <w:r w:rsidRPr="00162AF5" w:rsidR="005478FC">
        <w:rPr>
          <w:b w:val="0"/>
          <w:bCs w:val="0"/>
          <w:iCs/>
          <w:sz w:val="24"/>
          <w:szCs w:val="24"/>
        </w:rPr>
        <w:t>:</w:t>
      </w:r>
      <w:r w:rsidRPr="008F1C14" w:rsidR="00A73525">
        <w:rPr>
          <w:b w:val="0"/>
          <w:bCs w:val="0"/>
          <w:iCs/>
          <w:sz w:val="24"/>
          <w:szCs w:val="24"/>
        </w:rPr>
        <w:t xml:space="preserve"> </w:t>
      </w:r>
      <w:r w:rsidRPr="008F1C14" w:rsidR="00624F50">
        <w:rPr>
          <w:b w:val="0"/>
          <w:bCs w:val="0"/>
          <w:iCs/>
          <w:sz w:val="24"/>
          <w:szCs w:val="24"/>
        </w:rPr>
        <w:t>(</w:t>
      </w:r>
      <w:hyperlink w:history="1" r:id="rId9">
        <w:r w:rsidRPr="008665EB" w:rsidR="00FD0E57">
          <w:rPr>
            <w:rStyle w:val="Hyperlink"/>
            <w:b w:val="0"/>
            <w:sz w:val="24"/>
            <w:szCs w:val="24"/>
          </w:rPr>
          <w:t>https://www.dol.gov/agencies/ebsa/employers-and-advisers/plan-administration-and-compliance/health-plans/notice-of-research-exception-under-gina</w:t>
        </w:r>
      </w:hyperlink>
      <w:r w:rsidRPr="00162AF5" w:rsidR="00140238">
        <w:rPr>
          <w:b w:val="0"/>
          <w:bCs w:val="0"/>
          <w:iCs/>
          <w:sz w:val="24"/>
          <w:szCs w:val="24"/>
        </w:rPr>
        <w:t>)</w:t>
      </w:r>
      <w:r w:rsidRPr="00162AF5" w:rsidR="00624F50">
        <w:rPr>
          <w:b w:val="0"/>
          <w:bCs w:val="0"/>
          <w:iCs/>
          <w:sz w:val="24"/>
          <w:szCs w:val="24"/>
        </w:rPr>
        <w:t>.</w:t>
      </w:r>
    </w:p>
    <w:p w:rsidRPr="00555658" w:rsidR="00676080" w:rsidP="00DD2438" w:rsidRDefault="00676080" w14:paraId="5607E1AB" w14:textId="77777777">
      <w:pPr>
        <w:widowControl/>
        <w:tabs>
          <w:tab w:val="left" w:pos="-1440"/>
        </w:tabs>
        <w:ind w:left="720"/>
        <w:rPr>
          <w:b w:val="0"/>
          <w:bCs w:val="0"/>
          <w:iCs/>
          <w:sz w:val="24"/>
          <w:szCs w:val="24"/>
        </w:rPr>
      </w:pPr>
    </w:p>
    <w:p w:rsidR="00014D0D" w:rsidP="00DD2438" w:rsidRDefault="00A73525" w14:paraId="0769395D" w14:textId="573A28A1">
      <w:pPr>
        <w:widowControl/>
        <w:tabs>
          <w:tab w:val="left" w:pos="-1440"/>
        </w:tabs>
        <w:ind w:left="720"/>
        <w:rPr>
          <w:b w:val="0"/>
          <w:bCs w:val="0"/>
          <w:iCs/>
          <w:sz w:val="24"/>
          <w:szCs w:val="24"/>
        </w:rPr>
      </w:pPr>
      <w:r w:rsidRPr="00555658">
        <w:rPr>
          <w:b w:val="0"/>
          <w:bCs w:val="0"/>
          <w:iCs/>
          <w:sz w:val="24"/>
          <w:szCs w:val="24"/>
        </w:rPr>
        <w:t>The Department estimates that completing and mailing the Notice will require</w:t>
      </w:r>
      <w:r w:rsidRPr="00555658" w:rsidR="00B77D31">
        <w:rPr>
          <w:b w:val="0"/>
          <w:bCs w:val="0"/>
          <w:iCs/>
          <w:sz w:val="24"/>
          <w:szCs w:val="24"/>
        </w:rPr>
        <w:t xml:space="preserve"> </w:t>
      </w:r>
      <w:r w:rsidRPr="00555658">
        <w:rPr>
          <w:b w:val="0"/>
          <w:bCs w:val="0"/>
          <w:iCs/>
          <w:sz w:val="24"/>
          <w:szCs w:val="24"/>
        </w:rPr>
        <w:t xml:space="preserve">15 minutes of clerical time at an hourly rate of </w:t>
      </w:r>
      <w:r w:rsidRPr="00646442" w:rsidR="00646442">
        <w:rPr>
          <w:b w:val="0"/>
          <w:bCs w:val="0"/>
          <w:iCs/>
          <w:sz w:val="24"/>
          <w:szCs w:val="24"/>
        </w:rPr>
        <w:t xml:space="preserve">$55.23 </w:t>
      </w:r>
      <w:r w:rsidRPr="00555658">
        <w:rPr>
          <w:b w:val="0"/>
          <w:bCs w:val="0"/>
          <w:iCs/>
          <w:sz w:val="24"/>
          <w:szCs w:val="24"/>
        </w:rPr>
        <w:t>per hour.</w:t>
      </w:r>
      <w:r w:rsidRPr="00134256" w:rsidR="001D76F3">
        <w:rPr>
          <w:rStyle w:val="FootnoteReference"/>
          <w:b w:val="0"/>
          <w:bCs w:val="0"/>
          <w:iCs/>
          <w:sz w:val="24"/>
          <w:szCs w:val="24"/>
          <w:vertAlign w:val="superscript"/>
        </w:rPr>
        <w:footnoteReference w:id="1"/>
      </w:r>
      <w:r w:rsidRPr="00555658">
        <w:rPr>
          <w:b w:val="0"/>
          <w:bCs w:val="0"/>
          <w:iCs/>
          <w:sz w:val="24"/>
          <w:szCs w:val="24"/>
        </w:rPr>
        <w:t xml:space="preserve"> </w:t>
      </w:r>
      <w:r w:rsidR="00451342">
        <w:rPr>
          <w:b w:val="0"/>
          <w:bCs w:val="0"/>
          <w:iCs/>
          <w:sz w:val="24"/>
          <w:szCs w:val="24"/>
        </w:rPr>
        <w:t xml:space="preserve"> </w:t>
      </w:r>
      <w:r w:rsidRPr="00555658">
        <w:rPr>
          <w:b w:val="0"/>
          <w:bCs w:val="0"/>
          <w:iCs/>
          <w:sz w:val="24"/>
          <w:szCs w:val="24"/>
        </w:rPr>
        <w:t xml:space="preserve">Therefore, the total hour burden associated with completing the Notice is estimated to be </w:t>
      </w:r>
      <w:r w:rsidR="00586CE9">
        <w:rPr>
          <w:b w:val="0"/>
          <w:bCs w:val="0"/>
          <w:iCs/>
          <w:sz w:val="24"/>
          <w:szCs w:val="24"/>
        </w:rPr>
        <w:t>12</w:t>
      </w:r>
      <w:r w:rsidR="00646442">
        <w:rPr>
          <w:b w:val="0"/>
          <w:bCs w:val="0"/>
          <w:iCs/>
          <w:sz w:val="24"/>
          <w:szCs w:val="24"/>
        </w:rPr>
        <w:t xml:space="preserve"> </w:t>
      </w:r>
      <w:r w:rsidR="007A4FF7">
        <w:rPr>
          <w:b w:val="0"/>
          <w:bCs w:val="0"/>
          <w:iCs/>
          <w:sz w:val="24"/>
          <w:szCs w:val="24"/>
        </w:rPr>
        <w:t>hours (</w:t>
      </w:r>
      <w:r w:rsidR="00586CE9">
        <w:rPr>
          <w:b w:val="0"/>
          <w:bCs w:val="0"/>
          <w:iCs/>
          <w:sz w:val="24"/>
          <w:szCs w:val="24"/>
        </w:rPr>
        <w:t xml:space="preserve">48 </w:t>
      </w:r>
      <w:r w:rsidR="007A4FF7">
        <w:rPr>
          <w:b w:val="0"/>
          <w:bCs w:val="0"/>
          <w:iCs/>
          <w:sz w:val="24"/>
          <w:szCs w:val="24"/>
        </w:rPr>
        <w:t>entities X</w:t>
      </w:r>
      <w:r w:rsidRPr="00555658">
        <w:rPr>
          <w:b w:val="0"/>
          <w:bCs w:val="0"/>
          <w:iCs/>
          <w:sz w:val="24"/>
          <w:szCs w:val="24"/>
        </w:rPr>
        <w:t xml:space="preserve"> </w:t>
      </w:r>
      <w:r w:rsidR="007A4FF7">
        <w:rPr>
          <w:b w:val="0"/>
          <w:bCs w:val="0"/>
          <w:iCs/>
          <w:sz w:val="24"/>
          <w:szCs w:val="24"/>
        </w:rPr>
        <w:t xml:space="preserve">0.25 hours) </w:t>
      </w:r>
      <w:r w:rsidRPr="00555658">
        <w:rPr>
          <w:b w:val="0"/>
          <w:bCs w:val="0"/>
          <w:iCs/>
          <w:sz w:val="24"/>
          <w:szCs w:val="24"/>
        </w:rPr>
        <w:t>of clerical time</w:t>
      </w:r>
      <w:r w:rsidRPr="00555658" w:rsidR="00924373">
        <w:rPr>
          <w:b w:val="0"/>
          <w:bCs w:val="0"/>
          <w:iCs/>
          <w:sz w:val="24"/>
          <w:szCs w:val="24"/>
        </w:rPr>
        <w:t xml:space="preserve"> with an equivalent cost of $</w:t>
      </w:r>
      <w:r w:rsidR="00586CE9">
        <w:rPr>
          <w:b w:val="0"/>
          <w:bCs w:val="0"/>
          <w:iCs/>
          <w:sz w:val="24"/>
          <w:szCs w:val="24"/>
        </w:rPr>
        <w:t>663</w:t>
      </w:r>
      <w:r w:rsidR="00646442">
        <w:rPr>
          <w:b w:val="0"/>
          <w:bCs w:val="0"/>
          <w:iCs/>
          <w:sz w:val="24"/>
          <w:szCs w:val="24"/>
        </w:rPr>
        <w:t xml:space="preserve"> </w:t>
      </w:r>
      <w:r w:rsidR="007A4FF7">
        <w:rPr>
          <w:b w:val="0"/>
          <w:bCs w:val="0"/>
          <w:iCs/>
          <w:sz w:val="24"/>
          <w:szCs w:val="24"/>
        </w:rPr>
        <w:t>(</w:t>
      </w:r>
      <w:r w:rsidR="00586CE9">
        <w:rPr>
          <w:b w:val="0"/>
          <w:bCs w:val="0"/>
          <w:iCs/>
          <w:sz w:val="24"/>
          <w:szCs w:val="24"/>
        </w:rPr>
        <w:t>12</w:t>
      </w:r>
      <w:r w:rsidR="00646442">
        <w:rPr>
          <w:b w:val="0"/>
          <w:bCs w:val="0"/>
          <w:iCs/>
          <w:sz w:val="24"/>
          <w:szCs w:val="24"/>
        </w:rPr>
        <w:t xml:space="preserve"> </w:t>
      </w:r>
      <w:r w:rsidR="007A4FF7">
        <w:rPr>
          <w:b w:val="0"/>
          <w:bCs w:val="0"/>
          <w:iCs/>
          <w:sz w:val="24"/>
          <w:szCs w:val="24"/>
        </w:rPr>
        <w:t>hours X $</w:t>
      </w:r>
      <w:r w:rsidR="00646442">
        <w:rPr>
          <w:b w:val="0"/>
          <w:bCs w:val="0"/>
          <w:iCs/>
          <w:sz w:val="24"/>
          <w:szCs w:val="24"/>
        </w:rPr>
        <w:t>55.23</w:t>
      </w:r>
      <w:r w:rsidR="007A4FF7">
        <w:rPr>
          <w:b w:val="0"/>
          <w:bCs w:val="0"/>
          <w:iCs/>
          <w:sz w:val="24"/>
          <w:szCs w:val="24"/>
        </w:rPr>
        <w:t>)</w:t>
      </w:r>
      <w:r w:rsidRPr="00555658">
        <w:rPr>
          <w:b w:val="0"/>
          <w:bCs w:val="0"/>
          <w:iCs/>
          <w:sz w:val="24"/>
          <w:szCs w:val="24"/>
        </w:rPr>
        <w:t>.</w:t>
      </w:r>
    </w:p>
    <w:p w:rsidRPr="004A089A" w:rsidR="009A1B15" w:rsidP="00DD2438" w:rsidRDefault="009A1B15" w14:paraId="6ACA48E6" w14:textId="77777777">
      <w:pPr>
        <w:widowControl/>
        <w:tabs>
          <w:tab w:val="left" w:pos="-1440"/>
        </w:tabs>
        <w:ind w:left="720"/>
        <w:rPr>
          <w:b w:val="0"/>
          <w:bCs w:val="0"/>
          <w:iCs/>
          <w:sz w:val="24"/>
          <w:szCs w:val="24"/>
        </w:rPr>
      </w:pPr>
    </w:p>
    <w:p w:rsidRPr="00134256" w:rsidR="009A1B15" w:rsidP="00134256" w:rsidRDefault="00606D65" w14:paraId="6D5B8E85" w14:textId="26F643FE">
      <w:pPr>
        <w:widowControl/>
        <w:tabs>
          <w:tab w:val="left" w:pos="-1440"/>
        </w:tabs>
        <w:ind w:left="720"/>
        <w:rPr>
          <w:rFonts w:hAnsi="Estrangelo Edessa"/>
          <w:b w:val="0"/>
          <w:bCs w:val="0"/>
          <w:sz w:val="24"/>
          <w:szCs w:val="24"/>
        </w:rPr>
      </w:pPr>
      <w:r>
        <w:rPr>
          <w:rFonts w:hAnsi="Estrangelo Edessa"/>
          <w:sz w:val="24"/>
          <w:szCs w:val="24"/>
        </w:rPr>
        <w:tab/>
      </w:r>
      <w:r>
        <w:rPr>
          <w:rFonts w:hAnsi="Estrangelo Edessa"/>
          <w:sz w:val="24"/>
          <w:szCs w:val="24"/>
        </w:rPr>
        <w:tab/>
      </w:r>
      <w:r w:rsidRPr="00134256" w:rsidR="009A1B15">
        <w:rPr>
          <w:rFonts w:hAnsi="Estrangelo Edessa"/>
          <w:sz w:val="24"/>
          <w:szCs w:val="24"/>
        </w:rPr>
        <w:t>Table A.1 Estimates of Total Annualized Burden</w:t>
      </w:r>
    </w:p>
    <w:p w:rsidRPr="00DF605B" w:rsidR="009A1B15" w:rsidP="009A1B15" w:rsidRDefault="009A1B15" w14:paraId="6C7784F7" w14:textId="77777777">
      <w:pPr>
        <w:widowControl/>
        <w:ind w:left="720"/>
        <w:rPr>
          <w:b w:val="0"/>
          <w:sz w:val="24"/>
          <w:szCs w:val="24"/>
        </w:rPr>
      </w:pPr>
    </w:p>
    <w:tbl>
      <w:tblPr>
        <w:tblW w:w="9960" w:type="dxa"/>
        <w:tblInd w:w="-190" w:type="dxa"/>
        <w:tblLayout w:type="fixed"/>
        <w:tblLook w:val="04A0" w:firstRow="1" w:lastRow="0" w:firstColumn="1" w:lastColumn="0" w:noHBand="0" w:noVBand="1"/>
      </w:tblPr>
      <w:tblGrid>
        <w:gridCol w:w="1530"/>
        <w:gridCol w:w="1530"/>
        <w:gridCol w:w="1260"/>
        <w:gridCol w:w="1295"/>
        <w:gridCol w:w="1136"/>
        <w:gridCol w:w="963"/>
        <w:gridCol w:w="896"/>
        <w:gridCol w:w="1350"/>
      </w:tblGrid>
      <w:tr w:rsidRPr="00DF605B" w:rsidR="004A089A" w:rsidTr="004C50BB" w14:paraId="08335F32" w14:textId="77777777">
        <w:trPr>
          <w:trHeight w:val="435"/>
        </w:trPr>
        <w:tc>
          <w:tcPr>
            <w:tcW w:w="153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F605B" w:rsidR="009A1B15" w:rsidP="008C33DE" w:rsidRDefault="009A1B15" w14:paraId="4034F34A" w14:textId="77777777">
            <w:pPr>
              <w:widowControl/>
              <w:autoSpaceDE/>
              <w:autoSpaceDN/>
              <w:adjustRightInd/>
              <w:jc w:val="center"/>
              <w:rPr>
                <w:b w:val="0"/>
                <w:bCs w:val="0"/>
                <w:color w:val="000000"/>
                <w:sz w:val="24"/>
                <w:szCs w:val="24"/>
              </w:rPr>
            </w:pPr>
            <w:r w:rsidRPr="00DF605B">
              <w:rPr>
                <w:b w:val="0"/>
                <w:color w:val="000000"/>
                <w:sz w:val="24"/>
                <w:szCs w:val="24"/>
              </w:rPr>
              <w:t>Activity</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4A662597" w14:textId="77777777">
            <w:pPr>
              <w:widowControl/>
              <w:autoSpaceDE/>
              <w:autoSpaceDN/>
              <w:adjustRightInd/>
              <w:jc w:val="center"/>
              <w:rPr>
                <w:b w:val="0"/>
                <w:bCs w:val="0"/>
                <w:color w:val="000000"/>
                <w:sz w:val="24"/>
                <w:szCs w:val="24"/>
              </w:rPr>
            </w:pPr>
            <w:r w:rsidRPr="00DF605B">
              <w:rPr>
                <w:b w:val="0"/>
                <w:color w:val="000000"/>
                <w:sz w:val="24"/>
                <w:szCs w:val="24"/>
              </w:rPr>
              <w:t>Respondents</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4BBCE52D" w14:textId="77777777">
            <w:pPr>
              <w:widowControl/>
              <w:autoSpaceDE/>
              <w:autoSpaceDN/>
              <w:adjustRightInd/>
              <w:jc w:val="center"/>
              <w:rPr>
                <w:b w:val="0"/>
                <w:bCs w:val="0"/>
                <w:color w:val="000000"/>
                <w:sz w:val="24"/>
                <w:szCs w:val="24"/>
              </w:rPr>
            </w:pPr>
            <w:r w:rsidRPr="00DF605B">
              <w:rPr>
                <w:b w:val="0"/>
                <w:color w:val="000000"/>
                <w:sz w:val="24"/>
                <w:szCs w:val="24"/>
              </w:rPr>
              <w:t>Frequency</w:t>
            </w:r>
          </w:p>
        </w:tc>
        <w:tc>
          <w:tcPr>
            <w:tcW w:w="1295"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28B0C897" w14:textId="77777777">
            <w:pPr>
              <w:widowControl/>
              <w:autoSpaceDE/>
              <w:autoSpaceDN/>
              <w:adjustRightInd/>
              <w:jc w:val="center"/>
              <w:rPr>
                <w:b w:val="0"/>
                <w:bCs w:val="0"/>
                <w:color w:val="000000"/>
                <w:sz w:val="24"/>
                <w:szCs w:val="24"/>
              </w:rPr>
            </w:pPr>
            <w:r w:rsidRPr="00DF605B">
              <w:rPr>
                <w:b w:val="0"/>
                <w:color w:val="000000"/>
                <w:sz w:val="24"/>
                <w:szCs w:val="24"/>
              </w:rPr>
              <w:t>Total Annual Responses</w:t>
            </w:r>
          </w:p>
        </w:tc>
        <w:tc>
          <w:tcPr>
            <w:tcW w:w="1136"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210C0925" w14:textId="77777777">
            <w:pPr>
              <w:widowControl/>
              <w:autoSpaceDE/>
              <w:autoSpaceDN/>
              <w:adjustRightInd/>
              <w:jc w:val="center"/>
              <w:rPr>
                <w:b w:val="0"/>
                <w:bCs w:val="0"/>
                <w:color w:val="000000"/>
                <w:sz w:val="24"/>
                <w:szCs w:val="24"/>
              </w:rPr>
            </w:pPr>
            <w:r w:rsidRPr="00DF605B">
              <w:rPr>
                <w:b w:val="0"/>
                <w:color w:val="000000"/>
                <w:sz w:val="24"/>
                <w:szCs w:val="24"/>
              </w:rPr>
              <w:t>Time Per Response</w:t>
            </w:r>
          </w:p>
        </w:tc>
        <w:tc>
          <w:tcPr>
            <w:tcW w:w="963"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65C7A46F" w14:textId="77777777">
            <w:pPr>
              <w:widowControl/>
              <w:autoSpaceDE/>
              <w:autoSpaceDN/>
              <w:adjustRightInd/>
              <w:jc w:val="center"/>
              <w:rPr>
                <w:b w:val="0"/>
                <w:bCs w:val="0"/>
                <w:color w:val="000000"/>
                <w:sz w:val="24"/>
                <w:szCs w:val="24"/>
              </w:rPr>
            </w:pPr>
            <w:r w:rsidRPr="00DF605B">
              <w:rPr>
                <w:b w:val="0"/>
                <w:color w:val="000000"/>
                <w:sz w:val="24"/>
                <w:szCs w:val="24"/>
              </w:rPr>
              <w:t>Total Annual Burden (Hours)</w:t>
            </w:r>
          </w:p>
        </w:tc>
        <w:tc>
          <w:tcPr>
            <w:tcW w:w="896"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36FC27EB" w14:textId="77777777">
            <w:pPr>
              <w:widowControl/>
              <w:autoSpaceDE/>
              <w:autoSpaceDN/>
              <w:adjustRightInd/>
              <w:jc w:val="center"/>
              <w:rPr>
                <w:b w:val="0"/>
                <w:bCs w:val="0"/>
                <w:color w:val="000000"/>
                <w:sz w:val="24"/>
                <w:szCs w:val="24"/>
              </w:rPr>
            </w:pPr>
            <w:r w:rsidRPr="00DF605B">
              <w:rPr>
                <w:b w:val="0"/>
                <w:color w:val="000000"/>
                <w:sz w:val="24"/>
                <w:szCs w:val="24"/>
              </w:rPr>
              <w:t>Hourly Rate*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DF605B" w:rsidR="009A1B15" w:rsidP="008C33DE" w:rsidRDefault="009A1B15" w14:paraId="029423F0" w14:textId="77777777">
            <w:pPr>
              <w:widowControl/>
              <w:autoSpaceDE/>
              <w:autoSpaceDN/>
              <w:adjustRightInd/>
              <w:jc w:val="center"/>
              <w:rPr>
                <w:b w:val="0"/>
                <w:bCs w:val="0"/>
                <w:color w:val="000000"/>
                <w:sz w:val="24"/>
                <w:szCs w:val="24"/>
              </w:rPr>
            </w:pPr>
            <w:r w:rsidRPr="00DF605B">
              <w:rPr>
                <w:b w:val="0"/>
                <w:color w:val="000000"/>
                <w:sz w:val="24"/>
                <w:szCs w:val="24"/>
              </w:rPr>
              <w:t>Monetized Value of Respondent Time</w:t>
            </w:r>
          </w:p>
        </w:tc>
      </w:tr>
      <w:tr w:rsidRPr="00DF605B" w:rsidR="004A089A" w:rsidTr="004C50BB" w14:paraId="79ED3AB6" w14:textId="77777777">
        <w:trPr>
          <w:trHeight w:val="465"/>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DF605B" w:rsidR="009A1B15" w:rsidP="008C33DE" w:rsidRDefault="1AACE986" w14:paraId="35D7ACB3" w14:textId="7F534D85">
            <w:pPr>
              <w:widowControl/>
              <w:autoSpaceDE/>
              <w:autoSpaceDN/>
              <w:adjustRightInd/>
              <w:jc w:val="center"/>
              <w:rPr>
                <w:b w:val="0"/>
                <w:color w:val="000000"/>
                <w:sz w:val="24"/>
                <w:szCs w:val="24"/>
              </w:rPr>
            </w:pPr>
            <w:r w:rsidRPr="00DF605B">
              <w:rPr>
                <w:b w:val="0"/>
                <w:color w:val="000000"/>
                <w:sz w:val="24"/>
                <w:szCs w:val="24"/>
              </w:rPr>
              <w:t>GINA</w:t>
            </w:r>
          </w:p>
        </w:tc>
        <w:tc>
          <w:tcPr>
            <w:tcW w:w="1530"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2E092DF4" w14:textId="3421295B">
            <w:pPr>
              <w:widowControl/>
              <w:autoSpaceDE/>
              <w:autoSpaceDN/>
              <w:adjustRightInd/>
              <w:jc w:val="center"/>
              <w:rPr>
                <w:b w:val="0"/>
                <w:color w:val="000000"/>
                <w:sz w:val="24"/>
                <w:szCs w:val="24"/>
              </w:rPr>
            </w:pPr>
            <w:r w:rsidRPr="00DF605B">
              <w:rPr>
                <w:b w:val="0"/>
                <w:color w:val="000000"/>
                <w:sz w:val="24"/>
                <w:szCs w:val="24"/>
              </w:rPr>
              <w:t>48</w:t>
            </w:r>
          </w:p>
        </w:tc>
        <w:tc>
          <w:tcPr>
            <w:tcW w:w="1260"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9A1B15" w14:paraId="3134B984" w14:textId="77777777">
            <w:pPr>
              <w:widowControl/>
              <w:autoSpaceDE/>
              <w:autoSpaceDN/>
              <w:adjustRightInd/>
              <w:jc w:val="center"/>
              <w:rPr>
                <w:b w:val="0"/>
                <w:color w:val="000000"/>
                <w:sz w:val="24"/>
                <w:szCs w:val="24"/>
              </w:rPr>
            </w:pPr>
            <w:r w:rsidRPr="00DF605B">
              <w:rPr>
                <w:b w:val="0"/>
                <w:color w:val="000000"/>
                <w:sz w:val="24"/>
                <w:szCs w:val="24"/>
              </w:rPr>
              <w:t>1</w:t>
            </w:r>
          </w:p>
        </w:tc>
        <w:tc>
          <w:tcPr>
            <w:tcW w:w="1295"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4EBDC88E" w14:textId="773C49FE">
            <w:pPr>
              <w:widowControl/>
              <w:autoSpaceDE/>
              <w:autoSpaceDN/>
              <w:adjustRightInd/>
              <w:jc w:val="center"/>
              <w:rPr>
                <w:b w:val="0"/>
                <w:color w:val="000000"/>
                <w:sz w:val="24"/>
                <w:szCs w:val="24"/>
              </w:rPr>
            </w:pPr>
            <w:r w:rsidRPr="00DF605B">
              <w:rPr>
                <w:b w:val="0"/>
                <w:color w:val="000000"/>
                <w:sz w:val="24"/>
                <w:szCs w:val="24"/>
              </w:rPr>
              <w:t>48</w:t>
            </w:r>
          </w:p>
        </w:tc>
        <w:tc>
          <w:tcPr>
            <w:tcW w:w="1136"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646442" w14:paraId="61C3D3FD" w14:textId="289B8083">
            <w:pPr>
              <w:widowControl/>
              <w:autoSpaceDE/>
              <w:autoSpaceDN/>
              <w:adjustRightInd/>
              <w:jc w:val="center"/>
              <w:rPr>
                <w:b w:val="0"/>
                <w:color w:val="000000"/>
                <w:sz w:val="24"/>
                <w:szCs w:val="24"/>
              </w:rPr>
            </w:pPr>
            <w:r w:rsidRPr="00DF605B">
              <w:rPr>
                <w:b w:val="0"/>
                <w:color w:val="000000"/>
                <w:sz w:val="24"/>
                <w:szCs w:val="24"/>
              </w:rPr>
              <w:t>0</w:t>
            </w:r>
            <w:r w:rsidRPr="00DF605B" w:rsidR="009A1B15">
              <w:rPr>
                <w:b w:val="0"/>
                <w:color w:val="000000"/>
                <w:sz w:val="24"/>
                <w:szCs w:val="24"/>
              </w:rPr>
              <w:t>.25</w:t>
            </w:r>
          </w:p>
        </w:tc>
        <w:tc>
          <w:tcPr>
            <w:tcW w:w="963"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30A87A09" w14:textId="5EEF8F7B">
            <w:pPr>
              <w:widowControl/>
              <w:autoSpaceDE/>
              <w:autoSpaceDN/>
              <w:adjustRightInd/>
              <w:jc w:val="center"/>
              <w:rPr>
                <w:b w:val="0"/>
                <w:color w:val="000000"/>
                <w:sz w:val="24"/>
                <w:szCs w:val="24"/>
              </w:rPr>
            </w:pPr>
            <w:r w:rsidRPr="00DF605B">
              <w:rPr>
                <w:b w:val="0"/>
                <w:color w:val="000000"/>
                <w:sz w:val="24"/>
                <w:szCs w:val="24"/>
              </w:rPr>
              <w:t>12</w:t>
            </w:r>
          </w:p>
        </w:tc>
        <w:tc>
          <w:tcPr>
            <w:tcW w:w="896" w:type="dxa"/>
            <w:tcBorders>
              <w:top w:val="nil"/>
              <w:left w:val="nil"/>
              <w:bottom w:val="single" w:color="auto" w:sz="8" w:space="0"/>
              <w:right w:val="single" w:color="auto" w:sz="8" w:space="0"/>
            </w:tcBorders>
            <w:shd w:val="clear" w:color="auto" w:fill="auto"/>
            <w:vAlign w:val="center"/>
            <w:hideMark/>
          </w:tcPr>
          <w:p w:rsidRPr="00DF605B" w:rsidR="009A1B15" w:rsidP="00646442" w:rsidRDefault="009A1B15" w14:paraId="4A5E7F0A" w14:textId="1DD9D0E9">
            <w:pPr>
              <w:widowControl/>
              <w:autoSpaceDE/>
              <w:autoSpaceDN/>
              <w:adjustRightInd/>
              <w:jc w:val="center"/>
              <w:rPr>
                <w:b w:val="0"/>
                <w:color w:val="000000"/>
                <w:sz w:val="24"/>
                <w:szCs w:val="24"/>
              </w:rPr>
            </w:pPr>
            <w:r w:rsidRPr="00DF605B">
              <w:rPr>
                <w:b w:val="0"/>
                <w:color w:val="000000"/>
                <w:sz w:val="24"/>
                <w:szCs w:val="24"/>
              </w:rPr>
              <w:t>$</w:t>
            </w:r>
            <w:r w:rsidRPr="00DF605B" w:rsidR="00646442">
              <w:rPr>
                <w:b w:val="0"/>
                <w:color w:val="000000"/>
                <w:sz w:val="24"/>
                <w:szCs w:val="24"/>
              </w:rPr>
              <w:t>55.23</w:t>
            </w:r>
            <w:r w:rsidRPr="00DF605B">
              <w:rPr>
                <w:b w:val="0"/>
                <w:color w:val="000000"/>
                <w:sz w:val="24"/>
                <w:szCs w:val="24"/>
              </w:rPr>
              <w:t xml:space="preserve"> </w:t>
            </w:r>
          </w:p>
        </w:tc>
        <w:tc>
          <w:tcPr>
            <w:tcW w:w="1350" w:type="dxa"/>
            <w:tcBorders>
              <w:top w:val="nil"/>
              <w:left w:val="nil"/>
              <w:bottom w:val="single" w:color="auto" w:sz="8" w:space="0"/>
              <w:right w:val="single" w:color="auto" w:sz="8" w:space="0"/>
            </w:tcBorders>
            <w:shd w:val="clear" w:color="auto" w:fill="auto"/>
            <w:vAlign w:val="center"/>
            <w:hideMark/>
          </w:tcPr>
          <w:p w:rsidRPr="00DF605B" w:rsidR="009A1B15" w:rsidP="00586CE9" w:rsidRDefault="009A1B15" w14:paraId="263C7F52" w14:textId="3353C448">
            <w:pPr>
              <w:widowControl/>
              <w:autoSpaceDE/>
              <w:autoSpaceDN/>
              <w:adjustRightInd/>
              <w:jc w:val="center"/>
              <w:rPr>
                <w:b w:val="0"/>
                <w:color w:val="000000"/>
                <w:sz w:val="24"/>
                <w:szCs w:val="24"/>
              </w:rPr>
            </w:pPr>
            <w:r w:rsidRPr="00DF605B">
              <w:rPr>
                <w:b w:val="0"/>
                <w:color w:val="000000"/>
                <w:sz w:val="24"/>
                <w:szCs w:val="24"/>
              </w:rPr>
              <w:t>$</w:t>
            </w:r>
            <w:r w:rsidRPr="00DF605B" w:rsidR="00586CE9">
              <w:rPr>
                <w:b w:val="0"/>
                <w:color w:val="000000"/>
                <w:sz w:val="24"/>
                <w:szCs w:val="24"/>
              </w:rPr>
              <w:t>663</w:t>
            </w:r>
          </w:p>
        </w:tc>
      </w:tr>
      <w:tr w:rsidRPr="00DF605B" w:rsidR="004A089A" w:rsidTr="004C50BB" w14:paraId="67696062" w14:textId="77777777">
        <w:trPr>
          <w:trHeight w:val="465"/>
        </w:trPr>
        <w:tc>
          <w:tcPr>
            <w:tcW w:w="1530" w:type="dxa"/>
            <w:tcBorders>
              <w:top w:val="nil"/>
              <w:left w:val="single" w:color="auto" w:sz="8" w:space="0"/>
              <w:bottom w:val="single" w:color="auto" w:sz="8" w:space="0"/>
              <w:right w:val="single" w:color="auto" w:sz="8" w:space="0"/>
            </w:tcBorders>
            <w:shd w:val="clear" w:color="auto" w:fill="auto"/>
            <w:vAlign w:val="center"/>
            <w:hideMark/>
          </w:tcPr>
          <w:p w:rsidRPr="00DF605B" w:rsidR="009A1B15" w:rsidRDefault="009A1B15" w14:paraId="1CF254BA" w14:textId="77777777">
            <w:pPr>
              <w:widowControl/>
              <w:autoSpaceDE/>
              <w:autoSpaceDN/>
              <w:adjustRightInd/>
              <w:jc w:val="center"/>
              <w:rPr>
                <w:b w:val="0"/>
                <w:bCs w:val="0"/>
                <w:i/>
                <w:iCs/>
                <w:color w:val="000000"/>
                <w:sz w:val="24"/>
                <w:szCs w:val="24"/>
              </w:rPr>
            </w:pPr>
            <w:r w:rsidRPr="00DF605B">
              <w:rPr>
                <w:b w:val="0"/>
                <w:i/>
                <w:iCs/>
                <w:color w:val="000000"/>
                <w:sz w:val="24"/>
                <w:szCs w:val="24"/>
              </w:rPr>
              <w:t>Unduplicated Totals</w:t>
            </w:r>
          </w:p>
        </w:tc>
        <w:tc>
          <w:tcPr>
            <w:tcW w:w="1530"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17A919BF" w14:textId="2F9DD0A7">
            <w:pPr>
              <w:widowControl/>
              <w:autoSpaceDE/>
              <w:autoSpaceDN/>
              <w:adjustRightInd/>
              <w:jc w:val="center"/>
              <w:rPr>
                <w:b w:val="0"/>
                <w:i/>
                <w:color w:val="000000"/>
                <w:sz w:val="24"/>
                <w:szCs w:val="24"/>
              </w:rPr>
            </w:pPr>
            <w:r w:rsidRPr="00DF605B">
              <w:rPr>
                <w:b w:val="0"/>
                <w:i/>
                <w:color w:val="000000"/>
                <w:sz w:val="24"/>
                <w:szCs w:val="24"/>
              </w:rPr>
              <w:t>48</w:t>
            </w:r>
          </w:p>
        </w:tc>
        <w:tc>
          <w:tcPr>
            <w:tcW w:w="1260"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393120" w14:paraId="4D4D7460" w14:textId="545A6FFB">
            <w:pPr>
              <w:widowControl/>
              <w:autoSpaceDE/>
              <w:autoSpaceDN/>
              <w:adjustRightInd/>
              <w:jc w:val="center"/>
              <w:rPr>
                <w:b w:val="0"/>
                <w:i/>
                <w:color w:val="000000"/>
                <w:sz w:val="24"/>
                <w:szCs w:val="24"/>
              </w:rPr>
            </w:pPr>
            <w:r w:rsidRPr="00DF605B">
              <w:rPr>
                <w:b w:val="0"/>
                <w:i/>
                <w:color w:val="000000"/>
                <w:sz w:val="24"/>
                <w:szCs w:val="24"/>
              </w:rPr>
              <w:t>1</w:t>
            </w:r>
          </w:p>
        </w:tc>
        <w:tc>
          <w:tcPr>
            <w:tcW w:w="1295"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2F76655C" w14:textId="2C86DDCE">
            <w:pPr>
              <w:widowControl/>
              <w:autoSpaceDE/>
              <w:autoSpaceDN/>
              <w:adjustRightInd/>
              <w:jc w:val="center"/>
              <w:rPr>
                <w:b w:val="0"/>
                <w:i/>
                <w:color w:val="000000"/>
                <w:sz w:val="24"/>
                <w:szCs w:val="24"/>
              </w:rPr>
            </w:pPr>
            <w:r w:rsidRPr="00DF605B">
              <w:rPr>
                <w:b w:val="0"/>
                <w:i/>
                <w:color w:val="000000"/>
                <w:sz w:val="24"/>
                <w:szCs w:val="24"/>
              </w:rPr>
              <w:t>48</w:t>
            </w:r>
          </w:p>
        </w:tc>
        <w:tc>
          <w:tcPr>
            <w:tcW w:w="1136"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393120" w14:paraId="6C1B5622" w14:textId="4CF7F7B6">
            <w:pPr>
              <w:widowControl/>
              <w:autoSpaceDE/>
              <w:autoSpaceDN/>
              <w:adjustRightInd/>
              <w:jc w:val="center"/>
              <w:rPr>
                <w:b w:val="0"/>
                <w:i/>
                <w:color w:val="000000"/>
                <w:sz w:val="24"/>
                <w:szCs w:val="24"/>
              </w:rPr>
            </w:pPr>
            <w:r w:rsidRPr="00DF605B">
              <w:rPr>
                <w:b w:val="0"/>
                <w:i/>
                <w:color w:val="000000"/>
                <w:sz w:val="24"/>
                <w:szCs w:val="24"/>
              </w:rPr>
              <w:t>0.25</w:t>
            </w:r>
          </w:p>
        </w:tc>
        <w:tc>
          <w:tcPr>
            <w:tcW w:w="963"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586CE9" w14:paraId="6FC43CC7" w14:textId="5FE6CCB8">
            <w:pPr>
              <w:widowControl/>
              <w:autoSpaceDE/>
              <w:autoSpaceDN/>
              <w:adjustRightInd/>
              <w:jc w:val="center"/>
              <w:rPr>
                <w:b w:val="0"/>
                <w:i/>
                <w:color w:val="000000"/>
                <w:sz w:val="24"/>
                <w:szCs w:val="24"/>
              </w:rPr>
            </w:pPr>
            <w:r w:rsidRPr="00DF605B">
              <w:rPr>
                <w:b w:val="0"/>
                <w:i/>
                <w:color w:val="000000"/>
                <w:sz w:val="24"/>
                <w:szCs w:val="24"/>
              </w:rPr>
              <w:t>12</w:t>
            </w:r>
          </w:p>
        </w:tc>
        <w:tc>
          <w:tcPr>
            <w:tcW w:w="896" w:type="dxa"/>
            <w:tcBorders>
              <w:top w:val="nil"/>
              <w:left w:val="nil"/>
              <w:bottom w:val="single" w:color="auto" w:sz="8" w:space="0"/>
              <w:right w:val="single" w:color="auto" w:sz="8" w:space="0"/>
            </w:tcBorders>
            <w:shd w:val="clear" w:color="auto" w:fill="auto"/>
            <w:vAlign w:val="center"/>
            <w:hideMark/>
          </w:tcPr>
          <w:p w:rsidRPr="00DF605B" w:rsidR="009A1B15" w:rsidP="008C33DE" w:rsidRDefault="009A1B15" w14:paraId="565C83D2" w14:textId="77777777">
            <w:pPr>
              <w:widowControl/>
              <w:autoSpaceDE/>
              <w:autoSpaceDN/>
              <w:adjustRightInd/>
              <w:jc w:val="center"/>
              <w:rPr>
                <w:b w:val="0"/>
                <w:i/>
                <w:color w:val="000000"/>
                <w:sz w:val="24"/>
                <w:szCs w:val="24"/>
              </w:rPr>
            </w:pPr>
            <w:r w:rsidRPr="00DF605B">
              <w:rPr>
                <w:b w:val="0"/>
                <w:i/>
                <w:color w:val="000000"/>
                <w:sz w:val="24"/>
                <w:szCs w:val="24"/>
              </w:rPr>
              <w:t>--</w:t>
            </w:r>
          </w:p>
        </w:tc>
        <w:tc>
          <w:tcPr>
            <w:tcW w:w="1350" w:type="dxa"/>
            <w:tcBorders>
              <w:top w:val="nil"/>
              <w:left w:val="nil"/>
              <w:bottom w:val="single" w:color="auto" w:sz="8" w:space="0"/>
              <w:right w:val="single" w:color="auto" w:sz="8" w:space="0"/>
            </w:tcBorders>
            <w:shd w:val="clear" w:color="auto" w:fill="auto"/>
            <w:vAlign w:val="center"/>
            <w:hideMark/>
          </w:tcPr>
          <w:p w:rsidRPr="00DF605B" w:rsidR="009A1B15" w:rsidP="00586CE9" w:rsidRDefault="00250F60" w14:paraId="3639EDED" w14:textId="5F45C102">
            <w:pPr>
              <w:widowControl/>
              <w:autoSpaceDE/>
              <w:autoSpaceDN/>
              <w:adjustRightInd/>
              <w:jc w:val="center"/>
              <w:rPr>
                <w:b w:val="0"/>
                <w:bCs w:val="0"/>
                <w:i/>
                <w:iCs/>
                <w:color w:val="000000"/>
                <w:sz w:val="24"/>
                <w:szCs w:val="24"/>
              </w:rPr>
            </w:pPr>
            <w:r w:rsidRPr="00DF605B">
              <w:rPr>
                <w:b w:val="0"/>
                <w:i/>
                <w:iCs/>
                <w:color w:val="000000"/>
                <w:sz w:val="24"/>
                <w:szCs w:val="24"/>
              </w:rPr>
              <w:t>$</w:t>
            </w:r>
            <w:r w:rsidRPr="00DF605B" w:rsidR="00586CE9">
              <w:rPr>
                <w:b w:val="0"/>
                <w:i/>
                <w:iCs/>
                <w:color w:val="000000"/>
                <w:sz w:val="24"/>
                <w:szCs w:val="24"/>
              </w:rPr>
              <w:t>663</w:t>
            </w:r>
          </w:p>
        </w:tc>
      </w:tr>
    </w:tbl>
    <w:p w:rsidRPr="008665EB" w:rsidR="00EB5A4E" w:rsidP="00DD2438" w:rsidRDefault="00EB5A4E" w14:paraId="28B79E39" w14:textId="77777777">
      <w:pPr>
        <w:widowControl/>
        <w:tabs>
          <w:tab w:val="left" w:pos="-1440"/>
        </w:tabs>
        <w:ind w:left="720"/>
        <w:rPr>
          <w:b w:val="0"/>
          <w:bCs w:val="0"/>
          <w:iCs/>
          <w:color w:val="000000"/>
          <w:sz w:val="24"/>
          <w:szCs w:val="24"/>
        </w:rPr>
      </w:pPr>
    </w:p>
    <w:p w:rsidRPr="0098442C" w:rsidR="0098442C" w:rsidP="0098442C" w:rsidRDefault="0098442C" w14:paraId="3B971A3E" w14:textId="447013A9">
      <w:pPr>
        <w:pStyle w:val="ListParagraph"/>
        <w:widowControl/>
        <w:numPr>
          <w:ilvl w:val="0"/>
          <w:numId w:val="25"/>
        </w:numPr>
        <w:tabs>
          <w:tab w:val="left" w:pos="-1440"/>
        </w:tabs>
        <w:ind w:hanging="720"/>
        <w:rPr>
          <w:iCs/>
          <w:color w:val="000000"/>
          <w:sz w:val="24"/>
          <w:szCs w:val="24"/>
        </w:rPr>
      </w:pPr>
      <w:r w:rsidRPr="0098442C">
        <w:rPr>
          <w:iCs/>
          <w:color w:val="000000"/>
          <w:sz w:val="24"/>
          <w:szCs w:val="24"/>
        </w:rPr>
        <w:t xml:space="preserve">Provide an estimate of the total annual cost burden to respondents or record  </w:t>
      </w:r>
    </w:p>
    <w:p w:rsidRPr="0098442C" w:rsidR="0098442C" w:rsidP="0098442C" w:rsidRDefault="0098442C" w14:paraId="2ED6A2F4" w14:textId="77777777">
      <w:pPr>
        <w:widowControl/>
        <w:tabs>
          <w:tab w:val="left" w:pos="-1440"/>
        </w:tabs>
        <w:ind w:left="720"/>
        <w:rPr>
          <w:iCs/>
          <w:color w:val="000000"/>
          <w:sz w:val="24"/>
          <w:szCs w:val="24"/>
        </w:rPr>
      </w:pPr>
      <w:r w:rsidRPr="0098442C">
        <w:rPr>
          <w:iCs/>
          <w:color w:val="000000"/>
          <w:sz w:val="24"/>
          <w:szCs w:val="24"/>
        </w:rPr>
        <w:t>keepers resulting from the collection of information.  (Do not include the cost of any hour burden shown in Items 12 or 14).</w:t>
      </w:r>
    </w:p>
    <w:p w:rsidRPr="0098442C" w:rsidR="0098442C" w:rsidP="0098442C" w:rsidRDefault="0098442C" w14:paraId="7B3629BA" w14:textId="77777777">
      <w:pPr>
        <w:widowControl/>
        <w:numPr>
          <w:ilvl w:val="0"/>
          <w:numId w:val="29"/>
        </w:numPr>
        <w:tabs>
          <w:tab w:val="left" w:pos="-1440"/>
        </w:tabs>
        <w:rPr>
          <w:iCs/>
          <w:color w:val="000000"/>
          <w:sz w:val="24"/>
          <w:szCs w:val="24"/>
        </w:rPr>
      </w:pPr>
      <w:r w:rsidRPr="0098442C">
        <w:rPr>
          <w:iCs/>
          <w:color w:val="000000"/>
          <w:sz w:val="24"/>
          <w:szCs w:val="24"/>
        </w:rPr>
        <w:t>The cost estimate should be split into 2 components</w:t>
      </w:r>
      <w:proofErr w:type="gramStart"/>
      <w:r w:rsidRPr="0098442C">
        <w:rPr>
          <w:iCs/>
          <w:color w:val="000000"/>
          <w:sz w:val="24"/>
          <w:szCs w:val="24"/>
        </w:rPr>
        <w:t>:  (</w:t>
      </w:r>
      <w:proofErr w:type="gramEnd"/>
      <w:r w:rsidRPr="0098442C">
        <w:rPr>
          <w:iCs/>
          <w:color w:val="000000"/>
          <w:sz w:val="24"/>
          <w:szCs w:val="24"/>
        </w:rPr>
        <w:t>a) a total capital and </w:t>
      </w:r>
      <w:proofErr w:type="spellStart"/>
      <w:r w:rsidRPr="0098442C">
        <w:rPr>
          <w:iCs/>
          <w:color w:val="000000"/>
          <w:sz w:val="24"/>
          <w:szCs w:val="24"/>
        </w:rPr>
        <w:t>start up</w:t>
      </w:r>
      <w:proofErr w:type="spellEnd"/>
      <w:r w:rsidRPr="0098442C">
        <w:rPr>
          <w:iCs/>
          <w:color w:val="000000"/>
          <w:sz w:val="24"/>
          <w:szCs w:val="24"/>
        </w:rPr>
        <w:t xml:space="preserve"> cost component (annualized over its expected useful life); and (b) a total operation and maintenance and purchase of service component.  The estimates should </w:t>
      </w:r>
      <w:proofErr w:type="gramStart"/>
      <w:r w:rsidRPr="0098442C">
        <w:rPr>
          <w:iCs/>
          <w:color w:val="000000"/>
          <w:sz w:val="24"/>
          <w:szCs w:val="24"/>
        </w:rPr>
        <w:t>take into account</w:t>
      </w:r>
      <w:proofErr w:type="gramEnd"/>
      <w:r w:rsidRPr="0098442C">
        <w:rPr>
          <w:iCs/>
          <w:color w:val="000000"/>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98442C">
        <w:rPr>
          <w:iCs/>
          <w:color w:val="000000"/>
          <w:sz w:val="24"/>
          <w:szCs w:val="24"/>
        </w:rPr>
        <w:t>time period</w:t>
      </w:r>
      <w:proofErr w:type="gramEnd"/>
      <w:r w:rsidRPr="0098442C">
        <w:rPr>
          <w:iCs/>
          <w:color w:val="000000"/>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98442C">
        <w:rPr>
          <w:iCs/>
          <w:color w:val="000000"/>
          <w:sz w:val="24"/>
          <w:szCs w:val="24"/>
        </w:rPr>
        <w:t>drilling</w:t>
      </w:r>
      <w:proofErr w:type="gramEnd"/>
      <w:r w:rsidRPr="0098442C">
        <w:rPr>
          <w:iCs/>
          <w:color w:val="000000"/>
          <w:sz w:val="24"/>
          <w:szCs w:val="24"/>
        </w:rPr>
        <w:t xml:space="preserve"> and testing equipment; and record storage facilities. </w:t>
      </w:r>
    </w:p>
    <w:p w:rsidRPr="0098442C" w:rsidR="0098442C" w:rsidP="0098442C" w:rsidRDefault="0098442C" w14:paraId="67EBC286" w14:textId="77777777">
      <w:pPr>
        <w:widowControl/>
        <w:numPr>
          <w:ilvl w:val="0"/>
          <w:numId w:val="29"/>
        </w:numPr>
        <w:tabs>
          <w:tab w:val="left" w:pos="-1440"/>
        </w:tabs>
        <w:rPr>
          <w:iCs/>
          <w:color w:val="000000"/>
          <w:sz w:val="24"/>
          <w:szCs w:val="24"/>
        </w:rPr>
      </w:pPr>
      <w:r w:rsidRPr="0098442C">
        <w:rPr>
          <w:iCs/>
          <w:color w:val="000000"/>
          <w:sz w:val="24"/>
          <w:szCs w:val="24"/>
        </w:rPr>
        <w:t xml:space="preserve">If cost estimates are expected to vary widely, agencies should present ranges of cost burdens and explain the reasons for the variance.  The cost of </w:t>
      </w:r>
      <w:r w:rsidRPr="0098442C">
        <w:rPr>
          <w:iCs/>
          <w:color w:val="000000"/>
          <w:sz w:val="24"/>
          <w:szCs w:val="24"/>
        </w:rPr>
        <w:lastRenderedPageBreak/>
        <w:t xml:space="preserve">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8442C">
        <w:rPr>
          <w:iCs/>
          <w:color w:val="000000"/>
          <w:sz w:val="24"/>
          <w:szCs w:val="24"/>
        </w:rPr>
        <w:t>process</w:t>
      </w:r>
      <w:proofErr w:type="gramEnd"/>
      <w:r w:rsidRPr="0098442C">
        <w:rPr>
          <w:iCs/>
          <w:color w:val="000000"/>
          <w:sz w:val="24"/>
          <w:szCs w:val="24"/>
        </w:rPr>
        <w:t xml:space="preserve"> and use existing economic or regulatory impact analysis associated with the rulemaking containing the information collection, as appropriate. </w:t>
      </w:r>
    </w:p>
    <w:p w:rsidRPr="0098442C" w:rsidR="0098442C" w:rsidP="0098442C" w:rsidRDefault="0098442C" w14:paraId="5A92758E" w14:textId="77777777">
      <w:pPr>
        <w:widowControl/>
        <w:numPr>
          <w:ilvl w:val="0"/>
          <w:numId w:val="29"/>
        </w:numPr>
        <w:tabs>
          <w:tab w:val="left" w:pos="-1440"/>
        </w:tabs>
        <w:rPr>
          <w:iCs/>
          <w:color w:val="000000"/>
          <w:sz w:val="24"/>
          <w:szCs w:val="24"/>
        </w:rPr>
      </w:pPr>
      <w:r w:rsidRPr="0098442C">
        <w:rPr>
          <w:iCs/>
          <w:color w:val="00000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555658" w:rsidR="00EB5A4E" w:rsidP="0033102B" w:rsidRDefault="00EB5A4E" w14:paraId="072BBE92" w14:textId="77777777">
      <w:pPr>
        <w:widowControl/>
        <w:tabs>
          <w:tab w:val="left" w:pos="-1440"/>
        </w:tabs>
        <w:ind w:left="720"/>
        <w:rPr>
          <w:b w:val="0"/>
          <w:bCs w:val="0"/>
          <w:iCs/>
          <w:sz w:val="24"/>
          <w:szCs w:val="24"/>
        </w:rPr>
      </w:pPr>
    </w:p>
    <w:p w:rsidRPr="0042094C" w:rsidR="009A1B15" w:rsidP="0042094C" w:rsidRDefault="0042094C" w14:paraId="07DCAD3E" w14:textId="19596C56">
      <w:pPr>
        <w:widowControl/>
        <w:tabs>
          <w:tab w:val="left" w:pos="-1440"/>
        </w:tabs>
        <w:ind w:left="720"/>
        <w:rPr>
          <w:b w:val="0"/>
          <w:sz w:val="24"/>
          <w:szCs w:val="24"/>
        </w:rPr>
      </w:pPr>
      <w:r>
        <w:rPr>
          <w:b w:val="0"/>
          <w:bCs w:val="0"/>
          <w:sz w:val="24"/>
          <w:szCs w:val="24"/>
        </w:rPr>
        <w:t>T</w:t>
      </w:r>
      <w:r w:rsidRPr="0042094C">
        <w:rPr>
          <w:b w:val="0"/>
          <w:bCs w:val="0"/>
          <w:sz w:val="24"/>
          <w:szCs w:val="24"/>
        </w:rPr>
        <w:t>he Department assumes a distribution cost of on average $</w:t>
      </w:r>
      <w:r>
        <w:rPr>
          <w:b w:val="0"/>
          <w:bCs w:val="0"/>
          <w:sz w:val="24"/>
          <w:szCs w:val="24"/>
        </w:rPr>
        <w:t>3.85</w:t>
      </w:r>
      <w:r w:rsidR="00BE26BD">
        <w:rPr>
          <w:b w:val="0"/>
          <w:bCs w:val="0"/>
          <w:sz w:val="24"/>
          <w:szCs w:val="24"/>
        </w:rPr>
        <w:t xml:space="preserve"> per notice</w:t>
      </w:r>
      <w:r>
        <w:rPr>
          <w:b w:val="0"/>
          <w:bCs w:val="0"/>
          <w:sz w:val="24"/>
          <w:szCs w:val="24"/>
        </w:rPr>
        <w:t xml:space="preserve"> ($3.75 + $0.05 x 2 pages)</w:t>
      </w:r>
      <w:r w:rsidRPr="0042094C">
        <w:rPr>
          <w:b w:val="0"/>
          <w:bCs w:val="0"/>
          <w:sz w:val="24"/>
          <w:szCs w:val="24"/>
        </w:rPr>
        <w:t xml:space="preserve">. </w:t>
      </w:r>
      <w:r>
        <w:rPr>
          <w:b w:val="0"/>
          <w:bCs w:val="0"/>
          <w:sz w:val="24"/>
          <w:szCs w:val="24"/>
        </w:rPr>
        <w:t xml:space="preserve"> </w:t>
      </w:r>
      <w:r w:rsidRPr="0042094C">
        <w:rPr>
          <w:b w:val="0"/>
          <w:bCs w:val="0"/>
          <w:sz w:val="24"/>
          <w:szCs w:val="24"/>
        </w:rPr>
        <w:t xml:space="preserve">This includes the actual cost of distribution, </w:t>
      </w:r>
      <w:r>
        <w:rPr>
          <w:b w:val="0"/>
          <w:bCs w:val="0"/>
          <w:sz w:val="24"/>
          <w:szCs w:val="24"/>
        </w:rPr>
        <w:t>which is $3</w:t>
      </w:r>
      <w:r w:rsidRPr="0042094C">
        <w:rPr>
          <w:b w:val="0"/>
          <w:bCs w:val="0"/>
          <w:sz w:val="24"/>
          <w:szCs w:val="24"/>
        </w:rPr>
        <w:t>.75,</w:t>
      </w:r>
      <w:r w:rsidRPr="0042094C">
        <w:rPr>
          <w:b w:val="0"/>
          <w:bCs w:val="0"/>
          <w:sz w:val="24"/>
          <w:szCs w:val="24"/>
          <w:vertAlign w:val="superscript"/>
        </w:rPr>
        <w:footnoteReference w:id="2"/>
      </w:r>
      <w:r w:rsidRPr="0042094C">
        <w:rPr>
          <w:b w:val="0"/>
          <w:bCs w:val="0"/>
          <w:sz w:val="24"/>
          <w:szCs w:val="24"/>
        </w:rPr>
        <w:t xml:space="preserve"> plus any overhead costs associated with printing the documentation</w:t>
      </w:r>
      <w:r>
        <w:rPr>
          <w:b w:val="0"/>
          <w:bCs w:val="0"/>
          <w:sz w:val="24"/>
          <w:szCs w:val="24"/>
        </w:rPr>
        <w:t xml:space="preserve">.  </w:t>
      </w:r>
      <w:r w:rsidRPr="0042094C">
        <w:rPr>
          <w:b w:val="0"/>
          <w:sz w:val="24"/>
          <w:szCs w:val="24"/>
        </w:rPr>
        <w:t>The Department assumes material and printing cost is $0.05</w:t>
      </w:r>
      <w:r>
        <w:rPr>
          <w:b w:val="0"/>
          <w:sz w:val="24"/>
          <w:szCs w:val="24"/>
        </w:rPr>
        <w:t xml:space="preserve"> and that the notice is approximately two pages.  Thus, </w:t>
      </w:r>
      <w:r>
        <w:rPr>
          <w:b w:val="0"/>
          <w:bCs w:val="0"/>
          <w:sz w:val="24"/>
          <w:szCs w:val="24"/>
        </w:rPr>
        <w:t>t</w:t>
      </w:r>
      <w:r w:rsidRPr="00607563" w:rsidR="00FA42C1">
        <w:rPr>
          <w:b w:val="0"/>
          <w:bCs w:val="0"/>
          <w:sz w:val="24"/>
          <w:szCs w:val="24"/>
        </w:rPr>
        <w:t xml:space="preserve">he cost burden associated with this ICR consists of material and mailing cost to mail </w:t>
      </w:r>
      <w:r w:rsidR="00C13BE8">
        <w:rPr>
          <w:b w:val="0"/>
          <w:bCs w:val="0"/>
          <w:sz w:val="24"/>
          <w:szCs w:val="24"/>
        </w:rPr>
        <w:t xml:space="preserve">a </w:t>
      </w:r>
      <w:r w:rsidRPr="00607563" w:rsidR="00FA42C1">
        <w:rPr>
          <w:b w:val="0"/>
          <w:bCs w:val="0"/>
          <w:sz w:val="24"/>
          <w:szCs w:val="24"/>
        </w:rPr>
        <w:t xml:space="preserve">two-page Notice and is estimated to total </w:t>
      </w:r>
      <w:r w:rsidRPr="00607563" w:rsidR="00AA1B6A">
        <w:rPr>
          <w:b w:val="0"/>
          <w:bCs w:val="0"/>
          <w:sz w:val="24"/>
          <w:szCs w:val="24"/>
        </w:rPr>
        <w:t xml:space="preserve">approximately </w:t>
      </w:r>
      <w:r w:rsidRPr="00607563" w:rsidR="00FA42C1">
        <w:rPr>
          <w:b w:val="0"/>
          <w:bCs w:val="0"/>
          <w:sz w:val="24"/>
          <w:szCs w:val="24"/>
        </w:rPr>
        <w:t>$</w:t>
      </w:r>
      <w:r w:rsidR="00C13BE8">
        <w:rPr>
          <w:b w:val="0"/>
          <w:bCs w:val="0"/>
          <w:sz w:val="24"/>
          <w:szCs w:val="24"/>
        </w:rPr>
        <w:t>1</w:t>
      </w:r>
      <w:r w:rsidR="00586CE9">
        <w:rPr>
          <w:b w:val="0"/>
          <w:bCs w:val="0"/>
          <w:sz w:val="24"/>
          <w:szCs w:val="24"/>
        </w:rPr>
        <w:t>84.80</w:t>
      </w:r>
      <w:r w:rsidRPr="00607563" w:rsidR="00C13BE8">
        <w:rPr>
          <w:b w:val="0"/>
          <w:bCs w:val="0"/>
          <w:sz w:val="24"/>
          <w:szCs w:val="24"/>
        </w:rPr>
        <w:t xml:space="preserve"> </w:t>
      </w:r>
      <w:r w:rsidRPr="00607563" w:rsidR="000420B5">
        <w:rPr>
          <w:b w:val="0"/>
          <w:bCs w:val="0"/>
          <w:sz w:val="24"/>
          <w:szCs w:val="24"/>
        </w:rPr>
        <w:t>($</w:t>
      </w:r>
      <w:r w:rsidR="00646442">
        <w:rPr>
          <w:b w:val="0"/>
          <w:bCs w:val="0"/>
          <w:sz w:val="24"/>
          <w:szCs w:val="24"/>
        </w:rPr>
        <w:t>3</w:t>
      </w:r>
      <w:r w:rsidR="00C13BE8">
        <w:rPr>
          <w:b w:val="0"/>
          <w:bCs w:val="0"/>
          <w:sz w:val="24"/>
          <w:szCs w:val="24"/>
        </w:rPr>
        <w:t>.85</w:t>
      </w:r>
      <w:r w:rsidRPr="00607563" w:rsidR="000420B5">
        <w:rPr>
          <w:b w:val="0"/>
          <w:bCs w:val="0"/>
          <w:sz w:val="24"/>
          <w:szCs w:val="24"/>
        </w:rPr>
        <w:t xml:space="preserve"> per notice</w:t>
      </w:r>
      <w:r w:rsidRPr="00607563" w:rsidR="009A1B15">
        <w:rPr>
          <w:b w:val="0"/>
          <w:bCs w:val="0"/>
          <w:sz w:val="24"/>
          <w:szCs w:val="24"/>
        </w:rPr>
        <w:t xml:space="preserve"> x </w:t>
      </w:r>
      <w:r w:rsidR="00586CE9">
        <w:rPr>
          <w:b w:val="0"/>
          <w:bCs w:val="0"/>
          <w:sz w:val="24"/>
          <w:szCs w:val="24"/>
        </w:rPr>
        <w:t xml:space="preserve">48 </w:t>
      </w:r>
      <w:r w:rsidRPr="00607563" w:rsidR="009A1B15">
        <w:rPr>
          <w:b w:val="0"/>
          <w:bCs w:val="0"/>
          <w:sz w:val="24"/>
          <w:szCs w:val="24"/>
        </w:rPr>
        <w:t>notices</w:t>
      </w:r>
      <w:r w:rsidRPr="00607563" w:rsidR="000420B5">
        <w:rPr>
          <w:b w:val="0"/>
          <w:bCs w:val="0"/>
          <w:sz w:val="24"/>
          <w:szCs w:val="24"/>
        </w:rPr>
        <w:t>)</w:t>
      </w:r>
      <w:r w:rsidRPr="00607563" w:rsidR="00CC4A45">
        <w:rPr>
          <w:b w:val="0"/>
          <w:bCs w:val="0"/>
          <w:sz w:val="24"/>
          <w:szCs w:val="24"/>
        </w:rPr>
        <w:t>.</w:t>
      </w:r>
    </w:p>
    <w:p w:rsidRPr="00555658" w:rsidR="00AA1E33" w:rsidP="0033102B" w:rsidRDefault="00AA1E33" w14:paraId="37EEE037" w14:textId="77777777">
      <w:pPr>
        <w:widowControl/>
        <w:ind w:left="720"/>
        <w:rPr>
          <w:b w:val="0"/>
          <w:bCs w:val="0"/>
          <w:sz w:val="24"/>
          <w:szCs w:val="24"/>
        </w:rPr>
      </w:pPr>
    </w:p>
    <w:p w:rsidRPr="00BB6541" w:rsidR="00AA1E33" w:rsidP="0033102B" w:rsidRDefault="00AA1E33" w14:paraId="621C7CC3" w14:textId="77777777">
      <w:pPr>
        <w:widowControl/>
        <w:numPr>
          <w:ilvl w:val="0"/>
          <w:numId w:val="25"/>
        </w:numPr>
        <w:tabs>
          <w:tab w:val="left" w:pos="-1440"/>
        </w:tabs>
        <w:ind w:hanging="720"/>
        <w:rPr>
          <w:bCs w:val="0"/>
          <w:iCs/>
          <w:sz w:val="24"/>
          <w:szCs w:val="24"/>
        </w:rPr>
      </w:pPr>
      <w:r w:rsidRPr="00BB6541">
        <w:rPr>
          <w:bCs w:val="0"/>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F59F5" w:rsidP="0033102B" w:rsidRDefault="00FF59F5" w14:paraId="721A5028" w14:textId="708FCCA6">
      <w:pPr>
        <w:widowControl/>
        <w:ind w:left="720"/>
        <w:rPr>
          <w:b w:val="0"/>
          <w:bCs w:val="0"/>
          <w:sz w:val="24"/>
          <w:szCs w:val="24"/>
        </w:rPr>
      </w:pPr>
    </w:p>
    <w:p w:rsidR="00134256" w:rsidP="0033102B" w:rsidRDefault="00134256" w14:paraId="57AAF1F1" w14:textId="10118BCE">
      <w:pPr>
        <w:widowControl/>
        <w:ind w:left="720"/>
        <w:rPr>
          <w:b w:val="0"/>
          <w:bCs w:val="0"/>
          <w:sz w:val="24"/>
          <w:szCs w:val="24"/>
        </w:rPr>
      </w:pPr>
      <w:r>
        <w:rPr>
          <w:b w:val="0"/>
          <w:bCs w:val="0"/>
          <w:sz w:val="24"/>
          <w:szCs w:val="24"/>
        </w:rPr>
        <w:t>There are no costs to the Federal government.</w:t>
      </w:r>
    </w:p>
    <w:p w:rsidRPr="00555658" w:rsidR="00134256" w:rsidP="0033102B" w:rsidRDefault="00134256" w14:paraId="31DFB9C7" w14:textId="77777777">
      <w:pPr>
        <w:widowControl/>
        <w:ind w:left="720"/>
        <w:rPr>
          <w:b w:val="0"/>
          <w:bCs w:val="0"/>
          <w:sz w:val="24"/>
          <w:szCs w:val="24"/>
        </w:rPr>
      </w:pPr>
    </w:p>
    <w:p w:rsidRPr="00BB6541" w:rsidR="00AA1E33" w:rsidP="0033102B" w:rsidRDefault="00AA1E33" w14:paraId="7682055D" w14:textId="77777777">
      <w:pPr>
        <w:widowControl/>
        <w:numPr>
          <w:ilvl w:val="0"/>
          <w:numId w:val="25"/>
        </w:numPr>
        <w:tabs>
          <w:tab w:val="left" w:pos="-1440"/>
        </w:tabs>
        <w:ind w:hanging="720"/>
        <w:rPr>
          <w:bCs w:val="0"/>
          <w:iCs/>
          <w:sz w:val="24"/>
          <w:szCs w:val="24"/>
        </w:rPr>
      </w:pPr>
      <w:r w:rsidRPr="00BB6541">
        <w:rPr>
          <w:bCs w:val="0"/>
          <w:iCs/>
          <w:sz w:val="24"/>
          <w:szCs w:val="24"/>
        </w:rPr>
        <w:t>Explain the reasons for any program changes or adjustments reporting in Items 13 or 14.</w:t>
      </w:r>
    </w:p>
    <w:p w:rsidRPr="008665EB" w:rsidR="005228CC" w:rsidP="0033102B" w:rsidRDefault="005228CC" w14:paraId="7514C448" w14:textId="77777777">
      <w:pPr>
        <w:widowControl/>
        <w:tabs>
          <w:tab w:val="left" w:pos="-1440"/>
        </w:tabs>
        <w:ind w:left="720"/>
        <w:rPr>
          <w:b w:val="0"/>
          <w:bCs w:val="0"/>
          <w:iCs/>
          <w:sz w:val="24"/>
          <w:szCs w:val="24"/>
        </w:rPr>
      </w:pPr>
    </w:p>
    <w:p w:rsidRPr="00555658" w:rsidR="005228CC" w:rsidP="0033102B" w:rsidRDefault="00965A09" w14:paraId="38BAF5F8" w14:textId="7882A566">
      <w:pPr>
        <w:widowControl/>
        <w:tabs>
          <w:tab w:val="left" w:pos="-1440"/>
        </w:tabs>
        <w:ind w:left="720"/>
        <w:rPr>
          <w:b w:val="0"/>
          <w:bCs w:val="0"/>
          <w:sz w:val="24"/>
          <w:szCs w:val="24"/>
        </w:rPr>
      </w:pPr>
      <w:r w:rsidRPr="00607563">
        <w:rPr>
          <w:b w:val="0"/>
          <w:bCs w:val="0"/>
          <w:sz w:val="24"/>
          <w:szCs w:val="24"/>
        </w:rPr>
        <w:t xml:space="preserve">The cost burden increased </w:t>
      </w:r>
      <w:proofErr w:type="gramStart"/>
      <w:r w:rsidRPr="00607563">
        <w:rPr>
          <w:b w:val="0"/>
          <w:bCs w:val="0"/>
          <w:sz w:val="24"/>
          <w:szCs w:val="24"/>
        </w:rPr>
        <w:t>as a re</w:t>
      </w:r>
      <w:r w:rsidRPr="00607563" w:rsidR="00293AE2">
        <w:rPr>
          <w:b w:val="0"/>
          <w:bCs w:val="0"/>
          <w:sz w:val="24"/>
          <w:szCs w:val="24"/>
        </w:rPr>
        <w:t>sult of</w:t>
      </w:r>
      <w:proofErr w:type="gramEnd"/>
      <w:r w:rsidRPr="00607563" w:rsidR="00293AE2">
        <w:rPr>
          <w:b w:val="0"/>
          <w:bCs w:val="0"/>
          <w:sz w:val="24"/>
          <w:szCs w:val="24"/>
        </w:rPr>
        <w:t xml:space="preserve"> increased postage rates</w:t>
      </w:r>
      <w:r w:rsidR="00951709">
        <w:rPr>
          <w:b w:val="0"/>
          <w:bCs w:val="0"/>
          <w:sz w:val="24"/>
          <w:szCs w:val="24"/>
        </w:rPr>
        <w:t xml:space="preserve"> and</w:t>
      </w:r>
      <w:r w:rsidRPr="00041628" w:rsidR="007A4FF7">
        <w:rPr>
          <w:b w:val="0"/>
          <w:bCs w:val="0"/>
          <w:sz w:val="24"/>
          <w:szCs w:val="24"/>
        </w:rPr>
        <w:t xml:space="preserve"> </w:t>
      </w:r>
      <w:r w:rsidR="005478FC">
        <w:rPr>
          <w:b w:val="0"/>
          <w:bCs w:val="0"/>
          <w:sz w:val="24"/>
          <w:szCs w:val="24"/>
        </w:rPr>
        <w:t>an increased</w:t>
      </w:r>
      <w:r w:rsidRPr="00041628" w:rsidR="005478FC">
        <w:rPr>
          <w:b w:val="0"/>
          <w:bCs w:val="0"/>
          <w:sz w:val="24"/>
          <w:szCs w:val="24"/>
        </w:rPr>
        <w:t xml:space="preserve"> </w:t>
      </w:r>
      <w:r w:rsidRPr="00041628" w:rsidR="007A4FF7">
        <w:rPr>
          <w:b w:val="0"/>
          <w:bCs w:val="0"/>
          <w:sz w:val="24"/>
          <w:szCs w:val="24"/>
        </w:rPr>
        <w:t>number of entities taking advantage of the exception</w:t>
      </w:r>
      <w:r w:rsidR="00951709">
        <w:rPr>
          <w:b w:val="0"/>
          <w:bCs w:val="0"/>
          <w:sz w:val="24"/>
          <w:szCs w:val="24"/>
        </w:rPr>
        <w:t>.</w:t>
      </w:r>
      <w:r w:rsidRPr="00041628" w:rsidR="00293AE2">
        <w:rPr>
          <w:b w:val="0"/>
          <w:bCs w:val="0"/>
          <w:sz w:val="24"/>
          <w:szCs w:val="24"/>
        </w:rPr>
        <w:t xml:space="preserve"> </w:t>
      </w:r>
      <w:r w:rsidR="00951709">
        <w:rPr>
          <w:b w:val="0"/>
          <w:bCs w:val="0"/>
          <w:sz w:val="24"/>
          <w:szCs w:val="24"/>
        </w:rPr>
        <w:t>T</w:t>
      </w:r>
      <w:r w:rsidRPr="00041628" w:rsidR="00293AE2">
        <w:rPr>
          <w:b w:val="0"/>
          <w:bCs w:val="0"/>
          <w:sz w:val="24"/>
          <w:szCs w:val="24"/>
        </w:rPr>
        <w:t xml:space="preserve">he </w:t>
      </w:r>
      <w:r xmlns:w="http://schemas.openxmlformats.org/wordprocessingml/2006/main" w:rsidR="008D423D">
        <w:rPr>
          <w:b w:val="0"/>
          <w:bCs w:val="0"/>
          <w:sz w:val="24"/>
          <w:szCs w:val="24"/>
        </w:rPr>
        <w:t xml:space="preserve">number of respondents and </w:t>
      </w:r>
      <w:r w:rsidRPr="00041628" w:rsidR="00293AE2">
        <w:rPr>
          <w:b w:val="0"/>
          <w:bCs w:val="0"/>
          <w:sz w:val="24"/>
          <w:szCs w:val="24"/>
        </w:rPr>
        <w:t xml:space="preserve">hour burden </w:t>
      </w:r>
      <w:r w:rsidR="00951709">
        <w:rPr>
          <w:b w:val="0"/>
          <w:bCs w:val="0"/>
          <w:sz w:val="24"/>
          <w:szCs w:val="24"/>
        </w:rPr>
        <w:t xml:space="preserve">and its equivalent cost </w:t>
      </w:r>
      <w:r w:rsidRPr="00041628" w:rsidR="00293AE2">
        <w:rPr>
          <w:b w:val="0"/>
          <w:bCs w:val="0"/>
          <w:sz w:val="24"/>
          <w:szCs w:val="24"/>
        </w:rPr>
        <w:t xml:space="preserve">increased </w:t>
      </w:r>
      <w:proofErr w:type="gramStart"/>
      <w:r w:rsidRPr="00041628" w:rsidR="00293AE2">
        <w:rPr>
          <w:b w:val="0"/>
          <w:bCs w:val="0"/>
          <w:sz w:val="24"/>
          <w:szCs w:val="24"/>
        </w:rPr>
        <w:t>as a result of</w:t>
      </w:r>
      <w:proofErr w:type="gramEnd"/>
      <w:r w:rsidRPr="00041628" w:rsidR="00293AE2">
        <w:rPr>
          <w:b w:val="0"/>
          <w:bCs w:val="0"/>
          <w:sz w:val="24"/>
          <w:szCs w:val="24"/>
        </w:rPr>
        <w:t xml:space="preserve"> increased </w:t>
      </w:r>
      <w:r w:rsidR="005478FC">
        <w:rPr>
          <w:b w:val="0"/>
          <w:bCs w:val="0"/>
          <w:sz w:val="24"/>
          <w:szCs w:val="24"/>
        </w:rPr>
        <w:t>labor</w:t>
      </w:r>
      <w:r w:rsidRPr="00041628" w:rsidR="005478FC">
        <w:rPr>
          <w:b w:val="0"/>
          <w:bCs w:val="0"/>
          <w:sz w:val="24"/>
          <w:szCs w:val="24"/>
        </w:rPr>
        <w:t xml:space="preserve"> </w:t>
      </w:r>
      <w:r w:rsidRPr="00041628" w:rsidR="00293AE2">
        <w:rPr>
          <w:b w:val="0"/>
          <w:bCs w:val="0"/>
          <w:sz w:val="24"/>
          <w:szCs w:val="24"/>
        </w:rPr>
        <w:t>rates</w:t>
      </w:r>
      <w:r w:rsidRPr="00DF4CC6" w:rsidR="007A4FF7">
        <w:rPr>
          <w:b w:val="0"/>
          <w:bCs w:val="0"/>
          <w:sz w:val="24"/>
          <w:szCs w:val="24"/>
        </w:rPr>
        <w:t xml:space="preserve"> and the number entities taking advantage of the exception</w:t>
      </w:r>
      <w:r w:rsidRPr="00DF4CC6" w:rsidR="00293AE2">
        <w:rPr>
          <w:b w:val="0"/>
          <w:bCs w:val="0"/>
          <w:sz w:val="24"/>
          <w:szCs w:val="24"/>
        </w:rPr>
        <w:t>.</w:t>
      </w:r>
    </w:p>
    <w:p w:rsidRPr="00555658" w:rsidR="00AA1E33" w:rsidP="0033102B" w:rsidRDefault="00AA1E33" w14:paraId="777AEFA6" w14:textId="77777777">
      <w:pPr>
        <w:widowControl/>
        <w:tabs>
          <w:tab w:val="left" w:pos="-1440"/>
        </w:tabs>
        <w:ind w:left="720"/>
        <w:rPr>
          <w:b w:val="0"/>
          <w:bCs w:val="0"/>
          <w:sz w:val="24"/>
          <w:szCs w:val="24"/>
        </w:rPr>
      </w:pPr>
    </w:p>
    <w:p w:rsidRPr="00BB6541" w:rsidR="00AA1E33" w:rsidP="0033102B" w:rsidRDefault="00AA1E33" w14:paraId="4248BB3A" w14:textId="77777777">
      <w:pPr>
        <w:widowControl/>
        <w:numPr>
          <w:ilvl w:val="0"/>
          <w:numId w:val="25"/>
        </w:numPr>
        <w:tabs>
          <w:tab w:val="left" w:pos="-1440"/>
        </w:tabs>
        <w:ind w:hanging="720"/>
        <w:rPr>
          <w:bCs w:val="0"/>
          <w:iCs/>
          <w:sz w:val="24"/>
          <w:szCs w:val="24"/>
        </w:rPr>
      </w:pPr>
      <w:r w:rsidRPr="00BB6541">
        <w:rPr>
          <w:bCs w:val="0"/>
          <w:iCs/>
          <w:sz w:val="24"/>
          <w:szCs w:val="24"/>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55658" w:rsidR="00AA1E33" w:rsidP="0033102B" w:rsidRDefault="00AA1E33" w14:paraId="7B4366B9" w14:textId="77777777">
      <w:pPr>
        <w:widowControl/>
        <w:ind w:left="720"/>
        <w:rPr>
          <w:b w:val="0"/>
          <w:bCs w:val="0"/>
          <w:sz w:val="24"/>
          <w:szCs w:val="24"/>
        </w:rPr>
      </w:pPr>
    </w:p>
    <w:p w:rsidRPr="00555658" w:rsidR="00AA1E33" w:rsidP="0033102B" w:rsidRDefault="00AA1E33" w14:paraId="63C8D26C" w14:textId="77777777">
      <w:pPr>
        <w:pStyle w:val="BodyText"/>
        <w:ind w:left="720"/>
        <w:outlineLvl w:val="0"/>
        <w:rPr>
          <w:szCs w:val="24"/>
        </w:rPr>
      </w:pPr>
      <w:r w:rsidRPr="00555658">
        <w:rPr>
          <w:szCs w:val="24"/>
        </w:rPr>
        <w:t>There are no plans to publish the results of this collection of information.</w:t>
      </w:r>
    </w:p>
    <w:p w:rsidRPr="00BB6541" w:rsidR="00AA1E33" w:rsidP="0033102B" w:rsidRDefault="00AA1E33" w14:paraId="2A3D65F5" w14:textId="77777777">
      <w:pPr>
        <w:widowControl/>
        <w:ind w:left="720"/>
        <w:rPr>
          <w:bCs w:val="0"/>
          <w:sz w:val="24"/>
          <w:szCs w:val="24"/>
        </w:rPr>
      </w:pPr>
    </w:p>
    <w:p w:rsidRPr="00BB6541" w:rsidR="00AA1E33" w:rsidP="0033102B" w:rsidRDefault="00AA1E33" w14:paraId="107D30FD" w14:textId="77777777">
      <w:pPr>
        <w:widowControl/>
        <w:numPr>
          <w:ilvl w:val="0"/>
          <w:numId w:val="25"/>
        </w:numPr>
        <w:tabs>
          <w:tab w:val="left" w:pos="-1440"/>
        </w:tabs>
        <w:ind w:hanging="720"/>
        <w:rPr>
          <w:bCs w:val="0"/>
          <w:iCs/>
          <w:sz w:val="24"/>
          <w:szCs w:val="24"/>
        </w:rPr>
      </w:pPr>
      <w:r w:rsidRPr="00BB6541">
        <w:rPr>
          <w:bCs w:val="0"/>
          <w:iCs/>
          <w:sz w:val="24"/>
          <w:szCs w:val="24"/>
        </w:rPr>
        <w:t>If seeking approval to not display the expiration date for OMB approval of the information collection, explain the reasons that display would be inappropriate.</w:t>
      </w:r>
    </w:p>
    <w:p w:rsidRPr="00555658" w:rsidR="00A7230A" w:rsidP="001A5225" w:rsidRDefault="00A7230A" w14:paraId="2DCD0A3E" w14:textId="77777777">
      <w:pPr>
        <w:widowControl/>
        <w:tabs>
          <w:tab w:val="left" w:pos="-1440"/>
        </w:tabs>
        <w:ind w:left="720"/>
        <w:rPr>
          <w:b w:val="0"/>
          <w:bCs w:val="0"/>
          <w:sz w:val="24"/>
          <w:szCs w:val="24"/>
        </w:rPr>
      </w:pPr>
    </w:p>
    <w:p w:rsidRPr="00555658" w:rsidR="00A7230A" w:rsidP="001A5225" w:rsidRDefault="00A7230A" w14:paraId="2E0EA612" w14:textId="77777777">
      <w:pPr>
        <w:pStyle w:val="BodyText"/>
        <w:ind w:left="720"/>
        <w:rPr>
          <w:szCs w:val="24"/>
        </w:rPr>
      </w:pPr>
      <w:r w:rsidRPr="00555658">
        <w:rPr>
          <w:szCs w:val="24"/>
        </w:rPr>
        <w:t>The OMB expiration date will be published in the Federal Register following OMB approval.</w:t>
      </w:r>
    </w:p>
    <w:p w:rsidRPr="00BB6541" w:rsidR="00A7230A" w:rsidP="001A5225" w:rsidRDefault="00A7230A" w14:paraId="0305C733" w14:textId="77777777">
      <w:pPr>
        <w:widowControl/>
        <w:tabs>
          <w:tab w:val="left" w:pos="-1440"/>
        </w:tabs>
        <w:ind w:left="720"/>
        <w:rPr>
          <w:bCs w:val="0"/>
          <w:sz w:val="24"/>
          <w:szCs w:val="24"/>
        </w:rPr>
      </w:pPr>
    </w:p>
    <w:p w:rsidRPr="00BB6541" w:rsidR="00AA1E33" w:rsidP="001A5225" w:rsidRDefault="00AA1E33" w14:paraId="0FB7AE05" w14:textId="0AC992E8">
      <w:pPr>
        <w:widowControl/>
        <w:numPr>
          <w:ilvl w:val="0"/>
          <w:numId w:val="25"/>
        </w:numPr>
        <w:tabs>
          <w:tab w:val="left" w:pos="-1440"/>
        </w:tabs>
        <w:ind w:hanging="720"/>
        <w:rPr>
          <w:bCs w:val="0"/>
          <w:iCs/>
          <w:sz w:val="24"/>
          <w:szCs w:val="24"/>
        </w:rPr>
      </w:pPr>
      <w:r w:rsidRPr="00BB6541">
        <w:rPr>
          <w:bCs w:val="0"/>
          <w:iCs/>
          <w:sz w:val="24"/>
          <w:szCs w:val="24"/>
        </w:rPr>
        <w:t>Explain each exception to the certification statement identified in Item 19</w:t>
      </w:r>
      <w:r w:rsidRPr="00BB6541" w:rsidR="00BB6541">
        <w:rPr>
          <w:bCs w:val="0"/>
          <w:iCs/>
          <w:sz w:val="24"/>
          <w:szCs w:val="24"/>
        </w:rPr>
        <w:t>.</w:t>
      </w:r>
    </w:p>
    <w:p w:rsidRPr="00555658" w:rsidR="00AA1E33" w:rsidP="001A5225" w:rsidRDefault="00AA1E33" w14:paraId="149BBC08" w14:textId="77777777">
      <w:pPr>
        <w:widowControl/>
        <w:ind w:left="720"/>
        <w:rPr>
          <w:b w:val="0"/>
          <w:sz w:val="24"/>
          <w:szCs w:val="24"/>
        </w:rPr>
      </w:pPr>
    </w:p>
    <w:p w:rsidRPr="00555658" w:rsidR="00AA1E33" w:rsidP="001A5225" w:rsidRDefault="00AA1E33" w14:paraId="35892A97" w14:textId="77777777">
      <w:pPr>
        <w:widowControl/>
        <w:ind w:left="720"/>
        <w:outlineLvl w:val="0"/>
        <w:rPr>
          <w:b w:val="0"/>
          <w:bCs w:val="0"/>
          <w:sz w:val="24"/>
          <w:szCs w:val="24"/>
        </w:rPr>
      </w:pPr>
      <w:r w:rsidRPr="00555658">
        <w:rPr>
          <w:b w:val="0"/>
          <w:bCs w:val="0"/>
          <w:sz w:val="24"/>
          <w:szCs w:val="24"/>
        </w:rPr>
        <w:t>None.</w:t>
      </w:r>
    </w:p>
    <w:p w:rsidRPr="00BB6541" w:rsidR="00AA1E33" w:rsidP="001A5225" w:rsidRDefault="00AA1E33" w14:paraId="6A33B8B9" w14:textId="77777777">
      <w:pPr>
        <w:widowControl/>
        <w:ind w:left="720"/>
        <w:rPr>
          <w:bCs w:val="0"/>
          <w:sz w:val="24"/>
          <w:szCs w:val="24"/>
        </w:rPr>
      </w:pPr>
    </w:p>
    <w:p w:rsidRPr="00BB6541" w:rsidR="00AA1E33" w:rsidP="001A5225" w:rsidRDefault="00AA1E33" w14:paraId="5D427130" w14:textId="20E46A50">
      <w:pPr>
        <w:pStyle w:val="Heading3"/>
        <w:keepNext w:val="0"/>
        <w:rPr>
          <w:szCs w:val="24"/>
        </w:rPr>
      </w:pPr>
      <w:r w:rsidRPr="00BB6541">
        <w:rPr>
          <w:szCs w:val="24"/>
        </w:rPr>
        <w:t>B.</w:t>
      </w:r>
      <w:r w:rsidRPr="00BB6541">
        <w:rPr>
          <w:szCs w:val="24"/>
        </w:rPr>
        <w:tab/>
      </w:r>
      <w:r w:rsidRPr="00BB6541" w:rsidR="00BB6541">
        <w:rPr>
          <w:szCs w:val="24"/>
        </w:rPr>
        <w:t>COLLECTIONS OF INFORMATION EMPLOYING STATISTICAL METHODS</w:t>
      </w:r>
    </w:p>
    <w:p w:rsidRPr="00555658" w:rsidR="00AA1E33" w:rsidP="001A5225" w:rsidRDefault="00AA1E33" w14:paraId="58FD326D" w14:textId="77777777">
      <w:pPr>
        <w:widowControl/>
        <w:ind w:left="720"/>
        <w:rPr>
          <w:b w:val="0"/>
          <w:bCs w:val="0"/>
          <w:sz w:val="24"/>
          <w:szCs w:val="24"/>
        </w:rPr>
      </w:pPr>
    </w:p>
    <w:p w:rsidRPr="00555658" w:rsidR="00AA1E33" w:rsidP="001A5225" w:rsidRDefault="00AA1E33" w14:paraId="04846056" w14:textId="77777777">
      <w:pPr>
        <w:widowControl/>
        <w:ind w:left="720"/>
        <w:rPr>
          <w:b w:val="0"/>
          <w:bCs w:val="0"/>
          <w:sz w:val="24"/>
          <w:szCs w:val="24"/>
        </w:rPr>
      </w:pPr>
      <w:r w:rsidRPr="00555658">
        <w:rPr>
          <w:b w:val="0"/>
          <w:bCs w:val="0"/>
          <w:sz w:val="24"/>
          <w:szCs w:val="24"/>
        </w:rPr>
        <w:t>Not applicable.</w:t>
      </w:r>
    </w:p>
    <w:sectPr w:rsidRPr="00555658" w:rsidR="00AA1E33" w:rsidSect="00607563">
      <w:headerReference w:type="default" r:id="rId10"/>
      <w:footerReference w:type="even" r:id="rId11"/>
      <w:footerReference w:type="default" r:id="rId12"/>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BFB6" w14:textId="77777777" w:rsidR="007234FE" w:rsidRDefault="007234FE">
      <w:r>
        <w:separator/>
      </w:r>
    </w:p>
  </w:endnote>
  <w:endnote w:type="continuationSeparator" w:id="0">
    <w:p w14:paraId="0795A5EB" w14:textId="77777777" w:rsidR="007234FE" w:rsidRDefault="0072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35FD" w14:textId="77777777" w:rsidR="00B77D31" w:rsidRDefault="00B77D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1F044C" w14:textId="77777777" w:rsidR="00B77D31" w:rsidRDefault="00B77D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8C47" w14:textId="2F9C1874" w:rsidR="00B77D31" w:rsidRPr="002B6BBD" w:rsidRDefault="00B77D31">
    <w:pPr>
      <w:pStyle w:val="Footer"/>
      <w:framePr w:wrap="around" w:vAnchor="text" w:hAnchor="margin" w:xAlign="center" w:y="1"/>
      <w:rPr>
        <w:rStyle w:val="PageNumber"/>
        <w:sz w:val="24"/>
        <w:szCs w:val="24"/>
      </w:rPr>
    </w:pPr>
    <w:r w:rsidRPr="002B6BBD">
      <w:rPr>
        <w:rStyle w:val="PageNumber"/>
        <w:sz w:val="24"/>
        <w:szCs w:val="24"/>
      </w:rPr>
      <w:fldChar w:fldCharType="begin"/>
    </w:r>
    <w:r w:rsidRPr="002B6BBD">
      <w:rPr>
        <w:rStyle w:val="PageNumber"/>
        <w:sz w:val="24"/>
        <w:szCs w:val="24"/>
      </w:rPr>
      <w:instrText xml:space="preserve">PAGE  </w:instrText>
    </w:r>
    <w:r w:rsidRPr="002B6BBD">
      <w:rPr>
        <w:rStyle w:val="PageNumber"/>
        <w:sz w:val="24"/>
        <w:szCs w:val="24"/>
      </w:rPr>
      <w:fldChar w:fldCharType="separate"/>
    </w:r>
    <w:r w:rsidR="00606D65">
      <w:rPr>
        <w:rStyle w:val="PageNumber"/>
        <w:noProof/>
        <w:sz w:val="24"/>
        <w:szCs w:val="24"/>
      </w:rPr>
      <w:t>8</w:t>
    </w:r>
    <w:r w:rsidRPr="002B6BBD">
      <w:rPr>
        <w:rStyle w:val="PageNumber"/>
        <w:sz w:val="24"/>
        <w:szCs w:val="24"/>
      </w:rPr>
      <w:fldChar w:fldCharType="end"/>
    </w:r>
  </w:p>
  <w:p w14:paraId="75F47221" w14:textId="77777777" w:rsidR="00B77D31" w:rsidRDefault="00B77D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D49A" w14:textId="77777777" w:rsidR="007234FE" w:rsidRDefault="007234FE">
      <w:r>
        <w:separator/>
      </w:r>
    </w:p>
  </w:footnote>
  <w:footnote w:type="continuationSeparator" w:id="0">
    <w:p w14:paraId="1F013A46" w14:textId="77777777" w:rsidR="007234FE" w:rsidRDefault="007234FE">
      <w:r>
        <w:continuationSeparator/>
      </w:r>
    </w:p>
  </w:footnote>
  <w:footnote w:id="1">
    <w:p w14:paraId="48D780EE" w14:textId="4E04E9EB" w:rsidR="001D76F3" w:rsidRPr="00134256" w:rsidRDefault="001D76F3" w:rsidP="001D76F3">
      <w:pPr>
        <w:pStyle w:val="FootnoteText"/>
        <w:rPr>
          <w:b w:val="0"/>
          <w:sz w:val="20"/>
        </w:rPr>
      </w:pPr>
      <w:r w:rsidRPr="00134256">
        <w:rPr>
          <w:rStyle w:val="FootnoteReference"/>
          <w:b w:val="0"/>
          <w:sz w:val="20"/>
          <w:vertAlign w:val="superscript"/>
        </w:rPr>
        <w:footnoteRef/>
      </w:r>
      <w:r w:rsidRPr="00134256">
        <w:rPr>
          <w:b w:val="0"/>
          <w:sz w:val="20"/>
        </w:rPr>
        <w:t xml:space="preserve"> </w:t>
      </w:r>
      <w:r w:rsidRPr="00646442">
        <w:rPr>
          <w:b w:val="0"/>
          <w:sz w:val="20"/>
        </w:rPr>
        <w:t xml:space="preserve">Internal DOL calculation based on 2020 labor cost data.  For a description of the Department’s methodology for calculating wage rates, see </w:t>
      </w:r>
      <w:hyperlink r:id="rId1" w:history="1">
        <w:r w:rsidR="008F1C14" w:rsidRPr="002D3ABD">
          <w:rPr>
            <w:rStyle w:val="Hyperlink"/>
            <w:b w:val="0"/>
            <w:sz w:val="20"/>
          </w:rPr>
          <w:t>https://www.dol.gov/sites/dolgov/files/EBSA/laws-and-regulations/rules-and-regulations/technical-appendices/labor-cost-inputs-used-in-ebsa-opr-ria-and-pra-burden-calculations-june-2019.pdf</w:t>
        </w:r>
      </w:hyperlink>
      <w:r w:rsidR="008F1C14">
        <w:rPr>
          <w:b w:val="0"/>
          <w:sz w:val="20"/>
        </w:rPr>
        <w:t>.</w:t>
      </w:r>
    </w:p>
  </w:footnote>
  <w:footnote w:id="2">
    <w:p w14:paraId="5FA5E8B1" w14:textId="7E27F84F" w:rsidR="0042094C" w:rsidRPr="00891DBE" w:rsidRDefault="0042094C" w:rsidP="0042094C">
      <w:pPr>
        <w:pStyle w:val="FootnoteText"/>
      </w:pPr>
      <w:r w:rsidRPr="00B61366">
        <w:rPr>
          <w:rStyle w:val="FootnoteReference"/>
          <w:b w:val="0"/>
          <w:sz w:val="20"/>
          <w:vertAlign w:val="superscript"/>
        </w:rPr>
        <w:footnoteRef/>
      </w:r>
      <w:r w:rsidRPr="00B61366">
        <w:rPr>
          <w:b w:val="0"/>
          <w:sz w:val="20"/>
          <w:vertAlign w:val="superscript"/>
        </w:rPr>
        <w:t xml:space="preserve">  </w:t>
      </w:r>
      <w:r w:rsidRPr="00B61366">
        <w:rPr>
          <w:b w:val="0"/>
          <w:sz w:val="20"/>
        </w:rPr>
        <w:t xml:space="preserve">The cost of certified mail is $3.75.  For more information on mailing rates, see at </w:t>
      </w:r>
      <w:hyperlink r:id="rId2" w:anchor="_c037" w:history="1">
        <w:r w:rsidRPr="00B61366">
          <w:rPr>
            <w:rStyle w:val="Hyperlink"/>
            <w:b w:val="0"/>
            <w:sz w:val="20"/>
          </w:rPr>
          <w:t>https://pe.usps.com/text/dmm300/Notice123.htm?_gl=1*1e2kxda*_ga*MzY1MzQ2NTE0LjE2Mjc2NDg3MDY.*_ga_3NXP3C8S9V*MTY0MTkxMjc5MC45LjEuMTY0MTkxMzE1MC4w#_c037</w:t>
        </w:r>
      </w:hyperlink>
      <w:r w:rsidRPr="00B61366">
        <w:rPr>
          <w:b w:val="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5CC0" w14:textId="77777777" w:rsidR="00F316BC" w:rsidRDefault="00F316BC" w:rsidP="00B61366">
    <w:pPr>
      <w:pStyle w:val="Header"/>
      <w:rPr>
        <w:b w:val="0"/>
        <w:bCs w:val="0"/>
      </w:rPr>
    </w:pPr>
    <w:r>
      <w:rPr>
        <w:b w:val="0"/>
        <w:bCs w:val="0"/>
      </w:rPr>
      <w:t>OMB Control Number 1210-0136</w:t>
    </w:r>
  </w:p>
  <w:p w14:paraId="3ED4D664" w14:textId="7F45E30E" w:rsidR="00B77D31" w:rsidRDefault="00B77D31" w:rsidP="00B61366">
    <w:pPr>
      <w:pStyle w:val="Header"/>
      <w:rPr>
        <w:b w:val="0"/>
        <w:bCs w:val="0"/>
      </w:rPr>
    </w:pPr>
    <w:r w:rsidRPr="00B062B9">
      <w:rPr>
        <w:b w:val="0"/>
        <w:bCs w:val="0"/>
      </w:rPr>
      <w:t>Notic</w:t>
    </w:r>
    <w:r>
      <w:rPr>
        <w:b w:val="0"/>
        <w:bCs w:val="0"/>
      </w:rPr>
      <w:t>e</w:t>
    </w:r>
    <w:r w:rsidRPr="00B062B9">
      <w:rPr>
        <w:b w:val="0"/>
        <w:bCs w:val="0"/>
      </w:rPr>
      <w:t xml:space="preserve"> of Research Exception</w:t>
    </w:r>
    <w:r w:rsidR="00F316BC">
      <w:rPr>
        <w:b w:val="0"/>
        <w:bCs w:val="0"/>
      </w:rPr>
      <w:t xml:space="preserve"> </w:t>
    </w:r>
    <w:r w:rsidRPr="00B062B9">
      <w:rPr>
        <w:b w:val="0"/>
        <w:bCs w:val="0"/>
      </w:rPr>
      <w:t>U</w:t>
    </w:r>
    <w:r>
      <w:rPr>
        <w:b w:val="0"/>
        <w:bCs w:val="0"/>
      </w:rPr>
      <w:t xml:space="preserve">nder </w:t>
    </w:r>
    <w:proofErr w:type="gramStart"/>
    <w:r>
      <w:rPr>
        <w:b w:val="0"/>
        <w:bCs w:val="0"/>
      </w:rPr>
      <w:t>The</w:t>
    </w:r>
    <w:proofErr w:type="gramEnd"/>
    <w:r>
      <w:rPr>
        <w:b w:val="0"/>
        <w:bCs w:val="0"/>
      </w:rPr>
      <w:t xml:space="preserve"> Genetic Information</w:t>
    </w:r>
    <w:r w:rsidR="00134256">
      <w:rPr>
        <w:b w:val="0"/>
        <w:bCs w:val="0"/>
      </w:rPr>
      <w:t xml:space="preserve"> Nondiscrimination Act</w:t>
    </w:r>
  </w:p>
  <w:p w14:paraId="0A41D697" w14:textId="77777777" w:rsidR="00F376F3" w:rsidRDefault="00181FC0" w:rsidP="00B61366">
    <w:pPr>
      <w:pStyle w:val="Header"/>
    </w:pPr>
    <w:r w:rsidRPr="00181FC0">
      <w:t>Expiration Date: 04/30/2022</w:t>
    </w:r>
  </w:p>
  <w:p w14:paraId="36087310" w14:textId="69260EB6" w:rsidR="00B77D31" w:rsidRDefault="00B77D31" w:rsidP="00B61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A6F77"/>
    <w:multiLevelType w:val="hybridMultilevel"/>
    <w:tmpl w:val="34282A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85677"/>
    <w:multiLevelType w:val="hybridMultilevel"/>
    <w:tmpl w:val="A0685E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046665"/>
    <w:multiLevelType w:val="hybridMultilevel"/>
    <w:tmpl w:val="DAB4BFAA"/>
    <w:lvl w:ilvl="0" w:tplc="6EE48C1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8FF6E7C"/>
    <w:multiLevelType w:val="hybridMultilevel"/>
    <w:tmpl w:val="AF84DC7E"/>
    <w:lvl w:ilvl="0" w:tplc="8978630C">
      <w:start w:val="1"/>
      <w:numFmt w:val="bullet"/>
      <w:pStyle w:val="Style10ptItalicLeft05Hanging02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DC15ADB"/>
    <w:multiLevelType w:val="hybridMultilevel"/>
    <w:tmpl w:val="245AF048"/>
    <w:lvl w:ilvl="0" w:tplc="A7A619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7A2FFB"/>
    <w:multiLevelType w:val="hybridMultilevel"/>
    <w:tmpl w:val="C6CE7E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lvl>
    </w:lvlOverride>
  </w:num>
  <w:num w:numId="4">
    <w:abstractNumId w:val="20"/>
  </w:num>
  <w:num w:numId="5">
    <w:abstractNumId w:val="10"/>
  </w:num>
  <w:num w:numId="6">
    <w:abstractNumId w:val="21"/>
  </w:num>
  <w:num w:numId="7">
    <w:abstractNumId w:val="11"/>
  </w:num>
  <w:num w:numId="8">
    <w:abstractNumId w:val="5"/>
  </w:num>
  <w:num w:numId="9">
    <w:abstractNumId w:val="14"/>
  </w:num>
  <w:num w:numId="10">
    <w:abstractNumId w:val="3"/>
  </w:num>
  <w:num w:numId="11">
    <w:abstractNumId w:val="7"/>
  </w:num>
  <w:num w:numId="12">
    <w:abstractNumId w:val="24"/>
  </w:num>
  <w:num w:numId="13">
    <w:abstractNumId w:val="1"/>
  </w:num>
  <w:num w:numId="14">
    <w:abstractNumId w:val="16"/>
  </w:num>
  <w:num w:numId="15">
    <w:abstractNumId w:val="18"/>
  </w:num>
  <w:num w:numId="16">
    <w:abstractNumId w:val="4"/>
  </w:num>
  <w:num w:numId="17">
    <w:abstractNumId w:val="25"/>
  </w:num>
  <w:num w:numId="18">
    <w:abstractNumId w:val="8"/>
  </w:num>
  <w:num w:numId="19">
    <w:abstractNumId w:val="15"/>
  </w:num>
  <w:num w:numId="20">
    <w:abstractNumId w:val="19"/>
  </w:num>
  <w:num w:numId="21">
    <w:abstractNumId w:val="22"/>
  </w:num>
  <w:num w:numId="22">
    <w:abstractNumId w:val="23"/>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3"/>
  </w:num>
  <w:num w:numId="26">
    <w:abstractNumId w:val="0"/>
    <w:lvlOverride w:ilvl="0">
      <w:lvl w:ilvl="0">
        <w:start w:val="1"/>
        <w:numFmt w:val="decimal"/>
        <w:pStyle w:val="Quick1"/>
        <w:lvlText w:val="%1."/>
        <w:lvlJc w:val="left"/>
        <w:pPr>
          <w:tabs>
            <w:tab w:val="num" w:pos="0"/>
          </w:tabs>
          <w:ind w:left="0" w:firstLine="0"/>
        </w:pPr>
        <w:rPr>
          <w:rFonts w:hint="default"/>
          <w:i w:val="0"/>
          <w:sz w:val="24"/>
          <w:szCs w:val="24"/>
        </w:rPr>
      </w:lvl>
    </w:lvlOverride>
  </w:num>
  <w:num w:numId="27">
    <w:abstractNumId w:val="9"/>
  </w:num>
  <w:num w:numId="28">
    <w:abstractNumId w:val="6"/>
  </w:num>
  <w:num w:numId="2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B">
    <w15:presenceInfo w15:providerId="None" w15:userId="M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8C"/>
    <w:rsid w:val="0000293D"/>
    <w:rsid w:val="00014D0D"/>
    <w:rsid w:val="00034009"/>
    <w:rsid w:val="00041628"/>
    <w:rsid w:val="000420B5"/>
    <w:rsid w:val="00065DB6"/>
    <w:rsid w:val="00066EA3"/>
    <w:rsid w:val="000868FF"/>
    <w:rsid w:val="000B41C2"/>
    <w:rsid w:val="000C36C1"/>
    <w:rsid w:val="000D3063"/>
    <w:rsid w:val="000E2122"/>
    <w:rsid w:val="000F0248"/>
    <w:rsid w:val="000F24C3"/>
    <w:rsid w:val="000F778A"/>
    <w:rsid w:val="00115277"/>
    <w:rsid w:val="001213F7"/>
    <w:rsid w:val="00123383"/>
    <w:rsid w:val="00134256"/>
    <w:rsid w:val="00140238"/>
    <w:rsid w:val="00162AF5"/>
    <w:rsid w:val="00165F90"/>
    <w:rsid w:val="00170248"/>
    <w:rsid w:val="001818F3"/>
    <w:rsid w:val="00181FC0"/>
    <w:rsid w:val="00185658"/>
    <w:rsid w:val="001912CD"/>
    <w:rsid w:val="001945B0"/>
    <w:rsid w:val="001A5225"/>
    <w:rsid w:val="001B37C2"/>
    <w:rsid w:val="001C72CF"/>
    <w:rsid w:val="001D5B76"/>
    <w:rsid w:val="001D76F3"/>
    <w:rsid w:val="001D7E0B"/>
    <w:rsid w:val="001E03FA"/>
    <w:rsid w:val="001F77F9"/>
    <w:rsid w:val="00202FA6"/>
    <w:rsid w:val="00206DED"/>
    <w:rsid w:val="00250F60"/>
    <w:rsid w:val="002654FA"/>
    <w:rsid w:val="00280B89"/>
    <w:rsid w:val="00282B87"/>
    <w:rsid w:val="00293AE2"/>
    <w:rsid w:val="002944C3"/>
    <w:rsid w:val="002A749A"/>
    <w:rsid w:val="002B48E2"/>
    <w:rsid w:val="002B6BBD"/>
    <w:rsid w:val="002D3AE7"/>
    <w:rsid w:val="00303F1B"/>
    <w:rsid w:val="0031046A"/>
    <w:rsid w:val="00312BA9"/>
    <w:rsid w:val="00321123"/>
    <w:rsid w:val="0033102B"/>
    <w:rsid w:val="003312F1"/>
    <w:rsid w:val="00345486"/>
    <w:rsid w:val="00377635"/>
    <w:rsid w:val="00393120"/>
    <w:rsid w:val="003C33DC"/>
    <w:rsid w:val="003C3C03"/>
    <w:rsid w:val="003C53F2"/>
    <w:rsid w:val="003E0A27"/>
    <w:rsid w:val="003E1E53"/>
    <w:rsid w:val="003E2784"/>
    <w:rsid w:val="004111E2"/>
    <w:rsid w:val="0042020C"/>
    <w:rsid w:val="0042094C"/>
    <w:rsid w:val="00425B89"/>
    <w:rsid w:val="0042613E"/>
    <w:rsid w:val="00426CA7"/>
    <w:rsid w:val="00446041"/>
    <w:rsid w:val="00451342"/>
    <w:rsid w:val="00457FA3"/>
    <w:rsid w:val="0047252F"/>
    <w:rsid w:val="004914C3"/>
    <w:rsid w:val="0049601B"/>
    <w:rsid w:val="0049765F"/>
    <w:rsid w:val="004A089A"/>
    <w:rsid w:val="004A71B4"/>
    <w:rsid w:val="004B6DDA"/>
    <w:rsid w:val="004C4B42"/>
    <w:rsid w:val="004C50BB"/>
    <w:rsid w:val="004D16EB"/>
    <w:rsid w:val="004D7429"/>
    <w:rsid w:val="00517ECB"/>
    <w:rsid w:val="005228CC"/>
    <w:rsid w:val="005478FC"/>
    <w:rsid w:val="00555658"/>
    <w:rsid w:val="0056371A"/>
    <w:rsid w:val="005707F6"/>
    <w:rsid w:val="00571E44"/>
    <w:rsid w:val="00577D16"/>
    <w:rsid w:val="0058117B"/>
    <w:rsid w:val="00586CE9"/>
    <w:rsid w:val="005E11A5"/>
    <w:rsid w:val="005F04E0"/>
    <w:rsid w:val="00606D65"/>
    <w:rsid w:val="00607563"/>
    <w:rsid w:val="006213C9"/>
    <w:rsid w:val="00623436"/>
    <w:rsid w:val="00624F50"/>
    <w:rsid w:val="0063220D"/>
    <w:rsid w:val="006362DF"/>
    <w:rsid w:val="00640AE0"/>
    <w:rsid w:val="00646442"/>
    <w:rsid w:val="00676080"/>
    <w:rsid w:val="00696BFE"/>
    <w:rsid w:val="006F0E4C"/>
    <w:rsid w:val="007055E6"/>
    <w:rsid w:val="00705B6A"/>
    <w:rsid w:val="00710D1B"/>
    <w:rsid w:val="00722CF4"/>
    <w:rsid w:val="007234FE"/>
    <w:rsid w:val="0077147A"/>
    <w:rsid w:val="00782EAB"/>
    <w:rsid w:val="007871F9"/>
    <w:rsid w:val="00787F12"/>
    <w:rsid w:val="007A4FF7"/>
    <w:rsid w:val="007D3DB6"/>
    <w:rsid w:val="007E2B16"/>
    <w:rsid w:val="00800AF8"/>
    <w:rsid w:val="00812DB6"/>
    <w:rsid w:val="00814651"/>
    <w:rsid w:val="00816ABF"/>
    <w:rsid w:val="008244EF"/>
    <w:rsid w:val="00824EA3"/>
    <w:rsid w:val="008272B1"/>
    <w:rsid w:val="00827EB7"/>
    <w:rsid w:val="00846BFD"/>
    <w:rsid w:val="0085067C"/>
    <w:rsid w:val="00852F13"/>
    <w:rsid w:val="0085713E"/>
    <w:rsid w:val="008665EB"/>
    <w:rsid w:val="00884D13"/>
    <w:rsid w:val="008855F0"/>
    <w:rsid w:val="00891FE1"/>
    <w:rsid w:val="008941AB"/>
    <w:rsid w:val="008A645C"/>
    <w:rsid w:val="008B1062"/>
    <w:rsid w:val="008B32AE"/>
    <w:rsid w:val="008B32B2"/>
    <w:rsid w:val="008C33DE"/>
    <w:rsid w:val="008C4D5C"/>
    <w:rsid w:val="008D423D"/>
    <w:rsid w:val="008E22FB"/>
    <w:rsid w:val="008F1C14"/>
    <w:rsid w:val="008F5AA4"/>
    <w:rsid w:val="008F60F0"/>
    <w:rsid w:val="00900934"/>
    <w:rsid w:val="00901494"/>
    <w:rsid w:val="00902D27"/>
    <w:rsid w:val="009055A7"/>
    <w:rsid w:val="00924373"/>
    <w:rsid w:val="00936B6E"/>
    <w:rsid w:val="00943844"/>
    <w:rsid w:val="00951709"/>
    <w:rsid w:val="00955446"/>
    <w:rsid w:val="009604F7"/>
    <w:rsid w:val="00965A09"/>
    <w:rsid w:val="00971F14"/>
    <w:rsid w:val="00972CB1"/>
    <w:rsid w:val="00984271"/>
    <w:rsid w:val="0098442C"/>
    <w:rsid w:val="00990333"/>
    <w:rsid w:val="009A1B15"/>
    <w:rsid w:val="009A3917"/>
    <w:rsid w:val="00A00C40"/>
    <w:rsid w:val="00A24DEA"/>
    <w:rsid w:val="00A43F18"/>
    <w:rsid w:val="00A62BE0"/>
    <w:rsid w:val="00A7230A"/>
    <w:rsid w:val="00A73525"/>
    <w:rsid w:val="00A80C43"/>
    <w:rsid w:val="00A857A7"/>
    <w:rsid w:val="00A85E29"/>
    <w:rsid w:val="00A90073"/>
    <w:rsid w:val="00AA1B6A"/>
    <w:rsid w:val="00AA1E33"/>
    <w:rsid w:val="00AB73A1"/>
    <w:rsid w:val="00AD3DC9"/>
    <w:rsid w:val="00AE47BF"/>
    <w:rsid w:val="00AE7F99"/>
    <w:rsid w:val="00AF3643"/>
    <w:rsid w:val="00AF4EFB"/>
    <w:rsid w:val="00B0011B"/>
    <w:rsid w:val="00B062B9"/>
    <w:rsid w:val="00B073DA"/>
    <w:rsid w:val="00B125C2"/>
    <w:rsid w:val="00B12AE1"/>
    <w:rsid w:val="00B242A8"/>
    <w:rsid w:val="00B448A0"/>
    <w:rsid w:val="00B61366"/>
    <w:rsid w:val="00B66A66"/>
    <w:rsid w:val="00B77D31"/>
    <w:rsid w:val="00B90E91"/>
    <w:rsid w:val="00B93D10"/>
    <w:rsid w:val="00BB6541"/>
    <w:rsid w:val="00BC56D4"/>
    <w:rsid w:val="00BD2BAD"/>
    <w:rsid w:val="00BE26BD"/>
    <w:rsid w:val="00BF09EA"/>
    <w:rsid w:val="00C068F5"/>
    <w:rsid w:val="00C11E41"/>
    <w:rsid w:val="00C13BE8"/>
    <w:rsid w:val="00C33784"/>
    <w:rsid w:val="00C50681"/>
    <w:rsid w:val="00C63DF8"/>
    <w:rsid w:val="00C645B7"/>
    <w:rsid w:val="00C70173"/>
    <w:rsid w:val="00C70F68"/>
    <w:rsid w:val="00CA0AE0"/>
    <w:rsid w:val="00CA18CA"/>
    <w:rsid w:val="00CA3EDA"/>
    <w:rsid w:val="00CB3B3F"/>
    <w:rsid w:val="00CC32E8"/>
    <w:rsid w:val="00CC4A45"/>
    <w:rsid w:val="00CC637A"/>
    <w:rsid w:val="00CF5F16"/>
    <w:rsid w:val="00D073D7"/>
    <w:rsid w:val="00D27CFA"/>
    <w:rsid w:val="00D308AC"/>
    <w:rsid w:val="00D36E9D"/>
    <w:rsid w:val="00D45D75"/>
    <w:rsid w:val="00D45EF9"/>
    <w:rsid w:val="00D974E2"/>
    <w:rsid w:val="00DA6B70"/>
    <w:rsid w:val="00DB12A4"/>
    <w:rsid w:val="00DD2438"/>
    <w:rsid w:val="00DD47C6"/>
    <w:rsid w:val="00DF4CC6"/>
    <w:rsid w:val="00DF605B"/>
    <w:rsid w:val="00E01C03"/>
    <w:rsid w:val="00E67B65"/>
    <w:rsid w:val="00EA7895"/>
    <w:rsid w:val="00EB5A4E"/>
    <w:rsid w:val="00EC7EB1"/>
    <w:rsid w:val="00EE278E"/>
    <w:rsid w:val="00EE6077"/>
    <w:rsid w:val="00EF5A8C"/>
    <w:rsid w:val="00F2079B"/>
    <w:rsid w:val="00F316BC"/>
    <w:rsid w:val="00F32121"/>
    <w:rsid w:val="00F32D85"/>
    <w:rsid w:val="00F376F3"/>
    <w:rsid w:val="00F62ECA"/>
    <w:rsid w:val="00F70BDC"/>
    <w:rsid w:val="00F74126"/>
    <w:rsid w:val="00F77D66"/>
    <w:rsid w:val="00F9654A"/>
    <w:rsid w:val="00FA42C1"/>
    <w:rsid w:val="00FD0E57"/>
    <w:rsid w:val="00FF59F5"/>
    <w:rsid w:val="1AACE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3CDE9"/>
  <w15:docId w15:val="{AA8F604B-4A54-4750-AAE9-51F256DB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b/>
      <w:bCs/>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character" w:styleId="CommentReference">
    <w:name w:val="annotation reference"/>
    <w:rsid w:val="00F9654A"/>
    <w:rPr>
      <w:sz w:val="16"/>
      <w:szCs w:val="16"/>
    </w:rPr>
  </w:style>
  <w:style w:type="paragraph" w:styleId="CommentText">
    <w:name w:val="annotation text"/>
    <w:basedOn w:val="Normal"/>
    <w:link w:val="CommentTextChar"/>
    <w:rsid w:val="00F9654A"/>
  </w:style>
  <w:style w:type="character" w:customStyle="1" w:styleId="CommentTextChar">
    <w:name w:val="Comment Text Char"/>
    <w:link w:val="CommentText"/>
    <w:rsid w:val="00F9654A"/>
    <w:rPr>
      <w:b/>
      <w:bCs/>
    </w:rPr>
  </w:style>
  <w:style w:type="paragraph" w:styleId="CommentSubject">
    <w:name w:val="annotation subject"/>
    <w:basedOn w:val="CommentText"/>
    <w:next w:val="CommentText"/>
    <w:link w:val="CommentSubjectChar"/>
    <w:rsid w:val="00F9654A"/>
  </w:style>
  <w:style w:type="character" w:customStyle="1" w:styleId="CommentSubjectChar">
    <w:name w:val="Comment Subject Char"/>
    <w:basedOn w:val="CommentTextChar"/>
    <w:link w:val="CommentSubject"/>
    <w:rsid w:val="00F9654A"/>
    <w:rPr>
      <w:b/>
      <w:bCs/>
    </w:rPr>
  </w:style>
  <w:style w:type="paragraph" w:styleId="Revision">
    <w:name w:val="Revision"/>
    <w:hidden/>
    <w:uiPriority w:val="99"/>
    <w:semiHidden/>
    <w:rsid w:val="00250F60"/>
    <w:rPr>
      <w:b/>
      <w:bCs/>
      <w:lang w:eastAsia="en-US"/>
    </w:rPr>
  </w:style>
  <w:style w:type="paragraph" w:customStyle="1" w:styleId="Style10ptItalicLeft05Hanging025">
    <w:name w:val="Style 10 pt Italic Left:  0.5&quot; Hanging:  0.25&quot;"/>
    <w:basedOn w:val="Normal"/>
    <w:rsid w:val="008855F0"/>
    <w:pPr>
      <w:numPr>
        <w:numId w:val="27"/>
      </w:numPr>
    </w:pPr>
    <w:rPr>
      <w:b w:val="0"/>
      <w:bCs w:val="0"/>
      <w:i/>
      <w:iCs/>
    </w:rPr>
  </w:style>
  <w:style w:type="paragraph" w:styleId="ListParagraph">
    <w:name w:val="List Paragraph"/>
    <w:basedOn w:val="Normal"/>
    <w:uiPriority w:val="34"/>
    <w:qFormat/>
    <w:rsid w:val="009844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6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bsa/employers-and-advisers/plan-administration-and-compliance/health-plans/notice-of-research-exception-under-gi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l.gov/agencies/ebsa/employers-and-advisers/plan-administration-and-compliance/health-plans/notice-of-research-exception-under-gina"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pe.usps.com/text/dmm300/Notice123.htm?_gl=1*1e2kxda*_ga*MzY1MzQ2NTE0LjE2Mjc2NDg3MDY.*_ga_3NXP3C8S9V*MTY0MTkxMjc5MC45LjEuMTY0MTkxMzE1MC4w" TargetMode="External"/><Relationship Id="rId1" Type="http://schemas.openxmlformats.org/officeDocument/2006/relationships/hyperlink" Target="https://www.dol.gov/sites/dolgov/files/EBSA/laws-and-regulations/rules-and-regulations/technical-appendices/labor-cost-inputs-used-in-ebsa-opr-ria-and-pra-burden-calculations-june-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67BDA-41D7-450E-AFB2-D1F42D36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2579</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KellyC</dc:creator>
  <cp:keywords/>
  <cp:lastModifiedBy>Khan, Mariam - EBSA</cp:lastModifiedBy>
  <cp:revision>2</cp:revision>
  <cp:lastPrinted>2019-02-07T14:06:00Z</cp:lastPrinted>
  <dcterms:created xsi:type="dcterms:W3CDTF">2022-02-15T16:31:00Z</dcterms:created>
  <dcterms:modified xsi:type="dcterms:W3CDTF">2022-02-15T16:31:00Z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