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2E88" w:rsidR="00BB7E8E" w:rsidP="00106908" w:rsidRDefault="00BB7E8E" w14:paraId="69503312" w14:textId="77777777">
      <w:pPr>
        <w:tabs>
          <w:tab w:val="center" w:pos="4680"/>
        </w:tabs>
        <w:spacing w:line="233" w:lineRule="auto"/>
        <w:jc w:val="center"/>
        <w:rPr>
          <w:rFonts w:ascii="Courier New" w:hAnsi="Courier New" w:cs="Courier New"/>
          <w:bCs/>
        </w:rPr>
      </w:pPr>
      <w:r w:rsidRPr="00942E88">
        <w:rPr>
          <w:rFonts w:ascii="Courier New" w:hAnsi="Courier New" w:cs="Courier New"/>
          <w:bCs/>
        </w:rPr>
        <w:t>SUPPORTING STATEMENT</w:t>
      </w:r>
    </w:p>
    <w:p w:rsidRPr="00942E88" w:rsidR="00942E88" w:rsidP="00106908" w:rsidRDefault="00942E88" w14:paraId="44C423DD" w14:textId="77777777">
      <w:pPr>
        <w:tabs>
          <w:tab w:val="center" w:pos="4680"/>
        </w:tabs>
        <w:spacing w:line="233" w:lineRule="auto"/>
        <w:jc w:val="center"/>
        <w:rPr>
          <w:rFonts w:ascii="Courier New" w:hAnsi="Courier New" w:cs="Courier New"/>
          <w:bCs/>
        </w:rPr>
      </w:pPr>
      <w:r w:rsidRPr="00942E88">
        <w:rPr>
          <w:rFonts w:ascii="Courier New" w:hAnsi="Courier New" w:cs="Courier New"/>
          <w:bCs/>
        </w:rPr>
        <w:t>Internal Revenue Service</w:t>
      </w:r>
    </w:p>
    <w:p w:rsidRPr="00942E88" w:rsidR="002C62A4" w:rsidP="00106908" w:rsidRDefault="00BB7E8E" w14:paraId="33A0A576" w14:textId="77777777">
      <w:pPr>
        <w:tabs>
          <w:tab w:val="center" w:pos="4680"/>
        </w:tabs>
        <w:spacing w:line="233" w:lineRule="auto"/>
        <w:jc w:val="center"/>
        <w:rPr>
          <w:rFonts w:ascii="Courier New" w:hAnsi="Courier New" w:cs="Courier New"/>
          <w:bCs/>
        </w:rPr>
      </w:pPr>
      <w:r w:rsidRPr="00942E88">
        <w:rPr>
          <w:rFonts w:ascii="Courier New" w:hAnsi="Courier New" w:cs="Courier New"/>
          <w:bCs/>
        </w:rPr>
        <w:t>REG-209709-94</w:t>
      </w:r>
      <w:r w:rsidRPr="00942E88" w:rsidR="00F61976">
        <w:rPr>
          <w:rFonts w:ascii="Courier New" w:hAnsi="Courier New" w:cs="Courier New"/>
          <w:bCs/>
        </w:rPr>
        <w:t xml:space="preserve"> (Final-TD 8865) </w:t>
      </w:r>
    </w:p>
    <w:p w:rsidRPr="00942E88" w:rsidR="00BB7E8E" w:rsidP="00106908" w:rsidRDefault="00F61976" w14:paraId="34F860FB" w14:textId="77777777">
      <w:pPr>
        <w:tabs>
          <w:tab w:val="center" w:pos="4680"/>
        </w:tabs>
        <w:spacing w:line="233" w:lineRule="auto"/>
        <w:jc w:val="center"/>
        <w:rPr>
          <w:rFonts w:ascii="Courier New" w:hAnsi="Courier New" w:cs="Courier New"/>
          <w:bCs/>
        </w:rPr>
      </w:pPr>
      <w:r w:rsidRPr="00942E88">
        <w:rPr>
          <w:rFonts w:ascii="Courier New" w:hAnsi="Courier New" w:cs="Courier New"/>
          <w:bCs/>
        </w:rPr>
        <w:t>Amortization of Intangible Property</w:t>
      </w:r>
    </w:p>
    <w:p w:rsidRPr="00942E88" w:rsidR="00F61976" w:rsidP="00106908" w:rsidRDefault="00942E88" w14:paraId="37AD511B" w14:textId="77777777">
      <w:pPr>
        <w:tabs>
          <w:tab w:val="center" w:pos="4680"/>
        </w:tabs>
        <w:spacing w:line="233" w:lineRule="auto"/>
        <w:jc w:val="center"/>
        <w:rPr>
          <w:rFonts w:ascii="Courier New" w:hAnsi="Courier New" w:cs="Courier New"/>
          <w:bCs/>
        </w:rPr>
      </w:pPr>
      <w:r w:rsidRPr="00942E88">
        <w:rPr>
          <w:rFonts w:ascii="Courier New" w:hAnsi="Courier New" w:cs="Courier New"/>
          <w:bCs/>
        </w:rPr>
        <w:t>OMB Control Number</w:t>
      </w:r>
      <w:r w:rsidR="00252AAB">
        <w:rPr>
          <w:rFonts w:ascii="Courier New" w:hAnsi="Courier New" w:cs="Courier New"/>
          <w:bCs/>
        </w:rPr>
        <w:t xml:space="preserve"> -</w:t>
      </w:r>
      <w:r w:rsidRPr="00942E88">
        <w:rPr>
          <w:rFonts w:ascii="Courier New" w:hAnsi="Courier New" w:cs="Courier New"/>
          <w:bCs/>
        </w:rPr>
        <w:t xml:space="preserve"> </w:t>
      </w:r>
      <w:r w:rsidRPr="00942E88" w:rsidR="00F61976">
        <w:rPr>
          <w:rFonts w:ascii="Courier New" w:hAnsi="Courier New" w:cs="Courier New"/>
          <w:bCs/>
        </w:rPr>
        <w:t>1545-1671</w:t>
      </w:r>
    </w:p>
    <w:p w:rsidRPr="00942E88" w:rsidR="00BB7E8E" w:rsidRDefault="00BB7E8E" w14:paraId="0F0D3D12" w14:textId="77777777">
      <w:pPr>
        <w:spacing w:line="233" w:lineRule="auto"/>
        <w:rPr>
          <w:rFonts w:ascii="Courier New" w:hAnsi="Courier New" w:cs="Courier New"/>
          <w:bCs/>
        </w:rPr>
      </w:pPr>
    </w:p>
    <w:p w:rsidRPr="00942E88" w:rsidR="00BB7E8E" w:rsidRDefault="00BB7E8E" w14:paraId="09ECA13A" w14:textId="77777777">
      <w:pPr>
        <w:spacing w:line="233" w:lineRule="auto"/>
        <w:rPr>
          <w:rFonts w:ascii="Courier New" w:hAnsi="Courier New" w:cs="Courier New"/>
          <w:bCs/>
        </w:rPr>
      </w:pPr>
    </w:p>
    <w:p w:rsidRPr="00942E88" w:rsidR="00BB7E8E" w:rsidRDefault="00BB7E8E" w14:paraId="55F1DEB3"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w:t>
      </w:r>
      <w:r w:rsidRPr="00942E88">
        <w:rPr>
          <w:rFonts w:ascii="Courier New" w:hAnsi="Courier New" w:cs="Courier New"/>
          <w:bCs/>
        </w:rPr>
        <w:tab/>
        <w:t>CIRCUMSTANCES NECESSITATING COLLECTION OF INFORMATION</w:t>
      </w:r>
    </w:p>
    <w:p w:rsidRPr="002C62A4" w:rsidR="00BB7E8E" w:rsidRDefault="00BB7E8E" w14:paraId="3AF94E72" w14:textId="77777777">
      <w:pPr>
        <w:spacing w:line="233" w:lineRule="auto"/>
        <w:ind w:left="720"/>
        <w:rPr>
          <w:rFonts w:ascii="Courier New" w:hAnsi="Courier New" w:cs="Courier New"/>
          <w:b/>
          <w:bCs/>
        </w:rPr>
      </w:pPr>
    </w:p>
    <w:p w:rsidRPr="002C62A4" w:rsidR="00BB7E8E" w:rsidRDefault="00BB7E8E" w14:paraId="094347F4" w14:textId="77777777">
      <w:pPr>
        <w:spacing w:line="233" w:lineRule="auto"/>
        <w:ind w:left="720"/>
        <w:rPr>
          <w:rFonts w:ascii="Courier New" w:hAnsi="Courier New" w:cs="Courier New"/>
          <w:bCs/>
        </w:rPr>
      </w:pPr>
      <w:r w:rsidRPr="002C62A4">
        <w:rPr>
          <w:rFonts w:ascii="Courier New" w:hAnsi="Courier New" w:cs="Courier New"/>
          <w:bCs/>
        </w:rPr>
        <w:t xml:space="preserve">Under section 197(f)(9), certain qualifying taxpayers may avoid the application of anti-churning rules of section 197 for transactions between related parties.  To avoid the anti-churning rules, the person from whom the taxpayer acquired the intangible property must elect to recognize the gain and to pay a tax on such gain.  The regulations provide that the person so electing notify both the Internal Revenue Service and the taxpayer of its </w:t>
      </w:r>
      <w:r w:rsidRPr="002C62A4" w:rsidR="00C9427A">
        <w:rPr>
          <w:rFonts w:ascii="Courier New" w:hAnsi="Courier New" w:cs="Courier New"/>
          <w:bCs/>
        </w:rPr>
        <w:t>election and</w:t>
      </w:r>
      <w:r w:rsidR="00C9427A">
        <w:rPr>
          <w:rFonts w:ascii="Courier New" w:hAnsi="Courier New" w:cs="Courier New"/>
          <w:bCs/>
        </w:rPr>
        <w:t xml:space="preserve"> </w:t>
      </w:r>
      <w:r w:rsidRPr="002C62A4">
        <w:rPr>
          <w:rFonts w:ascii="Courier New" w:hAnsi="Courier New" w:cs="Courier New"/>
          <w:bCs/>
        </w:rPr>
        <w:t>provide the Internal Revenue Service with sufficient information to confirm the amount of tax due.</w:t>
      </w:r>
    </w:p>
    <w:p w:rsidRPr="00942E88" w:rsidR="00BB7E8E" w:rsidRDefault="00BB7E8E" w14:paraId="752C1BA0" w14:textId="77777777">
      <w:pPr>
        <w:spacing w:line="233" w:lineRule="auto"/>
        <w:rPr>
          <w:rFonts w:ascii="Courier New" w:hAnsi="Courier New" w:cs="Courier New"/>
          <w:bCs/>
        </w:rPr>
      </w:pPr>
    </w:p>
    <w:p w:rsidRPr="00942E88" w:rsidR="00BB7E8E" w:rsidRDefault="00BB7E8E" w14:paraId="382CCDF9"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2.</w:t>
      </w:r>
      <w:r w:rsidRPr="00942E88">
        <w:rPr>
          <w:rFonts w:ascii="Courier New" w:hAnsi="Courier New" w:cs="Courier New"/>
          <w:bCs/>
        </w:rPr>
        <w:tab/>
        <w:t>USE OF DATA</w:t>
      </w:r>
    </w:p>
    <w:p w:rsidR="002C62A4" w:rsidRDefault="002C62A4" w14:paraId="29E6A53F" w14:textId="77777777">
      <w:pPr>
        <w:tabs>
          <w:tab w:val="left" w:pos="-1440"/>
        </w:tabs>
        <w:spacing w:line="233" w:lineRule="auto"/>
        <w:ind w:left="720" w:hanging="720"/>
        <w:rPr>
          <w:rFonts w:ascii="Courier New" w:hAnsi="Courier New" w:cs="Courier New"/>
          <w:b/>
          <w:bCs/>
          <w:u w:val="single"/>
        </w:rPr>
      </w:pPr>
    </w:p>
    <w:p w:rsidRPr="002C62A4" w:rsidR="002C62A4" w:rsidRDefault="002C62A4" w14:paraId="105E28EC" w14:textId="77777777">
      <w:pPr>
        <w:tabs>
          <w:tab w:val="left" w:pos="-1440"/>
        </w:tabs>
        <w:spacing w:line="233" w:lineRule="auto"/>
        <w:ind w:left="720" w:hanging="720"/>
        <w:rPr>
          <w:rFonts w:ascii="Courier New" w:hAnsi="Courier New" w:cs="Courier New"/>
          <w:bCs/>
        </w:rPr>
      </w:pPr>
      <w:r w:rsidRPr="002C62A4">
        <w:rPr>
          <w:rFonts w:ascii="Courier New" w:hAnsi="Courier New" w:cs="Courier New"/>
          <w:bCs/>
        </w:rPr>
        <w:t xml:space="preserve">     This information will be used to confirm the parties to the transaction,</w:t>
      </w:r>
      <w:r w:rsidR="00C9427A">
        <w:rPr>
          <w:rFonts w:ascii="Courier New" w:hAnsi="Courier New" w:cs="Courier New"/>
          <w:bCs/>
        </w:rPr>
        <w:t xml:space="preserve"> </w:t>
      </w:r>
      <w:r w:rsidRPr="002C62A4">
        <w:rPr>
          <w:rFonts w:ascii="Courier New" w:hAnsi="Courier New" w:cs="Courier New"/>
          <w:bCs/>
        </w:rPr>
        <w:t xml:space="preserve">calculate any additional tax due, and notify the purchaser of the seller's election. The likely respondents are business or other for-profit institutions.        </w:t>
      </w:r>
    </w:p>
    <w:p w:rsidRPr="00942E88" w:rsidR="00BB7E8E" w:rsidRDefault="00BB7E8E" w14:paraId="0754A0B5"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3.</w:t>
      </w:r>
      <w:r w:rsidRPr="00942E88">
        <w:rPr>
          <w:rFonts w:ascii="Courier New" w:hAnsi="Courier New" w:cs="Courier New"/>
          <w:bCs/>
        </w:rPr>
        <w:tab/>
        <w:t>USE OF IMPROVED INFORMATION TECHNOLOGY TO REDUCE BURDEN</w:t>
      </w:r>
    </w:p>
    <w:p w:rsidRPr="00942E88" w:rsidR="00BB7E8E" w:rsidRDefault="00BB7E8E" w14:paraId="54A5F15B" w14:textId="77777777">
      <w:pPr>
        <w:spacing w:line="233" w:lineRule="auto"/>
        <w:rPr>
          <w:rFonts w:ascii="Courier New" w:hAnsi="Courier New" w:cs="Courier New"/>
          <w:bCs/>
        </w:rPr>
      </w:pPr>
    </w:p>
    <w:p w:rsidRPr="00252AAB" w:rsidR="007247BF" w:rsidP="007247BF" w:rsidRDefault="00252AAB" w14:paraId="7D291356" w14:textId="28085DFF">
      <w:pPr>
        <w:widowControl/>
        <w:ind w:left="720"/>
        <w:rPr>
          <w:rFonts w:ascii="Courier New" w:hAnsi="Courier New" w:cs="Courier New"/>
        </w:rPr>
      </w:pPr>
      <w:r w:rsidRPr="00252AAB">
        <w:rPr>
          <w:rFonts w:ascii="Courier New" w:hAnsi="Courier New" w:cs="Courier New"/>
          <w:bCs/>
        </w:rPr>
        <w:t>IRS publications, Regulations, Notices and Letters are to be electronically enabled on an as practicable basis in accordance with the IRS Reform and Restructuring Act of 1998. There are plans to provide e</w:t>
      </w:r>
      <w:r w:rsidRPr="00252AAB">
        <w:rPr>
          <w:rFonts w:ascii="Courier New" w:hAnsi="Courier New" w:cs="Courier New"/>
          <w:bCs/>
          <w:iCs/>
        </w:rPr>
        <w:t xml:space="preserve">lectronic filing for this collection of information </w:t>
      </w:r>
      <w:r w:rsidR="00762D36">
        <w:rPr>
          <w:rFonts w:ascii="Courier New" w:hAnsi="Courier New" w:cs="Courier New"/>
          <w:bCs/>
          <w:iCs/>
        </w:rPr>
        <w:t>the regulations permit public notice to be published on a website</w:t>
      </w:r>
      <w:r w:rsidRPr="00252AAB" w:rsidR="007247BF">
        <w:rPr>
          <w:rFonts w:ascii="Courier New" w:hAnsi="Courier New" w:cs="Courier New"/>
        </w:rPr>
        <w:t>.</w:t>
      </w:r>
    </w:p>
    <w:p w:rsidRPr="002C62A4" w:rsidR="00BB7E8E" w:rsidRDefault="00BB7E8E" w14:paraId="2BD7BDEF" w14:textId="77777777">
      <w:pPr>
        <w:spacing w:line="233" w:lineRule="auto"/>
        <w:ind w:left="720"/>
        <w:rPr>
          <w:rFonts w:ascii="Courier New" w:hAnsi="Courier New" w:cs="Courier New"/>
          <w:bCs/>
        </w:rPr>
      </w:pPr>
    </w:p>
    <w:p w:rsidRPr="002C62A4" w:rsidR="00BB7E8E" w:rsidRDefault="00BB7E8E" w14:paraId="0E9E3EB0" w14:textId="77777777">
      <w:pPr>
        <w:spacing w:line="233" w:lineRule="auto"/>
        <w:ind w:left="720"/>
        <w:rPr>
          <w:rFonts w:ascii="Courier New" w:hAnsi="Courier New" w:cs="Courier New"/>
          <w:b/>
          <w:bCs/>
        </w:rPr>
      </w:pPr>
    </w:p>
    <w:p w:rsidRPr="00942E88" w:rsidR="00BB7E8E" w:rsidRDefault="00BB7E8E" w14:paraId="67D796A4"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 xml:space="preserve">4. </w:t>
      </w:r>
      <w:r w:rsidRPr="00942E88" w:rsidR="00E71A67">
        <w:rPr>
          <w:rFonts w:ascii="Courier New" w:hAnsi="Courier New" w:cs="Courier New"/>
          <w:bCs/>
        </w:rPr>
        <w:t xml:space="preserve">  </w:t>
      </w:r>
      <w:r w:rsidRPr="00942E88">
        <w:rPr>
          <w:rFonts w:ascii="Courier New" w:hAnsi="Courier New" w:cs="Courier New"/>
          <w:bCs/>
        </w:rPr>
        <w:t>EFFORTS TO IDENTIFY DUPLICATION</w:t>
      </w:r>
    </w:p>
    <w:p w:rsidRPr="002C62A4" w:rsidR="00BB7E8E" w:rsidRDefault="00BB7E8E" w14:paraId="54BAEDF7" w14:textId="77777777">
      <w:pPr>
        <w:spacing w:line="233" w:lineRule="auto"/>
        <w:rPr>
          <w:rFonts w:ascii="Courier New" w:hAnsi="Courier New" w:cs="Courier New"/>
          <w:b/>
          <w:bCs/>
        </w:rPr>
      </w:pPr>
    </w:p>
    <w:p w:rsidRPr="00C50637" w:rsidR="00C35537" w:rsidP="00C50637" w:rsidRDefault="00C35537" w14:paraId="2247F526" w14:textId="470A4DBF">
      <w:pPr>
        <w:ind w:left="720"/>
        <w:rPr>
          <w:rFonts w:ascii="Courier New" w:hAnsi="Courier New" w:cs="Courier New"/>
        </w:rPr>
      </w:pPr>
      <w:r w:rsidRPr="00C50637">
        <w:rPr>
          <w:rFonts w:ascii="Courier New" w:hAnsi="Courier New" w:cs="Courier New"/>
        </w:rPr>
        <w:t>The information obtained through this collection is unique and is not already available or use or adaption from another source.</w:t>
      </w:r>
      <w:r w:rsidR="00762D36">
        <w:rPr>
          <w:rFonts w:ascii="Courier New" w:hAnsi="Courier New" w:cs="Courier New"/>
        </w:rPr>
        <w:t xml:space="preserve"> We have attempted to eliminate duplication within the agency wherever possible.</w:t>
      </w:r>
      <w:r w:rsidRPr="00C50637">
        <w:rPr>
          <w:rFonts w:ascii="Courier New" w:hAnsi="Courier New" w:cs="Courier New"/>
        </w:rPr>
        <w:t xml:space="preserve">    </w:t>
      </w:r>
    </w:p>
    <w:p w:rsidRPr="002C62A4" w:rsidR="00BB7E8E" w:rsidRDefault="00BB7E8E" w14:paraId="3D94732B" w14:textId="77777777">
      <w:pPr>
        <w:spacing w:line="233" w:lineRule="auto"/>
        <w:ind w:left="720"/>
        <w:rPr>
          <w:rFonts w:ascii="Courier New" w:hAnsi="Courier New" w:cs="Courier New"/>
          <w:bCs/>
        </w:rPr>
      </w:pPr>
    </w:p>
    <w:p w:rsidRPr="002C62A4" w:rsidR="00BB7E8E" w:rsidRDefault="00BB7E8E" w14:paraId="03131397" w14:textId="77777777">
      <w:pPr>
        <w:spacing w:line="233" w:lineRule="auto"/>
        <w:ind w:left="720"/>
        <w:rPr>
          <w:rFonts w:ascii="Courier New" w:hAnsi="Courier New" w:cs="Courier New"/>
          <w:b/>
          <w:bCs/>
        </w:rPr>
      </w:pPr>
    </w:p>
    <w:p w:rsidRPr="00942E88" w:rsidR="00BB7E8E" w:rsidRDefault="00BB7E8E" w14:paraId="0DE3289A"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5.</w:t>
      </w:r>
      <w:r w:rsidRPr="00942E88">
        <w:rPr>
          <w:rFonts w:ascii="Courier New" w:hAnsi="Courier New" w:cs="Courier New"/>
          <w:bCs/>
        </w:rPr>
        <w:tab/>
        <w:t>METHODS TO MINIMIZE BURDEN ON SMALL BUSINESSES OR OTHER</w:t>
      </w:r>
    </w:p>
    <w:p w:rsidRPr="00942E88" w:rsidR="00BB7E8E" w:rsidP="00E71A67" w:rsidRDefault="00BB7E8E" w14:paraId="5E995DE2"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lastRenderedPageBreak/>
        <w:t xml:space="preserve">    </w:t>
      </w:r>
      <w:r w:rsidRPr="00942E88">
        <w:rPr>
          <w:rFonts w:ascii="Courier New" w:hAnsi="Courier New" w:cs="Courier New"/>
          <w:bCs/>
        </w:rPr>
        <w:tab/>
        <w:t>SMALL ENTITIES</w:t>
      </w:r>
    </w:p>
    <w:p w:rsidR="00E71A67" w:rsidP="00E71A67" w:rsidRDefault="00E71A67" w14:paraId="3CB391F3" w14:textId="77777777">
      <w:pPr>
        <w:rPr>
          <w:rFonts w:ascii="Courier New" w:hAnsi="Courier New" w:cs="Courier New"/>
          <w:bCs/>
        </w:rPr>
      </w:pPr>
    </w:p>
    <w:p w:rsidRPr="002C62A4" w:rsidR="00BB7E8E" w:rsidP="00E71A67" w:rsidRDefault="00E71A67" w14:paraId="4FF2F1DD" w14:textId="655C4907">
      <w:pPr>
        <w:rPr>
          <w:rFonts w:ascii="Courier New" w:hAnsi="Courier New" w:cs="Courier New"/>
          <w:bCs/>
        </w:rPr>
      </w:pPr>
      <w:r>
        <w:rPr>
          <w:rFonts w:ascii="Courier New" w:hAnsi="Courier New" w:cs="Courier New"/>
          <w:bCs/>
        </w:rPr>
        <w:t xml:space="preserve">     </w:t>
      </w:r>
      <w:r w:rsidRPr="00E71A67">
        <w:rPr>
          <w:rFonts w:ascii="Courier New" w:hAnsi="Courier New" w:cs="Courier New"/>
          <w:bCs/>
        </w:rPr>
        <w:t xml:space="preserve">There </w:t>
      </w:r>
      <w:r w:rsidR="00C50637">
        <w:rPr>
          <w:rFonts w:ascii="Courier New" w:hAnsi="Courier New" w:cs="Courier New"/>
          <w:bCs/>
        </w:rPr>
        <w:t xml:space="preserve">is </w:t>
      </w:r>
      <w:r w:rsidRPr="00E71A67">
        <w:rPr>
          <w:rFonts w:ascii="Courier New" w:hAnsi="Courier New" w:cs="Courier New"/>
          <w:bCs/>
        </w:rPr>
        <w:t>no</w:t>
      </w:r>
      <w:r w:rsidR="00C50637">
        <w:rPr>
          <w:rFonts w:ascii="Courier New" w:hAnsi="Courier New" w:cs="Courier New"/>
          <w:bCs/>
        </w:rPr>
        <w:t xml:space="preserve"> burden on</w:t>
      </w:r>
      <w:r w:rsidRPr="00E71A67">
        <w:rPr>
          <w:rFonts w:ascii="Courier New" w:hAnsi="Courier New" w:cs="Courier New"/>
          <w:bCs/>
        </w:rPr>
        <w:t xml:space="preserve"> small </w:t>
      </w:r>
      <w:r w:rsidR="00C50637">
        <w:rPr>
          <w:rFonts w:ascii="Courier New" w:hAnsi="Courier New" w:cs="Courier New"/>
          <w:bCs/>
        </w:rPr>
        <w:t xml:space="preserve">businesses or other small           </w:t>
      </w:r>
      <w:r w:rsidRPr="00E71A67">
        <w:rPr>
          <w:rFonts w:ascii="Courier New" w:hAnsi="Courier New" w:cs="Courier New"/>
          <w:bCs/>
        </w:rPr>
        <w:t xml:space="preserve">entities </w:t>
      </w:r>
      <w:r w:rsidR="00C50637">
        <w:rPr>
          <w:rFonts w:ascii="Courier New" w:hAnsi="Courier New" w:cs="Courier New"/>
          <w:bCs/>
        </w:rPr>
        <w:t>due to the inapplicability of the authorizing          statue</w:t>
      </w:r>
      <w:r w:rsidR="00762D36">
        <w:rPr>
          <w:rFonts w:ascii="Courier New" w:hAnsi="Courier New" w:cs="Courier New"/>
          <w:bCs/>
        </w:rPr>
        <w:t xml:space="preserve"> under </w:t>
      </w:r>
      <w:r w:rsidRPr="002C62A4" w:rsidR="00762D36">
        <w:rPr>
          <w:rFonts w:ascii="Courier New" w:hAnsi="Courier New" w:cs="Courier New"/>
          <w:bCs/>
        </w:rPr>
        <w:t>section 197(f)(9)</w:t>
      </w:r>
      <w:r w:rsidR="00C50637">
        <w:rPr>
          <w:rFonts w:ascii="Courier New" w:hAnsi="Courier New" w:cs="Courier New"/>
          <w:bCs/>
        </w:rPr>
        <w:t xml:space="preserve"> to this type of entity.</w:t>
      </w:r>
      <w:r w:rsidRPr="00E71A67">
        <w:rPr>
          <w:rFonts w:ascii="Courier New" w:hAnsi="Courier New" w:cs="Courier New"/>
          <w:bCs/>
        </w:rPr>
        <w:t xml:space="preserve"> </w:t>
      </w:r>
    </w:p>
    <w:p w:rsidRPr="002C62A4" w:rsidR="00BB7E8E" w:rsidRDefault="00BB7E8E" w14:paraId="36359C47" w14:textId="77777777">
      <w:pPr>
        <w:spacing w:line="233" w:lineRule="auto"/>
        <w:ind w:left="720"/>
        <w:rPr>
          <w:rFonts w:ascii="Courier New" w:hAnsi="Courier New" w:cs="Courier New"/>
          <w:b/>
          <w:bCs/>
        </w:rPr>
      </w:pPr>
    </w:p>
    <w:p w:rsidR="00BB7E8E" w:rsidRDefault="00BB7E8E" w14:paraId="41B92656"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6.</w:t>
      </w:r>
      <w:r w:rsidRPr="00942E88">
        <w:rPr>
          <w:rFonts w:ascii="Courier New" w:hAnsi="Courier New" w:cs="Courier New"/>
          <w:bCs/>
        </w:rPr>
        <w:tab/>
        <w:t>CONSEQUENCES OF LESS FREQUENT COLLECTION ON FEDERAL PROGRAMS OR POLICY ACTIVITIES</w:t>
      </w:r>
    </w:p>
    <w:p w:rsidR="00C50637" w:rsidRDefault="00C50637" w14:paraId="77008336" w14:textId="77777777">
      <w:pPr>
        <w:tabs>
          <w:tab w:val="left" w:pos="-1440"/>
        </w:tabs>
        <w:spacing w:line="233" w:lineRule="auto"/>
        <w:ind w:left="720" w:hanging="720"/>
        <w:rPr>
          <w:rFonts w:ascii="Courier New" w:hAnsi="Courier New" w:cs="Courier New"/>
          <w:bCs/>
        </w:rPr>
      </w:pPr>
    </w:p>
    <w:p w:rsidR="00C50637" w:rsidRDefault="00C50637" w14:paraId="69B6A3E1" w14:textId="77777777">
      <w:pPr>
        <w:tabs>
          <w:tab w:val="left" w:pos="-1440"/>
        </w:tabs>
        <w:spacing w:line="233" w:lineRule="auto"/>
        <w:ind w:left="720" w:hanging="720"/>
        <w:rPr>
          <w:rFonts w:ascii="Courier New" w:hAnsi="Courier New" w:cs="Courier New"/>
          <w:bCs/>
        </w:rPr>
      </w:pPr>
    </w:p>
    <w:p w:rsidRPr="00ED44D9" w:rsidR="00BB7E8E" w:rsidP="00ED44D9" w:rsidRDefault="00C50637" w14:paraId="1EB9D2EB" w14:textId="725A9538">
      <w:pPr>
        <w:ind w:left="720"/>
        <w:rPr>
          <w:rFonts w:ascii="Courier New" w:hAnsi="Courier New" w:cs="Courier New"/>
        </w:rPr>
      </w:pPr>
      <w:r w:rsidRPr="00ED44D9">
        <w:rPr>
          <w:rFonts w:ascii="Courier New" w:hAnsi="Courier New" w:cs="Courier New"/>
        </w:rPr>
        <w:t xml:space="preserve">Consequences of less frequent collection on federal programs or policy activities, could result in </w:t>
      </w:r>
      <w:r w:rsidRPr="00ED44D9">
        <w:rPr>
          <w:rFonts w:ascii="Courier New" w:hAnsi="Courier New" w:cs="Courier New"/>
          <w:bCs/>
        </w:rPr>
        <w:t xml:space="preserve">taxpayers not reporting the </w:t>
      </w:r>
      <w:r w:rsidRPr="00ED44D9" w:rsidR="003F06C8">
        <w:rPr>
          <w:rFonts w:ascii="Courier New" w:hAnsi="Courier New" w:cs="Courier New"/>
          <w:bCs/>
        </w:rPr>
        <w:t xml:space="preserve">gain or </w:t>
      </w:r>
      <w:r w:rsidRPr="00ED44D9">
        <w:rPr>
          <w:rFonts w:ascii="Courier New" w:hAnsi="Courier New" w:cs="Courier New"/>
          <w:bCs/>
        </w:rPr>
        <w:t xml:space="preserve">correct amount of tax due </w:t>
      </w:r>
      <w:r w:rsidRPr="00ED44D9" w:rsidR="003F06C8">
        <w:rPr>
          <w:rFonts w:ascii="Courier New" w:hAnsi="Courier New" w:cs="Courier New"/>
          <w:bCs/>
        </w:rPr>
        <w:t xml:space="preserve">and </w:t>
      </w:r>
      <w:r w:rsidRPr="00ED44D9">
        <w:rPr>
          <w:rFonts w:ascii="Courier New" w:hAnsi="Courier New" w:cs="Courier New"/>
        </w:rPr>
        <w:t xml:space="preserve">thereby </w:t>
      </w:r>
      <w:r w:rsidRPr="00ED44D9" w:rsidR="00ED44D9">
        <w:rPr>
          <w:rFonts w:ascii="Courier New" w:hAnsi="Courier New" w:cs="Courier New"/>
        </w:rPr>
        <w:t xml:space="preserve">endangering </w:t>
      </w:r>
      <w:r w:rsidRPr="00ED44D9">
        <w:rPr>
          <w:rFonts w:ascii="Courier New" w:hAnsi="Courier New" w:cs="Courier New"/>
        </w:rPr>
        <w:t xml:space="preserve">the ability of the IRS to verify that taxpayers are complying with section </w:t>
      </w:r>
      <w:r w:rsidRPr="00ED44D9" w:rsidR="00FF5381">
        <w:rPr>
          <w:rFonts w:ascii="Courier New" w:hAnsi="Courier New" w:cs="Courier New"/>
        </w:rPr>
        <w:t>1.197-2(h)</w:t>
      </w:r>
      <w:r w:rsidR="00E23187">
        <w:rPr>
          <w:rFonts w:ascii="Courier New" w:hAnsi="Courier New" w:cs="Courier New"/>
        </w:rPr>
        <w:t>(</w:t>
      </w:r>
      <w:r w:rsidRPr="00ED44D9" w:rsidR="00ED44D9">
        <w:rPr>
          <w:rFonts w:ascii="Courier New" w:hAnsi="Courier New" w:cs="Courier New"/>
        </w:rPr>
        <w:t>g)</w:t>
      </w:r>
      <w:r w:rsidR="00762D36">
        <w:rPr>
          <w:rFonts w:ascii="Courier New" w:hAnsi="Courier New" w:cs="Courier New"/>
        </w:rPr>
        <w:t xml:space="preserve"> to</w:t>
      </w:r>
      <w:r w:rsidRPr="00ED44D9" w:rsidR="00ED44D9">
        <w:rPr>
          <w:rFonts w:ascii="Courier New" w:hAnsi="Courier New" w:cs="Courier New"/>
        </w:rPr>
        <w:t xml:space="preserve"> make timely and accurate assessments</w:t>
      </w:r>
      <w:r w:rsidRPr="00ED44D9">
        <w:rPr>
          <w:rFonts w:ascii="Courier New" w:hAnsi="Courier New" w:cs="Courier New"/>
        </w:rPr>
        <w:t>.</w:t>
      </w:r>
    </w:p>
    <w:p w:rsidRPr="002C62A4" w:rsidR="00ED44D9" w:rsidP="00ED44D9" w:rsidRDefault="00ED44D9" w14:paraId="59DD5597" w14:textId="77777777">
      <w:pPr>
        <w:ind w:left="720"/>
        <w:rPr>
          <w:rFonts w:ascii="Courier New" w:hAnsi="Courier New" w:cs="Courier New"/>
          <w:bCs/>
        </w:rPr>
      </w:pPr>
    </w:p>
    <w:p w:rsidRPr="002C62A4" w:rsidR="00BB7E8E" w:rsidP="0052256E" w:rsidRDefault="00BB7E8E" w14:paraId="1B2961FE" w14:textId="77777777">
      <w:pPr>
        <w:spacing w:line="233" w:lineRule="auto"/>
        <w:ind w:left="720"/>
        <w:rPr>
          <w:rFonts w:ascii="Courier New" w:hAnsi="Courier New" w:cs="Courier New"/>
          <w:b/>
          <w:bCs/>
        </w:rPr>
      </w:pPr>
    </w:p>
    <w:p w:rsidRPr="00942E88" w:rsidR="00BB7E8E" w:rsidP="0052256E" w:rsidRDefault="00BB7E8E" w14:paraId="1DA1027A"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7.</w:t>
      </w:r>
      <w:r w:rsidRPr="00942E88">
        <w:rPr>
          <w:rFonts w:ascii="Courier New" w:hAnsi="Courier New" w:cs="Courier New"/>
          <w:bCs/>
        </w:rPr>
        <w:tab/>
        <w:t>SPECIAL CIRCUMSTANCES REQUIRING DATA COLLECTION TO BE     INCONSISTENT WITH GUIDELINES IN 5 CFR 1320.5(d)(2)</w:t>
      </w:r>
    </w:p>
    <w:p w:rsidRPr="00942E88" w:rsidR="00BB7E8E" w:rsidRDefault="00BB7E8E" w14:paraId="44E8B473" w14:textId="77777777">
      <w:pPr>
        <w:spacing w:line="233" w:lineRule="auto"/>
        <w:rPr>
          <w:rFonts w:ascii="Courier New" w:hAnsi="Courier New" w:cs="Courier New"/>
          <w:bCs/>
        </w:rPr>
      </w:pPr>
    </w:p>
    <w:p w:rsidRPr="00E71A67" w:rsidR="00BB7E8E" w:rsidRDefault="00E71A67" w14:paraId="2E5F671C" w14:textId="77777777">
      <w:pPr>
        <w:spacing w:line="233" w:lineRule="auto"/>
        <w:ind w:left="720"/>
        <w:rPr>
          <w:rFonts w:ascii="Courier New" w:hAnsi="Courier New" w:cs="Courier New"/>
          <w:bCs/>
        </w:rPr>
      </w:pPr>
      <w:r w:rsidRPr="00E71A67">
        <w:rPr>
          <w:rFonts w:ascii="Courier New" w:hAnsi="Courier New" w:cs="Courier New"/>
          <w:bCs/>
        </w:rPr>
        <w:t>There are no special circumstances requiring data collection to be inconsistent with Guidelines in 5 CFR 1320.5(d)(2).</w:t>
      </w:r>
    </w:p>
    <w:p w:rsidRPr="002C62A4" w:rsidR="00BB7E8E" w:rsidRDefault="00BB7E8E" w14:paraId="1D037404" w14:textId="77777777">
      <w:pPr>
        <w:spacing w:line="233" w:lineRule="auto"/>
        <w:ind w:left="720"/>
        <w:rPr>
          <w:rFonts w:ascii="Courier New" w:hAnsi="Courier New" w:cs="Courier New"/>
          <w:b/>
          <w:bCs/>
        </w:rPr>
      </w:pPr>
    </w:p>
    <w:p w:rsidRPr="002C62A4" w:rsidR="00BB7E8E" w:rsidRDefault="00BB7E8E" w14:paraId="288684F0" w14:textId="77777777">
      <w:pPr>
        <w:spacing w:line="233" w:lineRule="auto"/>
        <w:ind w:left="720"/>
        <w:rPr>
          <w:rFonts w:ascii="Courier New" w:hAnsi="Courier New" w:cs="Courier New"/>
          <w:b/>
          <w:bCs/>
        </w:rPr>
        <w:sectPr w:rsidRPr="002C62A4" w:rsidR="00BB7E8E">
          <w:footerReference w:type="default" r:id="rId6"/>
          <w:pgSz w:w="12240" w:h="15840"/>
          <w:pgMar w:top="1440" w:right="1440" w:bottom="1440" w:left="1440" w:header="1440" w:footer="1440" w:gutter="0"/>
          <w:cols w:space="720"/>
          <w:noEndnote/>
        </w:sectPr>
      </w:pPr>
    </w:p>
    <w:p w:rsidRPr="00942E88" w:rsidR="00BB7E8E" w:rsidRDefault="00BB7E8E" w14:paraId="4BA6A99A"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8.</w:t>
      </w:r>
      <w:r w:rsidRPr="00942E88">
        <w:rPr>
          <w:rFonts w:ascii="Courier New" w:hAnsi="Courier New" w:cs="Courier New"/>
          <w:bCs/>
        </w:rPr>
        <w:tab/>
        <w:t>CONSULTATION WITH INDIVIDUALS OUTSIDE OF THE AGENCY ON      A</w:t>
      </w:r>
      <w:r w:rsidRPr="00942E88" w:rsidR="00085801">
        <w:rPr>
          <w:rFonts w:ascii="Courier New" w:hAnsi="Courier New" w:cs="Courier New"/>
          <w:bCs/>
        </w:rPr>
        <w:t>VA</w:t>
      </w:r>
      <w:r w:rsidRPr="00942E88">
        <w:rPr>
          <w:rFonts w:ascii="Courier New" w:hAnsi="Courier New" w:cs="Courier New"/>
          <w:bCs/>
        </w:rPr>
        <w:t>ILABILITY OF DATA, FREQUENCY OF COLLECTION, CLARITY OF</w:t>
      </w:r>
    </w:p>
    <w:p w:rsidRPr="002C62A4" w:rsidR="00BB7E8E" w:rsidRDefault="00B24067" w14:paraId="53C55E8C" w14:textId="77777777">
      <w:pPr>
        <w:spacing w:line="233" w:lineRule="auto"/>
        <w:rPr>
          <w:rFonts w:ascii="Courier New" w:hAnsi="Courier New" w:cs="Courier New"/>
          <w:b/>
          <w:bCs/>
        </w:rPr>
      </w:pPr>
      <w:r w:rsidRPr="00942E88">
        <w:rPr>
          <w:rFonts w:ascii="Courier New" w:hAnsi="Courier New" w:cs="Courier New"/>
          <w:bCs/>
        </w:rPr>
        <w:t xml:space="preserve">  </w:t>
      </w:r>
      <w:r w:rsidRPr="00942E88" w:rsidR="00BB7E8E">
        <w:rPr>
          <w:rFonts w:ascii="Courier New" w:hAnsi="Courier New" w:cs="Courier New"/>
          <w:bCs/>
        </w:rPr>
        <w:t xml:space="preserve">   INSTRUCTIONS AND FORMS, AND DATA ELEMENTS</w:t>
      </w:r>
    </w:p>
    <w:p w:rsidRPr="002C62A4" w:rsidR="00BB7E8E" w:rsidRDefault="00BB7E8E" w14:paraId="55C90663" w14:textId="77777777">
      <w:pPr>
        <w:spacing w:line="233" w:lineRule="auto"/>
        <w:rPr>
          <w:rFonts w:ascii="Courier New" w:hAnsi="Courier New" w:cs="Courier New"/>
          <w:b/>
          <w:bCs/>
        </w:rPr>
      </w:pPr>
    </w:p>
    <w:p w:rsidRPr="002C62A4" w:rsidR="00BB7E8E" w:rsidRDefault="00D62EF2" w14:paraId="1C06E287" w14:textId="7BC73D6E">
      <w:pPr>
        <w:spacing w:line="233" w:lineRule="auto"/>
        <w:ind w:left="720"/>
        <w:rPr>
          <w:rFonts w:ascii="Courier New" w:hAnsi="Courier New" w:cs="Courier New"/>
          <w:bCs/>
        </w:rPr>
      </w:pPr>
      <w:r w:rsidRPr="002C62A4">
        <w:rPr>
          <w:rFonts w:ascii="Courier New" w:hAnsi="Courier New" w:cs="Courier New"/>
          <w:bCs/>
        </w:rPr>
        <w:t xml:space="preserve">In response to the </w:t>
      </w:r>
      <w:r w:rsidRPr="00C9427A">
        <w:rPr>
          <w:rFonts w:ascii="Courier New" w:hAnsi="Courier New" w:cs="Courier New"/>
          <w:bCs/>
          <w:i/>
        </w:rPr>
        <w:t>Federal Register</w:t>
      </w:r>
      <w:r w:rsidRPr="00942E88">
        <w:rPr>
          <w:rFonts w:ascii="Courier New" w:hAnsi="Courier New" w:cs="Courier New"/>
          <w:bCs/>
          <w:i/>
        </w:rPr>
        <w:t xml:space="preserve"> </w:t>
      </w:r>
      <w:r w:rsidR="00942E88">
        <w:rPr>
          <w:rFonts w:ascii="Courier New" w:hAnsi="Courier New" w:cs="Courier New"/>
          <w:bCs/>
          <w:i/>
        </w:rPr>
        <w:t>n</w:t>
      </w:r>
      <w:r w:rsidRPr="00942E88">
        <w:rPr>
          <w:rFonts w:ascii="Courier New" w:hAnsi="Courier New" w:cs="Courier New"/>
          <w:bCs/>
          <w:i/>
        </w:rPr>
        <w:t>otice</w:t>
      </w:r>
      <w:r w:rsidRPr="002C62A4">
        <w:rPr>
          <w:rFonts w:ascii="Courier New" w:hAnsi="Courier New" w:cs="Courier New"/>
          <w:bCs/>
        </w:rPr>
        <w:t xml:space="preserve"> dated</w:t>
      </w:r>
      <w:r w:rsidRPr="002C62A4" w:rsidR="006A3F97">
        <w:rPr>
          <w:rFonts w:ascii="Courier New" w:hAnsi="Courier New" w:cs="Courier New"/>
          <w:bCs/>
        </w:rPr>
        <w:t xml:space="preserve"> </w:t>
      </w:r>
      <w:r w:rsidR="00E14353">
        <w:rPr>
          <w:rFonts w:ascii="Courier New" w:hAnsi="Courier New" w:cs="Courier New"/>
          <w:bCs/>
        </w:rPr>
        <w:t>December</w:t>
      </w:r>
      <w:r w:rsidR="00E71A67">
        <w:rPr>
          <w:rFonts w:ascii="Courier New" w:hAnsi="Courier New" w:cs="Courier New"/>
          <w:bCs/>
        </w:rPr>
        <w:t xml:space="preserve"> </w:t>
      </w:r>
      <w:r w:rsidR="009049EE">
        <w:rPr>
          <w:rFonts w:ascii="Courier New" w:hAnsi="Courier New" w:cs="Courier New"/>
          <w:bCs/>
        </w:rPr>
        <w:t>1</w:t>
      </w:r>
      <w:r w:rsidR="00E14353">
        <w:rPr>
          <w:rFonts w:ascii="Courier New" w:hAnsi="Courier New" w:cs="Courier New"/>
          <w:bCs/>
        </w:rPr>
        <w:t>3</w:t>
      </w:r>
      <w:r w:rsidRPr="002C62A4" w:rsidR="006A3F97">
        <w:rPr>
          <w:rFonts w:ascii="Courier New" w:hAnsi="Courier New" w:cs="Courier New"/>
          <w:bCs/>
        </w:rPr>
        <w:t>, 20</w:t>
      </w:r>
      <w:r w:rsidR="00E14353">
        <w:rPr>
          <w:rFonts w:ascii="Courier New" w:hAnsi="Courier New" w:cs="Courier New"/>
          <w:bCs/>
        </w:rPr>
        <w:t>2</w:t>
      </w:r>
      <w:r w:rsidRPr="002C62A4" w:rsidR="006A3F97">
        <w:rPr>
          <w:rFonts w:ascii="Courier New" w:hAnsi="Courier New" w:cs="Courier New"/>
          <w:bCs/>
        </w:rPr>
        <w:t>1 (</w:t>
      </w:r>
      <w:r w:rsidR="00E71A67">
        <w:rPr>
          <w:rFonts w:ascii="Courier New" w:hAnsi="Courier New" w:cs="Courier New"/>
          <w:bCs/>
        </w:rPr>
        <w:t>8</w:t>
      </w:r>
      <w:r w:rsidR="00E14353">
        <w:rPr>
          <w:rFonts w:ascii="Courier New" w:hAnsi="Courier New" w:cs="Courier New"/>
          <w:bCs/>
        </w:rPr>
        <w:t>6</w:t>
      </w:r>
      <w:r w:rsidRPr="002C62A4" w:rsidR="006A3F97">
        <w:rPr>
          <w:rFonts w:ascii="Courier New" w:hAnsi="Courier New" w:cs="Courier New"/>
          <w:bCs/>
        </w:rPr>
        <w:t xml:space="preserve"> FR </w:t>
      </w:r>
      <w:r w:rsidR="00E14353">
        <w:rPr>
          <w:rFonts w:ascii="Courier New" w:hAnsi="Courier New" w:cs="Courier New"/>
          <w:bCs/>
        </w:rPr>
        <w:t>70888</w:t>
      </w:r>
      <w:r w:rsidRPr="002C62A4" w:rsidR="006A3F97">
        <w:rPr>
          <w:rFonts w:ascii="Courier New" w:hAnsi="Courier New" w:cs="Courier New"/>
          <w:bCs/>
        </w:rPr>
        <w:t>)</w:t>
      </w:r>
      <w:r w:rsidRPr="002C62A4">
        <w:rPr>
          <w:rFonts w:ascii="Courier New" w:hAnsi="Courier New" w:cs="Courier New"/>
          <w:bCs/>
        </w:rPr>
        <w:t>, we received no comments during the comment period regarding REG-209709-94</w:t>
      </w:r>
      <w:r w:rsidR="009049EE">
        <w:rPr>
          <w:rFonts w:ascii="Courier New" w:hAnsi="Courier New" w:cs="Courier New"/>
          <w:bCs/>
        </w:rPr>
        <w:t xml:space="preserve"> (TD 8865)</w:t>
      </w:r>
      <w:r w:rsidRPr="002C62A4">
        <w:rPr>
          <w:rFonts w:ascii="Courier New" w:hAnsi="Courier New" w:cs="Courier New"/>
          <w:bCs/>
        </w:rPr>
        <w:t>.</w:t>
      </w:r>
    </w:p>
    <w:p w:rsidRPr="002C62A4" w:rsidR="00BB7E8E" w:rsidRDefault="00BB7E8E" w14:paraId="4F2D115C" w14:textId="77777777">
      <w:pPr>
        <w:spacing w:line="233" w:lineRule="auto"/>
        <w:ind w:left="720"/>
        <w:rPr>
          <w:rFonts w:ascii="Courier New" w:hAnsi="Courier New" w:cs="Courier New"/>
          <w:b/>
          <w:bCs/>
        </w:rPr>
      </w:pPr>
    </w:p>
    <w:p w:rsidRPr="00942E88" w:rsidR="00BB7E8E" w:rsidRDefault="00BB7E8E" w14:paraId="0EFFD8BB"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9.</w:t>
      </w:r>
      <w:r w:rsidRPr="00942E88">
        <w:rPr>
          <w:rFonts w:ascii="Courier New" w:hAnsi="Courier New" w:cs="Courier New"/>
          <w:bCs/>
        </w:rPr>
        <w:tab/>
        <w:t>EXPLANATION OF DECISION TO PROVIDE ANY PAYMENT OR GIFT TO</w:t>
      </w:r>
    </w:p>
    <w:p w:rsidRPr="002C62A4" w:rsidR="00BB7E8E" w:rsidRDefault="00BB7E8E" w14:paraId="082A3D67" w14:textId="77777777">
      <w:pPr>
        <w:tabs>
          <w:tab w:val="left" w:pos="-1440"/>
        </w:tabs>
        <w:spacing w:line="233" w:lineRule="auto"/>
        <w:ind w:left="720" w:hanging="720"/>
        <w:rPr>
          <w:rFonts w:ascii="Courier New" w:hAnsi="Courier New" w:cs="Courier New"/>
          <w:b/>
          <w:bCs/>
        </w:rPr>
      </w:pPr>
      <w:r w:rsidRPr="00942E88">
        <w:rPr>
          <w:rFonts w:ascii="Courier New" w:hAnsi="Courier New" w:cs="Courier New"/>
          <w:bCs/>
        </w:rPr>
        <w:t xml:space="preserve">    </w:t>
      </w:r>
      <w:r w:rsidRPr="00942E88">
        <w:rPr>
          <w:rFonts w:ascii="Courier New" w:hAnsi="Courier New" w:cs="Courier New"/>
          <w:bCs/>
        </w:rPr>
        <w:tab/>
        <w:t>RESPONDENTS</w:t>
      </w:r>
    </w:p>
    <w:p w:rsidRPr="002C62A4" w:rsidR="00BB7E8E" w:rsidRDefault="00BB7E8E" w14:paraId="57824620" w14:textId="77777777">
      <w:pPr>
        <w:spacing w:line="233" w:lineRule="auto"/>
        <w:rPr>
          <w:rFonts w:ascii="Courier New" w:hAnsi="Courier New" w:cs="Courier New"/>
          <w:b/>
          <w:bCs/>
        </w:rPr>
      </w:pPr>
    </w:p>
    <w:p w:rsidRPr="002C62A4" w:rsidR="00BB7E8E" w:rsidP="00E71A67" w:rsidRDefault="00E71A67" w14:paraId="3BC90BD2" w14:textId="77777777">
      <w:pPr>
        <w:rPr>
          <w:rFonts w:ascii="Courier New" w:hAnsi="Courier New" w:cs="Courier New"/>
          <w:bCs/>
        </w:rPr>
      </w:pPr>
      <w:r>
        <w:rPr>
          <w:rFonts w:ascii="Courier New" w:hAnsi="Courier New" w:cs="Courier New"/>
          <w:bCs/>
        </w:rPr>
        <w:t xml:space="preserve">     </w:t>
      </w:r>
      <w:r w:rsidRPr="00E71A67">
        <w:rPr>
          <w:rFonts w:ascii="Courier New" w:hAnsi="Courier New" w:cs="Courier New"/>
          <w:bCs/>
        </w:rPr>
        <w:t>No payment or gift has been provided to any respondents.</w:t>
      </w:r>
    </w:p>
    <w:p w:rsidRPr="002C62A4" w:rsidR="00BB7E8E" w:rsidRDefault="00BB7E8E" w14:paraId="2AD75B18" w14:textId="77777777">
      <w:pPr>
        <w:spacing w:line="233" w:lineRule="auto"/>
        <w:ind w:left="720"/>
        <w:rPr>
          <w:rFonts w:ascii="Courier New" w:hAnsi="Courier New" w:cs="Courier New"/>
          <w:b/>
          <w:bCs/>
        </w:rPr>
      </w:pPr>
    </w:p>
    <w:p w:rsidRPr="00942E88" w:rsidR="00BB7E8E" w:rsidRDefault="00BB7E8E" w14:paraId="22CE7F76"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10.</w:t>
      </w:r>
      <w:r w:rsidRPr="00942E88">
        <w:rPr>
          <w:rFonts w:ascii="Courier New" w:hAnsi="Courier New" w:cs="Courier New"/>
          <w:bCs/>
        </w:rPr>
        <w:tab/>
        <w:t>ASSURANCE OF CONFIDENTIALITY OF RESPONSES</w:t>
      </w:r>
    </w:p>
    <w:p w:rsidRPr="00942E88" w:rsidR="00BB7E8E" w:rsidRDefault="00BB7E8E" w14:paraId="66FCA03D" w14:textId="77777777">
      <w:pPr>
        <w:spacing w:line="233" w:lineRule="auto"/>
        <w:rPr>
          <w:rFonts w:ascii="Courier New" w:hAnsi="Courier New" w:cs="Courier New"/>
          <w:b/>
          <w:bCs/>
        </w:rPr>
      </w:pPr>
    </w:p>
    <w:p w:rsidRPr="002C62A4" w:rsidR="00BB7E8E" w:rsidRDefault="00BB7E8E" w14:paraId="049C4437" w14:textId="77777777">
      <w:pPr>
        <w:spacing w:line="233" w:lineRule="auto"/>
        <w:ind w:left="720"/>
        <w:rPr>
          <w:rFonts w:ascii="Courier New" w:hAnsi="Courier New" w:cs="Courier New"/>
          <w:bCs/>
        </w:rPr>
      </w:pPr>
      <w:r w:rsidRPr="002C62A4">
        <w:rPr>
          <w:rFonts w:ascii="Courier New" w:hAnsi="Courier New" w:cs="Courier New"/>
          <w:bCs/>
        </w:rPr>
        <w:t>Generally, tax returns and return information are</w:t>
      </w:r>
      <w:r w:rsidR="00E706F5">
        <w:rPr>
          <w:rFonts w:ascii="Courier New" w:hAnsi="Courier New" w:cs="Courier New"/>
          <w:bCs/>
        </w:rPr>
        <w:t xml:space="preserve"> </w:t>
      </w:r>
      <w:r w:rsidRPr="002C62A4">
        <w:rPr>
          <w:rFonts w:ascii="Courier New" w:hAnsi="Courier New" w:cs="Courier New"/>
          <w:bCs/>
        </w:rPr>
        <w:t>confidential as required by 26 U.S.C. 6103.</w:t>
      </w:r>
    </w:p>
    <w:p w:rsidRPr="002C62A4" w:rsidR="00BB7E8E" w:rsidRDefault="00BB7E8E" w14:paraId="79F1B5B6" w14:textId="77777777">
      <w:pPr>
        <w:spacing w:line="233" w:lineRule="auto"/>
        <w:ind w:left="720"/>
        <w:rPr>
          <w:rFonts w:ascii="Courier New" w:hAnsi="Courier New" w:cs="Courier New"/>
          <w:b/>
          <w:bCs/>
        </w:rPr>
      </w:pPr>
    </w:p>
    <w:p w:rsidRPr="00942E88" w:rsidR="00BB7E8E" w:rsidRDefault="00BB7E8E" w14:paraId="48D50F1D"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11.</w:t>
      </w:r>
      <w:r w:rsidRPr="00942E88">
        <w:rPr>
          <w:rFonts w:ascii="Courier New" w:hAnsi="Courier New" w:cs="Courier New"/>
          <w:bCs/>
        </w:rPr>
        <w:tab/>
        <w:t>JUSTIFICATION OF SENSITIVE QUESTIONS</w:t>
      </w:r>
    </w:p>
    <w:p w:rsidRPr="002C62A4" w:rsidR="00BB7E8E" w:rsidRDefault="00BB7E8E" w14:paraId="30B19916" w14:textId="77777777">
      <w:pPr>
        <w:spacing w:line="233" w:lineRule="auto"/>
        <w:rPr>
          <w:rFonts w:ascii="Courier New" w:hAnsi="Courier New" w:cs="Courier New"/>
          <w:b/>
          <w:bCs/>
        </w:rPr>
      </w:pPr>
    </w:p>
    <w:p w:rsidRPr="00944179" w:rsidR="00944179" w:rsidP="00944179" w:rsidRDefault="00944179" w14:paraId="284ABAC2" w14:textId="77777777">
      <w:pPr>
        <w:ind w:left="720" w:hanging="720"/>
        <w:rPr>
          <w:rFonts w:ascii="Courier New" w:hAnsi="Courier New" w:cs="Courier New"/>
          <w:bCs/>
        </w:rPr>
      </w:pPr>
      <w:r>
        <w:rPr>
          <w:rFonts w:ascii="Courier New" w:hAnsi="Courier New" w:cs="Courier New"/>
          <w:bCs/>
        </w:rPr>
        <w:t xml:space="preserve">     </w:t>
      </w:r>
      <w:r w:rsidRPr="00944179">
        <w:rPr>
          <w:rFonts w:ascii="Courier New" w:hAnsi="Courier New" w:cs="Courier New"/>
          <w:bCs/>
        </w:rPr>
        <w:t xml:space="preserve">A privacy impact assessment (PIA) has been conducted for </w:t>
      </w:r>
      <w:r w:rsidRPr="00944179">
        <w:rPr>
          <w:rFonts w:ascii="Courier New" w:hAnsi="Courier New" w:cs="Courier New"/>
          <w:bCs/>
        </w:rPr>
        <w:lastRenderedPageBreak/>
        <w:t xml:space="preserve">information collected under this request as part of the “Business Master File (BMF)” system and a Privacy Act System of Records notice (SORN) has been issued for this system under IRS 24.046-Customer Account Data Engine Business Master File.  The </w:t>
      </w:r>
      <w:r>
        <w:rPr>
          <w:rFonts w:ascii="Courier New" w:hAnsi="Courier New" w:cs="Courier New"/>
          <w:bCs/>
        </w:rPr>
        <w:t>Internal Revenue Service</w:t>
      </w:r>
      <w:r w:rsidRPr="00944179">
        <w:rPr>
          <w:rFonts w:ascii="Courier New" w:hAnsi="Courier New" w:cs="Courier New"/>
          <w:bCs/>
        </w:rPr>
        <w:t xml:space="preserve"> PIAs can be found at</w:t>
      </w:r>
      <w:r>
        <w:rPr>
          <w:rFonts w:ascii="Courier New" w:hAnsi="Courier New" w:cs="Courier New"/>
          <w:bCs/>
        </w:rPr>
        <w:t xml:space="preserve"> </w:t>
      </w:r>
      <w:hyperlink w:history="1" r:id="rId7">
        <w:r w:rsidRPr="00D82D9B">
          <w:rPr>
            <w:rStyle w:val="Hyperlink"/>
            <w:rFonts w:ascii="Courier New" w:hAnsi="Courier New" w:cs="Courier New"/>
            <w:bCs/>
          </w:rPr>
          <w:t>http://www.irs.gov/uac/Privacy-Impact-Assessments-PIA</w:t>
        </w:r>
      </w:hyperlink>
      <w:r>
        <w:rPr>
          <w:rFonts w:ascii="Courier New" w:hAnsi="Courier New" w:cs="Courier New"/>
          <w:bCs/>
        </w:rPr>
        <w:t xml:space="preserve"> </w:t>
      </w:r>
      <w:r w:rsidRPr="00944179">
        <w:rPr>
          <w:rFonts w:ascii="Courier New" w:hAnsi="Courier New" w:cs="Courier New"/>
          <w:bCs/>
        </w:rPr>
        <w:t xml:space="preserve"> </w:t>
      </w:r>
    </w:p>
    <w:p w:rsidRPr="00944179" w:rsidR="00944179" w:rsidP="00944179" w:rsidRDefault="00944179" w14:paraId="55EB6F2E" w14:textId="77777777">
      <w:pPr>
        <w:spacing w:line="233" w:lineRule="auto"/>
        <w:ind w:left="720"/>
        <w:rPr>
          <w:rFonts w:ascii="Courier New" w:hAnsi="Courier New" w:cs="Courier New"/>
          <w:bCs/>
        </w:rPr>
      </w:pPr>
    </w:p>
    <w:p w:rsidRPr="002C62A4" w:rsidR="00BB7E8E" w:rsidP="00944179" w:rsidRDefault="00944179" w14:paraId="44151539" w14:textId="77777777">
      <w:pPr>
        <w:spacing w:line="233" w:lineRule="auto"/>
        <w:ind w:left="720"/>
        <w:rPr>
          <w:rFonts w:ascii="Courier New" w:hAnsi="Courier New" w:cs="Courier New"/>
          <w:bCs/>
        </w:rPr>
      </w:pPr>
      <w:r w:rsidRPr="00944179">
        <w:rPr>
          <w:rFonts w:ascii="Courier New" w:hAnsi="Courier New" w:cs="Courier New"/>
          <w:bCs/>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2C62A4" w:rsidR="00BB7E8E" w:rsidRDefault="00BB7E8E" w14:paraId="77DBF98E" w14:textId="77777777">
      <w:pPr>
        <w:spacing w:line="233" w:lineRule="auto"/>
        <w:ind w:left="720"/>
        <w:rPr>
          <w:rFonts w:ascii="Courier New" w:hAnsi="Courier New" w:cs="Courier New"/>
          <w:b/>
          <w:bCs/>
        </w:rPr>
      </w:pPr>
    </w:p>
    <w:p w:rsidRPr="00942E88" w:rsidR="00BB7E8E" w:rsidRDefault="00BB7E8E" w14:paraId="4D01B239"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12.</w:t>
      </w:r>
      <w:r w:rsidRPr="00942E88">
        <w:rPr>
          <w:rFonts w:ascii="Courier New" w:hAnsi="Courier New" w:cs="Courier New"/>
          <w:bCs/>
        </w:rPr>
        <w:tab/>
        <w:t>ESTIMATED BURDEN ON INFORMATION COLLECTION</w:t>
      </w:r>
    </w:p>
    <w:p w:rsidRPr="002C62A4" w:rsidR="00BB7E8E" w:rsidRDefault="00BB7E8E" w14:paraId="551F1570" w14:textId="77777777">
      <w:pPr>
        <w:spacing w:line="233" w:lineRule="auto"/>
        <w:rPr>
          <w:rFonts w:ascii="Courier New" w:hAnsi="Courier New" w:cs="Courier New"/>
          <w:b/>
          <w:bCs/>
        </w:rPr>
      </w:pPr>
    </w:p>
    <w:p w:rsidR="00BB7E8E" w:rsidP="007D622F" w:rsidRDefault="00BB7E8E" w14:paraId="248656A3" w14:textId="77777777">
      <w:pPr>
        <w:spacing w:line="233" w:lineRule="auto"/>
        <w:ind w:left="720"/>
        <w:rPr>
          <w:rFonts w:ascii="Courier New" w:hAnsi="Courier New" w:cs="Courier New"/>
          <w:bCs/>
        </w:rPr>
      </w:pPr>
      <w:r w:rsidRPr="002C62A4">
        <w:rPr>
          <w:rFonts w:ascii="Courier New" w:hAnsi="Courier New" w:cs="Courier New"/>
          <w:bCs/>
        </w:rPr>
        <w:t xml:space="preserve">Section 1.197-2(h)(9) requires the party making the election to attach a copy of the election statement to a timely filed Federal income tax return for the taxable year that the election under section 197(f)(9)(B) is effective and to provide written notification of the election to the party acquiring the section 197 intangible.  </w:t>
      </w:r>
    </w:p>
    <w:p w:rsidR="009049EE" w:rsidRDefault="009049EE" w14:paraId="50B662BC" w14:textId="77777777">
      <w:pPr>
        <w:spacing w:line="233" w:lineRule="auto"/>
        <w:ind w:left="720"/>
        <w:rPr>
          <w:rFonts w:ascii="Courier New" w:hAnsi="Courier New" w:cs="Courier New"/>
          <w:bCs/>
        </w:rPr>
      </w:pPr>
    </w:p>
    <w:p w:rsidRPr="007D622F" w:rsidR="009049EE" w:rsidP="009049EE" w:rsidRDefault="009049EE" w14:paraId="7FF6B6FC" w14:textId="77777777">
      <w:pPr>
        <w:rPr>
          <w:rFonts w:ascii="Courier New" w:hAnsi="Courier New" w:cs="Courier New"/>
        </w:rPr>
      </w:pPr>
      <w:r w:rsidRPr="007D622F">
        <w:rPr>
          <w:rFonts w:ascii="Courier New" w:hAnsi="Courier New" w:cs="Courier New"/>
        </w:rPr>
        <w:t>Burden estimates are as follows:</w:t>
      </w:r>
    </w:p>
    <w:p w:rsidR="009049EE" w:rsidP="009049EE" w:rsidRDefault="009049EE" w14:paraId="36D6E8F1" w14:textId="77777777"/>
    <w:tbl>
      <w:tblPr>
        <w:tblW w:w="10350" w:type="dxa"/>
        <w:tblInd w:w="-252" w:type="dxa"/>
        <w:tblLayout w:type="fixed"/>
        <w:tblLook w:val="04A0" w:firstRow="1" w:lastRow="0" w:firstColumn="1" w:lastColumn="0" w:noHBand="0" w:noVBand="1"/>
      </w:tblPr>
      <w:tblGrid>
        <w:gridCol w:w="1242"/>
        <w:gridCol w:w="1635"/>
        <w:gridCol w:w="1623"/>
        <w:gridCol w:w="1800"/>
        <w:gridCol w:w="1530"/>
        <w:gridCol w:w="1347"/>
        <w:gridCol w:w="1173"/>
      </w:tblGrid>
      <w:tr w:rsidRPr="005A4F9A" w:rsidR="009049EE" w:rsidTr="008A09BF" w14:paraId="5293F373" w14:textId="77777777">
        <w:trPr>
          <w:trHeight w:val="675"/>
        </w:trPr>
        <w:tc>
          <w:tcPr>
            <w:tcW w:w="1242" w:type="dxa"/>
            <w:tcBorders>
              <w:top w:val="single" w:color="auto" w:sz="8" w:space="0"/>
              <w:left w:val="single" w:color="auto" w:sz="8" w:space="0"/>
              <w:bottom w:val="single" w:color="auto" w:sz="8" w:space="0"/>
              <w:right w:val="single" w:color="auto" w:sz="8" w:space="0"/>
            </w:tcBorders>
          </w:tcPr>
          <w:p w:rsidRPr="008A09BF" w:rsidR="009049EE" w:rsidP="008A09BF" w:rsidRDefault="009049EE" w14:paraId="6DB34814" w14:textId="77777777">
            <w:pPr>
              <w:keepNext/>
              <w:keepLines/>
              <w:jc w:val="center"/>
              <w:rPr>
                <w:rFonts w:ascii="Calibri Light" w:hAnsi="Calibri Light" w:cs="Calibri"/>
                <w:color w:val="000000"/>
                <w:sz w:val="22"/>
                <w:szCs w:val="22"/>
              </w:rPr>
            </w:pPr>
          </w:p>
          <w:p w:rsidRPr="008A09BF" w:rsidR="009049EE" w:rsidP="008A09BF" w:rsidRDefault="009049EE" w14:paraId="11E12200" w14:textId="77777777">
            <w:pPr>
              <w:rPr>
                <w:rFonts w:ascii="Calibri Light" w:hAnsi="Calibri Light" w:cs="Calibri"/>
                <w:sz w:val="22"/>
                <w:szCs w:val="22"/>
              </w:rPr>
            </w:pPr>
            <w:r w:rsidRPr="008A09BF">
              <w:rPr>
                <w:rFonts w:ascii="Calibri Light" w:hAnsi="Calibri Light" w:cs="Calibri"/>
                <w:sz w:val="22"/>
                <w:szCs w:val="22"/>
              </w:rPr>
              <w:t>Authority</w:t>
            </w:r>
          </w:p>
        </w:tc>
        <w:tc>
          <w:tcPr>
            <w:tcW w:w="1635" w:type="dxa"/>
            <w:tcBorders>
              <w:top w:val="single" w:color="auto" w:sz="8" w:space="0"/>
              <w:left w:val="single" w:color="auto" w:sz="8" w:space="0"/>
              <w:bottom w:val="single" w:color="auto" w:sz="8" w:space="0"/>
              <w:right w:val="single" w:color="auto" w:sz="8" w:space="0"/>
            </w:tcBorders>
            <w:noWrap/>
            <w:vAlign w:val="center"/>
            <w:hideMark/>
          </w:tcPr>
          <w:p w:rsidRPr="008A09BF" w:rsidR="009049EE" w:rsidP="008A09BF" w:rsidRDefault="009049EE" w14:paraId="04E221DC"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Document</w:t>
            </w:r>
          </w:p>
        </w:tc>
        <w:tc>
          <w:tcPr>
            <w:tcW w:w="1623" w:type="dxa"/>
            <w:tcBorders>
              <w:top w:val="single" w:color="auto" w:sz="8" w:space="0"/>
              <w:left w:val="nil"/>
              <w:bottom w:val="single" w:color="auto" w:sz="8" w:space="0"/>
              <w:right w:val="single" w:color="auto" w:sz="8" w:space="0"/>
            </w:tcBorders>
            <w:vAlign w:val="center"/>
            <w:hideMark/>
          </w:tcPr>
          <w:p w:rsidRPr="008A09BF" w:rsidR="009049EE" w:rsidP="008A09BF" w:rsidRDefault="009049EE" w14:paraId="7239AFD0"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 Respondents</w:t>
            </w:r>
          </w:p>
        </w:tc>
        <w:tc>
          <w:tcPr>
            <w:tcW w:w="1800" w:type="dxa"/>
            <w:tcBorders>
              <w:top w:val="single" w:color="auto" w:sz="8" w:space="0"/>
              <w:left w:val="nil"/>
              <w:bottom w:val="single" w:color="auto" w:sz="8" w:space="0"/>
              <w:right w:val="single" w:color="auto" w:sz="8" w:space="0"/>
            </w:tcBorders>
            <w:vAlign w:val="center"/>
            <w:hideMark/>
          </w:tcPr>
          <w:p w:rsidRPr="008A09BF" w:rsidR="009049EE" w:rsidP="008A09BF" w:rsidRDefault="009049EE" w14:paraId="2A1AB5ED"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 Responses Per Respondent</w:t>
            </w:r>
          </w:p>
        </w:tc>
        <w:tc>
          <w:tcPr>
            <w:tcW w:w="1530" w:type="dxa"/>
            <w:tcBorders>
              <w:top w:val="single" w:color="auto" w:sz="8" w:space="0"/>
              <w:left w:val="nil"/>
              <w:bottom w:val="single" w:color="auto" w:sz="8" w:space="0"/>
              <w:right w:val="single" w:color="auto" w:sz="8" w:space="0"/>
            </w:tcBorders>
            <w:vAlign w:val="center"/>
            <w:hideMark/>
          </w:tcPr>
          <w:p w:rsidRPr="008A09BF" w:rsidR="009049EE" w:rsidP="008A09BF" w:rsidRDefault="009049EE" w14:paraId="5DC20635"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Total Annual Responses</w:t>
            </w:r>
          </w:p>
        </w:tc>
        <w:tc>
          <w:tcPr>
            <w:tcW w:w="1347" w:type="dxa"/>
            <w:tcBorders>
              <w:top w:val="single" w:color="auto" w:sz="8" w:space="0"/>
              <w:left w:val="nil"/>
              <w:bottom w:val="single" w:color="auto" w:sz="8" w:space="0"/>
              <w:right w:val="single" w:color="auto" w:sz="8" w:space="0"/>
            </w:tcBorders>
            <w:vAlign w:val="center"/>
            <w:hideMark/>
          </w:tcPr>
          <w:p w:rsidRPr="008A09BF" w:rsidR="009049EE" w:rsidP="008A09BF" w:rsidRDefault="009049EE" w14:paraId="77751989"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Hours Per Response</w:t>
            </w:r>
          </w:p>
        </w:tc>
        <w:tc>
          <w:tcPr>
            <w:tcW w:w="1173" w:type="dxa"/>
            <w:tcBorders>
              <w:top w:val="single" w:color="auto" w:sz="8" w:space="0"/>
              <w:left w:val="nil"/>
              <w:bottom w:val="single" w:color="auto" w:sz="8" w:space="0"/>
              <w:right w:val="single" w:color="auto" w:sz="8" w:space="0"/>
            </w:tcBorders>
            <w:vAlign w:val="center"/>
            <w:hideMark/>
          </w:tcPr>
          <w:p w:rsidRPr="008A09BF" w:rsidR="009049EE" w:rsidP="008A09BF" w:rsidRDefault="009049EE" w14:paraId="62618764"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Total Burden</w:t>
            </w:r>
          </w:p>
        </w:tc>
      </w:tr>
      <w:tr w:rsidRPr="005A4F9A" w:rsidR="009049EE" w:rsidTr="008A09BF" w14:paraId="1B9CB2AD" w14:textId="77777777">
        <w:trPr>
          <w:trHeight w:val="345"/>
        </w:trPr>
        <w:tc>
          <w:tcPr>
            <w:tcW w:w="1242" w:type="dxa"/>
            <w:tcBorders>
              <w:top w:val="single" w:color="auto" w:sz="8" w:space="0"/>
              <w:left w:val="single" w:color="auto" w:sz="8" w:space="0"/>
              <w:bottom w:val="single" w:color="000000" w:sz="8" w:space="0"/>
              <w:right w:val="single" w:color="auto" w:sz="8" w:space="0"/>
            </w:tcBorders>
          </w:tcPr>
          <w:p w:rsidRPr="008A09BF" w:rsidR="009049EE" w:rsidP="008A09BF" w:rsidRDefault="009049EE" w14:paraId="10EF60BE"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§1.</w:t>
            </w:r>
            <w:r w:rsidRPr="008A09BF" w:rsidR="00AF702C">
              <w:rPr>
                <w:rFonts w:ascii="Calibri Light" w:hAnsi="Calibri Light" w:cs="Calibri"/>
                <w:color w:val="000000"/>
                <w:sz w:val="22"/>
                <w:szCs w:val="22"/>
              </w:rPr>
              <w:t>197-2 (h) (</w:t>
            </w:r>
            <w:r w:rsidRPr="008A09BF" w:rsidR="007D622F">
              <w:rPr>
                <w:rFonts w:ascii="Calibri Light" w:hAnsi="Calibri Light" w:cs="Calibri"/>
                <w:color w:val="000000"/>
                <w:sz w:val="22"/>
                <w:szCs w:val="22"/>
              </w:rPr>
              <w:t>g</w:t>
            </w:r>
            <w:r w:rsidRPr="008A09BF" w:rsidR="00AF702C">
              <w:rPr>
                <w:rFonts w:ascii="Calibri Light" w:hAnsi="Calibri Light" w:cs="Calibri"/>
                <w:color w:val="000000"/>
                <w:sz w:val="22"/>
                <w:szCs w:val="22"/>
              </w:rPr>
              <w:t>)</w:t>
            </w:r>
            <w:r w:rsidRPr="008A09BF">
              <w:rPr>
                <w:rFonts w:ascii="Calibri Light" w:hAnsi="Calibri Light" w:cs="Calibri"/>
                <w:color w:val="000000"/>
                <w:sz w:val="22"/>
                <w:szCs w:val="22"/>
              </w:rPr>
              <w:t xml:space="preserve">     </w:t>
            </w:r>
          </w:p>
          <w:p w:rsidRPr="008A09BF" w:rsidR="009049EE" w:rsidP="008A09BF" w:rsidRDefault="009049EE" w14:paraId="4A5F03F5" w14:textId="77777777">
            <w:pPr>
              <w:keepNext/>
              <w:keepLines/>
              <w:jc w:val="center"/>
              <w:rPr>
                <w:rFonts w:ascii="Calibri Light" w:hAnsi="Calibri Light" w:cs="Calibri"/>
                <w:color w:val="000000"/>
                <w:sz w:val="22"/>
                <w:szCs w:val="22"/>
              </w:rPr>
            </w:pPr>
          </w:p>
        </w:tc>
        <w:tc>
          <w:tcPr>
            <w:tcW w:w="1635" w:type="dxa"/>
            <w:tcBorders>
              <w:top w:val="single" w:color="auto" w:sz="8" w:space="0"/>
              <w:left w:val="single" w:color="auto" w:sz="8" w:space="0"/>
              <w:bottom w:val="single" w:color="000000" w:sz="8" w:space="0"/>
              <w:right w:val="single" w:color="auto" w:sz="8" w:space="0"/>
            </w:tcBorders>
            <w:noWrap/>
            <w:vAlign w:val="center"/>
          </w:tcPr>
          <w:p w:rsidRPr="008A09BF" w:rsidR="009049EE" w:rsidP="008A09BF" w:rsidRDefault="009049EE" w14:paraId="3A27AAEA"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TD 8865</w:t>
            </w:r>
          </w:p>
        </w:tc>
        <w:tc>
          <w:tcPr>
            <w:tcW w:w="1623" w:type="dxa"/>
            <w:tcBorders>
              <w:top w:val="single" w:color="auto" w:sz="8" w:space="0"/>
              <w:left w:val="nil"/>
              <w:bottom w:val="single" w:color="auto" w:sz="8" w:space="0"/>
              <w:right w:val="single" w:color="auto" w:sz="8" w:space="0"/>
            </w:tcBorders>
            <w:noWrap/>
            <w:vAlign w:val="center"/>
          </w:tcPr>
          <w:p w:rsidRPr="008A09BF" w:rsidR="009049EE" w:rsidP="008A09BF" w:rsidRDefault="009049EE" w14:paraId="1ED4B5D7"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500</w:t>
            </w:r>
          </w:p>
        </w:tc>
        <w:tc>
          <w:tcPr>
            <w:tcW w:w="1800" w:type="dxa"/>
            <w:tcBorders>
              <w:top w:val="single" w:color="auto" w:sz="8" w:space="0"/>
              <w:left w:val="nil"/>
              <w:bottom w:val="single" w:color="auto" w:sz="8" w:space="0"/>
              <w:right w:val="single" w:color="auto" w:sz="8" w:space="0"/>
            </w:tcBorders>
            <w:noWrap/>
            <w:vAlign w:val="center"/>
          </w:tcPr>
          <w:p w:rsidRPr="008A09BF" w:rsidR="009049EE" w:rsidP="008A09BF" w:rsidRDefault="009049EE" w14:paraId="6150C2FC"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1</w:t>
            </w:r>
          </w:p>
        </w:tc>
        <w:tc>
          <w:tcPr>
            <w:tcW w:w="1530" w:type="dxa"/>
            <w:tcBorders>
              <w:top w:val="single" w:color="auto" w:sz="8" w:space="0"/>
              <w:left w:val="nil"/>
              <w:bottom w:val="single" w:color="auto" w:sz="8" w:space="0"/>
              <w:right w:val="single" w:color="auto" w:sz="8" w:space="0"/>
            </w:tcBorders>
            <w:noWrap/>
            <w:vAlign w:val="center"/>
          </w:tcPr>
          <w:p w:rsidRPr="008A09BF" w:rsidR="009049EE" w:rsidP="008A09BF" w:rsidRDefault="009049EE" w14:paraId="72551B21"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500</w:t>
            </w:r>
          </w:p>
        </w:tc>
        <w:tc>
          <w:tcPr>
            <w:tcW w:w="1347" w:type="dxa"/>
            <w:tcBorders>
              <w:top w:val="single" w:color="auto" w:sz="8" w:space="0"/>
              <w:left w:val="nil"/>
              <w:bottom w:val="single" w:color="auto" w:sz="8" w:space="0"/>
              <w:right w:val="single" w:color="auto" w:sz="8" w:space="0"/>
            </w:tcBorders>
            <w:noWrap/>
            <w:vAlign w:val="center"/>
          </w:tcPr>
          <w:p w:rsidRPr="008A09BF" w:rsidR="009049EE" w:rsidP="008A09BF" w:rsidRDefault="00AF702C" w14:paraId="45FEBC2C"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3hrs.</w:t>
            </w:r>
          </w:p>
        </w:tc>
        <w:tc>
          <w:tcPr>
            <w:tcW w:w="1173" w:type="dxa"/>
            <w:tcBorders>
              <w:top w:val="single" w:color="auto" w:sz="8" w:space="0"/>
              <w:left w:val="nil"/>
              <w:bottom w:val="single" w:color="auto" w:sz="8" w:space="0"/>
              <w:right w:val="single" w:color="auto" w:sz="8" w:space="0"/>
            </w:tcBorders>
            <w:noWrap/>
            <w:vAlign w:val="center"/>
          </w:tcPr>
          <w:p w:rsidRPr="008A09BF" w:rsidR="009049EE" w:rsidP="008A09BF" w:rsidRDefault="00AF702C" w14:paraId="5885AF23" w14:textId="77777777">
            <w:pPr>
              <w:keepNext/>
              <w:keepLines/>
              <w:jc w:val="center"/>
              <w:rPr>
                <w:rFonts w:ascii="Calibri Light" w:hAnsi="Calibri Light" w:cs="Calibri"/>
                <w:color w:val="000000"/>
                <w:sz w:val="22"/>
                <w:szCs w:val="22"/>
              </w:rPr>
            </w:pPr>
            <w:r w:rsidRPr="008A09BF">
              <w:rPr>
                <w:rFonts w:ascii="Calibri Light" w:hAnsi="Calibri Light" w:cs="Calibri"/>
                <w:color w:val="000000"/>
                <w:sz w:val="22"/>
                <w:szCs w:val="22"/>
              </w:rPr>
              <w:t>1,</w:t>
            </w:r>
            <w:r w:rsidRPr="008A09BF" w:rsidR="009049EE">
              <w:rPr>
                <w:rFonts w:ascii="Calibri Light" w:hAnsi="Calibri Light" w:cs="Calibri"/>
                <w:color w:val="000000"/>
                <w:sz w:val="22"/>
                <w:szCs w:val="22"/>
              </w:rPr>
              <w:t>500</w:t>
            </w:r>
          </w:p>
        </w:tc>
      </w:tr>
    </w:tbl>
    <w:p w:rsidRPr="002C62A4" w:rsidR="009049EE" w:rsidRDefault="009049EE" w14:paraId="657F4BF8" w14:textId="77777777">
      <w:pPr>
        <w:spacing w:line="233" w:lineRule="auto"/>
        <w:ind w:left="720"/>
        <w:rPr>
          <w:rFonts w:ascii="Courier New" w:hAnsi="Courier New" w:cs="Courier New"/>
          <w:bCs/>
        </w:rPr>
      </w:pPr>
    </w:p>
    <w:p w:rsidRPr="002C62A4" w:rsidR="00BB7E8E" w:rsidRDefault="00BB7E8E" w14:paraId="5F9260FA" w14:textId="77777777">
      <w:pPr>
        <w:spacing w:line="233" w:lineRule="auto"/>
        <w:ind w:left="720"/>
        <w:rPr>
          <w:rFonts w:ascii="Courier New" w:hAnsi="Courier New" w:cs="Courier New"/>
          <w:bCs/>
        </w:rPr>
      </w:pPr>
    </w:p>
    <w:p w:rsidRPr="00942E88" w:rsidR="00BB7E8E" w:rsidRDefault="00BB7E8E" w14:paraId="0D9F48A4" w14:textId="77777777">
      <w:pPr>
        <w:spacing w:line="233" w:lineRule="auto"/>
        <w:ind w:left="720"/>
        <w:rPr>
          <w:rFonts w:ascii="Courier New" w:hAnsi="Courier New" w:cs="Courier New"/>
          <w:bCs/>
        </w:rPr>
      </w:pPr>
    </w:p>
    <w:p w:rsidRPr="00942E88" w:rsidR="00BB7E8E" w:rsidRDefault="00BB7E8E" w14:paraId="32B26BAF" w14:textId="77777777">
      <w:pPr>
        <w:spacing w:line="233" w:lineRule="auto"/>
        <w:rPr>
          <w:rFonts w:ascii="Courier New" w:hAnsi="Courier New" w:cs="Courier New"/>
          <w:bCs/>
        </w:rPr>
      </w:pPr>
      <w:r w:rsidRPr="00942E88">
        <w:rPr>
          <w:rFonts w:ascii="Courier New" w:hAnsi="Courier New" w:cs="Courier New"/>
          <w:bCs/>
        </w:rPr>
        <w:t xml:space="preserve">13. </w:t>
      </w:r>
      <w:r w:rsidRPr="00942E88" w:rsidR="00E71A67">
        <w:rPr>
          <w:rFonts w:ascii="Courier New" w:hAnsi="Courier New" w:cs="Courier New"/>
          <w:bCs/>
        </w:rPr>
        <w:t xml:space="preserve"> </w:t>
      </w:r>
      <w:r w:rsidRPr="00942E88">
        <w:rPr>
          <w:rFonts w:ascii="Courier New" w:hAnsi="Courier New" w:cs="Courier New"/>
          <w:bCs/>
        </w:rPr>
        <w:t>ESTIMATED TOTAL ANNUAL COST BURDEN TO RESPONDENTS</w:t>
      </w:r>
    </w:p>
    <w:p w:rsidRPr="00942E88" w:rsidR="00BB7E8E" w:rsidRDefault="00BB7E8E" w14:paraId="01D9E395" w14:textId="77777777">
      <w:pPr>
        <w:spacing w:line="233" w:lineRule="auto"/>
        <w:rPr>
          <w:rFonts w:ascii="Courier New" w:hAnsi="Courier New" w:cs="Courier New"/>
          <w:bCs/>
        </w:rPr>
      </w:pPr>
    </w:p>
    <w:p w:rsidRPr="00942E88" w:rsidR="00BB7E8E" w:rsidRDefault="00BB7E8E" w14:paraId="1EFC77CA" w14:textId="77777777">
      <w:pPr>
        <w:spacing w:line="233" w:lineRule="auto"/>
        <w:rPr>
          <w:rFonts w:ascii="Courier New" w:hAnsi="Courier New" w:cs="Courier New"/>
          <w:bCs/>
        </w:rPr>
        <w:sectPr w:rsidRPr="00942E88" w:rsidR="00BB7E8E">
          <w:type w:val="continuous"/>
          <w:pgSz w:w="12240" w:h="15840"/>
          <w:pgMar w:top="1440" w:right="1440" w:bottom="1440" w:left="1440" w:header="1440" w:footer="1440" w:gutter="0"/>
          <w:cols w:space="720"/>
          <w:noEndnote/>
        </w:sectPr>
      </w:pPr>
    </w:p>
    <w:p w:rsidRPr="00AF702C" w:rsidR="00AF702C" w:rsidP="00CC5010" w:rsidRDefault="00AF702C" w14:paraId="568C3DC0" w14:textId="77777777">
      <w:pPr>
        <w:ind w:left="720"/>
        <w:rPr>
          <w:rFonts w:ascii="Courier New" w:hAnsi="Courier New" w:cs="Courier New"/>
          <w:sz w:val="22"/>
          <w:szCs w:val="22"/>
        </w:rPr>
      </w:pPr>
      <w:r w:rsidRPr="00AF702C">
        <w:rPr>
          <w:rFonts w:ascii="Courier New" w:hAnsi="Courier New"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AF702C">
        <w:rPr>
          <w:rFonts w:ascii="Courier New" w:hAnsi="Courier New" w:cs="Courier New"/>
          <w:sz w:val="22"/>
          <w:szCs w:val="22"/>
        </w:rPr>
        <w:t>.</w:t>
      </w:r>
    </w:p>
    <w:p w:rsidRPr="00AF702C" w:rsidR="007F2780" w:rsidP="00CC5010" w:rsidRDefault="007F2780" w14:paraId="5D29D686" w14:textId="77777777">
      <w:pPr>
        <w:autoSpaceDE/>
        <w:autoSpaceDN/>
        <w:adjustRightInd/>
        <w:ind w:left="720"/>
        <w:rPr>
          <w:rFonts w:ascii="Courier New" w:hAnsi="Courier New" w:cs="Courier New"/>
          <w:snapToGrid w:val="0"/>
          <w:szCs w:val="20"/>
        </w:rPr>
      </w:pPr>
    </w:p>
    <w:p w:rsidRPr="00942E88" w:rsidR="00BB7E8E" w:rsidRDefault="00BB7E8E" w14:paraId="2917C279" w14:textId="77777777">
      <w:pPr>
        <w:spacing w:line="233" w:lineRule="auto"/>
        <w:ind w:left="720"/>
        <w:rPr>
          <w:rFonts w:ascii="Courier New" w:hAnsi="Courier New" w:cs="Courier New"/>
          <w:bCs/>
        </w:rPr>
      </w:pPr>
    </w:p>
    <w:p w:rsidRPr="00942E88" w:rsidR="00BB7E8E" w:rsidRDefault="00BB7E8E" w14:paraId="0F8C7619"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14.</w:t>
      </w:r>
      <w:r w:rsidRPr="00942E88">
        <w:rPr>
          <w:rFonts w:ascii="Courier New" w:hAnsi="Courier New" w:cs="Courier New"/>
          <w:bCs/>
        </w:rPr>
        <w:tab/>
        <w:t>ESTIMATED ANNUALIZED COST TO THE FEDERAL GOVERNMENT</w:t>
      </w:r>
    </w:p>
    <w:p w:rsidRPr="00942E88" w:rsidR="00BB7E8E" w:rsidRDefault="00BB7E8E" w14:paraId="1A9B6444" w14:textId="77777777">
      <w:pPr>
        <w:spacing w:line="233" w:lineRule="auto"/>
        <w:rPr>
          <w:rFonts w:ascii="Courier New" w:hAnsi="Courier New" w:cs="Courier New"/>
          <w:bCs/>
        </w:rPr>
      </w:pPr>
    </w:p>
    <w:p w:rsidRPr="00AF702C" w:rsidR="00AF702C" w:rsidP="00CC5010" w:rsidRDefault="00AF702C" w14:paraId="56624D9B" w14:textId="77777777">
      <w:pPr>
        <w:ind w:left="720"/>
        <w:rPr>
          <w:rFonts w:ascii="Courier New" w:hAnsi="Courier New" w:cs="Courier New"/>
          <w:sz w:val="22"/>
          <w:szCs w:val="22"/>
        </w:rPr>
      </w:pPr>
      <w:r w:rsidRPr="00AF702C">
        <w:rPr>
          <w:rFonts w:ascii="Courier New" w:hAnsi="Courier New" w:cs="Courier New"/>
        </w:rPr>
        <w:lastRenderedPageBreak/>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AF702C">
        <w:rPr>
          <w:rFonts w:ascii="Courier New" w:hAnsi="Courier New" w:cs="Courier New"/>
          <w:sz w:val="22"/>
          <w:szCs w:val="22"/>
        </w:rPr>
        <w:t>.</w:t>
      </w:r>
    </w:p>
    <w:p w:rsidRPr="00AF702C" w:rsidR="00BB7E8E" w:rsidRDefault="00BB7E8E" w14:paraId="14482966" w14:textId="77777777">
      <w:pPr>
        <w:spacing w:line="233" w:lineRule="auto"/>
        <w:ind w:left="720"/>
        <w:rPr>
          <w:rFonts w:ascii="Courier New" w:hAnsi="Courier New" w:cs="Courier New"/>
          <w:bCs/>
        </w:rPr>
      </w:pPr>
    </w:p>
    <w:p w:rsidRPr="00AF702C" w:rsidR="00BB7E8E" w:rsidRDefault="00BB7E8E" w14:paraId="2F68EBB9" w14:textId="77777777">
      <w:pPr>
        <w:spacing w:line="233" w:lineRule="auto"/>
        <w:ind w:left="720"/>
        <w:rPr>
          <w:rFonts w:ascii="Courier New" w:hAnsi="Courier New" w:cs="Courier New"/>
          <w:bCs/>
        </w:rPr>
      </w:pPr>
    </w:p>
    <w:p w:rsidRPr="00942E88" w:rsidR="00BB7E8E" w:rsidRDefault="00BB7E8E" w14:paraId="6727DE7D"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15.</w:t>
      </w:r>
      <w:r w:rsidRPr="00942E88" w:rsidR="00E71A67">
        <w:rPr>
          <w:rFonts w:ascii="Courier New" w:hAnsi="Courier New" w:cs="Courier New"/>
          <w:bCs/>
        </w:rPr>
        <w:t xml:space="preserve"> </w:t>
      </w:r>
      <w:r w:rsidRPr="00942E88">
        <w:rPr>
          <w:rFonts w:ascii="Courier New" w:hAnsi="Courier New" w:cs="Courier New"/>
          <w:bCs/>
        </w:rPr>
        <w:t xml:space="preserve"> REASONS FOR CHANGE IN BURDEN</w:t>
      </w:r>
    </w:p>
    <w:p w:rsidRPr="002C62A4" w:rsidR="00BB7E8E" w:rsidRDefault="00BB7E8E" w14:paraId="7F8F49C8" w14:textId="77777777">
      <w:pPr>
        <w:spacing w:line="233" w:lineRule="auto"/>
        <w:rPr>
          <w:rFonts w:ascii="Courier New" w:hAnsi="Courier New" w:cs="Courier New"/>
          <w:b/>
          <w:bCs/>
        </w:rPr>
      </w:pPr>
    </w:p>
    <w:p w:rsidRPr="002C62A4" w:rsidR="00BB7E8E" w:rsidRDefault="00BB7E8E" w14:paraId="370E7ED5" w14:textId="77777777">
      <w:pPr>
        <w:spacing w:line="233" w:lineRule="auto"/>
        <w:ind w:left="720"/>
        <w:rPr>
          <w:rFonts w:ascii="Courier New" w:hAnsi="Courier New" w:cs="Courier New"/>
          <w:bCs/>
        </w:rPr>
      </w:pPr>
      <w:r w:rsidRPr="002C62A4">
        <w:rPr>
          <w:rFonts w:ascii="Courier New" w:hAnsi="Courier New" w:cs="Courier New"/>
          <w:bCs/>
        </w:rPr>
        <w:t>There is no change in the paperwork burden previously approved by OMB.  We are making this submission to renew the OMB approval.</w:t>
      </w:r>
    </w:p>
    <w:p w:rsidRPr="002C62A4" w:rsidR="00BB7E8E" w:rsidRDefault="00BB7E8E" w14:paraId="422490EA" w14:textId="77777777">
      <w:pPr>
        <w:spacing w:line="233" w:lineRule="auto"/>
        <w:ind w:left="720"/>
        <w:rPr>
          <w:rFonts w:ascii="Courier New" w:hAnsi="Courier New" w:cs="Courier New"/>
          <w:b/>
          <w:bCs/>
        </w:rPr>
      </w:pPr>
    </w:p>
    <w:p w:rsidRPr="00942E88" w:rsidR="00BB7E8E" w:rsidRDefault="00BB7E8E" w14:paraId="0FD82B31"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16.</w:t>
      </w:r>
      <w:r w:rsidRPr="00942E88">
        <w:rPr>
          <w:rFonts w:ascii="Courier New" w:hAnsi="Courier New" w:cs="Courier New"/>
          <w:bCs/>
        </w:rPr>
        <w:tab/>
        <w:t>PLANS FOR TABULATION, STATISTICAL ANALYSIS, AND PUBLICATION</w:t>
      </w:r>
    </w:p>
    <w:p w:rsidRPr="00942E88" w:rsidR="00BB7E8E" w:rsidRDefault="00BB7E8E" w14:paraId="72FDA388" w14:textId="77777777">
      <w:pPr>
        <w:spacing w:line="233" w:lineRule="auto"/>
        <w:rPr>
          <w:rFonts w:ascii="Courier New" w:hAnsi="Courier New" w:cs="Courier New"/>
          <w:bCs/>
        </w:rPr>
      </w:pPr>
    </w:p>
    <w:p w:rsidRPr="00942E88" w:rsidR="00E71A67" w:rsidP="00E71A67" w:rsidRDefault="00E71A67" w14:paraId="0777831C" w14:textId="77777777">
      <w:pPr>
        <w:rPr>
          <w:rFonts w:ascii="Courier New" w:hAnsi="Courier New" w:cs="Courier New"/>
          <w:bCs/>
        </w:rPr>
      </w:pPr>
      <w:r w:rsidRPr="00942E88">
        <w:rPr>
          <w:rFonts w:ascii="Courier New" w:hAnsi="Courier New" w:cs="Courier New"/>
          <w:bCs/>
        </w:rPr>
        <w:t xml:space="preserve">     There are no plans for tabulation, statistical </w:t>
      </w:r>
      <w:proofErr w:type="gramStart"/>
      <w:r w:rsidRPr="00942E88">
        <w:rPr>
          <w:rFonts w:ascii="Courier New" w:hAnsi="Courier New" w:cs="Courier New"/>
          <w:bCs/>
        </w:rPr>
        <w:t>analysis</w:t>
      </w:r>
      <w:proofErr w:type="gramEnd"/>
      <w:r w:rsidRPr="00942E88">
        <w:rPr>
          <w:rFonts w:ascii="Courier New" w:hAnsi="Courier New" w:cs="Courier New"/>
          <w:bCs/>
        </w:rPr>
        <w:t xml:space="preserve"> and      publication.</w:t>
      </w:r>
    </w:p>
    <w:p w:rsidRPr="00942E88" w:rsidR="00BB7E8E" w:rsidRDefault="00BB7E8E" w14:paraId="0EED6F77" w14:textId="77777777">
      <w:pPr>
        <w:spacing w:line="233" w:lineRule="auto"/>
        <w:ind w:left="720"/>
        <w:rPr>
          <w:rFonts w:ascii="Courier New" w:hAnsi="Courier New" w:cs="Courier New"/>
          <w:bCs/>
        </w:rPr>
      </w:pPr>
    </w:p>
    <w:p w:rsidRPr="00942E88" w:rsidR="00BB7E8E" w:rsidRDefault="00BB7E8E" w14:paraId="45D9D4BD"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17.</w:t>
      </w:r>
      <w:r w:rsidRPr="00942E88">
        <w:rPr>
          <w:rFonts w:ascii="Courier New" w:hAnsi="Courier New" w:cs="Courier New"/>
          <w:bCs/>
        </w:rPr>
        <w:tab/>
        <w:t>REASONS WHY DISPLAYING THE OMB EXPIRATION DATE IS     INAPPROPRIATE</w:t>
      </w:r>
    </w:p>
    <w:p w:rsidRPr="00942E88" w:rsidR="00BB7E8E" w:rsidRDefault="00BB7E8E" w14:paraId="50C32C74" w14:textId="77777777">
      <w:pPr>
        <w:spacing w:line="233" w:lineRule="auto"/>
        <w:rPr>
          <w:rFonts w:ascii="Courier New" w:hAnsi="Courier New" w:cs="Courier New"/>
          <w:bCs/>
        </w:rPr>
      </w:pPr>
    </w:p>
    <w:p w:rsidRPr="00AC72D3" w:rsidR="00AC72D3" w:rsidP="00AC72D3" w:rsidRDefault="00AC72D3" w14:paraId="6A8D3727" w14:textId="77777777">
      <w:pPr>
        <w:ind w:left="720"/>
        <w:rPr>
          <w:rFonts w:ascii="Courier New" w:hAnsi="Courier New" w:cs="Courier New"/>
        </w:rPr>
      </w:pPr>
      <w:r w:rsidRPr="00AC72D3">
        <w:rPr>
          <w:rFonts w:ascii="Courier New" w:hAnsi="Courier New" w:cs="Courier New"/>
        </w:rPr>
        <w:t>The IRS believes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AC72D3" w:rsidR="00BB7E8E" w:rsidP="00AC72D3" w:rsidRDefault="00BB7E8E" w14:paraId="4689CB47" w14:textId="77777777">
      <w:pPr>
        <w:spacing w:line="233" w:lineRule="auto"/>
        <w:ind w:left="720"/>
        <w:rPr>
          <w:rFonts w:ascii="Courier New" w:hAnsi="Courier New" w:cs="Courier New"/>
          <w:bCs/>
        </w:rPr>
      </w:pPr>
    </w:p>
    <w:p w:rsidRPr="00942E88" w:rsidR="00BB7E8E" w:rsidRDefault="00BB7E8E" w14:paraId="2F484327" w14:textId="77777777">
      <w:pPr>
        <w:spacing w:line="233" w:lineRule="auto"/>
        <w:ind w:left="720"/>
        <w:rPr>
          <w:rFonts w:ascii="Courier New" w:hAnsi="Courier New" w:cs="Courier New"/>
          <w:bCs/>
        </w:rPr>
      </w:pPr>
    </w:p>
    <w:p w:rsidRPr="00942E88" w:rsidR="00BB7E8E" w:rsidP="00E71A67" w:rsidRDefault="00BB7E8E" w14:paraId="0244F947" w14:textId="77777777">
      <w:pPr>
        <w:tabs>
          <w:tab w:val="left" w:pos="-1440"/>
        </w:tabs>
        <w:spacing w:line="233" w:lineRule="auto"/>
        <w:ind w:left="720" w:hanging="720"/>
        <w:rPr>
          <w:rFonts w:ascii="Courier New" w:hAnsi="Courier New" w:cs="Courier New"/>
          <w:bCs/>
        </w:rPr>
      </w:pPr>
      <w:r w:rsidRPr="00942E88">
        <w:rPr>
          <w:rFonts w:ascii="Courier New" w:hAnsi="Courier New" w:cs="Courier New"/>
          <w:bCs/>
        </w:rPr>
        <w:t>18.</w:t>
      </w:r>
      <w:r w:rsidRPr="00942E88">
        <w:rPr>
          <w:rFonts w:ascii="Courier New" w:hAnsi="Courier New" w:cs="Courier New"/>
          <w:bCs/>
        </w:rPr>
        <w:tab/>
        <w:t>EXCEPTIONS TO THE CERTIFICATION STATEMEN</w:t>
      </w:r>
      <w:r w:rsidRPr="00942E88" w:rsidR="00E71A67">
        <w:rPr>
          <w:rFonts w:ascii="Courier New" w:hAnsi="Courier New" w:cs="Courier New"/>
          <w:bCs/>
        </w:rPr>
        <w:t>T</w:t>
      </w:r>
    </w:p>
    <w:p w:rsidRPr="00942E88" w:rsidR="00E71A67" w:rsidP="00E71A67" w:rsidRDefault="00E71A67" w14:paraId="2B1BBE8F" w14:textId="77777777">
      <w:pPr>
        <w:tabs>
          <w:tab w:val="left" w:pos="-1440"/>
        </w:tabs>
        <w:spacing w:line="233" w:lineRule="auto"/>
        <w:ind w:left="720" w:hanging="720"/>
        <w:rPr>
          <w:rFonts w:ascii="Courier New" w:hAnsi="Courier New" w:cs="Courier New"/>
          <w:bCs/>
        </w:rPr>
      </w:pPr>
    </w:p>
    <w:p w:rsidRPr="00942E88" w:rsidR="00BB7E8E" w:rsidRDefault="00E71A67" w14:paraId="626A3C68" w14:textId="77777777">
      <w:pPr>
        <w:spacing w:line="233" w:lineRule="auto"/>
        <w:ind w:left="720"/>
        <w:rPr>
          <w:rFonts w:ascii="Courier New" w:hAnsi="Courier New" w:cs="Courier New"/>
          <w:bCs/>
        </w:rPr>
      </w:pPr>
      <w:r w:rsidRPr="00942E88">
        <w:rPr>
          <w:rFonts w:ascii="Courier New" w:hAnsi="Courier New" w:cs="Courier New"/>
          <w:bCs/>
        </w:rPr>
        <w:t>There are no exceptions to the certification statement.</w:t>
      </w:r>
    </w:p>
    <w:p w:rsidRPr="00942E88" w:rsidR="00BB7E8E" w:rsidRDefault="00BB7E8E" w14:paraId="209C4510" w14:textId="77777777">
      <w:pPr>
        <w:spacing w:line="233" w:lineRule="auto"/>
        <w:ind w:left="720"/>
        <w:rPr>
          <w:rFonts w:ascii="Courier New" w:hAnsi="Courier New" w:cs="Courier New"/>
          <w:bCs/>
        </w:rPr>
      </w:pPr>
    </w:p>
    <w:p w:rsidRPr="002C62A4" w:rsidR="00BB7E8E" w:rsidRDefault="00BB7E8E" w14:paraId="26124424" w14:textId="77777777">
      <w:pPr>
        <w:spacing w:line="233" w:lineRule="auto"/>
        <w:rPr>
          <w:rFonts w:ascii="Courier New" w:hAnsi="Courier New" w:cs="Courier New"/>
          <w:bCs/>
        </w:rPr>
      </w:pPr>
      <w:r w:rsidRPr="00117FA8">
        <w:rPr>
          <w:rFonts w:ascii="Courier New" w:hAnsi="Courier New" w:cs="Courier New"/>
          <w:bCs/>
          <w:u w:val="single"/>
        </w:rPr>
        <w:t>Note:</w:t>
      </w:r>
      <w:r w:rsidRPr="002C62A4">
        <w:rPr>
          <w:rFonts w:ascii="Courier New" w:hAnsi="Courier New" w:cs="Courier New"/>
          <w:b/>
          <w:bCs/>
        </w:rPr>
        <w:t xml:space="preserve">   </w:t>
      </w:r>
      <w:r w:rsidRPr="002C62A4">
        <w:rPr>
          <w:rFonts w:ascii="Courier New" w:hAnsi="Courier New" w:cs="Courier New"/>
          <w:bCs/>
        </w:rPr>
        <w:t xml:space="preserve">The following paragraph applies to </w:t>
      </w:r>
      <w:proofErr w:type="gramStart"/>
      <w:r w:rsidRPr="002C62A4">
        <w:rPr>
          <w:rFonts w:ascii="Courier New" w:hAnsi="Courier New" w:cs="Courier New"/>
          <w:bCs/>
        </w:rPr>
        <w:t>all of</w:t>
      </w:r>
      <w:proofErr w:type="gramEnd"/>
      <w:r w:rsidRPr="002C62A4">
        <w:rPr>
          <w:rFonts w:ascii="Courier New" w:hAnsi="Courier New" w:cs="Courier New"/>
          <w:bCs/>
        </w:rPr>
        <w:t xml:space="preserve"> the collections of information in this submission:</w:t>
      </w:r>
    </w:p>
    <w:p w:rsidRPr="002C62A4" w:rsidR="00BB7E8E" w:rsidRDefault="00BB7E8E" w14:paraId="25CCDDF0" w14:textId="77777777">
      <w:pPr>
        <w:spacing w:line="233" w:lineRule="auto"/>
        <w:rPr>
          <w:rFonts w:ascii="Courier New" w:hAnsi="Courier New" w:cs="Courier New"/>
          <w:bCs/>
        </w:rPr>
      </w:pPr>
    </w:p>
    <w:p w:rsidRPr="002C62A4" w:rsidR="00BB7E8E" w:rsidP="00D87E22" w:rsidRDefault="00BB7E8E" w14:paraId="3F6B1741" w14:textId="77777777">
      <w:pPr>
        <w:spacing w:line="233" w:lineRule="auto"/>
        <w:ind w:firstLine="720"/>
        <w:rPr>
          <w:rFonts w:ascii="Courier New" w:hAnsi="Courier New" w:cs="Courier New"/>
          <w:b/>
          <w:bCs/>
        </w:rPr>
      </w:pPr>
      <w:r w:rsidRPr="002C62A4">
        <w:rPr>
          <w:rFonts w:ascii="Courier New" w:hAnsi="Courier New" w:cs="Courier New"/>
          <w:bCs/>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C62A4">
        <w:rPr>
          <w:rFonts w:ascii="Courier New" w:hAnsi="Courier New" w:cs="Courier New"/>
          <w:bCs/>
        </w:rPr>
        <w:t>as long as</w:t>
      </w:r>
      <w:proofErr w:type="gramEnd"/>
      <w:r w:rsidRPr="002C62A4">
        <w:rPr>
          <w:rFonts w:ascii="Courier New" w:hAnsi="Courier New" w:cs="Courier New"/>
          <w:bCs/>
        </w:rPr>
        <w:t xml:space="preserve"> their contents may become material in the administration of any internal revenue law.  Generally, tax returns and tax return information are confidential, as required by 26 U.S.C. 6</w:t>
      </w:r>
      <w:r w:rsidR="00117FA8">
        <w:rPr>
          <w:rFonts w:ascii="Courier New" w:hAnsi="Courier New" w:cs="Courier New"/>
          <w:bCs/>
        </w:rPr>
        <w:t>103.</w:t>
      </w:r>
    </w:p>
    <w:sectPr w:rsidRPr="002C62A4" w:rsidR="00BB7E8E" w:rsidSect="00BB7E8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A85F3" w14:textId="77777777" w:rsidR="0039122B" w:rsidRDefault="0039122B">
      <w:r>
        <w:separator/>
      </w:r>
    </w:p>
  </w:endnote>
  <w:endnote w:type="continuationSeparator" w:id="0">
    <w:p w14:paraId="64005AB2" w14:textId="77777777" w:rsidR="0039122B" w:rsidRDefault="0039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2F4B5" w14:textId="77777777" w:rsidR="00D62EF2" w:rsidRDefault="00D62EF2">
    <w:pPr>
      <w:spacing w:line="240" w:lineRule="exact"/>
    </w:pPr>
  </w:p>
  <w:p w14:paraId="5AA296FF" w14:textId="77777777" w:rsidR="00D62EF2" w:rsidRDefault="00D62EF2">
    <w:pPr>
      <w:framePr w:w="9361" w:wrap="notBeside" w:vAnchor="text" w:hAnchor="text" w:x="1" w:y="1"/>
      <w:jc w:val="center"/>
    </w:pPr>
    <w:r>
      <w:fldChar w:fldCharType="begin"/>
    </w:r>
    <w:r>
      <w:instrText xml:space="preserve">PAGE </w:instrText>
    </w:r>
    <w:r>
      <w:fldChar w:fldCharType="separate"/>
    </w:r>
    <w:r w:rsidR="00CC5010">
      <w:rPr>
        <w:noProof/>
      </w:rPr>
      <w:t>3</w:t>
    </w:r>
    <w:r>
      <w:fldChar w:fldCharType="end"/>
    </w:r>
  </w:p>
  <w:p w14:paraId="2A87AD46" w14:textId="77777777" w:rsidR="00D62EF2" w:rsidRDefault="00D62E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7F501" w14:textId="77777777" w:rsidR="0039122B" w:rsidRDefault="0039122B">
      <w:r>
        <w:separator/>
      </w:r>
    </w:p>
  </w:footnote>
  <w:footnote w:type="continuationSeparator" w:id="0">
    <w:p w14:paraId="0D579E3D" w14:textId="77777777" w:rsidR="0039122B" w:rsidRDefault="0039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E8E"/>
    <w:rsid w:val="00085801"/>
    <w:rsid w:val="000E3906"/>
    <w:rsid w:val="00106908"/>
    <w:rsid w:val="00117FA8"/>
    <w:rsid w:val="00167070"/>
    <w:rsid w:val="00252AAB"/>
    <w:rsid w:val="002C62A4"/>
    <w:rsid w:val="002C75A4"/>
    <w:rsid w:val="0039122B"/>
    <w:rsid w:val="003F06C8"/>
    <w:rsid w:val="004319F2"/>
    <w:rsid w:val="0052256E"/>
    <w:rsid w:val="006A3F97"/>
    <w:rsid w:val="006D2954"/>
    <w:rsid w:val="007247BF"/>
    <w:rsid w:val="00762D36"/>
    <w:rsid w:val="007C6CD7"/>
    <w:rsid w:val="007D622F"/>
    <w:rsid w:val="007F2780"/>
    <w:rsid w:val="007F58E2"/>
    <w:rsid w:val="008A09BF"/>
    <w:rsid w:val="008F0E82"/>
    <w:rsid w:val="009049EE"/>
    <w:rsid w:val="00942E88"/>
    <w:rsid w:val="00944179"/>
    <w:rsid w:val="009C2737"/>
    <w:rsid w:val="00A94B28"/>
    <w:rsid w:val="00AC3CE7"/>
    <w:rsid w:val="00AC72D3"/>
    <w:rsid w:val="00AE760A"/>
    <w:rsid w:val="00AF702C"/>
    <w:rsid w:val="00B24067"/>
    <w:rsid w:val="00BB7E8E"/>
    <w:rsid w:val="00C35537"/>
    <w:rsid w:val="00C50637"/>
    <w:rsid w:val="00C70203"/>
    <w:rsid w:val="00C846CA"/>
    <w:rsid w:val="00C9427A"/>
    <w:rsid w:val="00CC5010"/>
    <w:rsid w:val="00D62EF2"/>
    <w:rsid w:val="00D87E22"/>
    <w:rsid w:val="00DD4009"/>
    <w:rsid w:val="00E14353"/>
    <w:rsid w:val="00E23187"/>
    <w:rsid w:val="00E476C5"/>
    <w:rsid w:val="00E576CF"/>
    <w:rsid w:val="00E706F5"/>
    <w:rsid w:val="00E71A67"/>
    <w:rsid w:val="00ED44D9"/>
    <w:rsid w:val="00F61976"/>
    <w:rsid w:val="00F65D7B"/>
    <w:rsid w:val="00FF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CC7AF6"/>
  <w15:chartTrackingRefBased/>
  <w15:docId w15:val="{FCF5C380-B42E-40BC-918E-A8E96385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944179"/>
    <w:rPr>
      <w:color w:val="0000FF"/>
      <w:u w:val="single"/>
    </w:rPr>
  </w:style>
  <w:style w:type="paragraph" w:styleId="Header">
    <w:name w:val="header"/>
    <w:basedOn w:val="Normal"/>
    <w:link w:val="HeaderChar"/>
    <w:rsid w:val="00E476C5"/>
    <w:pPr>
      <w:tabs>
        <w:tab w:val="center" w:pos="4680"/>
        <w:tab w:val="right" w:pos="9360"/>
      </w:tabs>
    </w:pPr>
  </w:style>
  <w:style w:type="character" w:customStyle="1" w:styleId="HeaderChar">
    <w:name w:val="Header Char"/>
    <w:link w:val="Header"/>
    <w:rsid w:val="00E476C5"/>
    <w:rPr>
      <w:sz w:val="24"/>
      <w:szCs w:val="24"/>
    </w:rPr>
  </w:style>
  <w:style w:type="paragraph" w:styleId="Footer">
    <w:name w:val="footer"/>
    <w:basedOn w:val="Normal"/>
    <w:link w:val="FooterChar"/>
    <w:rsid w:val="00E476C5"/>
    <w:pPr>
      <w:tabs>
        <w:tab w:val="center" w:pos="4680"/>
        <w:tab w:val="right" w:pos="9360"/>
      </w:tabs>
    </w:pPr>
  </w:style>
  <w:style w:type="character" w:customStyle="1" w:styleId="FooterChar">
    <w:name w:val="Footer Char"/>
    <w:link w:val="Footer"/>
    <w:rsid w:val="00E47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rs.gov/uac/Privacy-Impact-Assessments-P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6707</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Sara</cp:lastModifiedBy>
  <cp:revision>3</cp:revision>
  <cp:lastPrinted>2006-02-22T20:35:00Z</cp:lastPrinted>
  <dcterms:created xsi:type="dcterms:W3CDTF">2022-01-10T21:05:00Z</dcterms:created>
  <dcterms:modified xsi:type="dcterms:W3CDTF">2022-01-10T23:22:00Z</dcterms:modified>
</cp:coreProperties>
</file>