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5CF4" w:rsidR="0095134F" w:rsidP="0095134F" w:rsidRDefault="0095134F" w14:paraId="4B43E1EA" w14:textId="77777777">
      <w:pPr>
        <w:pStyle w:val="BodyText"/>
        <w:ind w:left="0" w:firstLine="0"/>
        <w:rPr>
          <w:rFonts w:eastAsia="Arial" w:cs="Times New Roman"/>
        </w:rPr>
      </w:pPr>
      <w:bookmarkStart w:name="_GoBack" w:id="0"/>
      <w:bookmarkEnd w:id="0"/>
    </w:p>
    <w:p w:rsidRPr="00085CF4" w:rsidR="0095134F" w:rsidP="0095134F" w:rsidRDefault="0095134F" w14:paraId="063EA501" w14:textId="1AB27AD5">
      <w:pPr>
        <w:pStyle w:val="Heading1"/>
        <w:spacing w:before="0"/>
        <w:ind w:left="0"/>
        <w:rPr>
          <w:rFonts w:ascii="Times New Roman" w:hAnsi="Times New Roman" w:cs="Times New Roman"/>
          <w:sz w:val="24"/>
          <w:szCs w:val="24"/>
        </w:rPr>
      </w:pPr>
      <w:bookmarkStart w:name="_Hlk47012897" w:id="1"/>
      <w:bookmarkStart w:name="_Hlk51747829" w:id="2"/>
      <w:r>
        <w:rPr>
          <w:rFonts w:ascii="Times New Roman" w:hAnsi="Times New Roman" w:cs="Times New Roman"/>
          <w:sz w:val="24"/>
          <w:szCs w:val="24"/>
        </w:rPr>
        <w:t xml:space="preserve">Libor </w:t>
      </w:r>
      <w:r w:rsidR="006A4F5F">
        <w:rPr>
          <w:rFonts w:ascii="Times New Roman" w:hAnsi="Times New Roman" w:cs="Times New Roman"/>
          <w:sz w:val="24"/>
          <w:szCs w:val="24"/>
        </w:rPr>
        <w:t>Self-assessment Tool</w:t>
      </w:r>
    </w:p>
    <w:p w:rsidRPr="00085CF4" w:rsidR="0095134F" w:rsidP="0095134F" w:rsidRDefault="0095134F" w14:paraId="2C4CC66B" w14:textId="77777777">
      <w:pPr>
        <w:rPr>
          <w:szCs w:val="24"/>
        </w:rPr>
      </w:pPr>
    </w:p>
    <w:bookmarkEnd w:id="1"/>
    <w:p w:rsidR="009342F4" w:rsidP="0095134F" w:rsidRDefault="009342F4" w14:paraId="589EFDAD" w14:textId="347958A7">
      <w:pPr>
        <w:rPr>
          <w:rFonts w:eastAsiaTheme="minorHAnsi"/>
        </w:rPr>
      </w:pPr>
      <w:r>
        <w:rPr>
          <w:spacing w:val="-1"/>
          <w:szCs w:val="24"/>
        </w:rPr>
        <w:t>B</w:t>
      </w:r>
      <w:r w:rsidRPr="00085CF4" w:rsidR="0095134F">
        <w:rPr>
          <w:spacing w:val="-1"/>
          <w:szCs w:val="24"/>
        </w:rPr>
        <w:t>ank</w:t>
      </w:r>
      <w:r w:rsidR="00A12682">
        <w:rPr>
          <w:spacing w:val="-1"/>
          <w:szCs w:val="24"/>
        </w:rPr>
        <w:t xml:space="preserve"> management</w:t>
      </w:r>
      <w:r w:rsidR="006A4F5F">
        <w:rPr>
          <w:spacing w:val="-1"/>
          <w:szCs w:val="24"/>
        </w:rPr>
        <w:t xml:space="preserve"> </w:t>
      </w:r>
      <w:r>
        <w:rPr>
          <w:spacing w:val="-1"/>
          <w:szCs w:val="24"/>
        </w:rPr>
        <w:t xml:space="preserve">may use this self-assessment tool to </w:t>
      </w:r>
      <w:r w:rsidR="00950545">
        <w:rPr>
          <w:spacing w:val="-1"/>
          <w:szCs w:val="24"/>
        </w:rPr>
        <w:t>evaluate</w:t>
      </w:r>
      <w:r w:rsidR="0095134F">
        <w:rPr>
          <w:spacing w:val="-1"/>
          <w:szCs w:val="24"/>
        </w:rPr>
        <w:t xml:space="preserve"> bank </w:t>
      </w:r>
      <w:r w:rsidRPr="00085CF4" w:rsidR="0095134F">
        <w:rPr>
          <w:spacing w:val="-1"/>
          <w:szCs w:val="24"/>
        </w:rPr>
        <w:t xml:space="preserve">risk management processes to identify and mitigate </w:t>
      </w:r>
      <w:r w:rsidR="0095134F">
        <w:rPr>
          <w:spacing w:val="-1"/>
          <w:szCs w:val="24"/>
        </w:rPr>
        <w:t>the bank’s</w:t>
      </w:r>
      <w:r w:rsidRPr="00085CF4" w:rsidR="0095134F">
        <w:rPr>
          <w:spacing w:val="-1"/>
          <w:szCs w:val="24"/>
        </w:rPr>
        <w:t xml:space="preserve"> Libor transition risks. </w:t>
      </w:r>
      <w:r w:rsidR="0095134F">
        <w:rPr>
          <w:spacing w:val="-1"/>
          <w:szCs w:val="24"/>
        </w:rPr>
        <w:t>Not all sections or questions apply to all banks</w:t>
      </w:r>
      <w:r w:rsidR="00950545">
        <w:rPr>
          <w:spacing w:val="-1"/>
          <w:szCs w:val="24"/>
        </w:rPr>
        <w:t>. B</w:t>
      </w:r>
      <w:r w:rsidR="00A12682">
        <w:rPr>
          <w:spacing w:val="-1"/>
          <w:szCs w:val="24"/>
        </w:rPr>
        <w:t>ank management should tailor the bank’s risk management process</w:t>
      </w:r>
      <w:r w:rsidRPr="00085CF4" w:rsidR="00A12682">
        <w:rPr>
          <w:spacing w:val="-1"/>
          <w:szCs w:val="24"/>
        </w:rPr>
        <w:t xml:space="preserve"> to the size and complexity of </w:t>
      </w:r>
      <w:r w:rsidR="00A12682">
        <w:rPr>
          <w:spacing w:val="-1"/>
          <w:szCs w:val="24"/>
        </w:rPr>
        <w:t>the bank’s</w:t>
      </w:r>
      <w:r w:rsidRPr="00085CF4" w:rsidR="00A12682">
        <w:rPr>
          <w:spacing w:val="-1"/>
          <w:szCs w:val="24"/>
        </w:rPr>
        <w:t xml:space="preserve"> Libor exposures. </w:t>
      </w:r>
      <w:r w:rsidR="00A12682">
        <w:rPr>
          <w:spacing w:val="-1"/>
          <w:szCs w:val="24"/>
        </w:rPr>
        <w:t>For example, l</w:t>
      </w:r>
      <w:r w:rsidRPr="00085CF4" w:rsidR="00A12682">
        <w:rPr>
          <w:spacing w:val="-1"/>
          <w:szCs w:val="24"/>
        </w:rPr>
        <w:t xml:space="preserve">arge or complex banks and those with material Libor exposures should have a robust, well-developed transition process in place. In contrast, for </w:t>
      </w:r>
      <w:r w:rsidR="00A12682">
        <w:rPr>
          <w:spacing w:val="-1"/>
          <w:szCs w:val="24"/>
        </w:rPr>
        <w:t>small or non-complex</w:t>
      </w:r>
      <w:r w:rsidRPr="00085CF4" w:rsidR="00A12682">
        <w:rPr>
          <w:spacing w:val="-1"/>
          <w:szCs w:val="24"/>
        </w:rPr>
        <w:t xml:space="preserve"> banks</w:t>
      </w:r>
      <w:r w:rsidR="00A12682">
        <w:rPr>
          <w:spacing w:val="-1"/>
          <w:szCs w:val="24"/>
        </w:rPr>
        <w:t xml:space="preserve"> and those </w:t>
      </w:r>
      <w:r w:rsidRPr="00085CF4" w:rsidR="00A12682">
        <w:rPr>
          <w:spacing w:val="-1"/>
          <w:szCs w:val="24"/>
        </w:rPr>
        <w:t>with limited exposure to Libor-indexed instruments, less extensive and less formal transition efforts may be appropriate.</w:t>
      </w:r>
      <w:r w:rsidR="00A12682">
        <w:rPr>
          <w:spacing w:val="-1"/>
          <w:szCs w:val="24"/>
        </w:rPr>
        <w:t xml:space="preserve"> </w:t>
      </w:r>
      <w:r w:rsidR="006A4F5F">
        <w:rPr>
          <w:rFonts w:eastAsiaTheme="minorHAnsi"/>
        </w:rPr>
        <w:t>Bank</w:t>
      </w:r>
      <w:r w:rsidR="00A12682">
        <w:rPr>
          <w:rFonts w:eastAsiaTheme="minorHAnsi"/>
        </w:rPr>
        <w:t xml:space="preserve"> management</w:t>
      </w:r>
      <w:r w:rsidRPr="00085CF4" w:rsidR="006A4F5F">
        <w:rPr>
          <w:rFonts w:eastAsiaTheme="minorHAnsi"/>
        </w:rPr>
        <w:t xml:space="preserve"> </w:t>
      </w:r>
      <w:r w:rsidRPr="00085CF4" w:rsidR="0095134F">
        <w:rPr>
          <w:rFonts w:eastAsiaTheme="minorHAnsi"/>
        </w:rPr>
        <w:t xml:space="preserve">should consider all applicable </w:t>
      </w:r>
      <w:r w:rsidRPr="00BF2EAA" w:rsidR="0095134F">
        <w:rPr>
          <w:rFonts w:eastAsiaTheme="minorHAnsi"/>
        </w:rPr>
        <w:t>risks (e.g., operational, compliance, strategic,</w:t>
      </w:r>
      <w:r w:rsidR="0095134F">
        <w:rPr>
          <w:rFonts w:eastAsiaTheme="minorHAnsi"/>
        </w:rPr>
        <w:t xml:space="preserve"> and</w:t>
      </w:r>
      <w:r w:rsidRPr="00BF2EAA" w:rsidR="0095134F">
        <w:rPr>
          <w:rFonts w:eastAsiaTheme="minorHAnsi"/>
        </w:rPr>
        <w:t xml:space="preserve"> reputation) when scoping and completing Libor</w:t>
      </w:r>
      <w:r w:rsidRPr="00085CF4" w:rsidR="0095134F">
        <w:rPr>
          <w:rFonts w:eastAsiaTheme="minorHAnsi"/>
        </w:rPr>
        <w:t xml:space="preserve"> cessation preparedness assessments. </w:t>
      </w:r>
    </w:p>
    <w:p w:rsidR="0095134F" w:rsidP="0095134F" w:rsidRDefault="0095134F" w14:paraId="6F0F2321" w14:textId="77777777">
      <w:pPr>
        <w:rPr>
          <w:rFonts w:eastAsiaTheme="minorHAnsi"/>
        </w:rPr>
      </w:pPr>
    </w:p>
    <w:p w:rsidRPr="00085CF4" w:rsidR="0095134F" w:rsidP="00A12682" w:rsidRDefault="009342F4" w14:paraId="7F93CECF" w14:textId="0A32AFF0">
      <w:pPr>
        <w:rPr>
          <w:spacing w:val="-1"/>
          <w:szCs w:val="24"/>
        </w:rPr>
      </w:pPr>
      <w:r>
        <w:t xml:space="preserve">Given </w:t>
      </w:r>
      <w:r w:rsidR="0095134F">
        <w:t xml:space="preserve">the expectation for </w:t>
      </w:r>
      <w:r w:rsidR="006A4F5F">
        <w:t xml:space="preserve">banks to </w:t>
      </w:r>
      <w:r w:rsidR="002C4BD2">
        <w:rPr>
          <w:lang w:val="en"/>
        </w:rPr>
        <w:t>cease entering into new contracts that use Libor as a reference rate by December 31, 2021</w:t>
      </w:r>
      <w:r>
        <w:rPr>
          <w:lang w:val="en"/>
        </w:rPr>
        <w:t xml:space="preserve">, </w:t>
      </w:r>
      <w:r>
        <w:rPr>
          <w:rFonts w:eastAsiaTheme="minorHAnsi"/>
        </w:rPr>
        <w:t xml:space="preserve">bank </w:t>
      </w:r>
      <w:r w:rsidR="00A12682">
        <w:rPr>
          <w:rFonts w:eastAsiaTheme="minorHAnsi"/>
        </w:rPr>
        <w:t xml:space="preserve">management </w:t>
      </w:r>
      <w:r>
        <w:rPr>
          <w:rFonts w:eastAsiaTheme="minorHAnsi"/>
        </w:rPr>
        <w:t xml:space="preserve">should assess whether </w:t>
      </w:r>
      <w:r w:rsidR="00A12682">
        <w:rPr>
          <w:rFonts w:eastAsiaTheme="minorHAnsi"/>
        </w:rPr>
        <w:t xml:space="preserve">the bank’s </w:t>
      </w:r>
      <w:r>
        <w:rPr>
          <w:rFonts w:eastAsiaTheme="minorHAnsi"/>
        </w:rPr>
        <w:t xml:space="preserve">progress with preparedness </w:t>
      </w:r>
      <w:r>
        <w:t xml:space="preserve">is </w:t>
      </w:r>
      <w:proofErr w:type="gramStart"/>
      <w:r>
        <w:t>sufficient</w:t>
      </w:r>
      <w:proofErr w:type="gramEnd"/>
      <w:r w:rsidR="0095134F">
        <w:t>.</w:t>
      </w:r>
      <w:r w:rsidR="0095134F">
        <w:rPr>
          <w:rFonts w:eastAsiaTheme="minorHAnsi"/>
        </w:rPr>
        <w:t xml:space="preserve"> For example, </w:t>
      </w:r>
      <w:r w:rsidR="00CF7B8F">
        <w:rPr>
          <w:rFonts w:eastAsiaTheme="minorHAnsi"/>
        </w:rPr>
        <w:t>in</w:t>
      </w:r>
      <w:r w:rsidR="0095134F">
        <w:rPr>
          <w:rFonts w:eastAsiaTheme="minorHAnsi"/>
        </w:rPr>
        <w:t xml:space="preserve"> 2021, Libor exposure and risk assessments and cessation preparedness plans should be at least near completion with appropriate management oversight and reporting in place. Most banks should be working toward resolving replacement rate issues while communicating with affected customers and third parties, </w:t>
      </w:r>
      <w:r w:rsidR="00A12682">
        <w:rPr>
          <w:rFonts w:eastAsiaTheme="minorHAnsi"/>
        </w:rPr>
        <w:t xml:space="preserve">as </w:t>
      </w:r>
      <w:r w:rsidR="0095134F">
        <w:rPr>
          <w:rFonts w:eastAsiaTheme="minorHAnsi"/>
        </w:rPr>
        <w:t>applicable.</w:t>
      </w:r>
      <w:r w:rsidR="0095134F">
        <w:rPr>
          <w:spacing w:val="-1"/>
          <w:szCs w:val="24"/>
        </w:rPr>
        <w:t xml:space="preserve"> </w:t>
      </w:r>
      <w:bookmarkStart w:name="_Hlk61008013" w:id="3"/>
    </w:p>
    <w:bookmarkEnd w:id="2"/>
    <w:bookmarkEnd w:id="3"/>
    <w:p w:rsidR="0095134F" w:rsidP="0095134F" w:rsidRDefault="0095134F" w14:paraId="6471D8A1" w14:textId="77777777">
      <w:pPr>
        <w:rPr>
          <w:rFonts w:eastAsiaTheme="minorHAnsi"/>
          <w:color w:val="000000"/>
          <w:szCs w:val="24"/>
        </w:rPr>
      </w:pP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1E0" w:firstRow="1" w:lastRow="1" w:firstColumn="1" w:lastColumn="1" w:noHBand="0" w:noVBand="0"/>
      </w:tblPr>
      <w:tblGrid>
        <w:gridCol w:w="2250"/>
        <w:gridCol w:w="2676"/>
        <w:gridCol w:w="24"/>
        <w:gridCol w:w="1530"/>
        <w:gridCol w:w="270"/>
        <w:gridCol w:w="2610"/>
      </w:tblGrid>
      <w:tr w:rsidRPr="00701682" w:rsidR="0095134F" w:rsidTr="00664AA7" w14:paraId="06E64D89" w14:textId="77777777">
        <w:tc>
          <w:tcPr>
            <w:tcW w:w="9360" w:type="dxa"/>
            <w:gridSpan w:val="6"/>
            <w:vAlign w:val="center"/>
          </w:tcPr>
          <w:p w:rsidRPr="00701682" w:rsidR="0095134F" w:rsidP="00664AA7" w:rsidRDefault="0095134F" w14:paraId="7E907505" w14:textId="0C91DC87">
            <w:pPr>
              <w:spacing w:before="40" w:after="40"/>
              <w:jc w:val="center"/>
              <w:rPr>
                <w:rFonts w:cs="Arial"/>
                <w:b/>
                <w:sz w:val="18"/>
                <w:szCs w:val="18"/>
              </w:rPr>
            </w:pPr>
            <w:r>
              <w:rPr>
                <w:rFonts w:cs="Arial"/>
                <w:b/>
                <w:sz w:val="18"/>
                <w:szCs w:val="18"/>
              </w:rPr>
              <w:t xml:space="preserve">Libor </w:t>
            </w:r>
            <w:r w:rsidR="00FB2500">
              <w:rPr>
                <w:rFonts w:cs="Arial"/>
                <w:b/>
                <w:sz w:val="18"/>
                <w:szCs w:val="18"/>
              </w:rPr>
              <w:t>Self-Assessment Tool</w:t>
            </w:r>
          </w:p>
        </w:tc>
      </w:tr>
      <w:tr w:rsidRPr="00701682" w:rsidR="0095134F" w:rsidTr="00664AA7" w14:paraId="48FA5DDD" w14:textId="77777777">
        <w:tc>
          <w:tcPr>
            <w:tcW w:w="2250" w:type="dxa"/>
          </w:tcPr>
          <w:p w:rsidRPr="00C40E2D" w:rsidR="0095134F" w:rsidP="00664AA7" w:rsidRDefault="0095134F" w14:paraId="0C125158" w14:textId="77777777">
            <w:pPr>
              <w:tabs>
                <w:tab w:val="left" w:pos="5760"/>
              </w:tabs>
              <w:spacing w:before="40" w:after="40"/>
              <w:rPr>
                <w:rFonts w:eastAsia="CG Omega" w:cs="Arial"/>
                <w:b/>
                <w:bCs/>
                <w:sz w:val="18"/>
                <w:szCs w:val="18"/>
              </w:rPr>
            </w:pPr>
            <w:r w:rsidRPr="00C40E2D">
              <w:rPr>
                <w:rFonts w:cs="Arial"/>
                <w:b/>
                <w:bCs/>
                <w:sz w:val="18"/>
                <w:szCs w:val="18"/>
              </w:rPr>
              <w:t>Prepared by</w:t>
            </w:r>
          </w:p>
        </w:tc>
        <w:tc>
          <w:tcPr>
            <w:tcW w:w="2700" w:type="dxa"/>
            <w:gridSpan w:val="2"/>
          </w:tcPr>
          <w:p w:rsidRPr="00701682" w:rsidR="0095134F" w:rsidP="00664AA7" w:rsidRDefault="0095134F" w14:paraId="35C75C49" w14:textId="77777777">
            <w:pPr>
              <w:tabs>
                <w:tab w:val="left" w:pos="5760"/>
              </w:tabs>
              <w:spacing w:before="40" w:after="40"/>
              <w:rPr>
                <w:rFonts w:eastAsia="CG Omega" w:cs="Arial"/>
                <w:b/>
                <w:bCs/>
                <w:sz w:val="18"/>
                <w:szCs w:val="18"/>
              </w:rPr>
            </w:pPr>
          </w:p>
        </w:tc>
        <w:tc>
          <w:tcPr>
            <w:tcW w:w="1800" w:type="dxa"/>
            <w:gridSpan w:val="2"/>
          </w:tcPr>
          <w:p w:rsidRPr="00701682" w:rsidR="0095134F" w:rsidP="00664AA7" w:rsidRDefault="0095134F" w14:paraId="3C2C22A7" w14:textId="77777777">
            <w:pPr>
              <w:tabs>
                <w:tab w:val="left" w:pos="5760"/>
              </w:tabs>
              <w:spacing w:before="40" w:after="40"/>
              <w:rPr>
                <w:rFonts w:eastAsia="CG Omega" w:cs="Arial"/>
                <w:b/>
                <w:bCs/>
                <w:sz w:val="18"/>
                <w:szCs w:val="18"/>
              </w:rPr>
            </w:pPr>
            <w:r>
              <w:rPr>
                <w:rFonts w:eastAsia="CG Omega" w:cs="Arial"/>
                <w:b/>
                <w:bCs/>
                <w:sz w:val="18"/>
                <w:szCs w:val="18"/>
              </w:rPr>
              <w:t>Date</w:t>
            </w:r>
          </w:p>
        </w:tc>
        <w:tc>
          <w:tcPr>
            <w:tcW w:w="2610" w:type="dxa"/>
          </w:tcPr>
          <w:p w:rsidRPr="00701682" w:rsidR="0095134F" w:rsidP="00664AA7" w:rsidRDefault="0095134F" w14:paraId="043A3B1C" w14:textId="77777777">
            <w:pPr>
              <w:tabs>
                <w:tab w:val="left" w:pos="5760"/>
              </w:tabs>
              <w:spacing w:before="40" w:after="40"/>
              <w:rPr>
                <w:rFonts w:eastAsia="CG Omega" w:cs="Arial"/>
                <w:b/>
                <w:bCs/>
                <w:sz w:val="18"/>
                <w:szCs w:val="18"/>
              </w:rPr>
            </w:pPr>
          </w:p>
        </w:tc>
      </w:tr>
      <w:tr w:rsidRPr="00701682" w:rsidR="0095134F" w:rsidTr="00664AA7" w14:paraId="548E71C3" w14:textId="77777777">
        <w:trPr>
          <w:trHeight w:val="1475"/>
        </w:trPr>
        <w:tc>
          <w:tcPr>
            <w:tcW w:w="9360" w:type="dxa"/>
            <w:gridSpan w:val="6"/>
          </w:tcPr>
          <w:p w:rsidRPr="00AD613A" w:rsidR="0095134F" w:rsidP="00664AA7" w:rsidRDefault="0095134F" w14:paraId="47EFC612" w14:textId="77777777">
            <w:pPr>
              <w:tabs>
                <w:tab w:val="left" w:pos="5760"/>
                <w:tab w:val="left" w:pos="7560"/>
              </w:tabs>
              <w:spacing w:before="40" w:after="40"/>
              <w:rPr>
                <w:rFonts w:cs="Arial"/>
                <w:b/>
                <w:bCs/>
                <w:sz w:val="18"/>
                <w:szCs w:val="18"/>
              </w:rPr>
            </w:pPr>
            <w:r>
              <w:rPr>
                <w:rFonts w:cs="Arial"/>
                <w:b/>
                <w:bCs/>
                <w:sz w:val="18"/>
                <w:szCs w:val="18"/>
              </w:rPr>
              <w:t xml:space="preserve">Overall comments: </w:t>
            </w:r>
          </w:p>
        </w:tc>
      </w:tr>
      <w:tr w:rsidRPr="00701682" w:rsidR="0095134F" w:rsidTr="00664AA7" w14:paraId="13C9AE9C" w14:textId="77777777">
        <w:tc>
          <w:tcPr>
            <w:tcW w:w="9360" w:type="dxa"/>
            <w:gridSpan w:val="6"/>
            <w:vAlign w:val="center"/>
          </w:tcPr>
          <w:p w:rsidRPr="003453DE" w:rsidR="0095134F" w:rsidP="00664AA7" w:rsidRDefault="0095134F" w14:paraId="77AF1BC8" w14:textId="77777777">
            <w:pPr>
              <w:spacing w:before="40" w:after="40"/>
              <w:jc w:val="center"/>
              <w:rPr>
                <w:rFonts w:cs="Arial"/>
                <w:b/>
                <w:bCs/>
                <w:sz w:val="18"/>
                <w:szCs w:val="18"/>
              </w:rPr>
            </w:pPr>
            <w:r w:rsidRPr="0086656E">
              <w:rPr>
                <w:rFonts w:cs="Arial"/>
                <w:b/>
                <w:bCs/>
                <w:sz w:val="18"/>
                <w:szCs w:val="18"/>
              </w:rPr>
              <w:t xml:space="preserve">Exposure Assessment and </w:t>
            </w:r>
            <w:r w:rsidRPr="003453DE">
              <w:rPr>
                <w:rFonts w:cs="Arial"/>
                <w:b/>
                <w:bCs/>
                <w:sz w:val="18"/>
                <w:szCs w:val="18"/>
              </w:rPr>
              <w:t>Planning</w:t>
            </w:r>
          </w:p>
        </w:tc>
      </w:tr>
      <w:tr w:rsidRPr="00701682" w:rsidR="0095134F" w:rsidTr="00664AA7" w14:paraId="501B26F1" w14:textId="77777777">
        <w:tc>
          <w:tcPr>
            <w:tcW w:w="4926" w:type="dxa"/>
            <w:gridSpan w:val="2"/>
          </w:tcPr>
          <w:p w:rsidRPr="00B83092" w:rsidR="0095134F" w:rsidP="00664AA7" w:rsidRDefault="0095134F" w14:paraId="3B3C6054" w14:textId="3046A704">
            <w:pPr>
              <w:spacing w:before="40" w:after="40"/>
              <w:rPr>
                <w:rFonts w:cs="Arial"/>
                <w:sz w:val="18"/>
                <w:szCs w:val="18"/>
              </w:rPr>
            </w:pPr>
            <w:r w:rsidRPr="0086656E">
              <w:rPr>
                <w:rFonts w:cs="Arial"/>
                <w:b/>
                <w:bCs/>
                <w:sz w:val="18"/>
                <w:szCs w:val="18"/>
              </w:rPr>
              <w:t>Objective:</w:t>
            </w:r>
            <w:r w:rsidRPr="0086656E">
              <w:rPr>
                <w:rFonts w:cs="Arial"/>
                <w:sz w:val="18"/>
                <w:szCs w:val="18"/>
              </w:rPr>
              <w:t xml:space="preserve"> </w:t>
            </w:r>
            <w:r w:rsidR="00105F6D">
              <w:rPr>
                <w:rFonts w:cs="Arial"/>
                <w:sz w:val="18"/>
                <w:szCs w:val="18"/>
              </w:rPr>
              <w:t>Is the bank managing Libor cessation from an</w:t>
            </w:r>
            <w:r w:rsidRPr="0086656E">
              <w:rPr>
                <w:rFonts w:cs="Arial"/>
                <w:sz w:val="18"/>
                <w:szCs w:val="18"/>
              </w:rPr>
              <w:t xml:space="preserve"> appropriate</w:t>
            </w:r>
            <w:r w:rsidR="00105F6D">
              <w:rPr>
                <w:rFonts w:cs="Arial"/>
                <w:sz w:val="18"/>
                <w:szCs w:val="18"/>
              </w:rPr>
              <w:t>ly detailed</w:t>
            </w:r>
            <w:r w:rsidRPr="0086656E">
              <w:rPr>
                <w:rFonts w:cs="Arial"/>
                <w:sz w:val="18"/>
                <w:szCs w:val="18"/>
              </w:rPr>
              <w:t xml:space="preserve"> transition plan commensurate with the size and complexity of Libor exposures? </w:t>
            </w:r>
            <w:r>
              <w:rPr>
                <w:rFonts w:cs="Arial"/>
                <w:sz w:val="18"/>
                <w:szCs w:val="18"/>
              </w:rPr>
              <w:t xml:space="preserve">Keep in mind that even a few contracts (e.g., loans) could pose material reputation risk to a bank and materially affect earnings through legal expenses. </w:t>
            </w:r>
            <w:r w:rsidRPr="0086656E">
              <w:rPr>
                <w:rFonts w:cs="Arial"/>
                <w:sz w:val="18"/>
                <w:szCs w:val="18"/>
              </w:rPr>
              <w:t>Consider in your assessment:</w:t>
            </w:r>
          </w:p>
        </w:tc>
        <w:tc>
          <w:tcPr>
            <w:tcW w:w="1554" w:type="dxa"/>
            <w:gridSpan w:val="2"/>
          </w:tcPr>
          <w:p w:rsidR="0095134F" w:rsidP="00664AA7" w:rsidRDefault="004E30E5" w14:paraId="16483F33" w14:textId="77777777">
            <w:pPr>
              <w:spacing w:before="40" w:after="40"/>
              <w:rPr>
                <w:rFonts w:eastAsia="CG Omega" w:cs="Arial"/>
                <w:sz w:val="18"/>
                <w:szCs w:val="18"/>
              </w:rPr>
            </w:pPr>
            <w:sdt>
              <w:sdtPr>
                <w:rPr>
                  <w:rFonts w:eastAsia="CG Omega" w:cs="Arial"/>
                  <w:sz w:val="18"/>
                  <w:szCs w:val="18"/>
                </w:rPr>
                <w:id w:val="181629873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6CAD4258" w14:textId="77777777">
            <w:pPr>
              <w:spacing w:before="40" w:after="40"/>
              <w:rPr>
                <w:rFonts w:eastAsia="CG Omega" w:cs="Arial"/>
                <w:sz w:val="18"/>
                <w:szCs w:val="18"/>
              </w:rPr>
            </w:pPr>
            <w:sdt>
              <w:sdtPr>
                <w:rPr>
                  <w:rFonts w:eastAsia="CG Omega" w:cs="Arial"/>
                  <w:sz w:val="18"/>
                  <w:szCs w:val="18"/>
                </w:rPr>
                <w:id w:val="193585632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DD71A5C" w14:textId="77777777">
            <w:pPr>
              <w:spacing w:before="40" w:after="40"/>
              <w:rPr>
                <w:rFonts w:eastAsia="CG Omega" w:cs="Arial"/>
                <w:sz w:val="18"/>
                <w:szCs w:val="18"/>
              </w:rPr>
            </w:pPr>
            <w:r>
              <w:rPr>
                <w:rFonts w:eastAsia="CG Omega" w:cs="Arial"/>
                <w:sz w:val="18"/>
                <w:szCs w:val="18"/>
              </w:rPr>
              <w:t xml:space="preserve">Comments: </w:t>
            </w:r>
          </w:p>
        </w:tc>
      </w:tr>
      <w:tr w:rsidRPr="00701682" w:rsidR="0095134F" w:rsidTr="00664AA7" w14:paraId="1EDB85F4" w14:textId="77777777">
        <w:tc>
          <w:tcPr>
            <w:tcW w:w="4926" w:type="dxa"/>
            <w:gridSpan w:val="2"/>
          </w:tcPr>
          <w:p w:rsidRPr="00B83092" w:rsidR="0095134F" w:rsidP="0095134F" w:rsidRDefault="00105F6D" w14:paraId="3CB1DE7E" w14:textId="167F595A">
            <w:pPr>
              <w:pStyle w:val="ListParagraph"/>
              <w:numPr>
                <w:ilvl w:val="0"/>
                <w:numId w:val="4"/>
              </w:numPr>
              <w:spacing w:before="40" w:after="40"/>
              <w:rPr>
                <w:rFonts w:cs="Arial"/>
                <w:sz w:val="18"/>
                <w:szCs w:val="18"/>
              </w:rPr>
            </w:pPr>
            <w:r>
              <w:rPr>
                <w:rFonts w:cs="Arial"/>
                <w:sz w:val="18"/>
                <w:szCs w:val="18"/>
              </w:rPr>
              <w:t>Did</w:t>
            </w:r>
            <w:r w:rsidRPr="0086656E">
              <w:rPr>
                <w:rFonts w:cs="Arial"/>
                <w:sz w:val="18"/>
                <w:szCs w:val="18"/>
              </w:rPr>
              <w:t xml:space="preserve"> </w:t>
            </w:r>
            <w:r>
              <w:rPr>
                <w:rFonts w:cs="Arial"/>
                <w:sz w:val="18"/>
                <w:szCs w:val="18"/>
              </w:rPr>
              <w:t xml:space="preserve">management </w:t>
            </w:r>
            <w:r w:rsidRPr="0086656E">
              <w:rPr>
                <w:rFonts w:cs="Arial"/>
                <w:sz w:val="18"/>
                <w:szCs w:val="18"/>
              </w:rPr>
              <w:t>identif</w:t>
            </w:r>
            <w:r>
              <w:rPr>
                <w:rFonts w:cs="Arial"/>
                <w:sz w:val="18"/>
                <w:szCs w:val="18"/>
              </w:rPr>
              <w:t>y</w:t>
            </w:r>
            <w:r w:rsidRPr="0086656E">
              <w:rPr>
                <w:rFonts w:cs="Arial"/>
                <w:sz w:val="18"/>
                <w:szCs w:val="18"/>
              </w:rPr>
              <w:t xml:space="preserve"> </w:t>
            </w:r>
            <w:r w:rsidRPr="0086656E" w:rsidR="0095134F">
              <w:rPr>
                <w:rFonts w:cs="Arial"/>
                <w:sz w:val="18"/>
                <w:szCs w:val="18"/>
              </w:rPr>
              <w:t xml:space="preserve">and </w:t>
            </w:r>
            <w:r w:rsidRPr="0086656E">
              <w:rPr>
                <w:rFonts w:cs="Arial"/>
                <w:sz w:val="18"/>
                <w:szCs w:val="18"/>
              </w:rPr>
              <w:t>quantif</w:t>
            </w:r>
            <w:r>
              <w:rPr>
                <w:rFonts w:cs="Arial"/>
                <w:sz w:val="18"/>
                <w:szCs w:val="18"/>
              </w:rPr>
              <w:t>y</w:t>
            </w:r>
            <w:r w:rsidRPr="0086656E">
              <w:rPr>
                <w:rFonts w:cs="Arial"/>
                <w:sz w:val="18"/>
                <w:szCs w:val="18"/>
              </w:rPr>
              <w:t xml:space="preserve"> </w:t>
            </w:r>
            <w:r w:rsidRPr="0086656E" w:rsidR="0095134F">
              <w:rPr>
                <w:rFonts w:cs="Arial"/>
                <w:sz w:val="18"/>
                <w:szCs w:val="18"/>
              </w:rPr>
              <w:t>Libor exposure in all product categories and lines of business, both on- and off-balance</w:t>
            </w:r>
            <w:r w:rsidR="0095134F">
              <w:rPr>
                <w:rFonts w:cs="Arial"/>
                <w:sz w:val="18"/>
                <w:szCs w:val="18"/>
              </w:rPr>
              <w:t>-</w:t>
            </w:r>
            <w:r w:rsidRPr="0086656E" w:rsidR="0095134F">
              <w:rPr>
                <w:rFonts w:cs="Arial"/>
                <w:sz w:val="18"/>
                <w:szCs w:val="18"/>
              </w:rPr>
              <w:t>sheet,</w:t>
            </w:r>
            <w:r w:rsidR="0095134F">
              <w:rPr>
                <w:rFonts w:cs="Arial"/>
                <w:sz w:val="18"/>
                <w:szCs w:val="18"/>
              </w:rPr>
              <w:t xml:space="preserve"> and asset management activities outside of loans and deposits</w:t>
            </w:r>
            <w:r w:rsidRPr="0086656E" w:rsidR="0095134F">
              <w:rPr>
                <w:rFonts w:cs="Arial"/>
                <w:sz w:val="18"/>
                <w:szCs w:val="18"/>
              </w:rPr>
              <w:t>?</w:t>
            </w:r>
          </w:p>
        </w:tc>
        <w:tc>
          <w:tcPr>
            <w:tcW w:w="1554" w:type="dxa"/>
            <w:gridSpan w:val="2"/>
          </w:tcPr>
          <w:p w:rsidR="0095134F" w:rsidP="00664AA7" w:rsidRDefault="004E30E5" w14:paraId="0EB153AE" w14:textId="77777777">
            <w:pPr>
              <w:spacing w:before="40" w:after="40"/>
              <w:rPr>
                <w:rFonts w:eastAsia="CG Omega" w:cs="Arial"/>
                <w:sz w:val="18"/>
                <w:szCs w:val="18"/>
              </w:rPr>
            </w:pPr>
            <w:sdt>
              <w:sdtPr>
                <w:rPr>
                  <w:rFonts w:eastAsia="CG Omega" w:cs="Arial"/>
                  <w:sz w:val="18"/>
                  <w:szCs w:val="18"/>
                </w:rPr>
                <w:id w:val="-22684381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3E3EDC3" w14:textId="77777777">
            <w:pPr>
              <w:spacing w:before="40" w:after="40"/>
              <w:rPr>
                <w:rFonts w:cs="Arial"/>
                <w:sz w:val="18"/>
                <w:szCs w:val="18"/>
              </w:rPr>
            </w:pPr>
            <w:sdt>
              <w:sdtPr>
                <w:rPr>
                  <w:rFonts w:eastAsia="CG Omega" w:cs="Arial"/>
                  <w:sz w:val="18"/>
                  <w:szCs w:val="18"/>
                </w:rPr>
                <w:id w:val="-138671500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1A252A7C" w14:textId="77777777">
            <w:pPr>
              <w:spacing w:before="40" w:after="40"/>
              <w:rPr>
                <w:rFonts w:cs="Arial"/>
                <w:sz w:val="18"/>
                <w:szCs w:val="18"/>
              </w:rPr>
            </w:pPr>
          </w:p>
        </w:tc>
      </w:tr>
      <w:tr w:rsidRPr="00701682" w:rsidR="0095134F" w:rsidTr="00664AA7" w14:paraId="150BA9C5" w14:textId="77777777">
        <w:tc>
          <w:tcPr>
            <w:tcW w:w="4926" w:type="dxa"/>
            <w:gridSpan w:val="2"/>
          </w:tcPr>
          <w:p w:rsidRPr="0086656E" w:rsidR="0095134F" w:rsidP="0095134F" w:rsidRDefault="00105F6D" w14:paraId="66AEB03D" w14:textId="20F9B827">
            <w:pPr>
              <w:pStyle w:val="ListParagraph"/>
              <w:numPr>
                <w:ilvl w:val="0"/>
                <w:numId w:val="4"/>
              </w:numPr>
              <w:spacing w:before="40" w:after="40"/>
              <w:rPr>
                <w:rFonts w:cs="Arial"/>
                <w:sz w:val="18"/>
                <w:szCs w:val="18"/>
              </w:rPr>
            </w:pPr>
            <w:r>
              <w:rPr>
                <w:rFonts w:cs="Arial"/>
                <w:sz w:val="18"/>
                <w:szCs w:val="18"/>
              </w:rPr>
              <w:t>Did management</w:t>
            </w:r>
            <w:r w:rsidR="0095134F">
              <w:rPr>
                <w:rFonts w:cs="Arial"/>
                <w:sz w:val="18"/>
                <w:szCs w:val="18"/>
              </w:rPr>
              <w:t xml:space="preserve"> assess all </w:t>
            </w:r>
            <w:proofErr w:type="gramStart"/>
            <w:r w:rsidR="0095134F">
              <w:rPr>
                <w:rFonts w:cs="Arial"/>
                <w:sz w:val="18"/>
                <w:szCs w:val="18"/>
              </w:rPr>
              <w:t>third-party</w:t>
            </w:r>
            <w:proofErr w:type="gramEnd"/>
            <w:r w:rsidR="0095134F">
              <w:rPr>
                <w:rFonts w:cs="Arial"/>
                <w:sz w:val="18"/>
                <w:szCs w:val="18"/>
              </w:rPr>
              <w:t>-provided products, services, and systems for Libor exposure?</w:t>
            </w:r>
          </w:p>
        </w:tc>
        <w:tc>
          <w:tcPr>
            <w:tcW w:w="1554" w:type="dxa"/>
            <w:gridSpan w:val="2"/>
          </w:tcPr>
          <w:p w:rsidR="0095134F" w:rsidP="00664AA7" w:rsidRDefault="004E30E5" w14:paraId="56AC02C1" w14:textId="77777777">
            <w:pPr>
              <w:spacing w:before="40" w:after="40"/>
              <w:rPr>
                <w:rFonts w:eastAsia="CG Omega" w:cs="Arial"/>
                <w:sz w:val="18"/>
                <w:szCs w:val="18"/>
              </w:rPr>
            </w:pPr>
            <w:sdt>
              <w:sdtPr>
                <w:rPr>
                  <w:rFonts w:eastAsia="CG Omega" w:cs="Arial"/>
                  <w:sz w:val="18"/>
                  <w:szCs w:val="18"/>
                </w:rPr>
                <w:id w:val="-59162752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1FF283DA" w14:textId="77777777">
            <w:pPr>
              <w:spacing w:before="40" w:after="40"/>
              <w:rPr>
                <w:rFonts w:eastAsia="CG Omega" w:cs="Arial"/>
                <w:sz w:val="18"/>
                <w:szCs w:val="18"/>
              </w:rPr>
            </w:pPr>
            <w:sdt>
              <w:sdtPr>
                <w:rPr>
                  <w:rFonts w:eastAsia="CG Omega" w:cs="Arial"/>
                  <w:sz w:val="18"/>
                  <w:szCs w:val="18"/>
                </w:rPr>
                <w:id w:val="-65637633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35B8FE97" w14:textId="77777777">
            <w:pPr>
              <w:spacing w:before="40" w:after="40"/>
              <w:rPr>
                <w:rFonts w:cs="Arial"/>
                <w:sz w:val="18"/>
                <w:szCs w:val="18"/>
              </w:rPr>
            </w:pPr>
          </w:p>
        </w:tc>
      </w:tr>
      <w:tr w:rsidRPr="00701682" w:rsidR="0095134F" w:rsidTr="00664AA7" w14:paraId="09C96230" w14:textId="77777777">
        <w:tc>
          <w:tcPr>
            <w:tcW w:w="4926" w:type="dxa"/>
            <w:gridSpan w:val="2"/>
          </w:tcPr>
          <w:p w:rsidR="0095134F" w:rsidP="0095134F" w:rsidRDefault="0095134F" w14:paraId="7B7CA5E8" w14:textId="5903F07D">
            <w:pPr>
              <w:pStyle w:val="ListParagraph"/>
              <w:numPr>
                <w:ilvl w:val="0"/>
                <w:numId w:val="4"/>
              </w:numPr>
              <w:spacing w:before="40" w:after="40"/>
              <w:rPr>
                <w:rFonts w:cs="Arial"/>
                <w:sz w:val="18"/>
                <w:szCs w:val="18"/>
              </w:rPr>
            </w:pPr>
            <w:r>
              <w:rPr>
                <w:rFonts w:cs="Arial"/>
                <w:sz w:val="18"/>
                <w:szCs w:val="18"/>
              </w:rPr>
              <w:t>Has management held discussions with third parties about exposures and the third parties’ transition plans and progress?</w:t>
            </w:r>
          </w:p>
        </w:tc>
        <w:tc>
          <w:tcPr>
            <w:tcW w:w="1554" w:type="dxa"/>
            <w:gridSpan w:val="2"/>
          </w:tcPr>
          <w:p w:rsidR="0095134F" w:rsidP="00664AA7" w:rsidRDefault="004E30E5" w14:paraId="77F5B016" w14:textId="77777777">
            <w:pPr>
              <w:spacing w:before="40" w:after="40"/>
              <w:rPr>
                <w:rFonts w:eastAsia="CG Omega" w:cs="Arial"/>
                <w:sz w:val="18"/>
                <w:szCs w:val="18"/>
              </w:rPr>
            </w:pPr>
            <w:sdt>
              <w:sdtPr>
                <w:rPr>
                  <w:rFonts w:eastAsia="CG Omega" w:cs="Arial"/>
                  <w:sz w:val="18"/>
                  <w:szCs w:val="18"/>
                </w:rPr>
                <w:id w:val="-25597771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2771311B" w14:textId="77777777">
            <w:pPr>
              <w:spacing w:before="40" w:after="40"/>
              <w:rPr>
                <w:rFonts w:eastAsia="CG Omega" w:cs="Arial"/>
                <w:sz w:val="18"/>
                <w:szCs w:val="18"/>
              </w:rPr>
            </w:pPr>
            <w:sdt>
              <w:sdtPr>
                <w:rPr>
                  <w:rFonts w:eastAsia="CG Omega" w:cs="Arial"/>
                  <w:sz w:val="18"/>
                  <w:szCs w:val="18"/>
                </w:rPr>
                <w:id w:val="130288750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3C75AF0D" w14:textId="77777777">
            <w:pPr>
              <w:spacing w:before="40" w:after="40"/>
              <w:rPr>
                <w:rFonts w:cs="Arial"/>
                <w:sz w:val="18"/>
                <w:szCs w:val="18"/>
              </w:rPr>
            </w:pPr>
          </w:p>
        </w:tc>
      </w:tr>
      <w:tr w:rsidRPr="00701682" w:rsidR="0095134F" w:rsidTr="00664AA7" w14:paraId="38D2530B" w14:textId="77777777">
        <w:tc>
          <w:tcPr>
            <w:tcW w:w="4926" w:type="dxa"/>
            <w:gridSpan w:val="2"/>
          </w:tcPr>
          <w:p w:rsidRPr="008A63D7" w:rsidR="0095134F" w:rsidP="0095134F" w:rsidRDefault="0095134F" w14:paraId="0DC88476" w14:textId="77777777">
            <w:pPr>
              <w:pStyle w:val="ListParagraph"/>
              <w:numPr>
                <w:ilvl w:val="0"/>
                <w:numId w:val="4"/>
              </w:numPr>
              <w:spacing w:before="40" w:after="40"/>
              <w:rPr>
                <w:rFonts w:cs="Arial"/>
                <w:sz w:val="18"/>
                <w:szCs w:val="18"/>
              </w:rPr>
            </w:pPr>
            <w:r w:rsidRPr="0086656E">
              <w:rPr>
                <w:rFonts w:cs="Arial"/>
                <w:sz w:val="18"/>
                <w:szCs w:val="18"/>
              </w:rPr>
              <w:t>Has management performed a Libor risk assessment that covers applicable risk areas</w:t>
            </w:r>
            <w:r>
              <w:rPr>
                <w:rFonts w:cs="Arial"/>
                <w:sz w:val="18"/>
                <w:szCs w:val="18"/>
              </w:rPr>
              <w:t>,</w:t>
            </w:r>
            <w:r w:rsidRPr="0086656E">
              <w:rPr>
                <w:rFonts w:cs="Arial"/>
                <w:sz w:val="18"/>
                <w:szCs w:val="18"/>
              </w:rPr>
              <w:t xml:space="preserve"> such as compliance (including legal and consumer harm), operational, reputation, and strategic?</w:t>
            </w:r>
          </w:p>
        </w:tc>
        <w:tc>
          <w:tcPr>
            <w:tcW w:w="1554" w:type="dxa"/>
            <w:gridSpan w:val="2"/>
          </w:tcPr>
          <w:p w:rsidR="0095134F" w:rsidP="00664AA7" w:rsidRDefault="004E30E5" w14:paraId="608E5F1C" w14:textId="77777777">
            <w:pPr>
              <w:spacing w:before="40" w:after="40"/>
              <w:rPr>
                <w:rFonts w:eastAsia="CG Omega" w:cs="Arial"/>
                <w:sz w:val="18"/>
                <w:szCs w:val="18"/>
              </w:rPr>
            </w:pPr>
            <w:sdt>
              <w:sdtPr>
                <w:rPr>
                  <w:rFonts w:eastAsia="CG Omega" w:cs="Arial"/>
                  <w:sz w:val="18"/>
                  <w:szCs w:val="18"/>
                </w:rPr>
                <w:id w:val="200477827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50E39082" w14:textId="77777777">
            <w:pPr>
              <w:spacing w:before="40" w:after="40"/>
              <w:rPr>
                <w:rFonts w:cs="Arial"/>
                <w:sz w:val="18"/>
                <w:szCs w:val="18"/>
              </w:rPr>
            </w:pPr>
            <w:sdt>
              <w:sdtPr>
                <w:rPr>
                  <w:rFonts w:eastAsia="CG Omega" w:cs="Arial"/>
                  <w:sz w:val="18"/>
                  <w:szCs w:val="18"/>
                </w:rPr>
                <w:id w:val="59298015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52BB52D" w14:textId="77777777">
            <w:pPr>
              <w:spacing w:before="40" w:after="40"/>
              <w:rPr>
                <w:rFonts w:cs="Arial"/>
                <w:sz w:val="18"/>
                <w:szCs w:val="18"/>
              </w:rPr>
            </w:pPr>
          </w:p>
        </w:tc>
      </w:tr>
      <w:tr w:rsidRPr="00701682" w:rsidR="0095134F" w:rsidTr="00664AA7" w14:paraId="7DBCC227" w14:textId="77777777">
        <w:tc>
          <w:tcPr>
            <w:tcW w:w="4926" w:type="dxa"/>
            <w:gridSpan w:val="2"/>
          </w:tcPr>
          <w:p w:rsidRPr="0086656E" w:rsidR="0095134F" w:rsidP="0095134F" w:rsidRDefault="00105F6D" w14:paraId="77C8A2B6" w14:textId="041B2CD6">
            <w:pPr>
              <w:pStyle w:val="ListParagraph"/>
              <w:numPr>
                <w:ilvl w:val="0"/>
                <w:numId w:val="4"/>
              </w:numPr>
              <w:spacing w:before="40" w:after="40"/>
              <w:rPr>
                <w:rFonts w:cs="Arial"/>
                <w:sz w:val="18"/>
                <w:szCs w:val="18"/>
              </w:rPr>
            </w:pPr>
            <w:r>
              <w:rPr>
                <w:rFonts w:eastAsia="CG Omega" w:cs="Arial"/>
                <w:sz w:val="18"/>
                <w:szCs w:val="18"/>
              </w:rPr>
              <w:t>Did</w:t>
            </w:r>
            <w:r w:rsidRPr="00D477AD">
              <w:rPr>
                <w:rFonts w:eastAsia="CG Omega" w:cs="Arial"/>
                <w:sz w:val="18"/>
                <w:szCs w:val="18"/>
              </w:rPr>
              <w:t xml:space="preserve"> </w:t>
            </w:r>
            <w:r w:rsidRPr="00D477AD" w:rsidR="0095134F">
              <w:rPr>
                <w:rFonts w:eastAsia="CG Omega" w:cs="Arial"/>
                <w:sz w:val="18"/>
                <w:szCs w:val="18"/>
              </w:rPr>
              <w:t>management assess the potential impact(s) to the bank’s customers?</w:t>
            </w:r>
          </w:p>
        </w:tc>
        <w:tc>
          <w:tcPr>
            <w:tcW w:w="1554" w:type="dxa"/>
            <w:gridSpan w:val="2"/>
          </w:tcPr>
          <w:p w:rsidR="0095134F" w:rsidP="00664AA7" w:rsidRDefault="004E30E5" w14:paraId="67171886" w14:textId="77777777">
            <w:pPr>
              <w:spacing w:before="40" w:after="40"/>
              <w:rPr>
                <w:rFonts w:eastAsia="CG Omega" w:cs="Arial"/>
                <w:sz w:val="18"/>
                <w:szCs w:val="18"/>
              </w:rPr>
            </w:pPr>
            <w:sdt>
              <w:sdtPr>
                <w:rPr>
                  <w:rFonts w:eastAsia="CG Omega" w:cs="Arial"/>
                  <w:sz w:val="18"/>
                  <w:szCs w:val="18"/>
                </w:rPr>
                <w:id w:val="173380929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7C14C8FB" w14:textId="77777777">
            <w:pPr>
              <w:spacing w:before="40" w:after="40"/>
              <w:rPr>
                <w:rFonts w:eastAsia="CG Omega" w:cs="Arial"/>
                <w:sz w:val="18"/>
                <w:szCs w:val="18"/>
              </w:rPr>
            </w:pPr>
            <w:sdt>
              <w:sdtPr>
                <w:rPr>
                  <w:rFonts w:eastAsia="CG Omega" w:cs="Arial"/>
                  <w:sz w:val="18"/>
                  <w:szCs w:val="18"/>
                </w:rPr>
                <w:id w:val="54526308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46F5280" w14:textId="77777777">
            <w:pPr>
              <w:spacing w:before="40" w:after="40"/>
              <w:rPr>
                <w:rFonts w:cs="Arial"/>
                <w:sz w:val="18"/>
                <w:szCs w:val="18"/>
              </w:rPr>
            </w:pPr>
          </w:p>
        </w:tc>
      </w:tr>
      <w:tr w:rsidRPr="00701682" w:rsidR="0095134F" w:rsidTr="00664AA7" w14:paraId="6E14C03C" w14:textId="77777777">
        <w:tc>
          <w:tcPr>
            <w:tcW w:w="4926" w:type="dxa"/>
            <w:gridSpan w:val="2"/>
          </w:tcPr>
          <w:p w:rsidRPr="008A63D7" w:rsidR="0095134F" w:rsidP="0095134F" w:rsidRDefault="0095134F" w14:paraId="4D714136" w14:textId="77777777">
            <w:pPr>
              <w:pStyle w:val="ListParagraph"/>
              <w:numPr>
                <w:ilvl w:val="0"/>
                <w:numId w:val="4"/>
              </w:numPr>
              <w:spacing w:before="40" w:after="40"/>
              <w:rPr>
                <w:rFonts w:cs="Arial"/>
                <w:sz w:val="18"/>
                <w:szCs w:val="18"/>
              </w:rPr>
            </w:pPr>
            <w:r w:rsidRPr="0086656E">
              <w:rPr>
                <w:rFonts w:cs="Arial"/>
                <w:sz w:val="18"/>
                <w:szCs w:val="18"/>
              </w:rPr>
              <w:t>Does the bank’s preparedness plan include appropriate strategies to inventory, analyze, and assess the risk associated with new and existing contracts?</w:t>
            </w:r>
            <w:r>
              <w:rPr>
                <w:rFonts w:cs="Arial"/>
                <w:sz w:val="18"/>
                <w:szCs w:val="18"/>
              </w:rPr>
              <w:t xml:space="preserve"> Do strategies </w:t>
            </w:r>
            <w:r w:rsidRPr="0086656E">
              <w:rPr>
                <w:rFonts w:cs="Arial"/>
                <w:sz w:val="18"/>
                <w:szCs w:val="18"/>
              </w:rPr>
              <w:t>include assessing the adequacy of fallback language in new and existing contracts</w:t>
            </w:r>
            <w:r>
              <w:rPr>
                <w:rFonts w:cs="Arial"/>
                <w:sz w:val="18"/>
                <w:szCs w:val="18"/>
              </w:rPr>
              <w:t>?</w:t>
            </w:r>
          </w:p>
        </w:tc>
        <w:tc>
          <w:tcPr>
            <w:tcW w:w="1554" w:type="dxa"/>
            <w:gridSpan w:val="2"/>
          </w:tcPr>
          <w:p w:rsidR="0095134F" w:rsidP="00664AA7" w:rsidRDefault="004E30E5" w14:paraId="0CDF95F4" w14:textId="77777777">
            <w:pPr>
              <w:spacing w:before="40" w:after="40"/>
              <w:rPr>
                <w:rFonts w:eastAsia="CG Omega" w:cs="Arial"/>
                <w:sz w:val="18"/>
                <w:szCs w:val="18"/>
              </w:rPr>
            </w:pPr>
            <w:sdt>
              <w:sdtPr>
                <w:rPr>
                  <w:rFonts w:eastAsia="CG Omega" w:cs="Arial"/>
                  <w:sz w:val="18"/>
                  <w:szCs w:val="18"/>
                </w:rPr>
                <w:id w:val="63228936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888633D" w14:textId="77777777">
            <w:pPr>
              <w:spacing w:before="40" w:after="40"/>
              <w:rPr>
                <w:rFonts w:cs="Arial"/>
                <w:sz w:val="18"/>
                <w:szCs w:val="18"/>
              </w:rPr>
            </w:pPr>
            <w:sdt>
              <w:sdtPr>
                <w:rPr>
                  <w:rFonts w:eastAsia="CG Omega" w:cs="Arial"/>
                  <w:sz w:val="18"/>
                  <w:szCs w:val="18"/>
                </w:rPr>
                <w:id w:val="-1871368465"/>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35424CE" w14:textId="77777777">
            <w:pPr>
              <w:spacing w:before="40" w:after="40"/>
              <w:rPr>
                <w:rFonts w:cs="Arial"/>
                <w:sz w:val="18"/>
                <w:szCs w:val="18"/>
              </w:rPr>
            </w:pPr>
          </w:p>
        </w:tc>
      </w:tr>
      <w:tr w:rsidRPr="00701682" w:rsidR="0095134F" w:rsidTr="00664AA7" w14:paraId="25331AB3" w14:textId="77777777">
        <w:tc>
          <w:tcPr>
            <w:tcW w:w="4926" w:type="dxa"/>
            <w:gridSpan w:val="2"/>
          </w:tcPr>
          <w:p w:rsidRPr="009D16B0" w:rsidR="0095134F" w:rsidP="0095134F" w:rsidRDefault="0095134F" w14:paraId="2D1FAFFD" w14:textId="77777777">
            <w:pPr>
              <w:pStyle w:val="ListParagraph"/>
              <w:numPr>
                <w:ilvl w:val="0"/>
                <w:numId w:val="4"/>
              </w:numPr>
              <w:spacing w:before="40" w:after="40"/>
              <w:rPr>
                <w:rFonts w:eastAsia="CG Omega" w:cs="Arial"/>
                <w:sz w:val="18"/>
                <w:szCs w:val="18"/>
              </w:rPr>
            </w:pPr>
            <w:r w:rsidRPr="00813CF3">
              <w:rPr>
                <w:rFonts w:cs="Arial"/>
                <w:sz w:val="18"/>
                <w:szCs w:val="18"/>
              </w:rPr>
              <w:lastRenderedPageBreak/>
              <w:t>Does the bank’s preparedness plan consider limiting exposure by discontinuing the origination or purchase of L</w:t>
            </w:r>
            <w:r>
              <w:rPr>
                <w:rFonts w:cs="Arial"/>
                <w:sz w:val="18"/>
                <w:szCs w:val="18"/>
              </w:rPr>
              <w:t>ibor</w:t>
            </w:r>
            <w:r w:rsidRPr="00813CF3">
              <w:rPr>
                <w:rFonts w:cs="Arial"/>
                <w:sz w:val="18"/>
                <w:szCs w:val="18"/>
              </w:rPr>
              <w:t>-indexed instruments?</w:t>
            </w:r>
          </w:p>
        </w:tc>
        <w:tc>
          <w:tcPr>
            <w:tcW w:w="1554" w:type="dxa"/>
            <w:gridSpan w:val="2"/>
          </w:tcPr>
          <w:p w:rsidR="0095134F" w:rsidP="00664AA7" w:rsidRDefault="004E30E5" w14:paraId="33AF4FDB" w14:textId="77777777">
            <w:pPr>
              <w:spacing w:before="40" w:after="40"/>
              <w:rPr>
                <w:rFonts w:eastAsia="CG Omega" w:cs="Arial"/>
                <w:sz w:val="18"/>
                <w:szCs w:val="18"/>
              </w:rPr>
            </w:pPr>
            <w:sdt>
              <w:sdtPr>
                <w:rPr>
                  <w:rFonts w:eastAsia="CG Omega" w:cs="Arial"/>
                  <w:sz w:val="18"/>
                  <w:szCs w:val="18"/>
                </w:rPr>
                <w:id w:val="-85303117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67976151" w14:textId="77777777">
            <w:pPr>
              <w:spacing w:before="40" w:after="40"/>
              <w:rPr>
                <w:rFonts w:eastAsia="CG Omega" w:cs="Arial"/>
                <w:sz w:val="18"/>
                <w:szCs w:val="18"/>
              </w:rPr>
            </w:pPr>
            <w:sdt>
              <w:sdtPr>
                <w:rPr>
                  <w:rFonts w:eastAsia="CG Omega" w:cs="Arial"/>
                  <w:sz w:val="18"/>
                  <w:szCs w:val="18"/>
                </w:rPr>
                <w:id w:val="183433540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357D5BAF" w14:textId="77777777">
            <w:pPr>
              <w:spacing w:before="40" w:after="40"/>
              <w:rPr>
                <w:rFonts w:cs="Arial"/>
                <w:sz w:val="18"/>
                <w:szCs w:val="18"/>
              </w:rPr>
            </w:pPr>
            <w:r w:rsidRPr="008C0896">
              <w:t xml:space="preserve"> </w:t>
            </w:r>
          </w:p>
        </w:tc>
      </w:tr>
      <w:tr w:rsidRPr="00701682" w:rsidR="0095134F" w:rsidTr="00664AA7" w14:paraId="07DFBDC7" w14:textId="77777777">
        <w:tc>
          <w:tcPr>
            <w:tcW w:w="4926" w:type="dxa"/>
            <w:gridSpan w:val="2"/>
          </w:tcPr>
          <w:p w:rsidRPr="0086656E" w:rsidR="0095134F" w:rsidP="0095134F" w:rsidRDefault="00105F6D" w14:paraId="3493FB80" w14:textId="17A1CF4B">
            <w:pPr>
              <w:pStyle w:val="ListParagraph"/>
              <w:numPr>
                <w:ilvl w:val="0"/>
                <w:numId w:val="4"/>
              </w:numPr>
              <w:spacing w:before="40" w:after="40"/>
              <w:rPr>
                <w:rFonts w:cs="Arial"/>
                <w:sz w:val="18"/>
                <w:szCs w:val="18"/>
              </w:rPr>
            </w:pPr>
            <w:r>
              <w:rPr>
                <w:rFonts w:eastAsia="CG Omega" w:cs="Arial"/>
                <w:sz w:val="18"/>
                <w:szCs w:val="18"/>
              </w:rPr>
              <w:t>Did</w:t>
            </w:r>
            <w:r w:rsidRPr="00700E5F">
              <w:rPr>
                <w:rFonts w:eastAsia="CG Omega" w:cs="Arial"/>
                <w:sz w:val="18"/>
                <w:szCs w:val="18"/>
              </w:rPr>
              <w:t xml:space="preserve"> </w:t>
            </w:r>
            <w:r w:rsidRPr="00700E5F" w:rsidR="0095134F">
              <w:rPr>
                <w:rFonts w:eastAsia="CG Omega" w:cs="Arial"/>
                <w:sz w:val="18"/>
                <w:szCs w:val="18"/>
              </w:rPr>
              <w:t>management develop appropriate plans to identify, monitor, and resolve system and infrastructure constraints</w:t>
            </w:r>
            <w:r w:rsidR="0095134F">
              <w:rPr>
                <w:rFonts w:eastAsia="CG Omega" w:cs="Arial"/>
                <w:sz w:val="18"/>
                <w:szCs w:val="18"/>
              </w:rPr>
              <w:t xml:space="preserve"> (e.g., the ability of a system to handle compounding in arrears if the bank is electing to use the </w:t>
            </w:r>
            <w:r w:rsidRPr="00900DF6" w:rsidR="0095134F">
              <w:rPr>
                <w:rFonts w:eastAsia="CG Omega" w:cs="Arial"/>
                <w:sz w:val="18"/>
                <w:szCs w:val="18"/>
              </w:rPr>
              <w:t>Secured Overnight Financing Rate</w:t>
            </w:r>
            <w:r w:rsidR="0095134F">
              <w:rPr>
                <w:rFonts w:eastAsia="CG Omega" w:cs="Arial"/>
                <w:sz w:val="18"/>
                <w:szCs w:val="18"/>
              </w:rPr>
              <w:t xml:space="preserve"> (SOFR))</w:t>
            </w:r>
            <w:r w:rsidRPr="00700E5F" w:rsidR="0095134F">
              <w:rPr>
                <w:rFonts w:eastAsia="CG Omega" w:cs="Arial"/>
                <w:sz w:val="18"/>
                <w:szCs w:val="18"/>
              </w:rPr>
              <w:t>?</w:t>
            </w:r>
          </w:p>
        </w:tc>
        <w:tc>
          <w:tcPr>
            <w:tcW w:w="1554" w:type="dxa"/>
            <w:gridSpan w:val="2"/>
          </w:tcPr>
          <w:p w:rsidR="0095134F" w:rsidP="00664AA7" w:rsidRDefault="004E30E5" w14:paraId="2C24395D" w14:textId="77777777">
            <w:pPr>
              <w:spacing w:before="40" w:after="40"/>
              <w:rPr>
                <w:rFonts w:eastAsia="CG Omega" w:cs="Arial"/>
                <w:sz w:val="18"/>
                <w:szCs w:val="18"/>
              </w:rPr>
            </w:pPr>
            <w:sdt>
              <w:sdtPr>
                <w:rPr>
                  <w:rFonts w:eastAsia="CG Omega" w:cs="Arial"/>
                  <w:sz w:val="18"/>
                  <w:szCs w:val="18"/>
                </w:rPr>
                <w:id w:val="101242343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04B972CA" w14:textId="77777777">
            <w:pPr>
              <w:spacing w:before="40" w:after="40"/>
              <w:rPr>
                <w:rFonts w:eastAsia="CG Omega" w:cs="Arial"/>
                <w:sz w:val="18"/>
                <w:szCs w:val="18"/>
              </w:rPr>
            </w:pPr>
            <w:sdt>
              <w:sdtPr>
                <w:rPr>
                  <w:rFonts w:eastAsia="CG Omega" w:cs="Arial"/>
                  <w:sz w:val="18"/>
                  <w:szCs w:val="18"/>
                </w:rPr>
                <w:id w:val="-15739095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5975663B" w14:textId="77777777">
            <w:pPr>
              <w:spacing w:before="40" w:after="40"/>
              <w:rPr>
                <w:rFonts w:cs="Arial"/>
                <w:sz w:val="18"/>
                <w:szCs w:val="18"/>
              </w:rPr>
            </w:pPr>
          </w:p>
        </w:tc>
      </w:tr>
      <w:tr w:rsidRPr="00701682" w:rsidR="0095134F" w:rsidTr="00664AA7" w14:paraId="178E36C2" w14:textId="77777777">
        <w:tc>
          <w:tcPr>
            <w:tcW w:w="4926" w:type="dxa"/>
            <w:gridSpan w:val="2"/>
          </w:tcPr>
          <w:p w:rsidRPr="00700E5F" w:rsidR="0095134F" w:rsidP="0095134F" w:rsidRDefault="00105F6D" w14:paraId="2D8034B1" w14:textId="4EFEE4F2">
            <w:pPr>
              <w:pStyle w:val="ListParagraph"/>
              <w:numPr>
                <w:ilvl w:val="0"/>
                <w:numId w:val="4"/>
              </w:numPr>
              <w:spacing w:before="40" w:after="40"/>
              <w:rPr>
                <w:rFonts w:eastAsia="CG Omega" w:cs="Arial"/>
                <w:sz w:val="18"/>
                <w:szCs w:val="18"/>
              </w:rPr>
            </w:pPr>
            <w:r>
              <w:rPr>
                <w:rFonts w:eastAsia="CG Omega" w:cs="Arial"/>
                <w:sz w:val="18"/>
                <w:szCs w:val="18"/>
              </w:rPr>
              <w:t>Did</w:t>
            </w:r>
            <w:r w:rsidRPr="00D477AD">
              <w:rPr>
                <w:rFonts w:eastAsia="CG Omega" w:cs="Arial"/>
                <w:sz w:val="18"/>
                <w:szCs w:val="18"/>
              </w:rPr>
              <w:t xml:space="preserve"> </w:t>
            </w:r>
            <w:r w:rsidRPr="00D477AD" w:rsidR="0095134F">
              <w:rPr>
                <w:rFonts w:eastAsia="CG Omega" w:cs="Arial"/>
                <w:sz w:val="18"/>
                <w:szCs w:val="18"/>
              </w:rPr>
              <w:t>management</w:t>
            </w:r>
            <w:r w:rsidR="0095134F">
              <w:rPr>
                <w:rFonts w:eastAsia="CG Omega" w:cs="Arial"/>
                <w:sz w:val="18"/>
                <w:szCs w:val="18"/>
              </w:rPr>
              <w:t xml:space="preserve"> develop strategies to address third-party risk management issues? </w:t>
            </w:r>
          </w:p>
        </w:tc>
        <w:tc>
          <w:tcPr>
            <w:tcW w:w="1554" w:type="dxa"/>
            <w:gridSpan w:val="2"/>
          </w:tcPr>
          <w:p w:rsidR="0095134F" w:rsidP="00664AA7" w:rsidRDefault="004E30E5" w14:paraId="2A722306" w14:textId="77777777">
            <w:pPr>
              <w:spacing w:before="40" w:after="40"/>
              <w:rPr>
                <w:rFonts w:eastAsia="CG Omega" w:cs="Arial"/>
                <w:sz w:val="18"/>
                <w:szCs w:val="18"/>
              </w:rPr>
            </w:pPr>
            <w:sdt>
              <w:sdtPr>
                <w:rPr>
                  <w:rFonts w:eastAsia="CG Omega" w:cs="Arial"/>
                  <w:sz w:val="18"/>
                  <w:szCs w:val="18"/>
                </w:rPr>
                <w:id w:val="-202971621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77B663E9" w14:textId="77777777">
            <w:pPr>
              <w:spacing w:before="40" w:after="40"/>
              <w:rPr>
                <w:rFonts w:eastAsia="CG Omega" w:cs="Arial"/>
                <w:sz w:val="18"/>
                <w:szCs w:val="18"/>
              </w:rPr>
            </w:pPr>
            <w:sdt>
              <w:sdtPr>
                <w:rPr>
                  <w:rFonts w:eastAsia="CG Omega" w:cs="Arial"/>
                  <w:sz w:val="18"/>
                  <w:szCs w:val="18"/>
                </w:rPr>
                <w:id w:val="47642240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B23CD78" w14:textId="77777777">
            <w:pPr>
              <w:spacing w:before="40" w:after="40"/>
              <w:rPr>
                <w:rFonts w:cs="Arial"/>
                <w:sz w:val="18"/>
                <w:szCs w:val="18"/>
              </w:rPr>
            </w:pPr>
          </w:p>
        </w:tc>
      </w:tr>
      <w:tr w:rsidRPr="00701682" w:rsidR="0095134F" w:rsidTr="00664AA7" w14:paraId="4DEB7F55" w14:textId="77777777">
        <w:tc>
          <w:tcPr>
            <w:tcW w:w="4926" w:type="dxa"/>
            <w:gridSpan w:val="2"/>
          </w:tcPr>
          <w:p w:rsidRPr="00D477AD" w:rsidR="0095134F" w:rsidP="0095134F" w:rsidRDefault="00105F6D" w14:paraId="45D772DD" w14:textId="3A641DA2">
            <w:pPr>
              <w:pStyle w:val="ListParagraph"/>
              <w:numPr>
                <w:ilvl w:val="0"/>
                <w:numId w:val="4"/>
              </w:numPr>
              <w:spacing w:before="40" w:after="40"/>
              <w:rPr>
                <w:rFonts w:eastAsia="CG Omega" w:cs="Arial"/>
                <w:sz w:val="18"/>
                <w:szCs w:val="18"/>
              </w:rPr>
            </w:pPr>
            <w:r>
              <w:rPr>
                <w:rFonts w:eastAsia="CG Omega" w:cs="Arial"/>
                <w:sz w:val="18"/>
                <w:szCs w:val="18"/>
              </w:rPr>
              <w:t>Did</w:t>
            </w:r>
            <w:r w:rsidRPr="00D477AD">
              <w:rPr>
                <w:rFonts w:eastAsia="CG Omega" w:cs="Arial"/>
                <w:sz w:val="18"/>
                <w:szCs w:val="18"/>
              </w:rPr>
              <w:t xml:space="preserve"> </w:t>
            </w:r>
            <w:r w:rsidRPr="00D477AD" w:rsidR="0095134F">
              <w:rPr>
                <w:rFonts w:eastAsia="CG Omega" w:cs="Arial"/>
                <w:sz w:val="18"/>
                <w:szCs w:val="18"/>
              </w:rPr>
              <w:t>management assess the potential financial impacts</w:t>
            </w:r>
            <w:r w:rsidR="0095134F">
              <w:rPr>
                <w:rFonts w:eastAsia="CG Omega" w:cs="Arial"/>
                <w:sz w:val="18"/>
                <w:szCs w:val="18"/>
              </w:rPr>
              <w:t>, both balance sheet and earnings,</w:t>
            </w:r>
            <w:r w:rsidRPr="00D477AD" w:rsidR="0095134F">
              <w:rPr>
                <w:rFonts w:eastAsia="CG Omega" w:cs="Arial"/>
                <w:sz w:val="18"/>
                <w:szCs w:val="18"/>
              </w:rPr>
              <w:t xml:space="preserve"> from Libor transition and developed plans to manage and mitigate the risks accordingly?</w:t>
            </w:r>
          </w:p>
        </w:tc>
        <w:tc>
          <w:tcPr>
            <w:tcW w:w="1554" w:type="dxa"/>
            <w:gridSpan w:val="2"/>
          </w:tcPr>
          <w:p w:rsidR="0095134F" w:rsidP="00664AA7" w:rsidRDefault="004E30E5" w14:paraId="755E5F93" w14:textId="77777777">
            <w:pPr>
              <w:spacing w:before="40" w:after="40"/>
              <w:rPr>
                <w:rFonts w:eastAsia="CG Omega" w:cs="Arial"/>
                <w:sz w:val="18"/>
                <w:szCs w:val="18"/>
              </w:rPr>
            </w:pPr>
            <w:sdt>
              <w:sdtPr>
                <w:rPr>
                  <w:rFonts w:eastAsia="CG Omega" w:cs="Arial"/>
                  <w:sz w:val="18"/>
                  <w:szCs w:val="18"/>
                </w:rPr>
                <w:id w:val="-115005536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40857BB2" w14:textId="77777777">
            <w:pPr>
              <w:spacing w:before="40" w:after="40"/>
              <w:rPr>
                <w:rFonts w:eastAsia="CG Omega" w:cs="Arial"/>
                <w:sz w:val="18"/>
                <w:szCs w:val="18"/>
              </w:rPr>
            </w:pPr>
            <w:sdt>
              <w:sdtPr>
                <w:rPr>
                  <w:rFonts w:eastAsia="CG Omega" w:cs="Arial"/>
                  <w:sz w:val="18"/>
                  <w:szCs w:val="18"/>
                </w:rPr>
                <w:id w:val="-161937082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5BE727B7" w14:textId="77777777">
            <w:pPr>
              <w:spacing w:before="40" w:after="40"/>
              <w:rPr>
                <w:rFonts w:cs="Arial"/>
                <w:sz w:val="18"/>
                <w:szCs w:val="18"/>
              </w:rPr>
            </w:pPr>
          </w:p>
        </w:tc>
      </w:tr>
      <w:tr w:rsidRPr="00701682" w:rsidR="0095134F" w:rsidTr="00664AA7" w14:paraId="21FAF593" w14:textId="77777777">
        <w:trPr>
          <w:trHeight w:val="521"/>
        </w:trPr>
        <w:tc>
          <w:tcPr>
            <w:tcW w:w="4926" w:type="dxa"/>
            <w:gridSpan w:val="2"/>
          </w:tcPr>
          <w:p w:rsidRPr="00703960" w:rsidR="0095134F" w:rsidP="0095134F" w:rsidRDefault="0095134F" w14:paraId="5E80B047" w14:textId="77777777">
            <w:pPr>
              <w:pStyle w:val="ListParagraph"/>
              <w:numPr>
                <w:ilvl w:val="0"/>
                <w:numId w:val="4"/>
              </w:numPr>
              <w:spacing w:before="40" w:after="40"/>
              <w:rPr>
                <w:rFonts w:cs="Arial"/>
                <w:sz w:val="18"/>
                <w:szCs w:val="18"/>
              </w:rPr>
            </w:pPr>
            <w:r w:rsidRPr="0086656E">
              <w:rPr>
                <w:rFonts w:cs="Arial"/>
                <w:sz w:val="18"/>
                <w:szCs w:val="18"/>
              </w:rPr>
              <w:t>Is the formality of the plan commensurate with the size and complexity of the bank’s Libor exposures?</w:t>
            </w:r>
          </w:p>
        </w:tc>
        <w:tc>
          <w:tcPr>
            <w:tcW w:w="1554" w:type="dxa"/>
            <w:gridSpan w:val="2"/>
          </w:tcPr>
          <w:p w:rsidR="0095134F" w:rsidP="00664AA7" w:rsidRDefault="004E30E5" w14:paraId="09F769D0" w14:textId="77777777">
            <w:pPr>
              <w:spacing w:before="40" w:after="40"/>
              <w:rPr>
                <w:rFonts w:eastAsia="CG Omega" w:cs="Arial"/>
                <w:sz w:val="18"/>
                <w:szCs w:val="18"/>
              </w:rPr>
            </w:pPr>
            <w:sdt>
              <w:sdtPr>
                <w:rPr>
                  <w:rFonts w:eastAsia="CG Omega" w:cs="Arial"/>
                  <w:sz w:val="18"/>
                  <w:szCs w:val="18"/>
                </w:rPr>
                <w:id w:val="-47421225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3A3181E" w14:textId="77777777">
            <w:pPr>
              <w:spacing w:before="40" w:after="40"/>
              <w:rPr>
                <w:rFonts w:cs="Arial"/>
                <w:sz w:val="18"/>
                <w:szCs w:val="18"/>
              </w:rPr>
            </w:pPr>
            <w:sdt>
              <w:sdtPr>
                <w:rPr>
                  <w:rFonts w:eastAsia="CG Omega" w:cs="Arial"/>
                  <w:sz w:val="18"/>
                  <w:szCs w:val="18"/>
                </w:rPr>
                <w:id w:val="116852405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52E122A5" w14:textId="77777777">
            <w:pPr>
              <w:spacing w:before="40" w:after="40"/>
              <w:rPr>
                <w:rFonts w:cs="Arial"/>
                <w:sz w:val="18"/>
                <w:szCs w:val="18"/>
              </w:rPr>
            </w:pPr>
          </w:p>
        </w:tc>
      </w:tr>
      <w:tr w:rsidRPr="00701682" w:rsidR="0095134F" w:rsidTr="00664AA7" w14:paraId="68C4256E" w14:textId="77777777">
        <w:tc>
          <w:tcPr>
            <w:tcW w:w="4926" w:type="dxa"/>
            <w:gridSpan w:val="2"/>
          </w:tcPr>
          <w:p w:rsidRPr="00CC575C" w:rsidR="0095134F" w:rsidP="0095134F" w:rsidRDefault="0095134F" w14:paraId="33ABD5E1" w14:textId="77777777">
            <w:pPr>
              <w:pStyle w:val="ListParagraph"/>
              <w:numPr>
                <w:ilvl w:val="0"/>
                <w:numId w:val="4"/>
              </w:numPr>
              <w:spacing w:before="40" w:after="40"/>
              <w:rPr>
                <w:rFonts w:eastAsia="CG Omega" w:cs="Arial"/>
                <w:sz w:val="18"/>
                <w:szCs w:val="18"/>
              </w:rPr>
            </w:pPr>
            <w:r w:rsidRPr="0086656E">
              <w:rPr>
                <w:rFonts w:eastAsia="CG Omega" w:cs="Arial"/>
                <w:sz w:val="18"/>
                <w:szCs w:val="18"/>
              </w:rPr>
              <w:t>Did all relevant parties have input into the plan</w:t>
            </w:r>
            <w:r>
              <w:rPr>
                <w:rFonts w:eastAsia="CG Omega" w:cs="Arial"/>
                <w:sz w:val="18"/>
                <w:szCs w:val="18"/>
              </w:rPr>
              <w:t xml:space="preserve"> (e.g., legal, treasury, accounting, compliance, operations/IT)</w:t>
            </w:r>
            <w:r w:rsidRPr="0086656E">
              <w:rPr>
                <w:rFonts w:eastAsia="CG Omega" w:cs="Arial"/>
                <w:sz w:val="18"/>
                <w:szCs w:val="18"/>
              </w:rPr>
              <w:t>?</w:t>
            </w:r>
          </w:p>
        </w:tc>
        <w:tc>
          <w:tcPr>
            <w:tcW w:w="1554" w:type="dxa"/>
            <w:gridSpan w:val="2"/>
          </w:tcPr>
          <w:p w:rsidR="0095134F" w:rsidP="00664AA7" w:rsidRDefault="004E30E5" w14:paraId="6238EB88" w14:textId="77777777">
            <w:pPr>
              <w:spacing w:before="40" w:after="40"/>
              <w:rPr>
                <w:rFonts w:eastAsia="CG Omega" w:cs="Arial"/>
                <w:sz w:val="18"/>
                <w:szCs w:val="18"/>
              </w:rPr>
            </w:pPr>
            <w:sdt>
              <w:sdtPr>
                <w:rPr>
                  <w:rFonts w:eastAsia="CG Omega" w:cs="Arial"/>
                  <w:sz w:val="18"/>
                  <w:szCs w:val="18"/>
                </w:rPr>
                <w:id w:val="-167371347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3CB0B598" w14:textId="77777777">
            <w:pPr>
              <w:spacing w:before="40" w:after="40"/>
              <w:rPr>
                <w:rFonts w:eastAsia="CG Omega" w:cs="Arial"/>
                <w:sz w:val="18"/>
                <w:szCs w:val="18"/>
              </w:rPr>
            </w:pPr>
            <w:sdt>
              <w:sdtPr>
                <w:rPr>
                  <w:rFonts w:eastAsia="CG Omega" w:cs="Arial"/>
                  <w:sz w:val="18"/>
                  <w:szCs w:val="18"/>
                </w:rPr>
                <w:id w:val="37474662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6233655A" w14:textId="77777777">
            <w:pPr>
              <w:spacing w:before="40" w:after="40"/>
              <w:rPr>
                <w:rFonts w:eastAsia="CG Omega" w:cs="Arial"/>
                <w:sz w:val="18"/>
                <w:szCs w:val="18"/>
              </w:rPr>
            </w:pPr>
          </w:p>
        </w:tc>
      </w:tr>
      <w:tr w:rsidRPr="00701682" w:rsidR="0095134F" w:rsidTr="00664AA7" w14:paraId="0FE2B261" w14:textId="77777777">
        <w:trPr>
          <w:trHeight w:val="647"/>
        </w:trPr>
        <w:tc>
          <w:tcPr>
            <w:tcW w:w="4926" w:type="dxa"/>
            <w:gridSpan w:val="2"/>
          </w:tcPr>
          <w:p w:rsidRPr="0086656E" w:rsidR="0095134F" w:rsidP="0095134F" w:rsidRDefault="0095134F" w14:paraId="47DCD0D7" w14:textId="77777777">
            <w:pPr>
              <w:pStyle w:val="ListParagraph"/>
              <w:numPr>
                <w:ilvl w:val="0"/>
                <w:numId w:val="4"/>
              </w:numPr>
              <w:spacing w:before="40" w:after="40"/>
              <w:rPr>
                <w:rFonts w:eastAsia="CG Omega" w:cs="Arial"/>
                <w:sz w:val="18"/>
                <w:szCs w:val="18"/>
              </w:rPr>
            </w:pPr>
            <w:r w:rsidRPr="0086656E">
              <w:rPr>
                <w:rFonts w:eastAsia="CG Omega" w:cs="Arial"/>
                <w:sz w:val="18"/>
                <w:szCs w:val="18"/>
              </w:rPr>
              <w:t>Does the plan establish reasonable time</w:t>
            </w:r>
            <w:r>
              <w:rPr>
                <w:rFonts w:eastAsia="CG Omega" w:cs="Arial"/>
                <w:sz w:val="18"/>
                <w:szCs w:val="18"/>
              </w:rPr>
              <w:t xml:space="preserve"> </w:t>
            </w:r>
            <w:r w:rsidRPr="0086656E">
              <w:rPr>
                <w:rFonts w:eastAsia="CG Omega" w:cs="Arial"/>
                <w:sz w:val="18"/>
                <w:szCs w:val="18"/>
              </w:rPr>
              <w:t xml:space="preserve">frames </w:t>
            </w:r>
            <w:r>
              <w:rPr>
                <w:rFonts w:eastAsia="CG Omega" w:cs="Arial"/>
                <w:sz w:val="18"/>
                <w:szCs w:val="18"/>
              </w:rPr>
              <w:t xml:space="preserve">for completing key activities </w:t>
            </w:r>
            <w:r w:rsidRPr="0086656E">
              <w:rPr>
                <w:rFonts w:eastAsia="CG Omega" w:cs="Arial"/>
                <w:sz w:val="18"/>
                <w:szCs w:val="18"/>
              </w:rPr>
              <w:t>and assig</w:t>
            </w:r>
            <w:r>
              <w:rPr>
                <w:rFonts w:eastAsia="CG Omega" w:cs="Arial"/>
                <w:sz w:val="18"/>
                <w:szCs w:val="18"/>
              </w:rPr>
              <w:t>ning</w:t>
            </w:r>
            <w:r w:rsidRPr="0086656E">
              <w:rPr>
                <w:rFonts w:eastAsia="CG Omega" w:cs="Arial"/>
                <w:sz w:val="18"/>
                <w:szCs w:val="18"/>
              </w:rPr>
              <w:t xml:space="preserve"> accountability for deliverables?</w:t>
            </w:r>
          </w:p>
        </w:tc>
        <w:tc>
          <w:tcPr>
            <w:tcW w:w="1554" w:type="dxa"/>
            <w:gridSpan w:val="2"/>
            <w:tcBorders>
              <w:right w:val="single" w:color="auto" w:sz="4" w:space="0"/>
            </w:tcBorders>
          </w:tcPr>
          <w:p w:rsidR="0095134F" w:rsidP="00664AA7" w:rsidRDefault="004E30E5" w14:paraId="7D44A6D0" w14:textId="77777777">
            <w:pPr>
              <w:spacing w:before="40" w:after="40"/>
              <w:rPr>
                <w:rFonts w:eastAsia="CG Omega" w:cs="Arial"/>
                <w:sz w:val="18"/>
                <w:szCs w:val="18"/>
              </w:rPr>
            </w:pPr>
            <w:sdt>
              <w:sdtPr>
                <w:rPr>
                  <w:rFonts w:eastAsia="CG Omega" w:cs="Arial"/>
                  <w:sz w:val="18"/>
                  <w:szCs w:val="18"/>
                </w:rPr>
                <w:id w:val="-122922135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DC06A2E" w14:textId="77777777">
            <w:pPr>
              <w:spacing w:before="40" w:after="40"/>
              <w:rPr>
                <w:rFonts w:eastAsia="CG Omega" w:cs="Arial"/>
                <w:sz w:val="18"/>
                <w:szCs w:val="18"/>
              </w:rPr>
            </w:pPr>
            <w:sdt>
              <w:sdtPr>
                <w:rPr>
                  <w:rFonts w:eastAsia="CG Omega" w:cs="Arial"/>
                  <w:sz w:val="18"/>
                  <w:szCs w:val="18"/>
                </w:rPr>
                <w:id w:val="70268575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Borders>
              <w:left w:val="single" w:color="auto" w:sz="4" w:space="0"/>
            </w:tcBorders>
          </w:tcPr>
          <w:p w:rsidRPr="00701682" w:rsidR="0095134F" w:rsidP="00664AA7" w:rsidRDefault="0095134F" w14:paraId="69B640D9" w14:textId="77777777">
            <w:pPr>
              <w:spacing w:before="40" w:after="40"/>
              <w:rPr>
                <w:rFonts w:eastAsia="CG Omega" w:cs="Arial"/>
                <w:sz w:val="18"/>
                <w:szCs w:val="18"/>
                <w:highlight w:val="green"/>
              </w:rPr>
            </w:pPr>
          </w:p>
        </w:tc>
      </w:tr>
      <w:tr w:rsidRPr="00701682" w:rsidR="0095134F" w:rsidTr="00664AA7" w14:paraId="64A5E6C8" w14:textId="77777777">
        <w:trPr>
          <w:trHeight w:val="494"/>
        </w:trPr>
        <w:tc>
          <w:tcPr>
            <w:tcW w:w="4926" w:type="dxa"/>
            <w:gridSpan w:val="2"/>
          </w:tcPr>
          <w:p w:rsidRPr="00701682" w:rsidR="0095134F" w:rsidP="00664AA7" w:rsidRDefault="0095134F" w14:paraId="06E1FC26" w14:textId="77777777">
            <w:pPr>
              <w:spacing w:before="40" w:after="40"/>
              <w:rPr>
                <w:rFonts w:eastAsia="CG Omega" w:cs="Arial"/>
                <w:sz w:val="18"/>
                <w:szCs w:val="18"/>
              </w:rPr>
            </w:pPr>
            <w:r w:rsidRPr="00700E5F">
              <w:rPr>
                <w:rFonts w:eastAsia="CG Omega" w:cs="Arial"/>
                <w:b/>
                <w:bCs/>
                <w:sz w:val="18"/>
                <w:szCs w:val="18"/>
              </w:rPr>
              <w:t>Objective:</w:t>
            </w:r>
            <w:r w:rsidRPr="00700E5F">
              <w:rPr>
                <w:rFonts w:eastAsia="CG Omega" w:cs="Arial"/>
                <w:sz w:val="18"/>
                <w:szCs w:val="18"/>
              </w:rPr>
              <w:t xml:space="preserve"> Does the bank have </w:t>
            </w:r>
            <w:r>
              <w:rPr>
                <w:rFonts w:eastAsia="CG Omega" w:cs="Arial"/>
                <w:sz w:val="18"/>
                <w:szCs w:val="18"/>
              </w:rPr>
              <w:t>appropriate</w:t>
            </w:r>
            <w:r w:rsidRPr="00700E5F">
              <w:rPr>
                <w:rFonts w:eastAsia="CG Omega" w:cs="Arial"/>
                <w:sz w:val="18"/>
                <w:szCs w:val="18"/>
              </w:rPr>
              <w:t xml:space="preserve"> processes in place to </w:t>
            </w:r>
            <w:r>
              <w:rPr>
                <w:rFonts w:eastAsia="CG Omega" w:cs="Arial"/>
                <w:sz w:val="18"/>
                <w:szCs w:val="18"/>
              </w:rPr>
              <w:t>implement</w:t>
            </w:r>
            <w:r w:rsidRPr="00700E5F">
              <w:rPr>
                <w:rFonts w:eastAsia="CG Omega" w:cs="Arial"/>
                <w:sz w:val="18"/>
                <w:szCs w:val="18"/>
              </w:rPr>
              <w:t xml:space="preserve"> Libor transition </w:t>
            </w:r>
            <w:r>
              <w:rPr>
                <w:rFonts w:eastAsia="CG Omega" w:cs="Arial"/>
                <w:sz w:val="18"/>
                <w:szCs w:val="18"/>
              </w:rPr>
              <w:t>plans</w:t>
            </w:r>
            <w:r w:rsidRPr="00700E5F">
              <w:rPr>
                <w:rFonts w:eastAsia="CG Omega" w:cs="Arial"/>
                <w:sz w:val="18"/>
                <w:szCs w:val="18"/>
              </w:rPr>
              <w:t>?</w:t>
            </w:r>
          </w:p>
        </w:tc>
        <w:tc>
          <w:tcPr>
            <w:tcW w:w="1554" w:type="dxa"/>
            <w:gridSpan w:val="2"/>
          </w:tcPr>
          <w:p w:rsidR="0095134F" w:rsidP="00664AA7" w:rsidRDefault="004E30E5" w14:paraId="2692E72B" w14:textId="77777777">
            <w:pPr>
              <w:spacing w:before="40" w:after="40"/>
              <w:rPr>
                <w:rFonts w:eastAsia="CG Omega" w:cs="Arial"/>
                <w:sz w:val="18"/>
                <w:szCs w:val="18"/>
              </w:rPr>
            </w:pPr>
            <w:sdt>
              <w:sdtPr>
                <w:rPr>
                  <w:rFonts w:eastAsia="CG Omega" w:cs="Arial"/>
                  <w:sz w:val="18"/>
                  <w:szCs w:val="18"/>
                </w:rPr>
                <w:id w:val="-87685520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6CBB1A49" w14:textId="77777777">
            <w:pPr>
              <w:spacing w:before="40" w:after="40"/>
              <w:rPr>
                <w:rFonts w:eastAsia="CG Omega" w:cs="Arial"/>
                <w:sz w:val="18"/>
                <w:szCs w:val="18"/>
              </w:rPr>
            </w:pPr>
            <w:sdt>
              <w:sdtPr>
                <w:rPr>
                  <w:rFonts w:eastAsia="CG Omega" w:cs="Arial"/>
                  <w:sz w:val="18"/>
                  <w:szCs w:val="18"/>
                </w:rPr>
                <w:id w:val="-329138963"/>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60EC4F2A" w14:textId="77777777">
            <w:pPr>
              <w:spacing w:before="40" w:after="40"/>
              <w:rPr>
                <w:rFonts w:eastAsia="CG Omega" w:cs="Arial"/>
                <w:sz w:val="18"/>
                <w:szCs w:val="18"/>
              </w:rPr>
            </w:pPr>
          </w:p>
        </w:tc>
      </w:tr>
      <w:tr w:rsidRPr="00701682" w:rsidR="0095134F" w:rsidTr="00664AA7" w14:paraId="7DE099CF" w14:textId="77777777">
        <w:trPr>
          <w:trHeight w:val="494"/>
        </w:trPr>
        <w:tc>
          <w:tcPr>
            <w:tcW w:w="4926" w:type="dxa"/>
            <w:gridSpan w:val="2"/>
          </w:tcPr>
          <w:p w:rsidRPr="00D477AD" w:rsidR="0095134F" w:rsidP="0095134F" w:rsidRDefault="0095134F" w14:paraId="4B936F68" w14:textId="6A7FAACF">
            <w:pPr>
              <w:pStyle w:val="ListParagraph"/>
              <w:numPr>
                <w:ilvl w:val="0"/>
                <w:numId w:val="5"/>
              </w:numPr>
              <w:spacing w:before="40" w:after="40"/>
              <w:rPr>
                <w:rFonts w:eastAsia="CG Omega" w:cs="Arial"/>
                <w:sz w:val="18"/>
                <w:szCs w:val="18"/>
              </w:rPr>
            </w:pPr>
            <w:r w:rsidRPr="00BF385F">
              <w:rPr>
                <w:rFonts w:eastAsia="CG Omega" w:cs="Arial"/>
                <w:sz w:val="18"/>
                <w:szCs w:val="18"/>
              </w:rPr>
              <w:t xml:space="preserve">Has the bank </w:t>
            </w:r>
            <w:r w:rsidR="00105F6D">
              <w:rPr>
                <w:rFonts w:eastAsia="CG Omega" w:cs="Arial"/>
                <w:sz w:val="18"/>
                <w:szCs w:val="18"/>
              </w:rPr>
              <w:t>tasked</w:t>
            </w:r>
            <w:r w:rsidRPr="00BF385F" w:rsidR="00105F6D">
              <w:rPr>
                <w:rFonts w:eastAsia="CG Omega" w:cs="Arial"/>
                <w:sz w:val="18"/>
                <w:szCs w:val="18"/>
              </w:rPr>
              <w:t xml:space="preserve"> </w:t>
            </w:r>
            <w:r w:rsidRPr="00BF385F">
              <w:rPr>
                <w:rFonts w:eastAsia="CG Omega" w:cs="Arial"/>
                <w:sz w:val="18"/>
                <w:szCs w:val="18"/>
              </w:rPr>
              <w:t>an individual or committee/working group with the responsibility for coordinating and implementing the preparedness plan?</w:t>
            </w:r>
          </w:p>
        </w:tc>
        <w:tc>
          <w:tcPr>
            <w:tcW w:w="1554" w:type="dxa"/>
            <w:gridSpan w:val="2"/>
          </w:tcPr>
          <w:p w:rsidR="0095134F" w:rsidP="00664AA7" w:rsidRDefault="004E30E5" w14:paraId="7225C012" w14:textId="77777777">
            <w:pPr>
              <w:spacing w:before="40" w:after="40"/>
              <w:rPr>
                <w:rFonts w:eastAsia="CG Omega" w:cs="Arial"/>
                <w:sz w:val="18"/>
                <w:szCs w:val="18"/>
              </w:rPr>
            </w:pPr>
            <w:sdt>
              <w:sdtPr>
                <w:rPr>
                  <w:rFonts w:eastAsia="CG Omega" w:cs="Arial"/>
                  <w:sz w:val="18"/>
                  <w:szCs w:val="18"/>
                </w:rPr>
                <w:id w:val="-893035239"/>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2D4663D5" w14:textId="77777777">
            <w:pPr>
              <w:spacing w:before="40" w:after="40"/>
              <w:rPr>
                <w:rFonts w:eastAsia="CG Omega" w:cs="Arial"/>
                <w:sz w:val="18"/>
                <w:szCs w:val="18"/>
              </w:rPr>
            </w:pPr>
            <w:sdt>
              <w:sdtPr>
                <w:rPr>
                  <w:rFonts w:eastAsia="CG Omega" w:cs="Arial"/>
                  <w:sz w:val="18"/>
                  <w:szCs w:val="18"/>
                </w:rPr>
                <w:id w:val="-55740165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0070AE6F" w14:textId="77777777">
            <w:pPr>
              <w:spacing w:before="40" w:after="40"/>
              <w:rPr>
                <w:rFonts w:eastAsia="CG Omega" w:cs="Arial"/>
                <w:sz w:val="18"/>
                <w:szCs w:val="18"/>
              </w:rPr>
            </w:pPr>
          </w:p>
        </w:tc>
      </w:tr>
      <w:tr w:rsidRPr="00701682" w:rsidR="0095134F" w:rsidTr="00664AA7" w14:paraId="41255CCC" w14:textId="77777777">
        <w:trPr>
          <w:trHeight w:val="494"/>
        </w:trPr>
        <w:tc>
          <w:tcPr>
            <w:tcW w:w="4926" w:type="dxa"/>
            <w:gridSpan w:val="2"/>
          </w:tcPr>
          <w:p w:rsidRPr="00D477AD" w:rsidR="0095134F" w:rsidP="0095134F" w:rsidRDefault="00105F6D" w14:paraId="2C7990F7" w14:textId="72A48FD8">
            <w:pPr>
              <w:pStyle w:val="ListParagraph"/>
              <w:numPr>
                <w:ilvl w:val="0"/>
                <w:numId w:val="5"/>
              </w:numPr>
              <w:spacing w:before="40" w:after="40"/>
              <w:rPr>
                <w:rFonts w:eastAsia="CG Omega" w:cs="Arial"/>
                <w:sz w:val="18"/>
                <w:szCs w:val="18"/>
              </w:rPr>
            </w:pPr>
            <w:r>
              <w:rPr>
                <w:rFonts w:eastAsia="CG Omega" w:cs="Arial"/>
                <w:sz w:val="18"/>
                <w:szCs w:val="18"/>
              </w:rPr>
              <w:t>Does</w:t>
            </w:r>
            <w:r w:rsidRPr="00D477AD">
              <w:rPr>
                <w:rFonts w:eastAsia="CG Omega" w:cs="Arial"/>
                <w:sz w:val="18"/>
                <w:szCs w:val="18"/>
              </w:rPr>
              <w:t xml:space="preserve"> </w:t>
            </w:r>
            <w:r w:rsidRPr="00D477AD" w:rsidR="0095134F">
              <w:rPr>
                <w:rFonts w:eastAsia="CG Omega" w:cs="Arial"/>
                <w:sz w:val="18"/>
                <w:szCs w:val="18"/>
              </w:rPr>
              <w:t xml:space="preserve">management </w:t>
            </w:r>
            <w:r>
              <w:rPr>
                <w:rFonts w:eastAsia="CG Omega" w:cs="Arial"/>
                <w:sz w:val="18"/>
                <w:szCs w:val="18"/>
              </w:rPr>
              <w:t xml:space="preserve">have </w:t>
            </w:r>
            <w:r w:rsidRPr="00D477AD" w:rsidR="0095134F">
              <w:rPr>
                <w:rFonts w:eastAsia="CG Omega" w:cs="Arial"/>
                <w:sz w:val="18"/>
                <w:szCs w:val="18"/>
              </w:rPr>
              <w:t>appropriate communication plans for engaging with affected customers and counterparties?</w:t>
            </w:r>
          </w:p>
        </w:tc>
        <w:tc>
          <w:tcPr>
            <w:tcW w:w="1554" w:type="dxa"/>
            <w:gridSpan w:val="2"/>
          </w:tcPr>
          <w:p w:rsidR="0095134F" w:rsidP="00664AA7" w:rsidRDefault="004E30E5" w14:paraId="4EBB0F00" w14:textId="77777777">
            <w:pPr>
              <w:spacing w:before="40" w:after="40"/>
              <w:rPr>
                <w:rFonts w:eastAsia="CG Omega" w:cs="Arial"/>
                <w:sz w:val="18"/>
                <w:szCs w:val="18"/>
              </w:rPr>
            </w:pPr>
            <w:sdt>
              <w:sdtPr>
                <w:rPr>
                  <w:rFonts w:eastAsia="CG Omega" w:cs="Arial"/>
                  <w:sz w:val="18"/>
                  <w:szCs w:val="18"/>
                </w:rPr>
                <w:id w:val="1839349869"/>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793B4079" w14:textId="77777777">
            <w:pPr>
              <w:spacing w:before="40" w:after="40"/>
              <w:rPr>
                <w:rFonts w:eastAsia="CG Omega" w:cs="Arial"/>
                <w:sz w:val="18"/>
                <w:szCs w:val="18"/>
              </w:rPr>
            </w:pPr>
            <w:sdt>
              <w:sdtPr>
                <w:rPr>
                  <w:rFonts w:eastAsia="CG Omega" w:cs="Arial"/>
                  <w:sz w:val="18"/>
                  <w:szCs w:val="18"/>
                </w:rPr>
                <w:id w:val="-54682687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71255B1D" w14:textId="77777777">
            <w:pPr>
              <w:spacing w:before="40" w:after="40"/>
              <w:rPr>
                <w:rFonts w:eastAsia="CG Omega" w:cs="Arial"/>
                <w:sz w:val="18"/>
                <w:szCs w:val="18"/>
              </w:rPr>
            </w:pPr>
          </w:p>
        </w:tc>
      </w:tr>
      <w:tr w:rsidRPr="00701682" w:rsidR="0095134F" w:rsidTr="00664AA7" w14:paraId="60F07A01" w14:textId="77777777">
        <w:trPr>
          <w:trHeight w:val="494"/>
        </w:trPr>
        <w:tc>
          <w:tcPr>
            <w:tcW w:w="4926" w:type="dxa"/>
            <w:gridSpan w:val="2"/>
          </w:tcPr>
          <w:p w:rsidRPr="00D477AD" w:rsidR="0095134F" w:rsidP="0095134F" w:rsidRDefault="00105F6D" w14:paraId="5165E24A" w14:textId="56389B73">
            <w:pPr>
              <w:pStyle w:val="ListParagraph"/>
              <w:numPr>
                <w:ilvl w:val="0"/>
                <w:numId w:val="5"/>
              </w:numPr>
              <w:spacing w:before="40" w:after="40"/>
              <w:rPr>
                <w:rFonts w:eastAsia="CG Omega" w:cs="Arial"/>
                <w:sz w:val="18"/>
                <w:szCs w:val="18"/>
              </w:rPr>
            </w:pPr>
            <w:r>
              <w:rPr>
                <w:rFonts w:eastAsia="CG Omega" w:cs="Arial"/>
                <w:sz w:val="18"/>
                <w:szCs w:val="18"/>
              </w:rPr>
              <w:t>Does</w:t>
            </w:r>
            <w:r w:rsidRPr="000C1C6C">
              <w:rPr>
                <w:rFonts w:eastAsia="CG Omega" w:cs="Arial"/>
                <w:sz w:val="18"/>
                <w:szCs w:val="18"/>
              </w:rPr>
              <w:t xml:space="preserve"> </w:t>
            </w:r>
            <w:r w:rsidRPr="000C1C6C" w:rsidR="0095134F">
              <w:rPr>
                <w:rFonts w:eastAsia="CG Omega" w:cs="Arial"/>
                <w:sz w:val="18"/>
                <w:szCs w:val="18"/>
              </w:rPr>
              <w:t xml:space="preserve">management </w:t>
            </w:r>
            <w:r>
              <w:rPr>
                <w:rFonts w:eastAsia="CG Omega" w:cs="Arial"/>
                <w:sz w:val="18"/>
                <w:szCs w:val="18"/>
              </w:rPr>
              <w:t>provide</w:t>
            </w:r>
            <w:r w:rsidRPr="000C1C6C">
              <w:rPr>
                <w:rFonts w:eastAsia="CG Omega" w:cs="Arial"/>
                <w:sz w:val="18"/>
                <w:szCs w:val="18"/>
              </w:rPr>
              <w:t xml:space="preserve"> </w:t>
            </w:r>
            <w:r w:rsidRPr="000C1C6C" w:rsidR="0095134F">
              <w:rPr>
                <w:rFonts w:eastAsia="CG Omega" w:cs="Arial"/>
                <w:sz w:val="18"/>
                <w:szCs w:val="18"/>
              </w:rPr>
              <w:t>accurate</w:t>
            </w:r>
            <w:r w:rsidR="0095134F">
              <w:rPr>
                <w:rFonts w:eastAsia="CG Omega" w:cs="Arial"/>
                <w:sz w:val="18"/>
                <w:szCs w:val="18"/>
              </w:rPr>
              <w:t>, timely, and complete</w:t>
            </w:r>
            <w:r w:rsidRPr="000C1C6C" w:rsidR="0095134F">
              <w:rPr>
                <w:rFonts w:eastAsia="CG Omega" w:cs="Arial"/>
                <w:sz w:val="18"/>
                <w:szCs w:val="18"/>
              </w:rPr>
              <w:t xml:space="preserve"> reports </w:t>
            </w:r>
            <w:r>
              <w:rPr>
                <w:rFonts w:eastAsia="CG Omega" w:cs="Arial"/>
                <w:sz w:val="18"/>
                <w:szCs w:val="18"/>
              </w:rPr>
              <w:t>to</w:t>
            </w:r>
            <w:r w:rsidRPr="000C1C6C" w:rsidR="0095134F">
              <w:rPr>
                <w:rFonts w:eastAsia="CG Omega" w:cs="Arial"/>
                <w:sz w:val="18"/>
                <w:szCs w:val="18"/>
              </w:rPr>
              <w:t xml:space="preserve"> senior management and the board to monitor progress in implementing the transition plan (e.g., reports that monitor progress and challenges in renegotiating existing contracts)?</w:t>
            </w:r>
          </w:p>
        </w:tc>
        <w:tc>
          <w:tcPr>
            <w:tcW w:w="1554" w:type="dxa"/>
            <w:gridSpan w:val="2"/>
          </w:tcPr>
          <w:p w:rsidRPr="000C1C6C" w:rsidR="0095134F" w:rsidP="00664AA7" w:rsidRDefault="004E30E5" w14:paraId="4CA7051A" w14:textId="77777777">
            <w:pPr>
              <w:spacing w:before="40" w:after="40"/>
              <w:rPr>
                <w:rFonts w:eastAsia="CG Omega" w:cs="Arial"/>
                <w:sz w:val="18"/>
                <w:szCs w:val="18"/>
              </w:rPr>
            </w:pPr>
            <w:sdt>
              <w:sdtPr>
                <w:rPr>
                  <w:rFonts w:eastAsia="CG Omega" w:cs="Arial"/>
                  <w:sz w:val="18"/>
                  <w:szCs w:val="18"/>
                </w:rPr>
                <w:id w:val="-823433586"/>
                <w14:checkbox>
                  <w14:checked w14:val="0"/>
                  <w14:checkedState w14:font="MS Gothic" w14:val="2612"/>
                  <w14:uncheckedState w14:font="MS Gothic" w14:val="2610"/>
                </w14:checkbox>
              </w:sdtPr>
              <w:sdtEndPr/>
              <w:sdtContent>
                <w:r w:rsidRPr="000C1C6C" w:rsidR="0095134F">
                  <w:rPr>
                    <w:rFonts w:hint="eastAsia" w:ascii="MS Gothic" w:hAnsi="MS Gothic" w:eastAsia="MS Gothic" w:cs="Arial"/>
                    <w:sz w:val="18"/>
                    <w:szCs w:val="18"/>
                  </w:rPr>
                  <w:t>☐</w:t>
                </w:r>
              </w:sdtContent>
            </w:sdt>
            <w:r w:rsidRPr="000C1C6C" w:rsidR="0095134F">
              <w:rPr>
                <w:rFonts w:eastAsia="CG Omega" w:cs="Arial"/>
                <w:sz w:val="18"/>
                <w:szCs w:val="18"/>
              </w:rPr>
              <w:t xml:space="preserve"> Yes</w:t>
            </w:r>
          </w:p>
          <w:p w:rsidR="0095134F" w:rsidP="00664AA7" w:rsidRDefault="004E30E5" w14:paraId="3E7B9694" w14:textId="77777777">
            <w:pPr>
              <w:spacing w:before="40" w:after="40"/>
              <w:rPr>
                <w:rFonts w:eastAsia="CG Omega" w:cs="Arial"/>
                <w:sz w:val="18"/>
                <w:szCs w:val="18"/>
              </w:rPr>
            </w:pPr>
            <w:sdt>
              <w:sdtPr>
                <w:rPr>
                  <w:rFonts w:eastAsia="CG Omega" w:cs="Arial"/>
                  <w:sz w:val="18"/>
                  <w:szCs w:val="18"/>
                </w:rPr>
                <w:id w:val="-1100025165"/>
                <w14:checkbox>
                  <w14:checked w14:val="0"/>
                  <w14:checkedState w14:font="MS Gothic" w14:val="2612"/>
                  <w14:uncheckedState w14:font="MS Gothic" w14:val="2610"/>
                </w14:checkbox>
              </w:sdtPr>
              <w:sdtEndPr/>
              <w:sdtContent>
                <w:r w:rsidRPr="000C1C6C" w:rsidR="0095134F">
                  <w:rPr>
                    <w:rFonts w:hint="eastAsia" w:ascii="MS Gothic" w:hAnsi="MS Gothic" w:eastAsia="MS Gothic" w:cs="Arial"/>
                    <w:sz w:val="18"/>
                    <w:szCs w:val="18"/>
                  </w:rPr>
                  <w:t>☐</w:t>
                </w:r>
              </w:sdtContent>
            </w:sdt>
            <w:r w:rsidRPr="000C1C6C" w:rsidR="0095134F">
              <w:rPr>
                <w:rFonts w:eastAsia="CG Omega" w:cs="Arial"/>
                <w:sz w:val="18"/>
                <w:szCs w:val="18"/>
              </w:rPr>
              <w:t xml:space="preserve"> No</w:t>
            </w:r>
          </w:p>
        </w:tc>
        <w:tc>
          <w:tcPr>
            <w:tcW w:w="2880" w:type="dxa"/>
            <w:gridSpan w:val="2"/>
          </w:tcPr>
          <w:p w:rsidRPr="00701682" w:rsidR="0095134F" w:rsidP="00664AA7" w:rsidRDefault="0095134F" w14:paraId="264C8754" w14:textId="77777777">
            <w:pPr>
              <w:spacing w:before="40" w:after="40"/>
              <w:rPr>
                <w:rFonts w:eastAsia="CG Omega" w:cs="Arial"/>
                <w:sz w:val="18"/>
                <w:szCs w:val="18"/>
              </w:rPr>
            </w:pPr>
          </w:p>
        </w:tc>
      </w:tr>
      <w:tr w:rsidRPr="00701682" w:rsidR="0095134F" w:rsidTr="00664AA7" w14:paraId="123E47F0" w14:textId="77777777">
        <w:trPr>
          <w:trHeight w:val="728"/>
        </w:trPr>
        <w:tc>
          <w:tcPr>
            <w:tcW w:w="4926" w:type="dxa"/>
            <w:gridSpan w:val="2"/>
          </w:tcPr>
          <w:p w:rsidRPr="00D477AD" w:rsidR="0095134F" w:rsidP="0095134F" w:rsidRDefault="00105F6D" w14:paraId="04856610" w14:textId="1940B162">
            <w:pPr>
              <w:pStyle w:val="ListParagraph"/>
              <w:numPr>
                <w:ilvl w:val="0"/>
                <w:numId w:val="5"/>
              </w:numPr>
              <w:spacing w:before="40" w:after="40"/>
              <w:rPr>
                <w:rFonts w:eastAsia="CG Omega" w:cs="Arial"/>
                <w:sz w:val="18"/>
                <w:szCs w:val="18"/>
              </w:rPr>
            </w:pPr>
            <w:r>
              <w:rPr>
                <w:rFonts w:eastAsia="CG Omega" w:cs="Arial"/>
                <w:sz w:val="18"/>
                <w:szCs w:val="18"/>
              </w:rPr>
              <w:t xml:space="preserve">Does the board receive Libor transition reports with an appropriate frequency?  </w:t>
            </w:r>
          </w:p>
        </w:tc>
        <w:tc>
          <w:tcPr>
            <w:tcW w:w="1554" w:type="dxa"/>
            <w:gridSpan w:val="2"/>
          </w:tcPr>
          <w:p w:rsidRPr="000C1C6C" w:rsidR="0095134F" w:rsidP="00664AA7" w:rsidRDefault="004E30E5" w14:paraId="0CA9244B" w14:textId="77777777">
            <w:pPr>
              <w:spacing w:before="40" w:after="40"/>
              <w:rPr>
                <w:rFonts w:eastAsia="CG Omega" w:cs="Arial"/>
                <w:sz w:val="18"/>
                <w:szCs w:val="18"/>
              </w:rPr>
            </w:pPr>
            <w:sdt>
              <w:sdtPr>
                <w:rPr>
                  <w:rFonts w:eastAsia="CG Omega" w:cs="Arial"/>
                  <w:sz w:val="18"/>
                  <w:szCs w:val="18"/>
                </w:rPr>
                <w:id w:val="817538859"/>
                <w14:checkbox>
                  <w14:checked w14:val="0"/>
                  <w14:checkedState w14:font="MS Gothic" w14:val="2612"/>
                  <w14:uncheckedState w14:font="MS Gothic" w14:val="2610"/>
                </w14:checkbox>
              </w:sdtPr>
              <w:sdtEndPr/>
              <w:sdtContent>
                <w:r w:rsidRPr="000C1C6C" w:rsidR="0095134F">
                  <w:rPr>
                    <w:rFonts w:hint="eastAsia" w:ascii="MS Gothic" w:hAnsi="MS Gothic" w:eastAsia="MS Gothic" w:cs="Arial"/>
                    <w:sz w:val="18"/>
                    <w:szCs w:val="18"/>
                  </w:rPr>
                  <w:t>☐</w:t>
                </w:r>
              </w:sdtContent>
            </w:sdt>
            <w:r w:rsidRPr="000C1C6C" w:rsidR="0095134F">
              <w:rPr>
                <w:rFonts w:eastAsia="CG Omega" w:cs="Arial"/>
                <w:sz w:val="18"/>
                <w:szCs w:val="18"/>
              </w:rPr>
              <w:t xml:space="preserve"> Yes</w:t>
            </w:r>
          </w:p>
          <w:p w:rsidR="0095134F" w:rsidP="00664AA7" w:rsidRDefault="004E30E5" w14:paraId="4FE218BA" w14:textId="77777777">
            <w:pPr>
              <w:spacing w:before="40" w:after="40"/>
              <w:rPr>
                <w:rFonts w:eastAsia="CG Omega" w:cs="Arial"/>
                <w:sz w:val="18"/>
                <w:szCs w:val="18"/>
              </w:rPr>
            </w:pPr>
            <w:sdt>
              <w:sdtPr>
                <w:rPr>
                  <w:rFonts w:eastAsia="CG Omega" w:cs="Arial"/>
                  <w:sz w:val="18"/>
                  <w:szCs w:val="18"/>
                </w:rPr>
                <w:id w:val="2082861585"/>
                <w14:checkbox>
                  <w14:checked w14:val="0"/>
                  <w14:checkedState w14:font="MS Gothic" w14:val="2612"/>
                  <w14:uncheckedState w14:font="MS Gothic" w14:val="2610"/>
                </w14:checkbox>
              </w:sdtPr>
              <w:sdtEndPr/>
              <w:sdtContent>
                <w:r w:rsidRPr="000C1C6C" w:rsidR="0095134F">
                  <w:rPr>
                    <w:rFonts w:hint="eastAsia" w:ascii="MS Gothic" w:hAnsi="MS Gothic" w:eastAsia="MS Gothic" w:cs="Arial"/>
                    <w:sz w:val="18"/>
                    <w:szCs w:val="18"/>
                  </w:rPr>
                  <w:t>☐</w:t>
                </w:r>
              </w:sdtContent>
            </w:sdt>
            <w:r w:rsidRPr="000C1C6C" w:rsidR="0095134F">
              <w:rPr>
                <w:rFonts w:eastAsia="CG Omega" w:cs="Arial"/>
                <w:sz w:val="18"/>
                <w:szCs w:val="18"/>
              </w:rPr>
              <w:t xml:space="preserve"> No</w:t>
            </w:r>
          </w:p>
        </w:tc>
        <w:tc>
          <w:tcPr>
            <w:tcW w:w="2880" w:type="dxa"/>
            <w:gridSpan w:val="2"/>
          </w:tcPr>
          <w:p w:rsidRPr="00701682" w:rsidR="0095134F" w:rsidP="00664AA7" w:rsidRDefault="0095134F" w14:paraId="2FDB7C5A" w14:textId="77777777">
            <w:pPr>
              <w:spacing w:before="40" w:after="40"/>
              <w:rPr>
                <w:rFonts w:eastAsia="CG Omega" w:cs="Arial"/>
                <w:sz w:val="18"/>
                <w:szCs w:val="18"/>
              </w:rPr>
            </w:pPr>
          </w:p>
        </w:tc>
      </w:tr>
      <w:tr w:rsidRPr="00701682" w:rsidR="0095134F" w:rsidTr="00664AA7" w14:paraId="7D213840" w14:textId="77777777">
        <w:tc>
          <w:tcPr>
            <w:tcW w:w="9360" w:type="dxa"/>
            <w:gridSpan w:val="6"/>
            <w:vAlign w:val="center"/>
          </w:tcPr>
          <w:p w:rsidRPr="0042223E" w:rsidR="0095134F" w:rsidP="00664AA7" w:rsidRDefault="0095134F" w14:paraId="7A5A8159" w14:textId="77777777">
            <w:pPr>
              <w:spacing w:before="40" w:after="40"/>
              <w:jc w:val="center"/>
              <w:rPr>
                <w:rFonts w:cs="Arial"/>
                <w:b/>
                <w:bCs/>
                <w:sz w:val="18"/>
                <w:szCs w:val="18"/>
              </w:rPr>
            </w:pPr>
            <w:r w:rsidRPr="00D477AD">
              <w:rPr>
                <w:rFonts w:cs="Arial"/>
                <w:b/>
                <w:bCs/>
                <w:sz w:val="18"/>
                <w:szCs w:val="18"/>
              </w:rPr>
              <w:t>Replacement Rates</w:t>
            </w:r>
          </w:p>
        </w:tc>
      </w:tr>
      <w:tr w:rsidRPr="00701682" w:rsidR="0095134F" w:rsidTr="00664AA7" w14:paraId="370E26C6" w14:textId="77777777">
        <w:trPr>
          <w:trHeight w:val="476"/>
        </w:trPr>
        <w:tc>
          <w:tcPr>
            <w:tcW w:w="4926" w:type="dxa"/>
            <w:gridSpan w:val="2"/>
          </w:tcPr>
          <w:p w:rsidRPr="00701682" w:rsidR="0095134F" w:rsidP="00664AA7" w:rsidRDefault="0095134F" w14:paraId="7E77F871" w14:textId="464112BF">
            <w:pPr>
              <w:spacing w:before="40" w:after="40"/>
              <w:rPr>
                <w:rFonts w:eastAsia="CG Omega" w:cs="Arial"/>
                <w:sz w:val="18"/>
                <w:szCs w:val="18"/>
              </w:rPr>
            </w:pPr>
            <w:r w:rsidRPr="00D477AD">
              <w:rPr>
                <w:rFonts w:eastAsia="CG Omega" w:cs="Arial"/>
                <w:b/>
                <w:bCs/>
                <w:sz w:val="18"/>
                <w:szCs w:val="18"/>
              </w:rPr>
              <w:t>Objective:</w:t>
            </w:r>
            <w:r w:rsidRPr="00D477AD">
              <w:rPr>
                <w:rFonts w:eastAsia="CG Omega" w:cs="Arial"/>
                <w:sz w:val="18"/>
                <w:szCs w:val="18"/>
              </w:rPr>
              <w:t xml:space="preserve"> </w:t>
            </w:r>
            <w:r w:rsidR="00105F6D">
              <w:rPr>
                <w:rFonts w:eastAsia="CG Omega" w:cs="Arial"/>
                <w:sz w:val="18"/>
                <w:szCs w:val="18"/>
              </w:rPr>
              <w:t>Did</w:t>
            </w:r>
            <w:r w:rsidRPr="00D477AD">
              <w:rPr>
                <w:rFonts w:eastAsia="CG Omega" w:cs="Arial"/>
                <w:sz w:val="18"/>
                <w:szCs w:val="18"/>
              </w:rPr>
              <w:t xml:space="preserve"> management plan for and </w:t>
            </w:r>
            <w:r w:rsidRPr="00D477AD" w:rsidR="00105F6D">
              <w:rPr>
                <w:rFonts w:eastAsia="CG Omega" w:cs="Arial"/>
                <w:sz w:val="18"/>
                <w:szCs w:val="18"/>
              </w:rPr>
              <w:t>identif</w:t>
            </w:r>
            <w:r w:rsidR="00105F6D">
              <w:rPr>
                <w:rFonts w:eastAsia="CG Omega" w:cs="Arial"/>
                <w:sz w:val="18"/>
                <w:szCs w:val="18"/>
              </w:rPr>
              <w:t>y</w:t>
            </w:r>
            <w:r w:rsidRPr="00D477AD" w:rsidR="00105F6D">
              <w:rPr>
                <w:rFonts w:eastAsia="CG Omega" w:cs="Arial"/>
                <w:sz w:val="18"/>
                <w:szCs w:val="18"/>
              </w:rPr>
              <w:t xml:space="preserve"> </w:t>
            </w:r>
            <w:r w:rsidRPr="00D477AD">
              <w:rPr>
                <w:rFonts w:eastAsia="CG Omega" w:cs="Arial"/>
                <w:sz w:val="18"/>
                <w:szCs w:val="18"/>
              </w:rPr>
              <w:t xml:space="preserve">appropriate replacement rates and spread adjustment methodologies? </w:t>
            </w:r>
            <w:r>
              <w:rPr>
                <w:rFonts w:eastAsia="CG Omega" w:cs="Arial"/>
                <w:sz w:val="18"/>
                <w:szCs w:val="18"/>
              </w:rPr>
              <w:t>Keep in mind that the OCC does not endorse a specific Libor replacement rate. C</w:t>
            </w:r>
            <w:r w:rsidRPr="00D477AD">
              <w:rPr>
                <w:rFonts w:eastAsia="CG Omega" w:cs="Arial"/>
                <w:sz w:val="18"/>
                <w:szCs w:val="18"/>
              </w:rPr>
              <w:t>onsider in your assessment</w:t>
            </w:r>
            <w:r>
              <w:rPr>
                <w:rFonts w:eastAsia="CG Omega" w:cs="Arial"/>
                <w:sz w:val="18"/>
                <w:szCs w:val="18"/>
              </w:rPr>
              <w:t>:</w:t>
            </w:r>
          </w:p>
        </w:tc>
        <w:tc>
          <w:tcPr>
            <w:tcW w:w="1554" w:type="dxa"/>
            <w:gridSpan w:val="2"/>
          </w:tcPr>
          <w:p w:rsidR="0095134F" w:rsidP="00664AA7" w:rsidRDefault="004E30E5" w14:paraId="5B82F75E" w14:textId="77777777">
            <w:pPr>
              <w:spacing w:before="40" w:after="40"/>
              <w:rPr>
                <w:rFonts w:eastAsia="CG Omega" w:cs="Arial"/>
                <w:sz w:val="18"/>
                <w:szCs w:val="18"/>
              </w:rPr>
            </w:pPr>
            <w:sdt>
              <w:sdtPr>
                <w:rPr>
                  <w:rFonts w:eastAsia="CG Omega" w:cs="Arial"/>
                  <w:sz w:val="18"/>
                  <w:szCs w:val="18"/>
                </w:rPr>
                <w:id w:val="204346965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A58B5C7" w14:textId="77777777">
            <w:pPr>
              <w:spacing w:before="40" w:after="40"/>
              <w:rPr>
                <w:rFonts w:eastAsia="CG Omega" w:cs="Arial"/>
                <w:sz w:val="18"/>
                <w:szCs w:val="18"/>
              </w:rPr>
            </w:pPr>
            <w:sdt>
              <w:sdtPr>
                <w:rPr>
                  <w:rFonts w:eastAsia="CG Omega" w:cs="Arial"/>
                  <w:sz w:val="18"/>
                  <w:szCs w:val="18"/>
                </w:rPr>
                <w:id w:val="-842702003"/>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8426AF5" w14:textId="77777777">
            <w:pPr>
              <w:spacing w:before="40" w:after="40"/>
              <w:rPr>
                <w:rFonts w:eastAsia="CG Omega" w:cs="Arial"/>
                <w:sz w:val="18"/>
                <w:szCs w:val="18"/>
              </w:rPr>
            </w:pPr>
            <w:r>
              <w:rPr>
                <w:rFonts w:eastAsia="CG Omega" w:cs="Arial"/>
                <w:sz w:val="18"/>
                <w:szCs w:val="18"/>
              </w:rPr>
              <w:t xml:space="preserve">Comments: </w:t>
            </w:r>
          </w:p>
        </w:tc>
      </w:tr>
      <w:tr w:rsidRPr="00701682" w:rsidR="0095134F" w:rsidTr="00664AA7" w14:paraId="0C4B8C2A" w14:textId="77777777">
        <w:tc>
          <w:tcPr>
            <w:tcW w:w="4926" w:type="dxa"/>
            <w:gridSpan w:val="2"/>
          </w:tcPr>
          <w:p w:rsidRPr="00946DED" w:rsidR="0095134F" w:rsidP="0095134F" w:rsidRDefault="0095134F" w14:paraId="34F257BE" w14:textId="77777777">
            <w:pPr>
              <w:pStyle w:val="ListParagraph"/>
              <w:widowControl w:val="0"/>
              <w:numPr>
                <w:ilvl w:val="0"/>
                <w:numId w:val="6"/>
              </w:numPr>
              <w:spacing w:before="40" w:after="40"/>
              <w:rPr>
                <w:rFonts w:cs="Arial"/>
                <w:color w:val="000000"/>
                <w:sz w:val="18"/>
                <w:szCs w:val="18"/>
              </w:rPr>
            </w:pPr>
            <w:bookmarkStart w:name="_Hlk51768670" w:id="4"/>
            <w:r w:rsidRPr="00D477AD">
              <w:rPr>
                <w:rFonts w:cs="Arial"/>
                <w:color w:val="000000"/>
                <w:sz w:val="18"/>
                <w:szCs w:val="18"/>
              </w:rPr>
              <w:t>Has management developed appropriate strategies to identify replacement rates</w:t>
            </w:r>
            <w:r>
              <w:rPr>
                <w:rFonts w:cs="Arial"/>
                <w:color w:val="000000"/>
                <w:sz w:val="18"/>
                <w:szCs w:val="18"/>
              </w:rPr>
              <w:t xml:space="preserve"> and</w:t>
            </w:r>
            <w:r w:rsidRPr="00D477AD">
              <w:rPr>
                <w:rFonts w:cs="Arial"/>
                <w:color w:val="000000"/>
                <w:sz w:val="18"/>
                <w:szCs w:val="18"/>
              </w:rPr>
              <w:t xml:space="preserve"> spread adjustment</w:t>
            </w:r>
            <w:r>
              <w:rPr>
                <w:rFonts w:cs="Arial"/>
                <w:color w:val="000000"/>
                <w:sz w:val="18"/>
                <w:szCs w:val="18"/>
              </w:rPr>
              <w:t>s</w:t>
            </w:r>
            <w:r w:rsidRPr="00D477AD">
              <w:rPr>
                <w:rFonts w:cs="Arial"/>
                <w:color w:val="000000"/>
                <w:sz w:val="18"/>
                <w:szCs w:val="18"/>
              </w:rPr>
              <w:t xml:space="preserve"> and modify new and existing contracts, as necessary? Consider </w:t>
            </w:r>
            <w:r>
              <w:rPr>
                <w:rFonts w:cs="Arial"/>
                <w:color w:val="000000"/>
                <w:sz w:val="18"/>
                <w:szCs w:val="18"/>
              </w:rPr>
              <w:t>in your assessment:</w:t>
            </w:r>
          </w:p>
        </w:tc>
        <w:tc>
          <w:tcPr>
            <w:tcW w:w="1554" w:type="dxa"/>
            <w:gridSpan w:val="2"/>
          </w:tcPr>
          <w:p w:rsidR="0095134F" w:rsidP="00664AA7" w:rsidRDefault="004E30E5" w14:paraId="501CD762" w14:textId="77777777">
            <w:pPr>
              <w:spacing w:before="40" w:after="40"/>
              <w:rPr>
                <w:rFonts w:eastAsia="CG Omega" w:cs="Arial"/>
                <w:sz w:val="18"/>
                <w:szCs w:val="18"/>
              </w:rPr>
            </w:pPr>
            <w:sdt>
              <w:sdtPr>
                <w:rPr>
                  <w:rFonts w:eastAsia="CG Omega" w:cs="Arial"/>
                  <w:sz w:val="18"/>
                  <w:szCs w:val="18"/>
                </w:rPr>
                <w:id w:val="-165922143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D7FAFC0" w14:textId="77777777">
            <w:pPr>
              <w:spacing w:before="40" w:after="40"/>
              <w:rPr>
                <w:rFonts w:eastAsia="CG Omega" w:cs="Arial"/>
                <w:sz w:val="18"/>
                <w:szCs w:val="18"/>
              </w:rPr>
            </w:pPr>
            <w:sdt>
              <w:sdtPr>
                <w:rPr>
                  <w:rFonts w:eastAsia="CG Omega" w:cs="Arial"/>
                  <w:sz w:val="18"/>
                  <w:szCs w:val="18"/>
                </w:rPr>
                <w:id w:val="1154868863"/>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6866132" w14:textId="77777777">
            <w:pPr>
              <w:spacing w:before="40" w:after="40"/>
              <w:rPr>
                <w:rFonts w:cs="Arial"/>
                <w:sz w:val="18"/>
                <w:szCs w:val="18"/>
              </w:rPr>
            </w:pPr>
          </w:p>
        </w:tc>
      </w:tr>
      <w:tr w:rsidRPr="00701682" w:rsidR="0095134F" w:rsidTr="00664AA7" w14:paraId="694CCC0B" w14:textId="77777777">
        <w:tc>
          <w:tcPr>
            <w:tcW w:w="4926" w:type="dxa"/>
            <w:gridSpan w:val="2"/>
          </w:tcPr>
          <w:p w:rsidRPr="00D477AD" w:rsidR="0095134F" w:rsidDel="009B046F" w:rsidP="0095134F" w:rsidRDefault="0095134F" w14:paraId="494CE84C" w14:textId="77777777">
            <w:pPr>
              <w:pStyle w:val="ListParagraph"/>
              <w:numPr>
                <w:ilvl w:val="1"/>
                <w:numId w:val="6"/>
              </w:numPr>
              <w:spacing w:before="40" w:after="40"/>
              <w:ind w:left="720"/>
              <w:contextualSpacing w:val="0"/>
              <w:rPr>
                <w:rFonts w:cs="Arial"/>
                <w:color w:val="000000"/>
                <w:sz w:val="18"/>
                <w:szCs w:val="18"/>
              </w:rPr>
            </w:pPr>
            <w:r>
              <w:rPr>
                <w:rFonts w:cs="Arial"/>
                <w:color w:val="000000"/>
                <w:sz w:val="18"/>
                <w:szCs w:val="18"/>
              </w:rPr>
              <w:t>Have strategies addressed r</w:t>
            </w:r>
            <w:r w:rsidRPr="00D477AD">
              <w:rPr>
                <w:rFonts w:cs="Arial"/>
                <w:color w:val="000000"/>
                <w:sz w:val="18"/>
                <w:szCs w:val="18"/>
              </w:rPr>
              <w:t>eplacement rate availability, suitability, and appropriateness</w:t>
            </w:r>
            <w:r>
              <w:rPr>
                <w:rFonts w:cs="Arial"/>
                <w:color w:val="000000"/>
                <w:sz w:val="18"/>
                <w:szCs w:val="18"/>
              </w:rPr>
              <w:t>?</w:t>
            </w:r>
          </w:p>
        </w:tc>
        <w:tc>
          <w:tcPr>
            <w:tcW w:w="1554" w:type="dxa"/>
            <w:gridSpan w:val="2"/>
          </w:tcPr>
          <w:p w:rsidR="0095134F" w:rsidP="00664AA7" w:rsidRDefault="004E30E5" w14:paraId="26787890" w14:textId="77777777">
            <w:pPr>
              <w:spacing w:before="40" w:after="40"/>
              <w:rPr>
                <w:rFonts w:eastAsia="CG Omega" w:cs="Arial"/>
                <w:sz w:val="18"/>
                <w:szCs w:val="18"/>
              </w:rPr>
            </w:pPr>
            <w:sdt>
              <w:sdtPr>
                <w:rPr>
                  <w:rFonts w:eastAsia="CG Omega" w:cs="Arial"/>
                  <w:sz w:val="18"/>
                  <w:szCs w:val="18"/>
                </w:rPr>
                <w:id w:val="-1807306095"/>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6B5F4B1" w14:textId="77777777">
            <w:pPr>
              <w:spacing w:before="40" w:after="40"/>
              <w:rPr>
                <w:rFonts w:eastAsia="CG Omega" w:cs="Arial"/>
                <w:sz w:val="18"/>
                <w:szCs w:val="18"/>
              </w:rPr>
            </w:pPr>
            <w:sdt>
              <w:sdtPr>
                <w:rPr>
                  <w:rFonts w:eastAsia="CG Omega" w:cs="Arial"/>
                  <w:sz w:val="18"/>
                  <w:szCs w:val="18"/>
                </w:rPr>
                <w:id w:val="-79737682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3D7915F9" w14:textId="77777777">
            <w:pPr>
              <w:spacing w:before="40" w:after="40"/>
              <w:rPr>
                <w:rFonts w:cs="Arial"/>
                <w:sz w:val="18"/>
                <w:szCs w:val="18"/>
              </w:rPr>
            </w:pPr>
          </w:p>
        </w:tc>
      </w:tr>
      <w:tr w:rsidRPr="00701682" w:rsidR="0095134F" w:rsidTr="00664AA7" w14:paraId="0C66976F" w14:textId="77777777">
        <w:tc>
          <w:tcPr>
            <w:tcW w:w="4926" w:type="dxa"/>
            <w:gridSpan w:val="2"/>
          </w:tcPr>
          <w:p w:rsidRPr="00D477AD" w:rsidR="0095134F" w:rsidP="0095134F" w:rsidRDefault="0095134F" w14:paraId="423CB2FD" w14:textId="77777777">
            <w:pPr>
              <w:pStyle w:val="ListParagraph"/>
              <w:numPr>
                <w:ilvl w:val="1"/>
                <w:numId w:val="6"/>
              </w:numPr>
              <w:spacing w:before="40" w:after="40"/>
              <w:ind w:left="720"/>
              <w:contextualSpacing w:val="0"/>
              <w:rPr>
                <w:rFonts w:cs="Arial"/>
                <w:color w:val="000000"/>
                <w:sz w:val="18"/>
                <w:szCs w:val="18"/>
              </w:rPr>
            </w:pPr>
            <w:r>
              <w:rPr>
                <w:rFonts w:cs="Arial"/>
                <w:color w:val="000000"/>
                <w:sz w:val="18"/>
                <w:szCs w:val="18"/>
              </w:rPr>
              <w:t>Have strategies addressed u</w:t>
            </w:r>
            <w:r w:rsidRPr="00D477AD">
              <w:rPr>
                <w:rFonts w:cs="Arial"/>
                <w:color w:val="000000"/>
                <w:sz w:val="18"/>
                <w:szCs w:val="18"/>
              </w:rPr>
              <w:t>ncertainty of alternative rates market liquid</w:t>
            </w:r>
            <w:r>
              <w:rPr>
                <w:rFonts w:cs="Arial"/>
                <w:color w:val="000000"/>
                <w:sz w:val="18"/>
                <w:szCs w:val="18"/>
              </w:rPr>
              <w:t>ity</w:t>
            </w:r>
            <w:r w:rsidRPr="00D477AD">
              <w:rPr>
                <w:rFonts w:cs="Arial"/>
                <w:color w:val="000000"/>
                <w:sz w:val="18"/>
                <w:szCs w:val="18"/>
              </w:rPr>
              <w:t xml:space="preserve"> and availab</w:t>
            </w:r>
            <w:r>
              <w:rPr>
                <w:rFonts w:cs="Arial"/>
                <w:color w:val="000000"/>
                <w:sz w:val="18"/>
                <w:szCs w:val="18"/>
              </w:rPr>
              <w:t>ility</w:t>
            </w:r>
            <w:r w:rsidRPr="00D477AD">
              <w:rPr>
                <w:rFonts w:cs="Arial"/>
                <w:color w:val="000000"/>
                <w:sz w:val="18"/>
                <w:szCs w:val="18"/>
              </w:rPr>
              <w:t xml:space="preserve"> and management’s strategies to mitigate the risks associated with illiquid or unavailable alternative rates markets</w:t>
            </w:r>
            <w:r>
              <w:rPr>
                <w:rFonts w:cs="Arial"/>
                <w:color w:val="000000"/>
                <w:sz w:val="18"/>
                <w:szCs w:val="18"/>
              </w:rPr>
              <w:t>?</w:t>
            </w:r>
          </w:p>
        </w:tc>
        <w:tc>
          <w:tcPr>
            <w:tcW w:w="1554" w:type="dxa"/>
            <w:gridSpan w:val="2"/>
          </w:tcPr>
          <w:p w:rsidR="0095134F" w:rsidP="00664AA7" w:rsidRDefault="004E30E5" w14:paraId="2DAB6A74" w14:textId="77777777">
            <w:pPr>
              <w:spacing w:before="40" w:after="40"/>
              <w:rPr>
                <w:rFonts w:eastAsia="CG Omega" w:cs="Arial"/>
                <w:sz w:val="18"/>
                <w:szCs w:val="18"/>
              </w:rPr>
            </w:pPr>
            <w:sdt>
              <w:sdtPr>
                <w:rPr>
                  <w:rFonts w:eastAsia="CG Omega" w:cs="Arial"/>
                  <w:sz w:val="18"/>
                  <w:szCs w:val="18"/>
                </w:rPr>
                <w:id w:val="-568270235"/>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241FB61D" w14:textId="77777777">
            <w:pPr>
              <w:spacing w:before="40" w:after="40"/>
              <w:rPr>
                <w:rFonts w:eastAsia="CG Omega" w:cs="Arial"/>
                <w:sz w:val="18"/>
                <w:szCs w:val="18"/>
              </w:rPr>
            </w:pPr>
            <w:sdt>
              <w:sdtPr>
                <w:rPr>
                  <w:rFonts w:eastAsia="CG Omega" w:cs="Arial"/>
                  <w:sz w:val="18"/>
                  <w:szCs w:val="18"/>
                </w:rPr>
                <w:id w:val="-147042593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6F9A456F" w14:textId="77777777">
            <w:pPr>
              <w:spacing w:before="40" w:after="40"/>
              <w:rPr>
                <w:rFonts w:cs="Arial"/>
                <w:sz w:val="18"/>
                <w:szCs w:val="18"/>
              </w:rPr>
            </w:pPr>
          </w:p>
        </w:tc>
      </w:tr>
      <w:tr w:rsidRPr="00701682" w:rsidR="0095134F" w:rsidTr="00664AA7" w14:paraId="03402AF2" w14:textId="77777777">
        <w:tc>
          <w:tcPr>
            <w:tcW w:w="4926" w:type="dxa"/>
            <w:gridSpan w:val="2"/>
          </w:tcPr>
          <w:p w:rsidRPr="001834AD" w:rsidR="0095134F" w:rsidP="0095134F" w:rsidRDefault="0095134F" w14:paraId="56CC2436" w14:textId="77777777">
            <w:pPr>
              <w:pStyle w:val="Default"/>
              <w:numPr>
                <w:ilvl w:val="0"/>
                <w:numId w:val="6"/>
              </w:numPr>
              <w:spacing w:before="40" w:after="40"/>
              <w:rPr>
                <w:rFonts w:ascii="Arial" w:hAnsi="Arial" w:cs="Arial"/>
                <w:sz w:val="18"/>
                <w:szCs w:val="18"/>
              </w:rPr>
            </w:pPr>
            <w:r w:rsidRPr="00D477AD">
              <w:rPr>
                <w:rFonts w:ascii="Arial" w:hAnsi="Arial" w:cs="Arial"/>
                <w:sz w:val="18"/>
                <w:szCs w:val="18"/>
              </w:rPr>
              <w:t>Has management identified appropriate replacement rates and adjustment methodologies</w:t>
            </w:r>
            <w:r>
              <w:rPr>
                <w:rFonts w:ascii="Arial" w:hAnsi="Arial" w:cs="Arial"/>
                <w:sz w:val="18"/>
                <w:szCs w:val="18"/>
              </w:rPr>
              <w:t xml:space="preserve"> that do not result </w:t>
            </w:r>
            <w:r>
              <w:rPr>
                <w:rFonts w:ascii="Arial" w:hAnsi="Arial" w:cs="Arial"/>
                <w:sz w:val="18"/>
                <w:szCs w:val="18"/>
              </w:rPr>
              <w:lastRenderedPageBreak/>
              <w:t xml:space="preserve">in customer harm or expose the bank to unwarranted compliance and reputation risks? </w:t>
            </w:r>
          </w:p>
        </w:tc>
        <w:tc>
          <w:tcPr>
            <w:tcW w:w="1554" w:type="dxa"/>
            <w:gridSpan w:val="2"/>
          </w:tcPr>
          <w:p w:rsidR="0095134F" w:rsidP="00664AA7" w:rsidRDefault="004E30E5" w14:paraId="70960FDE" w14:textId="77777777">
            <w:pPr>
              <w:spacing w:before="40" w:after="40"/>
              <w:rPr>
                <w:rFonts w:eastAsia="CG Omega" w:cs="Arial"/>
                <w:sz w:val="18"/>
                <w:szCs w:val="18"/>
              </w:rPr>
            </w:pPr>
            <w:sdt>
              <w:sdtPr>
                <w:rPr>
                  <w:rFonts w:eastAsia="CG Omega" w:cs="Arial"/>
                  <w:sz w:val="18"/>
                  <w:szCs w:val="18"/>
                </w:rPr>
                <w:id w:val="-59740776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7EBB933" w14:textId="77777777">
            <w:pPr>
              <w:spacing w:before="40" w:after="40"/>
              <w:rPr>
                <w:rFonts w:eastAsia="CG Omega" w:cs="Arial"/>
                <w:sz w:val="18"/>
                <w:szCs w:val="18"/>
              </w:rPr>
            </w:pPr>
            <w:sdt>
              <w:sdtPr>
                <w:rPr>
                  <w:rFonts w:eastAsia="CG Omega" w:cs="Arial"/>
                  <w:sz w:val="18"/>
                  <w:szCs w:val="18"/>
                </w:rPr>
                <w:id w:val="-26846824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392CB59D" w14:textId="77777777">
            <w:pPr>
              <w:spacing w:before="40" w:after="40"/>
              <w:rPr>
                <w:rFonts w:cs="Arial"/>
                <w:sz w:val="18"/>
                <w:szCs w:val="18"/>
              </w:rPr>
            </w:pPr>
          </w:p>
        </w:tc>
      </w:tr>
      <w:tr w:rsidRPr="00701682" w:rsidR="0095134F" w:rsidTr="00664AA7" w14:paraId="55A2791B" w14:textId="77777777">
        <w:tc>
          <w:tcPr>
            <w:tcW w:w="4926" w:type="dxa"/>
            <w:gridSpan w:val="2"/>
          </w:tcPr>
          <w:p w:rsidRPr="00D477AD" w:rsidR="0095134F" w:rsidP="0095134F" w:rsidRDefault="0095134F" w14:paraId="4FBC3066" w14:textId="77777777">
            <w:pPr>
              <w:pStyle w:val="Default"/>
              <w:numPr>
                <w:ilvl w:val="0"/>
                <w:numId w:val="6"/>
              </w:numPr>
              <w:spacing w:before="40" w:after="40"/>
              <w:rPr>
                <w:rFonts w:ascii="Arial" w:hAnsi="Arial" w:cs="Arial"/>
                <w:sz w:val="18"/>
                <w:szCs w:val="18"/>
              </w:rPr>
            </w:pPr>
            <w:r>
              <w:rPr>
                <w:rFonts w:ascii="Arial" w:hAnsi="Arial" w:cs="Arial"/>
                <w:sz w:val="18"/>
                <w:szCs w:val="18"/>
              </w:rPr>
              <w:t>If management has identified replacement rates, can the bank’s systems accommodate the rates?</w:t>
            </w:r>
          </w:p>
        </w:tc>
        <w:tc>
          <w:tcPr>
            <w:tcW w:w="1554" w:type="dxa"/>
            <w:gridSpan w:val="2"/>
          </w:tcPr>
          <w:p w:rsidR="0095134F" w:rsidP="00664AA7" w:rsidRDefault="004E30E5" w14:paraId="01999287" w14:textId="77777777">
            <w:pPr>
              <w:spacing w:before="40" w:after="40"/>
              <w:rPr>
                <w:rFonts w:eastAsia="CG Omega" w:cs="Arial"/>
                <w:sz w:val="18"/>
                <w:szCs w:val="18"/>
              </w:rPr>
            </w:pPr>
            <w:sdt>
              <w:sdtPr>
                <w:rPr>
                  <w:rFonts w:eastAsia="CG Omega" w:cs="Arial"/>
                  <w:sz w:val="18"/>
                  <w:szCs w:val="18"/>
                </w:rPr>
                <w:id w:val="-67164190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7B96E482" w14:textId="77777777">
            <w:pPr>
              <w:spacing w:before="40" w:after="40"/>
              <w:rPr>
                <w:rFonts w:eastAsia="CG Omega" w:cs="Arial"/>
                <w:sz w:val="18"/>
                <w:szCs w:val="18"/>
              </w:rPr>
            </w:pPr>
            <w:sdt>
              <w:sdtPr>
                <w:rPr>
                  <w:rFonts w:eastAsia="CG Omega" w:cs="Arial"/>
                  <w:sz w:val="18"/>
                  <w:szCs w:val="18"/>
                </w:rPr>
                <w:id w:val="58434652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66C95A84" w14:textId="77777777">
            <w:pPr>
              <w:spacing w:before="40" w:after="40"/>
              <w:rPr>
                <w:rFonts w:cs="Arial"/>
                <w:sz w:val="18"/>
                <w:szCs w:val="18"/>
              </w:rPr>
            </w:pPr>
          </w:p>
        </w:tc>
      </w:tr>
      <w:bookmarkEnd w:id="4"/>
      <w:tr w:rsidRPr="00701682" w:rsidR="0095134F" w:rsidTr="00664AA7" w14:paraId="6A9433CF" w14:textId="77777777">
        <w:tc>
          <w:tcPr>
            <w:tcW w:w="9360" w:type="dxa"/>
            <w:gridSpan w:val="6"/>
            <w:vAlign w:val="center"/>
          </w:tcPr>
          <w:p w:rsidRPr="00AD613A" w:rsidR="0095134F" w:rsidP="00664AA7" w:rsidRDefault="0095134F" w14:paraId="550CE403" w14:textId="77777777">
            <w:pPr>
              <w:keepNext/>
              <w:spacing w:before="40" w:after="40"/>
              <w:jc w:val="center"/>
              <w:rPr>
                <w:rFonts w:cs="Arial"/>
                <w:b/>
                <w:bCs/>
                <w:sz w:val="18"/>
                <w:szCs w:val="18"/>
              </w:rPr>
            </w:pPr>
            <w:r>
              <w:rPr>
                <w:rFonts w:cs="Arial"/>
                <w:b/>
                <w:bCs/>
                <w:sz w:val="18"/>
                <w:szCs w:val="18"/>
              </w:rPr>
              <w:t>Fallback Language</w:t>
            </w:r>
          </w:p>
        </w:tc>
      </w:tr>
      <w:tr w:rsidRPr="00701682" w:rsidR="0095134F" w:rsidTr="00664AA7" w14:paraId="651B15C3" w14:textId="77777777">
        <w:trPr>
          <w:cantSplit/>
          <w:trHeight w:val="710"/>
        </w:trPr>
        <w:tc>
          <w:tcPr>
            <w:tcW w:w="4926" w:type="dxa"/>
            <w:gridSpan w:val="2"/>
          </w:tcPr>
          <w:p w:rsidRPr="00AD613A" w:rsidR="0095134F" w:rsidP="00664AA7" w:rsidRDefault="0095134F" w14:paraId="52947B8B" w14:textId="689C6B99">
            <w:pPr>
              <w:keepNext/>
              <w:spacing w:before="40" w:after="40"/>
              <w:rPr>
                <w:rFonts w:eastAsia="CG Omega" w:cs="Arial"/>
                <w:sz w:val="18"/>
                <w:szCs w:val="18"/>
              </w:rPr>
            </w:pPr>
            <w:r w:rsidRPr="00D477AD">
              <w:rPr>
                <w:rFonts w:eastAsia="CG Omega" w:cs="Arial"/>
                <w:b/>
                <w:bCs/>
                <w:sz w:val="18"/>
                <w:szCs w:val="18"/>
              </w:rPr>
              <w:t>Objective:</w:t>
            </w:r>
            <w:r w:rsidRPr="00D477AD">
              <w:rPr>
                <w:rFonts w:eastAsia="CG Omega" w:cs="Arial"/>
                <w:sz w:val="18"/>
                <w:szCs w:val="18"/>
              </w:rPr>
              <w:t xml:space="preserve"> </w:t>
            </w:r>
            <w:r w:rsidR="00105F6D">
              <w:rPr>
                <w:rFonts w:eastAsia="CG Omega" w:cs="Arial"/>
                <w:sz w:val="18"/>
                <w:szCs w:val="18"/>
              </w:rPr>
              <w:t>Did</w:t>
            </w:r>
            <w:r w:rsidRPr="00D477AD">
              <w:rPr>
                <w:rFonts w:eastAsia="CG Omega" w:cs="Arial"/>
                <w:sz w:val="18"/>
                <w:szCs w:val="18"/>
              </w:rPr>
              <w:t xml:space="preserve"> management plan for and take </w:t>
            </w:r>
            <w:proofErr w:type="gramStart"/>
            <w:r w:rsidRPr="00D477AD">
              <w:rPr>
                <w:rFonts w:eastAsia="CG Omega" w:cs="Arial"/>
                <w:sz w:val="18"/>
                <w:szCs w:val="18"/>
              </w:rPr>
              <w:t>sufficient</w:t>
            </w:r>
            <w:proofErr w:type="gramEnd"/>
            <w:r w:rsidRPr="00D477AD">
              <w:rPr>
                <w:rFonts w:eastAsia="CG Omega" w:cs="Arial"/>
                <w:sz w:val="18"/>
                <w:szCs w:val="18"/>
              </w:rPr>
              <w:t xml:space="preserve"> actions to ensure the appropriateness of fallback language in both existing contracts and new contracts?</w:t>
            </w:r>
          </w:p>
        </w:tc>
        <w:tc>
          <w:tcPr>
            <w:tcW w:w="1554" w:type="dxa"/>
            <w:gridSpan w:val="2"/>
          </w:tcPr>
          <w:p w:rsidR="0095134F" w:rsidP="00664AA7" w:rsidRDefault="004E30E5" w14:paraId="25545A31" w14:textId="77777777">
            <w:pPr>
              <w:keepNext/>
              <w:spacing w:before="40" w:after="40"/>
              <w:rPr>
                <w:rFonts w:eastAsia="CG Omega" w:cs="Arial"/>
                <w:sz w:val="18"/>
                <w:szCs w:val="18"/>
              </w:rPr>
            </w:pPr>
            <w:sdt>
              <w:sdtPr>
                <w:rPr>
                  <w:rFonts w:eastAsia="CG Omega" w:cs="Arial"/>
                  <w:sz w:val="18"/>
                  <w:szCs w:val="18"/>
                </w:rPr>
                <w:id w:val="-116947264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3014C359" w14:textId="77777777">
            <w:pPr>
              <w:keepNext/>
              <w:spacing w:before="40" w:after="40"/>
              <w:rPr>
                <w:rFonts w:eastAsia="CG Omega" w:cs="Arial"/>
                <w:sz w:val="18"/>
                <w:szCs w:val="18"/>
              </w:rPr>
            </w:pPr>
            <w:sdt>
              <w:sdtPr>
                <w:rPr>
                  <w:rFonts w:eastAsia="CG Omega" w:cs="Arial"/>
                  <w:sz w:val="18"/>
                  <w:szCs w:val="18"/>
                </w:rPr>
                <w:id w:val="-593932259"/>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796F3FE" w14:textId="77777777">
            <w:pPr>
              <w:spacing w:before="40" w:after="40"/>
              <w:rPr>
                <w:rFonts w:cs="Arial"/>
                <w:sz w:val="18"/>
                <w:szCs w:val="18"/>
              </w:rPr>
            </w:pPr>
            <w:r>
              <w:rPr>
                <w:rFonts w:cs="Arial"/>
                <w:sz w:val="18"/>
                <w:szCs w:val="18"/>
              </w:rPr>
              <w:t xml:space="preserve">Comments: </w:t>
            </w:r>
          </w:p>
        </w:tc>
      </w:tr>
      <w:tr w:rsidRPr="00701682" w:rsidR="0095134F" w:rsidTr="00664AA7" w14:paraId="74825400" w14:textId="77777777">
        <w:trPr>
          <w:cantSplit/>
          <w:trHeight w:val="350"/>
        </w:trPr>
        <w:tc>
          <w:tcPr>
            <w:tcW w:w="4926" w:type="dxa"/>
            <w:gridSpan w:val="2"/>
          </w:tcPr>
          <w:p w:rsidRPr="00514702" w:rsidR="0095134F" w:rsidP="0095134F" w:rsidRDefault="0095134F" w14:paraId="5B1EC669" w14:textId="77777777">
            <w:pPr>
              <w:pStyle w:val="ListParagraph"/>
              <w:numPr>
                <w:ilvl w:val="0"/>
                <w:numId w:val="7"/>
              </w:numPr>
              <w:spacing w:before="40" w:after="40"/>
              <w:rPr>
                <w:rFonts w:eastAsia="CG Omega" w:cs="Arial"/>
                <w:sz w:val="18"/>
                <w:szCs w:val="18"/>
              </w:rPr>
            </w:pPr>
            <w:bookmarkStart w:name="_Hlk51770172" w:id="5"/>
            <w:r w:rsidRPr="00221EE9">
              <w:rPr>
                <w:rFonts w:eastAsia="CG Omega" w:cs="Arial"/>
                <w:sz w:val="18"/>
                <w:szCs w:val="18"/>
              </w:rPr>
              <w:t>Did the bank’s analysis of fallback language include an assessment of whether the fallback language has clear and executable terms?</w:t>
            </w:r>
          </w:p>
        </w:tc>
        <w:tc>
          <w:tcPr>
            <w:tcW w:w="1554" w:type="dxa"/>
            <w:gridSpan w:val="2"/>
          </w:tcPr>
          <w:p w:rsidR="0095134F" w:rsidP="00664AA7" w:rsidRDefault="004E30E5" w14:paraId="46AE8B8D" w14:textId="77777777">
            <w:pPr>
              <w:spacing w:before="40" w:after="40"/>
              <w:rPr>
                <w:rFonts w:eastAsia="CG Omega" w:cs="Arial"/>
                <w:sz w:val="18"/>
                <w:szCs w:val="18"/>
              </w:rPr>
            </w:pPr>
            <w:sdt>
              <w:sdtPr>
                <w:rPr>
                  <w:rFonts w:eastAsia="CG Omega" w:cs="Arial"/>
                  <w:sz w:val="18"/>
                  <w:szCs w:val="18"/>
                </w:rPr>
                <w:id w:val="266588209"/>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312C7F28" w14:textId="77777777">
            <w:pPr>
              <w:spacing w:before="40" w:after="40"/>
              <w:rPr>
                <w:rFonts w:eastAsia="CG Omega" w:cs="Arial"/>
                <w:sz w:val="18"/>
                <w:szCs w:val="18"/>
              </w:rPr>
            </w:pPr>
            <w:sdt>
              <w:sdtPr>
                <w:rPr>
                  <w:rFonts w:eastAsia="CG Omega" w:cs="Arial"/>
                  <w:sz w:val="18"/>
                  <w:szCs w:val="18"/>
                </w:rPr>
                <w:id w:val="146238175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131700B1" w14:textId="77777777">
            <w:pPr>
              <w:spacing w:before="40" w:after="40"/>
              <w:rPr>
                <w:rFonts w:cs="Arial"/>
                <w:sz w:val="18"/>
                <w:szCs w:val="18"/>
              </w:rPr>
            </w:pPr>
          </w:p>
        </w:tc>
      </w:tr>
      <w:tr w:rsidRPr="00701682" w:rsidR="0095134F" w:rsidTr="00664AA7" w14:paraId="246B0F7E" w14:textId="77777777">
        <w:trPr>
          <w:cantSplit/>
          <w:trHeight w:val="350"/>
        </w:trPr>
        <w:tc>
          <w:tcPr>
            <w:tcW w:w="4926" w:type="dxa"/>
            <w:gridSpan w:val="2"/>
          </w:tcPr>
          <w:p w:rsidRPr="00514702" w:rsidR="0095134F" w:rsidDel="00F65419" w:rsidP="0095134F" w:rsidRDefault="0095134F" w14:paraId="46DD6BB3" w14:textId="77777777">
            <w:pPr>
              <w:pStyle w:val="ListParagraph"/>
              <w:numPr>
                <w:ilvl w:val="0"/>
                <w:numId w:val="7"/>
              </w:numPr>
              <w:spacing w:before="40" w:after="40"/>
              <w:rPr>
                <w:rFonts w:cs="Arial"/>
                <w:sz w:val="18"/>
                <w:szCs w:val="18"/>
              </w:rPr>
            </w:pPr>
            <w:r w:rsidRPr="00221EE9">
              <w:rPr>
                <w:rFonts w:cs="Arial"/>
                <w:sz w:val="18"/>
                <w:szCs w:val="18"/>
              </w:rPr>
              <w:t>Did management assess the appropriateness of contract elements for existing and new contracts?</w:t>
            </w:r>
          </w:p>
        </w:tc>
        <w:tc>
          <w:tcPr>
            <w:tcW w:w="1554" w:type="dxa"/>
            <w:gridSpan w:val="2"/>
          </w:tcPr>
          <w:p w:rsidR="0095134F" w:rsidP="00664AA7" w:rsidRDefault="004E30E5" w14:paraId="37799ADA" w14:textId="77777777">
            <w:pPr>
              <w:spacing w:before="40" w:after="40"/>
              <w:rPr>
                <w:rFonts w:eastAsia="CG Omega" w:cs="Arial"/>
                <w:sz w:val="18"/>
                <w:szCs w:val="18"/>
              </w:rPr>
            </w:pPr>
            <w:sdt>
              <w:sdtPr>
                <w:rPr>
                  <w:rFonts w:eastAsia="CG Omega" w:cs="Arial"/>
                  <w:sz w:val="18"/>
                  <w:szCs w:val="18"/>
                </w:rPr>
                <w:id w:val="-165343626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F367B74" w14:textId="77777777">
            <w:pPr>
              <w:spacing w:before="40" w:after="40"/>
              <w:rPr>
                <w:rFonts w:eastAsia="CG Omega" w:cs="Arial"/>
                <w:sz w:val="18"/>
                <w:szCs w:val="18"/>
              </w:rPr>
            </w:pPr>
            <w:sdt>
              <w:sdtPr>
                <w:rPr>
                  <w:rFonts w:eastAsia="CG Omega" w:cs="Arial"/>
                  <w:sz w:val="18"/>
                  <w:szCs w:val="18"/>
                </w:rPr>
                <w:id w:val="720720915"/>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782AFE4F" w14:textId="77777777">
            <w:pPr>
              <w:spacing w:before="40" w:after="40"/>
              <w:rPr>
                <w:rFonts w:cs="Arial"/>
                <w:sz w:val="18"/>
                <w:szCs w:val="18"/>
              </w:rPr>
            </w:pPr>
          </w:p>
        </w:tc>
      </w:tr>
      <w:tr w:rsidRPr="00701682" w:rsidR="0095134F" w:rsidTr="00664AA7" w14:paraId="6A43727A" w14:textId="77777777">
        <w:trPr>
          <w:cantSplit/>
          <w:trHeight w:val="350"/>
        </w:trPr>
        <w:tc>
          <w:tcPr>
            <w:tcW w:w="4926" w:type="dxa"/>
            <w:gridSpan w:val="2"/>
          </w:tcPr>
          <w:p w:rsidRPr="00221EE9" w:rsidR="0095134F" w:rsidDel="00F65419" w:rsidP="0095134F" w:rsidRDefault="0095134F" w14:paraId="3A3E12BD" w14:textId="50AF7755">
            <w:pPr>
              <w:pStyle w:val="ListParagraph"/>
              <w:numPr>
                <w:ilvl w:val="0"/>
                <w:numId w:val="7"/>
              </w:numPr>
              <w:spacing w:before="40" w:after="40"/>
              <w:rPr>
                <w:rFonts w:cs="Arial"/>
                <w:sz w:val="18"/>
                <w:szCs w:val="18"/>
              </w:rPr>
            </w:pPr>
            <w:r w:rsidRPr="00221EE9">
              <w:rPr>
                <w:rFonts w:cs="Arial"/>
                <w:sz w:val="18"/>
                <w:szCs w:val="18"/>
              </w:rPr>
              <w:t xml:space="preserve">For derivatives exposures, </w:t>
            </w:r>
            <w:r w:rsidR="00105F6D">
              <w:rPr>
                <w:rFonts w:cs="Arial"/>
                <w:sz w:val="18"/>
                <w:szCs w:val="18"/>
              </w:rPr>
              <w:t>did</w:t>
            </w:r>
            <w:r w:rsidRPr="00221EE9">
              <w:rPr>
                <w:rFonts w:cs="Arial"/>
                <w:sz w:val="18"/>
                <w:szCs w:val="18"/>
              </w:rPr>
              <w:t xml:space="preserve"> management take appropriate steps to determine whether adherence to</w:t>
            </w:r>
            <w:r>
              <w:rPr>
                <w:rFonts w:cs="Arial"/>
                <w:sz w:val="18"/>
                <w:szCs w:val="18"/>
              </w:rPr>
              <w:t xml:space="preserve"> the</w:t>
            </w:r>
            <w:r w:rsidRPr="00221EE9">
              <w:rPr>
                <w:rFonts w:cs="Arial"/>
                <w:sz w:val="18"/>
                <w:szCs w:val="18"/>
              </w:rPr>
              <w:t xml:space="preserve"> </w:t>
            </w:r>
            <w:r w:rsidRPr="00557CC1">
              <w:rPr>
                <w:rFonts w:cs="Arial"/>
                <w:sz w:val="18"/>
                <w:szCs w:val="18"/>
              </w:rPr>
              <w:t>International Swaps and Derivatives Association</w:t>
            </w:r>
            <w:r>
              <w:rPr>
                <w:rFonts w:cs="Arial"/>
                <w:sz w:val="18"/>
                <w:szCs w:val="18"/>
              </w:rPr>
              <w:t xml:space="preserve"> (ISDA)</w:t>
            </w:r>
            <w:r w:rsidRPr="00221EE9">
              <w:rPr>
                <w:rFonts w:cs="Arial"/>
                <w:sz w:val="18"/>
                <w:szCs w:val="18"/>
              </w:rPr>
              <w:t>’s new contract provisions is feasible?</w:t>
            </w:r>
          </w:p>
        </w:tc>
        <w:tc>
          <w:tcPr>
            <w:tcW w:w="1554" w:type="dxa"/>
            <w:gridSpan w:val="2"/>
          </w:tcPr>
          <w:p w:rsidR="0095134F" w:rsidP="00664AA7" w:rsidRDefault="004E30E5" w14:paraId="7A61BED0" w14:textId="77777777">
            <w:pPr>
              <w:spacing w:before="40" w:after="40"/>
              <w:rPr>
                <w:rFonts w:eastAsia="CG Omega" w:cs="Arial"/>
                <w:sz w:val="18"/>
                <w:szCs w:val="18"/>
              </w:rPr>
            </w:pPr>
            <w:sdt>
              <w:sdtPr>
                <w:rPr>
                  <w:rFonts w:eastAsia="CG Omega" w:cs="Arial"/>
                  <w:sz w:val="18"/>
                  <w:szCs w:val="18"/>
                </w:rPr>
                <w:id w:val="63330271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12E22FD2" w14:textId="77777777">
            <w:pPr>
              <w:spacing w:before="40" w:after="40"/>
              <w:rPr>
                <w:rFonts w:eastAsia="CG Omega" w:cs="Arial"/>
                <w:sz w:val="18"/>
                <w:szCs w:val="18"/>
              </w:rPr>
            </w:pPr>
            <w:sdt>
              <w:sdtPr>
                <w:rPr>
                  <w:rFonts w:eastAsia="CG Omega" w:cs="Arial"/>
                  <w:sz w:val="18"/>
                  <w:szCs w:val="18"/>
                </w:rPr>
                <w:id w:val="-442299319"/>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0A514151" w14:textId="77777777">
            <w:pPr>
              <w:spacing w:before="40" w:after="40"/>
              <w:rPr>
                <w:rFonts w:cs="Arial"/>
                <w:sz w:val="18"/>
                <w:szCs w:val="18"/>
              </w:rPr>
            </w:pPr>
          </w:p>
        </w:tc>
      </w:tr>
      <w:tr w:rsidRPr="00701682" w:rsidR="0095134F" w:rsidTr="00664AA7" w14:paraId="5556EEA3" w14:textId="77777777">
        <w:trPr>
          <w:cantSplit/>
          <w:trHeight w:val="350"/>
        </w:trPr>
        <w:tc>
          <w:tcPr>
            <w:tcW w:w="4926" w:type="dxa"/>
            <w:gridSpan w:val="2"/>
          </w:tcPr>
          <w:p w:rsidRPr="00221EE9" w:rsidR="0095134F" w:rsidP="0095134F" w:rsidRDefault="0095134F" w14:paraId="388B990C" w14:textId="77777777">
            <w:pPr>
              <w:pStyle w:val="ListParagraph"/>
              <w:numPr>
                <w:ilvl w:val="0"/>
                <w:numId w:val="7"/>
              </w:numPr>
              <w:spacing w:before="40" w:after="40"/>
              <w:rPr>
                <w:rFonts w:cs="Arial"/>
                <w:sz w:val="18"/>
                <w:szCs w:val="18"/>
              </w:rPr>
            </w:pPr>
            <w:r w:rsidRPr="00221EE9">
              <w:rPr>
                <w:rFonts w:cs="Arial"/>
                <w:sz w:val="18"/>
                <w:szCs w:val="18"/>
              </w:rPr>
              <w:t>Has management identified fallback language for legacy contracts?</w:t>
            </w:r>
          </w:p>
        </w:tc>
        <w:tc>
          <w:tcPr>
            <w:tcW w:w="1554" w:type="dxa"/>
            <w:gridSpan w:val="2"/>
          </w:tcPr>
          <w:p w:rsidR="0095134F" w:rsidP="00664AA7" w:rsidRDefault="004E30E5" w14:paraId="5E7B3C52" w14:textId="77777777">
            <w:pPr>
              <w:spacing w:before="40" w:after="40"/>
              <w:rPr>
                <w:rFonts w:eastAsia="CG Omega" w:cs="Arial"/>
                <w:sz w:val="18"/>
                <w:szCs w:val="18"/>
              </w:rPr>
            </w:pPr>
            <w:sdt>
              <w:sdtPr>
                <w:rPr>
                  <w:rFonts w:eastAsia="CG Omega" w:cs="Arial"/>
                  <w:sz w:val="18"/>
                  <w:szCs w:val="18"/>
                </w:rPr>
                <w:id w:val="-736164376"/>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38C60343" w14:textId="77777777">
            <w:pPr>
              <w:spacing w:before="40" w:after="40"/>
              <w:rPr>
                <w:rFonts w:eastAsia="CG Omega" w:cs="Arial"/>
                <w:sz w:val="18"/>
                <w:szCs w:val="18"/>
              </w:rPr>
            </w:pPr>
            <w:sdt>
              <w:sdtPr>
                <w:rPr>
                  <w:rFonts w:eastAsia="CG Omega" w:cs="Arial"/>
                  <w:sz w:val="18"/>
                  <w:szCs w:val="18"/>
                </w:rPr>
                <w:id w:val="-46088767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1F77E347" w14:textId="77777777">
            <w:pPr>
              <w:spacing w:before="40" w:after="40"/>
              <w:rPr>
                <w:rFonts w:cs="Arial"/>
                <w:sz w:val="18"/>
                <w:szCs w:val="18"/>
              </w:rPr>
            </w:pPr>
          </w:p>
        </w:tc>
      </w:tr>
      <w:tr w:rsidRPr="00701682" w:rsidR="0095134F" w:rsidTr="00664AA7" w14:paraId="061CF6C4" w14:textId="77777777">
        <w:trPr>
          <w:cantSplit/>
          <w:trHeight w:val="350"/>
        </w:trPr>
        <w:tc>
          <w:tcPr>
            <w:tcW w:w="4926" w:type="dxa"/>
            <w:gridSpan w:val="2"/>
          </w:tcPr>
          <w:p w:rsidRPr="00221EE9" w:rsidR="0095134F" w:rsidP="0095134F" w:rsidRDefault="0095134F" w14:paraId="030DC6E0" w14:textId="77777777">
            <w:pPr>
              <w:pStyle w:val="ListParagraph"/>
              <w:numPr>
                <w:ilvl w:val="0"/>
                <w:numId w:val="7"/>
              </w:numPr>
              <w:spacing w:before="40" w:after="40"/>
              <w:rPr>
                <w:rFonts w:cs="Arial"/>
                <w:sz w:val="18"/>
                <w:szCs w:val="18"/>
              </w:rPr>
            </w:pPr>
            <w:r w:rsidRPr="00221EE9">
              <w:rPr>
                <w:rFonts w:cs="Arial"/>
                <w:sz w:val="18"/>
                <w:szCs w:val="18"/>
              </w:rPr>
              <w:t>Did bank management determine the laws and regulations applicable to contract negotiations</w:t>
            </w:r>
            <w:r>
              <w:rPr>
                <w:rFonts w:cs="Arial"/>
                <w:sz w:val="18"/>
                <w:szCs w:val="18"/>
              </w:rPr>
              <w:t xml:space="preserve"> and implement controls for compliance during negotiations</w:t>
            </w:r>
            <w:r w:rsidRPr="00221EE9">
              <w:rPr>
                <w:rFonts w:cs="Arial"/>
                <w:sz w:val="18"/>
                <w:szCs w:val="18"/>
              </w:rPr>
              <w:t>?</w:t>
            </w:r>
          </w:p>
        </w:tc>
        <w:tc>
          <w:tcPr>
            <w:tcW w:w="1554" w:type="dxa"/>
            <w:gridSpan w:val="2"/>
          </w:tcPr>
          <w:p w:rsidR="0095134F" w:rsidP="00664AA7" w:rsidRDefault="004E30E5" w14:paraId="429322D1" w14:textId="77777777">
            <w:pPr>
              <w:spacing w:before="40" w:after="40"/>
              <w:rPr>
                <w:rFonts w:eastAsia="CG Omega" w:cs="Arial"/>
                <w:sz w:val="18"/>
                <w:szCs w:val="18"/>
              </w:rPr>
            </w:pPr>
            <w:sdt>
              <w:sdtPr>
                <w:rPr>
                  <w:rFonts w:eastAsia="CG Omega" w:cs="Arial"/>
                  <w:sz w:val="18"/>
                  <w:szCs w:val="18"/>
                </w:rPr>
                <w:id w:val="288638765"/>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21AB828C" w14:textId="77777777">
            <w:pPr>
              <w:spacing w:before="40" w:after="40"/>
              <w:rPr>
                <w:rFonts w:eastAsia="CG Omega" w:cs="Arial"/>
                <w:sz w:val="18"/>
                <w:szCs w:val="18"/>
              </w:rPr>
            </w:pPr>
            <w:sdt>
              <w:sdtPr>
                <w:rPr>
                  <w:rFonts w:eastAsia="CG Omega" w:cs="Arial"/>
                  <w:sz w:val="18"/>
                  <w:szCs w:val="18"/>
                </w:rPr>
                <w:id w:val="-591936271"/>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BBBFE70" w14:textId="77777777">
            <w:pPr>
              <w:spacing w:before="40" w:after="40"/>
              <w:rPr>
                <w:rFonts w:cs="Arial"/>
                <w:sz w:val="18"/>
                <w:szCs w:val="18"/>
              </w:rPr>
            </w:pPr>
          </w:p>
        </w:tc>
      </w:tr>
      <w:tr w:rsidRPr="00701682" w:rsidR="0095134F" w:rsidTr="00664AA7" w14:paraId="4F8FC606" w14:textId="77777777">
        <w:trPr>
          <w:cantSplit/>
          <w:trHeight w:val="350"/>
        </w:trPr>
        <w:tc>
          <w:tcPr>
            <w:tcW w:w="4926" w:type="dxa"/>
            <w:gridSpan w:val="2"/>
          </w:tcPr>
          <w:p w:rsidRPr="00221EE9" w:rsidR="0095134F" w:rsidP="0095134F" w:rsidRDefault="00105F6D" w14:paraId="20337C25" w14:textId="2BE25441">
            <w:pPr>
              <w:pStyle w:val="ListParagraph"/>
              <w:numPr>
                <w:ilvl w:val="0"/>
                <w:numId w:val="7"/>
              </w:numPr>
              <w:spacing w:before="40" w:after="40"/>
              <w:rPr>
                <w:rFonts w:cs="Arial"/>
                <w:sz w:val="18"/>
                <w:szCs w:val="18"/>
              </w:rPr>
            </w:pPr>
            <w:r>
              <w:rPr>
                <w:rFonts w:cs="Arial"/>
                <w:sz w:val="18"/>
                <w:szCs w:val="18"/>
              </w:rPr>
              <w:t>Did management begin</w:t>
            </w:r>
            <w:r w:rsidRPr="00221EE9" w:rsidR="0095134F">
              <w:rPr>
                <w:rFonts w:cs="Arial"/>
                <w:sz w:val="18"/>
                <w:szCs w:val="18"/>
              </w:rPr>
              <w:t xml:space="preserve"> </w:t>
            </w:r>
            <w:r w:rsidRPr="00221EE9">
              <w:rPr>
                <w:rFonts w:cs="Arial"/>
                <w:sz w:val="18"/>
                <w:szCs w:val="18"/>
              </w:rPr>
              <w:t>negotiat</w:t>
            </w:r>
            <w:r>
              <w:rPr>
                <w:rFonts w:cs="Arial"/>
                <w:sz w:val="18"/>
                <w:szCs w:val="18"/>
              </w:rPr>
              <w:t>ions to</w:t>
            </w:r>
            <w:r w:rsidRPr="00221EE9" w:rsidR="0095134F">
              <w:rPr>
                <w:rFonts w:cs="Arial"/>
                <w:sz w:val="18"/>
                <w:szCs w:val="18"/>
              </w:rPr>
              <w:t xml:space="preserve"> modify fallback language in legacy contracts?</w:t>
            </w:r>
            <w:r>
              <w:rPr>
                <w:rFonts w:cs="Arial"/>
                <w:sz w:val="18"/>
                <w:szCs w:val="18"/>
              </w:rPr>
              <w:t xml:space="preserve">  If not, are there plans to do so?</w:t>
            </w:r>
          </w:p>
        </w:tc>
        <w:tc>
          <w:tcPr>
            <w:tcW w:w="1554" w:type="dxa"/>
            <w:gridSpan w:val="2"/>
          </w:tcPr>
          <w:p w:rsidR="0095134F" w:rsidP="00664AA7" w:rsidRDefault="004E30E5" w14:paraId="722E6118" w14:textId="77777777">
            <w:pPr>
              <w:spacing w:before="40" w:after="40"/>
              <w:rPr>
                <w:rFonts w:eastAsia="CG Omega" w:cs="Arial"/>
                <w:sz w:val="18"/>
                <w:szCs w:val="18"/>
              </w:rPr>
            </w:pPr>
            <w:sdt>
              <w:sdtPr>
                <w:rPr>
                  <w:rFonts w:eastAsia="CG Omega" w:cs="Arial"/>
                  <w:sz w:val="18"/>
                  <w:szCs w:val="18"/>
                </w:rPr>
                <w:id w:val="109243863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84FC4C2" w14:textId="77777777">
            <w:pPr>
              <w:spacing w:before="40" w:after="40"/>
              <w:rPr>
                <w:rFonts w:eastAsia="CG Omega" w:cs="Arial"/>
                <w:sz w:val="18"/>
                <w:szCs w:val="18"/>
              </w:rPr>
            </w:pPr>
            <w:sdt>
              <w:sdtPr>
                <w:rPr>
                  <w:rFonts w:eastAsia="CG Omega" w:cs="Arial"/>
                  <w:sz w:val="18"/>
                  <w:szCs w:val="18"/>
                </w:rPr>
                <w:id w:val="-96588719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73C4E2C" w14:textId="77777777">
            <w:pPr>
              <w:spacing w:before="40" w:after="40"/>
              <w:rPr>
                <w:rFonts w:cs="Arial"/>
                <w:sz w:val="18"/>
                <w:szCs w:val="18"/>
              </w:rPr>
            </w:pPr>
          </w:p>
        </w:tc>
      </w:tr>
      <w:tr w:rsidRPr="00701682" w:rsidR="0095134F" w:rsidTr="00664AA7" w14:paraId="370AA1AA" w14:textId="77777777">
        <w:trPr>
          <w:cantSplit/>
          <w:trHeight w:val="503"/>
        </w:trPr>
        <w:tc>
          <w:tcPr>
            <w:tcW w:w="4926" w:type="dxa"/>
            <w:gridSpan w:val="2"/>
          </w:tcPr>
          <w:p w:rsidRPr="00E159BA" w:rsidR="0095134F" w:rsidP="0095134F" w:rsidRDefault="00105F6D" w14:paraId="59ACBE6D" w14:textId="020B2A22">
            <w:pPr>
              <w:pStyle w:val="Default"/>
              <w:numPr>
                <w:ilvl w:val="0"/>
                <w:numId w:val="7"/>
              </w:numPr>
              <w:spacing w:before="40" w:after="40"/>
              <w:rPr>
                <w:rFonts w:ascii="Arial" w:hAnsi="Arial" w:cs="Arial"/>
                <w:sz w:val="18"/>
                <w:szCs w:val="18"/>
              </w:rPr>
            </w:pPr>
            <w:r>
              <w:rPr>
                <w:rFonts w:ascii="Arial" w:hAnsi="Arial" w:cs="Arial"/>
                <w:sz w:val="18"/>
                <w:szCs w:val="18"/>
              </w:rPr>
              <w:t>Is management</w:t>
            </w:r>
            <w:r w:rsidRPr="00221EE9" w:rsidR="0095134F">
              <w:rPr>
                <w:rFonts w:ascii="Arial" w:hAnsi="Arial" w:cs="Arial"/>
                <w:sz w:val="18"/>
                <w:szCs w:val="18"/>
              </w:rPr>
              <w:t xml:space="preserve"> </w:t>
            </w:r>
            <w:r>
              <w:rPr>
                <w:rFonts w:ascii="Arial" w:hAnsi="Arial" w:cs="Arial"/>
                <w:sz w:val="18"/>
                <w:szCs w:val="18"/>
              </w:rPr>
              <w:t>using</w:t>
            </w:r>
            <w:r w:rsidRPr="00221EE9" w:rsidR="0095134F">
              <w:rPr>
                <w:rFonts w:ascii="Arial" w:hAnsi="Arial" w:cs="Arial"/>
                <w:sz w:val="18"/>
                <w:szCs w:val="18"/>
              </w:rPr>
              <w:t xml:space="preserve"> robust fallback language</w:t>
            </w:r>
            <w:r>
              <w:rPr>
                <w:rFonts w:ascii="Arial" w:hAnsi="Arial" w:cs="Arial"/>
                <w:sz w:val="18"/>
                <w:szCs w:val="18"/>
              </w:rPr>
              <w:t xml:space="preserve"> when executing new contracts</w:t>
            </w:r>
            <w:r w:rsidRPr="00221EE9" w:rsidR="0095134F">
              <w:rPr>
                <w:rFonts w:ascii="Arial" w:hAnsi="Arial" w:cs="Arial"/>
                <w:sz w:val="18"/>
                <w:szCs w:val="18"/>
              </w:rPr>
              <w:t>?</w:t>
            </w:r>
          </w:p>
        </w:tc>
        <w:tc>
          <w:tcPr>
            <w:tcW w:w="1554" w:type="dxa"/>
            <w:gridSpan w:val="2"/>
          </w:tcPr>
          <w:p w:rsidR="0095134F" w:rsidP="00664AA7" w:rsidRDefault="004E30E5" w14:paraId="53124B2A" w14:textId="77777777">
            <w:pPr>
              <w:spacing w:before="40" w:after="40"/>
              <w:rPr>
                <w:rFonts w:eastAsia="CG Omega" w:cs="Arial"/>
                <w:sz w:val="18"/>
                <w:szCs w:val="18"/>
              </w:rPr>
            </w:pPr>
            <w:sdt>
              <w:sdtPr>
                <w:rPr>
                  <w:rFonts w:eastAsia="CG Omega" w:cs="Arial"/>
                  <w:sz w:val="18"/>
                  <w:szCs w:val="18"/>
                </w:rPr>
                <w:id w:val="766961153"/>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FDA75DA" w14:textId="77777777">
            <w:pPr>
              <w:spacing w:before="40" w:after="40"/>
              <w:rPr>
                <w:rFonts w:eastAsia="CG Omega" w:cs="Arial"/>
                <w:sz w:val="18"/>
                <w:szCs w:val="18"/>
              </w:rPr>
            </w:pPr>
            <w:sdt>
              <w:sdtPr>
                <w:rPr>
                  <w:rFonts w:eastAsia="CG Omega" w:cs="Arial"/>
                  <w:sz w:val="18"/>
                  <w:szCs w:val="18"/>
                </w:rPr>
                <w:id w:val="55643704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7AE8261A" w14:textId="77777777">
            <w:pPr>
              <w:spacing w:before="40" w:after="40"/>
              <w:rPr>
                <w:rFonts w:cs="Arial"/>
                <w:sz w:val="18"/>
                <w:szCs w:val="18"/>
              </w:rPr>
            </w:pPr>
          </w:p>
        </w:tc>
      </w:tr>
      <w:bookmarkEnd w:id="5"/>
      <w:tr w:rsidRPr="00701682" w:rsidR="0095134F" w:rsidTr="00664AA7" w14:paraId="58B6C252" w14:textId="77777777">
        <w:tc>
          <w:tcPr>
            <w:tcW w:w="9360" w:type="dxa"/>
            <w:gridSpan w:val="6"/>
            <w:vAlign w:val="center"/>
          </w:tcPr>
          <w:p w:rsidRPr="00221EE9" w:rsidR="0095134F" w:rsidP="00664AA7" w:rsidRDefault="0095134F" w14:paraId="2DE8D817" w14:textId="77777777">
            <w:pPr>
              <w:spacing w:before="40" w:after="40"/>
              <w:jc w:val="center"/>
              <w:rPr>
                <w:rFonts w:cs="Arial"/>
                <w:b/>
                <w:bCs/>
                <w:sz w:val="18"/>
                <w:szCs w:val="18"/>
              </w:rPr>
            </w:pPr>
            <w:r w:rsidRPr="00221EE9">
              <w:rPr>
                <w:rFonts w:cs="Arial"/>
                <w:b/>
                <w:bCs/>
                <w:sz w:val="18"/>
                <w:szCs w:val="18"/>
              </w:rPr>
              <w:t>Progress and Oversight</w:t>
            </w:r>
          </w:p>
        </w:tc>
      </w:tr>
      <w:tr w:rsidRPr="00701682" w:rsidR="0095134F" w:rsidTr="00664AA7" w14:paraId="30A3DDA3" w14:textId="77777777">
        <w:trPr>
          <w:trHeight w:val="593"/>
        </w:trPr>
        <w:tc>
          <w:tcPr>
            <w:tcW w:w="4926" w:type="dxa"/>
            <w:gridSpan w:val="2"/>
          </w:tcPr>
          <w:p w:rsidRPr="00701682" w:rsidR="0095134F" w:rsidP="00664AA7" w:rsidRDefault="0095134F" w14:paraId="7649A711" w14:textId="44813E9B">
            <w:pPr>
              <w:spacing w:before="40" w:after="40"/>
              <w:rPr>
                <w:rFonts w:eastAsia="CG Omega" w:cs="Arial"/>
                <w:sz w:val="18"/>
                <w:szCs w:val="18"/>
              </w:rPr>
            </w:pPr>
            <w:r w:rsidRPr="00BF385F">
              <w:rPr>
                <w:rFonts w:eastAsia="CG Omega" w:cs="Arial"/>
                <w:b/>
                <w:bCs/>
                <w:sz w:val="18"/>
                <w:szCs w:val="18"/>
              </w:rPr>
              <w:t>Objective:</w:t>
            </w:r>
            <w:r w:rsidRPr="00BF385F">
              <w:rPr>
                <w:rFonts w:eastAsia="CG Omega" w:cs="Arial"/>
                <w:sz w:val="18"/>
                <w:szCs w:val="18"/>
              </w:rPr>
              <w:t xml:space="preserve"> </w:t>
            </w:r>
            <w:r w:rsidR="00105F6D">
              <w:rPr>
                <w:rFonts w:eastAsia="CG Omega" w:cs="Arial"/>
                <w:sz w:val="18"/>
                <w:szCs w:val="18"/>
              </w:rPr>
              <w:t xml:space="preserve">Is </w:t>
            </w:r>
            <w:r w:rsidRPr="00BF385F">
              <w:rPr>
                <w:rFonts w:eastAsia="CG Omega" w:cs="Arial"/>
                <w:sz w:val="18"/>
                <w:szCs w:val="18"/>
              </w:rPr>
              <w:t>progress toward Libor cessation preparedness</w:t>
            </w:r>
            <w:r>
              <w:rPr>
                <w:rFonts w:eastAsia="CG Omega" w:cs="Arial"/>
                <w:sz w:val="18"/>
                <w:szCs w:val="18"/>
              </w:rPr>
              <w:t xml:space="preserve"> </w:t>
            </w:r>
            <w:proofErr w:type="gramStart"/>
            <w:r w:rsidR="00105F6D">
              <w:rPr>
                <w:rFonts w:eastAsia="CG Omega" w:cs="Arial"/>
                <w:sz w:val="18"/>
                <w:szCs w:val="18"/>
              </w:rPr>
              <w:t>sufficient</w:t>
            </w:r>
            <w:proofErr w:type="gramEnd"/>
            <w:r w:rsidR="00105F6D">
              <w:rPr>
                <w:rFonts w:eastAsia="CG Omega" w:cs="Arial"/>
                <w:sz w:val="18"/>
                <w:szCs w:val="18"/>
              </w:rPr>
              <w:t xml:space="preserve"> </w:t>
            </w:r>
            <w:r>
              <w:rPr>
                <w:rFonts w:eastAsia="CG Omega" w:cs="Arial"/>
                <w:sz w:val="18"/>
                <w:szCs w:val="18"/>
              </w:rPr>
              <w:t>given the size and complexity of risk exposures</w:t>
            </w:r>
            <w:r w:rsidRPr="00BF385F">
              <w:rPr>
                <w:rFonts w:eastAsia="CG Omega" w:cs="Arial"/>
                <w:sz w:val="18"/>
                <w:szCs w:val="18"/>
              </w:rPr>
              <w:t>?</w:t>
            </w:r>
            <w:r>
              <w:rPr>
                <w:rFonts w:eastAsia="CG Omega" w:cs="Arial"/>
                <w:sz w:val="18"/>
                <w:szCs w:val="18"/>
              </w:rPr>
              <w:t xml:space="preserve"> Consider in your assessment:</w:t>
            </w:r>
          </w:p>
        </w:tc>
        <w:tc>
          <w:tcPr>
            <w:tcW w:w="1554" w:type="dxa"/>
            <w:gridSpan w:val="2"/>
          </w:tcPr>
          <w:p w:rsidR="0095134F" w:rsidP="00664AA7" w:rsidRDefault="004E30E5" w14:paraId="029B2ADE" w14:textId="77777777">
            <w:pPr>
              <w:spacing w:before="40" w:after="40"/>
              <w:rPr>
                <w:rFonts w:eastAsia="CG Omega" w:cs="Arial"/>
                <w:sz w:val="18"/>
                <w:szCs w:val="18"/>
              </w:rPr>
            </w:pPr>
            <w:sdt>
              <w:sdtPr>
                <w:rPr>
                  <w:rFonts w:eastAsia="CG Omega" w:cs="Arial"/>
                  <w:sz w:val="18"/>
                  <w:szCs w:val="18"/>
                </w:rPr>
                <w:id w:val="173211796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15C84B83" w14:textId="77777777">
            <w:pPr>
              <w:spacing w:before="40" w:after="40"/>
              <w:rPr>
                <w:rFonts w:eastAsia="CG Omega" w:cs="Arial"/>
                <w:sz w:val="18"/>
                <w:szCs w:val="18"/>
              </w:rPr>
            </w:pPr>
            <w:sdt>
              <w:sdtPr>
                <w:rPr>
                  <w:rFonts w:eastAsia="CG Omega" w:cs="Arial"/>
                  <w:sz w:val="18"/>
                  <w:szCs w:val="18"/>
                </w:rPr>
                <w:id w:val="867800863"/>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4005914C" w14:textId="77777777">
            <w:pPr>
              <w:spacing w:before="40" w:after="40"/>
              <w:rPr>
                <w:rFonts w:eastAsia="CG Omega" w:cs="Arial"/>
                <w:sz w:val="18"/>
                <w:szCs w:val="18"/>
              </w:rPr>
            </w:pPr>
            <w:r>
              <w:rPr>
                <w:rFonts w:eastAsia="CG Omega" w:cs="Arial"/>
                <w:sz w:val="18"/>
                <w:szCs w:val="18"/>
              </w:rPr>
              <w:t xml:space="preserve">Comments: </w:t>
            </w:r>
          </w:p>
        </w:tc>
      </w:tr>
      <w:tr w:rsidRPr="00701682" w:rsidR="0095134F" w:rsidTr="00664AA7" w14:paraId="7623C477" w14:textId="77777777">
        <w:tc>
          <w:tcPr>
            <w:tcW w:w="4926" w:type="dxa"/>
            <w:gridSpan w:val="2"/>
          </w:tcPr>
          <w:p w:rsidRPr="00BF385F" w:rsidR="0095134F" w:rsidP="0095134F" w:rsidRDefault="0095134F" w14:paraId="197A8591" w14:textId="77777777">
            <w:pPr>
              <w:pStyle w:val="ListParagraph"/>
              <w:numPr>
                <w:ilvl w:val="0"/>
                <w:numId w:val="10"/>
              </w:numPr>
              <w:spacing w:before="40" w:after="40"/>
              <w:contextualSpacing w:val="0"/>
              <w:rPr>
                <w:rFonts w:eastAsia="CG Omega" w:cs="Arial"/>
                <w:sz w:val="18"/>
                <w:szCs w:val="18"/>
              </w:rPr>
            </w:pPr>
            <w:r w:rsidRPr="00BF385F">
              <w:rPr>
                <w:rFonts w:eastAsia="CG Omega" w:cs="Arial"/>
                <w:sz w:val="18"/>
                <w:szCs w:val="18"/>
              </w:rPr>
              <w:t>Is the bank on track in implementing its plans?</w:t>
            </w:r>
          </w:p>
        </w:tc>
        <w:tc>
          <w:tcPr>
            <w:tcW w:w="1554" w:type="dxa"/>
            <w:gridSpan w:val="2"/>
          </w:tcPr>
          <w:p w:rsidR="0095134F" w:rsidP="00664AA7" w:rsidRDefault="004E30E5" w14:paraId="0C62CCDE" w14:textId="77777777">
            <w:pPr>
              <w:spacing w:before="40" w:after="40"/>
              <w:rPr>
                <w:rFonts w:eastAsia="CG Omega" w:cs="Arial"/>
                <w:sz w:val="18"/>
                <w:szCs w:val="18"/>
              </w:rPr>
            </w:pPr>
            <w:sdt>
              <w:sdtPr>
                <w:rPr>
                  <w:rFonts w:eastAsia="CG Omega" w:cs="Arial"/>
                  <w:sz w:val="18"/>
                  <w:szCs w:val="18"/>
                </w:rPr>
                <w:id w:val="1436950914"/>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455A152C" w14:textId="77777777">
            <w:pPr>
              <w:spacing w:before="40" w:after="40"/>
              <w:rPr>
                <w:rFonts w:eastAsia="CG Omega" w:cs="Arial"/>
                <w:sz w:val="18"/>
                <w:szCs w:val="18"/>
              </w:rPr>
            </w:pPr>
            <w:sdt>
              <w:sdtPr>
                <w:rPr>
                  <w:rFonts w:eastAsia="CG Omega" w:cs="Arial"/>
                  <w:sz w:val="18"/>
                  <w:szCs w:val="18"/>
                </w:rPr>
                <w:id w:val="-122659929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BEB1F7D" w14:textId="77777777">
            <w:pPr>
              <w:spacing w:before="40" w:after="40"/>
              <w:rPr>
                <w:rFonts w:eastAsia="CG Omega" w:cs="Arial"/>
                <w:sz w:val="18"/>
                <w:szCs w:val="18"/>
              </w:rPr>
            </w:pPr>
          </w:p>
        </w:tc>
      </w:tr>
      <w:tr w:rsidRPr="00701682" w:rsidR="0095134F" w:rsidTr="00664AA7" w14:paraId="2803892E" w14:textId="77777777">
        <w:tc>
          <w:tcPr>
            <w:tcW w:w="4926" w:type="dxa"/>
            <w:gridSpan w:val="2"/>
          </w:tcPr>
          <w:p w:rsidRPr="00BF385F" w:rsidR="0095134F" w:rsidP="0095134F" w:rsidRDefault="00105F6D" w14:paraId="55350310" w14:textId="0B8F4C90">
            <w:pPr>
              <w:pStyle w:val="ListParagraph"/>
              <w:numPr>
                <w:ilvl w:val="0"/>
                <w:numId w:val="10"/>
              </w:numPr>
              <w:spacing w:before="40" w:after="40"/>
              <w:contextualSpacing w:val="0"/>
              <w:rPr>
                <w:rFonts w:eastAsia="CG Omega" w:cs="Arial"/>
                <w:sz w:val="18"/>
                <w:szCs w:val="18"/>
              </w:rPr>
            </w:pPr>
            <w:r>
              <w:rPr>
                <w:rFonts w:eastAsia="CG Omega" w:cs="Arial"/>
                <w:sz w:val="18"/>
                <w:szCs w:val="18"/>
              </w:rPr>
              <w:t>Is manag</w:t>
            </w:r>
            <w:r w:rsidR="007225A3">
              <w:rPr>
                <w:rFonts w:eastAsia="CG Omega" w:cs="Arial"/>
                <w:sz w:val="18"/>
                <w:szCs w:val="18"/>
              </w:rPr>
              <w:t>e</w:t>
            </w:r>
            <w:r>
              <w:rPr>
                <w:rFonts w:eastAsia="CG Omega" w:cs="Arial"/>
                <w:sz w:val="18"/>
                <w:szCs w:val="18"/>
              </w:rPr>
              <w:t>ment</w:t>
            </w:r>
            <w:r w:rsidRPr="00D477AD" w:rsidR="0095134F">
              <w:rPr>
                <w:rFonts w:eastAsia="CG Omega" w:cs="Arial"/>
                <w:sz w:val="18"/>
                <w:szCs w:val="18"/>
              </w:rPr>
              <w:t xml:space="preserve"> implement</w:t>
            </w:r>
            <w:r>
              <w:rPr>
                <w:rFonts w:eastAsia="CG Omega" w:cs="Arial"/>
                <w:sz w:val="18"/>
                <w:szCs w:val="18"/>
              </w:rPr>
              <w:t>ing</w:t>
            </w:r>
            <w:r w:rsidRPr="00D477AD" w:rsidR="0095134F">
              <w:rPr>
                <w:rFonts w:eastAsia="CG Omega" w:cs="Arial"/>
                <w:sz w:val="18"/>
                <w:szCs w:val="18"/>
              </w:rPr>
              <w:t xml:space="preserve"> a strategy to identify, monitor, resolve</w:t>
            </w:r>
            <w:r w:rsidR="0095134F">
              <w:rPr>
                <w:rFonts w:eastAsia="CG Omega" w:cs="Arial"/>
                <w:sz w:val="18"/>
                <w:szCs w:val="18"/>
              </w:rPr>
              <w:t>, and test</w:t>
            </w:r>
            <w:r w:rsidRPr="00D477AD" w:rsidR="0095134F">
              <w:rPr>
                <w:rFonts w:eastAsia="CG Omega" w:cs="Arial"/>
                <w:sz w:val="18"/>
                <w:szCs w:val="18"/>
              </w:rPr>
              <w:t xml:space="preserve"> system and infrastructure constraints?</w:t>
            </w:r>
          </w:p>
        </w:tc>
        <w:tc>
          <w:tcPr>
            <w:tcW w:w="1554" w:type="dxa"/>
            <w:gridSpan w:val="2"/>
          </w:tcPr>
          <w:p w:rsidR="0095134F" w:rsidP="00664AA7" w:rsidRDefault="004E30E5" w14:paraId="6DC36423" w14:textId="77777777">
            <w:pPr>
              <w:spacing w:before="40" w:after="40"/>
              <w:rPr>
                <w:rFonts w:eastAsia="CG Omega" w:cs="Arial"/>
                <w:sz w:val="18"/>
                <w:szCs w:val="18"/>
              </w:rPr>
            </w:pPr>
            <w:sdt>
              <w:sdtPr>
                <w:rPr>
                  <w:rFonts w:eastAsia="CG Omega" w:cs="Arial"/>
                  <w:sz w:val="18"/>
                  <w:szCs w:val="18"/>
                </w:rPr>
                <w:id w:val="-452167198"/>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Pr="00701682" w:rsidR="0095134F" w:rsidP="00664AA7" w:rsidRDefault="004E30E5" w14:paraId="7BE57F0F" w14:textId="77777777">
            <w:pPr>
              <w:spacing w:before="40" w:after="40"/>
              <w:rPr>
                <w:rFonts w:eastAsia="CG Omega" w:cs="Arial"/>
                <w:sz w:val="18"/>
                <w:szCs w:val="18"/>
              </w:rPr>
            </w:pPr>
            <w:sdt>
              <w:sdtPr>
                <w:rPr>
                  <w:rFonts w:eastAsia="CG Omega" w:cs="Arial"/>
                  <w:sz w:val="18"/>
                  <w:szCs w:val="18"/>
                </w:rPr>
                <w:id w:val="644945500"/>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2E485577" w14:textId="77777777">
            <w:pPr>
              <w:spacing w:before="40" w:after="40"/>
              <w:rPr>
                <w:rFonts w:eastAsia="CG Omega" w:cs="Arial"/>
                <w:sz w:val="18"/>
                <w:szCs w:val="18"/>
              </w:rPr>
            </w:pPr>
          </w:p>
        </w:tc>
      </w:tr>
      <w:tr w:rsidRPr="00701682" w:rsidR="0095134F" w:rsidTr="00664AA7" w14:paraId="7FF18246" w14:textId="77777777">
        <w:tc>
          <w:tcPr>
            <w:tcW w:w="4926" w:type="dxa"/>
            <w:gridSpan w:val="2"/>
          </w:tcPr>
          <w:p w:rsidRPr="00D477AD" w:rsidR="0095134F" w:rsidP="0095134F" w:rsidRDefault="0095134F" w14:paraId="2AB2601C" w14:textId="77777777">
            <w:pPr>
              <w:pStyle w:val="ListParagraph"/>
              <w:numPr>
                <w:ilvl w:val="0"/>
                <w:numId w:val="10"/>
              </w:numPr>
              <w:spacing w:before="40" w:after="40"/>
              <w:contextualSpacing w:val="0"/>
              <w:rPr>
                <w:rFonts w:eastAsia="CG Omega" w:cs="Arial"/>
                <w:sz w:val="18"/>
                <w:szCs w:val="18"/>
              </w:rPr>
            </w:pPr>
            <w:r w:rsidRPr="00D477AD">
              <w:rPr>
                <w:rFonts w:cs="Arial"/>
                <w:sz w:val="18"/>
                <w:szCs w:val="18"/>
              </w:rPr>
              <w:t>Has management begun to make the updates needed to bank policies, processes, personnel, and control systems?</w:t>
            </w:r>
          </w:p>
        </w:tc>
        <w:tc>
          <w:tcPr>
            <w:tcW w:w="1554" w:type="dxa"/>
            <w:gridSpan w:val="2"/>
          </w:tcPr>
          <w:p w:rsidR="0095134F" w:rsidP="00664AA7" w:rsidRDefault="004E30E5" w14:paraId="181DE712" w14:textId="77777777">
            <w:pPr>
              <w:spacing w:before="40" w:after="40"/>
              <w:rPr>
                <w:rFonts w:eastAsia="CG Omega" w:cs="Arial"/>
                <w:sz w:val="18"/>
                <w:szCs w:val="18"/>
              </w:rPr>
            </w:pPr>
            <w:sdt>
              <w:sdtPr>
                <w:rPr>
                  <w:rFonts w:eastAsia="CG Omega" w:cs="Arial"/>
                  <w:sz w:val="18"/>
                  <w:szCs w:val="18"/>
                </w:rPr>
                <w:id w:val="1171442527"/>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Yes</w:t>
            </w:r>
          </w:p>
          <w:p w:rsidR="0095134F" w:rsidP="00664AA7" w:rsidRDefault="004E30E5" w14:paraId="4E36494C" w14:textId="77777777">
            <w:pPr>
              <w:spacing w:before="40" w:after="40"/>
              <w:rPr>
                <w:rFonts w:eastAsia="CG Omega" w:cs="Arial"/>
                <w:sz w:val="18"/>
                <w:szCs w:val="18"/>
              </w:rPr>
            </w:pPr>
            <w:sdt>
              <w:sdtPr>
                <w:rPr>
                  <w:rFonts w:eastAsia="CG Omega" w:cs="Arial"/>
                  <w:sz w:val="18"/>
                  <w:szCs w:val="18"/>
                </w:rPr>
                <w:id w:val="1613013432"/>
                <w14:checkbox>
                  <w14:checked w14:val="0"/>
                  <w14:checkedState w14:font="MS Gothic" w14:val="2612"/>
                  <w14:uncheckedState w14:font="MS Gothic" w14:val="2610"/>
                </w14:checkbox>
              </w:sdtPr>
              <w:sdtEndPr/>
              <w:sdtContent>
                <w:r w:rsidR="0095134F">
                  <w:rPr>
                    <w:rFonts w:hint="eastAsia" w:ascii="MS Gothic" w:hAnsi="MS Gothic" w:eastAsia="MS Gothic" w:cs="Arial"/>
                    <w:sz w:val="18"/>
                    <w:szCs w:val="18"/>
                  </w:rPr>
                  <w:t>☐</w:t>
                </w:r>
              </w:sdtContent>
            </w:sdt>
            <w:r w:rsidR="0095134F">
              <w:rPr>
                <w:rFonts w:eastAsia="CG Omega" w:cs="Arial"/>
                <w:sz w:val="18"/>
                <w:szCs w:val="18"/>
              </w:rPr>
              <w:t xml:space="preserve"> No</w:t>
            </w:r>
          </w:p>
        </w:tc>
        <w:tc>
          <w:tcPr>
            <w:tcW w:w="2880" w:type="dxa"/>
            <w:gridSpan w:val="2"/>
          </w:tcPr>
          <w:p w:rsidRPr="00701682" w:rsidR="0095134F" w:rsidP="00664AA7" w:rsidRDefault="0095134F" w14:paraId="13A6C573" w14:textId="77777777">
            <w:pPr>
              <w:spacing w:before="40" w:after="40"/>
              <w:rPr>
                <w:rFonts w:eastAsia="CG Omega" w:cs="Arial"/>
                <w:sz w:val="18"/>
                <w:szCs w:val="18"/>
              </w:rPr>
            </w:pPr>
          </w:p>
        </w:tc>
      </w:tr>
    </w:tbl>
    <w:p w:rsidR="0095134F" w:rsidP="0095134F" w:rsidRDefault="0095134F" w14:paraId="6F1FABCA" w14:textId="77777777">
      <w:pPr>
        <w:pStyle w:val="Default"/>
        <w:spacing w:line="140" w:lineRule="atLeast"/>
        <w:rPr>
          <w:rFonts w:ascii="Times New Roman" w:hAnsi="Times New Roman" w:cs="Times New Roman"/>
        </w:rPr>
      </w:pPr>
    </w:p>
    <w:p w:rsidR="0095134F" w:rsidP="0095134F" w:rsidRDefault="0095134F" w14:paraId="2D0E6809" w14:textId="77777777">
      <w:pPr>
        <w:pStyle w:val="Default"/>
        <w:spacing w:line="140" w:lineRule="atLeast"/>
        <w:rPr>
          <w:rFonts w:ascii="Times New Roman" w:hAnsi="Times New Roman" w:cs="Times New Roman"/>
        </w:rPr>
      </w:pPr>
    </w:p>
    <w:sectPr w:rsidR="0095134F" w:rsidSect="00DD2EB1">
      <w:headerReference w:type="default" r:id="rId8"/>
      <w:footerReference w:type="default" r:id="rId9"/>
      <w:headerReference w:type="first" r:id="rId10"/>
      <w:footerReference w:type="first" r:id="rId11"/>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A043" w14:textId="77777777" w:rsidR="00AC782D" w:rsidRDefault="00AC782D" w:rsidP="005E6D9F">
      <w:r>
        <w:separator/>
      </w:r>
    </w:p>
  </w:endnote>
  <w:endnote w:type="continuationSeparator" w:id="0">
    <w:p w14:paraId="61E3EE34" w14:textId="77777777" w:rsidR="00AC782D" w:rsidRDefault="00AC782D" w:rsidP="005E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84C8" w14:textId="77777777" w:rsidR="008E09B5" w:rsidRPr="00581AAC" w:rsidRDefault="008E09B5" w:rsidP="00581AAC">
    <w:pPr>
      <w:pStyle w:val="Footer"/>
      <w:tabs>
        <w:tab w:val="clear" w:pos="4680"/>
        <w:tab w:val="clear" w:pos="9360"/>
      </w:tabs>
      <w:jc w:val="center"/>
      <w:rPr>
        <w:rFonts w:cs="Arial"/>
        <w:sz w:val="20"/>
        <w:szCs w:val="20"/>
      </w:rPr>
    </w:pPr>
    <w:r w:rsidRPr="00581AAC">
      <w:rPr>
        <w:rFonts w:cs="Arial"/>
        <w:sz w:val="20"/>
        <w:szCs w:val="20"/>
      </w:rPr>
      <w:fldChar w:fldCharType="begin"/>
    </w:r>
    <w:r w:rsidRPr="00581AAC">
      <w:rPr>
        <w:rFonts w:cs="Arial"/>
        <w:sz w:val="20"/>
        <w:szCs w:val="20"/>
      </w:rPr>
      <w:instrText xml:space="preserve"> PAGE   \* MERGEFORMAT </w:instrText>
    </w:r>
    <w:r w:rsidRPr="00581AAC">
      <w:rPr>
        <w:rFonts w:cs="Arial"/>
        <w:sz w:val="20"/>
        <w:szCs w:val="20"/>
      </w:rPr>
      <w:fldChar w:fldCharType="separate"/>
    </w:r>
    <w:r w:rsidR="00A177F6">
      <w:rPr>
        <w:rFonts w:cs="Arial"/>
        <w:noProof/>
        <w:sz w:val="20"/>
        <w:szCs w:val="20"/>
      </w:rPr>
      <w:t>2</w:t>
    </w:r>
    <w:r w:rsidRPr="00581AAC">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36E2" w14:textId="77777777" w:rsidR="00A93938" w:rsidRPr="00A93938" w:rsidRDefault="00A93938" w:rsidP="00A93938">
    <w:pPr>
      <w:pStyle w:val="Footer"/>
      <w:jc w:val="center"/>
      <w:rPr>
        <w:rFonts w:cs="Arial"/>
        <w:sz w:val="20"/>
        <w:szCs w:val="20"/>
      </w:rPr>
    </w:pPr>
    <w:r w:rsidRPr="00A93938">
      <w:rPr>
        <w:rFonts w:cs="Arial"/>
        <w:sz w:val="20"/>
        <w:szCs w:val="20"/>
      </w:rPr>
      <w:fldChar w:fldCharType="begin"/>
    </w:r>
    <w:r w:rsidRPr="00A93938">
      <w:rPr>
        <w:rFonts w:cs="Arial"/>
        <w:sz w:val="20"/>
        <w:szCs w:val="20"/>
      </w:rPr>
      <w:instrText xml:space="preserve"> PAGE   \* MERGEFORMAT </w:instrText>
    </w:r>
    <w:r w:rsidRPr="00A93938">
      <w:rPr>
        <w:rFonts w:cs="Arial"/>
        <w:sz w:val="20"/>
        <w:szCs w:val="20"/>
      </w:rPr>
      <w:fldChar w:fldCharType="separate"/>
    </w:r>
    <w:r w:rsidR="00A177F6">
      <w:rPr>
        <w:rFonts w:cs="Arial"/>
        <w:noProof/>
        <w:sz w:val="20"/>
        <w:szCs w:val="20"/>
      </w:rPr>
      <w:t>1</w:t>
    </w:r>
    <w:r w:rsidRPr="00A93938">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616CA" w14:textId="77777777" w:rsidR="00AC782D" w:rsidRDefault="00AC782D" w:rsidP="005E6D9F">
      <w:r>
        <w:separator/>
      </w:r>
    </w:p>
  </w:footnote>
  <w:footnote w:type="continuationSeparator" w:id="0">
    <w:p w14:paraId="02345EA8" w14:textId="77777777" w:rsidR="00AC782D" w:rsidRDefault="00AC782D" w:rsidP="005E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05D0" w14:textId="77777777" w:rsidR="00420889" w:rsidRDefault="00420889" w:rsidP="00420889">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DA6F" w14:textId="7B563581" w:rsidR="00835594" w:rsidRDefault="00835594" w:rsidP="00DD2EB1">
    <w:pPr>
      <w:pStyle w:val="Header"/>
      <w:tabs>
        <w:tab w:val="clear" w:pos="4680"/>
        <w:tab w:val="clear" w:pos="9360"/>
      </w:tabs>
      <w:ind w:left="-9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36F"/>
    <w:multiLevelType w:val="hybridMultilevel"/>
    <w:tmpl w:val="7FB24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6D9E"/>
    <w:multiLevelType w:val="hybridMultilevel"/>
    <w:tmpl w:val="84B48F9E"/>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7F2164E">
      <w:start w:val="1"/>
      <w:numFmt w:val="lowerLetter"/>
      <w:lvlText w:val="%3."/>
      <w:lvlJc w:val="right"/>
      <w:pPr>
        <w:ind w:left="1800" w:hanging="180"/>
      </w:pPr>
      <w:rPr>
        <w:rFonts w:asciiTheme="minorHAnsi" w:eastAsiaTheme="minorHAnsi" w:hAnsiTheme="minorHAnsi" w:cstheme="min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38122C"/>
    <w:multiLevelType w:val="hybridMultilevel"/>
    <w:tmpl w:val="13448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D61E08"/>
    <w:multiLevelType w:val="hybridMultilevel"/>
    <w:tmpl w:val="FD4A9C4A"/>
    <w:lvl w:ilvl="0" w:tplc="214CE8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FA0E75"/>
    <w:multiLevelType w:val="hybridMultilevel"/>
    <w:tmpl w:val="AF40C7C4"/>
    <w:lvl w:ilvl="0" w:tplc="1D802640">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80A73"/>
    <w:multiLevelType w:val="hybridMultilevel"/>
    <w:tmpl w:val="567C5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F3016C"/>
    <w:multiLevelType w:val="hybridMultilevel"/>
    <w:tmpl w:val="96CCBE00"/>
    <w:lvl w:ilvl="0" w:tplc="04090001">
      <w:start w:val="1"/>
      <w:numFmt w:val="bullet"/>
      <w:lvlText w:val=""/>
      <w:lvlJc w:val="left"/>
      <w:pPr>
        <w:ind w:left="-360" w:hanging="360"/>
      </w:pPr>
      <w:rPr>
        <w:rFonts w:ascii="Symbol" w:hAnsi="Symbol" w:hint="default"/>
      </w:rPr>
    </w:lvl>
    <w:lvl w:ilvl="1" w:tplc="0674D49E">
      <w:start w:val="1"/>
      <w:numFmt w:val="bullet"/>
      <w:lvlText w:val="­"/>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53A17C5D"/>
    <w:multiLevelType w:val="hybridMultilevel"/>
    <w:tmpl w:val="B2001644"/>
    <w:lvl w:ilvl="0" w:tplc="662C227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D6643C"/>
    <w:multiLevelType w:val="hybridMultilevel"/>
    <w:tmpl w:val="53B01BE0"/>
    <w:lvl w:ilvl="0" w:tplc="04090001">
      <w:start w:val="1"/>
      <w:numFmt w:val="bullet"/>
      <w:lvlText w:val=""/>
      <w:lvlJc w:val="left"/>
      <w:pPr>
        <w:ind w:left="720" w:hanging="360"/>
      </w:pPr>
      <w:rPr>
        <w:rFonts w:ascii="Symbol" w:hAnsi="Symbol" w:hint="default"/>
      </w:rPr>
    </w:lvl>
    <w:lvl w:ilvl="1" w:tplc="0674D49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91220"/>
    <w:multiLevelType w:val="multilevel"/>
    <w:tmpl w:val="2FA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002AC"/>
    <w:multiLevelType w:val="hybridMultilevel"/>
    <w:tmpl w:val="58A4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331B7"/>
    <w:multiLevelType w:val="hybridMultilevel"/>
    <w:tmpl w:val="FFEA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E35C7C"/>
    <w:multiLevelType w:val="multilevel"/>
    <w:tmpl w:val="1526B15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C63E72"/>
    <w:multiLevelType w:val="hybridMultilevel"/>
    <w:tmpl w:val="B05A0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2"/>
  </w:num>
  <w:num w:numId="5">
    <w:abstractNumId w:val="3"/>
  </w:num>
  <w:num w:numId="6">
    <w:abstractNumId w:val="1"/>
  </w:num>
  <w:num w:numId="7">
    <w:abstractNumId w:val="4"/>
  </w:num>
  <w:num w:numId="8">
    <w:abstractNumId w:val="0"/>
  </w:num>
  <w:num w:numId="9">
    <w:abstractNumId w:val="8"/>
  </w:num>
  <w:num w:numId="10">
    <w:abstractNumId w:val="5"/>
  </w:num>
  <w:num w:numId="11">
    <w:abstractNumId w:val="11"/>
  </w:num>
  <w:num w:numId="12">
    <w:abstractNumId w:val="6"/>
  </w:num>
  <w:num w:numId="13">
    <w:abstractNumId w:val="13"/>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45"/>
    <w:rsid w:val="000005C0"/>
    <w:rsid w:val="0000111D"/>
    <w:rsid w:val="00035CF6"/>
    <w:rsid w:val="00081952"/>
    <w:rsid w:val="00105F6D"/>
    <w:rsid w:val="00106C3C"/>
    <w:rsid w:val="00116E05"/>
    <w:rsid w:val="0017441F"/>
    <w:rsid w:val="001827E5"/>
    <w:rsid w:val="00196865"/>
    <w:rsid w:val="001F4C05"/>
    <w:rsid w:val="002B077D"/>
    <w:rsid w:val="002C4BD2"/>
    <w:rsid w:val="002F3F00"/>
    <w:rsid w:val="00320E6D"/>
    <w:rsid w:val="003405C9"/>
    <w:rsid w:val="00374C7D"/>
    <w:rsid w:val="00383466"/>
    <w:rsid w:val="003C2F63"/>
    <w:rsid w:val="004127BF"/>
    <w:rsid w:val="00420889"/>
    <w:rsid w:val="00421969"/>
    <w:rsid w:val="00444232"/>
    <w:rsid w:val="00451B0D"/>
    <w:rsid w:val="00470B4D"/>
    <w:rsid w:val="004A7F15"/>
    <w:rsid w:val="004E3037"/>
    <w:rsid w:val="004E30E5"/>
    <w:rsid w:val="004E4F71"/>
    <w:rsid w:val="00510927"/>
    <w:rsid w:val="00581AAC"/>
    <w:rsid w:val="005C63CE"/>
    <w:rsid w:val="005D77BC"/>
    <w:rsid w:val="005E6D9F"/>
    <w:rsid w:val="00601ED7"/>
    <w:rsid w:val="006137FF"/>
    <w:rsid w:val="00693E9A"/>
    <w:rsid w:val="006A4F5F"/>
    <w:rsid w:val="006B5A9E"/>
    <w:rsid w:val="006D52E1"/>
    <w:rsid w:val="006E1AD1"/>
    <w:rsid w:val="006E343B"/>
    <w:rsid w:val="007225A3"/>
    <w:rsid w:val="00741CA7"/>
    <w:rsid w:val="007A46EF"/>
    <w:rsid w:val="007D548A"/>
    <w:rsid w:val="0080076D"/>
    <w:rsid w:val="00801E2B"/>
    <w:rsid w:val="0080540C"/>
    <w:rsid w:val="00835594"/>
    <w:rsid w:val="00853E0E"/>
    <w:rsid w:val="00870AE4"/>
    <w:rsid w:val="00872B66"/>
    <w:rsid w:val="008960F2"/>
    <w:rsid w:val="008E09B5"/>
    <w:rsid w:val="008E21FB"/>
    <w:rsid w:val="00907063"/>
    <w:rsid w:val="00927E40"/>
    <w:rsid w:val="009342F4"/>
    <w:rsid w:val="00946175"/>
    <w:rsid w:val="00950545"/>
    <w:rsid w:val="0095134F"/>
    <w:rsid w:val="009751A2"/>
    <w:rsid w:val="009C0877"/>
    <w:rsid w:val="009C12B8"/>
    <w:rsid w:val="00A055D2"/>
    <w:rsid w:val="00A12682"/>
    <w:rsid w:val="00A177F6"/>
    <w:rsid w:val="00A209B7"/>
    <w:rsid w:val="00A67878"/>
    <w:rsid w:val="00A87CF9"/>
    <w:rsid w:val="00A93938"/>
    <w:rsid w:val="00AC782D"/>
    <w:rsid w:val="00AE5CD1"/>
    <w:rsid w:val="00B068BE"/>
    <w:rsid w:val="00B40218"/>
    <w:rsid w:val="00B47645"/>
    <w:rsid w:val="00B543CF"/>
    <w:rsid w:val="00B8767D"/>
    <w:rsid w:val="00BA7F45"/>
    <w:rsid w:val="00BC5B5B"/>
    <w:rsid w:val="00BD6665"/>
    <w:rsid w:val="00BE08EA"/>
    <w:rsid w:val="00BE73DC"/>
    <w:rsid w:val="00BF0BF1"/>
    <w:rsid w:val="00C24E26"/>
    <w:rsid w:val="00C6207D"/>
    <w:rsid w:val="00CA183C"/>
    <w:rsid w:val="00CD2CA0"/>
    <w:rsid w:val="00CF7B8F"/>
    <w:rsid w:val="00D30477"/>
    <w:rsid w:val="00D920F7"/>
    <w:rsid w:val="00DA709B"/>
    <w:rsid w:val="00DD2EB1"/>
    <w:rsid w:val="00DF4521"/>
    <w:rsid w:val="00E063E6"/>
    <w:rsid w:val="00F026C0"/>
    <w:rsid w:val="00F07847"/>
    <w:rsid w:val="00F14969"/>
    <w:rsid w:val="00F15E6A"/>
    <w:rsid w:val="00F34D09"/>
    <w:rsid w:val="00FB2500"/>
    <w:rsid w:val="00FC4E46"/>
    <w:rsid w:val="00FE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ABCD5"/>
  <w15:docId w15:val="{03825BFB-0C4C-428E-9540-320CA96B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548A"/>
    <w:rPr>
      <w:rFonts w:ascii="Arial" w:hAnsi="Arial"/>
      <w:sz w:val="22"/>
      <w:szCs w:val="22"/>
    </w:rPr>
  </w:style>
  <w:style w:type="paragraph" w:styleId="Heading1">
    <w:name w:val="heading 1"/>
    <w:basedOn w:val="Normal"/>
    <w:link w:val="Heading1Char"/>
    <w:uiPriority w:val="1"/>
    <w:qFormat/>
    <w:rsid w:val="0095134F"/>
    <w:pPr>
      <w:widowControl w:val="0"/>
      <w:spacing w:before="51"/>
      <w:ind w:left="140"/>
      <w:outlineLvl w:val="0"/>
    </w:pPr>
    <w:rPr>
      <w:rFonts w:eastAsia="Arial" w:cstheme="minorBidi"/>
      <w:b/>
      <w:bCs/>
      <w:sz w:val="39"/>
      <w:szCs w:val="39"/>
    </w:rPr>
  </w:style>
  <w:style w:type="paragraph" w:styleId="Heading2">
    <w:name w:val="heading 2"/>
    <w:basedOn w:val="Normal"/>
    <w:next w:val="Normal"/>
    <w:link w:val="Heading2Char"/>
    <w:uiPriority w:val="9"/>
    <w:semiHidden/>
    <w:unhideWhenUsed/>
    <w:rsid w:val="006E1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9F"/>
    <w:pPr>
      <w:tabs>
        <w:tab w:val="center" w:pos="4680"/>
        <w:tab w:val="right" w:pos="9360"/>
      </w:tabs>
    </w:pPr>
  </w:style>
  <w:style w:type="character" w:customStyle="1" w:styleId="HeaderChar">
    <w:name w:val="Header Char"/>
    <w:basedOn w:val="DefaultParagraphFont"/>
    <w:link w:val="Header"/>
    <w:uiPriority w:val="99"/>
    <w:rsid w:val="005E6D9F"/>
  </w:style>
  <w:style w:type="paragraph" w:styleId="Footer">
    <w:name w:val="footer"/>
    <w:basedOn w:val="Normal"/>
    <w:link w:val="FooterChar"/>
    <w:uiPriority w:val="99"/>
    <w:unhideWhenUsed/>
    <w:rsid w:val="005E6D9F"/>
    <w:pPr>
      <w:tabs>
        <w:tab w:val="center" w:pos="4680"/>
        <w:tab w:val="right" w:pos="9360"/>
      </w:tabs>
    </w:pPr>
  </w:style>
  <w:style w:type="character" w:customStyle="1" w:styleId="FooterChar">
    <w:name w:val="Footer Char"/>
    <w:basedOn w:val="DefaultParagraphFont"/>
    <w:link w:val="Footer"/>
    <w:uiPriority w:val="99"/>
    <w:rsid w:val="005E6D9F"/>
  </w:style>
  <w:style w:type="paragraph" w:styleId="BalloonText">
    <w:name w:val="Balloon Text"/>
    <w:basedOn w:val="Normal"/>
    <w:link w:val="BalloonTextChar"/>
    <w:uiPriority w:val="99"/>
    <w:semiHidden/>
    <w:unhideWhenUsed/>
    <w:rsid w:val="005E6D9F"/>
    <w:rPr>
      <w:rFonts w:ascii="Tahoma" w:hAnsi="Tahoma" w:cs="Tahoma"/>
      <w:sz w:val="16"/>
      <w:szCs w:val="16"/>
    </w:rPr>
  </w:style>
  <w:style w:type="character" w:customStyle="1" w:styleId="BalloonTextChar">
    <w:name w:val="Balloon Text Char"/>
    <w:link w:val="BalloonText"/>
    <w:uiPriority w:val="99"/>
    <w:semiHidden/>
    <w:rsid w:val="005E6D9F"/>
    <w:rPr>
      <w:rFonts w:ascii="Tahoma" w:hAnsi="Tahoma" w:cs="Tahoma"/>
      <w:sz w:val="16"/>
      <w:szCs w:val="16"/>
    </w:rPr>
  </w:style>
  <w:style w:type="table" w:styleId="TableGrid">
    <w:name w:val="Table Grid"/>
    <w:basedOn w:val="TableNormal"/>
    <w:uiPriority w:val="59"/>
    <w:rsid w:val="00B4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3938"/>
    <w:pPr>
      <w:spacing w:after="210" w:line="210" w:lineRule="atLeast"/>
      <w:jc w:val="both"/>
    </w:pPr>
    <w:rPr>
      <w:rFonts w:ascii="Times New Roman" w:eastAsia="Times New Roman" w:hAnsi="Times New Roman"/>
      <w:sz w:val="17"/>
      <w:szCs w:val="17"/>
    </w:rPr>
  </w:style>
  <w:style w:type="paragraph" w:styleId="ListParagraph">
    <w:name w:val="List Paragraph"/>
    <w:basedOn w:val="Normal"/>
    <w:link w:val="ListParagraphChar"/>
    <w:uiPriority w:val="34"/>
    <w:qFormat/>
    <w:rsid w:val="007D548A"/>
    <w:pPr>
      <w:numPr>
        <w:numId w:val="2"/>
      </w:numPr>
      <w:ind w:left="360"/>
      <w:contextualSpacing/>
    </w:pPr>
  </w:style>
  <w:style w:type="character" w:styleId="CommentReference">
    <w:name w:val="annotation reference"/>
    <w:basedOn w:val="DefaultParagraphFont"/>
    <w:uiPriority w:val="99"/>
    <w:semiHidden/>
    <w:unhideWhenUsed/>
    <w:rsid w:val="00035CF6"/>
    <w:rPr>
      <w:sz w:val="16"/>
      <w:szCs w:val="16"/>
    </w:rPr>
  </w:style>
  <w:style w:type="paragraph" w:styleId="CommentText">
    <w:name w:val="annotation text"/>
    <w:basedOn w:val="Normal"/>
    <w:link w:val="CommentTextChar"/>
    <w:uiPriority w:val="99"/>
    <w:unhideWhenUsed/>
    <w:rsid w:val="00035CF6"/>
    <w:rPr>
      <w:sz w:val="20"/>
      <w:szCs w:val="20"/>
    </w:rPr>
  </w:style>
  <w:style w:type="character" w:customStyle="1" w:styleId="CommentTextChar">
    <w:name w:val="Comment Text Char"/>
    <w:basedOn w:val="DefaultParagraphFont"/>
    <w:link w:val="CommentText"/>
    <w:uiPriority w:val="99"/>
    <w:rsid w:val="00035CF6"/>
  </w:style>
  <w:style w:type="paragraph" w:styleId="CommentSubject">
    <w:name w:val="annotation subject"/>
    <w:basedOn w:val="CommentText"/>
    <w:next w:val="CommentText"/>
    <w:link w:val="CommentSubjectChar"/>
    <w:uiPriority w:val="99"/>
    <w:semiHidden/>
    <w:unhideWhenUsed/>
    <w:rsid w:val="00035CF6"/>
    <w:rPr>
      <w:b/>
      <w:bCs/>
    </w:rPr>
  </w:style>
  <w:style w:type="character" w:customStyle="1" w:styleId="CommentSubjectChar">
    <w:name w:val="Comment Subject Char"/>
    <w:basedOn w:val="CommentTextChar"/>
    <w:link w:val="CommentSubject"/>
    <w:uiPriority w:val="99"/>
    <w:semiHidden/>
    <w:rsid w:val="00035CF6"/>
    <w:rPr>
      <w:b/>
      <w:bCs/>
    </w:rPr>
  </w:style>
  <w:style w:type="character" w:customStyle="1" w:styleId="Heading1Char">
    <w:name w:val="Heading 1 Char"/>
    <w:basedOn w:val="DefaultParagraphFont"/>
    <w:link w:val="Heading1"/>
    <w:uiPriority w:val="1"/>
    <w:rsid w:val="0095134F"/>
    <w:rPr>
      <w:rFonts w:ascii="Arial" w:eastAsia="Arial" w:hAnsi="Arial" w:cstheme="minorBidi"/>
      <w:b/>
      <w:bCs/>
      <w:sz w:val="39"/>
      <w:szCs w:val="39"/>
    </w:rPr>
  </w:style>
  <w:style w:type="character" w:customStyle="1" w:styleId="ListParagraphChar">
    <w:name w:val="List Paragraph Char"/>
    <w:link w:val="ListParagraph"/>
    <w:uiPriority w:val="34"/>
    <w:locked/>
    <w:rsid w:val="0095134F"/>
    <w:rPr>
      <w:rFonts w:ascii="Arial" w:hAnsi="Arial"/>
      <w:sz w:val="22"/>
      <w:szCs w:val="22"/>
    </w:rPr>
  </w:style>
  <w:style w:type="paragraph" w:styleId="BodyText">
    <w:name w:val="Body Text"/>
    <w:basedOn w:val="Normal"/>
    <w:link w:val="BodyTextChar"/>
    <w:uiPriority w:val="1"/>
    <w:qFormat/>
    <w:rsid w:val="0095134F"/>
    <w:pPr>
      <w:widowControl w:val="0"/>
      <w:ind w:left="1220" w:hanging="36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95134F"/>
    <w:rPr>
      <w:rFonts w:ascii="Times New Roman" w:eastAsia="Times New Roman" w:hAnsi="Times New Roman" w:cstheme="minorBidi"/>
      <w:sz w:val="24"/>
      <w:szCs w:val="24"/>
    </w:rPr>
  </w:style>
  <w:style w:type="paragraph" w:styleId="FootnoteText">
    <w:name w:val="footnote text"/>
    <w:basedOn w:val="Normal"/>
    <w:link w:val="FootnoteTextChar"/>
    <w:uiPriority w:val="99"/>
    <w:unhideWhenUsed/>
    <w:rsid w:val="0095134F"/>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5134F"/>
    <w:rPr>
      <w:rFonts w:asciiTheme="minorHAnsi" w:eastAsiaTheme="minorHAnsi" w:hAnsiTheme="minorHAnsi" w:cstheme="minorBidi"/>
    </w:rPr>
  </w:style>
  <w:style w:type="character" w:styleId="FootnoteReference">
    <w:name w:val="footnote reference"/>
    <w:basedOn w:val="DefaultParagraphFont"/>
    <w:uiPriority w:val="99"/>
    <w:unhideWhenUsed/>
    <w:rsid w:val="0095134F"/>
    <w:rPr>
      <w:vertAlign w:val="superscript"/>
    </w:rPr>
  </w:style>
  <w:style w:type="paragraph" w:customStyle="1" w:styleId="Default">
    <w:name w:val="Default"/>
    <w:rsid w:val="0095134F"/>
    <w:pPr>
      <w:autoSpaceDE w:val="0"/>
      <w:autoSpaceDN w:val="0"/>
      <w:adjustRightInd w:val="0"/>
    </w:pPr>
    <w:rPr>
      <w:rFonts w:ascii="CG Omega" w:eastAsiaTheme="minorHAnsi" w:hAnsi="CG Omega" w:cs="CG Omega"/>
      <w:color w:val="000000"/>
      <w:sz w:val="24"/>
      <w:szCs w:val="24"/>
    </w:rPr>
  </w:style>
  <w:style w:type="paragraph" w:styleId="Revision">
    <w:name w:val="Revision"/>
    <w:hidden/>
    <w:uiPriority w:val="99"/>
    <w:semiHidden/>
    <w:rsid w:val="00CF7B8F"/>
    <w:rPr>
      <w:rFonts w:ascii="Arial" w:hAnsi="Arial"/>
      <w:sz w:val="22"/>
      <w:szCs w:val="22"/>
    </w:rPr>
  </w:style>
  <w:style w:type="character" w:customStyle="1" w:styleId="Heading2Char">
    <w:name w:val="Heading 2 Char"/>
    <w:basedOn w:val="DefaultParagraphFont"/>
    <w:link w:val="Heading2"/>
    <w:uiPriority w:val="9"/>
    <w:semiHidden/>
    <w:rsid w:val="006E1AD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6E1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8621">
      <w:bodyDiv w:val="1"/>
      <w:marLeft w:val="0"/>
      <w:marRight w:val="0"/>
      <w:marTop w:val="0"/>
      <w:marBottom w:val="0"/>
      <w:divBdr>
        <w:top w:val="none" w:sz="0" w:space="0" w:color="auto"/>
        <w:left w:val="none" w:sz="0" w:space="0" w:color="auto"/>
        <w:bottom w:val="none" w:sz="0" w:space="0" w:color="auto"/>
        <w:right w:val="none" w:sz="0" w:space="0" w:color="auto"/>
      </w:divBdr>
    </w:div>
    <w:div w:id="917517161">
      <w:bodyDiv w:val="1"/>
      <w:marLeft w:val="0"/>
      <w:marRight w:val="0"/>
      <w:marTop w:val="0"/>
      <w:marBottom w:val="0"/>
      <w:divBdr>
        <w:top w:val="none" w:sz="0" w:space="0" w:color="auto"/>
        <w:left w:val="none" w:sz="0" w:space="0" w:color="auto"/>
        <w:bottom w:val="none" w:sz="0" w:space="0" w:color="auto"/>
        <w:right w:val="none" w:sz="0" w:space="0" w:color="auto"/>
      </w:divBdr>
    </w:div>
    <w:div w:id="1991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Gottlieb\AppData\Roaming\Microsoft\Templates\OCC%20Forms\Bullet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1C58-73B5-4D8D-8F0B-27DEFD45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Template</Template>
  <TotalTime>0</TotalTime>
  <Pages>3</Pages>
  <Words>1130</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Dow</dc:creator>
  <cp:lastModifiedBy>Gottlieb, Mary</cp:lastModifiedBy>
  <cp:revision>2</cp:revision>
  <dcterms:created xsi:type="dcterms:W3CDTF">2021-01-12T14:57:00Z</dcterms:created>
  <dcterms:modified xsi:type="dcterms:W3CDTF">2021-01-12T14:57:00Z</dcterms:modified>
</cp:coreProperties>
</file>