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056E22" w:rsidRDefault="00DD37F3" w14:paraId="0D91FC40" w14:textId="77777777">
      <w:pPr>
        <w:pStyle w:val="BodyText"/>
        <w:ind w:left="379" w:right="136"/>
        <w:jc w:val="center"/>
        <w:rPr>
          <w:b/>
          <w:bCs/>
        </w:rPr>
      </w:pPr>
      <w:r>
        <w:rPr>
          <w:b/>
          <w:bCs/>
        </w:rPr>
        <w:t>Office of the Comptroller of the Currency</w:t>
      </w:r>
    </w:p>
    <w:p w:rsidR="00DD37F3" w:rsidP="00056E22" w:rsidRDefault="00DD37F3" w14:paraId="3486CC03" w14:textId="77777777">
      <w:pPr>
        <w:pStyle w:val="BodyText"/>
        <w:ind w:left="379" w:right="136"/>
        <w:jc w:val="center"/>
        <w:rPr>
          <w:b/>
          <w:bCs/>
        </w:rPr>
      </w:pPr>
      <w:r>
        <w:rPr>
          <w:b/>
          <w:bCs/>
        </w:rPr>
        <w:t>Supporting Statement</w:t>
      </w:r>
    </w:p>
    <w:p w:rsidR="00DD37F3" w:rsidP="00056E22" w:rsidRDefault="00DD37F3" w14:paraId="324D61BD" w14:textId="475643DA">
      <w:pPr>
        <w:pStyle w:val="BodyText"/>
        <w:ind w:left="379" w:right="136"/>
        <w:jc w:val="center"/>
        <w:rPr>
          <w:b/>
          <w:bCs/>
        </w:rPr>
      </w:pPr>
      <w:r>
        <w:rPr>
          <w:b/>
          <w:bCs/>
        </w:rPr>
        <w:t>L</w:t>
      </w:r>
      <w:r w:rsidR="004B7D91">
        <w:rPr>
          <w:b/>
          <w:bCs/>
        </w:rPr>
        <w:t>ibor</w:t>
      </w:r>
      <w:r>
        <w:rPr>
          <w:b/>
          <w:bCs/>
        </w:rPr>
        <w:t xml:space="preserve"> </w:t>
      </w:r>
      <w:r w:rsidR="001C421B">
        <w:rPr>
          <w:b/>
          <w:bCs/>
        </w:rPr>
        <w:t>Self-Assessment</w:t>
      </w:r>
    </w:p>
    <w:p w:rsidR="00DD37F3" w:rsidP="00056E22" w:rsidRDefault="00DD37F3" w14:paraId="5DAB508C" w14:textId="5567FD2B">
      <w:pPr>
        <w:pStyle w:val="BodyText"/>
        <w:ind w:left="379" w:right="136"/>
        <w:jc w:val="center"/>
        <w:rPr>
          <w:b/>
          <w:bCs/>
        </w:rPr>
      </w:pPr>
      <w:r>
        <w:rPr>
          <w:b/>
          <w:bCs/>
        </w:rPr>
        <w:t>OMB Control No. 1557-</w:t>
      </w:r>
      <w:r w:rsidR="005C336E">
        <w:rPr>
          <w:b/>
          <w:bCs/>
        </w:rPr>
        <w:t>0349</w:t>
      </w:r>
    </w:p>
    <w:p w:rsidRPr="00DD37F3" w:rsidR="00DD37F3" w:rsidP="00056E22" w:rsidRDefault="00DD37F3" w14:paraId="103DF03E" w14:textId="77777777">
      <w:pPr>
        <w:pStyle w:val="BodyText"/>
        <w:ind w:left="379" w:right="136"/>
        <w:jc w:val="center"/>
        <w:rPr>
          <w:b/>
          <w:bCs/>
        </w:rPr>
      </w:pPr>
    </w:p>
    <w:p w:rsidRPr="001A33BF" w:rsidR="00063BE2" w:rsidP="00056E2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56E22" w:rsidRDefault="00063BE2" w14:paraId="49E67038" w14:textId="77777777">
      <w:pPr>
        <w:rPr>
          <w:sz w:val="24"/>
        </w:rPr>
      </w:pPr>
    </w:p>
    <w:p w:rsidR="00063BE2" w:rsidP="00056E2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AB03EB" w:rsidP="00056E22" w:rsidRDefault="00AB03EB" w14:paraId="50C8AE2E" w14:textId="36C73D98"/>
    <w:p w:rsidR="00AB03EB" w:rsidP="00056E22" w:rsidRDefault="00AB03EB" w14:paraId="08B50928" w14:textId="59FAADA4">
      <w:pPr>
        <w:tabs>
          <w:tab w:val="left" w:pos="360"/>
          <w:tab w:val="left" w:pos="540"/>
        </w:tabs>
        <w:ind w:left="360"/>
      </w:pPr>
      <w:r>
        <w:t xml:space="preserve">The OCC obtained emergency approval for use of the Libor Self-Assessment tool </w:t>
      </w:r>
      <w:r w:rsidR="005C336E">
        <w:t>and subsequently obtained emergency approval</w:t>
      </w:r>
      <w:r>
        <w:t xml:space="preserve"> to add additional questions to the tool to further emphasize that the alternative rates selected by the supervised institutions should be robust and appropriate for their risk. </w:t>
      </w:r>
      <w:r w:rsidR="005C336E">
        <w:t>The OCC is now seeking renewal of the emergency approvals.</w:t>
      </w:r>
    </w:p>
    <w:p w:rsidRPr="001A33BF" w:rsidR="00180B09" w:rsidP="00056E22" w:rsidRDefault="00180B09" w14:paraId="31F516DF" w14:textId="77777777">
      <w:pPr>
        <w:tabs>
          <w:tab w:val="left" w:pos="360"/>
          <w:tab w:val="left" w:pos="540"/>
        </w:tabs>
        <w:rPr>
          <w:b/>
          <w:bCs/>
          <w:i/>
          <w:iCs/>
          <w:sz w:val="24"/>
          <w:szCs w:val="24"/>
        </w:rPr>
      </w:pPr>
    </w:p>
    <w:p w:rsidRPr="00B854A0" w:rsidR="00AB03EB" w:rsidP="00056E22" w:rsidRDefault="00AB03EB" w14:paraId="4C26D621" w14:textId="4F86982B">
      <w:pPr>
        <w:pStyle w:val="BodyText"/>
        <w:tabs>
          <w:tab w:val="left" w:pos="360"/>
          <w:tab w:val="left" w:pos="540"/>
        </w:tabs>
        <w:ind w:left="379" w:right="136"/>
        <w:rPr>
          <w:b/>
          <w:bCs/>
        </w:rPr>
      </w:pPr>
      <w:r w:rsidRPr="00B854A0">
        <w:rPr>
          <w:b/>
          <w:bCs/>
        </w:rPr>
        <w:t>Background</w:t>
      </w:r>
    </w:p>
    <w:p w:rsidR="00AB03EB" w:rsidP="00056E22" w:rsidRDefault="00AB03EB" w14:paraId="79888242" w14:textId="77777777">
      <w:pPr>
        <w:pStyle w:val="BodyText"/>
        <w:tabs>
          <w:tab w:val="left" w:pos="360"/>
          <w:tab w:val="left" w:pos="540"/>
        </w:tabs>
        <w:ind w:left="379" w:right="136"/>
      </w:pPr>
    </w:p>
    <w:p w:rsidR="00056E22" w:rsidP="00056E22" w:rsidRDefault="00056E22" w14:paraId="20C809E7" w14:textId="0018C17B">
      <w:pPr>
        <w:pStyle w:val="BodyText"/>
        <w:tabs>
          <w:tab w:val="left" w:pos="180"/>
          <w:tab w:val="left" w:pos="540"/>
        </w:tabs>
        <w:ind w:left="360" w:right="136"/>
      </w:pPr>
      <w:r>
        <w:t xml:space="preserve">The cessation of the London </w:t>
      </w:r>
      <w:proofErr w:type="spellStart"/>
      <w:r>
        <w:t>InterBank</w:t>
      </w:r>
      <w:proofErr w:type="spellEnd"/>
      <w:r>
        <w:t xml:space="preserve"> Offered Rate (Libor) prompted the OCC to create a self-assessment tool for banks to use in preparing for the Libor cessation.  The self-assessment tool was created to assess the appropriateness of a bank’s Libor transition plan, the execution of the plan by its management, and related matters.  </w:t>
      </w:r>
    </w:p>
    <w:p w:rsidR="00056E22" w:rsidP="00056E22" w:rsidRDefault="00056E22" w14:paraId="50C344DA" w14:textId="77777777">
      <w:pPr>
        <w:pStyle w:val="BodyText"/>
        <w:tabs>
          <w:tab w:val="left" w:pos="180"/>
          <w:tab w:val="left" w:pos="540"/>
        </w:tabs>
        <w:ind w:left="360" w:right="136"/>
      </w:pPr>
    </w:p>
    <w:p w:rsidR="00056E22" w:rsidP="00056E22" w:rsidRDefault="00056E22" w14:paraId="3530B45E" w14:textId="386D418C">
      <w:pPr>
        <w:pStyle w:val="BodyText"/>
        <w:ind w:left="360" w:right="215"/>
        <w:rPr>
          <w:position w:val="9"/>
          <w:sz w:val="16"/>
        </w:rPr>
      </w:pPr>
      <w:r>
        <w:t>The Intercontinental Exchange Libor is a reference rate that is intended to reflect the cost of unsecured interbank borrowing.  Libor is published daily in five currencies with seven maturities ranging from overnight to 12 months.  It is used globally in the over-the-counter derivatives market, bonds, loan products, and securitizations.  As of the end of 2020, $223 trillion of financial instruments were exposed to U.S. dollar (USD) Libor as the primary reference rate.</w:t>
      </w:r>
      <w:r>
        <w:rPr>
          <w:rStyle w:val="FootnoteReference"/>
          <w:rFonts w:eastAsiaTheme="majorEastAsia"/>
        </w:rPr>
        <w:footnoteReference w:id="1"/>
      </w:r>
      <w:r>
        <w:t xml:space="preserve"> </w:t>
      </w:r>
      <w:r>
        <w:rPr>
          <w:position w:val="9"/>
          <w:sz w:val="16"/>
        </w:rPr>
        <w:t xml:space="preserve"> </w:t>
      </w:r>
    </w:p>
    <w:p w:rsidR="00056E22" w:rsidP="00056E22" w:rsidRDefault="00056E22" w14:paraId="527878E4" w14:textId="77777777">
      <w:pPr>
        <w:pStyle w:val="BodyText"/>
        <w:ind w:left="360" w:right="215"/>
      </w:pPr>
    </w:p>
    <w:p w:rsidR="00056E22" w:rsidP="00056E22" w:rsidRDefault="00056E22" w14:paraId="28843EA2" w14:textId="00519472">
      <w:pPr>
        <w:pStyle w:val="BodyText"/>
        <w:ind w:left="360" w:right="190"/>
      </w:pPr>
      <w:r>
        <w:t>While certain reference rates have ceased to be reported in the past, the significant exposure of the financial markets to Libor creates the need for banks to assess whether they are identifying applicable risks, preparing for Libor cessation, and successfully transitioning to replacement reference rates.  Libor is referenced globally, and its cessation could affect banks of all sizes through direct or indirect exposure.</w:t>
      </w:r>
    </w:p>
    <w:p w:rsidR="00056E22" w:rsidP="00056E22" w:rsidRDefault="00056E22" w14:paraId="54B89462" w14:textId="77777777">
      <w:pPr>
        <w:pStyle w:val="BodyText"/>
        <w:ind w:left="360" w:right="190"/>
      </w:pPr>
    </w:p>
    <w:p w:rsidR="00056E22" w:rsidP="00056E22" w:rsidRDefault="00056E22" w14:paraId="7463A770" w14:textId="68628B52">
      <w:pPr>
        <w:pStyle w:val="BodyText"/>
        <w:ind w:left="360" w:right="102"/>
      </w:pPr>
      <w:r>
        <w:t>There is risk of market disruptions, litigation, and destabilized balance sheets if acceptable replacement rates do not attract sufficient market-wide acceptance or if contracts cannot seamlessly transition to new rates.  A bank’s risk exposure from Libor cessation depends on the bank’s specific circumstances.  Many community banks may not offer products or services that use Libor.  However, community banks could have Libor exposure in positions such as Federal Home Loan Bank (FHLB) borrowings, mortgage-backed securities, or bonds in the banks’ investment portfolios.</w:t>
      </w:r>
    </w:p>
    <w:p w:rsidR="00056E22" w:rsidP="00056E22" w:rsidRDefault="00056E22" w14:paraId="2787BE47" w14:textId="77777777">
      <w:pPr>
        <w:pStyle w:val="BodyText"/>
        <w:ind w:left="360" w:right="102"/>
      </w:pPr>
    </w:p>
    <w:p w:rsidR="00056E22" w:rsidP="00056E22" w:rsidRDefault="00056E22" w14:paraId="2E1B64AE" w14:textId="1070C9E0">
      <w:pPr>
        <w:pStyle w:val="BodyText"/>
        <w:ind w:left="360"/>
      </w:pPr>
      <w:r>
        <w:t xml:space="preserve">Libor exposure can exist in all product categories and lines of business, both on or off the balance sheet, and in asset management activities.  Risk can also emanate from third-party relationships </w:t>
      </w:r>
      <w:r>
        <w:lastRenderedPageBreak/>
        <w:t>because Libor is often used in pricing models, financial models, and in other parts of banks’ infrastructure, such as core processing.</w:t>
      </w:r>
    </w:p>
    <w:p w:rsidR="00056E22" w:rsidP="00056E22" w:rsidRDefault="00056E22" w14:paraId="51FD4129" w14:textId="77777777">
      <w:pPr>
        <w:pStyle w:val="BodyText"/>
        <w:ind w:left="360"/>
      </w:pPr>
    </w:p>
    <w:p w:rsidR="00056E22" w:rsidP="00056E22" w:rsidRDefault="00056E22" w14:paraId="6BF23DC0" w14:textId="5ECBA796">
      <w:pPr>
        <w:pStyle w:val="BodyText"/>
        <w:ind w:left="360"/>
      </w:pPr>
      <w:r>
        <w:t>The ubiquity of Libor, present in over $200 trillion notional contracts, makes moving off the rate incredibly complicated.  Many existing contracts do not include sufficient provisions if Libor becomes unavailable (known as fallback provisions).  Without adequate preparation, Libor cessation could cause market disruption and present risks to banks and their customers.  In addition, fallback provision language does not sufficiently account for a permanent cessation of Libor.  The Federal banking agencies published a statement communicating that banks should discontinue entering into contracts that use USD Libor as a reference rate as soon as practicable and in any event by the end of 2021 (with a few exceptions for orderly market support).</w:t>
      </w:r>
      <w:r>
        <w:rPr>
          <w:rStyle w:val="FootnoteReference"/>
          <w:rFonts w:eastAsiaTheme="majorEastAsia"/>
        </w:rPr>
        <w:footnoteReference w:id="2"/>
      </w:r>
      <w:r>
        <w:t xml:space="preserve">  </w:t>
      </w:r>
    </w:p>
    <w:p w:rsidR="00056E22" w:rsidP="00056E22" w:rsidRDefault="00056E22" w14:paraId="24F266AB" w14:textId="77777777">
      <w:pPr>
        <w:pStyle w:val="BodyText"/>
        <w:ind w:left="360"/>
      </w:pPr>
    </w:p>
    <w:p w:rsidR="00056E22" w:rsidP="00056E22" w:rsidRDefault="00056E22" w14:paraId="4737E716" w14:textId="31C689D6">
      <w:pPr>
        <w:pStyle w:val="BodyText"/>
        <w:ind w:left="360" w:hanging="360"/>
      </w:pPr>
      <w:r>
        <w:t xml:space="preserve">      Given that banks should not be creating new Libor exposure, the prevalence of Libor, and the remaining work to be done within the timeframe described above, the OCC has made this self-assessment tool available to banks, due to the immediate need and the brief duration of use, to help banks prepare for Libor-related risk.</w:t>
      </w:r>
    </w:p>
    <w:p w:rsidR="00056E22" w:rsidP="00056E22" w:rsidRDefault="00056E22" w14:paraId="7C019C7F" w14:textId="77777777">
      <w:pPr>
        <w:pStyle w:val="BodyText"/>
        <w:ind w:left="360" w:hanging="360"/>
      </w:pPr>
    </w:p>
    <w:p w:rsidR="00056E22" w:rsidP="00056E22" w:rsidRDefault="00056E22" w14:paraId="46A9060B" w14:textId="65080B01">
      <w:pPr>
        <w:pStyle w:val="BodyText"/>
        <w:ind w:left="360" w:right="124" w:hanging="360"/>
      </w:pPr>
      <w:r>
        <w:t xml:space="preserve">      Banks may use the self-assessment to determine whether they have risk management processes in place to identify and mitigate their Libor transition risks.  Not all sections or questions will apply to all banks.  Applicable risks (</w:t>
      </w:r>
      <w:r>
        <w:rPr>
          <w:i/>
          <w:iCs/>
        </w:rPr>
        <w:t>e.g.</w:t>
      </w:r>
      <w:r>
        <w:t xml:space="preserve">, operational, compliance, strategic, and reputation) can be identified when scoping and completing Libor cessation preparedness assessments. </w:t>
      </w:r>
    </w:p>
    <w:p w:rsidR="00B854A0" w:rsidP="00056E22" w:rsidRDefault="00B854A0" w14:paraId="7C9137AA" w14:textId="77777777">
      <w:pPr>
        <w:pStyle w:val="BodyText"/>
        <w:ind w:left="360" w:right="490"/>
      </w:pPr>
      <w:bookmarkStart w:name="Background" w:id="0"/>
      <w:bookmarkEnd w:id="0"/>
    </w:p>
    <w:p w:rsidR="00063BE2" w:rsidP="00056E22" w:rsidRDefault="00063BE2" w14:paraId="3A4598C0" w14:textId="77777777">
      <w:pPr>
        <w:pStyle w:val="BodyText"/>
        <w:ind w:right="162"/>
        <w:jc w:val="both"/>
        <w:rPr>
          <w:b/>
          <w:i/>
        </w:rPr>
      </w:pPr>
      <w:bookmarkStart w:name="Supervisory_Memorandum_2020-10,_Libor_Wo" w:id="1"/>
      <w:bookmarkEnd w:id="1"/>
      <w:r>
        <w:rPr>
          <w:b/>
          <w:bCs/>
          <w:i/>
          <w:iCs/>
        </w:rPr>
        <w:t>2.</w:t>
      </w:r>
      <w:r>
        <w:rPr>
          <w:b/>
          <w:bCs/>
          <w:i/>
          <w:iCs/>
        </w:rPr>
        <w:tab/>
      </w:r>
      <w:r>
        <w:rPr>
          <w:b/>
          <w:i/>
          <w:spacing w:val="-1"/>
        </w:rPr>
        <w:t>Use of the information:</w:t>
      </w:r>
    </w:p>
    <w:p w:rsidR="00180B09" w:rsidP="00056E22" w:rsidRDefault="00180B09" w14:paraId="799742A4" w14:textId="77777777">
      <w:pPr>
        <w:pStyle w:val="BodyText"/>
        <w:rPr>
          <w:b/>
        </w:rPr>
      </w:pPr>
    </w:p>
    <w:p w:rsidR="00063BE2" w:rsidP="00056E22" w:rsidRDefault="00A12D01" w14:paraId="1E6C8245" w14:textId="00C25F52">
      <w:pPr>
        <w:pStyle w:val="BodyText"/>
        <w:ind w:left="379" w:right="124"/>
      </w:pPr>
      <w:r>
        <w:t xml:space="preserve">Banks may use this </w:t>
      </w:r>
      <w:r w:rsidR="001C421B">
        <w:t>self-assessment</w:t>
      </w:r>
      <w:r>
        <w:t xml:space="preserve"> to d</w:t>
      </w:r>
      <w:r w:rsidR="00180B09">
        <w:t xml:space="preserve">etermine whether </w:t>
      </w:r>
      <w:r w:rsidR="00AA0A76">
        <w:t>they</w:t>
      </w:r>
      <w:r>
        <w:t xml:space="preserve"> </w:t>
      </w:r>
      <w:r w:rsidR="00180B09">
        <w:t>ha</w:t>
      </w:r>
      <w:r w:rsidR="00AA0A76">
        <w:t>ve</w:t>
      </w:r>
      <w:r w:rsidR="00180B09">
        <w:t xml:space="preserve"> risk management processes in place to identify and mitigate the banks</w:t>
      </w:r>
      <w:r w:rsidR="00F42828">
        <w:t>’</w:t>
      </w:r>
      <w:r w:rsidR="00180B09">
        <w:t xml:space="preserve"> Libor transition risks. </w:t>
      </w:r>
      <w:r>
        <w:t xml:space="preserve"> </w:t>
      </w:r>
      <w:r w:rsidR="00180B09">
        <w:t>Not all sections or questions apply to all banks.</w:t>
      </w:r>
      <w:r>
        <w:t xml:space="preserve"> </w:t>
      </w:r>
      <w:r w:rsidR="00180B09">
        <w:t xml:space="preserve"> </w:t>
      </w:r>
      <w:r>
        <w:t>A</w:t>
      </w:r>
      <w:r w:rsidR="00180B09">
        <w:t>pplicable risks (</w:t>
      </w:r>
      <w:r w:rsidRPr="004A72A4" w:rsidR="00180B09">
        <w:rPr>
          <w:i/>
          <w:iCs/>
        </w:rPr>
        <w:t>e.g.</w:t>
      </w:r>
      <w:r w:rsidR="00180B09">
        <w:t xml:space="preserve">, operational, compliance, strategic, and reputation) </w:t>
      </w:r>
      <w:r>
        <w:t xml:space="preserve">can be identified </w:t>
      </w:r>
      <w:r w:rsidR="00180B09">
        <w:t xml:space="preserve">when scoping and completing Libor cessation preparedness assessments. </w:t>
      </w:r>
    </w:p>
    <w:p w:rsidR="00A12D01" w:rsidP="00056E22" w:rsidRDefault="00A12D01" w14:paraId="7E5A9F47" w14:textId="23F91726">
      <w:pPr>
        <w:pStyle w:val="BodyText"/>
        <w:rPr>
          <w:b/>
          <w:bCs/>
          <w:i/>
          <w:iCs/>
        </w:rPr>
      </w:pPr>
    </w:p>
    <w:p w:rsidR="00063BE2" w:rsidP="00056E2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56E22" w:rsidRDefault="00063BE2" w14:paraId="5B8FD583" w14:textId="77777777">
      <w:pPr>
        <w:rPr>
          <w:sz w:val="24"/>
        </w:rPr>
      </w:pPr>
    </w:p>
    <w:p w:rsidR="00063BE2" w:rsidP="00056E22" w:rsidRDefault="005B17DB" w14:paraId="37FEE113" w14:textId="0AD8DDA9">
      <w:pPr>
        <w:rPr>
          <w:sz w:val="24"/>
        </w:rPr>
      </w:pPr>
      <w:r>
        <w:rPr>
          <w:sz w:val="24"/>
        </w:rPr>
        <w:t xml:space="preserve">       </w:t>
      </w:r>
      <w:r w:rsidR="00063BE2">
        <w:rPr>
          <w:sz w:val="24"/>
        </w:rPr>
        <w:t>Not applicable.</w:t>
      </w:r>
    </w:p>
    <w:p w:rsidR="00063BE2" w:rsidP="00056E22" w:rsidRDefault="00063BE2" w14:paraId="480D719D" w14:textId="77777777">
      <w:pPr>
        <w:rPr>
          <w:sz w:val="24"/>
        </w:rPr>
      </w:pPr>
    </w:p>
    <w:p w:rsidR="00063BE2" w:rsidP="00056E2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56E22" w:rsidRDefault="00063BE2" w14:paraId="2D82E652" w14:textId="77777777">
      <w:pPr>
        <w:rPr>
          <w:sz w:val="24"/>
        </w:rPr>
      </w:pPr>
    </w:p>
    <w:p w:rsidR="00063BE2" w:rsidP="00056E22" w:rsidRDefault="005B17DB" w14:paraId="11CAAF62" w14:textId="20D21E5B">
      <w:pPr>
        <w:tabs>
          <w:tab w:val="left" w:pos="270"/>
          <w:tab w:val="left" w:pos="360"/>
        </w:tabs>
        <w:rPr>
          <w:sz w:val="24"/>
        </w:rPr>
      </w:pPr>
      <w:r>
        <w:rPr>
          <w:sz w:val="24"/>
        </w:rPr>
        <w:t xml:space="preserve">        </w:t>
      </w:r>
      <w:r w:rsidR="00063BE2">
        <w:rPr>
          <w:sz w:val="24"/>
        </w:rPr>
        <w:t>There is no duplication.</w:t>
      </w:r>
    </w:p>
    <w:p w:rsidR="00063BE2" w:rsidP="00056E22" w:rsidRDefault="00063BE2" w14:paraId="27B7030B" w14:textId="77777777">
      <w:pPr>
        <w:rPr>
          <w:sz w:val="24"/>
        </w:rPr>
      </w:pPr>
    </w:p>
    <w:p w:rsidRPr="00B021B1" w:rsidR="00063BE2" w:rsidP="00056E2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56E22" w:rsidRDefault="00063BE2" w14:paraId="1AAA15AA" w14:textId="77777777">
      <w:pPr>
        <w:rPr>
          <w:b/>
          <w:bCs/>
          <w:i/>
          <w:iCs/>
          <w:sz w:val="24"/>
        </w:rPr>
      </w:pPr>
    </w:p>
    <w:p w:rsidRPr="00A05D30" w:rsidR="00063BE2" w:rsidP="00056E22" w:rsidRDefault="005B17DB" w14:paraId="0A0DDD13" w14:textId="689EDBE5">
      <w:pPr>
        <w:rPr>
          <w:bCs/>
          <w:iCs/>
          <w:sz w:val="24"/>
        </w:rPr>
      </w:pPr>
      <w:r>
        <w:rPr>
          <w:bCs/>
          <w:iCs/>
          <w:sz w:val="24"/>
        </w:rPr>
        <w:t xml:space="preserve">         </w:t>
      </w:r>
      <w:r w:rsidR="00063BE2">
        <w:rPr>
          <w:bCs/>
          <w:iCs/>
          <w:sz w:val="24"/>
        </w:rPr>
        <w:t>Not applicable.</w:t>
      </w:r>
    </w:p>
    <w:p w:rsidR="00063BE2" w:rsidP="00056E22" w:rsidRDefault="00063BE2" w14:paraId="50E6CBDD" w14:textId="77777777">
      <w:pPr>
        <w:rPr>
          <w:sz w:val="24"/>
        </w:rPr>
      </w:pPr>
    </w:p>
    <w:p w:rsidR="00063BE2" w:rsidP="00056E2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56E22" w:rsidRDefault="00063BE2" w14:paraId="2A0B2AEC" w14:textId="77777777">
      <w:pPr>
        <w:rPr>
          <w:sz w:val="24"/>
        </w:rPr>
      </w:pPr>
    </w:p>
    <w:p w:rsidR="00063BE2" w:rsidP="00056E22" w:rsidRDefault="005B17DB" w14:paraId="097A64BF" w14:textId="37E42AEC">
      <w:pPr>
        <w:rPr>
          <w:sz w:val="24"/>
        </w:rPr>
      </w:pPr>
      <w:r>
        <w:rPr>
          <w:sz w:val="24"/>
        </w:rPr>
        <w:t xml:space="preserve">         </w:t>
      </w:r>
      <w:r w:rsidR="00063BE2">
        <w:rPr>
          <w:sz w:val="24"/>
        </w:rPr>
        <w:t xml:space="preserve">Not applicable.  </w:t>
      </w:r>
    </w:p>
    <w:p w:rsidR="00063BE2" w:rsidP="00056E22" w:rsidRDefault="00063BE2" w14:paraId="3777B207" w14:textId="77777777">
      <w:pPr>
        <w:rPr>
          <w:sz w:val="24"/>
        </w:rPr>
      </w:pPr>
    </w:p>
    <w:p w:rsidRPr="001A33BF" w:rsidR="00063BE2" w:rsidP="00056E22" w:rsidRDefault="00063BE2" w14:paraId="05F58AB1" w14:textId="77777777">
      <w:pPr>
        <w:rPr>
          <w:b/>
          <w:bCs/>
          <w:i/>
          <w:iCs/>
          <w:sz w:val="24"/>
          <w:szCs w:val="24"/>
        </w:rPr>
      </w:pPr>
      <w:r w:rsidRPr="001A33BF">
        <w:rPr>
          <w:b/>
          <w:bCs/>
          <w:i/>
          <w:iCs/>
          <w:sz w:val="24"/>
          <w:szCs w:val="24"/>
        </w:rPr>
        <w:t xml:space="preserve">7.        </w:t>
      </w:r>
      <w:r>
        <w:rPr>
          <w:b/>
          <w:bCs/>
          <w:i/>
          <w:iCs/>
          <w:sz w:val="24"/>
          <w:szCs w:val="24"/>
        </w:rPr>
        <w:t xml:space="preserve">Special circumstances that would cause an information collection to be conducted in a </w:t>
      </w:r>
      <w:r>
        <w:rPr>
          <w:b/>
          <w:bCs/>
          <w:i/>
          <w:iCs/>
          <w:sz w:val="24"/>
          <w:szCs w:val="24"/>
        </w:rPr>
        <w:lastRenderedPageBreak/>
        <w:t>manner inconsistent with 12 CFR part 1320:</w:t>
      </w:r>
    </w:p>
    <w:p w:rsidR="00063BE2" w:rsidP="00056E22" w:rsidRDefault="00063BE2" w14:paraId="37D65B1A" w14:textId="77777777">
      <w:pPr>
        <w:rPr>
          <w:sz w:val="24"/>
        </w:rPr>
      </w:pPr>
    </w:p>
    <w:p w:rsidR="00063BE2" w:rsidP="00056E22" w:rsidRDefault="005B17DB" w14:paraId="3571D421" w14:textId="51B2BA3B">
      <w:pPr>
        <w:rPr>
          <w:sz w:val="24"/>
        </w:rPr>
      </w:pPr>
      <w:r>
        <w:rPr>
          <w:sz w:val="24"/>
        </w:rPr>
        <w:t xml:space="preserve">        </w:t>
      </w:r>
      <w:r w:rsidR="00063BE2">
        <w:rPr>
          <w:sz w:val="24"/>
        </w:rPr>
        <w:t>Not applicable.</w:t>
      </w:r>
    </w:p>
    <w:p w:rsidR="00063BE2" w:rsidP="00056E22" w:rsidRDefault="00063BE2" w14:paraId="6AE3CE1A" w14:textId="77777777">
      <w:pPr>
        <w:rPr>
          <w:sz w:val="24"/>
        </w:rPr>
      </w:pPr>
    </w:p>
    <w:p w:rsidR="00063BE2" w:rsidP="00056E2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56E22" w:rsidRDefault="00063BE2" w14:paraId="3DFABAEB" w14:textId="77777777">
      <w:pPr>
        <w:rPr>
          <w:sz w:val="24"/>
        </w:rPr>
      </w:pPr>
    </w:p>
    <w:p w:rsidR="00063BE2" w:rsidP="00056E22" w:rsidRDefault="00C43F7E" w14:paraId="2742572E" w14:textId="3B048F7B">
      <w:pPr>
        <w:ind w:left="720"/>
        <w:rPr>
          <w:sz w:val="24"/>
        </w:rPr>
      </w:pPr>
      <w:r>
        <w:rPr>
          <w:sz w:val="24"/>
        </w:rPr>
        <w:t xml:space="preserve">The OCC issued a notice </w:t>
      </w:r>
      <w:r w:rsidR="00EE6E3B">
        <w:rPr>
          <w:sz w:val="24"/>
        </w:rPr>
        <w:t xml:space="preserve">concerning the collection </w:t>
      </w:r>
      <w:r>
        <w:rPr>
          <w:sz w:val="24"/>
        </w:rPr>
        <w:t>for 60 days of comment on October 22, 2021</w:t>
      </w:r>
      <w:r w:rsidR="00EE6E3B">
        <w:rPr>
          <w:sz w:val="24"/>
        </w:rPr>
        <w:t>, 86 FR 58723.  No comments were received.</w:t>
      </w:r>
    </w:p>
    <w:p w:rsidR="00063BE2" w:rsidP="00056E22" w:rsidRDefault="00063BE2" w14:paraId="1A3009EF" w14:textId="77777777">
      <w:pPr>
        <w:ind w:firstLine="720"/>
        <w:rPr>
          <w:sz w:val="24"/>
        </w:rPr>
      </w:pPr>
    </w:p>
    <w:p w:rsidR="00063BE2" w:rsidP="00056E2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56E22" w:rsidRDefault="00063BE2" w14:paraId="15D627C5" w14:textId="77777777">
      <w:pPr>
        <w:rPr>
          <w:sz w:val="24"/>
        </w:rPr>
      </w:pPr>
    </w:p>
    <w:p w:rsidR="00063BE2" w:rsidP="00056E22" w:rsidRDefault="00063BE2" w14:paraId="53C05F78" w14:textId="77777777">
      <w:pPr>
        <w:ind w:firstLine="720"/>
        <w:rPr>
          <w:sz w:val="24"/>
        </w:rPr>
      </w:pPr>
      <w:r>
        <w:rPr>
          <w:sz w:val="24"/>
        </w:rPr>
        <w:t>None.</w:t>
      </w:r>
    </w:p>
    <w:p w:rsidR="00063BE2" w:rsidP="00056E22" w:rsidRDefault="00063BE2" w14:paraId="161B738F" w14:textId="77777777">
      <w:pPr>
        <w:pStyle w:val="BodyText"/>
        <w:tabs>
          <w:tab w:val="left" w:pos="460"/>
        </w:tabs>
        <w:ind w:right="410"/>
        <w:rPr>
          <w:b/>
          <w:bCs/>
          <w:i/>
          <w:iCs/>
        </w:rPr>
      </w:pPr>
    </w:p>
    <w:p w:rsidR="00063BE2" w:rsidP="00056E2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56E22" w:rsidRDefault="00063BE2" w14:paraId="76F9AB71" w14:textId="77777777">
      <w:pPr>
        <w:rPr>
          <w:sz w:val="24"/>
        </w:rPr>
      </w:pPr>
    </w:p>
    <w:p w:rsidR="00063BE2" w:rsidP="00056E22" w:rsidRDefault="00063BE2" w14:paraId="6333172B" w14:textId="77777777">
      <w:pPr>
        <w:ind w:firstLine="720"/>
        <w:rPr>
          <w:sz w:val="24"/>
        </w:rPr>
      </w:pPr>
      <w:r>
        <w:rPr>
          <w:sz w:val="24"/>
        </w:rPr>
        <w:t>The information will be kept private to the extent permitted by law.</w:t>
      </w:r>
    </w:p>
    <w:p w:rsidR="00063BE2" w:rsidP="00056E22" w:rsidRDefault="00063BE2" w14:paraId="3A0CB60C" w14:textId="77777777">
      <w:pPr>
        <w:rPr>
          <w:sz w:val="24"/>
        </w:rPr>
      </w:pPr>
    </w:p>
    <w:p w:rsidR="00063BE2" w:rsidP="00056E2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56E22" w:rsidRDefault="00063BE2" w14:paraId="59E866C7" w14:textId="77777777">
      <w:pPr>
        <w:rPr>
          <w:sz w:val="24"/>
        </w:rPr>
      </w:pPr>
    </w:p>
    <w:p w:rsidR="00063BE2" w:rsidP="00056E22" w:rsidRDefault="00063BE2" w14:paraId="43BBD615" w14:textId="77777777">
      <w:pPr>
        <w:ind w:firstLine="720"/>
        <w:rPr>
          <w:sz w:val="24"/>
        </w:rPr>
      </w:pPr>
      <w:r>
        <w:rPr>
          <w:sz w:val="24"/>
        </w:rPr>
        <w:t>There are no questions of a sensitive nature.</w:t>
      </w:r>
    </w:p>
    <w:p w:rsidR="00063BE2" w:rsidP="00056E22" w:rsidRDefault="00063BE2" w14:paraId="1810ABCA" w14:textId="77777777">
      <w:pPr>
        <w:rPr>
          <w:sz w:val="24"/>
        </w:rPr>
      </w:pPr>
    </w:p>
    <w:p w:rsidR="00063BE2" w:rsidP="00056E2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56E22" w:rsidRDefault="00A3350A" w14:paraId="588DDDE8" w14:textId="5586FC40">
      <w:pPr>
        <w:rPr>
          <w:b/>
          <w:bCs/>
          <w:i/>
          <w:iCs/>
          <w:sz w:val="24"/>
          <w:szCs w:val="24"/>
        </w:rPr>
      </w:pPr>
    </w:p>
    <w:p w:rsidR="00A3350A" w:rsidP="00056E22" w:rsidRDefault="00A3350A" w14:paraId="3687FD77" w14:textId="4E86FB4F">
      <w:pPr>
        <w:ind w:left="720"/>
        <w:rPr>
          <w:sz w:val="24"/>
          <w:szCs w:val="24"/>
        </w:rPr>
      </w:pPr>
      <w:r>
        <w:rPr>
          <w:sz w:val="24"/>
          <w:szCs w:val="24"/>
        </w:rPr>
        <w:t>Estimated Number of Respondents:</w:t>
      </w:r>
      <w:r w:rsidR="00FB6B5F">
        <w:rPr>
          <w:sz w:val="24"/>
          <w:szCs w:val="24"/>
        </w:rPr>
        <w:t xml:space="preserve">  1,096.</w:t>
      </w:r>
    </w:p>
    <w:p w:rsidR="00A3350A" w:rsidP="00056E22" w:rsidRDefault="00A3350A" w14:paraId="635CDB89" w14:textId="7C5EF33A">
      <w:pPr>
        <w:ind w:left="720"/>
        <w:rPr>
          <w:sz w:val="24"/>
          <w:szCs w:val="24"/>
        </w:rPr>
      </w:pPr>
    </w:p>
    <w:p w:rsidR="00A3350A" w:rsidP="00056E22" w:rsidRDefault="00A3350A" w14:paraId="61A5FDD1" w14:textId="221E7E28">
      <w:pPr>
        <w:ind w:left="720"/>
        <w:rPr>
          <w:sz w:val="24"/>
          <w:szCs w:val="24"/>
        </w:rPr>
      </w:pPr>
      <w:r>
        <w:rPr>
          <w:sz w:val="24"/>
          <w:szCs w:val="24"/>
        </w:rPr>
        <w:t>Estimated Burden per Respondent:</w:t>
      </w:r>
      <w:r w:rsidR="00B712DF">
        <w:rPr>
          <w:sz w:val="24"/>
          <w:szCs w:val="24"/>
        </w:rPr>
        <w:t xml:space="preserve">  8 hours.</w:t>
      </w:r>
    </w:p>
    <w:p w:rsidR="00A3350A" w:rsidP="00056E22" w:rsidRDefault="00A3350A" w14:paraId="26E7DD19" w14:textId="2819CFCA">
      <w:pPr>
        <w:ind w:left="720"/>
        <w:rPr>
          <w:sz w:val="24"/>
          <w:szCs w:val="24"/>
        </w:rPr>
      </w:pPr>
    </w:p>
    <w:p w:rsidR="00A3350A" w:rsidP="00056E22" w:rsidRDefault="00A3350A" w14:paraId="01454BB5" w14:textId="0C18D6A9">
      <w:pPr>
        <w:ind w:left="720"/>
        <w:rPr>
          <w:sz w:val="24"/>
          <w:szCs w:val="24"/>
        </w:rPr>
      </w:pPr>
      <w:r>
        <w:rPr>
          <w:sz w:val="24"/>
          <w:szCs w:val="24"/>
        </w:rPr>
        <w:t>Total Burden:</w:t>
      </w:r>
      <w:r w:rsidR="00B712DF">
        <w:rPr>
          <w:sz w:val="24"/>
          <w:szCs w:val="24"/>
        </w:rPr>
        <w:t xml:space="preserve">  8,768 hours.</w:t>
      </w:r>
    </w:p>
    <w:p w:rsidR="00A3350A" w:rsidP="00056E22" w:rsidRDefault="00A3350A" w14:paraId="30593A10" w14:textId="6A15498F">
      <w:pPr>
        <w:ind w:left="720"/>
        <w:rPr>
          <w:sz w:val="24"/>
          <w:szCs w:val="24"/>
        </w:rPr>
      </w:pPr>
    </w:p>
    <w:p w:rsidRPr="00A3350A" w:rsidR="00A3350A" w:rsidP="00056E22" w:rsidRDefault="00A3350A" w14:paraId="4DB3DECF" w14:textId="55D1A46C">
      <w:pPr>
        <w:ind w:left="720"/>
        <w:rPr>
          <w:sz w:val="24"/>
          <w:szCs w:val="24"/>
        </w:rPr>
      </w:pPr>
      <w:r>
        <w:rPr>
          <w:sz w:val="24"/>
          <w:szCs w:val="24"/>
        </w:rPr>
        <w:t xml:space="preserve"> </w:t>
      </w:r>
      <w:r w:rsidR="00AB03EB">
        <w:rPr>
          <w:sz w:val="24"/>
          <w:szCs w:val="24"/>
        </w:rPr>
        <w:t xml:space="preserve">8,768 </w:t>
      </w:r>
      <w:r>
        <w:rPr>
          <w:sz w:val="24"/>
          <w:szCs w:val="24"/>
        </w:rPr>
        <w:t>x $11</w:t>
      </w:r>
      <w:r w:rsidR="0070781E">
        <w:rPr>
          <w:sz w:val="24"/>
          <w:szCs w:val="24"/>
        </w:rPr>
        <w:t>4</w:t>
      </w:r>
      <w:r>
        <w:rPr>
          <w:sz w:val="24"/>
          <w:szCs w:val="24"/>
        </w:rPr>
        <w:t>.1</w:t>
      </w:r>
      <w:r w:rsidR="0070781E">
        <w:rPr>
          <w:sz w:val="24"/>
          <w:szCs w:val="24"/>
        </w:rPr>
        <w:t>7</w:t>
      </w:r>
      <w:r>
        <w:rPr>
          <w:sz w:val="24"/>
          <w:szCs w:val="24"/>
        </w:rPr>
        <w:t xml:space="preserve"> = $</w:t>
      </w:r>
      <w:r w:rsidR="00B712DF">
        <w:rPr>
          <w:sz w:val="24"/>
          <w:szCs w:val="24"/>
        </w:rPr>
        <w:t xml:space="preserve"> 1,00</w:t>
      </w:r>
      <w:r w:rsidR="0070781E">
        <w:rPr>
          <w:sz w:val="24"/>
          <w:szCs w:val="24"/>
        </w:rPr>
        <w:t>1,042.56</w:t>
      </w:r>
    </w:p>
    <w:p w:rsidR="00063BE2" w:rsidP="00056E22" w:rsidRDefault="00063BE2" w14:paraId="66C8B732" w14:textId="77777777">
      <w:pPr>
        <w:ind w:left="720" w:firstLine="720"/>
        <w:rPr>
          <w:b/>
          <w:bCs/>
          <w:sz w:val="24"/>
        </w:rPr>
      </w:pPr>
    </w:p>
    <w:p w:rsidRPr="00A62A21" w:rsidR="00AB03EB" w:rsidP="00056E22" w:rsidRDefault="00AB03EB" w14:paraId="1E9C513A" w14:textId="77777777">
      <w:pPr>
        <w:ind w:left="720"/>
      </w:pPr>
      <w:r>
        <w:rPr>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56E22" w:rsidRDefault="00063BE2" w14:paraId="673E44F7" w14:textId="77777777">
      <w:pPr>
        <w:tabs>
          <w:tab w:val="left" w:pos="-1440"/>
        </w:tabs>
        <w:ind w:left="720" w:firstLine="720"/>
        <w:rPr>
          <w:b/>
          <w:bCs/>
          <w:i/>
          <w:iCs/>
          <w:sz w:val="24"/>
        </w:rPr>
      </w:pPr>
    </w:p>
    <w:p w:rsidRPr="00843CCE" w:rsidR="00063BE2" w:rsidP="00056E2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56E22" w:rsidRDefault="00063BE2" w14:paraId="2B7DCDAA" w14:textId="77777777">
      <w:pPr>
        <w:tabs>
          <w:tab w:val="left" w:pos="-1440"/>
        </w:tabs>
        <w:ind w:left="720" w:hanging="720"/>
        <w:rPr>
          <w:sz w:val="24"/>
          <w:szCs w:val="24"/>
        </w:rPr>
      </w:pPr>
    </w:p>
    <w:p w:rsidRPr="00843CCE" w:rsidR="00063BE2" w:rsidP="00056E22" w:rsidRDefault="00063BE2" w14:paraId="1447B632" w14:textId="77777777">
      <w:pPr>
        <w:ind w:firstLine="720"/>
        <w:rPr>
          <w:sz w:val="24"/>
          <w:szCs w:val="24"/>
        </w:rPr>
      </w:pPr>
      <w:r w:rsidRPr="00843CCE">
        <w:rPr>
          <w:sz w:val="24"/>
          <w:szCs w:val="24"/>
        </w:rPr>
        <w:t>Not applicable.</w:t>
      </w:r>
    </w:p>
    <w:p w:rsidRPr="00843CCE" w:rsidR="00063BE2" w:rsidP="00056E22" w:rsidRDefault="00063BE2" w14:paraId="1E2561ED" w14:textId="77777777">
      <w:pPr>
        <w:rPr>
          <w:sz w:val="24"/>
          <w:szCs w:val="24"/>
        </w:rPr>
      </w:pPr>
    </w:p>
    <w:p w:rsidRPr="00843CCE" w:rsidR="00063BE2" w:rsidP="00056E2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56E22" w:rsidRDefault="00063BE2" w14:paraId="476515F6" w14:textId="77777777">
      <w:pPr>
        <w:rPr>
          <w:sz w:val="24"/>
        </w:rPr>
      </w:pPr>
    </w:p>
    <w:p w:rsidR="00063BE2" w:rsidP="00056E22" w:rsidRDefault="00063BE2" w14:paraId="0C085B48" w14:textId="77777777">
      <w:pPr>
        <w:ind w:firstLine="720"/>
        <w:rPr>
          <w:sz w:val="24"/>
        </w:rPr>
      </w:pPr>
      <w:r>
        <w:rPr>
          <w:sz w:val="24"/>
        </w:rPr>
        <w:t>Not applicable.</w:t>
      </w:r>
    </w:p>
    <w:p w:rsidR="00063BE2" w:rsidP="00056E22" w:rsidRDefault="00063BE2" w14:paraId="37A295A0" w14:textId="77777777">
      <w:pPr>
        <w:rPr>
          <w:sz w:val="24"/>
        </w:rPr>
      </w:pPr>
    </w:p>
    <w:p w:rsidRPr="0085720D" w:rsidR="00063BE2" w:rsidP="00056E2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56E22" w:rsidRDefault="00063BE2" w14:paraId="4E2834F3" w14:textId="4C920558">
      <w:pPr>
        <w:rPr>
          <w:sz w:val="24"/>
        </w:rPr>
      </w:pPr>
    </w:p>
    <w:p w:rsidR="00063BE2" w:rsidP="00056E22" w:rsidRDefault="00063BE2" w14:paraId="18E3D7AA" w14:textId="7E65A15F">
      <w:pPr>
        <w:rPr>
          <w:sz w:val="24"/>
        </w:rPr>
      </w:pPr>
      <w:r>
        <w:rPr>
          <w:sz w:val="24"/>
        </w:rPr>
        <w:lastRenderedPageBreak/>
        <w:tab/>
        <w:t xml:space="preserve">None.  </w:t>
      </w:r>
    </w:p>
    <w:p w:rsidR="00063BE2" w:rsidP="00056E22" w:rsidRDefault="00063BE2" w14:paraId="7784232B" w14:textId="77777777">
      <w:pPr>
        <w:rPr>
          <w:sz w:val="24"/>
        </w:rPr>
      </w:pPr>
    </w:p>
    <w:p w:rsidRPr="00843CCE" w:rsidR="00063BE2" w:rsidP="00056E2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56E22" w:rsidRDefault="00063BE2" w14:paraId="5470E5A5" w14:textId="77777777">
      <w:pPr>
        <w:rPr>
          <w:sz w:val="24"/>
        </w:rPr>
      </w:pPr>
    </w:p>
    <w:p w:rsidR="00063BE2" w:rsidP="00056E22" w:rsidRDefault="00063BE2" w14:paraId="0A26C6CF" w14:textId="77777777">
      <w:pPr>
        <w:ind w:firstLine="720"/>
        <w:rPr>
          <w:sz w:val="24"/>
        </w:rPr>
      </w:pPr>
      <w:r>
        <w:rPr>
          <w:sz w:val="24"/>
        </w:rPr>
        <w:t>Not applicable.</w:t>
      </w:r>
    </w:p>
    <w:p w:rsidRPr="00325BDD" w:rsidR="00063BE2" w:rsidP="00056E22" w:rsidRDefault="00063BE2" w14:paraId="0CA59AD7" w14:textId="77777777">
      <w:pPr>
        <w:outlineLvl w:val="0"/>
        <w:rPr>
          <w:szCs w:val="24"/>
        </w:rPr>
      </w:pPr>
      <w:r>
        <w:rPr>
          <w:szCs w:val="24"/>
        </w:rPr>
        <w:t xml:space="preserve">      </w:t>
      </w:r>
    </w:p>
    <w:p w:rsidR="00063BE2" w:rsidP="00056E2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56E22" w:rsidRDefault="00063BE2" w14:paraId="3C8FC8FB" w14:textId="77777777">
      <w:pPr>
        <w:rPr>
          <w:sz w:val="24"/>
        </w:rPr>
      </w:pPr>
    </w:p>
    <w:p w:rsidR="00063BE2" w:rsidP="00056E22" w:rsidRDefault="00063BE2" w14:paraId="731E24F0" w14:textId="77777777">
      <w:pPr>
        <w:ind w:firstLine="720"/>
        <w:rPr>
          <w:sz w:val="24"/>
        </w:rPr>
      </w:pPr>
      <w:r>
        <w:rPr>
          <w:sz w:val="24"/>
        </w:rPr>
        <w:t>Not applicable.</w:t>
      </w:r>
    </w:p>
    <w:p w:rsidR="00063BE2" w:rsidP="00056E22" w:rsidRDefault="00063BE2" w14:paraId="667C10A2" w14:textId="77777777">
      <w:pPr>
        <w:rPr>
          <w:sz w:val="24"/>
        </w:rPr>
      </w:pPr>
    </w:p>
    <w:p w:rsidR="00063BE2" w:rsidP="00056E22" w:rsidRDefault="00063BE2" w14:paraId="40970406" w14:textId="77777777">
      <w:pPr>
        <w:pStyle w:val="BodyText"/>
        <w:tabs>
          <w:tab w:val="left" w:pos="0"/>
        </w:tabs>
        <w:ind w:left="459" w:hanging="459"/>
        <w:rPr>
          <w:b/>
          <w:i/>
        </w:rPr>
      </w:pPr>
      <w:r>
        <w:rPr>
          <w:b/>
          <w:i/>
        </w:rPr>
        <w:t>18.   Exceptions to the certification statement:</w:t>
      </w:r>
    </w:p>
    <w:p w:rsidR="00063BE2" w:rsidP="00056E22" w:rsidRDefault="00063BE2" w14:paraId="7C82269A" w14:textId="77777777">
      <w:pPr>
        <w:rPr>
          <w:sz w:val="24"/>
        </w:rPr>
      </w:pPr>
    </w:p>
    <w:p w:rsidR="00063BE2" w:rsidP="00056E22" w:rsidRDefault="00063BE2" w14:paraId="280FECA4" w14:textId="77777777">
      <w:pPr>
        <w:ind w:firstLine="720"/>
        <w:rPr>
          <w:sz w:val="24"/>
        </w:rPr>
      </w:pPr>
      <w:r>
        <w:rPr>
          <w:sz w:val="24"/>
        </w:rPr>
        <w:t>Not applicable.</w:t>
      </w:r>
    </w:p>
    <w:p w:rsidRPr="007F4D96" w:rsidR="00063BE2" w:rsidP="00056E22" w:rsidRDefault="00063BE2" w14:paraId="05F60B73" w14:textId="77777777">
      <w:pPr>
        <w:rPr>
          <w:b/>
          <w:sz w:val="24"/>
        </w:rPr>
      </w:pPr>
    </w:p>
    <w:p w:rsidRPr="007F4D96" w:rsidR="00063BE2" w:rsidP="00056E2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56E22" w:rsidRDefault="00063BE2" w14:paraId="707E9C9E" w14:textId="77777777">
      <w:pPr>
        <w:rPr>
          <w:sz w:val="24"/>
          <w:u w:val="single"/>
        </w:rPr>
      </w:pPr>
    </w:p>
    <w:p w:rsidR="00063BE2" w:rsidP="00056E22" w:rsidRDefault="00063BE2" w14:paraId="444B5195" w14:textId="77777777">
      <w:pPr>
        <w:ind w:firstLine="720"/>
        <w:rPr>
          <w:sz w:val="24"/>
        </w:rPr>
      </w:pPr>
      <w:r>
        <w:rPr>
          <w:sz w:val="24"/>
        </w:rPr>
        <w:t>Not applicable.</w:t>
      </w:r>
    </w:p>
    <w:p w:rsidR="00063BE2" w:rsidP="00056E22" w:rsidRDefault="00063BE2" w14:paraId="1885A875" w14:textId="77777777">
      <w:pPr>
        <w:pStyle w:val="BodyText"/>
      </w:pPr>
    </w:p>
    <w:p w:rsidR="00063BE2" w:rsidP="00056E22" w:rsidRDefault="00063BE2" w14:paraId="5A9C567C" w14:textId="77777777">
      <w:pPr>
        <w:pStyle w:val="BodyText"/>
      </w:pPr>
    </w:p>
    <w:p w:rsidR="00063BE2" w:rsidP="00056E22" w:rsidRDefault="00063BE2" w14:paraId="3AAEC5EA" w14:textId="77777777">
      <w:pPr>
        <w:outlineLvl w:val="0"/>
        <w:rPr>
          <w:szCs w:val="24"/>
        </w:rPr>
      </w:pPr>
    </w:p>
    <w:p w:rsidR="00063BE2" w:rsidP="00056E22" w:rsidRDefault="00063BE2" w14:paraId="5DEB66F1" w14:textId="77777777">
      <w:pPr>
        <w:rPr>
          <w:szCs w:val="24"/>
        </w:rPr>
      </w:pPr>
    </w:p>
    <w:p w:rsidR="00063BE2" w:rsidP="00056E22" w:rsidRDefault="00063BE2" w14:paraId="2AD90996" w14:textId="77777777">
      <w:pPr>
        <w:rPr>
          <w:szCs w:val="24"/>
        </w:rPr>
      </w:pPr>
    </w:p>
    <w:p w:rsidR="00063BE2" w:rsidP="00056E22" w:rsidRDefault="00063BE2" w14:paraId="635197C2" w14:textId="77777777">
      <w:pPr>
        <w:pStyle w:val="BodyText"/>
        <w:tabs>
          <w:tab w:val="left" w:pos="0"/>
        </w:tabs>
        <w:ind w:left="459" w:hanging="459"/>
        <w:rPr>
          <w:b/>
          <w:i/>
        </w:rPr>
      </w:pPr>
    </w:p>
    <w:p w:rsidR="00063BE2" w:rsidP="00056E22" w:rsidRDefault="00063BE2" w14:paraId="4C37C644" w14:textId="77777777">
      <w:pPr>
        <w:rPr>
          <w:szCs w:val="24"/>
        </w:rPr>
      </w:pPr>
    </w:p>
    <w:p w:rsidR="00063BE2" w:rsidP="00056E22" w:rsidRDefault="00063BE2" w14:paraId="12BE01E9" w14:textId="77777777">
      <w:pPr>
        <w:rPr>
          <w:szCs w:val="24"/>
        </w:rPr>
      </w:pPr>
    </w:p>
    <w:p w:rsidR="00063BE2" w:rsidP="00056E22" w:rsidRDefault="00063BE2" w14:paraId="1E5C0E01" w14:textId="77777777">
      <w:pPr>
        <w:rPr>
          <w:sz w:val="24"/>
        </w:rPr>
      </w:pPr>
    </w:p>
    <w:p w:rsidR="00DD37F3" w:rsidP="00056E22" w:rsidRDefault="00DD37F3" w14:paraId="333624C9" w14:textId="77777777">
      <w:pPr>
        <w:pStyle w:val="BodyText"/>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C854A" w14:textId="77777777" w:rsidR="00892DA7" w:rsidRDefault="00892DA7">
      <w:r>
        <w:separator/>
      </w:r>
    </w:p>
  </w:endnote>
  <w:endnote w:type="continuationSeparator" w:id="0">
    <w:p w14:paraId="58413B97" w14:textId="77777777" w:rsidR="00892DA7" w:rsidRDefault="008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Omega">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B0A4E" w14:textId="77777777" w:rsidR="00892DA7" w:rsidRDefault="00892DA7">
      <w:r>
        <w:separator/>
      </w:r>
    </w:p>
  </w:footnote>
  <w:footnote w:type="continuationSeparator" w:id="0">
    <w:p w14:paraId="34224791" w14:textId="77777777" w:rsidR="00892DA7" w:rsidRDefault="00892DA7">
      <w:r>
        <w:continuationSeparator/>
      </w:r>
    </w:p>
  </w:footnote>
  <w:footnote w:id="1">
    <w:p w14:paraId="5D599FAC" w14:textId="77777777" w:rsidR="00056E22" w:rsidRDefault="00056E22" w:rsidP="00056E22">
      <w:r>
        <w:rPr>
          <w:rStyle w:val="FootnoteReference"/>
          <w:rFonts w:eastAsiaTheme="majorEastAsia"/>
        </w:rPr>
        <w:footnoteRef/>
      </w:r>
      <w:r>
        <w:t xml:space="preserve"> </w:t>
      </w:r>
      <w:hyperlink r:id="rId1" w:history="1">
        <w:r>
          <w:rPr>
            <w:rStyle w:val="Hyperlink"/>
            <w:i/>
            <w:iCs/>
          </w:rPr>
          <w:t>https://www.newyorkfed.org/medialibrary/Microsites/arrc/files/2021/USD-LIBOR-transition-progress-report-mar-21.pdf</w:t>
        </w:r>
      </w:hyperlink>
      <w:r>
        <w:rPr>
          <w:i/>
          <w:iCs/>
        </w:rPr>
        <w:t>.</w:t>
      </w:r>
    </w:p>
    <w:p w14:paraId="524F74DB" w14:textId="77777777" w:rsidR="00056E22" w:rsidRDefault="00056E22" w:rsidP="00056E22">
      <w:pPr>
        <w:spacing w:before="105" w:line="288" w:lineRule="auto"/>
        <w:ind w:right="270"/>
        <w:rPr>
          <w:sz w:val="24"/>
          <w:szCs w:val="24"/>
        </w:rPr>
      </w:pPr>
    </w:p>
    <w:p w14:paraId="4D42DA90" w14:textId="77777777" w:rsidR="00056E22" w:rsidRDefault="00056E22" w:rsidP="00056E22">
      <w:pPr>
        <w:pStyle w:val="FootnoteText"/>
      </w:pPr>
    </w:p>
  </w:footnote>
  <w:footnote w:id="2">
    <w:p w14:paraId="18C79A76" w14:textId="77777777" w:rsidR="00056E22" w:rsidRDefault="00056E22" w:rsidP="00056E22">
      <w:pPr>
        <w:pStyle w:val="FootnoteText"/>
        <w:rPr>
          <w:i/>
          <w:iCs/>
          <w:sz w:val="24"/>
          <w:szCs w:val="24"/>
        </w:rPr>
      </w:pPr>
      <w:r>
        <w:rPr>
          <w:rStyle w:val="FootnoteReference"/>
          <w:rFonts w:eastAsiaTheme="majorEastAsia"/>
        </w:rPr>
        <w:footnoteRef/>
      </w:r>
      <w:r>
        <w:rPr>
          <w:i/>
          <w:iCs/>
        </w:rPr>
        <w:t xml:space="preserve"> </w:t>
      </w:r>
      <w:r>
        <w:rPr>
          <w:i/>
          <w:iCs/>
          <w:sz w:val="24"/>
          <w:szCs w:val="24"/>
        </w:rPr>
        <w:t>https://www.occ.gov/news-issuances/bulletins/2020/bulletin-2020-104.html#ft1.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7362850"/>
    <w:multiLevelType w:val="hybridMultilevel"/>
    <w:tmpl w:val="EDBE29D2"/>
    <w:lvl w:ilvl="0" w:tplc="E4844866">
      <w:start w:val="1"/>
      <w:numFmt w:val="lowerLetter"/>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4" w15:restartNumberingAfterBreak="0">
    <w:nsid w:val="48BD48AE"/>
    <w:multiLevelType w:val="hybridMultilevel"/>
    <w:tmpl w:val="FD5A03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6"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7"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8"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9"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30"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31"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2"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3"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4"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5"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6"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7"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8"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9"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40"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41"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3"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4"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5"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6"/>
  </w:num>
  <w:num w:numId="2">
    <w:abstractNumId w:val="17"/>
  </w:num>
  <w:num w:numId="3">
    <w:abstractNumId w:val="11"/>
  </w:num>
  <w:num w:numId="4">
    <w:abstractNumId w:val="10"/>
  </w:num>
  <w:num w:numId="5">
    <w:abstractNumId w:val="34"/>
  </w:num>
  <w:num w:numId="6">
    <w:abstractNumId w:val="13"/>
  </w:num>
  <w:num w:numId="7">
    <w:abstractNumId w:val="29"/>
  </w:num>
  <w:num w:numId="8">
    <w:abstractNumId w:val="45"/>
  </w:num>
  <w:num w:numId="9">
    <w:abstractNumId w:val="44"/>
  </w:num>
  <w:num w:numId="10">
    <w:abstractNumId w:val="19"/>
  </w:num>
  <w:num w:numId="11">
    <w:abstractNumId w:val="5"/>
  </w:num>
  <w:num w:numId="12">
    <w:abstractNumId w:val="38"/>
  </w:num>
  <w:num w:numId="13">
    <w:abstractNumId w:val="15"/>
  </w:num>
  <w:num w:numId="14">
    <w:abstractNumId w:val="35"/>
  </w:num>
  <w:num w:numId="15">
    <w:abstractNumId w:val="0"/>
  </w:num>
  <w:num w:numId="16">
    <w:abstractNumId w:val="8"/>
  </w:num>
  <w:num w:numId="17">
    <w:abstractNumId w:val="37"/>
  </w:num>
  <w:num w:numId="18">
    <w:abstractNumId w:val="4"/>
  </w:num>
  <w:num w:numId="19">
    <w:abstractNumId w:val="40"/>
  </w:num>
  <w:num w:numId="20">
    <w:abstractNumId w:val="16"/>
  </w:num>
  <w:num w:numId="21">
    <w:abstractNumId w:val="9"/>
  </w:num>
  <w:num w:numId="22">
    <w:abstractNumId w:val="3"/>
  </w:num>
  <w:num w:numId="23">
    <w:abstractNumId w:val="25"/>
  </w:num>
  <w:num w:numId="24">
    <w:abstractNumId w:val="21"/>
  </w:num>
  <w:num w:numId="25">
    <w:abstractNumId w:val="27"/>
  </w:num>
  <w:num w:numId="26">
    <w:abstractNumId w:val="30"/>
  </w:num>
  <w:num w:numId="27">
    <w:abstractNumId w:val="2"/>
  </w:num>
  <w:num w:numId="28">
    <w:abstractNumId w:val="39"/>
  </w:num>
  <w:num w:numId="29">
    <w:abstractNumId w:val="1"/>
  </w:num>
  <w:num w:numId="30">
    <w:abstractNumId w:val="43"/>
  </w:num>
  <w:num w:numId="31">
    <w:abstractNumId w:val="22"/>
  </w:num>
  <w:num w:numId="32">
    <w:abstractNumId w:val="6"/>
  </w:num>
  <w:num w:numId="33">
    <w:abstractNumId w:val="28"/>
  </w:num>
  <w:num w:numId="34">
    <w:abstractNumId w:val="33"/>
  </w:num>
  <w:num w:numId="35">
    <w:abstractNumId w:val="31"/>
  </w:num>
  <w:num w:numId="36">
    <w:abstractNumId w:val="7"/>
  </w:num>
  <w:num w:numId="37">
    <w:abstractNumId w:val="26"/>
  </w:num>
  <w:num w:numId="38">
    <w:abstractNumId w:val="32"/>
  </w:num>
  <w:num w:numId="39">
    <w:abstractNumId w:val="42"/>
  </w:num>
  <w:num w:numId="40">
    <w:abstractNumId w:val="14"/>
  </w:num>
  <w:num w:numId="41">
    <w:abstractNumId w:val="18"/>
  </w:num>
  <w:num w:numId="42">
    <w:abstractNumId w:val="20"/>
  </w:num>
  <w:num w:numId="43">
    <w:abstractNumId w:val="41"/>
  </w:num>
  <w:num w:numId="44">
    <w:abstractNumId w:val="12"/>
  </w:num>
  <w:num w:numId="4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56E22"/>
    <w:rsid w:val="00063BE2"/>
    <w:rsid w:val="00082D88"/>
    <w:rsid w:val="000B7AD2"/>
    <w:rsid w:val="001031E8"/>
    <w:rsid w:val="001410EA"/>
    <w:rsid w:val="00180B09"/>
    <w:rsid w:val="001A4BA5"/>
    <w:rsid w:val="001B7E66"/>
    <w:rsid w:val="001C421B"/>
    <w:rsid w:val="00237D69"/>
    <w:rsid w:val="00273AD7"/>
    <w:rsid w:val="002B537C"/>
    <w:rsid w:val="002E76E0"/>
    <w:rsid w:val="00360680"/>
    <w:rsid w:val="003D6D2B"/>
    <w:rsid w:val="00412590"/>
    <w:rsid w:val="004965B3"/>
    <w:rsid w:val="004A72A4"/>
    <w:rsid w:val="004B7D91"/>
    <w:rsid w:val="004C746E"/>
    <w:rsid w:val="00511433"/>
    <w:rsid w:val="005B17DB"/>
    <w:rsid w:val="005C336E"/>
    <w:rsid w:val="005F4028"/>
    <w:rsid w:val="00670799"/>
    <w:rsid w:val="0070781E"/>
    <w:rsid w:val="00724F15"/>
    <w:rsid w:val="007407FA"/>
    <w:rsid w:val="007449FE"/>
    <w:rsid w:val="007B69F7"/>
    <w:rsid w:val="007E4D97"/>
    <w:rsid w:val="007F0820"/>
    <w:rsid w:val="008551F3"/>
    <w:rsid w:val="00892DA7"/>
    <w:rsid w:val="00894F3D"/>
    <w:rsid w:val="009169A8"/>
    <w:rsid w:val="00945D6F"/>
    <w:rsid w:val="00A12D01"/>
    <w:rsid w:val="00A25E48"/>
    <w:rsid w:val="00A3350A"/>
    <w:rsid w:val="00A55C28"/>
    <w:rsid w:val="00A95406"/>
    <w:rsid w:val="00AA0A76"/>
    <w:rsid w:val="00AA206A"/>
    <w:rsid w:val="00AB03EB"/>
    <w:rsid w:val="00AF2D0E"/>
    <w:rsid w:val="00B712DF"/>
    <w:rsid w:val="00B73A2E"/>
    <w:rsid w:val="00B854A0"/>
    <w:rsid w:val="00BA2A79"/>
    <w:rsid w:val="00BF7DB8"/>
    <w:rsid w:val="00C225C6"/>
    <w:rsid w:val="00C371EB"/>
    <w:rsid w:val="00C43F7E"/>
    <w:rsid w:val="00C7370B"/>
    <w:rsid w:val="00C83865"/>
    <w:rsid w:val="00CA0A4A"/>
    <w:rsid w:val="00CE2D18"/>
    <w:rsid w:val="00D12B1F"/>
    <w:rsid w:val="00D63993"/>
    <w:rsid w:val="00DD37F3"/>
    <w:rsid w:val="00E019C4"/>
    <w:rsid w:val="00E14027"/>
    <w:rsid w:val="00E42F9A"/>
    <w:rsid w:val="00EC342D"/>
    <w:rsid w:val="00EE6E3B"/>
    <w:rsid w:val="00F06707"/>
    <w:rsid w:val="00F42828"/>
    <w:rsid w:val="00F755F0"/>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uiPriority w:val="99"/>
    <w:unhideWhenUsed/>
    <w:rsid w:val="007449FE"/>
    <w:rPr>
      <w:sz w:val="20"/>
      <w:szCs w:val="20"/>
    </w:rPr>
  </w:style>
  <w:style w:type="character" w:customStyle="1" w:styleId="FootnoteTextChar">
    <w:name w:val="Footnote Text Char"/>
    <w:basedOn w:val="DefaultParagraphFont"/>
    <w:link w:val="FootnoteText"/>
    <w:uiPriority w:val="99"/>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paragraph" w:customStyle="1" w:styleId="Default">
    <w:name w:val="Default"/>
    <w:basedOn w:val="Normal"/>
    <w:rsid w:val="002B537C"/>
    <w:pPr>
      <w:widowControl/>
    </w:pPr>
    <w:rPr>
      <w:rFonts w:ascii="CG Omega" w:eastAsiaTheme="minorHAnsi" w:hAnsi="CG Omega" w:cs="Calibri"/>
      <w:color w:val="000000"/>
      <w:sz w:val="24"/>
      <w:szCs w:val="24"/>
      <w:lang w:bidi="ar-SA"/>
    </w:rPr>
  </w:style>
  <w:style w:type="character" w:styleId="Hyperlink">
    <w:name w:val="Hyperlink"/>
    <w:semiHidden/>
    <w:unhideWhenUsed/>
    <w:rsid w:val="00056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468323">
      <w:bodyDiv w:val="1"/>
      <w:marLeft w:val="0"/>
      <w:marRight w:val="0"/>
      <w:marTop w:val="0"/>
      <w:marBottom w:val="0"/>
      <w:divBdr>
        <w:top w:val="none" w:sz="0" w:space="0" w:color="auto"/>
        <w:left w:val="none" w:sz="0" w:space="0" w:color="auto"/>
        <w:bottom w:val="none" w:sz="0" w:space="0" w:color="auto"/>
        <w:right w:val="none" w:sz="0" w:space="0" w:color="auto"/>
      </w:divBdr>
    </w:div>
    <w:div w:id="1306541556">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 w:id="178411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wyorkfed.org/medialibrary/Microsites/arrc/files/2021/USD-LIBOR-transition-progress-report-mar-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Mary</cp:lastModifiedBy>
  <cp:revision>3</cp:revision>
  <dcterms:created xsi:type="dcterms:W3CDTF">2022-01-10T18:27:00Z</dcterms:created>
  <dcterms:modified xsi:type="dcterms:W3CDTF">2022-01-10T18:27:00Z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