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74C0" w:rsidR="0041422F" w:rsidP="0041422F" w:rsidRDefault="0041422F" w14:paraId="1FB77A98" w14:textId="77777777">
      <w:pPr>
        <w:pStyle w:val="Title"/>
        <w:rPr>
          <w:rFonts w:ascii="Times New Roman" w:hAnsi="Times New Roman"/>
          <w:sz w:val="24"/>
          <w:szCs w:val="24"/>
        </w:rPr>
      </w:pPr>
      <w:r w:rsidRPr="002174C0">
        <w:rPr>
          <w:rFonts w:ascii="Times New Roman" w:hAnsi="Times New Roman"/>
          <w:sz w:val="24"/>
          <w:szCs w:val="24"/>
        </w:rPr>
        <w:t>SUPPORTING STATEMENT</w:t>
      </w:r>
    </w:p>
    <w:p w:rsidR="0041422F" w:rsidP="0041422F" w:rsidRDefault="0041422F" w14:paraId="5CE6EDF6" w14:textId="77777777">
      <w:pPr>
        <w:pStyle w:val="Title"/>
        <w:rPr>
          <w:rFonts w:ascii="Times New Roman" w:hAnsi="Times New Roman"/>
          <w:sz w:val="24"/>
        </w:rPr>
      </w:pPr>
      <w:r w:rsidRPr="00F20106">
        <w:rPr>
          <w:rFonts w:ascii="Times New Roman" w:hAnsi="Times New Roman"/>
          <w:sz w:val="24"/>
        </w:rPr>
        <w:t>FOR PAPERWORK REDUCTION ACT SUBMISSION</w:t>
      </w:r>
    </w:p>
    <w:p w:rsidRPr="00E678A6" w:rsidR="00043C32" w:rsidP="00C54D94" w:rsidRDefault="00DE300F" w14:paraId="749CD4A1" w14:textId="31C48F3E">
      <w:pPr>
        <w:pStyle w:val="Heading1"/>
        <w:jc w:val="left"/>
        <w:rPr>
          <w:sz w:val="24"/>
          <w:szCs w:val="24"/>
        </w:rPr>
      </w:pPr>
      <w:r>
        <w:rPr>
          <w:rFonts w:eastAsiaTheme="majorEastAsia"/>
          <w:b/>
          <w:bCs/>
          <w:sz w:val="24"/>
          <w:szCs w:val="24"/>
        </w:rPr>
        <w:t>A</w:t>
      </w:r>
      <w:r w:rsidRPr="00DE300F" w:rsidR="0041422F">
        <w:rPr>
          <w:rFonts w:eastAsiaTheme="majorEastAsia"/>
          <w:b/>
          <w:bCs/>
          <w:sz w:val="24"/>
          <w:szCs w:val="24"/>
        </w:rPr>
        <w:t xml:space="preserve">. </w:t>
      </w:r>
      <w:r w:rsidR="00383958">
        <w:rPr>
          <w:rFonts w:eastAsiaTheme="majorEastAsia"/>
          <w:b/>
          <w:bCs/>
          <w:sz w:val="24"/>
          <w:szCs w:val="24"/>
        </w:rPr>
        <w:t>Justification</w:t>
      </w:r>
      <w:r w:rsidRPr="00AD381B" w:rsidDel="0041422F" w:rsidR="0041422F">
        <w:rPr>
          <w:sz w:val="24"/>
          <w:szCs w:val="24"/>
        </w:rPr>
        <w:t xml:space="preserve"> </w:t>
      </w:r>
    </w:p>
    <w:p w:rsidRPr="00E678A6" w:rsidR="00EA1767" w:rsidP="00E678A6" w:rsidRDefault="00043C32" w14:paraId="3F9612DC" w14:textId="14C28E28">
      <w:pPr>
        <w:pStyle w:val="Heading2"/>
      </w:pPr>
      <w:r w:rsidRPr="00E678A6">
        <w:rPr>
          <w:rStyle w:val="Heading2Char"/>
          <w:b/>
        </w:rPr>
        <w:t>Explain the circumstances</w:t>
      </w:r>
      <w:r w:rsidRPr="00E678A6">
        <w:t xml:space="preserve"> that make the collection of information necessary.  </w:t>
      </w:r>
      <w:r w:rsidRPr="00E678A6" w:rsidR="007C0A4C">
        <w:t>What is the purpose for this information collection</w:t>
      </w:r>
      <w:r w:rsidRPr="00E678A6" w:rsidR="006A38F7">
        <w:t>?</w:t>
      </w:r>
      <w:r w:rsidRPr="00E678A6" w:rsidR="007C0A4C">
        <w:t xml:space="preserve"> </w:t>
      </w:r>
      <w:r w:rsidRPr="00E678A6">
        <w:t xml:space="preserve">Identify any legal or administrative requirements that necessitate the collection.  </w:t>
      </w:r>
      <w:r w:rsidRPr="00E678A6" w:rsidR="006A38F7">
        <w:t xml:space="preserve">Include a citation that </w:t>
      </w:r>
      <w:r w:rsidRPr="00E678A6">
        <w:t>authoriz</w:t>
      </w:r>
      <w:r w:rsidRPr="00E678A6" w:rsidR="006A38F7">
        <w:t>es</w:t>
      </w:r>
      <w:r w:rsidRPr="00E678A6">
        <w:t xml:space="preserve"> the collection of information</w:t>
      </w:r>
      <w:r w:rsidRPr="00E678A6" w:rsidR="006A38F7">
        <w:t>.</w:t>
      </w:r>
      <w:r w:rsidRPr="00E678A6">
        <w:t xml:space="preserve"> Specify the review type of the collection (new, revision, extension, reinstatement with change, reinstatement without change). If revised, briefly specify the changes.  If a rulemaking is involved, </w:t>
      </w:r>
      <w:r w:rsidRPr="00E678A6" w:rsidR="006A38F7">
        <w:t xml:space="preserve">list </w:t>
      </w:r>
      <w:r w:rsidRPr="00E678A6">
        <w:t xml:space="preserve">the sections </w:t>
      </w:r>
      <w:r w:rsidRPr="00E678A6" w:rsidR="006A38F7">
        <w:t>with a brief description of the information collection requirement, and/</w:t>
      </w:r>
      <w:r w:rsidRPr="00E678A6">
        <w:t>or change</w:t>
      </w:r>
      <w:r w:rsidRPr="00E678A6" w:rsidR="006A38F7">
        <w:t>s to</w:t>
      </w:r>
      <w:r w:rsidRPr="00E678A6">
        <w:t xml:space="preserve"> sections, if applicable.</w:t>
      </w:r>
    </w:p>
    <w:p w:rsidR="00004EDC" w:rsidP="00E678A6" w:rsidRDefault="00592A7E" w14:paraId="23E82CED" w14:textId="6A99A602">
      <w:pPr>
        <w:pStyle w:val="BodyText"/>
      </w:pPr>
      <w:r w:rsidRPr="00E678A6">
        <w:t xml:space="preserve">The </w:t>
      </w:r>
      <w:r w:rsidRPr="00E678A6" w:rsidR="0053690B">
        <w:t>National Resource Centers (</w:t>
      </w:r>
      <w:r w:rsidRPr="00E678A6">
        <w:t>NRC</w:t>
      </w:r>
      <w:r w:rsidRPr="00E678A6" w:rsidR="0053690B">
        <w:t>)</w:t>
      </w:r>
      <w:r w:rsidRPr="00E678A6" w:rsidR="00A14F78">
        <w:t xml:space="preserve"> </w:t>
      </w:r>
      <w:r w:rsidRPr="00E678A6">
        <w:t>program is authorized under Title VI, part A, section 602 of the Higher Education Act of 1965, as amended (HEA).</w:t>
      </w:r>
      <w:r w:rsidRPr="00E678A6" w:rsidR="0084345F">
        <w:t xml:space="preserve"> </w:t>
      </w:r>
      <w:r w:rsidRPr="00E678A6" w:rsidR="002F7BF8">
        <w:t xml:space="preserve">The program provides grants to </w:t>
      </w:r>
      <w:r w:rsidRPr="00E678A6" w:rsidR="00A47046">
        <w:t xml:space="preserve">institutions of higher education (IHEs) </w:t>
      </w:r>
      <w:r w:rsidRPr="00E678A6" w:rsidR="0053637A">
        <w:t xml:space="preserve">or consortia of IHEs to establish, strengthen, and operate </w:t>
      </w:r>
      <w:r w:rsidRPr="00E678A6" w:rsidR="006A1F34">
        <w:t xml:space="preserve">comprehensive and undergraduate centers that will be national resources for </w:t>
      </w:r>
      <w:r w:rsidRPr="00E678A6" w:rsidR="00087964">
        <w:t>the teaching of modern foreign languages; instruction in fields needed to provide full understanding of wor</w:t>
      </w:r>
      <w:r w:rsidRPr="00E678A6" w:rsidR="00265F58">
        <w:t xml:space="preserve">ld regions where modern foreign languages are used; research and training in international studies and </w:t>
      </w:r>
      <w:r w:rsidRPr="00E678A6" w:rsidR="00A87863">
        <w:t xml:space="preserve">international and foreign language aspects of professional and other fields of study; and instruction and research on issues in world affairs. </w:t>
      </w:r>
      <w:r w:rsidRPr="00E678A6" w:rsidR="006530CC">
        <w:t>NRC</w:t>
      </w:r>
      <w:r w:rsidRPr="00E678A6" w:rsidR="003D35CB">
        <w:t xml:space="preserve"> grants also support outreach activities </w:t>
      </w:r>
      <w:r w:rsidRPr="00E678A6" w:rsidR="003418E8">
        <w:t xml:space="preserve">to the K-16 education sectors and the business, media, and general public. </w:t>
      </w:r>
    </w:p>
    <w:p w:rsidR="00745927" w:rsidP="00E678A6" w:rsidRDefault="008B35AF" w14:paraId="2E98EF5B" w14:textId="7B258288">
      <w:pPr>
        <w:pStyle w:val="BodyText"/>
      </w:pPr>
      <w:r>
        <w:t>The</w:t>
      </w:r>
      <w:r w:rsidR="00A9672F">
        <w:t xml:space="preserve"> </w:t>
      </w:r>
      <w:r w:rsidR="00461F31">
        <w:t xml:space="preserve">Higher Education Opportunities </w:t>
      </w:r>
      <w:r w:rsidR="00DD0EBD">
        <w:t>Acts of 2008</w:t>
      </w:r>
      <w:r w:rsidR="004C3C98">
        <w:t xml:space="preserve"> (HEOA)</w:t>
      </w:r>
      <w:r w:rsidR="006C6AB7">
        <w:t xml:space="preserve"> amended section 602 by </w:t>
      </w:r>
      <w:r w:rsidR="00F143DC">
        <w:t xml:space="preserve">requiring all IHEs </w:t>
      </w:r>
      <w:r w:rsidR="003B3A6B">
        <w:t>requesting</w:t>
      </w:r>
      <w:r w:rsidR="005D5130">
        <w:t xml:space="preserve"> a grant under the NRC program </w:t>
      </w:r>
      <w:r w:rsidR="00DF2666">
        <w:t xml:space="preserve">to </w:t>
      </w:r>
      <w:r w:rsidR="005D5130">
        <w:t xml:space="preserve">include information in their </w:t>
      </w:r>
      <w:r w:rsidR="000759F1">
        <w:t xml:space="preserve">applications </w:t>
      </w:r>
      <w:r w:rsidR="000759F1">
        <w:rPr>
          <w:color w:val="000000"/>
        </w:rPr>
        <w:t xml:space="preserve">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business, and non-profit sectors. </w:t>
      </w:r>
      <w:r w:rsidR="006530CC">
        <w:t xml:space="preserve"> </w:t>
      </w:r>
    </w:p>
    <w:p w:rsidR="009622A5" w:rsidP="00E678A6" w:rsidRDefault="00731361" w14:paraId="2C734609" w14:textId="619A6803">
      <w:pPr>
        <w:pStyle w:val="BodyText"/>
      </w:pPr>
      <w:r>
        <w:t xml:space="preserve">The International and Foreign Language </w:t>
      </w:r>
      <w:r w:rsidR="00665C5F">
        <w:t>Education</w:t>
      </w:r>
      <w:r>
        <w:t xml:space="preserve"> (IFLE) division in the Office of Postsecondary Education administe</w:t>
      </w:r>
      <w:r w:rsidR="00783295">
        <w:t>r</w:t>
      </w:r>
      <w:r>
        <w:t xml:space="preserve">s the NRC program. </w:t>
      </w:r>
      <w:r w:rsidR="00F17F0F">
        <w:t xml:space="preserve">To better </w:t>
      </w:r>
      <w:r w:rsidR="00783295">
        <w:t xml:space="preserve">facilitate </w:t>
      </w:r>
      <w:r w:rsidR="00F17F0F">
        <w:t xml:space="preserve">its </w:t>
      </w:r>
      <w:r w:rsidR="00C614BA">
        <w:t xml:space="preserve">efforts in assessing the </w:t>
      </w:r>
      <w:r w:rsidR="00050E9E">
        <w:t xml:space="preserve">extent to which </w:t>
      </w:r>
      <w:r w:rsidR="00BC1E7A">
        <w:t>N</w:t>
      </w:r>
      <w:r w:rsidR="00050E9E">
        <w:t>RC</w:t>
      </w:r>
      <w:r w:rsidR="009B228C">
        <w:t xml:space="preserve"> proposed projects and subsequent grantee projects </w:t>
      </w:r>
      <w:r w:rsidR="00050E9E">
        <w:t>are meeting t</w:t>
      </w:r>
      <w:r w:rsidR="004C3C98">
        <w:t xml:space="preserve">he </w:t>
      </w:r>
      <w:r w:rsidR="008C5818">
        <w:t xml:space="preserve">HEOA </w:t>
      </w:r>
      <w:r w:rsidR="004C3C98">
        <w:t>requirements</w:t>
      </w:r>
      <w:r w:rsidR="008C5818">
        <w:t xml:space="preserve">, </w:t>
      </w:r>
      <w:r w:rsidR="001B23C1">
        <w:t xml:space="preserve">IFLE </w:t>
      </w:r>
      <w:r w:rsidR="004F4E41">
        <w:t>awarded a</w:t>
      </w:r>
      <w:r w:rsidR="00D24CBA">
        <w:t xml:space="preserve"> </w:t>
      </w:r>
      <w:r w:rsidR="002A5819">
        <w:t xml:space="preserve">contract to KEN Consulting, </w:t>
      </w:r>
      <w:proofErr w:type="gramStart"/>
      <w:r w:rsidR="002A5819">
        <w:t>Inc</w:t>
      </w:r>
      <w:r w:rsidR="00B60E3A">
        <w:t>.</w:t>
      </w:r>
      <w:r w:rsidR="00FA0281">
        <w:t>(</w:t>
      </w:r>
      <w:proofErr w:type="gramEnd"/>
      <w:r w:rsidR="00FA0281">
        <w:t>KCI)</w:t>
      </w:r>
      <w:r w:rsidR="00B60E3A">
        <w:t>,</w:t>
      </w:r>
      <w:r w:rsidR="002A5819">
        <w:t xml:space="preserve"> </w:t>
      </w:r>
      <w:r w:rsidR="001B207E">
        <w:t xml:space="preserve">to </w:t>
      </w:r>
      <w:r w:rsidR="00F97048">
        <w:t xml:space="preserve">design a </w:t>
      </w:r>
      <w:r w:rsidR="00AB0902">
        <w:t xml:space="preserve">survey </w:t>
      </w:r>
      <w:r w:rsidR="00621D96">
        <w:t xml:space="preserve">instrument </w:t>
      </w:r>
      <w:r w:rsidR="00320043">
        <w:t>t</w:t>
      </w:r>
      <w:r w:rsidR="004F4E41">
        <w:t xml:space="preserve">hat will be </w:t>
      </w:r>
      <w:r w:rsidR="001C1E48">
        <w:t xml:space="preserve">administered to </w:t>
      </w:r>
      <w:r w:rsidR="00AB0902">
        <w:t>100 NRC</w:t>
      </w:r>
      <w:r w:rsidR="0041195E">
        <w:t xml:space="preserve"> grant</w:t>
      </w:r>
      <w:r w:rsidR="001C1E48">
        <w:t>ee institutions</w:t>
      </w:r>
      <w:r w:rsidR="00087919">
        <w:t xml:space="preserve">. The survey/questionnaire will collect information about </w:t>
      </w:r>
      <w:r w:rsidR="00351037">
        <w:t>each NRC’s</w:t>
      </w:r>
      <w:r w:rsidR="000D280B">
        <w:t xml:space="preserve"> </w:t>
      </w:r>
      <w:r w:rsidR="00E86C3B">
        <w:t>foreign</w:t>
      </w:r>
      <w:r w:rsidR="0061445D">
        <w:t xml:space="preserve"> </w:t>
      </w:r>
      <w:r w:rsidR="00665C5F">
        <w:t>language training</w:t>
      </w:r>
      <w:r w:rsidR="0061445D">
        <w:t xml:space="preserve">, area studies, international studies, </w:t>
      </w:r>
      <w:r w:rsidR="00EC127B">
        <w:t xml:space="preserve">and </w:t>
      </w:r>
      <w:r w:rsidR="000D280B">
        <w:t>outreach programs,</w:t>
      </w:r>
      <w:r w:rsidR="00C1143D">
        <w:t xml:space="preserve"> </w:t>
      </w:r>
      <w:r w:rsidR="00B566F3">
        <w:t xml:space="preserve">the </w:t>
      </w:r>
      <w:r w:rsidR="003071BC">
        <w:t xml:space="preserve">key decisionmakers about the </w:t>
      </w:r>
      <w:r w:rsidR="00B566F3">
        <w:t xml:space="preserve">international education training </w:t>
      </w:r>
      <w:r w:rsidR="00C1143D">
        <w:t>project</w:t>
      </w:r>
      <w:r w:rsidR="007A25DB">
        <w:t xml:space="preserve">s, </w:t>
      </w:r>
      <w:r w:rsidR="00863B3A">
        <w:t xml:space="preserve">and </w:t>
      </w:r>
      <w:r w:rsidR="00F66BB2">
        <w:t>project participants</w:t>
      </w:r>
      <w:r w:rsidR="00863B3A">
        <w:t xml:space="preserve">. The survey will also seek to ascertain </w:t>
      </w:r>
      <w:r w:rsidR="000555AC">
        <w:t>the NRC</w:t>
      </w:r>
      <w:r w:rsidR="007C2B03">
        <w:t xml:space="preserve"> institution’s </w:t>
      </w:r>
      <w:r w:rsidR="000555AC">
        <w:t xml:space="preserve">understanding of the </w:t>
      </w:r>
      <w:bookmarkStart w:name="_Hlk90888637" w:id="0"/>
      <w:r w:rsidR="000555AC">
        <w:t>HEOA</w:t>
      </w:r>
      <w:bookmarkEnd w:id="0"/>
      <w:r w:rsidR="000555AC">
        <w:t xml:space="preserve"> requirements and</w:t>
      </w:r>
      <w:r w:rsidR="00AE7111">
        <w:t xml:space="preserve"> their approach to meeting the requirements. </w:t>
      </w:r>
    </w:p>
    <w:p w:rsidRPr="00E6530A" w:rsidR="00E02F01" w:rsidP="00E678A6" w:rsidRDefault="00E02F01" w14:paraId="304CF467" w14:textId="44BF4704">
      <w:pPr>
        <w:pStyle w:val="BodyText"/>
      </w:pPr>
      <w:r w:rsidRPr="00E6530A">
        <w:t xml:space="preserve">The purpose of this </w:t>
      </w:r>
      <w:r>
        <w:t xml:space="preserve">new </w:t>
      </w:r>
      <w:r w:rsidRPr="00E6530A">
        <w:t xml:space="preserve">data collection is to evaluate how NRC grantee institutions are meeting this “diverse perspectives” requirement through their projects, activities, procedures, </w:t>
      </w:r>
      <w:r w:rsidRPr="00E6530A">
        <w:lastRenderedPageBreak/>
        <w:t>and governance structures. This effort is a priority for the Department of Education (</w:t>
      </w:r>
      <w:r w:rsidR="00A42538">
        <w:t>Department)</w:t>
      </w:r>
      <w:r w:rsidR="00596340">
        <w:t xml:space="preserve"> because the </w:t>
      </w:r>
      <w:r w:rsidRPr="00E6530A">
        <w:t xml:space="preserve">Congress </w:t>
      </w:r>
      <w:r w:rsidR="000C6302">
        <w:t xml:space="preserve">and the general public are </w:t>
      </w:r>
      <w:r w:rsidRPr="00E6530A">
        <w:t>interested in learning how the diverse perspectives mandate has been implemented by the NRCs.</w:t>
      </w:r>
    </w:p>
    <w:p w:rsidR="003D374C" w:rsidP="003D374C" w:rsidRDefault="003D374C" w14:paraId="1515C869" w14:textId="77777777"/>
    <w:p w:rsidRPr="00E678A6" w:rsidR="00B24C43" w:rsidP="009460B0" w:rsidRDefault="00043C32" w14:paraId="113EC1F2" w14:textId="28C5CCC0">
      <w:pPr>
        <w:pStyle w:val="Heading2"/>
      </w:pPr>
      <w:r w:rsidRPr="00E678A6">
        <w:t>Indicate how, by whom, and for what purpose the information is to be used.  Except for a new collection, indicate the actual use the agency has made of the information received from the current collection.</w:t>
      </w:r>
    </w:p>
    <w:p w:rsidRPr="00E6530A" w:rsidR="00C73BAA" w:rsidP="00E678A6" w:rsidRDefault="00A42538" w14:paraId="7596D24D" w14:textId="78CE0A53">
      <w:pPr>
        <w:pStyle w:val="BodyText"/>
      </w:pPr>
      <w:r>
        <w:t>As mentioned in item 1., t</w:t>
      </w:r>
      <w:r w:rsidRPr="00E6530A" w:rsidR="005870FD">
        <w:t xml:space="preserve">o meet </w:t>
      </w:r>
      <w:r>
        <w:t>the De</w:t>
      </w:r>
      <w:r w:rsidRPr="00E6530A" w:rsidR="005870FD">
        <w:t>part</w:t>
      </w:r>
      <w:r w:rsidR="0088292B">
        <w:t>me</w:t>
      </w:r>
      <w:r w:rsidRPr="00E6530A" w:rsidR="005870FD">
        <w:t xml:space="preserve">ntal and congressional needs for information regarding the IHEs’ implementation of the diverse </w:t>
      </w:r>
      <w:r w:rsidRPr="00E6530A" w:rsidR="00665C5F">
        <w:t>perspectives’</w:t>
      </w:r>
      <w:r w:rsidRPr="00E6530A" w:rsidR="005870FD">
        <w:t xml:space="preserve"> requirement, </w:t>
      </w:r>
      <w:r w:rsidR="00136F07">
        <w:t xml:space="preserve">the Department of Education </w:t>
      </w:r>
      <w:r w:rsidRPr="00E6530A" w:rsidR="005870FD">
        <w:t>has contracted with KCI to conduct a one-time online survey of directors or associate directors of all 100 National Resource Centers being funded in the current grant cycle (2018-2022). This survey will provide ED with the necessary data to compare and contrast the methods that NRCs use to manage the decision making and oversight processes for grant-related projects and activities. Further, analysis of this data will highlight NRC best practices for ensuring that diverse perspectives are being presented in a balanced and transparent manner in all center-related teaching, faculty research activities, and other programming. It may also identify language in the statute that is unclear or missing that prevents applicants from fully understanding the diverse perspectives priority and shall make recommendations to improve the clarity of the requirements of the Higher Education Act.</w:t>
      </w:r>
    </w:p>
    <w:p w:rsidRPr="00E6530A" w:rsidR="0088292B" w:rsidP="00E678A6" w:rsidRDefault="005870FD" w14:paraId="6DA6F583" w14:textId="4E8871DC">
      <w:pPr>
        <w:pStyle w:val="BodyText"/>
      </w:pPr>
      <w:r w:rsidRPr="00E6530A">
        <w:t xml:space="preserve">In preparation for this survey, KCI has reviewed all 100 grant applications for the current NRCs, which were already publicly available and did not require the collection of new data. Each grantee provided in its application a statement explaining how the activities funded by the grant will reflect diverse perspectives and a wide range of views and generate debate on world regions and international affairs. Each of these statements were carefully reviewed along with other relevant application sections, such as performance measures, course lists, and descriptions of activities explicitly noted as being intended for promoting diverse perspectives or generating debate. Following this review, KCI conducted virtual site visits with five NRCs and spoke with directors and associate directors about their understanding of and concerns with the diverse </w:t>
      </w:r>
      <w:r w:rsidRPr="00E6530A" w:rsidR="00665C5F">
        <w:t>perspectives’</w:t>
      </w:r>
      <w:r w:rsidRPr="00E6530A">
        <w:t xml:space="preserve"> requirement. </w:t>
      </w:r>
    </w:p>
    <w:p w:rsidRPr="00E6530A" w:rsidR="001C498F" w:rsidP="00E678A6" w:rsidRDefault="005870FD" w14:paraId="7E6D469A" w14:textId="2D706487">
      <w:pPr>
        <w:pStyle w:val="BodyText"/>
      </w:pPr>
      <w:r w:rsidRPr="00E6530A">
        <w:t xml:space="preserve">The findings from the application reviews and site visits were then used to develop a survey questionnaire that will provide relevant data to evaluate how NRC grantee institutions are meeting the diverse perspectives requirement. KCI will analyze this data and develop a report for ED detailing the results. </w:t>
      </w:r>
    </w:p>
    <w:p w:rsidRPr="00E6530A" w:rsidR="005870FD" w:rsidP="00E678A6" w:rsidRDefault="005870FD" w14:paraId="1E2247F8" w14:textId="2B2B55F6">
      <w:pPr>
        <w:pStyle w:val="BodyText"/>
      </w:pPr>
      <w:r w:rsidRPr="00E6530A">
        <w:t xml:space="preserve">This is a new data collection effort. The findings will provide ED with a previously unavailable level of detail on how the diverse perspectives requirement is being understood and responded to across NRCs. They will note differences in how the requirement is interpreted and the resulting impact on how projects and activities are planned and conducted. ED will use this information to clarify NRC grant application instructions and provide any further necessary guidance for program directors, which will improve and strengthen the overall NRC program. ED will also use the findings to inform department leadership, members of Congress, NRC </w:t>
      </w:r>
      <w:r w:rsidRPr="00E6530A">
        <w:lastRenderedPageBreak/>
        <w:t xml:space="preserve">directors, and other interested parties regarding the NRCs’ current responses to the diverse </w:t>
      </w:r>
      <w:r w:rsidRPr="00E6530A" w:rsidR="00665C5F">
        <w:t>perspectives’</w:t>
      </w:r>
      <w:r w:rsidRPr="00E6530A">
        <w:t xml:space="preserve"> requirement of the Higher Education Opportunity Act of 2008.</w:t>
      </w:r>
    </w:p>
    <w:p w:rsidRPr="00AD381B" w:rsidR="00043C32" w:rsidP="00AD381B" w:rsidRDefault="00043C32" w14:paraId="172D6C61" w14:textId="77777777">
      <w:pPr>
        <w:suppressAutoHyphens/>
        <w:spacing w:line="240" w:lineRule="exact"/>
        <w:rPr>
          <w:rFonts w:ascii="Times New Roman" w:hAnsi="Times New Roman"/>
          <w:szCs w:val="24"/>
        </w:rPr>
      </w:pPr>
    </w:p>
    <w:p w:rsidRPr="00E66384" w:rsidR="00AD381B" w:rsidP="00E66384" w:rsidRDefault="00043C32" w14:paraId="4DE21B95" w14:textId="5568BB2B">
      <w:pPr>
        <w:pStyle w:val="Heading2"/>
      </w:pPr>
      <w:r w:rsidRPr="00AD381B">
        <w:t xml:space="preserve">Describe whether, and to what extent, the collection of information involves the use of automated, electronic, mechanical, or other technological collection techniques or forms of information technology, </w:t>
      </w:r>
      <w:r w:rsidRPr="00AD381B" w:rsidR="00665C5F">
        <w:t>e.g.,</w:t>
      </w:r>
      <w:r w:rsidRPr="00AD381B">
        <w:t xml:space="preserve"> permitting electronic submission of responses, and the basis for the decision of adopting this means of collection. </w:t>
      </w:r>
      <w:r w:rsidR="006A38F7">
        <w:t xml:space="preserve">Please identify systems or websites used to electronically collect this information. </w:t>
      </w:r>
      <w:r w:rsidRPr="00AD381B">
        <w:t>Also describe any consideration given to using technology to reduce burden.</w:t>
      </w:r>
      <w:r w:rsidR="00A23F26">
        <w:t xml:space="preserve"> If there is an increase or decrease in burden related to using technology (</w:t>
      </w:r>
      <w:proofErr w:type="gramStart"/>
      <w:r w:rsidR="00A23F26">
        <w:t>e.g.</w:t>
      </w:r>
      <w:proofErr w:type="gramEnd"/>
      <w:r w:rsidR="00A23F26">
        <w:t xml:space="preserve"> using an electronic form, system or website from paper), please explain in number 12.</w:t>
      </w:r>
    </w:p>
    <w:p w:rsidRPr="00E66384" w:rsidR="00AD381B" w:rsidP="00E66384" w:rsidRDefault="00C93DA2" w14:paraId="76491026" w14:textId="6B350749">
      <w:pPr>
        <w:pStyle w:val="BodyText"/>
      </w:pPr>
      <w:r w:rsidRPr="00E6530A">
        <w:t xml:space="preserve">The data will be collected entirely through a web-based survey administered by KCI. The respondents will be university program staff (generally directors or associate directors of the NRC program) who should have adequate Internet access through their institutions. The questionnaire will be programmed into a sophisticated survey administration platform and will use features such as skip patterns to maximize user-friendliness and efficient use of time. Respondents will also have the option to complete the survey using a mobile device. Pretests conducted with directors from three NRCS indicate that the expected completion time for most respondents will be approximately 30 minutes. </w:t>
      </w:r>
    </w:p>
    <w:p w:rsidRPr="00E66384" w:rsidR="00246FE9" w:rsidP="00E66384" w:rsidRDefault="00043C32" w14:paraId="735827C0" w14:textId="78514E78">
      <w:pPr>
        <w:pStyle w:val="Heading2"/>
      </w:pPr>
      <w:r w:rsidRPr="00246FE9">
        <w:t>Describe efforts to identify duplication.  Show specifically why any similar information already available cannot be used or modified for use for the purposes described in Item 2 above.</w:t>
      </w:r>
      <w:r w:rsidRPr="00246FE9" w:rsidR="00A23F26">
        <w:t xml:space="preserve"> </w:t>
      </w:r>
    </w:p>
    <w:p w:rsidRPr="00E66384" w:rsidR="009112DA" w:rsidP="00E66384" w:rsidRDefault="009112DA" w14:paraId="148AA384" w14:textId="4366AF50">
      <w:pPr>
        <w:pStyle w:val="BodyText"/>
      </w:pPr>
      <w:r w:rsidRPr="00E6530A">
        <w:t>A survey of NRC grantees such as this one has not been conducted before</w:t>
      </w:r>
      <w:r w:rsidR="00623A21">
        <w:t>,</w:t>
      </w:r>
      <w:r w:rsidRPr="00E6530A">
        <w:t xml:space="preserve"> and there is no equivalent source for the specific information to be collected regarding the diverse perspectives requirement. By reviewing the publicly available grant applications and conducting a few virtual site visits, KCI has attained some relevant information, but more is needed to fully understand and compare the institutions’ responses to this requirement. Survey data will provide insights into the different projects and activities used to promote diverse perspectives, the various understandings of program directors about the intended meaning of diversity in this context, their concerns with how it is addressed and evaluated, and details about their governance structure and decision-making processes. This information is not available in existing data sources. We will, however, minimize any unnecessary data collection by linking any relevant information from NRC grant applications (e.g., world region of study, grant amount, etc.) to the associated survey response rather than creating extra survey questions to collect those data.</w:t>
      </w:r>
    </w:p>
    <w:p w:rsidRPr="00E66384" w:rsidR="00AD381B" w:rsidP="00E66384" w:rsidRDefault="00043C32" w14:paraId="6819AF5B" w14:textId="7FA1A686">
      <w:pPr>
        <w:pStyle w:val="Heading2"/>
      </w:pPr>
      <w:r w:rsidRPr="00AD381B">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66384" w:rsidR="00AD381B" w:rsidP="00E66384" w:rsidRDefault="00E22312" w14:paraId="3C6918D1" w14:textId="639B84DA">
      <w:pPr>
        <w:pStyle w:val="BodyText"/>
      </w:pPr>
      <w:r w:rsidRPr="00E6530A">
        <w:t>None of the respondents for this survey are small businesses or entities.</w:t>
      </w:r>
    </w:p>
    <w:p w:rsidRPr="00E66384" w:rsidR="003F3CC7" w:rsidP="00E66384" w:rsidRDefault="00043C32" w14:paraId="6D178107" w14:textId="66A0C0C9">
      <w:pPr>
        <w:pStyle w:val="Heading2"/>
      </w:pPr>
      <w:r w:rsidRPr="00AD381B">
        <w:lastRenderedPageBreak/>
        <w:t>Describe the consequences to Federal program or policy activities if the collection is not conducted or is conducted less frequently, as well as any technical or legal obstacles to reducing burden.</w:t>
      </w:r>
    </w:p>
    <w:p w:rsidR="00E5228E" w:rsidP="00E66384" w:rsidRDefault="00ED3255" w14:paraId="0739C8B9" w14:textId="5E1758D8">
      <w:pPr>
        <w:pStyle w:val="BodyText"/>
      </w:pPr>
      <w:r w:rsidRPr="00E6530A">
        <w:t>This survey will provide unique data not previously available to ED. Since the passage of the Higher Education Act of 2008, concerns about the diverse perspective requirement have been raised – both by members of Congress</w:t>
      </w:r>
      <w:r w:rsidRPr="00E6530A" w:rsidR="00725705">
        <w:t xml:space="preserve">, the public, </w:t>
      </w:r>
      <w:r w:rsidRPr="00E6530A">
        <w:t xml:space="preserve"> and by grantees </w:t>
      </w:r>
      <w:bookmarkStart w:name="_Hlk87016510" w:id="1"/>
      <w:r w:rsidRPr="00E6530A">
        <w:t>–</w:t>
      </w:r>
      <w:bookmarkEnd w:id="1"/>
      <w:r w:rsidRPr="00E6530A">
        <w:t xml:space="preserve"> regarding the meaning of this requirement and the related expectations for grantees for addressing it in their applications and meeting it in their program implementations. The language of the requirement and the associated application instructions for grantees are currently perceived by many as being broad and vague. The data collected through this survey will provide useful information for clarifying the requirement.</w:t>
      </w:r>
    </w:p>
    <w:p w:rsidRPr="00E66384" w:rsidR="003F3CC7" w:rsidP="00E66384" w:rsidRDefault="00756650" w14:paraId="3111806B" w14:textId="6FBA9960">
      <w:pPr>
        <w:pStyle w:val="BodyText"/>
      </w:pPr>
      <w:r>
        <w:t>I</w:t>
      </w:r>
      <w:r w:rsidR="00DA4997">
        <w:t xml:space="preserve">f this collection (survey) is not conducted, </w:t>
      </w:r>
      <w:r w:rsidR="00E5228E">
        <w:t xml:space="preserve">the result will be a </w:t>
      </w:r>
      <w:r w:rsidRPr="00E6530A" w:rsidR="00ED3255">
        <w:t xml:space="preserve">continued lack of clarity around a key aspect of the NRC program. Future applicants will continue to be unsure about how to address it, potentially resulting in applications being rejected due to unclear evaluation standards, grants being awarded for programs that do not fully meet the requirement as intended, and/or grantees being unable (despite being willing) to adjust their programming to better address the requirement.  </w:t>
      </w:r>
    </w:p>
    <w:p w:rsidRPr="003F3CC7" w:rsidR="00043C32" w:rsidP="00E66384" w:rsidRDefault="00043C32" w14:paraId="72640F72" w14:textId="24A38AD3">
      <w:pPr>
        <w:pStyle w:val="Heading2"/>
      </w:pPr>
      <w:r w:rsidRPr="00E6530A">
        <w:t>Explain any special circumstances that would cause an information collection to be conducted in a manner:</w:t>
      </w:r>
    </w:p>
    <w:p w:rsidRPr="00AD381B" w:rsidR="00043C32" w:rsidP="00AD381B" w:rsidRDefault="00043C32" w14:paraId="03B1833A" w14:textId="77777777">
      <w:pPr>
        <w:tabs>
          <w:tab w:val="left" w:pos="-720"/>
        </w:tabs>
        <w:suppressAutoHyphens/>
        <w:rPr>
          <w:rFonts w:ascii="Times New Roman" w:hAnsi="Times New Roman"/>
          <w:b/>
          <w:szCs w:val="24"/>
        </w:rPr>
      </w:pPr>
    </w:p>
    <w:p w:rsidRPr="00F425E8" w:rsidR="00043C32" w:rsidP="00F425E8" w:rsidRDefault="00043C32" w14:paraId="4E2C8EAC" w14:textId="0D5A36C2">
      <w:pPr>
        <w:pStyle w:val="Heading2BulletList"/>
      </w:pPr>
      <w:r w:rsidRPr="00AD381B">
        <w:t>requiring respondents to report information to the agency more often than quarterly;</w:t>
      </w:r>
    </w:p>
    <w:p w:rsidRPr="00AD381B" w:rsidR="00043C32" w:rsidP="000F5D66" w:rsidRDefault="00043C32" w14:paraId="6B0C2753" w14:textId="3F5C2BED">
      <w:pPr>
        <w:pStyle w:val="Heading2BulletList"/>
      </w:pPr>
      <w:r w:rsidRPr="00AD381B">
        <w:t>requiring respondents to prepare a written response to a collection of information in fewer than 30 days after receipt of it;</w:t>
      </w:r>
    </w:p>
    <w:p w:rsidRPr="00AD381B" w:rsidR="00043C32" w:rsidP="000F5D66" w:rsidRDefault="00043C32" w14:paraId="53CFF789" w14:textId="4DF3E5C2">
      <w:pPr>
        <w:pStyle w:val="Heading2BulletList"/>
      </w:pPr>
      <w:r w:rsidRPr="00AD381B">
        <w:t>requiring respondents to submit more than an original and two copies of any document;</w:t>
      </w:r>
    </w:p>
    <w:p w:rsidRPr="00AD381B" w:rsidR="00043C32" w:rsidP="000F5D66" w:rsidRDefault="00043C32" w14:paraId="0C1A752A" w14:textId="123CFBE3">
      <w:pPr>
        <w:pStyle w:val="Heading2BulletList"/>
      </w:pPr>
      <w:r w:rsidRPr="00AD381B">
        <w:t>requiring respondents to retain records, other than health, medical, government contract, grant-in-aid, or tax records for more than three years;</w:t>
      </w:r>
    </w:p>
    <w:p w:rsidRPr="00AD381B" w:rsidR="00043C32" w:rsidP="000F5D66" w:rsidRDefault="00043C32" w14:paraId="1900C8EB" w14:textId="666505E3">
      <w:pPr>
        <w:pStyle w:val="Heading2BulletList"/>
      </w:pPr>
      <w:r w:rsidRPr="00AD381B">
        <w:t>in connection with a statistical survey, that is not designed to produce valid and reliable results than can be generalized to the universe of study;</w:t>
      </w:r>
    </w:p>
    <w:p w:rsidRPr="00AD381B" w:rsidR="00043C32" w:rsidP="000F5D66" w:rsidRDefault="00043C32" w14:paraId="05A1DFFE" w14:textId="37999B9F">
      <w:pPr>
        <w:pStyle w:val="Heading2BulletList"/>
      </w:pPr>
      <w:r w:rsidRPr="00AD381B">
        <w:t>requiring the use of a statistical data classification that has not been reviewed and approved by OMB;</w:t>
      </w:r>
    </w:p>
    <w:p w:rsidRPr="00AD381B" w:rsidR="00043C32" w:rsidP="000F5D66" w:rsidRDefault="00043C32" w14:paraId="51BDE2A6" w14:textId="4051D3AE">
      <w:pPr>
        <w:pStyle w:val="Heading2BulletList"/>
      </w:pPr>
      <w:r w:rsidRPr="00AD381B">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66384" w:rsidR="00AD381B" w:rsidP="000F5D66" w:rsidRDefault="00043C32" w14:paraId="0EDA4F87" w14:textId="4BD4A2DB">
      <w:pPr>
        <w:pStyle w:val="Heading2BulletList"/>
      </w:pPr>
      <w:r w:rsidRPr="00AD381B">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66384" w:rsidR="00021E3D" w:rsidP="00E66384" w:rsidRDefault="00021E3D" w14:paraId="6D82EBC3" w14:textId="278911CA">
      <w:pPr>
        <w:pStyle w:val="BodyText"/>
      </w:pPr>
      <w:r w:rsidRPr="00E6530A">
        <w:t>None of the special circumstances apply to this data collection.</w:t>
      </w:r>
    </w:p>
    <w:p w:rsidR="00D75313" w:rsidP="00434979" w:rsidRDefault="00043C32" w14:paraId="63E7A1DE" w14:textId="17F58823">
      <w:pPr>
        <w:pStyle w:val="Heading2"/>
      </w:pPr>
      <w:r w:rsidRPr="00AD381B">
        <w:t>As applicable, state that the Department has published the 60 and 30 Federal Register notices as required by 5 CFR 1320.8(d), soliciting comments on the information collection prior to submission to OMB.</w:t>
      </w:r>
    </w:p>
    <w:p w:rsidRPr="000F5D66" w:rsidR="00D75313" w:rsidP="000F5D66" w:rsidRDefault="00D75313" w14:paraId="6892939A" w14:textId="2B7E82DA">
      <w:pPr>
        <w:pStyle w:val="Heading2Paragraph"/>
      </w:pPr>
      <w:r w:rsidRPr="000F5D66">
        <w:t xml:space="preserve">Include a citation for the </w:t>
      </w:r>
      <w:proofErr w:type="gramStart"/>
      <w:r w:rsidRPr="000F5D66">
        <w:t>60 day</w:t>
      </w:r>
      <w:proofErr w:type="gramEnd"/>
      <w:r w:rsidRPr="000F5D66">
        <w:t xml:space="preserve"> comment period (e.g. Vol. 84 FR ##### and the date of publication).</w:t>
      </w:r>
      <w:r w:rsidRPr="000F5D66" w:rsidR="00043C32">
        <w:t xml:space="preserve">  Summarize public comments received in response to </w:t>
      </w:r>
      <w:r w:rsidRPr="000F5D66">
        <w:t xml:space="preserve">the </w:t>
      </w:r>
      <w:proofErr w:type="gramStart"/>
      <w:r w:rsidRPr="000F5D66">
        <w:t>60 day</w:t>
      </w:r>
      <w:proofErr w:type="gramEnd"/>
      <w:r w:rsidRPr="000F5D66" w:rsidR="00043C32">
        <w:t xml:space="preserve"> notice and describe actions taken by the agency in response to these comments.  Specifically address comments received on cost and hour burden.</w:t>
      </w:r>
      <w:r w:rsidRPr="000F5D66" w:rsidR="007C0A4C">
        <w:t xml:space="preserve">  If only non-substantive comments are provided, please provide a statement to that effect and that it did not relate or warrant any change</w:t>
      </w:r>
      <w:r w:rsidRPr="000F5D66">
        <w:t>s to this information collection request</w:t>
      </w:r>
      <w:r w:rsidRPr="000F5D66" w:rsidR="007C0A4C">
        <w:t xml:space="preserve">. </w:t>
      </w:r>
      <w:r w:rsidRPr="000F5D66">
        <w:t>In your comments, please also indicate the number of public comments received.</w:t>
      </w:r>
    </w:p>
    <w:p w:rsidRPr="000F5D66" w:rsidR="00D75313" w:rsidP="000F5D66" w:rsidRDefault="00D75313" w14:paraId="5A3562CB" w14:textId="77777777">
      <w:pPr>
        <w:pStyle w:val="Heading2Paragraph"/>
      </w:pPr>
      <w:r w:rsidRPr="000F5D66">
        <w:t xml:space="preserve">For the </w:t>
      </w:r>
      <w:proofErr w:type="gramStart"/>
      <w:r w:rsidRPr="000F5D66">
        <w:t>30 day</w:t>
      </w:r>
      <w:proofErr w:type="gramEnd"/>
      <w:r w:rsidRPr="000F5D66">
        <w:t xml:space="preserve"> notice, indicate that a notice will be published.</w:t>
      </w:r>
    </w:p>
    <w:p w:rsidRPr="000F5D66" w:rsidR="00043C32" w:rsidP="000F5D66" w:rsidRDefault="00043C32" w14:paraId="45B2DD3F" w14:textId="490C312A">
      <w:pPr>
        <w:pStyle w:val="Heading2Paragraph"/>
        <w:rPr>
          <w:rStyle w:val="a"/>
        </w:rPr>
      </w:pPr>
      <w:r w:rsidRPr="000F5D66">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0F5D66" w:rsidR="00AD381B" w:rsidP="000F5D66" w:rsidRDefault="00043C32" w14:paraId="6818B7CC" w14:textId="69798C61">
      <w:pPr>
        <w:pStyle w:val="Heading2Paragraph"/>
      </w:pPr>
      <w:r w:rsidRPr="000F5D66">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6550" w:rsidP="00046D90" w:rsidRDefault="00A82904" w14:paraId="174FEEBE" w14:textId="108FF0AD">
      <w:pPr>
        <w:pStyle w:val="BodyText"/>
        <w:ind w:left="720" w:firstLine="0"/>
      </w:pPr>
      <w:r w:rsidRPr="00E6530A">
        <w:t xml:space="preserve">As part of the data collection development, KCI conducted virtual site visits with five NRCs and a pretest of the draft questionnaire with directors from three other NRCs. Minor revisions were made to the final questionnaire based on feedback received through these means. The estimated burden of completing the survey was based on feedback from the pretest respondents. </w:t>
      </w:r>
    </w:p>
    <w:p w:rsidR="00DF1E56" w:rsidP="00046D90" w:rsidRDefault="00DF1E56" w14:paraId="7D10E60D" w14:textId="3433768D">
      <w:pPr>
        <w:pStyle w:val="BodyText"/>
        <w:ind w:left="720" w:firstLine="0"/>
      </w:pPr>
      <w:r>
        <w:t xml:space="preserve">Both a 60 day and a </w:t>
      </w:r>
      <w:r w:rsidR="00665C5F">
        <w:t>30-day</w:t>
      </w:r>
      <w:r>
        <w:t xml:space="preserve"> Federal Register Notice inviting public comment will be published as required.  All resulting public comments will be reviewed and any appropriate changes to the collection will be made.</w:t>
      </w:r>
    </w:p>
    <w:p w:rsidR="00046D90" w:rsidP="00046D90" w:rsidRDefault="00046D90" w14:paraId="4147BBBC" w14:textId="7B999273">
      <w:pPr>
        <w:tabs>
          <w:tab w:val="left" w:pos="-720"/>
        </w:tabs>
        <w:suppressAutoHyphens/>
        <w:ind w:left="720"/>
        <w:rPr>
          <w:rFonts w:ascii="Times New Roman" w:hAnsi="Times New Roman"/>
          <w:szCs w:val="24"/>
        </w:rPr>
      </w:pPr>
      <w:r>
        <w:rPr>
          <w:rFonts w:ascii="Times New Roman" w:hAnsi="Times New Roman"/>
          <w:szCs w:val="24"/>
        </w:rPr>
        <w:t>A 60-day notice was published which required by 5 CFR 1320.8(d) to solicit public comments on the regular information collection. A Federal Register was published on J</w:t>
      </w:r>
      <w:r w:rsidR="004B6D49">
        <w:rPr>
          <w:rFonts w:ascii="Times New Roman" w:hAnsi="Times New Roman"/>
          <w:szCs w:val="24"/>
        </w:rPr>
        <w:t>anuary 25</w:t>
      </w:r>
      <w:r>
        <w:rPr>
          <w:rFonts w:ascii="Times New Roman" w:hAnsi="Times New Roman"/>
          <w:szCs w:val="24"/>
        </w:rPr>
        <w:t>, 202</w:t>
      </w:r>
      <w:r w:rsidR="004B6D49">
        <w:rPr>
          <w:rFonts w:ascii="Times New Roman" w:hAnsi="Times New Roman"/>
          <w:szCs w:val="24"/>
        </w:rPr>
        <w:t>2</w:t>
      </w:r>
      <w:r>
        <w:rPr>
          <w:rFonts w:ascii="Times New Roman" w:hAnsi="Times New Roman"/>
          <w:szCs w:val="24"/>
        </w:rPr>
        <w:t xml:space="preserve"> (Vol.8</w:t>
      </w:r>
      <w:r w:rsidR="004B6D49">
        <w:rPr>
          <w:rFonts w:ascii="Times New Roman" w:hAnsi="Times New Roman"/>
          <w:szCs w:val="24"/>
        </w:rPr>
        <w:t>7</w:t>
      </w:r>
      <w:r>
        <w:rPr>
          <w:rFonts w:ascii="Times New Roman" w:hAnsi="Times New Roman"/>
          <w:szCs w:val="24"/>
        </w:rPr>
        <w:t>, No. 1</w:t>
      </w:r>
      <w:r w:rsidR="004B6D49">
        <w:rPr>
          <w:rFonts w:ascii="Times New Roman" w:hAnsi="Times New Roman"/>
          <w:szCs w:val="24"/>
        </w:rPr>
        <w:t>6</w:t>
      </w:r>
      <w:r>
        <w:rPr>
          <w:rFonts w:ascii="Times New Roman" w:hAnsi="Times New Roman"/>
          <w:szCs w:val="24"/>
        </w:rPr>
        <w:t>, page 37</w:t>
      </w:r>
      <w:r w:rsidR="004B6D49">
        <w:rPr>
          <w:rFonts w:ascii="Times New Roman" w:hAnsi="Times New Roman"/>
          <w:szCs w:val="24"/>
        </w:rPr>
        <w:t>87</w:t>
      </w:r>
      <w:r>
        <w:rPr>
          <w:rFonts w:ascii="Times New Roman" w:hAnsi="Times New Roman"/>
          <w:szCs w:val="24"/>
        </w:rPr>
        <w:t xml:space="preserve">) requesting public comment. There was one non-substantive public comment </w:t>
      </w:r>
      <w:proofErr w:type="gramStart"/>
      <w:r>
        <w:rPr>
          <w:rFonts w:ascii="Times New Roman" w:hAnsi="Times New Roman"/>
          <w:szCs w:val="24"/>
        </w:rPr>
        <w:t>as a result of</w:t>
      </w:r>
      <w:proofErr w:type="gramEnd"/>
      <w:r>
        <w:rPr>
          <w:rFonts w:ascii="Times New Roman" w:hAnsi="Times New Roman"/>
          <w:szCs w:val="24"/>
        </w:rPr>
        <w:t xml:space="preserve"> the notice.</w:t>
      </w:r>
    </w:p>
    <w:p w:rsidR="00046D90" w:rsidP="00046D90" w:rsidRDefault="00046D90" w14:paraId="3DF73E85" w14:textId="77777777">
      <w:pPr>
        <w:spacing w:after="100" w:afterAutospacing="1"/>
        <w:ind w:left="720"/>
        <w:rPr>
          <w:rFonts w:ascii="Times New Roman" w:hAnsi="Times New Roman"/>
          <w:szCs w:val="24"/>
        </w:rPr>
      </w:pPr>
    </w:p>
    <w:p w:rsidR="00046D90" w:rsidP="00046D90" w:rsidRDefault="00046D90" w14:paraId="4CF8BD78" w14:textId="58728F7B">
      <w:pPr>
        <w:spacing w:after="100" w:afterAutospacing="1"/>
        <w:ind w:left="720"/>
        <w:rPr>
          <w:rFonts w:ascii="Times New Roman" w:hAnsi="Times New Roman"/>
          <w:szCs w:val="24"/>
        </w:rPr>
      </w:pPr>
      <w:r>
        <w:rPr>
          <w:rFonts w:ascii="Times New Roman" w:hAnsi="Times New Roman"/>
          <w:szCs w:val="24"/>
        </w:rPr>
        <w:lastRenderedPageBreak/>
        <w:t xml:space="preserve">The Department will publish a 30-day Federal Register notice for public comment. </w:t>
      </w:r>
    </w:p>
    <w:p w:rsidRPr="00A82904" w:rsidR="00046D90" w:rsidP="00046D90" w:rsidRDefault="00046D90" w14:paraId="0E1B9546" w14:textId="7D898F83">
      <w:pPr>
        <w:pStyle w:val="BodyText"/>
        <w:ind w:firstLine="0"/>
      </w:pPr>
    </w:p>
    <w:p w:rsidRPr="00F425E8" w:rsidR="00920F63" w:rsidP="00F425E8" w:rsidRDefault="00043C32" w14:paraId="7BFA4D4B" w14:textId="18D2C1E2">
      <w:pPr>
        <w:pStyle w:val="Heading2"/>
      </w:pPr>
      <w:r w:rsidRPr="00F425E8">
        <w:rPr>
          <w:rStyle w:val="a"/>
        </w:rPr>
        <w:t>Explain any decision to provide any payment or gift to respondents, other than remuneration of contractors or grantees with meaningful justification.</w:t>
      </w:r>
    </w:p>
    <w:p w:rsidRPr="00F425E8" w:rsidR="00920F63" w:rsidP="00F425E8" w:rsidRDefault="00233855" w14:paraId="4C742B82" w14:textId="286BAEE0">
      <w:pPr>
        <w:pStyle w:val="BodyText"/>
      </w:pPr>
      <w:r w:rsidRPr="00E6530A">
        <w:t>No payments or gifts will be made to any of the survey respondents.</w:t>
      </w:r>
    </w:p>
    <w:p w:rsidRPr="00F425E8" w:rsidR="00920F63" w:rsidP="00F425E8" w:rsidRDefault="00043C32" w14:paraId="23EDB001" w14:textId="3F0F57AF">
      <w:pPr>
        <w:pStyle w:val="Heading2"/>
      </w:pPr>
      <w:r w:rsidRPr="00920F63">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rPr>
        <w:footnoteReference w:id="1"/>
      </w:r>
      <w:r w:rsidRPr="00920F63">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t>ity</w:t>
      </w:r>
      <w:r w:rsidRPr="00920F63">
        <w:t xml:space="preserve"> of the data.</w:t>
      </w:r>
      <w:r w:rsidR="009767AF">
        <w:t xml:space="preserve"> </w:t>
      </w:r>
      <w:r w:rsidRPr="00D75313" w:rsidR="009767AF">
        <w:t>If no PII will be collected, state that no assurance of confidentiality is provided to respondents.</w:t>
      </w:r>
      <w:r w:rsidR="00F31BEC">
        <w:t xml:space="preserve"> If the Paperwork Burden Statement is not included physically on a form, you may include it here. Please ensure that your response per respondent matches the estimate provided in number 12.</w:t>
      </w:r>
    </w:p>
    <w:p w:rsidRPr="00646BDF" w:rsidR="00920F63" w:rsidP="00F425E8" w:rsidRDefault="00646BDF" w14:paraId="7085D021" w14:textId="02DAF205">
      <w:pPr>
        <w:pStyle w:val="BodyText"/>
      </w:pPr>
      <w:r w:rsidRPr="00E6530A">
        <w:t>KCI will protect the confidentiality of the survey respondents. The names and email</w:t>
      </w:r>
      <w:r w:rsidR="00393EF4">
        <w:t xml:space="preserve"> addresses</w:t>
      </w:r>
      <w:r w:rsidRPr="00E6530A">
        <w:t xml:space="preserve"> of desired survey respondents will be collected from the “project director” information </w:t>
      </w:r>
      <w:r w:rsidR="00393EF4">
        <w:t>contained in</w:t>
      </w:r>
      <w:r w:rsidRPr="00E6530A" w:rsidR="00393EF4">
        <w:t xml:space="preserve"> </w:t>
      </w:r>
      <w:r w:rsidRPr="00E6530A">
        <w:t>the grant applications, which are publicly available. This p</w:t>
      </w:r>
      <w:r w:rsidR="000334A8">
        <w:t xml:space="preserve">erson </w:t>
      </w:r>
      <w:r w:rsidR="00665C5F">
        <w:t>indicated</w:t>
      </w:r>
      <w:r w:rsidR="000334A8">
        <w:t xml:space="preserve"> as the project director </w:t>
      </w:r>
      <w:r w:rsidRPr="00E6530A">
        <w:t>will be our initial point of contact, but in some cases, they will refer us to someone else (e.g., a new director or associate director) who will complete the questionnaire. The actual survey responses will be linked with institutional information, but not with the individual identifying information of the people who complete the survey. Collected data will be used for statistical purposes only. Results for each survey item will be shown at the aggregate level in the final report provided to ED. The specific responses from each institution will not be detailed. No data will be connected to an individual institution or person in the report. We will provide assurance of confidentiality in all of these aspects to respondents prior to survey completion.</w:t>
      </w:r>
    </w:p>
    <w:p w:rsidRPr="00F425E8" w:rsidR="00920F63" w:rsidP="00F425E8" w:rsidRDefault="00043C32" w14:paraId="6E6780A5" w14:textId="1E0F3A7B">
      <w:pPr>
        <w:pStyle w:val="Heading2"/>
      </w:pPr>
      <w:r w:rsidRPr="00920F63">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lastRenderedPageBreak/>
        <w:t>information, the explanation to be given to persons from whom the information is requested, and any steps to be taken to obtain their consent.</w:t>
      </w:r>
    </w:p>
    <w:p w:rsidRPr="00920F63" w:rsidR="00920F63" w:rsidP="00F425E8" w:rsidRDefault="009D1EAB" w14:paraId="13BF3593" w14:textId="5811D784">
      <w:pPr>
        <w:pStyle w:val="BodyText"/>
      </w:pPr>
      <w:r w:rsidRPr="00E6530A">
        <w:t>There are no questions of a sensitive nature in the survey. There are no questions about information generally considered private and no questions are specific to the individual respondents. The survey questions are focused on the NRC institution: projects, activities, policies, procedures, structures, and general experience with the program and application.</w:t>
      </w:r>
    </w:p>
    <w:p w:rsidRPr="00B64033" w:rsidR="00043C32" w:rsidP="00B64033" w:rsidRDefault="00043C32" w14:paraId="58C00956" w14:textId="1A6EB44C">
      <w:pPr>
        <w:pStyle w:val="Heading2"/>
        <w:rPr>
          <w:rStyle w:val="a"/>
        </w:rPr>
      </w:pPr>
      <w:r w:rsidRPr="00F425E8">
        <w:rPr>
          <w:rStyle w:val="a"/>
        </w:rPr>
        <w:t xml:space="preserve">Provide estimates of the hour burden </w:t>
      </w:r>
      <w:r w:rsidRPr="00F425E8" w:rsidR="00F5782B">
        <w:rPr>
          <w:rStyle w:val="a"/>
        </w:rPr>
        <w:t xml:space="preserve">for </w:t>
      </w:r>
      <w:r w:rsidRPr="00F425E8">
        <w:rPr>
          <w:rStyle w:val="a"/>
        </w:rPr>
        <w:t>th</w:t>
      </w:r>
      <w:r w:rsidRPr="00F425E8" w:rsidR="00F5782B">
        <w:rPr>
          <w:rStyle w:val="a"/>
        </w:rPr>
        <w:t>is</w:t>
      </w:r>
      <w:r w:rsidRPr="00F425E8">
        <w:rPr>
          <w:rStyle w:val="a"/>
        </w:rPr>
        <w:t xml:space="preserve"> </w:t>
      </w:r>
      <w:r w:rsidRPr="00F425E8" w:rsidR="00F31BEC">
        <w:rPr>
          <w:rStyle w:val="a"/>
        </w:rPr>
        <w:t>current information collection request</w:t>
      </w:r>
      <w:r w:rsidRPr="00F425E8">
        <w:rPr>
          <w:rStyle w:val="a"/>
        </w:rPr>
        <w:t>.  The statement should:</w:t>
      </w:r>
    </w:p>
    <w:p w:rsidR="00C224FD" w:rsidP="000F5D66" w:rsidRDefault="00C224FD" w14:paraId="5A32FDBC" w14:textId="77777777">
      <w:pPr>
        <w:pStyle w:val="Heading2BulletList"/>
        <w:rPr>
          <w:rStyle w:val="a"/>
          <w:b w:val="0"/>
        </w:rPr>
      </w:pPr>
      <w:r w:rsidRPr="00756FD3">
        <w:rPr>
          <w:rStyle w:val="a"/>
        </w:rPr>
        <w:t>Provide an explanation of how the burden was estimated,</w:t>
      </w:r>
      <w:r w:rsidRPr="00920F63">
        <w:rPr>
          <w:rStyle w:val="a"/>
        </w:rPr>
        <w:t xml:space="preserve"> including identification of burden type: recordkeeping, reporting or </w:t>
      </w:r>
      <w:proofErr w:type="gramStart"/>
      <w:r w:rsidRPr="00920F63">
        <w:rPr>
          <w:rStyle w:val="a"/>
        </w:rPr>
        <w:t>third party</w:t>
      </w:r>
      <w:proofErr w:type="gramEnd"/>
      <w:r w:rsidRPr="00920F63">
        <w:rPr>
          <w:rStyle w:val="a"/>
        </w:rPr>
        <w:t xml:space="preserve"> disclosure.  </w:t>
      </w:r>
      <w:r>
        <w:rPr>
          <w:rStyle w:val="a"/>
        </w:rPr>
        <w:t xml:space="preserve">Address changes in burden due to the use of technology (if applicable). </w:t>
      </w:r>
      <w:r w:rsidRPr="00920F63">
        <w:rPr>
          <w:rStyle w:val="a"/>
        </w:rPr>
        <w:t>Generally, estimates should not include burden hours for customary and usual business practices.</w:t>
      </w:r>
    </w:p>
    <w:p w:rsidRPr="00920F63" w:rsidR="00F5782B" w:rsidP="000F5D66" w:rsidRDefault="00F5782B" w14:paraId="713CF8CD" w14:textId="77777777">
      <w:pPr>
        <w:pStyle w:val="Heading2BulletList"/>
        <w:rPr>
          <w:rStyle w:val="a"/>
          <w:b w:val="0"/>
        </w:rPr>
      </w:pPr>
      <w:r>
        <w:rPr>
          <w:rStyle w:val="a"/>
        </w:rPr>
        <w:t>Please do not include increases in burden and respondents numerically in this table. Explain these changes in number 15.</w:t>
      </w:r>
    </w:p>
    <w:p w:rsidRPr="00C224FD" w:rsidR="00043C32" w:rsidP="000F5D66" w:rsidRDefault="00043C32" w14:paraId="4B21B2B4" w14:textId="77777777">
      <w:pPr>
        <w:pStyle w:val="Heading2BulletList"/>
        <w:rPr>
          <w:rStyle w:val="a"/>
        </w:rPr>
      </w:pPr>
      <w:r w:rsidRPr="00C224FD">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Pr>
        <w:t>.</w:t>
      </w:r>
      <w:r w:rsidRPr="00C224FD">
        <w:rPr>
          <w:rStyle w:val="a"/>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0F5D66" w:rsidRDefault="00043C32" w14:paraId="66D18253" w14:textId="77777777">
      <w:pPr>
        <w:pStyle w:val="Heading2BulletList"/>
        <w:rPr>
          <w:rStyle w:val="a"/>
          <w:b w:val="0"/>
        </w:rPr>
      </w:pPr>
      <w:r w:rsidRPr="00920F63">
        <w:rPr>
          <w:rStyle w:val="a"/>
        </w:rPr>
        <w:t xml:space="preserve">If this request for approval covers more than one form, provide separate hour burden estimates for each form and aggregate the hour burden in the </w:t>
      </w:r>
      <w:r w:rsidR="00C224FD">
        <w:rPr>
          <w:rStyle w:val="a"/>
        </w:rPr>
        <w:t>table below.</w:t>
      </w:r>
    </w:p>
    <w:p w:rsidRPr="00B64033" w:rsidR="00756FD3" w:rsidP="00B64033" w:rsidRDefault="00043C32" w14:paraId="1A7D8FC4" w14:textId="45F68D24">
      <w:pPr>
        <w:pStyle w:val="Heading2BulletList"/>
        <w:rPr>
          <w:rStyle w:val="a"/>
        </w:rPr>
      </w:pPr>
      <w:r w:rsidRPr="00920F63">
        <w:rPr>
          <w:rStyle w:val="a"/>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Pr>
          <w:t>U</w:t>
        </w:r>
        <w:r w:rsidRPr="00A70816" w:rsidR="00960C86">
          <w:rPr>
            <w:rStyle w:val="Hyperlink"/>
          </w:rPr>
          <w:t>se this site</w:t>
        </w:r>
      </w:hyperlink>
      <w:r w:rsidR="00960C86">
        <w:rPr>
          <w:rStyle w:val="a"/>
        </w:rPr>
        <w:t xml:space="preserve"> </w:t>
      </w:r>
      <w:r w:rsidRPr="00B64033" w:rsidR="00960C86">
        <w:t xml:space="preserve">to research the appropriate wage rate. </w:t>
      </w:r>
      <w:r w:rsidRPr="00B64033">
        <w:t>The cost of contracting out or paying outside parties for information collection activities should not be included here.  Instead, this cost should be included in Item 14.</w:t>
      </w:r>
      <w:r w:rsidRPr="00B64033" w:rsidR="00D75313">
        <w:t xml:space="preserve"> If there is no cost to respondents, indicate by entering 0 in the chart below and/or provide a statement.</w:t>
      </w:r>
    </w:p>
    <w:p w:rsidRPr="00F425E8" w:rsidR="00AC5B58" w:rsidP="00B64033" w:rsidRDefault="00946126" w14:paraId="3A2E72BC" w14:textId="72756AF2">
      <w:pPr>
        <w:pStyle w:val="Heading2Paragraph"/>
      </w:pPr>
      <w:r w:rsidRPr="00F425E8">
        <w:t xml:space="preserve">Provide a descriptive narrative here in addition to completing the table </w:t>
      </w:r>
      <w:r w:rsidRPr="00F425E8" w:rsidR="00952DF9">
        <w:t xml:space="preserve">below </w:t>
      </w:r>
      <w:r w:rsidRPr="00F425E8">
        <w:t xml:space="preserve">with burden hour </w:t>
      </w:r>
      <w:r w:rsidRPr="00F425E8" w:rsidR="00952DF9">
        <w:t>estimates.</w:t>
      </w:r>
    </w:p>
    <w:p w:rsidRPr="00F425E8" w:rsidR="00AC5B58" w:rsidP="00F425E8" w:rsidRDefault="00381D44" w14:paraId="75D03FB0" w14:textId="79AA3F06">
      <w:pPr>
        <w:pStyle w:val="BodyText"/>
      </w:pPr>
      <w:r w:rsidRPr="00E6530A">
        <w:t xml:space="preserve">This survey will be a one-time data collection effort of 100 NRC directors or associate directors. The survey questions are fairly general and do not ask for detailed metrics or other information that would be likely to require time-consuming information gathering activities by respondents. Based on our experience with NRC personnel through the site visits </w:t>
      </w:r>
      <w:r w:rsidR="007E0C46">
        <w:t xml:space="preserve">and pretests </w:t>
      </w:r>
      <w:r w:rsidRPr="00E6530A">
        <w:lastRenderedPageBreak/>
        <w:t>already conducted, we fully expect that each of the survey respondents will be highly knowledgeable about the survey topics and will be able to complete the survey in about 30 minutes. Therefore, assuming a 100 percent response rate, we estimate a 3,000 minute or 50 hours total respondent burden. Assuming a $44 labor hour</w:t>
      </w:r>
      <w:r w:rsidRPr="00E6530A">
        <w:rPr>
          <w:rStyle w:val="FootnoteReference"/>
          <w:rFonts w:ascii="Times New Roman" w:hAnsi="Times New Roman"/>
        </w:rPr>
        <w:footnoteReference w:id="2"/>
      </w:r>
      <w:r w:rsidRPr="00E6530A">
        <w:t>, this results in an overall cost burden to respondents of $2,200.</w:t>
      </w:r>
    </w:p>
    <w:p w:rsidRPr="00381D44" w:rsidR="00920F63" w:rsidP="00920F63" w:rsidRDefault="00920F63" w14:paraId="6A577DF5" w14:textId="77777777">
      <w:pPr>
        <w:pStyle w:val="ListParagraph"/>
        <w:tabs>
          <w:tab w:val="left" w:pos="-720"/>
        </w:tabs>
        <w:suppressAutoHyphens/>
        <w:rPr>
          <w:rStyle w:val="a"/>
          <w:rFonts w:ascii="Times New Roman" w:hAnsi="Times New Roman"/>
          <w:szCs w:val="24"/>
        </w:rPr>
      </w:pPr>
    </w:p>
    <w:p w:rsidRPr="00BF4D17" w:rsidR="00ED7195" w:rsidP="00BF4D17" w:rsidRDefault="00ED7195" w14:paraId="3987FE44" w14:textId="77777777">
      <w:pPr>
        <w:pStyle w:val="Caption"/>
      </w:pPr>
      <w:r w:rsidRPr="00BF4D17">
        <w:t xml:space="preserve">Estimated </w:t>
      </w:r>
      <w:r w:rsidRPr="00BF4D17" w:rsidR="00F31BEC">
        <w:t xml:space="preserve">Annual </w:t>
      </w:r>
      <w:r w:rsidRPr="00BF4D17" w:rsidR="007F6104">
        <w:t>Burden and Respondent Costs</w:t>
      </w:r>
      <w:r w:rsidRPr="00BF4D17" w:rsidR="00F5782B">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13DDBF30" w14:textId="77777777">
        <w:trPr>
          <w:tblHeader/>
        </w:trPr>
        <w:tc>
          <w:tcPr>
            <w:tcW w:w="1345" w:type="dxa"/>
          </w:tcPr>
          <w:p w:rsidR="00C86713" w:rsidP="00FE1BAE" w:rsidRDefault="00C86713" w14:paraId="31323D83" w14:textId="77777777">
            <w:pPr>
              <w:jc w:val="center"/>
              <w:rPr>
                <w:rFonts w:ascii="Times New Roman" w:hAnsi="Times New Roman"/>
                <w:sz w:val="20"/>
              </w:rPr>
            </w:pPr>
          </w:p>
          <w:p w:rsidR="00C86713" w:rsidP="00FE1BAE" w:rsidRDefault="00C86713" w14:paraId="6F6E9704" w14:textId="77777777">
            <w:pPr>
              <w:jc w:val="center"/>
              <w:rPr>
                <w:rFonts w:ascii="Times New Roman" w:hAnsi="Times New Roman"/>
                <w:sz w:val="20"/>
              </w:rPr>
            </w:pPr>
          </w:p>
          <w:p w:rsidRPr="007F6104" w:rsidR="00C86713" w:rsidP="00FE1BAE" w:rsidRDefault="00C86713" w14:paraId="00A458C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3BEED2E3" w14:textId="77777777">
            <w:pPr>
              <w:jc w:val="center"/>
              <w:rPr>
                <w:rFonts w:ascii="Times New Roman" w:hAnsi="Times New Roman"/>
                <w:sz w:val="20"/>
              </w:rPr>
            </w:pPr>
          </w:p>
          <w:p w:rsidR="00C86713" w:rsidP="00FE1BAE" w:rsidRDefault="00C86713" w14:paraId="541D2D53" w14:textId="77777777">
            <w:pPr>
              <w:jc w:val="center"/>
              <w:rPr>
                <w:rFonts w:ascii="Times New Roman" w:hAnsi="Times New Roman"/>
                <w:sz w:val="20"/>
              </w:rPr>
            </w:pPr>
          </w:p>
          <w:p w:rsidRPr="007F6104" w:rsidR="00C86713" w:rsidP="00FE1BAE" w:rsidRDefault="00C86713" w14:paraId="7E60ACCE"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5DD24B01" w14:textId="77777777">
            <w:pPr>
              <w:jc w:val="center"/>
              <w:rPr>
                <w:rFonts w:ascii="Times New Roman" w:hAnsi="Times New Roman"/>
                <w:sz w:val="20"/>
              </w:rPr>
            </w:pPr>
          </w:p>
          <w:p w:rsidR="00C86713" w:rsidP="00581C11" w:rsidRDefault="00C86713" w14:paraId="67943C0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3CD0C4F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3022314C"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2AC9EF1A" w14:textId="77777777">
            <w:pPr>
              <w:jc w:val="center"/>
              <w:rPr>
                <w:rFonts w:ascii="Times New Roman" w:hAnsi="Times New Roman"/>
                <w:sz w:val="20"/>
              </w:rPr>
            </w:pPr>
          </w:p>
          <w:p w:rsidR="00C86713" w:rsidP="00FE1BAE" w:rsidRDefault="00C86713" w14:paraId="1FE67EA8" w14:textId="77777777">
            <w:pPr>
              <w:jc w:val="center"/>
              <w:rPr>
                <w:rFonts w:ascii="Times New Roman" w:hAnsi="Times New Roman"/>
                <w:sz w:val="20"/>
              </w:rPr>
            </w:pPr>
          </w:p>
          <w:p w:rsidRPr="007F6104" w:rsidR="00C86713" w:rsidP="00FE1BAE" w:rsidRDefault="00C86713" w14:paraId="6895AE1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5143EDD6" w14:textId="77777777">
            <w:pPr>
              <w:jc w:val="center"/>
              <w:rPr>
                <w:rFonts w:ascii="Times New Roman" w:hAnsi="Times New Roman"/>
                <w:sz w:val="20"/>
              </w:rPr>
            </w:pPr>
          </w:p>
          <w:p w:rsidRPr="007F6104" w:rsidR="00C86713" w:rsidP="00FE1BAE" w:rsidRDefault="00C86713" w14:paraId="360809E7"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6D70B09E" w14:textId="77777777">
            <w:pPr>
              <w:jc w:val="center"/>
              <w:rPr>
                <w:rFonts w:ascii="Times New Roman" w:hAnsi="Times New Roman"/>
                <w:sz w:val="20"/>
              </w:rPr>
            </w:pPr>
          </w:p>
          <w:p w:rsidRPr="007F6104" w:rsidR="00C86713" w:rsidP="00F31BEC" w:rsidRDefault="00C86713" w14:paraId="1734851A"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54E2F8E8" w14:textId="77777777">
            <w:pPr>
              <w:jc w:val="center"/>
              <w:rPr>
                <w:rFonts w:ascii="Times New Roman" w:hAnsi="Times New Roman"/>
                <w:sz w:val="20"/>
              </w:rPr>
            </w:pPr>
          </w:p>
          <w:p w:rsidR="00C86713" w:rsidP="00FE1BAE" w:rsidRDefault="00C86713" w14:paraId="2273BA8B" w14:textId="77777777">
            <w:pPr>
              <w:jc w:val="center"/>
              <w:rPr>
                <w:rFonts w:ascii="Times New Roman" w:hAnsi="Times New Roman"/>
                <w:sz w:val="20"/>
              </w:rPr>
            </w:pPr>
          </w:p>
          <w:p w:rsidRPr="007F6104" w:rsidR="00C86713" w:rsidP="00FE1BAE" w:rsidRDefault="00C86713" w14:paraId="4CC82D4E"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367ED5C4" w14:textId="77777777">
            <w:pPr>
              <w:jc w:val="center"/>
              <w:rPr>
                <w:rFonts w:ascii="Times New Roman" w:hAnsi="Times New Roman"/>
                <w:sz w:val="20"/>
              </w:rPr>
            </w:pPr>
          </w:p>
          <w:p w:rsidR="00C86713" w:rsidP="00FE1BAE" w:rsidRDefault="00C86713" w14:paraId="3ADB7E2B" w14:textId="77777777">
            <w:pPr>
              <w:jc w:val="center"/>
              <w:rPr>
                <w:rFonts w:ascii="Times New Roman" w:hAnsi="Times New Roman"/>
                <w:sz w:val="20"/>
              </w:rPr>
            </w:pPr>
          </w:p>
          <w:p w:rsidRPr="007F6104" w:rsidR="00C86713" w:rsidP="00FE1BAE" w:rsidRDefault="00C86713" w14:paraId="118419C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7FE3BD9E" w14:textId="77777777">
        <w:tc>
          <w:tcPr>
            <w:tcW w:w="1345" w:type="dxa"/>
          </w:tcPr>
          <w:p w:rsidRPr="00442E07" w:rsidR="00C86713" w:rsidP="00FE1BAE" w:rsidRDefault="00CA641A" w14:paraId="3CFC4A63" w14:textId="226A1612">
            <w:pPr>
              <w:rPr>
                <w:rFonts w:ascii="Times New Roman" w:hAnsi="Times New Roman"/>
                <w:szCs w:val="24"/>
              </w:rPr>
            </w:pPr>
            <w:r>
              <w:rPr>
                <w:rFonts w:ascii="Times New Roman" w:hAnsi="Times New Roman"/>
                <w:szCs w:val="24"/>
              </w:rPr>
              <w:t>One-time survey of NRC Directors</w:t>
            </w:r>
          </w:p>
        </w:tc>
        <w:tc>
          <w:tcPr>
            <w:tcW w:w="1265" w:type="dxa"/>
          </w:tcPr>
          <w:p w:rsidRPr="00442E07" w:rsidR="00C86713" w:rsidP="00FE1BAE" w:rsidRDefault="00CA641A" w14:paraId="35BE896A" w14:textId="02CCE6CF">
            <w:pPr>
              <w:rPr>
                <w:rFonts w:ascii="Times New Roman" w:hAnsi="Times New Roman"/>
                <w:szCs w:val="24"/>
              </w:rPr>
            </w:pPr>
            <w:r>
              <w:rPr>
                <w:rFonts w:ascii="Times New Roman" w:hAnsi="Times New Roman"/>
                <w:szCs w:val="24"/>
              </w:rPr>
              <w:t>100</w:t>
            </w:r>
          </w:p>
        </w:tc>
        <w:tc>
          <w:tcPr>
            <w:tcW w:w="1255" w:type="dxa"/>
          </w:tcPr>
          <w:p w:rsidRPr="00442E07" w:rsidR="00C86713" w:rsidP="00FE1BAE" w:rsidRDefault="00CA641A" w14:paraId="69AA6BFD" w14:textId="05F3D420">
            <w:pPr>
              <w:rPr>
                <w:rFonts w:ascii="Times New Roman" w:hAnsi="Times New Roman"/>
                <w:szCs w:val="24"/>
              </w:rPr>
            </w:pPr>
            <w:r>
              <w:rPr>
                <w:rFonts w:ascii="Times New Roman" w:hAnsi="Times New Roman"/>
                <w:szCs w:val="24"/>
              </w:rPr>
              <w:t>100</w:t>
            </w:r>
            <w:r w:rsidR="00817F96">
              <w:rPr>
                <w:rFonts w:ascii="Times New Roman" w:hAnsi="Times New Roman"/>
                <w:szCs w:val="24"/>
              </w:rPr>
              <w:t>%</w:t>
            </w:r>
          </w:p>
        </w:tc>
        <w:tc>
          <w:tcPr>
            <w:tcW w:w="1275" w:type="dxa"/>
          </w:tcPr>
          <w:p w:rsidRPr="00442E07" w:rsidR="00C86713" w:rsidP="00FE1BAE" w:rsidRDefault="00817F96" w14:paraId="49FDC9DD" w14:textId="1186A88E">
            <w:pPr>
              <w:rPr>
                <w:rFonts w:ascii="Times New Roman" w:hAnsi="Times New Roman"/>
                <w:szCs w:val="24"/>
              </w:rPr>
            </w:pPr>
            <w:r>
              <w:rPr>
                <w:rFonts w:ascii="Times New Roman" w:hAnsi="Times New Roman"/>
                <w:szCs w:val="24"/>
              </w:rPr>
              <w:t>100</w:t>
            </w:r>
          </w:p>
        </w:tc>
        <w:tc>
          <w:tcPr>
            <w:tcW w:w="1080" w:type="dxa"/>
          </w:tcPr>
          <w:p w:rsidRPr="00442E07" w:rsidR="00C86713" w:rsidP="00FE1BAE" w:rsidRDefault="00817F96" w14:paraId="2835EDEA" w14:textId="173060FF">
            <w:pPr>
              <w:jc w:val="center"/>
              <w:rPr>
                <w:rFonts w:ascii="Times New Roman" w:hAnsi="Times New Roman"/>
                <w:szCs w:val="24"/>
              </w:rPr>
            </w:pPr>
            <w:r>
              <w:rPr>
                <w:rFonts w:ascii="Times New Roman" w:hAnsi="Times New Roman"/>
                <w:szCs w:val="24"/>
              </w:rPr>
              <w:t>100</w:t>
            </w:r>
          </w:p>
        </w:tc>
        <w:tc>
          <w:tcPr>
            <w:tcW w:w="1335" w:type="dxa"/>
          </w:tcPr>
          <w:p w:rsidRPr="00442E07" w:rsidR="00C86713" w:rsidP="00FE1BAE" w:rsidRDefault="00817F96" w14:paraId="37F5008D" w14:textId="1E342078">
            <w:pPr>
              <w:jc w:val="center"/>
              <w:rPr>
                <w:rFonts w:ascii="Times New Roman" w:hAnsi="Times New Roman"/>
                <w:szCs w:val="24"/>
              </w:rPr>
            </w:pPr>
            <w:r>
              <w:rPr>
                <w:rFonts w:ascii="Times New Roman" w:hAnsi="Times New Roman"/>
                <w:szCs w:val="24"/>
              </w:rPr>
              <w:t>.5</w:t>
            </w:r>
          </w:p>
        </w:tc>
        <w:tc>
          <w:tcPr>
            <w:tcW w:w="900" w:type="dxa"/>
          </w:tcPr>
          <w:p w:rsidRPr="00442E07" w:rsidR="00C86713" w:rsidP="00FE1BAE" w:rsidRDefault="00DA66CF" w14:paraId="4D22F332" w14:textId="389BF7FE">
            <w:pPr>
              <w:rPr>
                <w:rFonts w:ascii="Times New Roman" w:hAnsi="Times New Roman"/>
                <w:szCs w:val="24"/>
              </w:rPr>
            </w:pPr>
            <w:r>
              <w:rPr>
                <w:rFonts w:ascii="Times New Roman" w:hAnsi="Times New Roman"/>
                <w:szCs w:val="24"/>
              </w:rPr>
              <w:t>50</w:t>
            </w:r>
          </w:p>
        </w:tc>
        <w:tc>
          <w:tcPr>
            <w:tcW w:w="1530" w:type="dxa"/>
          </w:tcPr>
          <w:p w:rsidRPr="00442E07" w:rsidR="00C86713" w:rsidP="00FE1BAE" w:rsidRDefault="00817F96" w14:paraId="50D89410" w14:textId="5BF2C748">
            <w:pPr>
              <w:rPr>
                <w:rFonts w:ascii="Times New Roman" w:hAnsi="Times New Roman"/>
                <w:szCs w:val="24"/>
              </w:rPr>
            </w:pPr>
            <w:r>
              <w:rPr>
                <w:rFonts w:ascii="Times New Roman" w:hAnsi="Times New Roman"/>
                <w:szCs w:val="24"/>
              </w:rPr>
              <w:t>$4</w:t>
            </w:r>
            <w:r w:rsidR="00DA66CF">
              <w:rPr>
                <w:rFonts w:ascii="Times New Roman" w:hAnsi="Times New Roman"/>
                <w:szCs w:val="24"/>
              </w:rPr>
              <w:t>4.00</w:t>
            </w:r>
          </w:p>
        </w:tc>
        <w:tc>
          <w:tcPr>
            <w:tcW w:w="1350" w:type="dxa"/>
          </w:tcPr>
          <w:p w:rsidRPr="00442E07" w:rsidR="00C86713" w:rsidP="00FE1BAE" w:rsidRDefault="006A2FD6" w14:paraId="1FB50DEB" w14:textId="2712DD43">
            <w:pPr>
              <w:rPr>
                <w:rFonts w:ascii="Times New Roman" w:hAnsi="Times New Roman"/>
                <w:szCs w:val="24"/>
              </w:rPr>
            </w:pPr>
            <w:r>
              <w:rPr>
                <w:rFonts w:ascii="Times New Roman" w:hAnsi="Times New Roman"/>
                <w:szCs w:val="24"/>
              </w:rPr>
              <w:t>$2,200.00</w:t>
            </w:r>
          </w:p>
        </w:tc>
      </w:tr>
      <w:tr w:rsidRPr="00442E07" w:rsidR="00C86713" w:rsidTr="00C875E8" w14:paraId="21436003" w14:textId="77777777">
        <w:tc>
          <w:tcPr>
            <w:tcW w:w="1345" w:type="dxa"/>
          </w:tcPr>
          <w:p w:rsidRPr="00442E07" w:rsidR="00C86713" w:rsidP="00FE1BAE" w:rsidRDefault="00C86713" w14:paraId="5EEE6104" w14:textId="77777777">
            <w:pPr>
              <w:rPr>
                <w:rFonts w:ascii="Times New Roman" w:hAnsi="Times New Roman"/>
                <w:szCs w:val="24"/>
              </w:rPr>
            </w:pPr>
          </w:p>
        </w:tc>
        <w:tc>
          <w:tcPr>
            <w:tcW w:w="1265" w:type="dxa"/>
          </w:tcPr>
          <w:p w:rsidRPr="00442E07" w:rsidR="00C86713" w:rsidP="00FE1BAE" w:rsidRDefault="00C86713" w14:paraId="7A0CB1CA" w14:textId="77777777">
            <w:pPr>
              <w:rPr>
                <w:rFonts w:ascii="Times New Roman" w:hAnsi="Times New Roman"/>
                <w:szCs w:val="24"/>
              </w:rPr>
            </w:pPr>
          </w:p>
        </w:tc>
        <w:tc>
          <w:tcPr>
            <w:tcW w:w="1255" w:type="dxa"/>
          </w:tcPr>
          <w:p w:rsidRPr="00442E07" w:rsidR="00C86713" w:rsidP="00FE1BAE" w:rsidRDefault="00C86713" w14:paraId="540D7C55" w14:textId="77777777">
            <w:pPr>
              <w:rPr>
                <w:rFonts w:ascii="Times New Roman" w:hAnsi="Times New Roman"/>
                <w:szCs w:val="24"/>
              </w:rPr>
            </w:pPr>
          </w:p>
        </w:tc>
        <w:tc>
          <w:tcPr>
            <w:tcW w:w="1275" w:type="dxa"/>
          </w:tcPr>
          <w:p w:rsidRPr="00442E07" w:rsidR="00C86713" w:rsidP="00FE1BAE" w:rsidRDefault="00C86713" w14:paraId="24679CBA" w14:textId="77777777">
            <w:pPr>
              <w:rPr>
                <w:rFonts w:ascii="Times New Roman" w:hAnsi="Times New Roman"/>
                <w:szCs w:val="24"/>
              </w:rPr>
            </w:pPr>
          </w:p>
        </w:tc>
        <w:tc>
          <w:tcPr>
            <w:tcW w:w="1080" w:type="dxa"/>
          </w:tcPr>
          <w:p w:rsidRPr="00442E07" w:rsidR="00C86713" w:rsidP="00FE1BAE" w:rsidRDefault="00C86713" w14:paraId="35F448DD" w14:textId="77777777">
            <w:pPr>
              <w:jc w:val="center"/>
              <w:rPr>
                <w:rFonts w:ascii="Times New Roman" w:hAnsi="Times New Roman"/>
                <w:szCs w:val="24"/>
              </w:rPr>
            </w:pPr>
          </w:p>
        </w:tc>
        <w:tc>
          <w:tcPr>
            <w:tcW w:w="1335" w:type="dxa"/>
          </w:tcPr>
          <w:p w:rsidRPr="00442E07" w:rsidR="00C86713" w:rsidP="00FE1BAE" w:rsidRDefault="00C86713" w14:paraId="779C1016" w14:textId="77777777">
            <w:pPr>
              <w:jc w:val="center"/>
              <w:rPr>
                <w:rFonts w:ascii="Times New Roman" w:hAnsi="Times New Roman"/>
                <w:szCs w:val="24"/>
              </w:rPr>
            </w:pPr>
          </w:p>
        </w:tc>
        <w:tc>
          <w:tcPr>
            <w:tcW w:w="900" w:type="dxa"/>
          </w:tcPr>
          <w:p w:rsidRPr="00442E07" w:rsidR="00C86713" w:rsidP="00FE1BAE" w:rsidRDefault="00C86713" w14:paraId="392218F9"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C24E165" w14:textId="77777777">
            <w:pPr>
              <w:rPr>
                <w:rFonts w:ascii="Times New Roman" w:hAnsi="Times New Roman"/>
                <w:szCs w:val="24"/>
              </w:rPr>
            </w:pPr>
          </w:p>
        </w:tc>
        <w:tc>
          <w:tcPr>
            <w:tcW w:w="1350" w:type="dxa"/>
          </w:tcPr>
          <w:p w:rsidRPr="00442E07" w:rsidR="00C86713" w:rsidP="00FE1BAE" w:rsidRDefault="00C86713" w14:paraId="5DE7D0D5" w14:textId="77777777">
            <w:pPr>
              <w:rPr>
                <w:rFonts w:ascii="Times New Roman" w:hAnsi="Times New Roman"/>
                <w:szCs w:val="24"/>
              </w:rPr>
            </w:pPr>
          </w:p>
        </w:tc>
      </w:tr>
      <w:tr w:rsidRPr="00442E07" w:rsidR="00C86713" w:rsidTr="00C875E8" w14:paraId="1C93C7E5" w14:textId="77777777">
        <w:tc>
          <w:tcPr>
            <w:tcW w:w="1345" w:type="dxa"/>
          </w:tcPr>
          <w:p w:rsidRPr="00442E07" w:rsidR="00C86713" w:rsidP="00FE1BAE" w:rsidRDefault="00C86713" w14:paraId="30C70465" w14:textId="77777777">
            <w:pPr>
              <w:rPr>
                <w:rFonts w:ascii="Times New Roman" w:hAnsi="Times New Roman"/>
                <w:szCs w:val="24"/>
              </w:rPr>
            </w:pPr>
          </w:p>
        </w:tc>
        <w:tc>
          <w:tcPr>
            <w:tcW w:w="1265" w:type="dxa"/>
          </w:tcPr>
          <w:p w:rsidRPr="00442E07" w:rsidR="00C86713" w:rsidP="00FE1BAE" w:rsidRDefault="00C86713" w14:paraId="5E005E19" w14:textId="77777777">
            <w:pPr>
              <w:rPr>
                <w:rFonts w:ascii="Times New Roman" w:hAnsi="Times New Roman"/>
                <w:szCs w:val="24"/>
              </w:rPr>
            </w:pPr>
          </w:p>
        </w:tc>
        <w:tc>
          <w:tcPr>
            <w:tcW w:w="1255" w:type="dxa"/>
          </w:tcPr>
          <w:p w:rsidRPr="00442E07" w:rsidR="00C86713" w:rsidP="00FE1BAE" w:rsidRDefault="00C86713" w14:paraId="4F26C2E4" w14:textId="77777777">
            <w:pPr>
              <w:rPr>
                <w:rFonts w:ascii="Times New Roman" w:hAnsi="Times New Roman"/>
                <w:szCs w:val="24"/>
              </w:rPr>
            </w:pPr>
          </w:p>
        </w:tc>
        <w:tc>
          <w:tcPr>
            <w:tcW w:w="1275" w:type="dxa"/>
          </w:tcPr>
          <w:p w:rsidRPr="00442E07" w:rsidR="00C86713" w:rsidP="00FE1BAE" w:rsidRDefault="00C86713" w14:paraId="1D0F8E8E" w14:textId="77777777">
            <w:pPr>
              <w:rPr>
                <w:rFonts w:ascii="Times New Roman" w:hAnsi="Times New Roman"/>
                <w:szCs w:val="24"/>
              </w:rPr>
            </w:pPr>
          </w:p>
        </w:tc>
        <w:tc>
          <w:tcPr>
            <w:tcW w:w="1080" w:type="dxa"/>
          </w:tcPr>
          <w:p w:rsidRPr="00442E07" w:rsidR="00C86713" w:rsidP="00FE1BAE" w:rsidRDefault="00C86713" w14:paraId="78DC9C5F" w14:textId="77777777">
            <w:pPr>
              <w:jc w:val="center"/>
              <w:rPr>
                <w:rFonts w:ascii="Times New Roman" w:hAnsi="Times New Roman"/>
                <w:szCs w:val="24"/>
              </w:rPr>
            </w:pPr>
          </w:p>
        </w:tc>
        <w:tc>
          <w:tcPr>
            <w:tcW w:w="1335" w:type="dxa"/>
          </w:tcPr>
          <w:p w:rsidRPr="00442E07" w:rsidR="00C86713" w:rsidP="00FE1BAE" w:rsidRDefault="00C86713" w14:paraId="4267F0F5" w14:textId="77777777">
            <w:pPr>
              <w:jc w:val="center"/>
              <w:rPr>
                <w:rFonts w:ascii="Times New Roman" w:hAnsi="Times New Roman"/>
                <w:szCs w:val="24"/>
              </w:rPr>
            </w:pPr>
          </w:p>
        </w:tc>
        <w:tc>
          <w:tcPr>
            <w:tcW w:w="900" w:type="dxa"/>
          </w:tcPr>
          <w:p w:rsidRPr="00442E07" w:rsidR="00C86713" w:rsidP="00FE1BAE" w:rsidRDefault="00C86713" w14:paraId="2893B801"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4606BF67" w14:textId="77777777">
            <w:pPr>
              <w:rPr>
                <w:rFonts w:ascii="Times New Roman" w:hAnsi="Times New Roman"/>
                <w:szCs w:val="24"/>
              </w:rPr>
            </w:pPr>
          </w:p>
        </w:tc>
        <w:tc>
          <w:tcPr>
            <w:tcW w:w="1350" w:type="dxa"/>
          </w:tcPr>
          <w:p w:rsidRPr="00442E07" w:rsidR="00C86713" w:rsidP="00FE1BAE" w:rsidRDefault="00C86713" w14:paraId="0BE99F5F" w14:textId="77777777">
            <w:pPr>
              <w:rPr>
                <w:rFonts w:ascii="Times New Roman" w:hAnsi="Times New Roman"/>
                <w:szCs w:val="24"/>
              </w:rPr>
            </w:pPr>
          </w:p>
        </w:tc>
      </w:tr>
      <w:tr w:rsidRPr="00442E07" w:rsidR="00C86713" w:rsidTr="00C875E8" w14:paraId="1D609CA0" w14:textId="77777777">
        <w:tc>
          <w:tcPr>
            <w:tcW w:w="1345" w:type="dxa"/>
          </w:tcPr>
          <w:p w:rsidRPr="00442E07" w:rsidR="00C86713" w:rsidP="00FE1BAE" w:rsidRDefault="00C86713" w14:paraId="6C68617F" w14:textId="77777777">
            <w:pPr>
              <w:rPr>
                <w:rFonts w:ascii="Times New Roman" w:hAnsi="Times New Roman"/>
                <w:szCs w:val="24"/>
              </w:rPr>
            </w:pPr>
          </w:p>
        </w:tc>
        <w:tc>
          <w:tcPr>
            <w:tcW w:w="1265" w:type="dxa"/>
          </w:tcPr>
          <w:p w:rsidRPr="00442E07" w:rsidR="00C86713" w:rsidP="00FE1BAE" w:rsidRDefault="00C86713" w14:paraId="7B714603" w14:textId="77777777">
            <w:pPr>
              <w:rPr>
                <w:rFonts w:ascii="Times New Roman" w:hAnsi="Times New Roman"/>
                <w:szCs w:val="24"/>
              </w:rPr>
            </w:pPr>
          </w:p>
        </w:tc>
        <w:tc>
          <w:tcPr>
            <w:tcW w:w="1255" w:type="dxa"/>
          </w:tcPr>
          <w:p w:rsidRPr="00442E07" w:rsidR="00C86713" w:rsidP="00FE1BAE" w:rsidRDefault="00C86713" w14:paraId="4397CB1D" w14:textId="77777777">
            <w:pPr>
              <w:rPr>
                <w:rFonts w:ascii="Times New Roman" w:hAnsi="Times New Roman"/>
                <w:szCs w:val="24"/>
              </w:rPr>
            </w:pPr>
          </w:p>
        </w:tc>
        <w:tc>
          <w:tcPr>
            <w:tcW w:w="1275" w:type="dxa"/>
          </w:tcPr>
          <w:p w:rsidRPr="00442E07" w:rsidR="00C86713" w:rsidP="00FE1BAE" w:rsidRDefault="00C86713" w14:paraId="3157F246" w14:textId="77777777">
            <w:pPr>
              <w:rPr>
                <w:rFonts w:ascii="Times New Roman" w:hAnsi="Times New Roman"/>
                <w:szCs w:val="24"/>
              </w:rPr>
            </w:pPr>
          </w:p>
        </w:tc>
        <w:tc>
          <w:tcPr>
            <w:tcW w:w="1080" w:type="dxa"/>
          </w:tcPr>
          <w:p w:rsidRPr="00442E07" w:rsidR="00C86713" w:rsidP="00FE1BAE" w:rsidRDefault="00C86713" w14:paraId="15F63FFF" w14:textId="77777777">
            <w:pPr>
              <w:rPr>
                <w:rFonts w:ascii="Times New Roman" w:hAnsi="Times New Roman"/>
                <w:szCs w:val="24"/>
              </w:rPr>
            </w:pPr>
          </w:p>
        </w:tc>
        <w:tc>
          <w:tcPr>
            <w:tcW w:w="1335" w:type="dxa"/>
          </w:tcPr>
          <w:p w:rsidRPr="00442E07" w:rsidR="00C86713" w:rsidP="00FE1BAE" w:rsidRDefault="00C86713" w14:paraId="2301E7F0" w14:textId="77777777">
            <w:pPr>
              <w:rPr>
                <w:rFonts w:ascii="Times New Roman" w:hAnsi="Times New Roman"/>
                <w:szCs w:val="24"/>
              </w:rPr>
            </w:pPr>
          </w:p>
        </w:tc>
        <w:tc>
          <w:tcPr>
            <w:tcW w:w="900" w:type="dxa"/>
          </w:tcPr>
          <w:p w:rsidRPr="00442E07" w:rsidR="00C86713" w:rsidP="00FE1BAE" w:rsidRDefault="00C86713" w14:paraId="1B2BB4E9" w14:textId="77777777">
            <w:pPr>
              <w:rPr>
                <w:rFonts w:ascii="Times New Roman" w:hAnsi="Times New Roman"/>
                <w:szCs w:val="24"/>
              </w:rPr>
            </w:pPr>
          </w:p>
        </w:tc>
        <w:tc>
          <w:tcPr>
            <w:tcW w:w="1530" w:type="dxa"/>
          </w:tcPr>
          <w:p w:rsidRPr="00442E07" w:rsidR="00C86713" w:rsidP="00FE1BAE" w:rsidRDefault="00C86713" w14:paraId="76C8167F" w14:textId="77777777">
            <w:pPr>
              <w:rPr>
                <w:rFonts w:ascii="Times New Roman" w:hAnsi="Times New Roman"/>
                <w:szCs w:val="24"/>
              </w:rPr>
            </w:pPr>
          </w:p>
        </w:tc>
        <w:tc>
          <w:tcPr>
            <w:tcW w:w="1350" w:type="dxa"/>
          </w:tcPr>
          <w:p w:rsidRPr="00442E07" w:rsidR="00C86713" w:rsidP="00FE1BAE" w:rsidRDefault="00C86713" w14:paraId="75140DC1" w14:textId="77777777">
            <w:pPr>
              <w:rPr>
                <w:rFonts w:ascii="Times New Roman" w:hAnsi="Times New Roman"/>
                <w:szCs w:val="24"/>
              </w:rPr>
            </w:pPr>
          </w:p>
        </w:tc>
      </w:tr>
      <w:tr w:rsidRPr="00442E07" w:rsidR="009767AF" w:rsidTr="00C875E8" w14:paraId="1FF5C37E" w14:textId="77777777">
        <w:tc>
          <w:tcPr>
            <w:tcW w:w="1345" w:type="dxa"/>
          </w:tcPr>
          <w:p w:rsidRPr="00442E07" w:rsidR="009767AF" w:rsidP="00FE1BAE" w:rsidRDefault="009767AF" w14:paraId="1E65752D"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2A74F8" w14:paraId="354D0B07" w14:textId="7F10CAD0">
            <w:pPr>
              <w:rPr>
                <w:rFonts w:ascii="Times New Roman" w:hAnsi="Times New Roman"/>
                <w:szCs w:val="24"/>
              </w:rPr>
            </w:pPr>
            <w:r>
              <w:rPr>
                <w:rFonts w:ascii="Times New Roman" w:hAnsi="Times New Roman"/>
                <w:szCs w:val="24"/>
              </w:rPr>
              <w:t>100</w:t>
            </w:r>
          </w:p>
        </w:tc>
        <w:tc>
          <w:tcPr>
            <w:tcW w:w="1255" w:type="dxa"/>
          </w:tcPr>
          <w:p w:rsidRPr="00442E07" w:rsidR="009767AF" w:rsidP="00FE1BAE" w:rsidRDefault="002A74F8" w14:paraId="67ACD08D" w14:textId="063AED8A">
            <w:pPr>
              <w:rPr>
                <w:rFonts w:ascii="Times New Roman" w:hAnsi="Times New Roman"/>
                <w:szCs w:val="24"/>
              </w:rPr>
            </w:pPr>
            <w:r>
              <w:rPr>
                <w:rFonts w:ascii="Times New Roman" w:hAnsi="Times New Roman"/>
                <w:szCs w:val="24"/>
              </w:rPr>
              <w:t>100%</w:t>
            </w:r>
          </w:p>
        </w:tc>
        <w:tc>
          <w:tcPr>
            <w:tcW w:w="1275" w:type="dxa"/>
          </w:tcPr>
          <w:p w:rsidRPr="00442E07" w:rsidR="009767AF" w:rsidP="00FE1BAE" w:rsidRDefault="002A74F8" w14:paraId="6BC99639" w14:textId="5FBA0F75">
            <w:pPr>
              <w:rPr>
                <w:rFonts w:ascii="Times New Roman" w:hAnsi="Times New Roman"/>
                <w:szCs w:val="24"/>
              </w:rPr>
            </w:pPr>
            <w:r>
              <w:rPr>
                <w:rFonts w:ascii="Times New Roman" w:hAnsi="Times New Roman"/>
                <w:szCs w:val="24"/>
              </w:rPr>
              <w:t>100</w:t>
            </w:r>
          </w:p>
        </w:tc>
        <w:tc>
          <w:tcPr>
            <w:tcW w:w="1080" w:type="dxa"/>
          </w:tcPr>
          <w:p w:rsidRPr="00442E07" w:rsidR="009767AF" w:rsidP="00FE1BAE" w:rsidRDefault="002A74F8" w14:paraId="2F950337" w14:textId="7FEFD2A4">
            <w:pPr>
              <w:rPr>
                <w:rFonts w:ascii="Times New Roman" w:hAnsi="Times New Roman"/>
                <w:szCs w:val="24"/>
              </w:rPr>
            </w:pPr>
            <w:r>
              <w:rPr>
                <w:rFonts w:ascii="Times New Roman" w:hAnsi="Times New Roman"/>
                <w:szCs w:val="24"/>
              </w:rPr>
              <w:t>100</w:t>
            </w:r>
          </w:p>
        </w:tc>
        <w:tc>
          <w:tcPr>
            <w:tcW w:w="1335" w:type="dxa"/>
          </w:tcPr>
          <w:p w:rsidRPr="00442E07" w:rsidR="009767AF" w:rsidP="00FE1BAE" w:rsidRDefault="002A74F8" w14:paraId="02A92E39" w14:textId="7B74C958">
            <w:pPr>
              <w:rPr>
                <w:rFonts w:ascii="Times New Roman" w:hAnsi="Times New Roman"/>
                <w:szCs w:val="24"/>
              </w:rPr>
            </w:pPr>
            <w:r>
              <w:rPr>
                <w:rFonts w:ascii="Times New Roman" w:hAnsi="Times New Roman"/>
                <w:szCs w:val="24"/>
              </w:rPr>
              <w:t>.5</w:t>
            </w:r>
          </w:p>
        </w:tc>
        <w:tc>
          <w:tcPr>
            <w:tcW w:w="900" w:type="dxa"/>
          </w:tcPr>
          <w:p w:rsidRPr="00442E07" w:rsidR="009767AF" w:rsidP="00FE1BAE" w:rsidRDefault="002A74F8" w14:paraId="2F5F00FF" w14:textId="2E70E74C">
            <w:pPr>
              <w:rPr>
                <w:rFonts w:ascii="Times New Roman" w:hAnsi="Times New Roman"/>
                <w:szCs w:val="24"/>
              </w:rPr>
            </w:pPr>
            <w:r>
              <w:rPr>
                <w:rFonts w:ascii="Times New Roman" w:hAnsi="Times New Roman"/>
                <w:szCs w:val="24"/>
              </w:rPr>
              <w:t>50</w:t>
            </w:r>
          </w:p>
        </w:tc>
        <w:tc>
          <w:tcPr>
            <w:tcW w:w="1530" w:type="dxa"/>
          </w:tcPr>
          <w:p w:rsidRPr="00442E07" w:rsidR="009767AF" w:rsidP="00FE1BAE" w:rsidRDefault="002A74F8" w14:paraId="6AB60AA2" w14:textId="47E9512B">
            <w:pPr>
              <w:rPr>
                <w:rFonts w:ascii="Times New Roman" w:hAnsi="Times New Roman"/>
                <w:szCs w:val="24"/>
              </w:rPr>
            </w:pPr>
            <w:r>
              <w:rPr>
                <w:rFonts w:ascii="Times New Roman" w:hAnsi="Times New Roman"/>
                <w:szCs w:val="24"/>
              </w:rPr>
              <w:t>$44.00</w:t>
            </w:r>
          </w:p>
        </w:tc>
        <w:tc>
          <w:tcPr>
            <w:tcW w:w="1350" w:type="dxa"/>
          </w:tcPr>
          <w:p w:rsidRPr="00442E07" w:rsidR="009767AF" w:rsidP="00FE1BAE" w:rsidRDefault="002A74F8" w14:paraId="64C2CB15" w14:textId="3C66230E">
            <w:pPr>
              <w:rPr>
                <w:rFonts w:ascii="Times New Roman" w:hAnsi="Times New Roman"/>
                <w:szCs w:val="24"/>
              </w:rPr>
            </w:pPr>
            <w:r>
              <w:rPr>
                <w:rFonts w:ascii="Times New Roman" w:hAnsi="Times New Roman"/>
                <w:szCs w:val="24"/>
              </w:rPr>
              <w:t>$2,200.00</w:t>
            </w:r>
          </w:p>
        </w:tc>
      </w:tr>
    </w:tbl>
    <w:p w:rsidR="001A6AE0" w:rsidP="000446F5" w:rsidRDefault="001A6AE0" w14:paraId="32596A9A"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2B5B67C5"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CA8B187" w14:textId="77777777">
      <w:pPr>
        <w:pStyle w:val="ListParagraph"/>
        <w:tabs>
          <w:tab w:val="left" w:pos="-720"/>
        </w:tabs>
        <w:suppressAutoHyphens/>
        <w:rPr>
          <w:rStyle w:val="a"/>
          <w:rFonts w:ascii="Times New Roman" w:hAnsi="Times New Roman"/>
          <w:szCs w:val="24"/>
        </w:rPr>
      </w:pPr>
    </w:p>
    <w:p w:rsidRPr="00B64033" w:rsidR="00043C32" w:rsidP="00B64033" w:rsidRDefault="00043C32" w14:paraId="4C10ECFB" w14:textId="6DDF09FD">
      <w:pPr>
        <w:pStyle w:val="Heading2"/>
      </w:pPr>
      <w:r w:rsidRPr="00ED7195">
        <w:rPr>
          <w:rStyle w:val="a"/>
        </w:rPr>
        <w:t>Provide an estimate of the total annual cost burden to respondents or record keepers resulting from the collection of information.  (Do not include the cost of any hour burden shown in Items 12 and 14.)</w:t>
      </w:r>
    </w:p>
    <w:p w:rsidRPr="00AD381B" w:rsidR="00043C32" w:rsidP="00B64033" w:rsidRDefault="00043C32" w14:paraId="4486EAE1" w14:textId="15F81867">
      <w:pPr>
        <w:pStyle w:val="Heading2BulletList"/>
      </w:pPr>
      <w:r w:rsidRPr="00ED7195">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ED7195">
        <w:lastRenderedPageBreak/>
        <w:t>collecting information such as purchasing computers and software; monitoring, sampling, drilling and testing equipment; and acquiring and maintaining record storage facilities.</w:t>
      </w:r>
    </w:p>
    <w:p w:rsidRPr="00ED7195" w:rsidR="00043C32" w:rsidP="00B64033" w:rsidRDefault="00043C32" w14:paraId="6323C7DC" w14:textId="15D12645">
      <w:pPr>
        <w:pStyle w:val="Heading2BulletList"/>
      </w:pPr>
      <w:r w:rsidRPr="00ED719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64033" w:rsidR="00043C32" w:rsidP="00AD381B" w:rsidRDefault="00043C32" w14:paraId="02D14B44" w14:textId="019C0E6F">
      <w:pPr>
        <w:pStyle w:val="Heading2BulletList"/>
      </w:pPr>
      <w:r w:rsidRPr="00ED7195">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t>.</w:t>
      </w:r>
    </w:p>
    <w:p w:rsidRPr="00ED7195" w:rsidR="00043C32" w:rsidP="00AD381B" w:rsidRDefault="00043C32" w14:paraId="3241158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5E444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F425E8" w:rsidR="00043C32" w:rsidP="00AD381B" w:rsidRDefault="00043C32" w14:paraId="070A4EE5" w14:textId="09D5935C">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FC647A" w:rsidR="00833ED8" w:rsidP="00F425E8" w:rsidRDefault="00FC647A" w14:paraId="1BC0C291" w14:textId="37DA5D16">
      <w:pPr>
        <w:pStyle w:val="BodyText"/>
      </w:pPr>
      <w:r w:rsidRPr="00E6530A">
        <w:t>Participating in this data collection will not cause respondents to incur a total capital and start-up cost or any operation and maintenance and purchase of services costs. Respondents will not incur any additional costs beyond those identified in the previous section.</w:t>
      </w:r>
    </w:p>
    <w:p w:rsidRPr="00F425E8" w:rsidR="00534B4A" w:rsidP="00F425E8" w:rsidRDefault="00043C32" w14:paraId="4C93EBDE" w14:textId="45794933">
      <w:pPr>
        <w:pStyle w:val="Heading2"/>
      </w:pPr>
      <w:r w:rsidRPr="00F425E8">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425E8" w:rsidR="00534B4A" w:rsidP="00F425E8" w:rsidRDefault="00956C07" w14:paraId="61CC81E8" w14:textId="65F95C1C">
      <w:pPr>
        <w:pStyle w:val="BodyText"/>
      </w:pPr>
      <w:r w:rsidRPr="00E6530A">
        <w:t>The amount for the planning, design, implementation, and analysis of this data collection effort is $624,205.04. This cost entails the full value of contractor services over the course of the contract</w:t>
      </w:r>
      <w:r w:rsidR="008A6FC5">
        <w:t xml:space="preserve">, which includes </w:t>
      </w:r>
      <w:r w:rsidR="00664DA0">
        <w:t>the previously completed grant application reviews and virtual site visits</w:t>
      </w:r>
      <w:r w:rsidRPr="00E6530A">
        <w:t>. The annualized cost to the Federal government is $208,068.35 over 3 years.</w:t>
      </w:r>
    </w:p>
    <w:p w:rsidRPr="00B64033" w:rsidR="00800D30" w:rsidP="00B64033" w:rsidRDefault="00043C32" w14:paraId="1385C492" w14:textId="4705C9F3">
      <w:pPr>
        <w:pStyle w:val="Heading2"/>
      </w:pPr>
      <w:r w:rsidRPr="00800D30">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Pr="00800D30">
        <w:lastRenderedPageBreak/>
        <w:t>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t xml:space="preserve"> </w:t>
      </w:r>
    </w:p>
    <w:p w:rsidRPr="00B64033" w:rsidR="00534B4A" w:rsidP="00B64033" w:rsidRDefault="00800D30" w14:paraId="6BF5AF84" w14:textId="2057EE18">
      <w:pPr>
        <w:pStyle w:val="Heading2Paragraph"/>
      </w:pPr>
      <w:r w:rsidRPr="00F425E8">
        <w:t>Provide a descriptive narrative for the reasons of any change in addition to completing the table with the burden hour change(s)</w:t>
      </w:r>
      <w:r w:rsidRPr="00F425E8" w:rsidR="002A3221">
        <w:t xml:space="preserve"> here</w:t>
      </w:r>
      <w:r w:rsidRPr="00F425E8" w:rsidR="00946126">
        <w:t>.</w:t>
      </w: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78D42F6" w14:textId="77777777">
        <w:tc>
          <w:tcPr>
            <w:tcW w:w="2048" w:type="dxa"/>
            <w:shd w:val="clear" w:color="auto" w:fill="D9D9D9" w:themeFill="background1" w:themeFillShade="D9"/>
          </w:tcPr>
          <w:p w:rsidR="0052073E" w:rsidP="00534B4A" w:rsidRDefault="0052073E" w14:paraId="4B5B5935" w14:textId="77777777">
            <w:pPr>
              <w:tabs>
                <w:tab w:val="left" w:pos="-720"/>
              </w:tabs>
              <w:suppressAutoHyphens/>
              <w:rPr>
                <w:rFonts w:ascii="Times New Roman" w:hAnsi="Times New Roman"/>
                <w:b/>
                <w:szCs w:val="24"/>
              </w:rPr>
            </w:pPr>
          </w:p>
        </w:tc>
        <w:tc>
          <w:tcPr>
            <w:tcW w:w="2048" w:type="dxa"/>
          </w:tcPr>
          <w:p w:rsidR="0052073E" w:rsidP="00534B4A" w:rsidRDefault="0052073E" w14:paraId="0A7A22A5"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0A8FC5FF"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8AB8800"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19FD50F" w14:textId="77777777">
        <w:tc>
          <w:tcPr>
            <w:tcW w:w="2048" w:type="dxa"/>
          </w:tcPr>
          <w:p w:rsidR="0052073E" w:rsidP="00534B4A" w:rsidRDefault="0052073E" w14:paraId="014EC4D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45E22E1E" w14:textId="77777777">
            <w:pPr>
              <w:tabs>
                <w:tab w:val="left" w:pos="-720"/>
              </w:tabs>
              <w:suppressAutoHyphens/>
              <w:rPr>
                <w:rFonts w:ascii="Times New Roman" w:hAnsi="Times New Roman"/>
                <w:b/>
                <w:szCs w:val="24"/>
              </w:rPr>
            </w:pPr>
          </w:p>
        </w:tc>
        <w:tc>
          <w:tcPr>
            <w:tcW w:w="2829" w:type="dxa"/>
          </w:tcPr>
          <w:p w:rsidR="0052073E" w:rsidP="00534B4A" w:rsidRDefault="00294EA9" w14:paraId="11100FB7" w14:textId="5F979F0C">
            <w:pPr>
              <w:tabs>
                <w:tab w:val="left" w:pos="-720"/>
              </w:tabs>
              <w:suppressAutoHyphens/>
              <w:rPr>
                <w:rFonts w:ascii="Times New Roman" w:hAnsi="Times New Roman"/>
                <w:b/>
                <w:szCs w:val="24"/>
              </w:rPr>
            </w:pPr>
            <w:r>
              <w:rPr>
                <w:rFonts w:ascii="Times New Roman" w:hAnsi="Times New Roman"/>
                <w:b/>
                <w:szCs w:val="24"/>
              </w:rPr>
              <w:t>50</w:t>
            </w:r>
          </w:p>
        </w:tc>
        <w:tc>
          <w:tcPr>
            <w:tcW w:w="2520" w:type="dxa"/>
          </w:tcPr>
          <w:p w:rsidR="0052073E" w:rsidP="00534B4A" w:rsidRDefault="0052073E" w14:paraId="3037A41E" w14:textId="77777777">
            <w:pPr>
              <w:tabs>
                <w:tab w:val="left" w:pos="-720"/>
              </w:tabs>
              <w:suppressAutoHyphens/>
              <w:rPr>
                <w:rFonts w:ascii="Times New Roman" w:hAnsi="Times New Roman"/>
                <w:b/>
                <w:szCs w:val="24"/>
              </w:rPr>
            </w:pPr>
          </w:p>
        </w:tc>
      </w:tr>
      <w:tr w:rsidR="0052073E" w:rsidTr="0052073E" w14:paraId="3780558B" w14:textId="77777777">
        <w:tc>
          <w:tcPr>
            <w:tcW w:w="2048" w:type="dxa"/>
          </w:tcPr>
          <w:p w:rsidR="0052073E" w:rsidP="00534B4A" w:rsidRDefault="0052073E" w14:paraId="4BBD8933"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14540D2" w14:textId="77777777">
            <w:pPr>
              <w:tabs>
                <w:tab w:val="left" w:pos="-720"/>
              </w:tabs>
              <w:suppressAutoHyphens/>
              <w:rPr>
                <w:rFonts w:ascii="Times New Roman" w:hAnsi="Times New Roman"/>
                <w:b/>
                <w:szCs w:val="24"/>
              </w:rPr>
            </w:pPr>
          </w:p>
        </w:tc>
        <w:tc>
          <w:tcPr>
            <w:tcW w:w="2829" w:type="dxa"/>
          </w:tcPr>
          <w:p w:rsidR="0052073E" w:rsidP="00534B4A" w:rsidRDefault="00294EA9" w14:paraId="18D48338" w14:textId="4A7552ED">
            <w:pPr>
              <w:tabs>
                <w:tab w:val="left" w:pos="-720"/>
              </w:tabs>
              <w:suppressAutoHyphens/>
              <w:rPr>
                <w:rFonts w:ascii="Times New Roman" w:hAnsi="Times New Roman"/>
                <w:b/>
                <w:szCs w:val="24"/>
              </w:rPr>
            </w:pPr>
            <w:r>
              <w:rPr>
                <w:rFonts w:ascii="Times New Roman" w:hAnsi="Times New Roman"/>
                <w:b/>
                <w:szCs w:val="24"/>
              </w:rPr>
              <w:t>100</w:t>
            </w:r>
          </w:p>
        </w:tc>
        <w:tc>
          <w:tcPr>
            <w:tcW w:w="2520" w:type="dxa"/>
          </w:tcPr>
          <w:p w:rsidR="0052073E" w:rsidP="00534B4A" w:rsidRDefault="0052073E" w14:paraId="2BBAC766" w14:textId="77777777">
            <w:pPr>
              <w:tabs>
                <w:tab w:val="left" w:pos="-720"/>
              </w:tabs>
              <w:suppressAutoHyphens/>
              <w:rPr>
                <w:rFonts w:ascii="Times New Roman" w:hAnsi="Times New Roman"/>
                <w:b/>
                <w:szCs w:val="24"/>
              </w:rPr>
            </w:pPr>
          </w:p>
        </w:tc>
      </w:tr>
      <w:tr w:rsidR="0052073E" w:rsidTr="0052073E" w14:paraId="7CC8ED69" w14:textId="77777777">
        <w:tc>
          <w:tcPr>
            <w:tcW w:w="2048" w:type="dxa"/>
          </w:tcPr>
          <w:p w:rsidR="0052073E" w:rsidP="00534B4A" w:rsidRDefault="0052073E" w14:paraId="515E85E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32437836" w14:textId="77777777">
            <w:pPr>
              <w:tabs>
                <w:tab w:val="left" w:pos="-720"/>
              </w:tabs>
              <w:suppressAutoHyphens/>
              <w:rPr>
                <w:rFonts w:ascii="Times New Roman" w:hAnsi="Times New Roman"/>
                <w:b/>
                <w:szCs w:val="24"/>
              </w:rPr>
            </w:pPr>
          </w:p>
        </w:tc>
        <w:tc>
          <w:tcPr>
            <w:tcW w:w="2829" w:type="dxa"/>
          </w:tcPr>
          <w:p w:rsidR="0052073E" w:rsidP="00534B4A" w:rsidRDefault="00294EA9" w14:paraId="6167772C" w14:textId="46CA2FEC">
            <w:pPr>
              <w:tabs>
                <w:tab w:val="left" w:pos="-720"/>
              </w:tabs>
              <w:suppressAutoHyphens/>
              <w:rPr>
                <w:rFonts w:ascii="Times New Roman" w:hAnsi="Times New Roman"/>
                <w:b/>
                <w:szCs w:val="24"/>
              </w:rPr>
            </w:pPr>
            <w:r>
              <w:rPr>
                <w:rFonts w:ascii="Times New Roman" w:hAnsi="Times New Roman"/>
                <w:b/>
                <w:szCs w:val="24"/>
              </w:rPr>
              <w:t>$2,200</w:t>
            </w:r>
          </w:p>
        </w:tc>
        <w:tc>
          <w:tcPr>
            <w:tcW w:w="2520" w:type="dxa"/>
          </w:tcPr>
          <w:p w:rsidR="0052073E" w:rsidP="00534B4A" w:rsidRDefault="0052073E" w14:paraId="5953BEBB" w14:textId="77777777">
            <w:pPr>
              <w:tabs>
                <w:tab w:val="left" w:pos="-720"/>
              </w:tabs>
              <w:suppressAutoHyphens/>
              <w:rPr>
                <w:rFonts w:ascii="Times New Roman" w:hAnsi="Times New Roman"/>
                <w:b/>
                <w:szCs w:val="24"/>
              </w:rPr>
            </w:pPr>
          </w:p>
        </w:tc>
      </w:tr>
    </w:tbl>
    <w:p w:rsidRPr="00534B4A" w:rsidR="00534B4A" w:rsidP="00F425E8" w:rsidRDefault="005210CC" w14:paraId="5DFC542E" w14:textId="41F08229">
      <w:pPr>
        <w:pStyle w:val="BodyText"/>
      </w:pPr>
      <w:r w:rsidRPr="00E6530A">
        <w:t xml:space="preserve">This is a new information collection. Therefore, </w:t>
      </w:r>
      <w:r w:rsidR="00294EA9">
        <w:t>all</w:t>
      </w:r>
      <w:r w:rsidRPr="00E6530A">
        <w:t xml:space="preserve"> hour burden </w:t>
      </w:r>
      <w:r w:rsidR="00294EA9">
        <w:t>is new</w:t>
      </w:r>
      <w:r w:rsidRPr="00E6530A">
        <w:t>.</w:t>
      </w:r>
    </w:p>
    <w:p w:rsidRPr="00F425E8" w:rsidR="00534B4A" w:rsidP="00F425E8" w:rsidRDefault="00043C32" w14:paraId="24A05EFC" w14:textId="3C2D6599">
      <w:pPr>
        <w:pStyle w:val="Heading2"/>
      </w:pPr>
      <w:r w:rsidRPr="00F425E8">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6530A" w:rsidR="00B92947" w:rsidP="00F425E8" w:rsidRDefault="00B92947" w14:paraId="311721C6" w14:textId="77777777">
      <w:pPr>
        <w:pStyle w:val="BodyText"/>
      </w:pPr>
      <w:r w:rsidRPr="00E6530A">
        <w:t>The survey will be launched in July 2022 and should be completed within five weeks. Respondent follow-up by email will be initiated periodically throughout the data collection period. KCI will analyze the data in early fall of 2022 and will work with ED through the end of the year to develop a final report for publication. The final report is scheduled to be complete by January 2023.</w:t>
      </w:r>
    </w:p>
    <w:p w:rsidRPr="00292C8F" w:rsidR="00534B4A" w:rsidP="00534B4A" w:rsidRDefault="00534B4A" w14:paraId="3768BDC4" w14:textId="77777777">
      <w:pPr>
        <w:tabs>
          <w:tab w:val="left" w:pos="-720"/>
        </w:tabs>
        <w:suppressAutoHyphens/>
        <w:rPr>
          <w:rFonts w:ascii="Times New Roman" w:hAnsi="Times New Roman"/>
          <w:szCs w:val="24"/>
        </w:rPr>
      </w:pPr>
    </w:p>
    <w:p w:rsidRPr="00F425E8" w:rsidR="00096E24" w:rsidP="00F425E8" w:rsidRDefault="00043C32" w14:paraId="6577FA68" w14:textId="6D462301">
      <w:pPr>
        <w:pStyle w:val="Heading2"/>
      </w:pPr>
      <w:r w:rsidRPr="00F425E8">
        <w:rPr>
          <w:rStyle w:val="a"/>
        </w:rPr>
        <w:t>If seeking approval to not display the expiration date for OMB approval of the information collection, explain the reasons that display would be inappropriate.</w:t>
      </w:r>
    </w:p>
    <w:p w:rsidRPr="00534B4A" w:rsidR="00CB69F6" w:rsidP="00F425E8" w:rsidRDefault="00C270CB" w14:paraId="79B4340D" w14:textId="5D2BB8BE">
      <w:pPr>
        <w:pStyle w:val="BodyText"/>
      </w:pPr>
      <w:r>
        <w:rPr>
          <w:bCs/>
        </w:rPr>
        <w:t>Not applicable.</w:t>
      </w:r>
      <w:r w:rsidR="005370A3">
        <w:rPr>
          <w:bCs/>
        </w:rPr>
        <w:t xml:space="preserve"> </w:t>
      </w:r>
      <w:r w:rsidRPr="00E6530A" w:rsidR="00CB69F6">
        <w:t>All data collection instruments will include the OMB data collection expiration date.</w:t>
      </w:r>
    </w:p>
    <w:p w:rsidR="00FB423E" w:rsidP="00F425E8" w:rsidRDefault="00043C32" w14:paraId="1CCE78A8" w14:textId="43937886">
      <w:pPr>
        <w:pStyle w:val="Heading2"/>
      </w:pPr>
      <w:r w:rsidRPr="00F425E8">
        <w:rPr>
          <w:rStyle w:val="a"/>
        </w:rPr>
        <w:t>Explain each exception to the certification statement identified in the Certification of Paperwork Reduction Act.</w:t>
      </w:r>
    </w:p>
    <w:p w:rsidR="00FB423E" w:rsidP="00F425E8" w:rsidRDefault="00FB423E" w14:paraId="179BD608" w14:textId="3B15162D">
      <w:pPr>
        <w:pStyle w:val="BodyText"/>
      </w:pPr>
      <w:r w:rsidRPr="00E6530A">
        <w:t>We are not requesting an exception to the certification statement.</w:t>
      </w:r>
    </w:p>
    <w:p w:rsidRPr="00E6530A" w:rsidR="00B65F84" w:rsidP="00E6530A" w:rsidRDefault="00B65F84" w14:paraId="33009AD5" w14:textId="77777777">
      <w:pPr>
        <w:pStyle w:val="ListParagraph"/>
        <w:rPr>
          <w:rFonts w:ascii="Times New Roman" w:hAnsi="Times New Roman"/>
        </w:rPr>
      </w:pPr>
    </w:p>
    <w:p w:rsidRPr="00B65F84" w:rsidR="00DE165D" w:rsidP="00E6530A" w:rsidRDefault="00DE165D" w14:paraId="7039EED7" w14:textId="77777777">
      <w:pPr>
        <w:tabs>
          <w:tab w:val="left" w:pos="-720"/>
        </w:tabs>
        <w:suppressAutoHyphens/>
      </w:pPr>
    </w:p>
    <w:sectPr w:rsidRPr="00B65F84" w:rsidR="00DE165D"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F6BA" w14:textId="77777777" w:rsidR="00DD3DC8" w:rsidRDefault="00DD3DC8" w:rsidP="00043C32">
      <w:r>
        <w:separator/>
      </w:r>
    </w:p>
  </w:endnote>
  <w:endnote w:type="continuationSeparator" w:id="0">
    <w:p w14:paraId="65F41224" w14:textId="77777777" w:rsidR="00DD3DC8" w:rsidRDefault="00DD3DC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F37F" w14:textId="77777777" w:rsidR="00386054" w:rsidRDefault="00665C5F">
    <w:pPr>
      <w:spacing w:before="140" w:line="100" w:lineRule="exact"/>
      <w:rPr>
        <w:sz w:val="10"/>
      </w:rPr>
    </w:pPr>
  </w:p>
  <w:p w14:paraId="04962FA6" w14:textId="77777777" w:rsidR="00386054" w:rsidRDefault="00665C5F">
    <w:pPr>
      <w:tabs>
        <w:tab w:val="left" w:pos="0"/>
      </w:tabs>
      <w:suppressAutoHyphens/>
    </w:pPr>
  </w:p>
  <w:p w14:paraId="10AEA4FC" w14:textId="77777777" w:rsidR="00386054" w:rsidRDefault="00043C32">
    <w:pPr>
      <w:tabs>
        <w:tab w:val="left" w:pos="0"/>
      </w:tabs>
      <w:suppressAutoHyphens/>
    </w:pPr>
    <w:r>
      <w:rPr>
        <w:noProof/>
      </w:rPr>
      <mc:AlternateContent>
        <mc:Choice Requires="wps">
          <w:drawing>
            <wp:inline distT="0" distB="0" distL="0" distR="0" wp14:anchorId="239338A4" wp14:editId="61F0BF1F">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435DB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239338A4"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00435DB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E6C3" w14:textId="77777777" w:rsidR="00DD3DC8" w:rsidRDefault="00DD3DC8" w:rsidP="00043C32">
      <w:r>
        <w:separator/>
      </w:r>
    </w:p>
  </w:footnote>
  <w:footnote w:type="continuationSeparator" w:id="0">
    <w:p w14:paraId="0F0455C1" w14:textId="77777777" w:rsidR="00DD3DC8" w:rsidRDefault="00DD3DC8" w:rsidP="00043C32">
      <w:r>
        <w:continuationSeparator/>
      </w:r>
    </w:p>
  </w:footnote>
  <w:footnote w:id="1">
    <w:p w14:paraId="6BE0F667"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3339B0A1" w14:textId="77777777" w:rsidR="00381D44" w:rsidRDefault="00381D44" w:rsidP="00381D44">
      <w:pPr>
        <w:pStyle w:val="NoSpacing"/>
      </w:pPr>
      <w:r>
        <w:rPr>
          <w:rStyle w:val="FootnoteReference"/>
        </w:rPr>
        <w:footnoteRef/>
      </w:r>
      <w:r>
        <w:t xml:space="preserve"> The mean annual wage for a</w:t>
      </w:r>
      <w:r w:rsidRPr="00846DE5">
        <w:t xml:space="preserve">rea, </w:t>
      </w:r>
      <w:r>
        <w:t>e</w:t>
      </w:r>
      <w:r w:rsidRPr="00846DE5">
        <w:t xml:space="preserve">thnic, and </w:t>
      </w:r>
      <w:r>
        <w:t>c</w:t>
      </w:r>
      <w:r w:rsidRPr="00846DE5">
        <w:t xml:space="preserve">ultural </w:t>
      </w:r>
      <w:r>
        <w:t>s</w:t>
      </w:r>
      <w:r w:rsidRPr="00846DE5">
        <w:t xml:space="preserve">tudies </w:t>
      </w:r>
      <w:r>
        <w:t>postsecondary t</w:t>
      </w:r>
      <w:r w:rsidRPr="00846DE5">
        <w:t>eachers</w:t>
      </w:r>
      <w:r>
        <w:t xml:space="preserve"> employed by colleges, universities, and professional schools is $90,160, or an estimated hourly wage of $43.34. See: </w:t>
      </w:r>
      <w:hyperlink r:id="rId1" w:history="1">
        <w:r w:rsidRPr="0060592D">
          <w:rPr>
            <w:rStyle w:val="Hyperlink"/>
          </w:rPr>
          <w:t>https://www.bls.gov/oes/current/oes251062.htm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07C4" w14:textId="77777777" w:rsidR="004B03C3" w:rsidRDefault="004B03C3" w:rsidP="004B03C3">
    <w:r w:rsidRPr="00016E14">
      <w:t xml:space="preserve">OMB Number: (XXXX) </w:t>
    </w:r>
    <w:r>
      <w:t>1840-NEW</w:t>
    </w:r>
  </w:p>
  <w:p w14:paraId="6A0AEAB4" w14:textId="77777777" w:rsidR="004B03C3" w:rsidRDefault="004B03C3" w:rsidP="004B03C3">
    <w:r w:rsidRPr="00016E14">
      <w:t>Revised: XX/XX/XXXX</w:t>
    </w:r>
  </w:p>
  <w:p w14:paraId="6C349AB3" w14:textId="1E32D51B" w:rsidR="00ED2739" w:rsidRDefault="004B03C3" w:rsidP="002579E6">
    <w:pPr>
      <w:pStyle w:val="Header"/>
      <w:spacing w:after="240"/>
    </w:pPr>
    <w:r w:rsidRPr="00016E14">
      <w:t>RIN Number: XXXX-XXXX (if applicable</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B8226520"/>
    <w:lvl w:ilvl="0" w:tplc="0D04A708">
      <w:start w:val="1"/>
      <w:numFmt w:val="bullet"/>
      <w:pStyle w:val="Heading2BulletLis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332461"/>
    <w:multiLevelType w:val="hybridMultilevel"/>
    <w:tmpl w:val="C1F4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26F266F4"/>
    <w:lvl w:ilvl="0" w:tplc="F62CBF52">
      <w:start w:val="1"/>
      <w:numFmt w:val="decimal"/>
      <w:pStyle w:val="Heading2"/>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EDC"/>
    <w:rsid w:val="00010D85"/>
    <w:rsid w:val="00021E3D"/>
    <w:rsid w:val="000334A8"/>
    <w:rsid w:val="00035ED5"/>
    <w:rsid w:val="00036198"/>
    <w:rsid w:val="00043C32"/>
    <w:rsid w:val="000446F5"/>
    <w:rsid w:val="00046D90"/>
    <w:rsid w:val="00047ECF"/>
    <w:rsid w:val="00050E9E"/>
    <w:rsid w:val="000555AC"/>
    <w:rsid w:val="000727A3"/>
    <w:rsid w:val="000759F1"/>
    <w:rsid w:val="00087919"/>
    <w:rsid w:val="00087964"/>
    <w:rsid w:val="00093017"/>
    <w:rsid w:val="00096E24"/>
    <w:rsid w:val="000A7227"/>
    <w:rsid w:val="000A775E"/>
    <w:rsid w:val="000B1C6B"/>
    <w:rsid w:val="000B5012"/>
    <w:rsid w:val="000C6302"/>
    <w:rsid w:val="000D265F"/>
    <w:rsid w:val="000D280B"/>
    <w:rsid w:val="000E126B"/>
    <w:rsid w:val="000F19E0"/>
    <w:rsid w:val="000F5D66"/>
    <w:rsid w:val="00136F07"/>
    <w:rsid w:val="00141851"/>
    <w:rsid w:val="00147DD6"/>
    <w:rsid w:val="001824F3"/>
    <w:rsid w:val="001A6AE0"/>
    <w:rsid w:val="001B207E"/>
    <w:rsid w:val="001B23C1"/>
    <w:rsid w:val="001C06B2"/>
    <w:rsid w:val="001C1E48"/>
    <w:rsid w:val="001C498F"/>
    <w:rsid w:val="001C73C0"/>
    <w:rsid w:val="001D377A"/>
    <w:rsid w:val="001E79BD"/>
    <w:rsid w:val="002140B1"/>
    <w:rsid w:val="00217882"/>
    <w:rsid w:val="002225CC"/>
    <w:rsid w:val="00224A3B"/>
    <w:rsid w:val="00233855"/>
    <w:rsid w:val="00240A39"/>
    <w:rsid w:val="00246FE9"/>
    <w:rsid w:val="00250100"/>
    <w:rsid w:val="002579E6"/>
    <w:rsid w:val="00262A69"/>
    <w:rsid w:val="00265F58"/>
    <w:rsid w:val="00270AF7"/>
    <w:rsid w:val="00290565"/>
    <w:rsid w:val="00292C8F"/>
    <w:rsid w:val="00294EA9"/>
    <w:rsid w:val="002A3221"/>
    <w:rsid w:val="002A5819"/>
    <w:rsid w:val="002A6A2B"/>
    <w:rsid w:val="002A74F8"/>
    <w:rsid w:val="002B584A"/>
    <w:rsid w:val="002C01AC"/>
    <w:rsid w:val="002C3520"/>
    <w:rsid w:val="002E14E0"/>
    <w:rsid w:val="002F1E00"/>
    <w:rsid w:val="002F55E5"/>
    <w:rsid w:val="002F7BF8"/>
    <w:rsid w:val="003071BC"/>
    <w:rsid w:val="00310C79"/>
    <w:rsid w:val="00313592"/>
    <w:rsid w:val="003165A8"/>
    <w:rsid w:val="00320043"/>
    <w:rsid w:val="0032078A"/>
    <w:rsid w:val="003252AE"/>
    <w:rsid w:val="0032539E"/>
    <w:rsid w:val="003417C3"/>
    <w:rsid w:val="003418E8"/>
    <w:rsid w:val="00347967"/>
    <w:rsid w:val="00351037"/>
    <w:rsid w:val="00363B03"/>
    <w:rsid w:val="00373D9F"/>
    <w:rsid w:val="00381D04"/>
    <w:rsid w:val="00381D44"/>
    <w:rsid w:val="00383958"/>
    <w:rsid w:val="003860E4"/>
    <w:rsid w:val="00393EF4"/>
    <w:rsid w:val="003A5FDF"/>
    <w:rsid w:val="003B1545"/>
    <w:rsid w:val="003B3A6B"/>
    <w:rsid w:val="003D0297"/>
    <w:rsid w:val="003D35CB"/>
    <w:rsid w:val="003D374C"/>
    <w:rsid w:val="003E7642"/>
    <w:rsid w:val="003F3CC7"/>
    <w:rsid w:val="003F44C3"/>
    <w:rsid w:val="00406C6B"/>
    <w:rsid w:val="004103E7"/>
    <w:rsid w:val="0041195E"/>
    <w:rsid w:val="00412915"/>
    <w:rsid w:val="004130B0"/>
    <w:rsid w:val="0041422F"/>
    <w:rsid w:val="00426ACC"/>
    <w:rsid w:val="00434979"/>
    <w:rsid w:val="00442E07"/>
    <w:rsid w:val="00461F31"/>
    <w:rsid w:val="00464D6A"/>
    <w:rsid w:val="004663F1"/>
    <w:rsid w:val="004666DE"/>
    <w:rsid w:val="004A3DE5"/>
    <w:rsid w:val="004A7813"/>
    <w:rsid w:val="004B03C3"/>
    <w:rsid w:val="004B6D49"/>
    <w:rsid w:val="004C3C98"/>
    <w:rsid w:val="004F3F31"/>
    <w:rsid w:val="004F4E41"/>
    <w:rsid w:val="0052073E"/>
    <w:rsid w:val="005210CC"/>
    <w:rsid w:val="00522E03"/>
    <w:rsid w:val="00534B4A"/>
    <w:rsid w:val="0053637A"/>
    <w:rsid w:val="0053690B"/>
    <w:rsid w:val="005370A3"/>
    <w:rsid w:val="00572153"/>
    <w:rsid w:val="005734A7"/>
    <w:rsid w:val="00575DDA"/>
    <w:rsid w:val="00581C11"/>
    <w:rsid w:val="005870FD"/>
    <w:rsid w:val="00590753"/>
    <w:rsid w:val="00592A7E"/>
    <w:rsid w:val="00596340"/>
    <w:rsid w:val="005C371D"/>
    <w:rsid w:val="005D5130"/>
    <w:rsid w:val="005D6142"/>
    <w:rsid w:val="005F6E44"/>
    <w:rsid w:val="0061445D"/>
    <w:rsid w:val="00621D96"/>
    <w:rsid w:val="00623A21"/>
    <w:rsid w:val="00646989"/>
    <w:rsid w:val="00646BDF"/>
    <w:rsid w:val="006530CC"/>
    <w:rsid w:val="006544C8"/>
    <w:rsid w:val="00660955"/>
    <w:rsid w:val="00664DA0"/>
    <w:rsid w:val="00665C5F"/>
    <w:rsid w:val="00667545"/>
    <w:rsid w:val="0068153F"/>
    <w:rsid w:val="0068567A"/>
    <w:rsid w:val="006A1F34"/>
    <w:rsid w:val="006A292A"/>
    <w:rsid w:val="006A2FD6"/>
    <w:rsid w:val="006A38F7"/>
    <w:rsid w:val="006A4EBB"/>
    <w:rsid w:val="006B4172"/>
    <w:rsid w:val="006C16B8"/>
    <w:rsid w:val="006C6AB7"/>
    <w:rsid w:val="006F4DC9"/>
    <w:rsid w:val="00713B69"/>
    <w:rsid w:val="00725705"/>
    <w:rsid w:val="00731361"/>
    <w:rsid w:val="00745927"/>
    <w:rsid w:val="00751439"/>
    <w:rsid w:val="00755D99"/>
    <w:rsid w:val="00756650"/>
    <w:rsid w:val="00756FD3"/>
    <w:rsid w:val="00765392"/>
    <w:rsid w:val="00783295"/>
    <w:rsid w:val="00790E3E"/>
    <w:rsid w:val="007912F8"/>
    <w:rsid w:val="0079340D"/>
    <w:rsid w:val="007A1078"/>
    <w:rsid w:val="007A25DB"/>
    <w:rsid w:val="007C0A4C"/>
    <w:rsid w:val="007C2B03"/>
    <w:rsid w:val="007D2AB2"/>
    <w:rsid w:val="007E0C46"/>
    <w:rsid w:val="007F6104"/>
    <w:rsid w:val="00800D30"/>
    <w:rsid w:val="00807D1A"/>
    <w:rsid w:val="00811AFE"/>
    <w:rsid w:val="0081264F"/>
    <w:rsid w:val="00817F96"/>
    <w:rsid w:val="008210E3"/>
    <w:rsid w:val="00833ED8"/>
    <w:rsid w:val="00834B29"/>
    <w:rsid w:val="0084345F"/>
    <w:rsid w:val="00860256"/>
    <w:rsid w:val="00863B3A"/>
    <w:rsid w:val="00874EFE"/>
    <w:rsid w:val="00882126"/>
    <w:rsid w:val="0088292B"/>
    <w:rsid w:val="008906E0"/>
    <w:rsid w:val="008933F1"/>
    <w:rsid w:val="008A05F5"/>
    <w:rsid w:val="008A6FC5"/>
    <w:rsid w:val="008A77B8"/>
    <w:rsid w:val="008B35AF"/>
    <w:rsid w:val="008C5818"/>
    <w:rsid w:val="008D0601"/>
    <w:rsid w:val="008D1F11"/>
    <w:rsid w:val="008D37A3"/>
    <w:rsid w:val="008E5919"/>
    <w:rsid w:val="0090317B"/>
    <w:rsid w:val="00905951"/>
    <w:rsid w:val="009107D2"/>
    <w:rsid w:val="009112DA"/>
    <w:rsid w:val="00912D2C"/>
    <w:rsid w:val="00912EFD"/>
    <w:rsid w:val="00916EE4"/>
    <w:rsid w:val="00920F63"/>
    <w:rsid w:val="009243F3"/>
    <w:rsid w:val="0093366B"/>
    <w:rsid w:val="0093411E"/>
    <w:rsid w:val="00934185"/>
    <w:rsid w:val="009460B0"/>
    <w:rsid w:val="00946126"/>
    <w:rsid w:val="00952DF9"/>
    <w:rsid w:val="0095421D"/>
    <w:rsid w:val="00956C07"/>
    <w:rsid w:val="00960C86"/>
    <w:rsid w:val="009622A5"/>
    <w:rsid w:val="009767AF"/>
    <w:rsid w:val="00981F58"/>
    <w:rsid w:val="00986D0A"/>
    <w:rsid w:val="009A1D1D"/>
    <w:rsid w:val="009A25BB"/>
    <w:rsid w:val="009B228C"/>
    <w:rsid w:val="009B4416"/>
    <w:rsid w:val="009D1EAB"/>
    <w:rsid w:val="009E3E86"/>
    <w:rsid w:val="00A118A2"/>
    <w:rsid w:val="00A14F78"/>
    <w:rsid w:val="00A23F26"/>
    <w:rsid w:val="00A24A89"/>
    <w:rsid w:val="00A4001C"/>
    <w:rsid w:val="00A40AAB"/>
    <w:rsid w:val="00A42538"/>
    <w:rsid w:val="00A46D01"/>
    <w:rsid w:val="00A47046"/>
    <w:rsid w:val="00A6014C"/>
    <w:rsid w:val="00A60652"/>
    <w:rsid w:val="00A6124C"/>
    <w:rsid w:val="00A63AD9"/>
    <w:rsid w:val="00A70816"/>
    <w:rsid w:val="00A73590"/>
    <w:rsid w:val="00A74F15"/>
    <w:rsid w:val="00A7636D"/>
    <w:rsid w:val="00A82904"/>
    <w:rsid w:val="00A87863"/>
    <w:rsid w:val="00A9138E"/>
    <w:rsid w:val="00A9672F"/>
    <w:rsid w:val="00AA3085"/>
    <w:rsid w:val="00AB0902"/>
    <w:rsid w:val="00AB2DB9"/>
    <w:rsid w:val="00AB6E70"/>
    <w:rsid w:val="00AC1C89"/>
    <w:rsid w:val="00AC5B58"/>
    <w:rsid w:val="00AD381B"/>
    <w:rsid w:val="00AE7111"/>
    <w:rsid w:val="00AF5B5B"/>
    <w:rsid w:val="00AF5D1A"/>
    <w:rsid w:val="00B017F9"/>
    <w:rsid w:val="00B07213"/>
    <w:rsid w:val="00B10A05"/>
    <w:rsid w:val="00B24C43"/>
    <w:rsid w:val="00B372E7"/>
    <w:rsid w:val="00B53139"/>
    <w:rsid w:val="00B54167"/>
    <w:rsid w:val="00B5424B"/>
    <w:rsid w:val="00B566F3"/>
    <w:rsid w:val="00B60E3A"/>
    <w:rsid w:val="00B62E06"/>
    <w:rsid w:val="00B64033"/>
    <w:rsid w:val="00B64B1D"/>
    <w:rsid w:val="00B65F84"/>
    <w:rsid w:val="00B82631"/>
    <w:rsid w:val="00B92947"/>
    <w:rsid w:val="00B9671B"/>
    <w:rsid w:val="00BA0BAE"/>
    <w:rsid w:val="00BA1D31"/>
    <w:rsid w:val="00BC0AE7"/>
    <w:rsid w:val="00BC1E7A"/>
    <w:rsid w:val="00BC49A1"/>
    <w:rsid w:val="00BF4D17"/>
    <w:rsid w:val="00BF71A1"/>
    <w:rsid w:val="00C02FA0"/>
    <w:rsid w:val="00C1143D"/>
    <w:rsid w:val="00C164D3"/>
    <w:rsid w:val="00C20670"/>
    <w:rsid w:val="00C224FD"/>
    <w:rsid w:val="00C270CB"/>
    <w:rsid w:val="00C45302"/>
    <w:rsid w:val="00C54D94"/>
    <w:rsid w:val="00C614BA"/>
    <w:rsid w:val="00C627F9"/>
    <w:rsid w:val="00C73BAA"/>
    <w:rsid w:val="00C86713"/>
    <w:rsid w:val="00C86DCB"/>
    <w:rsid w:val="00C875E8"/>
    <w:rsid w:val="00C92035"/>
    <w:rsid w:val="00C93DA2"/>
    <w:rsid w:val="00CA214D"/>
    <w:rsid w:val="00CA38DC"/>
    <w:rsid w:val="00CA641A"/>
    <w:rsid w:val="00CB69F6"/>
    <w:rsid w:val="00CC1362"/>
    <w:rsid w:val="00CC2A72"/>
    <w:rsid w:val="00CC3FB5"/>
    <w:rsid w:val="00CD2067"/>
    <w:rsid w:val="00CD47BC"/>
    <w:rsid w:val="00CD6914"/>
    <w:rsid w:val="00CE1285"/>
    <w:rsid w:val="00CF6F03"/>
    <w:rsid w:val="00D24CBA"/>
    <w:rsid w:val="00D34984"/>
    <w:rsid w:val="00D36C35"/>
    <w:rsid w:val="00D43A32"/>
    <w:rsid w:val="00D52442"/>
    <w:rsid w:val="00D75313"/>
    <w:rsid w:val="00D81650"/>
    <w:rsid w:val="00D87DBA"/>
    <w:rsid w:val="00DA4997"/>
    <w:rsid w:val="00DA66CF"/>
    <w:rsid w:val="00DB4C95"/>
    <w:rsid w:val="00DC29A5"/>
    <w:rsid w:val="00DD0EBD"/>
    <w:rsid w:val="00DD3DC8"/>
    <w:rsid w:val="00DE165D"/>
    <w:rsid w:val="00DE300F"/>
    <w:rsid w:val="00DF1E56"/>
    <w:rsid w:val="00DF2666"/>
    <w:rsid w:val="00E02F01"/>
    <w:rsid w:val="00E16ACD"/>
    <w:rsid w:val="00E17134"/>
    <w:rsid w:val="00E22312"/>
    <w:rsid w:val="00E25EBC"/>
    <w:rsid w:val="00E37BFC"/>
    <w:rsid w:val="00E46C9B"/>
    <w:rsid w:val="00E5228E"/>
    <w:rsid w:val="00E62D9B"/>
    <w:rsid w:val="00E6530A"/>
    <w:rsid w:val="00E66384"/>
    <w:rsid w:val="00E66550"/>
    <w:rsid w:val="00E678A6"/>
    <w:rsid w:val="00E808EF"/>
    <w:rsid w:val="00E82301"/>
    <w:rsid w:val="00E86C3B"/>
    <w:rsid w:val="00E877BF"/>
    <w:rsid w:val="00EA1767"/>
    <w:rsid w:val="00EA4154"/>
    <w:rsid w:val="00EB0929"/>
    <w:rsid w:val="00EB0FA5"/>
    <w:rsid w:val="00EB24EB"/>
    <w:rsid w:val="00EC01DD"/>
    <w:rsid w:val="00EC127B"/>
    <w:rsid w:val="00EC35E3"/>
    <w:rsid w:val="00ED2739"/>
    <w:rsid w:val="00ED3255"/>
    <w:rsid w:val="00ED7195"/>
    <w:rsid w:val="00EE4EBF"/>
    <w:rsid w:val="00F030EF"/>
    <w:rsid w:val="00F0414F"/>
    <w:rsid w:val="00F06FC5"/>
    <w:rsid w:val="00F070F3"/>
    <w:rsid w:val="00F143DC"/>
    <w:rsid w:val="00F17F0F"/>
    <w:rsid w:val="00F27AAF"/>
    <w:rsid w:val="00F31BEC"/>
    <w:rsid w:val="00F353D1"/>
    <w:rsid w:val="00F41C16"/>
    <w:rsid w:val="00F425E8"/>
    <w:rsid w:val="00F5782B"/>
    <w:rsid w:val="00F66BB2"/>
    <w:rsid w:val="00F73131"/>
    <w:rsid w:val="00F84AEF"/>
    <w:rsid w:val="00F97048"/>
    <w:rsid w:val="00FA0281"/>
    <w:rsid w:val="00FB28D5"/>
    <w:rsid w:val="00FB423E"/>
    <w:rsid w:val="00FB762C"/>
    <w:rsid w:val="00FC647A"/>
    <w:rsid w:val="00FC669D"/>
    <w:rsid w:val="00FD4F0B"/>
    <w:rsid w:val="00FE02FC"/>
    <w:rsid w:val="00FE1BAE"/>
    <w:rsid w:val="00FE3C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C0652E"/>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E678A6"/>
    <w:pPr>
      <w:spacing w:before="240" w:after="240"/>
      <w:contextualSpacing/>
      <w:jc w:val="center"/>
      <w:outlineLvl w:val="0"/>
    </w:pPr>
    <w:rPr>
      <w:rFonts w:ascii="Times New Roman" w:hAnsi="Times New Roman"/>
      <w:sz w:val="28"/>
      <w:szCs w:val="28"/>
    </w:rPr>
  </w:style>
  <w:style w:type="paragraph" w:styleId="Heading2">
    <w:name w:val="heading 2"/>
    <w:basedOn w:val="ListParagraph"/>
    <w:next w:val="Normal"/>
    <w:link w:val="Heading2Char"/>
    <w:qFormat/>
    <w:rsid w:val="00E678A6"/>
    <w:pPr>
      <w:numPr>
        <w:numId w:val="4"/>
      </w:numPr>
      <w:suppressAutoHyphens/>
      <w:spacing w:line="240" w:lineRule="exact"/>
      <w:contextualSpacing w:val="0"/>
      <w:outlineLvl w:val="1"/>
    </w:pPr>
    <w:rPr>
      <w:rFonts w:ascii="Times New Roman" w:hAnsi="Times New Roman"/>
      <w:b/>
      <w:szCs w:val="24"/>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78A6"/>
    <w:rPr>
      <w:sz w:val="28"/>
      <w:szCs w:val="28"/>
    </w:rPr>
  </w:style>
  <w:style w:type="character" w:customStyle="1" w:styleId="Heading2Char">
    <w:name w:val="Heading 2 Char"/>
    <w:link w:val="Heading2"/>
    <w:rsid w:val="00E678A6"/>
    <w:rPr>
      <w:b/>
      <w:sz w:val="24"/>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F4D17"/>
    <w:pPr>
      <w:keepNext/>
      <w:spacing w:before="240" w:after="240"/>
      <w:jc w:val="center"/>
    </w:pPr>
    <w:rPr>
      <w:rFonts w:ascii="Times New Roman" w:hAnsi="Times New Roman"/>
      <w:b/>
      <w:bCs/>
      <w:color w:val="000000" w:themeColor="text1"/>
      <w:szCs w:val="24"/>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BodyTextIndent"/>
    <w:link w:val="BodyTextChar"/>
    <w:qFormat/>
    <w:rsid w:val="00E678A6"/>
    <w:pPr>
      <w:spacing w:before="240" w:after="240"/>
      <w:ind w:left="0" w:firstLine="720"/>
    </w:pPr>
    <w:rPr>
      <w:sz w:val="24"/>
      <w:szCs w:val="24"/>
    </w:rPr>
  </w:style>
  <w:style w:type="character" w:customStyle="1" w:styleId="BodyTextChar">
    <w:name w:val="BodyText Char"/>
    <w:link w:val="BodyText"/>
    <w:rsid w:val="00E678A6"/>
    <w:rPr>
      <w:rFonts w:eastAsiaTheme="minorHAnsi"/>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92A7E"/>
    <w:rPr>
      <w:rFonts w:ascii="Courier" w:hAnsi="Courier"/>
      <w:sz w:val="24"/>
    </w:rPr>
  </w:style>
  <w:style w:type="paragraph" w:styleId="BodyTextIndent">
    <w:name w:val="Body Text Indent"/>
    <w:basedOn w:val="Normal"/>
    <w:link w:val="BodyTextIndentChar"/>
    <w:uiPriority w:val="99"/>
    <w:semiHidden/>
    <w:unhideWhenUsed/>
    <w:rsid w:val="00592A7E"/>
    <w:pPr>
      <w:spacing w:after="120"/>
      <w:ind w:left="360"/>
    </w:pPr>
    <w:rPr>
      <w:rFonts w:ascii="Times New Roman" w:eastAsiaTheme="minorHAnsi" w:hAnsi="Times New Roman"/>
      <w:sz w:val="22"/>
      <w:szCs w:val="22"/>
    </w:rPr>
  </w:style>
  <w:style w:type="character" w:customStyle="1" w:styleId="BodyTextIndentChar">
    <w:name w:val="Body Text Indent Char"/>
    <w:basedOn w:val="DefaultParagraphFont"/>
    <w:link w:val="BodyTextIndent"/>
    <w:uiPriority w:val="99"/>
    <w:semiHidden/>
    <w:rsid w:val="00592A7E"/>
    <w:rPr>
      <w:rFonts w:eastAsiaTheme="minorHAnsi"/>
      <w:sz w:val="22"/>
      <w:szCs w:val="22"/>
    </w:rPr>
  </w:style>
  <w:style w:type="paragraph" w:styleId="BodyText0">
    <w:name w:val="Body Text"/>
    <w:basedOn w:val="Normal"/>
    <w:link w:val="BodyTextChar0"/>
    <w:uiPriority w:val="99"/>
    <w:semiHidden/>
    <w:unhideWhenUsed/>
    <w:rsid w:val="00FB28D5"/>
    <w:pPr>
      <w:spacing w:after="120"/>
    </w:pPr>
  </w:style>
  <w:style w:type="character" w:customStyle="1" w:styleId="BodyTextChar0">
    <w:name w:val="Body Text Char"/>
    <w:basedOn w:val="DefaultParagraphFont"/>
    <w:link w:val="BodyText0"/>
    <w:uiPriority w:val="99"/>
    <w:semiHidden/>
    <w:rsid w:val="00FB28D5"/>
    <w:rPr>
      <w:rFonts w:ascii="Courier" w:hAnsi="Courier"/>
      <w:sz w:val="24"/>
    </w:rPr>
  </w:style>
  <w:style w:type="paragraph" w:styleId="NoSpacing">
    <w:name w:val="No Spacing"/>
    <w:uiPriority w:val="1"/>
    <w:qFormat/>
    <w:rsid w:val="00381D44"/>
    <w:rPr>
      <w:rFonts w:eastAsiaTheme="minorHAnsi"/>
      <w:sz w:val="24"/>
      <w:szCs w:val="24"/>
    </w:rPr>
  </w:style>
  <w:style w:type="paragraph" w:customStyle="1" w:styleId="Heading2BulletList">
    <w:name w:val="Heading2 Bullet List"/>
    <w:link w:val="Heading2BulletListChar"/>
    <w:qFormat/>
    <w:rsid w:val="00F425E8"/>
    <w:pPr>
      <w:numPr>
        <w:numId w:val="3"/>
      </w:numPr>
      <w:tabs>
        <w:tab w:val="clear" w:pos="1440"/>
        <w:tab w:val="left" w:pos="-720"/>
      </w:tabs>
      <w:suppressAutoHyphens/>
      <w:spacing w:before="240" w:after="240"/>
    </w:pPr>
    <w:rPr>
      <w:b/>
      <w:sz w:val="24"/>
      <w:szCs w:val="24"/>
    </w:rPr>
  </w:style>
  <w:style w:type="paragraph" w:customStyle="1" w:styleId="Heading2Paragraph">
    <w:name w:val="Heading2 Paragraph"/>
    <w:link w:val="Heading2ParagraphChar"/>
    <w:qFormat/>
    <w:rsid w:val="000F5D66"/>
    <w:pPr>
      <w:spacing w:before="240" w:after="240"/>
      <w:ind w:left="720"/>
    </w:pPr>
    <w:rPr>
      <w:b/>
      <w:sz w:val="24"/>
      <w:szCs w:val="24"/>
    </w:rPr>
  </w:style>
  <w:style w:type="character" w:customStyle="1" w:styleId="Heading2BulletListChar">
    <w:name w:val="Heading2 Bullet List Char"/>
    <w:basedOn w:val="DefaultParagraphFont"/>
    <w:link w:val="Heading2BulletList"/>
    <w:rsid w:val="00F425E8"/>
    <w:rPr>
      <w:b/>
      <w:sz w:val="24"/>
      <w:szCs w:val="24"/>
    </w:rPr>
  </w:style>
  <w:style w:type="character" w:styleId="FollowedHyperlink">
    <w:name w:val="FollowedHyperlink"/>
    <w:basedOn w:val="DefaultParagraphFont"/>
    <w:uiPriority w:val="99"/>
    <w:semiHidden/>
    <w:unhideWhenUsed/>
    <w:rsid w:val="00CA641A"/>
    <w:rPr>
      <w:color w:val="800080" w:themeColor="followedHyperlink"/>
      <w:u w:val="single"/>
    </w:rPr>
  </w:style>
  <w:style w:type="character" w:customStyle="1" w:styleId="Heading2ParagraphChar">
    <w:name w:val="Heading2 Paragraph Char"/>
    <w:basedOn w:val="DefaultParagraphFont"/>
    <w:link w:val="Heading2Paragraph"/>
    <w:rsid w:val="000F5D66"/>
    <w:rPr>
      <w:b/>
      <w:sz w:val="24"/>
      <w:szCs w:val="24"/>
    </w:rPr>
  </w:style>
  <w:style w:type="paragraph" w:styleId="Title">
    <w:name w:val="Title"/>
    <w:basedOn w:val="Normal"/>
    <w:link w:val="TitleChar"/>
    <w:uiPriority w:val="99"/>
    <w:qFormat/>
    <w:rsid w:val="004142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41422F"/>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4122</Words>
  <Characters>23496</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2022-04-28T15:51:00Z</dcterms:created>
  <dcterms:modified xsi:type="dcterms:W3CDTF">2022-04-28T15:51:00Z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