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5A555659">
      <w:pPr>
        <w:jc w:val="center"/>
      </w:pPr>
      <w:r w:rsidRPr="00980E58">
        <w:t>[</w:t>
      </w:r>
      <w:r w:rsidRPr="007633DD">
        <w:t>Docket No</w:t>
      </w:r>
      <w:r w:rsidRPr="00413FDE">
        <w:t xml:space="preserve">. </w:t>
      </w:r>
      <w:r w:rsidRPr="00413FDE" w:rsidR="00613169">
        <w:t>IC</w:t>
      </w:r>
      <w:r w:rsidRPr="00413FDE" w:rsidR="00FB078F">
        <w:t>2</w:t>
      </w:r>
      <w:r w:rsidR="00EA0E8C">
        <w:t>2</w:t>
      </w:r>
      <w:r w:rsidRPr="00413FDE" w:rsidR="00613169">
        <w:t>-</w:t>
      </w:r>
      <w:r w:rsidR="00AD0C5B">
        <w:t>2</w:t>
      </w:r>
      <w:r w:rsidRPr="00413FDE" w:rsidR="00613169">
        <w:t>-000</w:t>
      </w:r>
      <w:r w:rsidRPr="00413FDE">
        <w:t>]</w:t>
      </w:r>
    </w:p>
    <w:p w:rsidR="00A2604E" w:rsidP="00A2604E" w:rsidRDefault="00A2604E" w14:paraId="4D16FE54" w14:textId="77777777"/>
    <w:p w:rsidR="00A2604E" w:rsidP="00A2604E" w:rsidRDefault="00A2604E" w14:paraId="0627AE31" w14:textId="6ABA3B01">
      <w:pPr>
        <w:jc w:val="center"/>
      </w:pPr>
      <w:r>
        <w:t>COMMISSION INFORMATION COLLECTION ACTIVITIES (FERC-</w:t>
      </w:r>
      <w:r w:rsidR="00AD0C5B">
        <w:t>549C</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32099D" w:rsidP="00676B23" w:rsidRDefault="00676B23" w14:paraId="62378F07" w14:textId="062A25C7">
      <w:pPr>
        <w:jc w:val="center"/>
      </w:pPr>
      <w:r w:rsidRPr="00676B23">
        <w:t>(January 20, 2022)</w:t>
      </w:r>
    </w:p>
    <w:p w:rsidRPr="00676B23" w:rsidR="00676B23" w:rsidP="00676B23" w:rsidRDefault="00676B23" w14:paraId="19F7EA68"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3A364300">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1"/>
      <w:bookmarkStart w:name="_Hlk72925791" w:id="2"/>
      <w:bookmarkStart w:name="_Hlk86237088" w:id="3"/>
      <w:r w:rsidR="00EA0E8C">
        <w:rPr>
          <w:szCs w:val="26"/>
        </w:rPr>
        <w:t>FERC-</w:t>
      </w:r>
      <w:r w:rsidR="00AD0C5B">
        <w:rPr>
          <w:szCs w:val="26"/>
        </w:rPr>
        <w:t>549C</w:t>
      </w:r>
      <w:bookmarkStart w:name="_Hlk82100758" w:id="4"/>
      <w:bookmarkEnd w:id="1"/>
      <w:bookmarkEnd w:id="2"/>
      <w:bookmarkEnd w:id="3"/>
      <w:r w:rsidRPr="00BE7A16" w:rsidR="00AD0C5B">
        <w:rPr>
          <w:rFonts w:eastAsiaTheme="minorHAnsi"/>
          <w:szCs w:val="26"/>
        </w:rPr>
        <w:t>, (</w:t>
      </w:r>
      <w:r w:rsidRPr="001F6C68" w:rsidR="00AD0C5B">
        <w:rPr>
          <w:rFonts w:eastAsiaTheme="minorHAnsi"/>
          <w:szCs w:val="26"/>
        </w:rPr>
        <w:t>Standards for Business Practices of Interstate Natural Gas Pipelines</w:t>
      </w:r>
      <w:r w:rsidRPr="00BE7A16" w:rsidR="00AD0C5B">
        <w:rPr>
          <w:rFonts w:eastAsiaTheme="minorHAnsi"/>
          <w:szCs w:val="26"/>
        </w:rPr>
        <w:t>)</w:t>
      </w:r>
      <w:bookmarkEnd w:id="4"/>
      <w:r w:rsidR="00564ADB">
        <w:rPr>
          <w:rFonts w:eastAsiaTheme="minorHAnsi"/>
          <w:szCs w:val="26"/>
        </w:rPr>
        <w:t xml:space="preserve">, </w:t>
      </w:r>
      <w:r w:rsidRPr="00564ADB" w:rsidR="00564ADB">
        <w:rPr>
          <w:rFonts w:eastAsiaTheme="minorHAnsi"/>
          <w:szCs w:val="26"/>
        </w:rPr>
        <w:t>which will be submitted to the Office of Management and Budget (OMB) for review.</w:t>
      </w:r>
    </w:p>
    <w:p w:rsidRPr="00524164" w:rsidR="00A2604E" w:rsidP="00A2604E" w:rsidRDefault="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Pr="00BB5EF5" w:rsidR="00564ADB" w:rsidP="00564ADB" w:rsidRDefault="00A2604E" w14:paraId="55C4F2A9" w14:textId="02D2026D">
      <w:pPr>
        <w:spacing w:line="480" w:lineRule="auto"/>
      </w:pPr>
      <w:r w:rsidRPr="00524164">
        <w:rPr>
          <w:b/>
        </w:rPr>
        <w:t>ADDRESSES:</w:t>
      </w:r>
      <w:r w:rsidRPr="00524164">
        <w:t xml:space="preserve"> </w:t>
      </w:r>
      <w:r w:rsidRPr="00BB5EF5" w:rsidR="00564ADB">
        <w:rPr>
          <w:iCs/>
        </w:rPr>
        <w:t>Send written comments on FERC-</w:t>
      </w:r>
      <w:r w:rsidR="00AD0C5B">
        <w:rPr>
          <w:iCs/>
        </w:rPr>
        <w:t>549C</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Attention:  Federal Energy Regulatory Commission Desk Officer.  Please identify the OMB Control Number (1902-0</w:t>
      </w:r>
      <w:r w:rsidR="00AD0C5B">
        <w:rPr>
          <w:iCs/>
        </w:rPr>
        <w:t>174</w:t>
      </w:r>
      <w:r w:rsidRPr="00BB5EF5" w:rsidR="00564ADB">
        <w:rPr>
          <w:iCs/>
        </w:rPr>
        <w:t>) in the subject line of your comments.  Comments</w:t>
      </w:r>
      <w:r w:rsidRPr="00BB5EF5" w:rsidR="00564ADB">
        <w:t xml:space="preserve"> should be sent </w:t>
      </w:r>
      <w:bookmarkStart w:name="_Hlk35891527" w:id="5"/>
      <w:r w:rsidRPr="00BB5EF5" w:rsidR="00564ADB">
        <w:t xml:space="preserve">within 30 days of publication of this notice  to </w:t>
      </w:r>
      <w:bookmarkStart w:name="_Hlk38028221" w:id="6"/>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5"/>
      <w:bookmarkEnd w:id="6"/>
    </w:p>
    <w:p w:rsidRPr="00BB5EF5" w:rsidR="00564ADB" w:rsidP="00564ADB" w:rsidRDefault="00564ADB" w14:paraId="7F9E2910" w14:textId="066349A8">
      <w:pPr>
        <w:spacing w:line="480" w:lineRule="auto"/>
      </w:pPr>
      <w:r w:rsidRPr="00BB5EF5">
        <w:t>Please submit copies of your comments to the Commission.  You may submit copies of your comments (identified by Docket No. IC2</w:t>
      </w:r>
      <w:r w:rsidR="00EA0E8C">
        <w:t>2</w:t>
      </w:r>
      <w:r w:rsidRPr="00BB5EF5">
        <w:t>-</w:t>
      </w:r>
      <w:r w:rsidR="00AD0C5B">
        <w:t>2</w:t>
      </w:r>
      <w:r w:rsidRPr="00BB5EF5">
        <w:t>-000) by one of the following methods:</w:t>
      </w:r>
    </w:p>
    <w:p w:rsidRPr="00BB5EF5" w:rsidR="00564ADB" w:rsidP="00564ADB" w:rsidRDefault="00564ADB" w14:paraId="719A4BB0" w14:textId="77777777">
      <w:pPr>
        <w:spacing w:line="480" w:lineRule="auto"/>
      </w:pPr>
      <w:r w:rsidRPr="00BB5EF5">
        <w:lastRenderedPageBreak/>
        <w:t xml:space="preserve">Electronic filing through </w:t>
      </w:r>
      <w:hyperlink w:history="1" r:id="rId13">
        <w:r w:rsidRPr="00BB5EF5">
          <w:rPr>
            <w:rStyle w:val="Hyperlink"/>
          </w:rPr>
          <w:t>http://www.ferc.gov</w:t>
        </w:r>
      </w:hyperlink>
      <w:r w:rsidRPr="00BB5EF5">
        <w:t>, is preferred.</w:t>
      </w:r>
    </w:p>
    <w:p w:rsidRPr="00BB5EF5" w:rsidR="00564ADB" w:rsidP="00564ADB" w:rsidRDefault="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7"/>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77777777">
      <w:pPr>
        <w:spacing w:line="480" w:lineRule="auto"/>
      </w:pPr>
      <w:r w:rsidRPr="00BB5EF5">
        <w:rPr>
          <w:i/>
          <w:iCs/>
        </w:rPr>
        <w:t>FERC submissions</w:t>
      </w:r>
      <w:r w:rsidRPr="00BB5EF5">
        <w:t xml:space="preserve"> </w:t>
      </w:r>
      <w:bookmarkStart w:name="_Hlk38028397" w:id="8"/>
      <w:r w:rsidRPr="00BB5EF5">
        <w:t>must be formatted and filed in accordance with submission guidelines at</w:t>
      </w:r>
      <w:bookmarkEnd w:id="8"/>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7"/>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000F3BC3" w:rsidP="000F3BC3" w:rsidRDefault="000F3BC3" w14:paraId="5169038C" w14:textId="349E34C9">
      <w:pPr>
        <w:spacing w:line="480" w:lineRule="auto"/>
        <w:rPr>
          <w:szCs w:val="26"/>
        </w:rPr>
      </w:pPr>
      <w:r w:rsidRPr="000F3BC3">
        <w:rPr>
          <w:b/>
          <w:szCs w:val="26"/>
        </w:rPr>
        <w:lastRenderedPageBreak/>
        <w:t>SUPPLEMENTARY INFORMATION:</w:t>
      </w:r>
      <w:r w:rsidRPr="000F3BC3">
        <w:rPr>
          <w:szCs w:val="26"/>
        </w:rPr>
        <w:t xml:space="preserve">  </w:t>
      </w:r>
    </w:p>
    <w:p w:rsidRPr="00BE7A16" w:rsidR="00AD0C5B" w:rsidP="00AD0C5B" w:rsidRDefault="00AD0C5B" w14:paraId="27262140" w14:textId="77777777">
      <w:pPr>
        <w:pStyle w:val="ListParagraph"/>
        <w:numPr>
          <w:ilvl w:val="0"/>
          <w:numId w:val="19"/>
        </w:numPr>
        <w:spacing w:line="480" w:lineRule="auto"/>
        <w:ind w:left="450"/>
        <w:rPr>
          <w:b/>
          <w:bCs/>
          <w:szCs w:val="26"/>
        </w:rPr>
      </w:pPr>
      <w:bookmarkStart w:name="_Hlk83768934" w:id="9"/>
      <w:r w:rsidRPr="00BE7A16">
        <w:rPr>
          <w:b/>
          <w:bCs/>
          <w:szCs w:val="26"/>
        </w:rPr>
        <w:t>FERC-5</w:t>
      </w:r>
      <w:r>
        <w:rPr>
          <w:b/>
          <w:bCs/>
          <w:szCs w:val="26"/>
        </w:rPr>
        <w:t>49C</w:t>
      </w:r>
    </w:p>
    <w:p w:rsidRPr="00BE7A16" w:rsidR="00AD0C5B" w:rsidP="00AD0C5B" w:rsidRDefault="00AD0C5B" w14:paraId="7CD659EE" w14:textId="77777777">
      <w:pPr>
        <w:spacing w:line="480" w:lineRule="auto"/>
        <w:rPr>
          <w:szCs w:val="26"/>
        </w:rPr>
      </w:pPr>
      <w:r w:rsidRPr="00BE7A16">
        <w:rPr>
          <w:i/>
          <w:iCs/>
          <w:szCs w:val="26"/>
        </w:rPr>
        <w:t>Title:</w:t>
      </w:r>
      <w:r w:rsidRPr="00BE7A16">
        <w:rPr>
          <w:rFonts w:eastAsiaTheme="minorHAnsi"/>
          <w:szCs w:val="26"/>
        </w:rPr>
        <w:t xml:space="preserve"> </w:t>
      </w:r>
      <w:r w:rsidRPr="00BE7A16">
        <w:rPr>
          <w:szCs w:val="26"/>
        </w:rPr>
        <w:t>FERC-</w:t>
      </w:r>
      <w:r>
        <w:rPr>
          <w:szCs w:val="26"/>
        </w:rPr>
        <w:t>549C</w:t>
      </w:r>
      <w:r w:rsidRPr="00BE7A16">
        <w:rPr>
          <w:szCs w:val="26"/>
        </w:rPr>
        <w:t xml:space="preserve">, </w:t>
      </w:r>
      <w:r w:rsidRPr="00C33619">
        <w:rPr>
          <w:szCs w:val="26"/>
        </w:rPr>
        <w:t>Standards for Business Practices of Interstate Natural Gas Pipelines</w:t>
      </w:r>
    </w:p>
    <w:p w:rsidR="00AD0C5B" w:rsidP="00AD0C5B" w:rsidRDefault="00AD0C5B" w14:paraId="4644FC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1902-0</w:t>
      </w:r>
      <w:r>
        <w:rPr>
          <w:szCs w:val="26"/>
        </w:rPr>
        <w:t>174</w:t>
      </w:r>
    </w:p>
    <w:p w:rsidRPr="00342537" w:rsidR="00AD0C5B" w:rsidP="00AD0C5B" w:rsidRDefault="00AD0C5B" w14:paraId="5FA3B36B" w14:textId="7E7FC4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970063">
        <w:rPr>
          <w:i/>
          <w:szCs w:val="26"/>
        </w:rPr>
        <w:t>Type of Request:</w:t>
      </w:r>
      <w:r w:rsidRPr="00970063">
        <w:rPr>
          <w:szCs w:val="26"/>
        </w:rPr>
        <w:t xml:space="preserve"> Three-year extension of the FERC-54</w:t>
      </w:r>
      <w:r>
        <w:rPr>
          <w:szCs w:val="26"/>
        </w:rPr>
        <w:t>9C</w:t>
      </w:r>
      <w:r w:rsidRPr="00970063">
        <w:rPr>
          <w:szCs w:val="26"/>
        </w:rPr>
        <w:t xml:space="preserve"> information collection requirements with no changes to the current reporting requirements. </w:t>
      </w:r>
      <w:r w:rsidR="00786750">
        <w:rPr>
          <w:szCs w:val="26"/>
        </w:rPr>
        <w:t xml:space="preserve">No comments were received on the </w:t>
      </w:r>
      <w:proofErr w:type="gramStart"/>
      <w:r w:rsidR="00786750">
        <w:rPr>
          <w:szCs w:val="26"/>
        </w:rPr>
        <w:t>60 day</w:t>
      </w:r>
      <w:proofErr w:type="gramEnd"/>
      <w:r w:rsidR="00786750">
        <w:rPr>
          <w:szCs w:val="26"/>
        </w:rPr>
        <w:t xml:space="preserve"> notice published on November 15, 2021 (86 FR 63010).</w:t>
      </w:r>
    </w:p>
    <w:p w:rsidRPr="008C16A1" w:rsidR="00AD0C5B" w:rsidP="00AD0C5B" w:rsidRDefault="00AD0C5B" w14:paraId="2626F361" w14:textId="3FDAA8D8">
      <w:pPr>
        <w:spacing w:line="480" w:lineRule="auto"/>
        <w:rPr>
          <w:szCs w:val="26"/>
        </w:rPr>
      </w:pPr>
      <w:r w:rsidRPr="00342537">
        <w:rPr>
          <w:i/>
          <w:szCs w:val="26"/>
        </w:rPr>
        <w:t>Abstract:</w:t>
      </w:r>
      <w:r w:rsidRPr="00342537">
        <w:rPr>
          <w:szCs w:val="26"/>
        </w:rPr>
        <w:t xml:space="preserve"> </w:t>
      </w:r>
      <w:r w:rsidRPr="008C16A1">
        <w:rPr>
          <w:szCs w:val="26"/>
        </w:rPr>
        <w:t xml:space="preserve"> The business practice standards under FERC-549C are required to carry out the Commission’s policies in accordance with the general authority in sections 4, 5, 7, 8, 10, 14, 16, and 20 of the Natural Gas Act (NGA)</w:t>
      </w:r>
      <w:r w:rsidR="00681D81">
        <w:rPr>
          <w:szCs w:val="26"/>
        </w:rPr>
        <w:t>,</w:t>
      </w:r>
      <w:r w:rsidRPr="008C16A1">
        <w:rPr>
          <w:b/>
          <w:szCs w:val="26"/>
          <w:vertAlign w:val="superscript"/>
        </w:rPr>
        <w:footnoteReference w:id="2"/>
      </w:r>
      <w:r w:rsidRPr="008C16A1" w:rsidR="00681D81">
        <w:rPr>
          <w:szCs w:val="26"/>
        </w:rPr>
        <w:t xml:space="preserve"> </w:t>
      </w:r>
      <w:r w:rsidR="00681D81">
        <w:rPr>
          <w:szCs w:val="26"/>
        </w:rPr>
        <w:t>a</w:t>
      </w:r>
      <w:r w:rsidRPr="008C16A1">
        <w:rPr>
          <w:szCs w:val="26"/>
        </w:rPr>
        <w:t>nd sections 311, 501, and 504 of the Natural Gas Policy Act of 1978 (NGPA)</w:t>
      </w:r>
      <w:r w:rsidR="00681D81">
        <w:rPr>
          <w:szCs w:val="26"/>
        </w:rPr>
        <w:t>.</w:t>
      </w:r>
      <w:r w:rsidRPr="008C16A1">
        <w:rPr>
          <w:b/>
          <w:szCs w:val="26"/>
          <w:vertAlign w:val="superscript"/>
        </w:rPr>
        <w:footnoteReference w:id="3"/>
      </w:r>
      <w:r w:rsidRPr="008C16A1">
        <w:rPr>
          <w:szCs w:val="26"/>
        </w:rPr>
        <w:t xml:space="preserve">  The Commission adopted these business practice standards in order to update and standardize the natural gas industry’s business practices and procedures in addition to improving the efficiency of the gas market and the means by which the gas industry conducts business across the interstate pipeline grid.   </w:t>
      </w:r>
    </w:p>
    <w:p w:rsidRPr="008C16A1" w:rsidR="00AD0C5B" w:rsidP="00AD0C5B" w:rsidRDefault="00AD0C5B" w14:paraId="3F538C1B" w14:textId="37C360CB">
      <w:pPr>
        <w:spacing w:line="480" w:lineRule="auto"/>
        <w:rPr>
          <w:szCs w:val="26"/>
        </w:rPr>
      </w:pPr>
      <w:r w:rsidRPr="008C16A1">
        <w:rPr>
          <w:szCs w:val="26"/>
        </w:rPr>
        <w:t>In various orders since 1996, the Commission has adopted regulations to standardize the business practices and communication methodologies of interstate natural gas pipelines proposed by the North American Energy Standards Board (NAESB) in order to create a more integrated and efficient pipeline industry.</w:t>
      </w:r>
      <w:r w:rsidRPr="008C16A1">
        <w:rPr>
          <w:b/>
          <w:szCs w:val="26"/>
          <w:vertAlign w:val="superscript"/>
        </w:rPr>
        <w:footnoteReference w:id="4"/>
      </w:r>
      <w:r w:rsidRPr="008C16A1">
        <w:rPr>
          <w:szCs w:val="26"/>
        </w:rPr>
        <w:t xml:space="preserve">  Generally, when and if NAESB-</w:t>
      </w:r>
      <w:r w:rsidRPr="008C16A1">
        <w:rPr>
          <w:szCs w:val="26"/>
        </w:rPr>
        <w:lastRenderedPageBreak/>
        <w:t>proposed standards (e.g. consensus standards developed by the Wholesale Gas Quadrant (WGQ)</w:t>
      </w:r>
      <w:r w:rsidRPr="008C16A1">
        <w:rPr>
          <w:b/>
          <w:szCs w:val="26"/>
          <w:vertAlign w:val="superscript"/>
        </w:rPr>
        <w:footnoteReference w:id="5"/>
      </w:r>
      <w:r w:rsidRPr="008C16A1">
        <w:rPr>
          <w:szCs w:val="26"/>
        </w:rPr>
        <w:t>) are approved by the Commission, the Commission incorporates them by reference into its approval.  The process of standardizing business practices in the natural gas industry began with a Commission initiative to standardize electronic communication of capacity release transactions.  The outgrowth of the initial Commission standardization efforts produced working groups composed of all segments of the natural gas industry</w:t>
      </w:r>
      <w:r w:rsidR="00E5265B">
        <w:rPr>
          <w:szCs w:val="26"/>
        </w:rPr>
        <w:t>.</w:t>
      </w:r>
      <w:r w:rsidRPr="008C16A1">
        <w:rPr>
          <w:szCs w:val="26"/>
        </w:rPr>
        <w:t xml:space="preserve"> </w:t>
      </w:r>
      <w:r w:rsidR="00E5265B">
        <w:rPr>
          <w:szCs w:val="26"/>
        </w:rPr>
        <w:t>T</w:t>
      </w:r>
      <w:r w:rsidRPr="008C16A1">
        <w:rPr>
          <w:szCs w:val="26"/>
        </w:rPr>
        <w:t>he Gas Industry Standards Board (GISB)</w:t>
      </w:r>
      <w:r w:rsidR="00E5265B">
        <w:rPr>
          <w:szCs w:val="26"/>
        </w:rPr>
        <w:t xml:space="preserve"> is</w:t>
      </w:r>
      <w:r w:rsidRPr="008C16A1">
        <w:rPr>
          <w:szCs w:val="26"/>
        </w:rPr>
        <w:t xml:space="preserve"> a consensus organization open to all members of the gas industry was created.  GISB was succeeded by NAESB.</w:t>
      </w:r>
    </w:p>
    <w:p w:rsidRPr="008C16A1" w:rsidR="00AD0C5B" w:rsidP="00AD0C5B" w:rsidRDefault="00AD0C5B" w14:paraId="0332C6AC" w14:textId="77777777">
      <w:pPr>
        <w:spacing w:line="480" w:lineRule="auto"/>
        <w:rPr>
          <w:szCs w:val="26"/>
        </w:rPr>
      </w:pPr>
      <w:r w:rsidRPr="008C16A1">
        <w:rPr>
          <w:szCs w:val="26"/>
        </w:rPr>
        <w:t>NAESB is a voluntary non-profit organization comprised of members from the retail and wholesale natural gas and electric industries.  NAESB’s mission is to take the lead in developing standards across these industries to simplify and expand electronic communication and to streamline business practices.  NAESB’s core objective is to facilitate a seamless North American marketplace for natural gas, as recognized by its customers, the business community, industry participants, and regulatory bodies.  NAESB has divided its efforts among four quadrants including two retail quadrants, a wholesale electric quadrant, and the WGQ.  The NAESB WGQ standards are a product of this effort.  Industry participants seeking additional or amended standards (to include principles, definitions, standards, data elements, process descriptions, and technical implementation instructions) must submit a request to the NAESB office, detailing the change, so that the appropriate process may take place to amend the standards.</w:t>
      </w:r>
    </w:p>
    <w:p w:rsidRPr="008C16A1" w:rsidR="00AD0C5B" w:rsidP="00AD0C5B" w:rsidRDefault="00AD0C5B" w14:paraId="4DFC6650" w14:textId="77777777">
      <w:pPr>
        <w:spacing w:line="480" w:lineRule="auto"/>
        <w:rPr>
          <w:bCs/>
          <w:szCs w:val="26"/>
        </w:rPr>
      </w:pPr>
      <w:r w:rsidRPr="008C16A1">
        <w:rPr>
          <w:szCs w:val="26"/>
        </w:rPr>
        <w:lastRenderedPageBreak/>
        <w:t>Failure to collect the FERC-549C data would prevent the Commission from monitoring and properly evaluating pipeline transactions and/or meeting statutory obligations under both the NGA and NGPA.</w:t>
      </w:r>
    </w:p>
    <w:p w:rsidRPr="001A50A7" w:rsidR="00AD0C5B" w:rsidP="00AD0C5B" w:rsidRDefault="00AD0C5B" w14:paraId="66EDDC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1A50A7">
        <w:rPr>
          <w:szCs w:val="26"/>
        </w:rPr>
        <w:t>On August 17, 2020, NAESB filed a report informing the Commission that it had adopted and ratified WGQ Version 3.2 of its business practice standards applicable to interstate natural gas pipelines.  Version 3.2 of the WGQ includes business practice standards developed and modified in response to industry requests and directives from the NAESB Board of Directors.  This version also includes the standards developed in response to the recommendations of Sandia National Laboratory (Sandia),</w:t>
      </w:r>
      <w:r w:rsidRPr="001A50A7">
        <w:rPr>
          <w:b/>
          <w:szCs w:val="26"/>
          <w:vertAlign w:val="superscript"/>
        </w:rPr>
        <w:footnoteReference w:id="6"/>
      </w:r>
      <w:r w:rsidRPr="001A50A7">
        <w:rPr>
          <w:szCs w:val="26"/>
        </w:rPr>
        <w:t xml:space="preserve"> which in 2019 issued a cybersecurity surety assessment of the NAESB standards sponsored by DOE (Sandia Surety Assessment),</w:t>
      </w:r>
      <w:r w:rsidRPr="001A50A7">
        <w:rPr>
          <w:b/>
          <w:szCs w:val="26"/>
          <w:vertAlign w:val="superscript"/>
        </w:rPr>
        <w:footnoteReference w:id="7"/>
      </w:r>
      <w:r w:rsidRPr="001A50A7">
        <w:rPr>
          <w:szCs w:val="26"/>
        </w:rPr>
        <w:t xml:space="preserve"> and the standards developed to enable the use of distributed ledger technologies when transacting the NAESB Base Contract for Sale and Purchase of Natural Gas.  The NAESB report identifies all the changes made to the WGQ Version 3.1 </w:t>
      </w:r>
      <w:r w:rsidRPr="001A50A7">
        <w:rPr>
          <w:szCs w:val="26"/>
        </w:rPr>
        <w:lastRenderedPageBreak/>
        <w:t>Standards and summarizes the deliberations that led to the changes being made.  It also identifies changes to the existing standards that were considered but not adopted due to a lack of consensus or other reasons.</w:t>
      </w:r>
    </w:p>
    <w:p w:rsidRPr="00342537" w:rsidR="00AD0C5B" w:rsidP="00AD0C5B" w:rsidRDefault="00AD0C5B" w14:paraId="4E3FC8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Type of Respondents</w:t>
      </w:r>
      <w:r w:rsidRPr="00385FC5">
        <w:rPr>
          <w:i/>
          <w:szCs w:val="26"/>
        </w:rPr>
        <w:t xml:space="preserve">: </w:t>
      </w:r>
      <w:r>
        <w:rPr>
          <w:szCs w:val="26"/>
        </w:rPr>
        <w:t>Natural gas pipelines under the jurisdiction of NGA and NGPA.</w:t>
      </w:r>
      <w:r w:rsidRPr="00342537">
        <w:rPr>
          <w:szCs w:val="26"/>
        </w:rPr>
        <w:t xml:space="preserve"> </w:t>
      </w:r>
    </w:p>
    <w:p w:rsidR="00AD0C5B" w:rsidP="00AD0C5B" w:rsidRDefault="00AD0C5B" w14:paraId="7FF9073D" w14:textId="7F9459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006A7412">
        <w:rPr>
          <w:i/>
          <w:szCs w:val="26"/>
        </w:rPr>
        <w:t>.</w:t>
      </w:r>
      <w:r w:rsidRPr="00342537">
        <w:rPr>
          <w:b/>
          <w:i/>
          <w:szCs w:val="26"/>
          <w:vertAlign w:val="superscript"/>
        </w:rPr>
        <w:footnoteReference w:id="8"/>
      </w:r>
      <w:r w:rsidRPr="00342537">
        <w:rPr>
          <w:i/>
          <w:szCs w:val="26"/>
        </w:rPr>
        <w:t xml:space="preserve"> </w:t>
      </w:r>
      <w:r w:rsidRPr="00342537">
        <w:rPr>
          <w:szCs w:val="26"/>
        </w:rPr>
        <w:t xml:space="preserve">The Commission estimates the total annual burden and </w:t>
      </w:r>
      <w:proofErr w:type="spellStart"/>
      <w:r w:rsidRPr="00342537">
        <w:rPr>
          <w:szCs w:val="26"/>
        </w:rPr>
        <w:t>costfor</w:t>
      </w:r>
      <w:proofErr w:type="spellEnd"/>
      <w:r w:rsidRPr="00342537">
        <w:rPr>
          <w:szCs w:val="26"/>
        </w:rPr>
        <w:t xml:space="preserve"> this information collection as follows:</w:t>
      </w:r>
      <w:bookmarkEnd w:id="9"/>
      <w:r w:rsidRPr="00342537" w:rsidR="006A7412">
        <w:rPr>
          <w:b/>
          <w:szCs w:val="26"/>
          <w:vertAlign w:val="superscript"/>
        </w:rPr>
        <w:footnoteReference w:id="9"/>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03"/>
        <w:gridCol w:w="1080"/>
        <w:gridCol w:w="1260"/>
        <w:gridCol w:w="1709"/>
        <w:gridCol w:w="1312"/>
      </w:tblGrid>
      <w:tr w:rsidRPr="006A7412" w:rsidR="006A7412" w:rsidTr="00E56A6F" w14:paraId="3BC39699" w14:textId="77777777">
        <w:trPr>
          <w:cantSplit/>
        </w:trPr>
        <w:tc>
          <w:tcPr>
            <w:tcW w:w="5000" w:type="pct"/>
            <w:gridSpan w:val="7"/>
            <w:tcBorders>
              <w:bottom w:val="single" w:color="auto" w:sz="4" w:space="0"/>
            </w:tcBorders>
            <w:shd w:val="clear" w:color="auto" w:fill="D9D9D9"/>
          </w:tcPr>
          <w:p w:rsidRPr="006A7412" w:rsidR="006A7412" w:rsidP="006A7412" w:rsidRDefault="006A7412" w14:paraId="6CF9872C" w14:textId="77777777">
            <w:pPr>
              <w:jc w:val="center"/>
              <w:rPr>
                <w:rFonts w:eastAsia="Calibri"/>
                <w:b/>
                <w:sz w:val="24"/>
              </w:rPr>
            </w:pPr>
            <w:r w:rsidRPr="006A7412">
              <w:rPr>
                <w:rFonts w:eastAsia="Calibri"/>
                <w:b/>
                <w:sz w:val="24"/>
              </w:rPr>
              <w:t>FERC-549C: Standards for Business Practices of Interstate Natural Gas Pipelines</w:t>
            </w:r>
          </w:p>
        </w:tc>
      </w:tr>
      <w:tr w:rsidRPr="006A7412" w:rsidR="006A7412" w:rsidTr="00E56A6F" w14:paraId="324CAA3F" w14:textId="77777777">
        <w:trPr>
          <w:cantSplit/>
        </w:trPr>
        <w:tc>
          <w:tcPr>
            <w:tcW w:w="878" w:type="pct"/>
            <w:shd w:val="clear" w:color="auto" w:fill="D9D9D9"/>
          </w:tcPr>
          <w:p w:rsidRPr="006A7412" w:rsidR="006A7412" w:rsidP="006A7412" w:rsidRDefault="006A7412" w14:paraId="59754FE9" w14:textId="77777777">
            <w:pPr>
              <w:jc w:val="center"/>
              <w:rPr>
                <w:rFonts w:eastAsia="Calibri"/>
                <w:b/>
                <w:sz w:val="24"/>
              </w:rPr>
            </w:pPr>
          </w:p>
        </w:tc>
        <w:tc>
          <w:tcPr>
            <w:tcW w:w="746" w:type="pct"/>
            <w:shd w:val="clear" w:color="auto" w:fill="D9D9D9"/>
            <w:vAlign w:val="bottom"/>
          </w:tcPr>
          <w:p w:rsidRPr="006A7412" w:rsidR="006A7412" w:rsidP="006A7412" w:rsidRDefault="006A7412" w14:paraId="04877FCE" w14:textId="77777777">
            <w:pPr>
              <w:jc w:val="center"/>
              <w:rPr>
                <w:rFonts w:eastAsia="Calibri"/>
                <w:b/>
                <w:sz w:val="24"/>
              </w:rPr>
            </w:pPr>
            <w:r w:rsidRPr="006A7412">
              <w:rPr>
                <w:rFonts w:eastAsia="Calibri"/>
                <w:b/>
                <w:sz w:val="24"/>
              </w:rPr>
              <w:t>Number of Respondents</w:t>
            </w:r>
            <w:r w:rsidRPr="006A7412">
              <w:rPr>
                <w:rFonts w:eastAsia="Calibri"/>
                <w:b/>
                <w:sz w:val="24"/>
              </w:rPr>
              <w:br/>
              <w:t>(1)</w:t>
            </w:r>
          </w:p>
        </w:tc>
        <w:tc>
          <w:tcPr>
            <w:tcW w:w="700" w:type="pct"/>
            <w:shd w:val="clear" w:color="auto" w:fill="D9D9D9"/>
            <w:vAlign w:val="bottom"/>
          </w:tcPr>
          <w:p w:rsidRPr="006A7412" w:rsidR="006A7412" w:rsidP="006A7412" w:rsidRDefault="006A7412" w14:paraId="5D3EB35D" w14:textId="77777777">
            <w:pPr>
              <w:jc w:val="center"/>
              <w:rPr>
                <w:rFonts w:eastAsia="Calibri"/>
                <w:b/>
                <w:sz w:val="24"/>
              </w:rPr>
            </w:pPr>
            <w:r w:rsidRPr="006A7412">
              <w:rPr>
                <w:rFonts w:eastAsia="Calibri"/>
                <w:b/>
                <w:sz w:val="24"/>
              </w:rPr>
              <w:t>Average Number of Responses per Respondent</w:t>
            </w:r>
          </w:p>
          <w:p w:rsidRPr="006A7412" w:rsidR="006A7412" w:rsidP="006A7412" w:rsidRDefault="006A7412" w14:paraId="4973D319" w14:textId="77777777">
            <w:pPr>
              <w:jc w:val="center"/>
              <w:rPr>
                <w:rFonts w:eastAsia="Calibri"/>
                <w:b/>
                <w:sz w:val="24"/>
              </w:rPr>
            </w:pPr>
            <w:r w:rsidRPr="006A7412">
              <w:rPr>
                <w:rFonts w:eastAsia="Calibri"/>
                <w:b/>
                <w:sz w:val="24"/>
              </w:rPr>
              <w:t>(2)</w:t>
            </w:r>
          </w:p>
        </w:tc>
        <w:tc>
          <w:tcPr>
            <w:tcW w:w="539" w:type="pct"/>
            <w:shd w:val="clear" w:color="auto" w:fill="D9D9D9"/>
            <w:vAlign w:val="bottom"/>
          </w:tcPr>
          <w:p w:rsidRPr="006A7412" w:rsidR="006A7412" w:rsidP="006A7412" w:rsidRDefault="006A7412" w14:paraId="7B763787" w14:textId="77777777">
            <w:pPr>
              <w:jc w:val="center"/>
              <w:rPr>
                <w:rFonts w:eastAsia="Calibri"/>
                <w:b/>
                <w:sz w:val="24"/>
              </w:rPr>
            </w:pPr>
            <w:r w:rsidRPr="006A7412">
              <w:rPr>
                <w:rFonts w:eastAsia="Calibri"/>
                <w:b/>
                <w:sz w:val="24"/>
              </w:rPr>
              <w:t>Total Number of Responses (</w:t>
            </w:r>
            <w:proofErr w:type="gramStart"/>
            <w:r w:rsidRPr="006A7412">
              <w:rPr>
                <w:rFonts w:eastAsia="Calibri"/>
                <w:b/>
                <w:sz w:val="24"/>
              </w:rPr>
              <w:t>1)*</w:t>
            </w:r>
            <w:proofErr w:type="gramEnd"/>
            <w:r w:rsidRPr="006A7412">
              <w:rPr>
                <w:rFonts w:eastAsia="Calibri"/>
                <w:b/>
                <w:sz w:val="24"/>
              </w:rPr>
              <w:t>(2)=(3)</w:t>
            </w:r>
          </w:p>
        </w:tc>
        <w:tc>
          <w:tcPr>
            <w:tcW w:w="629" w:type="pct"/>
            <w:shd w:val="clear" w:color="auto" w:fill="D9D9D9"/>
            <w:vAlign w:val="bottom"/>
          </w:tcPr>
          <w:p w:rsidRPr="006A7412" w:rsidR="006A7412" w:rsidP="006A7412" w:rsidRDefault="006A7412" w14:paraId="013D20E5" w14:textId="77777777">
            <w:pPr>
              <w:jc w:val="center"/>
              <w:rPr>
                <w:rFonts w:eastAsia="Calibri"/>
                <w:b/>
                <w:sz w:val="24"/>
              </w:rPr>
            </w:pPr>
            <w:r w:rsidRPr="006A7412">
              <w:rPr>
                <w:rFonts w:eastAsia="Calibri"/>
                <w:b/>
                <w:sz w:val="24"/>
              </w:rPr>
              <w:t>Average Burden &amp; Cost Per Response</w:t>
            </w:r>
            <w:r w:rsidRPr="006A7412">
              <w:rPr>
                <w:rFonts w:eastAsia="Calibri"/>
                <w:b/>
                <w:sz w:val="24"/>
                <w:vertAlign w:val="superscript"/>
              </w:rPr>
              <w:footnoteReference w:id="10"/>
            </w:r>
          </w:p>
          <w:p w:rsidRPr="006A7412" w:rsidR="006A7412" w:rsidP="006A7412" w:rsidRDefault="006A7412" w14:paraId="2123A592" w14:textId="77777777">
            <w:pPr>
              <w:jc w:val="center"/>
              <w:rPr>
                <w:rFonts w:eastAsia="Calibri"/>
                <w:b/>
                <w:sz w:val="24"/>
              </w:rPr>
            </w:pPr>
            <w:r w:rsidRPr="006A7412">
              <w:rPr>
                <w:rFonts w:eastAsia="Calibri"/>
                <w:b/>
                <w:sz w:val="24"/>
              </w:rPr>
              <w:t>(4)</w:t>
            </w:r>
          </w:p>
        </w:tc>
        <w:tc>
          <w:tcPr>
            <w:tcW w:w="853" w:type="pct"/>
            <w:shd w:val="clear" w:color="auto" w:fill="D9D9D9"/>
            <w:vAlign w:val="bottom"/>
          </w:tcPr>
          <w:p w:rsidRPr="006A7412" w:rsidR="006A7412" w:rsidP="006A7412" w:rsidRDefault="006A7412" w14:paraId="6F93843D" w14:textId="77777777">
            <w:pPr>
              <w:jc w:val="center"/>
              <w:rPr>
                <w:rFonts w:eastAsia="Calibri"/>
                <w:b/>
                <w:sz w:val="24"/>
              </w:rPr>
            </w:pPr>
            <w:r w:rsidRPr="006A7412">
              <w:rPr>
                <w:rFonts w:eastAsia="Calibri"/>
                <w:b/>
                <w:sz w:val="24"/>
              </w:rPr>
              <w:t>Total Annual Burden Hours &amp; Total Annual Cost</w:t>
            </w:r>
          </w:p>
          <w:p w:rsidRPr="006A7412" w:rsidR="006A7412" w:rsidP="006A7412" w:rsidRDefault="006A7412" w14:paraId="09451854" w14:textId="77777777">
            <w:pPr>
              <w:jc w:val="center"/>
              <w:rPr>
                <w:rFonts w:eastAsia="Calibri"/>
                <w:b/>
                <w:sz w:val="24"/>
              </w:rPr>
            </w:pPr>
            <w:r w:rsidRPr="006A7412">
              <w:rPr>
                <w:rFonts w:eastAsia="Calibri"/>
                <w:b/>
                <w:sz w:val="24"/>
              </w:rPr>
              <w:t>(</w:t>
            </w:r>
            <w:proofErr w:type="gramStart"/>
            <w:r w:rsidRPr="006A7412">
              <w:rPr>
                <w:rFonts w:eastAsia="Calibri"/>
                <w:b/>
                <w:sz w:val="24"/>
              </w:rPr>
              <w:t>3)*</w:t>
            </w:r>
            <w:proofErr w:type="gramEnd"/>
            <w:r w:rsidRPr="006A7412">
              <w:rPr>
                <w:rFonts w:eastAsia="Calibri"/>
                <w:b/>
                <w:sz w:val="24"/>
              </w:rPr>
              <w:t>(4)=(5)</w:t>
            </w:r>
          </w:p>
        </w:tc>
        <w:tc>
          <w:tcPr>
            <w:tcW w:w="655" w:type="pct"/>
            <w:shd w:val="clear" w:color="auto" w:fill="D9D9D9"/>
            <w:vAlign w:val="bottom"/>
          </w:tcPr>
          <w:p w:rsidRPr="006A7412" w:rsidR="006A7412" w:rsidP="006A7412" w:rsidRDefault="006A7412" w14:paraId="3AC309A2" w14:textId="77777777">
            <w:pPr>
              <w:jc w:val="center"/>
              <w:rPr>
                <w:rFonts w:eastAsia="Calibri"/>
                <w:b/>
                <w:sz w:val="24"/>
              </w:rPr>
            </w:pPr>
            <w:r w:rsidRPr="006A7412">
              <w:rPr>
                <w:rFonts w:eastAsia="Calibri"/>
                <w:b/>
                <w:sz w:val="24"/>
              </w:rPr>
              <w:t>Cost per Respondent</w:t>
            </w:r>
          </w:p>
          <w:p w:rsidRPr="006A7412" w:rsidR="006A7412" w:rsidP="006A7412" w:rsidRDefault="006A7412" w14:paraId="675571C1" w14:textId="77777777">
            <w:pPr>
              <w:jc w:val="center"/>
              <w:rPr>
                <w:rFonts w:eastAsia="Calibri"/>
                <w:b/>
                <w:sz w:val="24"/>
              </w:rPr>
            </w:pPr>
            <w:r w:rsidRPr="006A7412">
              <w:rPr>
                <w:rFonts w:eastAsia="Calibri"/>
                <w:b/>
                <w:sz w:val="24"/>
              </w:rPr>
              <w:t xml:space="preserve"> ($)</w:t>
            </w:r>
          </w:p>
          <w:p w:rsidRPr="006A7412" w:rsidR="006A7412" w:rsidP="006A7412" w:rsidRDefault="006A7412" w14:paraId="53F9D426" w14:textId="77777777">
            <w:pPr>
              <w:jc w:val="center"/>
              <w:rPr>
                <w:rFonts w:eastAsia="Calibri"/>
                <w:b/>
                <w:sz w:val="24"/>
              </w:rPr>
            </w:pPr>
            <w:r w:rsidRPr="006A7412">
              <w:rPr>
                <w:rFonts w:eastAsia="Calibri"/>
                <w:b/>
                <w:sz w:val="24"/>
              </w:rPr>
              <w:t>(</w:t>
            </w:r>
            <w:proofErr w:type="gramStart"/>
            <w:r w:rsidRPr="006A7412">
              <w:rPr>
                <w:rFonts w:eastAsia="Calibri"/>
                <w:b/>
                <w:sz w:val="24"/>
              </w:rPr>
              <w:t>5)÷</w:t>
            </w:r>
            <w:proofErr w:type="gramEnd"/>
            <w:r w:rsidRPr="006A7412">
              <w:rPr>
                <w:rFonts w:eastAsia="Calibri"/>
                <w:b/>
                <w:sz w:val="24"/>
              </w:rPr>
              <w:t>(1)</w:t>
            </w:r>
          </w:p>
        </w:tc>
      </w:tr>
      <w:tr w:rsidRPr="006A7412" w:rsidR="006A7412" w:rsidTr="00E56A6F" w14:paraId="5C019BEE" w14:textId="77777777">
        <w:trPr>
          <w:cantSplit/>
        </w:trPr>
        <w:tc>
          <w:tcPr>
            <w:tcW w:w="878" w:type="pct"/>
          </w:tcPr>
          <w:p w:rsidRPr="006A7412" w:rsidR="006A7412" w:rsidP="006A7412" w:rsidRDefault="006A7412" w14:paraId="422BF0B4" w14:textId="77777777">
            <w:pPr>
              <w:rPr>
                <w:rFonts w:eastAsia="Calibri"/>
                <w:sz w:val="24"/>
              </w:rPr>
            </w:pPr>
            <w:r w:rsidRPr="006A7412">
              <w:rPr>
                <w:rFonts w:eastAsia="Calibri"/>
                <w:sz w:val="24"/>
              </w:rPr>
              <w:lastRenderedPageBreak/>
              <w:t>Burden from Final Rule RM96-1-42 (NAESB Version 3.2)</w:t>
            </w:r>
          </w:p>
        </w:tc>
        <w:tc>
          <w:tcPr>
            <w:tcW w:w="746" w:type="pct"/>
          </w:tcPr>
          <w:p w:rsidRPr="006A7412" w:rsidR="006A7412" w:rsidP="006A7412" w:rsidRDefault="006A7412" w14:paraId="2ABDFD9D" w14:textId="77777777">
            <w:pPr>
              <w:jc w:val="right"/>
              <w:rPr>
                <w:rFonts w:eastAsia="Calibri"/>
                <w:sz w:val="24"/>
              </w:rPr>
            </w:pPr>
            <w:r w:rsidRPr="006A7412">
              <w:rPr>
                <w:rFonts w:eastAsia="Calibri"/>
                <w:sz w:val="24"/>
              </w:rPr>
              <w:t>59.33</w:t>
            </w:r>
          </w:p>
          <w:p w:rsidRPr="006A7412" w:rsidR="006A7412" w:rsidP="006A7412" w:rsidRDefault="006A7412" w14:paraId="55B729CE" w14:textId="77777777">
            <w:pPr>
              <w:jc w:val="right"/>
              <w:rPr>
                <w:rFonts w:eastAsia="Calibri"/>
                <w:sz w:val="24"/>
              </w:rPr>
            </w:pPr>
          </w:p>
        </w:tc>
        <w:tc>
          <w:tcPr>
            <w:tcW w:w="700" w:type="pct"/>
          </w:tcPr>
          <w:p w:rsidRPr="006A7412" w:rsidR="006A7412" w:rsidP="006A7412" w:rsidRDefault="006A7412" w14:paraId="6ECB9F65" w14:textId="77777777">
            <w:pPr>
              <w:jc w:val="right"/>
              <w:rPr>
                <w:rFonts w:eastAsia="Calibri"/>
                <w:sz w:val="24"/>
              </w:rPr>
            </w:pPr>
            <w:r w:rsidRPr="006A7412">
              <w:rPr>
                <w:rFonts w:eastAsia="Calibri"/>
                <w:sz w:val="24"/>
              </w:rPr>
              <w:t>1</w:t>
            </w:r>
          </w:p>
        </w:tc>
        <w:tc>
          <w:tcPr>
            <w:tcW w:w="539" w:type="pct"/>
          </w:tcPr>
          <w:p w:rsidRPr="006A7412" w:rsidR="006A7412" w:rsidP="006A7412" w:rsidRDefault="006A7412" w14:paraId="14AEE48C" w14:textId="77777777">
            <w:pPr>
              <w:jc w:val="right"/>
              <w:rPr>
                <w:rFonts w:eastAsia="Calibri"/>
                <w:sz w:val="24"/>
              </w:rPr>
            </w:pPr>
            <w:r w:rsidRPr="006A7412">
              <w:rPr>
                <w:rFonts w:eastAsia="Calibri"/>
                <w:sz w:val="24"/>
              </w:rPr>
              <w:t>59.33</w:t>
            </w:r>
          </w:p>
        </w:tc>
        <w:tc>
          <w:tcPr>
            <w:tcW w:w="629" w:type="pct"/>
          </w:tcPr>
          <w:p w:rsidRPr="006A7412" w:rsidR="006A7412" w:rsidP="006A7412" w:rsidRDefault="006A7412" w14:paraId="14829645" w14:textId="77777777">
            <w:pPr>
              <w:jc w:val="right"/>
              <w:rPr>
                <w:rFonts w:eastAsia="Calibri"/>
                <w:sz w:val="24"/>
              </w:rPr>
            </w:pPr>
            <w:r w:rsidRPr="006A7412">
              <w:rPr>
                <w:rFonts w:eastAsia="Calibri"/>
                <w:sz w:val="24"/>
              </w:rPr>
              <w:t xml:space="preserve">100 </w:t>
            </w:r>
            <w:proofErr w:type="gramStart"/>
            <w:r w:rsidRPr="006A7412">
              <w:rPr>
                <w:rFonts w:eastAsia="Calibri"/>
                <w:sz w:val="24"/>
              </w:rPr>
              <w:t>hrs.;</w:t>
            </w:r>
            <w:proofErr w:type="gramEnd"/>
          </w:p>
          <w:p w:rsidRPr="006A7412" w:rsidR="006A7412" w:rsidP="006A7412" w:rsidRDefault="006A7412" w14:paraId="70CB8C83" w14:textId="77777777">
            <w:pPr>
              <w:jc w:val="right"/>
              <w:rPr>
                <w:rFonts w:eastAsia="Calibri"/>
                <w:sz w:val="24"/>
              </w:rPr>
            </w:pPr>
            <w:r w:rsidRPr="006A7412">
              <w:rPr>
                <w:rFonts w:eastAsia="Calibri"/>
                <w:sz w:val="24"/>
              </w:rPr>
              <w:t>$9,407</w:t>
            </w:r>
          </w:p>
        </w:tc>
        <w:tc>
          <w:tcPr>
            <w:tcW w:w="853" w:type="pct"/>
          </w:tcPr>
          <w:p w:rsidRPr="006A7412" w:rsidR="006A7412" w:rsidP="006A7412" w:rsidRDefault="006A7412" w14:paraId="4BDA6750" w14:textId="77777777">
            <w:pPr>
              <w:jc w:val="right"/>
              <w:rPr>
                <w:rFonts w:eastAsia="Calibri"/>
                <w:sz w:val="24"/>
              </w:rPr>
            </w:pPr>
            <w:r w:rsidRPr="006A7412">
              <w:rPr>
                <w:rFonts w:eastAsia="Calibri"/>
                <w:sz w:val="24"/>
              </w:rPr>
              <w:t xml:space="preserve"> 5,933.33 </w:t>
            </w:r>
            <w:proofErr w:type="gramStart"/>
            <w:r w:rsidRPr="006A7412">
              <w:rPr>
                <w:rFonts w:eastAsia="Calibri"/>
                <w:sz w:val="24"/>
              </w:rPr>
              <w:t>hrs.;</w:t>
            </w:r>
            <w:proofErr w:type="gramEnd"/>
          </w:p>
          <w:p w:rsidRPr="006A7412" w:rsidR="006A7412" w:rsidP="006A7412" w:rsidRDefault="006A7412" w14:paraId="14BA4D4B" w14:textId="77777777">
            <w:pPr>
              <w:jc w:val="right"/>
              <w:rPr>
                <w:rFonts w:eastAsia="Calibri"/>
                <w:sz w:val="24"/>
              </w:rPr>
            </w:pPr>
            <w:r w:rsidRPr="006A7412">
              <w:rPr>
                <w:rFonts w:eastAsia="Calibri"/>
                <w:sz w:val="24"/>
              </w:rPr>
              <w:t>$558,148.35</w:t>
            </w:r>
          </w:p>
        </w:tc>
        <w:tc>
          <w:tcPr>
            <w:tcW w:w="655" w:type="pct"/>
          </w:tcPr>
          <w:p w:rsidRPr="006A7412" w:rsidR="006A7412" w:rsidP="006A7412" w:rsidRDefault="006A7412" w14:paraId="4A33F8EF" w14:textId="77777777">
            <w:pPr>
              <w:jc w:val="right"/>
              <w:rPr>
                <w:rFonts w:eastAsia="Calibri"/>
                <w:sz w:val="24"/>
              </w:rPr>
            </w:pPr>
            <w:r w:rsidRPr="006A7412">
              <w:rPr>
                <w:rFonts w:eastAsia="Calibri"/>
                <w:sz w:val="24"/>
              </w:rPr>
              <w:t xml:space="preserve">$9,407 </w:t>
            </w:r>
          </w:p>
          <w:p w:rsidRPr="006A7412" w:rsidR="006A7412" w:rsidP="006A7412" w:rsidRDefault="006A7412" w14:paraId="46E1B5A0" w14:textId="77777777">
            <w:pPr>
              <w:jc w:val="right"/>
              <w:rPr>
                <w:rFonts w:eastAsia="Calibri"/>
                <w:sz w:val="24"/>
              </w:rPr>
            </w:pPr>
          </w:p>
        </w:tc>
      </w:tr>
      <w:tr w:rsidRPr="006A7412" w:rsidR="006A7412" w:rsidTr="00E56A6F" w14:paraId="44EA55A4" w14:textId="77777777">
        <w:trPr>
          <w:cantSplit/>
        </w:trPr>
        <w:tc>
          <w:tcPr>
            <w:tcW w:w="5000" w:type="pct"/>
            <w:gridSpan w:val="7"/>
            <w:tcBorders>
              <w:bottom w:val="single" w:color="auto" w:sz="4" w:space="0"/>
            </w:tcBorders>
            <w:shd w:val="clear" w:color="auto" w:fill="D9D9D9"/>
          </w:tcPr>
          <w:p w:rsidRPr="006A7412" w:rsidR="006A7412" w:rsidP="006A7412" w:rsidRDefault="006A7412" w14:paraId="44C7ED60" w14:textId="77777777">
            <w:pPr>
              <w:jc w:val="center"/>
              <w:rPr>
                <w:rFonts w:eastAsia="Calibri"/>
                <w:b/>
                <w:sz w:val="24"/>
              </w:rPr>
            </w:pPr>
          </w:p>
        </w:tc>
      </w:tr>
      <w:tr w:rsidRPr="006A7412" w:rsidR="006A7412" w:rsidTr="00E56A6F" w14:paraId="61161992" w14:textId="77777777">
        <w:trPr>
          <w:cantSplit/>
        </w:trPr>
        <w:tc>
          <w:tcPr>
            <w:tcW w:w="878" w:type="pct"/>
          </w:tcPr>
          <w:p w:rsidRPr="006A7412" w:rsidR="006A7412" w:rsidP="006A7412" w:rsidRDefault="006A7412" w14:paraId="6CE43F47" w14:textId="77777777">
            <w:pPr>
              <w:jc w:val="center"/>
              <w:rPr>
                <w:rFonts w:eastAsia="Calibri"/>
                <w:b/>
                <w:sz w:val="24"/>
              </w:rPr>
            </w:pPr>
            <w:r w:rsidRPr="006A7412">
              <w:rPr>
                <w:rFonts w:eastAsia="Calibri"/>
                <w:sz w:val="24"/>
              </w:rPr>
              <w:t>Standards for Business Practices of Interstate Natural Gas Pipelines</w:t>
            </w:r>
          </w:p>
        </w:tc>
        <w:tc>
          <w:tcPr>
            <w:tcW w:w="746" w:type="pct"/>
          </w:tcPr>
          <w:p w:rsidRPr="006A7412" w:rsidR="006A7412" w:rsidP="006A7412" w:rsidRDefault="006A7412" w14:paraId="0B5C8AAC" w14:textId="77777777">
            <w:pPr>
              <w:jc w:val="right"/>
              <w:rPr>
                <w:rFonts w:eastAsia="Calibri"/>
                <w:sz w:val="24"/>
              </w:rPr>
            </w:pPr>
            <w:r w:rsidRPr="006A7412">
              <w:rPr>
                <w:rFonts w:eastAsia="Calibri"/>
                <w:sz w:val="24"/>
              </w:rPr>
              <w:t>165</w:t>
            </w:r>
          </w:p>
          <w:p w:rsidRPr="006A7412" w:rsidR="006A7412" w:rsidP="006A7412" w:rsidRDefault="006A7412" w14:paraId="78408FF8" w14:textId="77777777">
            <w:pPr>
              <w:jc w:val="center"/>
              <w:rPr>
                <w:rFonts w:eastAsia="Calibri"/>
                <w:b/>
                <w:sz w:val="24"/>
              </w:rPr>
            </w:pPr>
          </w:p>
        </w:tc>
        <w:tc>
          <w:tcPr>
            <w:tcW w:w="700" w:type="pct"/>
          </w:tcPr>
          <w:p w:rsidRPr="006A7412" w:rsidR="006A7412" w:rsidP="006A7412" w:rsidRDefault="006A7412" w14:paraId="5FE012BB" w14:textId="77777777">
            <w:pPr>
              <w:jc w:val="right"/>
              <w:rPr>
                <w:rFonts w:eastAsia="Calibri"/>
                <w:b/>
                <w:sz w:val="24"/>
              </w:rPr>
            </w:pPr>
            <w:r w:rsidRPr="006A7412">
              <w:rPr>
                <w:rFonts w:eastAsia="Calibri"/>
                <w:sz w:val="24"/>
              </w:rPr>
              <w:t>2.96</w:t>
            </w:r>
          </w:p>
        </w:tc>
        <w:tc>
          <w:tcPr>
            <w:tcW w:w="539" w:type="pct"/>
          </w:tcPr>
          <w:p w:rsidRPr="006A7412" w:rsidR="006A7412" w:rsidP="006A7412" w:rsidRDefault="006A7412" w14:paraId="323B70AB" w14:textId="77777777">
            <w:pPr>
              <w:jc w:val="right"/>
              <w:rPr>
                <w:rFonts w:eastAsia="Calibri"/>
                <w:b/>
                <w:sz w:val="24"/>
              </w:rPr>
            </w:pPr>
            <w:r w:rsidRPr="006A7412">
              <w:rPr>
                <w:rFonts w:eastAsia="Calibri"/>
                <w:sz w:val="24"/>
              </w:rPr>
              <w:t>490</w:t>
            </w:r>
          </w:p>
        </w:tc>
        <w:tc>
          <w:tcPr>
            <w:tcW w:w="629" w:type="pct"/>
          </w:tcPr>
          <w:p w:rsidRPr="006A7412" w:rsidR="006A7412" w:rsidP="006A7412" w:rsidRDefault="006A7412" w14:paraId="2D5E16B4" w14:textId="77777777">
            <w:pPr>
              <w:jc w:val="right"/>
              <w:rPr>
                <w:rFonts w:eastAsia="Calibri"/>
                <w:sz w:val="24"/>
              </w:rPr>
            </w:pPr>
            <w:r w:rsidRPr="006A7412">
              <w:rPr>
                <w:rFonts w:eastAsia="Calibri"/>
                <w:sz w:val="24"/>
              </w:rPr>
              <w:t xml:space="preserve">96 </w:t>
            </w:r>
            <w:proofErr w:type="gramStart"/>
            <w:r w:rsidRPr="006A7412">
              <w:rPr>
                <w:rFonts w:eastAsia="Calibri"/>
                <w:sz w:val="24"/>
              </w:rPr>
              <w:t>hrs.;</w:t>
            </w:r>
            <w:proofErr w:type="gramEnd"/>
          </w:p>
          <w:p w:rsidRPr="006A7412" w:rsidR="006A7412" w:rsidP="006A7412" w:rsidRDefault="006A7412" w14:paraId="0D99D547" w14:textId="77777777">
            <w:pPr>
              <w:jc w:val="center"/>
              <w:rPr>
                <w:rFonts w:eastAsia="Calibri"/>
                <w:b/>
                <w:sz w:val="24"/>
              </w:rPr>
            </w:pPr>
            <w:r w:rsidRPr="006A7412">
              <w:rPr>
                <w:rFonts w:eastAsia="Calibri"/>
                <w:sz w:val="24"/>
              </w:rPr>
              <w:t>$9,030.72</w:t>
            </w:r>
          </w:p>
        </w:tc>
        <w:tc>
          <w:tcPr>
            <w:tcW w:w="853" w:type="pct"/>
          </w:tcPr>
          <w:p w:rsidRPr="006A7412" w:rsidR="006A7412" w:rsidP="006A7412" w:rsidRDefault="006A7412" w14:paraId="6197CF1F" w14:textId="77777777">
            <w:pPr>
              <w:jc w:val="right"/>
              <w:rPr>
                <w:rFonts w:eastAsia="Calibri"/>
                <w:sz w:val="24"/>
              </w:rPr>
            </w:pPr>
            <w:r w:rsidRPr="006A7412">
              <w:rPr>
                <w:rFonts w:eastAsia="Calibri"/>
                <w:sz w:val="24"/>
              </w:rPr>
              <w:t xml:space="preserve"> 47,040 </w:t>
            </w:r>
            <w:proofErr w:type="gramStart"/>
            <w:r w:rsidRPr="006A7412">
              <w:rPr>
                <w:rFonts w:eastAsia="Calibri"/>
                <w:sz w:val="24"/>
              </w:rPr>
              <w:t>hrs.;</w:t>
            </w:r>
            <w:proofErr w:type="gramEnd"/>
          </w:p>
          <w:p w:rsidRPr="006A7412" w:rsidR="006A7412" w:rsidP="006A7412" w:rsidRDefault="006A7412" w14:paraId="17F1B94C" w14:textId="77777777">
            <w:pPr>
              <w:jc w:val="center"/>
              <w:rPr>
                <w:rFonts w:eastAsia="Calibri"/>
                <w:b/>
                <w:sz w:val="24"/>
              </w:rPr>
            </w:pPr>
            <w:r w:rsidRPr="006A7412">
              <w:rPr>
                <w:rFonts w:eastAsia="Calibri"/>
                <w:sz w:val="24"/>
              </w:rPr>
              <w:t>$4,425,052.80</w:t>
            </w:r>
          </w:p>
        </w:tc>
        <w:tc>
          <w:tcPr>
            <w:tcW w:w="655" w:type="pct"/>
          </w:tcPr>
          <w:p w:rsidRPr="006A7412" w:rsidR="006A7412" w:rsidP="006A7412" w:rsidRDefault="006A7412" w14:paraId="2F5E54B4" w14:textId="77777777">
            <w:pPr>
              <w:jc w:val="right"/>
              <w:rPr>
                <w:rFonts w:eastAsia="Calibri"/>
                <w:sz w:val="24"/>
              </w:rPr>
            </w:pPr>
            <w:r w:rsidRPr="006A7412">
              <w:rPr>
                <w:rFonts w:eastAsia="Calibri"/>
                <w:sz w:val="24"/>
              </w:rPr>
              <w:t xml:space="preserve">$26,818.50 </w:t>
            </w:r>
          </w:p>
          <w:p w:rsidRPr="006A7412" w:rsidR="006A7412" w:rsidP="006A7412" w:rsidRDefault="006A7412" w14:paraId="50E44ACA" w14:textId="77777777">
            <w:pPr>
              <w:jc w:val="center"/>
              <w:rPr>
                <w:rFonts w:eastAsia="Calibri"/>
                <w:b/>
                <w:sz w:val="24"/>
              </w:rPr>
            </w:pPr>
          </w:p>
        </w:tc>
      </w:tr>
      <w:tr w:rsidRPr="006A7412" w:rsidR="006A7412" w:rsidTr="006A7412" w14:paraId="55D45C04" w14:textId="77777777">
        <w:trPr>
          <w:cantSplit/>
          <w:trHeight w:val="440"/>
        </w:trPr>
        <w:tc>
          <w:tcPr>
            <w:tcW w:w="878" w:type="pct"/>
          </w:tcPr>
          <w:p w:rsidRPr="006A7412" w:rsidR="006A7412" w:rsidP="006A7412" w:rsidRDefault="006A7412" w14:paraId="27DFEF5A" w14:textId="77777777">
            <w:pPr>
              <w:rPr>
                <w:rFonts w:eastAsia="Calibri"/>
                <w:b/>
                <w:bCs/>
                <w:sz w:val="24"/>
              </w:rPr>
            </w:pPr>
            <w:r w:rsidRPr="006A7412">
              <w:rPr>
                <w:rFonts w:eastAsia="Calibri"/>
                <w:b/>
                <w:bCs/>
                <w:sz w:val="24"/>
              </w:rPr>
              <w:t>Total for FERC-549C</w:t>
            </w:r>
          </w:p>
        </w:tc>
        <w:tc>
          <w:tcPr>
            <w:tcW w:w="746" w:type="pct"/>
            <w:shd w:val="clear" w:color="auto" w:fill="D9D9D9"/>
          </w:tcPr>
          <w:p w:rsidRPr="006A7412" w:rsidR="006A7412" w:rsidP="006A7412" w:rsidRDefault="006A7412" w14:paraId="54EE0618" w14:textId="77777777">
            <w:pPr>
              <w:jc w:val="right"/>
              <w:rPr>
                <w:rFonts w:eastAsia="Calibri"/>
                <w:sz w:val="24"/>
              </w:rPr>
            </w:pPr>
          </w:p>
        </w:tc>
        <w:tc>
          <w:tcPr>
            <w:tcW w:w="700" w:type="pct"/>
            <w:shd w:val="clear" w:color="auto" w:fill="D9D9D9"/>
          </w:tcPr>
          <w:p w:rsidRPr="006A7412" w:rsidR="006A7412" w:rsidP="006A7412" w:rsidRDefault="006A7412" w14:paraId="4A6C9B9D" w14:textId="77777777">
            <w:pPr>
              <w:jc w:val="right"/>
              <w:rPr>
                <w:rFonts w:eastAsia="Calibri"/>
                <w:sz w:val="24"/>
              </w:rPr>
            </w:pPr>
          </w:p>
        </w:tc>
        <w:tc>
          <w:tcPr>
            <w:tcW w:w="539" w:type="pct"/>
          </w:tcPr>
          <w:p w:rsidRPr="006A7412" w:rsidR="006A7412" w:rsidP="006A7412" w:rsidRDefault="006A7412" w14:paraId="439AA828" w14:textId="77777777">
            <w:pPr>
              <w:jc w:val="right"/>
              <w:rPr>
                <w:rFonts w:eastAsia="Calibri"/>
                <w:sz w:val="24"/>
              </w:rPr>
            </w:pPr>
            <w:r w:rsidRPr="006A7412">
              <w:rPr>
                <w:rFonts w:eastAsia="Calibri"/>
                <w:sz w:val="24"/>
              </w:rPr>
              <w:t>549.33</w:t>
            </w:r>
          </w:p>
        </w:tc>
        <w:tc>
          <w:tcPr>
            <w:tcW w:w="629" w:type="pct"/>
            <w:shd w:val="clear" w:color="auto" w:fill="D9D9D9"/>
          </w:tcPr>
          <w:p w:rsidRPr="006A7412" w:rsidR="006A7412" w:rsidP="006A7412" w:rsidRDefault="006A7412" w14:paraId="1F31E35F" w14:textId="77777777">
            <w:pPr>
              <w:jc w:val="right"/>
              <w:rPr>
                <w:rFonts w:eastAsia="Calibri"/>
                <w:sz w:val="24"/>
              </w:rPr>
            </w:pPr>
          </w:p>
        </w:tc>
        <w:tc>
          <w:tcPr>
            <w:tcW w:w="853" w:type="pct"/>
          </w:tcPr>
          <w:p w:rsidRPr="006A7412" w:rsidR="006A7412" w:rsidP="006A7412" w:rsidRDefault="006A7412" w14:paraId="57EC6902" w14:textId="77777777">
            <w:pPr>
              <w:jc w:val="right"/>
              <w:rPr>
                <w:rFonts w:eastAsia="Calibri"/>
                <w:sz w:val="24"/>
              </w:rPr>
            </w:pPr>
            <w:r w:rsidRPr="006A7412">
              <w:rPr>
                <w:rFonts w:eastAsia="Calibri"/>
                <w:sz w:val="24"/>
              </w:rPr>
              <w:t>52,973.33 hrs.; $4,983,201.15</w:t>
            </w:r>
          </w:p>
          <w:p w:rsidRPr="006A7412" w:rsidR="006A7412" w:rsidP="006A7412" w:rsidRDefault="006A7412" w14:paraId="23856618" w14:textId="77777777">
            <w:pPr>
              <w:jc w:val="right"/>
              <w:rPr>
                <w:rFonts w:eastAsia="Calibri"/>
                <w:sz w:val="24"/>
              </w:rPr>
            </w:pPr>
          </w:p>
        </w:tc>
        <w:tc>
          <w:tcPr>
            <w:tcW w:w="655" w:type="pct"/>
            <w:shd w:val="clear" w:color="auto" w:fill="D9D9D9"/>
          </w:tcPr>
          <w:p w:rsidRPr="006A7412" w:rsidR="006A7412" w:rsidP="006A7412" w:rsidRDefault="006A7412" w14:paraId="4FAA5D91" w14:textId="77777777">
            <w:pPr>
              <w:jc w:val="right"/>
              <w:rPr>
                <w:rFonts w:eastAsia="Calibri"/>
                <w:sz w:val="24"/>
              </w:rPr>
            </w:pPr>
          </w:p>
        </w:tc>
      </w:tr>
    </w:tbl>
    <w:p w:rsidR="00AD0C5B" w:rsidP="002906E5" w:rsidRDefault="00AD0C5B" w14:paraId="467C7D66" w14:textId="77777777">
      <w:pPr>
        <w:autoSpaceDE w:val="0"/>
        <w:autoSpaceDN w:val="0"/>
        <w:adjustRightInd w:val="0"/>
        <w:spacing w:line="480" w:lineRule="auto"/>
        <w:rPr>
          <w:i/>
        </w:rPr>
      </w:pPr>
    </w:p>
    <w:p w:rsidR="00881405" w:rsidP="002906E5" w:rsidRDefault="00AE1F12" w14:paraId="40735770" w14:textId="129DB02E">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C6DC6" w14:textId="77777777" w:rsidR="00FA7D68" w:rsidRDefault="00FA7D68" w:rsidP="00B01B16">
      <w:r>
        <w:separator/>
      </w:r>
    </w:p>
  </w:endnote>
  <w:endnote w:type="continuationSeparator" w:id="0">
    <w:p w14:paraId="25DA5518" w14:textId="77777777" w:rsidR="00FA7D68" w:rsidRDefault="00FA7D68" w:rsidP="00B01B16">
      <w:r>
        <w:continuationSeparator/>
      </w:r>
    </w:p>
  </w:endnote>
  <w:endnote w:type="continuationNotice" w:id="1">
    <w:p w14:paraId="30BA7A39" w14:textId="77777777" w:rsidR="00FA7D68" w:rsidRDefault="00FA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7F16A" w14:textId="77777777" w:rsidR="00FA7D68" w:rsidRDefault="00FA7D68" w:rsidP="00B01B16">
      <w:r>
        <w:separator/>
      </w:r>
    </w:p>
  </w:footnote>
  <w:footnote w:type="continuationSeparator" w:id="0">
    <w:p w14:paraId="7AD35E42" w14:textId="77777777" w:rsidR="00FA7D68" w:rsidRDefault="00FA7D68" w:rsidP="00B01B16">
      <w:r>
        <w:continuationSeparator/>
      </w:r>
    </w:p>
  </w:footnote>
  <w:footnote w:type="continuationNotice" w:id="1">
    <w:p w14:paraId="751BE987" w14:textId="77777777" w:rsidR="00FA7D68" w:rsidRDefault="00FA7D68"/>
  </w:footnote>
  <w:footnote w:id="2">
    <w:p w14:paraId="474F4A0E" w14:textId="68368C50" w:rsidR="00AD0C5B" w:rsidRPr="00385FC5" w:rsidRDefault="00AD0C5B" w:rsidP="00676B23">
      <w:pPr>
        <w:pStyle w:val="FootnoteText"/>
        <w:ind w:firstLine="720"/>
        <w:rPr>
          <w:sz w:val="26"/>
        </w:rPr>
      </w:pPr>
      <w:r w:rsidRPr="00385FC5">
        <w:rPr>
          <w:rStyle w:val="FootnoteReference"/>
        </w:rPr>
        <w:footnoteRef/>
      </w:r>
      <w:r w:rsidRPr="00385FC5">
        <w:rPr>
          <w:sz w:val="26"/>
        </w:rPr>
        <w:t xml:space="preserve"> 15 U.S.C. 717c-717w</w:t>
      </w:r>
    </w:p>
  </w:footnote>
  <w:footnote w:id="3">
    <w:p w14:paraId="6402FE8D" w14:textId="0FB1D12D" w:rsidR="00AD0C5B" w:rsidRPr="00385FC5" w:rsidRDefault="00AD0C5B" w:rsidP="00676B23">
      <w:pPr>
        <w:pStyle w:val="FootnoteText"/>
        <w:ind w:firstLine="720"/>
        <w:rPr>
          <w:sz w:val="26"/>
        </w:rPr>
      </w:pPr>
      <w:r w:rsidRPr="00385FC5">
        <w:rPr>
          <w:rStyle w:val="FootnoteReference"/>
        </w:rPr>
        <w:footnoteRef/>
      </w:r>
      <w:r w:rsidRPr="00385FC5">
        <w:rPr>
          <w:sz w:val="26"/>
        </w:rPr>
        <w:t xml:space="preserve"> 15 U.S.C. 3301-3432</w:t>
      </w:r>
    </w:p>
  </w:footnote>
  <w:footnote w:id="4">
    <w:p w14:paraId="61EC6600" w14:textId="77777777" w:rsidR="00AD0C5B" w:rsidRPr="00385FC5" w:rsidRDefault="00AD0C5B" w:rsidP="00676B23">
      <w:pPr>
        <w:pStyle w:val="FootnoteText"/>
        <w:ind w:firstLine="720"/>
        <w:rPr>
          <w:sz w:val="26"/>
        </w:rPr>
      </w:pPr>
      <w:r w:rsidRPr="00385FC5">
        <w:rPr>
          <w:rStyle w:val="FootnoteReference"/>
        </w:rPr>
        <w:footnoteRef/>
      </w:r>
      <w:r w:rsidRPr="00385FC5">
        <w:rPr>
          <w:sz w:val="26"/>
        </w:rPr>
        <w:t xml:space="preserve"> This series of orders began with the Commission’s issuance of </w:t>
      </w:r>
      <w:r w:rsidRPr="00385FC5">
        <w:rPr>
          <w:i/>
          <w:sz w:val="26"/>
        </w:rPr>
        <w:t>Standards for Business Practices of Interstate Natural Gas Pipelines</w:t>
      </w:r>
      <w:r w:rsidRPr="00385FC5">
        <w:rPr>
          <w:sz w:val="26"/>
        </w:rPr>
        <w:t>, Order No. 587, FERC Stats. &amp; Regs. ¶ 31,038 (1996).</w:t>
      </w:r>
    </w:p>
  </w:footnote>
  <w:footnote w:id="5">
    <w:p w14:paraId="4511F4BA" w14:textId="77777777" w:rsidR="00AD0C5B" w:rsidRDefault="00AD0C5B" w:rsidP="00676B23">
      <w:pPr>
        <w:pStyle w:val="FootnoteText"/>
        <w:ind w:firstLine="720"/>
      </w:pPr>
      <w:r w:rsidRPr="00385FC5">
        <w:rPr>
          <w:rStyle w:val="FootnoteReference"/>
        </w:rPr>
        <w:footnoteRef/>
      </w:r>
      <w:r w:rsidRPr="00385FC5">
        <w:rPr>
          <w:sz w:val="26"/>
        </w:rPr>
        <w:t xml:space="preserve"> An accredited standards organization under the auspices of the American National Standards Institute (ANSI).</w:t>
      </w:r>
    </w:p>
  </w:footnote>
  <w:footnote w:id="6">
    <w:p w14:paraId="0CC574E1" w14:textId="6FFA4FDD" w:rsidR="00AD0C5B" w:rsidRPr="00073790" w:rsidRDefault="00AD0C5B" w:rsidP="00676B23">
      <w:pPr>
        <w:pStyle w:val="FootnoteText"/>
        <w:ind w:firstLine="720"/>
        <w:rPr>
          <w:sz w:val="26"/>
          <w:szCs w:val="26"/>
        </w:rPr>
      </w:pPr>
      <w:r w:rsidRPr="00073790">
        <w:rPr>
          <w:rStyle w:val="FootnoteReference"/>
        </w:rPr>
        <w:footnoteRef/>
      </w:r>
      <w:r w:rsidRPr="00073790">
        <w:rPr>
          <w:sz w:val="26"/>
          <w:szCs w:val="26"/>
        </w:rPr>
        <w:t xml:space="preserve"> Sandia is a multidisciplinary national laboratory and federally funded research and development center for the U.S. Department of Energy’s (DOE) National Nuclear Security Administration that supports numerous federal, state, and local government agencies, companies, and organizations.</w:t>
      </w:r>
    </w:p>
  </w:footnote>
  <w:footnote w:id="7">
    <w:p w14:paraId="0E219DAE" w14:textId="77777777" w:rsidR="00AD0C5B" w:rsidRPr="00073790" w:rsidRDefault="00AD0C5B" w:rsidP="00676B23">
      <w:pPr>
        <w:pStyle w:val="FootnoteText"/>
        <w:ind w:firstLine="720"/>
        <w:rPr>
          <w:sz w:val="26"/>
          <w:szCs w:val="26"/>
          <w:lang w:bidi="en-US"/>
        </w:rPr>
      </w:pPr>
      <w:r w:rsidRPr="00073790">
        <w:rPr>
          <w:rStyle w:val="FootnoteReference"/>
        </w:rPr>
        <w:footnoteRef/>
      </w:r>
      <w:r w:rsidRPr="00073790">
        <w:rPr>
          <w:sz w:val="26"/>
          <w:szCs w:val="26"/>
        </w:rPr>
        <w:t xml:space="preserve"> </w:t>
      </w:r>
      <w:r w:rsidRPr="00073790">
        <w:rPr>
          <w:sz w:val="26"/>
          <w:szCs w:val="26"/>
          <w:lang w:bidi="en-US"/>
        </w:rPr>
        <w:t>In April 2017, NAESB announced that Sandia, through funding provided by DOE, would be performing a surety assessment of the NAESB standards.  As determined by Sandia and DOE, the purpose of the surety assessment was to analyze cybersecurity elements within the standards, focusing on four areas: (1) the NAESB Certification Program for Accredited Certification Authorities, including the Wholesale Electric Quadrant (WEQ)-012 Public Key Infrastructure Business Practice Standards, the NAESB Accreditation Requirements for Authorized Certificate Authorities, and the Authorized Certification Authority Process; (2) the WEQ Open Access Same-Time Information Systems suite of standards; (3) the WGQ and Retail Markets Quadrant Internet Electronic Transport (IET) and Quadrant Electronic Delivery Mechanism (EDM) Related Standards Manual; and (4) a high-level dependency analysis between the gas and electric markets to evaluate the different security paradigms the markets employ.</w:t>
      </w:r>
    </w:p>
  </w:footnote>
  <w:footnote w:id="8">
    <w:p w14:paraId="45086EF5" w14:textId="26F2927D" w:rsidR="00AD0C5B" w:rsidRPr="00073790" w:rsidRDefault="00AD0C5B" w:rsidP="00676B23">
      <w:pPr>
        <w:pStyle w:val="FootnoteText"/>
        <w:ind w:firstLine="720"/>
        <w:rPr>
          <w:sz w:val="26"/>
          <w:szCs w:val="26"/>
        </w:rPr>
      </w:pPr>
      <w:r w:rsidRPr="00073790">
        <w:rPr>
          <w:rStyle w:val="FootnoteReference"/>
        </w:rPr>
        <w:footnoteRef/>
      </w:r>
      <w:r w:rsidRPr="00073790">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9">
    <w:p w14:paraId="57D41E1E" w14:textId="77777777" w:rsidR="006A7412" w:rsidRPr="00073790" w:rsidRDefault="006A7412" w:rsidP="00676B23">
      <w:pPr>
        <w:pStyle w:val="FootnoteText"/>
        <w:ind w:firstLine="720"/>
        <w:rPr>
          <w:sz w:val="26"/>
          <w:szCs w:val="26"/>
        </w:rPr>
      </w:pPr>
      <w:r w:rsidRPr="00073790">
        <w:rPr>
          <w:rStyle w:val="FootnoteReference"/>
        </w:rPr>
        <w:footnoteRef/>
      </w:r>
      <w:r w:rsidRPr="00073790">
        <w:rPr>
          <w:sz w:val="26"/>
          <w:szCs w:val="26"/>
        </w:rPr>
        <w:t xml:space="preserve"> Commission staff estimates that the industry’s skill set and cost (for wages and benefits) for FERC-549C are approximately the same as the Commission’s average cost.  </w:t>
      </w:r>
      <w:bookmarkStart w:id="10" w:name="_Hlk84516404"/>
      <w:r w:rsidRPr="00073790">
        <w:rPr>
          <w:sz w:val="26"/>
          <w:szCs w:val="26"/>
        </w:rPr>
        <w:t>The FERC 2021 average salary plus benefits for one FERC full-time equivalent (FTE) is $180,703/year (or $87.00/hour)</w:t>
      </w:r>
      <w:r>
        <w:rPr>
          <w:sz w:val="26"/>
          <w:szCs w:val="26"/>
        </w:rPr>
        <w:t xml:space="preserve"> </w:t>
      </w:r>
      <w:r w:rsidRPr="00AA1630">
        <w:rPr>
          <w:sz w:val="26"/>
          <w:szCs w:val="26"/>
        </w:rPr>
        <w:t xml:space="preserve">posted by the Bureau of Labor Statistics for the Utilities sector (available at </w:t>
      </w:r>
      <w:hyperlink r:id="rId1" w:history="1">
        <w:r w:rsidRPr="00AA1630">
          <w:rPr>
            <w:rStyle w:val="Hyperlink"/>
            <w:sz w:val="26"/>
            <w:szCs w:val="26"/>
          </w:rPr>
          <w:t>https://www.bls.gov/oes/current/naics3_221000.htm</w:t>
        </w:r>
      </w:hyperlink>
      <w:r w:rsidRPr="00AA1630">
        <w:rPr>
          <w:sz w:val="26"/>
          <w:szCs w:val="26"/>
        </w:rPr>
        <w:t>)</w:t>
      </w:r>
      <w:bookmarkEnd w:id="10"/>
    </w:p>
  </w:footnote>
  <w:footnote w:id="10">
    <w:p w14:paraId="4EDAE536" w14:textId="77777777" w:rsidR="006A7412" w:rsidRPr="002D35D1" w:rsidRDefault="006A7412" w:rsidP="00676B23">
      <w:pPr>
        <w:pStyle w:val="FootnoteText"/>
        <w:ind w:firstLine="720"/>
        <w:rPr>
          <w:sz w:val="24"/>
          <w:szCs w:val="24"/>
        </w:rPr>
      </w:pPr>
      <w:r w:rsidRPr="002D35D1">
        <w:rPr>
          <w:rStyle w:val="FootnoteReference"/>
          <w:sz w:val="24"/>
          <w:szCs w:val="24"/>
        </w:rPr>
        <w:footnoteRef/>
      </w:r>
      <w:r w:rsidRPr="002D35D1">
        <w:rPr>
          <w:sz w:val="24"/>
          <w:szCs w:val="24"/>
        </w:rPr>
        <w:t xml:space="preserve"> The estimated hourly cost (salary plus benefits) provided in this section is based on the salary figures for May 2021 posted by the Bureau of Labor Statistics for the Utilities sector (available at </w:t>
      </w:r>
      <w:hyperlink r:id="rId2" w:history="1">
        <w:r w:rsidRPr="002D35D1">
          <w:rPr>
            <w:color w:val="0000FF"/>
            <w:sz w:val="24"/>
            <w:szCs w:val="24"/>
            <w:u w:val="single"/>
          </w:rPr>
          <w:t>http://www.bls.gov/oes/current/naics2_22.htm#13-0000</w:t>
        </w:r>
      </w:hyperlink>
      <w:r w:rsidRPr="002D35D1">
        <w:rPr>
          <w:sz w:val="24"/>
          <w:szCs w:val="24"/>
        </w:rPr>
        <w:t xml:space="preserve">) and scaled to reflect benefits using the relative importance of employer costs in employee compensation from June 2021 (available at </w:t>
      </w:r>
      <w:hyperlink r:id="rId3" w:history="1">
        <w:r w:rsidRPr="002D35D1">
          <w:rPr>
            <w:color w:val="0000FF"/>
            <w:sz w:val="24"/>
            <w:szCs w:val="24"/>
            <w:u w:val="single"/>
          </w:rPr>
          <w:t>https://www.bls.gov/oes/current/naics2_22.htm</w:t>
        </w:r>
      </w:hyperlink>
      <w:r w:rsidRPr="002D35D1">
        <w:rPr>
          <w:sz w:val="24"/>
          <w:szCs w:val="24"/>
        </w:rPr>
        <w:t xml:space="preserve">).  The hourly estimates for salary plus benefits are: </w:t>
      </w:r>
    </w:p>
    <w:p w14:paraId="3E9827B4" w14:textId="77777777" w:rsidR="006A7412" w:rsidRPr="002D35D1" w:rsidRDefault="006A7412" w:rsidP="006A7412">
      <w:pPr>
        <w:pStyle w:val="FootnoteText"/>
        <w:rPr>
          <w:rFonts w:eastAsia="Calibri"/>
          <w:sz w:val="24"/>
          <w:szCs w:val="24"/>
        </w:rPr>
      </w:pPr>
      <w:r w:rsidRPr="002D35D1">
        <w:rPr>
          <w:rFonts w:eastAsia="Calibri"/>
          <w:sz w:val="24"/>
          <w:szCs w:val="24"/>
        </w:rPr>
        <w:tab/>
        <w:t>Petroleum Engineer (Occupation Code: 17-2171), $74.20</w:t>
      </w:r>
      <w:r w:rsidRPr="002D35D1">
        <w:rPr>
          <w:rFonts w:eastAsia="Calibri"/>
          <w:sz w:val="24"/>
          <w:szCs w:val="24"/>
        </w:rPr>
        <w:tab/>
      </w:r>
    </w:p>
    <w:p w14:paraId="6E37EB1F" w14:textId="77777777" w:rsidR="006A7412" w:rsidRPr="002D35D1" w:rsidRDefault="006A7412" w:rsidP="006A7412">
      <w:pPr>
        <w:pStyle w:val="FootnoteText"/>
        <w:rPr>
          <w:rFonts w:eastAsia="Calibri"/>
          <w:sz w:val="24"/>
          <w:szCs w:val="24"/>
        </w:rPr>
      </w:pPr>
      <w:r w:rsidRPr="002D35D1">
        <w:rPr>
          <w:rFonts w:eastAsia="Calibri"/>
          <w:sz w:val="24"/>
          <w:szCs w:val="24"/>
        </w:rPr>
        <w:tab/>
        <w:t>Computer Systems Analysts (Occupation Code: 15-1120), $67.99</w:t>
      </w:r>
    </w:p>
    <w:p w14:paraId="7243F015" w14:textId="77777777" w:rsidR="006A7412" w:rsidRPr="002D35D1" w:rsidRDefault="006A7412" w:rsidP="006A7412">
      <w:pPr>
        <w:pStyle w:val="FootnoteText"/>
        <w:rPr>
          <w:rFonts w:eastAsia="Calibri"/>
          <w:sz w:val="24"/>
          <w:szCs w:val="24"/>
        </w:rPr>
      </w:pPr>
      <w:r w:rsidRPr="002D35D1">
        <w:rPr>
          <w:rFonts w:eastAsia="Calibri"/>
          <w:sz w:val="24"/>
          <w:szCs w:val="24"/>
        </w:rPr>
        <w:tab/>
        <w:t>Legal (Occupation Code: 23-0000), $142.25</w:t>
      </w:r>
    </w:p>
    <w:p w14:paraId="335E3E28" w14:textId="77777777" w:rsidR="006A7412" w:rsidRPr="002D35D1" w:rsidRDefault="006A7412" w:rsidP="006A7412">
      <w:pPr>
        <w:pStyle w:val="FootnoteText"/>
        <w:rPr>
          <w:rFonts w:eastAsia="Calibri"/>
          <w:sz w:val="24"/>
          <w:szCs w:val="24"/>
        </w:rPr>
      </w:pPr>
      <w:r w:rsidRPr="002D35D1">
        <w:rPr>
          <w:rFonts w:eastAsia="Calibri"/>
          <w:sz w:val="24"/>
          <w:szCs w:val="24"/>
        </w:rPr>
        <w:tab/>
        <w:t>Economist (Occupation Code: 19-3011), $75.75</w:t>
      </w:r>
    </w:p>
    <w:p w14:paraId="418346FE" w14:textId="77777777" w:rsidR="006A7412" w:rsidRPr="002D35D1" w:rsidRDefault="006A7412" w:rsidP="006A7412">
      <w:pPr>
        <w:autoSpaceDE w:val="0"/>
        <w:autoSpaceDN w:val="0"/>
        <w:adjustRightInd w:val="0"/>
        <w:rPr>
          <w:sz w:val="24"/>
        </w:rPr>
      </w:pPr>
      <w:r w:rsidRPr="002D35D1">
        <w:rPr>
          <w:sz w:val="24"/>
        </w:rPr>
        <w:t xml:space="preserve">The average hourly cost (salary plus benefits) is calculated weighting each of the </w:t>
      </w:r>
      <w:proofErr w:type="gramStart"/>
      <w:r w:rsidRPr="002D35D1">
        <w:rPr>
          <w:sz w:val="24"/>
        </w:rPr>
        <w:t>aforementioned wage</w:t>
      </w:r>
      <w:proofErr w:type="gramEnd"/>
      <w:r w:rsidRPr="002D35D1">
        <w:rPr>
          <w:sz w:val="24"/>
        </w:rPr>
        <w:t xml:space="preserve"> categories as follows: $74.20 (0.3) + $142.25 (0.3) + $67.99 (0.15) + $75.75 (0.25) = $94.07. </w:t>
      </w:r>
    </w:p>
    <w:p w14:paraId="64475C88" w14:textId="77777777" w:rsidR="006A7412" w:rsidRPr="002720D7" w:rsidRDefault="006A7412" w:rsidP="006A7412">
      <w:pPr>
        <w:autoSpaceDE w:val="0"/>
        <w:autoSpaceDN w:val="0"/>
        <w:adjustRightInd w:val="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4E9391BE" w:rsidR="00C80D25" w:rsidRDefault="00C80D25">
        <w:pPr>
          <w:pStyle w:val="Header"/>
        </w:pPr>
        <w:r w:rsidRPr="00D954AE">
          <w:t>Docket No. IC2</w:t>
        </w:r>
        <w:r w:rsidR="00192D77">
          <w:t>2</w:t>
        </w:r>
        <w:r w:rsidRPr="00D954AE">
          <w:t>-2-000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ED7"/>
    <w:multiLevelType w:val="hybridMultilevel"/>
    <w:tmpl w:val="C150CD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8"/>
  </w:num>
  <w:num w:numId="6">
    <w:abstractNumId w:val="2"/>
  </w:num>
  <w:num w:numId="7">
    <w:abstractNumId w:val="13"/>
  </w:num>
  <w:num w:numId="8">
    <w:abstractNumId w:val="1"/>
  </w:num>
  <w:num w:numId="9">
    <w:abstractNumId w:val="11"/>
  </w:num>
  <w:num w:numId="10">
    <w:abstractNumId w:val="17"/>
  </w:num>
  <w:num w:numId="11">
    <w:abstractNumId w:val="3"/>
  </w:num>
  <w:num w:numId="12">
    <w:abstractNumId w:val="15"/>
  </w:num>
  <w:num w:numId="13">
    <w:abstractNumId w:val="0"/>
  </w:num>
  <w:num w:numId="14">
    <w:abstractNumId w:val="16"/>
  </w:num>
  <w:num w:numId="15">
    <w:abstractNumId w:val="10"/>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22B1"/>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7823"/>
    <w:rsid w:val="0015047F"/>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92D77"/>
    <w:rsid w:val="0019402A"/>
    <w:rsid w:val="00197435"/>
    <w:rsid w:val="001974A9"/>
    <w:rsid w:val="001A2DAA"/>
    <w:rsid w:val="001A6645"/>
    <w:rsid w:val="001A6AD6"/>
    <w:rsid w:val="001B0BD2"/>
    <w:rsid w:val="001B78B8"/>
    <w:rsid w:val="001C543C"/>
    <w:rsid w:val="001C7064"/>
    <w:rsid w:val="001D578A"/>
    <w:rsid w:val="001E3237"/>
    <w:rsid w:val="001F1CDF"/>
    <w:rsid w:val="00202E41"/>
    <w:rsid w:val="00207AE7"/>
    <w:rsid w:val="00211105"/>
    <w:rsid w:val="002131D0"/>
    <w:rsid w:val="00213696"/>
    <w:rsid w:val="00224BF8"/>
    <w:rsid w:val="00224DD2"/>
    <w:rsid w:val="00237AB9"/>
    <w:rsid w:val="00237B93"/>
    <w:rsid w:val="0024271E"/>
    <w:rsid w:val="0024309C"/>
    <w:rsid w:val="00253F98"/>
    <w:rsid w:val="00257CC2"/>
    <w:rsid w:val="00260B3D"/>
    <w:rsid w:val="00262096"/>
    <w:rsid w:val="00265B23"/>
    <w:rsid w:val="00266431"/>
    <w:rsid w:val="00272BC9"/>
    <w:rsid w:val="002906E5"/>
    <w:rsid w:val="00292A4C"/>
    <w:rsid w:val="00297211"/>
    <w:rsid w:val="002B5874"/>
    <w:rsid w:val="002C2C8B"/>
    <w:rsid w:val="002C3223"/>
    <w:rsid w:val="002C3579"/>
    <w:rsid w:val="002C5E0E"/>
    <w:rsid w:val="002D09B3"/>
    <w:rsid w:val="002D17E5"/>
    <w:rsid w:val="002D57E8"/>
    <w:rsid w:val="002E06A0"/>
    <w:rsid w:val="002E1C29"/>
    <w:rsid w:val="002E68D4"/>
    <w:rsid w:val="002E6DAA"/>
    <w:rsid w:val="002F4401"/>
    <w:rsid w:val="002F708A"/>
    <w:rsid w:val="00301E3D"/>
    <w:rsid w:val="00303516"/>
    <w:rsid w:val="003053E3"/>
    <w:rsid w:val="00306318"/>
    <w:rsid w:val="00311D90"/>
    <w:rsid w:val="0031393E"/>
    <w:rsid w:val="00314219"/>
    <w:rsid w:val="003149BC"/>
    <w:rsid w:val="0032099D"/>
    <w:rsid w:val="0033340D"/>
    <w:rsid w:val="00336AD9"/>
    <w:rsid w:val="00340D3C"/>
    <w:rsid w:val="00353270"/>
    <w:rsid w:val="00365468"/>
    <w:rsid w:val="003658A2"/>
    <w:rsid w:val="003673EC"/>
    <w:rsid w:val="00373A2E"/>
    <w:rsid w:val="00376525"/>
    <w:rsid w:val="00397ABE"/>
    <w:rsid w:val="003A2C3F"/>
    <w:rsid w:val="003B435C"/>
    <w:rsid w:val="003B5B0B"/>
    <w:rsid w:val="003C08DE"/>
    <w:rsid w:val="003C3E7A"/>
    <w:rsid w:val="003D0BB4"/>
    <w:rsid w:val="003D28D2"/>
    <w:rsid w:val="003E1657"/>
    <w:rsid w:val="003E1B25"/>
    <w:rsid w:val="003E1B5A"/>
    <w:rsid w:val="003E40B2"/>
    <w:rsid w:val="003E44AD"/>
    <w:rsid w:val="003E5168"/>
    <w:rsid w:val="003F0FE7"/>
    <w:rsid w:val="003F2E32"/>
    <w:rsid w:val="003F2EC7"/>
    <w:rsid w:val="003F570B"/>
    <w:rsid w:val="003F6466"/>
    <w:rsid w:val="00401401"/>
    <w:rsid w:val="00407BCE"/>
    <w:rsid w:val="00410A8B"/>
    <w:rsid w:val="00411B62"/>
    <w:rsid w:val="00413AA8"/>
    <w:rsid w:val="00413FDE"/>
    <w:rsid w:val="004177CD"/>
    <w:rsid w:val="00425ADD"/>
    <w:rsid w:val="004266F6"/>
    <w:rsid w:val="0042688C"/>
    <w:rsid w:val="0042765E"/>
    <w:rsid w:val="00427AE5"/>
    <w:rsid w:val="00443282"/>
    <w:rsid w:val="00447C9E"/>
    <w:rsid w:val="00450D64"/>
    <w:rsid w:val="004562F1"/>
    <w:rsid w:val="004628F2"/>
    <w:rsid w:val="00465456"/>
    <w:rsid w:val="00471921"/>
    <w:rsid w:val="00471FF2"/>
    <w:rsid w:val="00480D2D"/>
    <w:rsid w:val="00491543"/>
    <w:rsid w:val="00492111"/>
    <w:rsid w:val="00497A62"/>
    <w:rsid w:val="004A661D"/>
    <w:rsid w:val="004A6FC8"/>
    <w:rsid w:val="004C0BC3"/>
    <w:rsid w:val="004C70C8"/>
    <w:rsid w:val="004E44F8"/>
    <w:rsid w:val="004E683E"/>
    <w:rsid w:val="004F56E3"/>
    <w:rsid w:val="00524164"/>
    <w:rsid w:val="00527733"/>
    <w:rsid w:val="00531000"/>
    <w:rsid w:val="005401E0"/>
    <w:rsid w:val="00544424"/>
    <w:rsid w:val="0054746C"/>
    <w:rsid w:val="00562BE8"/>
    <w:rsid w:val="005633F9"/>
    <w:rsid w:val="00564ADB"/>
    <w:rsid w:val="00565830"/>
    <w:rsid w:val="00565B5E"/>
    <w:rsid w:val="00566B5F"/>
    <w:rsid w:val="00567315"/>
    <w:rsid w:val="005739F7"/>
    <w:rsid w:val="005749DE"/>
    <w:rsid w:val="0058195F"/>
    <w:rsid w:val="00584A11"/>
    <w:rsid w:val="005854FC"/>
    <w:rsid w:val="0058662A"/>
    <w:rsid w:val="00587BE8"/>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931"/>
    <w:rsid w:val="006670C8"/>
    <w:rsid w:val="00676B23"/>
    <w:rsid w:val="00681D81"/>
    <w:rsid w:val="006841A7"/>
    <w:rsid w:val="00687348"/>
    <w:rsid w:val="00690375"/>
    <w:rsid w:val="00693721"/>
    <w:rsid w:val="00694C22"/>
    <w:rsid w:val="006963BC"/>
    <w:rsid w:val="006970F4"/>
    <w:rsid w:val="006A2E15"/>
    <w:rsid w:val="006A4398"/>
    <w:rsid w:val="006A7412"/>
    <w:rsid w:val="006B3479"/>
    <w:rsid w:val="006D3D49"/>
    <w:rsid w:val="006D5669"/>
    <w:rsid w:val="006E7CBB"/>
    <w:rsid w:val="006E7EBE"/>
    <w:rsid w:val="006F4537"/>
    <w:rsid w:val="006F7028"/>
    <w:rsid w:val="006F749E"/>
    <w:rsid w:val="007024F1"/>
    <w:rsid w:val="00707D60"/>
    <w:rsid w:val="00713417"/>
    <w:rsid w:val="00714EDD"/>
    <w:rsid w:val="0071596F"/>
    <w:rsid w:val="00723505"/>
    <w:rsid w:val="007263B9"/>
    <w:rsid w:val="007352F2"/>
    <w:rsid w:val="0075009F"/>
    <w:rsid w:val="00752A48"/>
    <w:rsid w:val="00757503"/>
    <w:rsid w:val="00757707"/>
    <w:rsid w:val="00761148"/>
    <w:rsid w:val="007633DD"/>
    <w:rsid w:val="007755E3"/>
    <w:rsid w:val="00781E6A"/>
    <w:rsid w:val="00786750"/>
    <w:rsid w:val="007B1F57"/>
    <w:rsid w:val="007B3014"/>
    <w:rsid w:val="007B370F"/>
    <w:rsid w:val="007B4938"/>
    <w:rsid w:val="007D02D8"/>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F0C45"/>
    <w:rsid w:val="00904B00"/>
    <w:rsid w:val="009112D0"/>
    <w:rsid w:val="00940C0F"/>
    <w:rsid w:val="00951DC3"/>
    <w:rsid w:val="0095548F"/>
    <w:rsid w:val="00965AD5"/>
    <w:rsid w:val="009744C8"/>
    <w:rsid w:val="00974530"/>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745D"/>
    <w:rsid w:val="009D50C1"/>
    <w:rsid w:val="009E2D84"/>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0C5B"/>
    <w:rsid w:val="00AD1E15"/>
    <w:rsid w:val="00AD2B01"/>
    <w:rsid w:val="00AD6937"/>
    <w:rsid w:val="00AE1F12"/>
    <w:rsid w:val="00AE24CC"/>
    <w:rsid w:val="00AE4155"/>
    <w:rsid w:val="00AE4B7C"/>
    <w:rsid w:val="00AE66F6"/>
    <w:rsid w:val="00AF17CE"/>
    <w:rsid w:val="00AF336D"/>
    <w:rsid w:val="00AF349B"/>
    <w:rsid w:val="00AF65F0"/>
    <w:rsid w:val="00B009E9"/>
    <w:rsid w:val="00B01711"/>
    <w:rsid w:val="00B01B16"/>
    <w:rsid w:val="00B03644"/>
    <w:rsid w:val="00B062D0"/>
    <w:rsid w:val="00B11D16"/>
    <w:rsid w:val="00B17A95"/>
    <w:rsid w:val="00B24588"/>
    <w:rsid w:val="00B30F2D"/>
    <w:rsid w:val="00B34021"/>
    <w:rsid w:val="00B34928"/>
    <w:rsid w:val="00B35B74"/>
    <w:rsid w:val="00B403F1"/>
    <w:rsid w:val="00B4163B"/>
    <w:rsid w:val="00B447D7"/>
    <w:rsid w:val="00B556C9"/>
    <w:rsid w:val="00B60113"/>
    <w:rsid w:val="00B6081E"/>
    <w:rsid w:val="00B61016"/>
    <w:rsid w:val="00B624EB"/>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5E13"/>
    <w:rsid w:val="00D86288"/>
    <w:rsid w:val="00D872BC"/>
    <w:rsid w:val="00D954AE"/>
    <w:rsid w:val="00D96929"/>
    <w:rsid w:val="00DA1B6F"/>
    <w:rsid w:val="00DA529F"/>
    <w:rsid w:val="00DB5AAE"/>
    <w:rsid w:val="00DB61C7"/>
    <w:rsid w:val="00DB636B"/>
    <w:rsid w:val="00DB6882"/>
    <w:rsid w:val="00DC4B63"/>
    <w:rsid w:val="00DC5017"/>
    <w:rsid w:val="00DC5129"/>
    <w:rsid w:val="00DD1009"/>
    <w:rsid w:val="00DD7F1B"/>
    <w:rsid w:val="00DE1A87"/>
    <w:rsid w:val="00DE451F"/>
    <w:rsid w:val="00E03D2D"/>
    <w:rsid w:val="00E12A7A"/>
    <w:rsid w:val="00E27FD6"/>
    <w:rsid w:val="00E36A0F"/>
    <w:rsid w:val="00E400C7"/>
    <w:rsid w:val="00E40322"/>
    <w:rsid w:val="00E40CB4"/>
    <w:rsid w:val="00E41DB9"/>
    <w:rsid w:val="00E5265B"/>
    <w:rsid w:val="00E56612"/>
    <w:rsid w:val="00E71CC0"/>
    <w:rsid w:val="00E731AE"/>
    <w:rsid w:val="00E74310"/>
    <w:rsid w:val="00E762BB"/>
    <w:rsid w:val="00E865C8"/>
    <w:rsid w:val="00E8661B"/>
    <w:rsid w:val="00E9084E"/>
    <w:rsid w:val="00E962E6"/>
    <w:rsid w:val="00E97D7C"/>
    <w:rsid w:val="00EA0E8C"/>
    <w:rsid w:val="00EA1793"/>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A7D68"/>
    <w:rsid w:val="00FB078F"/>
    <w:rsid w:val="00FB3586"/>
    <w:rsid w:val="00FC3F00"/>
    <w:rsid w:val="00FC750D"/>
    <w:rsid w:val="00FD0EA3"/>
    <w:rsid w:val="00FE34E4"/>
    <w:rsid w:val="00FF1D71"/>
    <w:rsid w:val="00FF514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330377554">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www.bls.gov/oes/current/naics2_22.htm%2313-0000" TargetMode="External"/><Relationship Id="rId1" Type="http://schemas.openxmlformats.org/officeDocument/2006/relationships/hyperlink" Target="https://www.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A81932C4-AB21-4DAC-9A5D-AACC6CE85FA5}">
  <ds:schemaRefs>
    <ds:schemaRef ds:uri="Microsoft.SharePoint.Taxonomy.ContentTypeSync"/>
  </ds:schemaRefs>
</ds:datastoreItem>
</file>

<file path=customXml/itemProps3.xml><?xml version="1.0" encoding="utf-8"?>
<ds:datastoreItem xmlns:ds="http://schemas.openxmlformats.org/officeDocument/2006/customXml" ds:itemID="{07738B66-9C57-4360-A0D8-99C67541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5.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2022-01-26T14:20:00Z</dcterms:created>
  <dcterms:modified xsi:type="dcterms:W3CDTF">2022-01-26T14:20:00Z</dcterms:modified>
  <cp:category/>
  <dc:identifier/>
  <cp:contentStatus/>
  <cp:version/>
</cp:coreProperties>
</file>