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428B" w:rsidR="00BC15BE" w:rsidP="00BC15BE" w:rsidRDefault="00BC15BE" w14:paraId="6A3C0555" w14:textId="77777777">
      <w:pPr>
        <w:tabs>
          <w:tab w:val="center" w:pos="4680"/>
        </w:tabs>
        <w:jc w:val="center"/>
        <w:rPr>
          <w:b/>
          <w:bCs/>
          <w:sz w:val="24"/>
        </w:rPr>
      </w:pPr>
    </w:p>
    <w:p w:rsidRPr="00F5428B" w:rsidR="00BC15BE" w:rsidP="00BC15BE" w:rsidRDefault="00BC15BE" w14:paraId="1BA59068" w14:textId="77777777">
      <w:pPr>
        <w:tabs>
          <w:tab w:val="center" w:pos="4680"/>
        </w:tabs>
        <w:jc w:val="center"/>
        <w:rPr>
          <w:b/>
          <w:bCs/>
          <w:sz w:val="24"/>
        </w:rPr>
      </w:pPr>
      <w:r w:rsidRPr="00F5428B">
        <w:rPr>
          <w:b/>
          <w:bCs/>
          <w:sz w:val="24"/>
        </w:rPr>
        <w:t>SUPPORTING STATEMENT FOR</w:t>
      </w:r>
    </w:p>
    <w:p w:rsidRPr="00F5428B" w:rsidR="002B45F1" w:rsidP="002B45F1" w:rsidRDefault="002B45F1" w14:paraId="39A1A94B" w14:textId="426A55F4">
      <w:pPr>
        <w:tabs>
          <w:tab w:val="center" w:pos="5040"/>
        </w:tabs>
        <w:jc w:val="center"/>
        <w:rPr>
          <w:b/>
          <w:bCs/>
          <w:sz w:val="24"/>
        </w:rPr>
      </w:pPr>
      <w:r w:rsidRPr="00F5428B">
        <w:rPr>
          <w:b/>
          <w:bCs/>
          <w:sz w:val="24"/>
        </w:rPr>
        <w:t>FERC-54</w:t>
      </w:r>
      <w:r w:rsidR="00C15E0A">
        <w:rPr>
          <w:b/>
          <w:bCs/>
          <w:sz w:val="24"/>
        </w:rPr>
        <w:t>9C</w:t>
      </w:r>
      <w:r w:rsidRPr="00E06116">
        <w:rPr>
          <w:bCs/>
          <w:sz w:val="24"/>
        </w:rPr>
        <w:t xml:space="preserve"> </w:t>
      </w:r>
      <w:r w:rsidR="00C40086">
        <w:rPr>
          <w:bCs/>
          <w:sz w:val="24"/>
        </w:rPr>
        <w:t>[</w:t>
      </w:r>
      <w:r w:rsidRPr="00F5428B">
        <w:rPr>
          <w:b/>
          <w:bCs/>
          <w:sz w:val="24"/>
        </w:rPr>
        <w:t>(</w:t>
      </w:r>
      <w:r w:rsidRPr="00C15E0A" w:rsidR="00C15E0A">
        <w:rPr>
          <w:b/>
          <w:bCs/>
          <w:color w:val="000000"/>
          <w:sz w:val="24"/>
          <w:shd w:val="clear" w:color="auto" w:fill="FFFFFF"/>
        </w:rPr>
        <w:t>Standards for Business Practices of Interstate Natural Gas Pipelines</w:t>
      </w:r>
      <w:r w:rsidR="00E06116">
        <w:rPr>
          <w:b/>
          <w:bCs/>
          <w:sz w:val="24"/>
        </w:rPr>
        <w:t>)</w:t>
      </w:r>
      <w:r w:rsidR="00C40086">
        <w:rPr>
          <w:b/>
          <w:bCs/>
          <w:sz w:val="24"/>
        </w:rPr>
        <w:t>]</w:t>
      </w:r>
    </w:p>
    <w:p w:rsidRPr="00F5428B" w:rsidR="00BC15BE" w:rsidP="00BC15BE" w:rsidRDefault="00BC15BE" w14:paraId="34F6204C" w14:textId="77777777">
      <w:pPr>
        <w:rPr>
          <w:sz w:val="24"/>
        </w:rPr>
      </w:pPr>
    </w:p>
    <w:p w:rsidRPr="00FB3975" w:rsidR="006B7B80" w:rsidP="00F559C3" w:rsidRDefault="002B45F1" w14:paraId="33C340BF" w14:textId="640B8A01">
      <w:pPr>
        <w:rPr>
          <w:sz w:val="24"/>
        </w:rPr>
      </w:pPr>
      <w:r w:rsidRPr="00052AF3">
        <w:rPr>
          <w:sz w:val="24"/>
        </w:rPr>
        <w:t>The Federal Energy Regulatory Commission (Commission or FERC) requests that the Office of Managem</w:t>
      </w:r>
      <w:r w:rsidRPr="00052AF3" w:rsidR="00E06116">
        <w:rPr>
          <w:sz w:val="24"/>
        </w:rPr>
        <w:t>ent and Budget (OMB) review/</w:t>
      </w:r>
      <w:r w:rsidRPr="00052AF3">
        <w:rPr>
          <w:sz w:val="24"/>
        </w:rPr>
        <w:t>approve changes to</w:t>
      </w:r>
      <w:r w:rsidRPr="00052AF3" w:rsidR="00E06116">
        <w:rPr>
          <w:sz w:val="24"/>
        </w:rPr>
        <w:t xml:space="preserve"> and the extension of</w:t>
      </w:r>
      <w:r w:rsidRPr="00052AF3">
        <w:rPr>
          <w:sz w:val="24"/>
        </w:rPr>
        <w:t xml:space="preserve"> </w:t>
      </w:r>
      <w:r w:rsidRPr="00052AF3" w:rsidR="00E06116">
        <w:rPr>
          <w:sz w:val="24"/>
        </w:rPr>
        <w:t xml:space="preserve">the </w:t>
      </w:r>
      <w:r w:rsidRPr="00052AF3">
        <w:rPr>
          <w:sz w:val="24"/>
        </w:rPr>
        <w:t>FERC-54</w:t>
      </w:r>
      <w:r w:rsidR="00F559C3">
        <w:rPr>
          <w:sz w:val="24"/>
        </w:rPr>
        <w:t>9C</w:t>
      </w:r>
      <w:r w:rsidRPr="00052AF3" w:rsidR="00E06116">
        <w:rPr>
          <w:sz w:val="24"/>
        </w:rPr>
        <w:t xml:space="preserve"> information collection</w:t>
      </w:r>
      <w:r w:rsidRPr="00052AF3">
        <w:rPr>
          <w:sz w:val="24"/>
        </w:rPr>
        <w:t xml:space="preserve"> </w:t>
      </w:r>
      <w:r w:rsidRPr="00052AF3" w:rsidR="00C40086">
        <w:rPr>
          <w:sz w:val="24"/>
        </w:rPr>
        <w:t>[</w:t>
      </w:r>
      <w:r w:rsidRPr="00052AF3">
        <w:rPr>
          <w:sz w:val="24"/>
        </w:rPr>
        <w:t>(</w:t>
      </w:r>
      <w:r w:rsidRPr="00F559C3" w:rsidR="00F559C3">
        <w:rPr>
          <w:color w:val="000000"/>
          <w:sz w:val="24"/>
          <w:shd w:val="clear" w:color="auto" w:fill="FFFFFF"/>
        </w:rPr>
        <w:t>Standards for Business Practices of Interstate Natural Gas Pipelines</w:t>
      </w:r>
      <w:r w:rsidRPr="00052AF3">
        <w:rPr>
          <w:sz w:val="24"/>
        </w:rPr>
        <w:t>)</w:t>
      </w:r>
      <w:r w:rsidRPr="00052AF3" w:rsidR="00C40086">
        <w:rPr>
          <w:sz w:val="24"/>
        </w:rPr>
        <w:t>]</w:t>
      </w:r>
      <w:r w:rsidR="00F559C3">
        <w:rPr>
          <w:sz w:val="24"/>
        </w:rPr>
        <w:t xml:space="preserve"> OMB# 19</w:t>
      </w:r>
      <w:r w:rsidRPr="00052AF3" w:rsidR="00C40086">
        <w:rPr>
          <w:sz w:val="24"/>
        </w:rPr>
        <w:t>02-0174)</w:t>
      </w:r>
      <w:r w:rsidRPr="00052AF3">
        <w:rPr>
          <w:sz w:val="24"/>
        </w:rPr>
        <w:t>.</w:t>
      </w:r>
    </w:p>
    <w:p w:rsidRPr="00052AF3" w:rsidR="00BC15BE" w:rsidP="00BC15BE" w:rsidRDefault="00BC15BE" w14:paraId="56813438" w14:textId="77777777">
      <w:pPr>
        <w:rPr>
          <w:b/>
          <w:sz w:val="24"/>
        </w:rPr>
      </w:pPr>
    </w:p>
    <w:p w:rsidRPr="00052AF3" w:rsidR="00BC15BE" w:rsidP="00BC15BE" w:rsidRDefault="00BC15BE" w14:paraId="35BD39DC" w14:textId="65CD2A92">
      <w:pPr>
        <w:pStyle w:val="Level1"/>
        <w:widowControl/>
        <w:tabs>
          <w:tab w:val="left" w:pos="-1440"/>
          <w:tab w:val="num" w:pos="720"/>
        </w:tabs>
        <w:rPr>
          <w:b/>
        </w:rPr>
      </w:pPr>
      <w:r w:rsidRPr="00052AF3">
        <w:rPr>
          <w:b/>
        </w:rPr>
        <w:t>CIRCUMSTANCES THAT MAKE THE COLLECTION OF INFORMATION NECESSARY</w:t>
      </w:r>
    </w:p>
    <w:p w:rsidRPr="00052AF3" w:rsidR="009D1B59" w:rsidP="002B45F1" w:rsidRDefault="009D1B59" w14:paraId="3B19BFA5" w14:textId="77777777">
      <w:pPr>
        <w:rPr>
          <w:sz w:val="24"/>
        </w:rPr>
      </w:pPr>
    </w:p>
    <w:p w:rsidRPr="00FB3975" w:rsidR="001D119A" w:rsidP="001D119A" w:rsidRDefault="00B51119" w14:paraId="256177B0" w14:textId="77777777">
      <w:pPr>
        <w:pStyle w:val="FERCparanumber"/>
        <w:numPr>
          <w:ilvl w:val="0"/>
          <w:numId w:val="0"/>
        </w:numPr>
        <w:rPr>
          <w:sz w:val="24"/>
        </w:rPr>
      </w:pPr>
      <w:r w:rsidRPr="00FB3975">
        <w:rPr>
          <w:sz w:val="24"/>
        </w:rPr>
        <w:t>Since 1996, the Commission has adopted regulations to standardize the business practices and communication methodologies of interstate natural gas pipelines to create a more integrated and efficient pipeline grid.  These regulations have been promulgated in the Order No. 587 series of orders,</w:t>
      </w:r>
      <w:r w:rsidRPr="00FB3975">
        <w:rPr>
          <w:rStyle w:val="FootnoteReference"/>
          <w:sz w:val="24"/>
          <w:szCs w:val="24"/>
        </w:rPr>
        <w:footnoteReference w:id="2"/>
      </w:r>
      <w:r w:rsidRPr="00FB3975">
        <w:rPr>
          <w:sz w:val="24"/>
        </w:rPr>
        <w:t xml:space="preserve"> wherein the Commission has incorporated by reference standards for interstate natural gas pipeline business practices and electronic communications that were developed and adopted by </w:t>
      </w:r>
      <w:r w:rsidRPr="00FB3975" w:rsidR="00755C82">
        <w:rPr>
          <w:sz w:val="24"/>
        </w:rPr>
        <w:t>the Wholesale Gas Quadrant (WGQ) of the North American Energy Standards Board (</w:t>
      </w:r>
      <w:r w:rsidRPr="00FB3975">
        <w:rPr>
          <w:sz w:val="24"/>
        </w:rPr>
        <w:t>NAESB</w:t>
      </w:r>
      <w:r w:rsidRPr="00FB3975" w:rsidR="00755C82">
        <w:rPr>
          <w:sz w:val="24"/>
        </w:rPr>
        <w:t>)</w:t>
      </w:r>
      <w:r w:rsidRPr="00FB3975">
        <w:rPr>
          <w:sz w:val="24"/>
        </w:rPr>
        <w:t xml:space="preserve">.  </w:t>
      </w:r>
      <w:r w:rsidRPr="00FB3975" w:rsidR="001D119A">
        <w:rPr>
          <w:sz w:val="24"/>
        </w:rPr>
        <w:t>Upon incorporation by reference, version 3.2 of the standards (Version 3.2) replace</w:t>
      </w:r>
      <w:r w:rsidR="001D119A">
        <w:rPr>
          <w:sz w:val="24"/>
        </w:rPr>
        <w:t>d</w:t>
      </w:r>
      <w:r w:rsidRPr="00FB3975" w:rsidR="001D119A">
        <w:rPr>
          <w:sz w:val="24"/>
        </w:rPr>
        <w:t xml:space="preserve"> the currently incorporated version (Version 3.1) of those business practice standards.</w:t>
      </w:r>
    </w:p>
    <w:p w:rsidRPr="00FB3975" w:rsidR="00EB7781" w:rsidP="00B51119" w:rsidRDefault="00EB7781" w14:paraId="4170C57B" w14:textId="27396A97">
      <w:pPr>
        <w:pStyle w:val="FERCparanumber"/>
        <w:numPr>
          <w:ilvl w:val="0"/>
          <w:numId w:val="0"/>
        </w:numPr>
        <w:rPr>
          <w:sz w:val="24"/>
        </w:rPr>
      </w:pPr>
    </w:p>
    <w:p w:rsidRPr="00FB3975" w:rsidR="00A55A48" w:rsidP="00EB7781" w:rsidRDefault="00B51119" w14:paraId="0F192D15" w14:textId="77777777">
      <w:pPr>
        <w:pStyle w:val="FERCparanumber"/>
        <w:numPr>
          <w:ilvl w:val="0"/>
          <w:numId w:val="0"/>
        </w:numPr>
        <w:rPr>
          <w:sz w:val="24"/>
        </w:rPr>
      </w:pPr>
      <w:r w:rsidRPr="00FB3975">
        <w:rPr>
          <w:sz w:val="24"/>
        </w:rPr>
        <w:t>On August 17, 2020, NAESB filed a report informing the Commission that it had adopted and ratified WGQ Version 3.2 of its business practice standards applicable to interstate natural gas pipelines.  Version 3.2 of the WGQ includes business practice standards developed and modified in response to industry requests and directives from the NAESB Board of Directors.  This version also includes the standards developed in response to the recommendations of Sandia National Laboratory (Sandia),</w:t>
      </w:r>
      <w:r w:rsidRPr="00FB3975">
        <w:rPr>
          <w:rStyle w:val="FootnoteReference"/>
          <w:sz w:val="24"/>
          <w:szCs w:val="24"/>
        </w:rPr>
        <w:footnoteReference w:id="3"/>
      </w:r>
      <w:r w:rsidRPr="00FB3975">
        <w:rPr>
          <w:sz w:val="24"/>
        </w:rPr>
        <w:t xml:space="preserve"> which in 2019 issued a cybersecurity surety assessment of the NAESB standards sponsored by DOE (Sandia Surety Assessment),</w:t>
      </w:r>
      <w:r w:rsidRPr="00FB3975">
        <w:rPr>
          <w:rStyle w:val="FootnoteReference"/>
          <w:sz w:val="24"/>
          <w:szCs w:val="24"/>
        </w:rPr>
        <w:footnoteReference w:id="4"/>
      </w:r>
      <w:r w:rsidRPr="00FB3975">
        <w:rPr>
          <w:sz w:val="24"/>
        </w:rPr>
        <w:t xml:space="preserve"> and the standards developed </w:t>
      </w:r>
      <w:r w:rsidRPr="00FB3975">
        <w:rPr>
          <w:sz w:val="24"/>
        </w:rPr>
        <w:lastRenderedPageBreak/>
        <w:t>to enable the use of distributed ledger technologies when transacting the NAESB Base Contract for Sale and Purchase of Natural Gas.  The NAESB report identifies all the changes made to the WGQ Version 3.1 Standards and summarizes the deliberations that led to the changes being made.  It also identifies changes to the existing standards that were considered but not adopted due to a lack of consensus or other reasons.</w:t>
      </w:r>
    </w:p>
    <w:p w:rsidRPr="00FB3975" w:rsidR="00A55A48" w:rsidP="00EB7781" w:rsidRDefault="00A55A48" w14:paraId="4E2B65CC" w14:textId="77777777">
      <w:pPr>
        <w:pStyle w:val="FERCparanumber"/>
        <w:numPr>
          <w:ilvl w:val="0"/>
          <w:numId w:val="0"/>
        </w:numPr>
        <w:rPr>
          <w:sz w:val="24"/>
        </w:rPr>
      </w:pPr>
    </w:p>
    <w:p w:rsidRPr="00FB3975" w:rsidR="00A55A48" w:rsidP="00EB7781" w:rsidRDefault="001D119A" w14:paraId="2088B354" w14:textId="7071D3FC">
      <w:pPr>
        <w:pStyle w:val="FERCparanumber"/>
        <w:numPr>
          <w:ilvl w:val="0"/>
          <w:numId w:val="0"/>
        </w:numPr>
        <w:rPr>
          <w:sz w:val="24"/>
        </w:rPr>
      </w:pPr>
      <w:r>
        <w:rPr>
          <w:sz w:val="24"/>
        </w:rPr>
        <w:t>The</w:t>
      </w:r>
      <w:r w:rsidR="00F559C3">
        <w:rPr>
          <w:sz w:val="24"/>
        </w:rPr>
        <w:t xml:space="preserve"> Final rule </w:t>
      </w:r>
      <w:r>
        <w:rPr>
          <w:sz w:val="24"/>
        </w:rPr>
        <w:t xml:space="preserve">issued July 15, 2021 by the Commission, </w:t>
      </w:r>
      <w:r w:rsidR="00F559C3">
        <w:rPr>
          <w:sz w:val="24"/>
        </w:rPr>
        <w:t xml:space="preserve">updated </w:t>
      </w:r>
      <w:r w:rsidRPr="00FB3975" w:rsidR="00B51119">
        <w:rPr>
          <w:sz w:val="24"/>
        </w:rPr>
        <w:t xml:space="preserve">the Quadrant EDM Related Standards and IET Related Standards to specifically: (1) </w:t>
      </w:r>
      <w:r w:rsidRPr="00FB3975" w:rsidR="00B51119">
        <w:rPr>
          <w:sz w:val="24"/>
          <w:lang w:bidi="en-US"/>
        </w:rPr>
        <w:t>require the implementation of fixes or patches for known vulnerabilities as soon as reasonably practicable in coordination with other trading partners; (2) specify notification timelines to provide notice to trading partners of any systems or software that have not been updated and the potential impact of using the vulnerable system; (3) include both specific and broad adoptions of system security measures and specific notification and coordination during outages with affected trading partners; (4) maintain a minimum encryption strength of 128 bits</w:t>
      </w:r>
      <w:r w:rsidR="009C4E66">
        <w:rPr>
          <w:sz w:val="24"/>
          <w:lang w:bidi="en-US"/>
        </w:rPr>
        <w:t xml:space="preserve">; </w:t>
      </w:r>
      <w:r w:rsidRPr="00FB3975" w:rsidR="00B51119">
        <w:rPr>
          <w:sz w:val="24"/>
          <w:lang w:bidi="en-US"/>
        </w:rPr>
        <w:t xml:space="preserve">5) specify that </w:t>
      </w:r>
      <w:proofErr w:type="spellStart"/>
      <w:r w:rsidRPr="00FB3975" w:rsidR="00B51119">
        <w:rPr>
          <w:sz w:val="24"/>
          <w:lang w:bidi="en-US"/>
        </w:rPr>
        <w:t>OpenPGP</w:t>
      </w:r>
      <w:proofErr w:type="spellEnd"/>
      <w:r w:rsidRPr="00FB3975" w:rsidR="00B51119">
        <w:rPr>
          <w:sz w:val="24"/>
          <w:lang w:bidi="en-US"/>
        </w:rPr>
        <w:t xml:space="preserve"> should be used to create public and private keys for privacy and digital signature applications; (6) specify </w:t>
      </w:r>
      <w:r w:rsidRPr="00FB3975" w:rsidR="00052AF3">
        <w:rPr>
          <w:sz w:val="24"/>
          <w:lang w:bidi="en-US"/>
        </w:rPr>
        <w:t>Hyper-Text Transport Protocol Secure (</w:t>
      </w:r>
      <w:r w:rsidRPr="00FB3975" w:rsidR="00B51119">
        <w:rPr>
          <w:sz w:val="24"/>
          <w:lang w:bidi="en-US"/>
        </w:rPr>
        <w:t>HTTPS</w:t>
      </w:r>
      <w:r w:rsidRPr="00FB3975" w:rsidR="00052AF3">
        <w:rPr>
          <w:sz w:val="24"/>
          <w:lang w:bidi="en-US"/>
        </w:rPr>
        <w:t>)</w:t>
      </w:r>
      <w:r w:rsidRPr="00FB3975" w:rsidR="00B51119">
        <w:rPr>
          <w:sz w:val="24"/>
          <w:lang w:bidi="en-US"/>
        </w:rPr>
        <w:t xml:space="preserve"> whenever secure communication is required to protect information in transit and support overall privacy needs; (7) use the largest feasible key length consistent with implementation of current business processes; (8) state that secure web sites should employ individual user credentials; and (9) encourage security assessments and coordination between customers, vendors, and trading partners.</w:t>
      </w:r>
    </w:p>
    <w:p w:rsidR="00A36AE2" w:rsidP="00EB7781" w:rsidRDefault="00A36AE2" w14:paraId="21D249B8" w14:textId="77777777">
      <w:pPr>
        <w:pStyle w:val="FERCparanumber"/>
        <w:numPr>
          <w:ilvl w:val="0"/>
          <w:numId w:val="0"/>
        </w:numPr>
        <w:rPr>
          <w:sz w:val="24"/>
        </w:rPr>
      </w:pPr>
    </w:p>
    <w:p w:rsidRPr="00FB3975" w:rsidR="00132E7B" w:rsidP="00EB7781" w:rsidRDefault="00B51119" w14:paraId="10B11D88" w14:textId="078C0617">
      <w:pPr>
        <w:pStyle w:val="FERCparanumber"/>
        <w:numPr>
          <w:ilvl w:val="0"/>
          <w:numId w:val="0"/>
        </w:numPr>
        <w:rPr>
          <w:sz w:val="24"/>
        </w:rPr>
      </w:pPr>
      <w:r w:rsidRPr="00FB3975">
        <w:rPr>
          <w:sz w:val="24"/>
        </w:rPr>
        <w:t>The implementation of these data requirements will provide additional transparency to Informational Postings websites and will improve communication standards.  The implementation of these standards and regulations will promote the additional efficiency and reliability of the natural gas industries’ operations thereby helping the Commission to carry out its responsibilities under the NGA.  In addition, the Commission’s Office of Enforcement will use the data for general industry oversight.</w:t>
      </w:r>
    </w:p>
    <w:p w:rsidRPr="00FB3975" w:rsidR="00132E7B" w:rsidP="00EB7781" w:rsidRDefault="00132E7B" w14:paraId="60EB6A07" w14:textId="77777777">
      <w:pPr>
        <w:pStyle w:val="FERCparanumber"/>
        <w:numPr>
          <w:ilvl w:val="0"/>
          <w:numId w:val="0"/>
        </w:numPr>
        <w:rPr>
          <w:sz w:val="24"/>
        </w:rPr>
      </w:pPr>
    </w:p>
    <w:p w:rsidRPr="00F5428B" w:rsidR="00BC15BE" w:rsidP="00BC15BE" w:rsidRDefault="00BC15BE" w14:paraId="3B3AF4AB" w14:textId="77777777">
      <w:pPr>
        <w:rPr>
          <w:sz w:val="24"/>
        </w:rPr>
      </w:pPr>
    </w:p>
    <w:p w:rsidRPr="00E2173D" w:rsidR="00006D51" w:rsidP="003F0E97" w:rsidRDefault="00BC15BE" w14:paraId="31C10311" w14:textId="2F003468">
      <w:pPr>
        <w:pStyle w:val="Level1"/>
        <w:widowControl/>
        <w:tabs>
          <w:tab w:val="left" w:pos="-1440"/>
          <w:tab w:val="num" w:pos="720"/>
        </w:tabs>
        <w:rPr>
          <w:b/>
        </w:rPr>
      </w:pPr>
      <w:r w:rsidRPr="00F5428B">
        <w:rPr>
          <w:b/>
        </w:rPr>
        <w:t>HOW, BY WHOM, AND FOR WHAT PURPOSE THE INFORMATION IS TO BE USED AND THE CONSEQUENCES OF NOT COLLECTING THE INFORMATION</w:t>
      </w:r>
    </w:p>
    <w:p w:rsidR="001361B9" w:rsidP="00E2173D" w:rsidRDefault="001361B9" w14:paraId="62FF0BC4" w14:textId="6D733E09">
      <w:pPr>
        <w:rPr>
          <w:sz w:val="24"/>
        </w:rPr>
      </w:pPr>
    </w:p>
    <w:p w:rsidRPr="00B77DBC" w:rsidR="001D119A" w:rsidP="001D119A" w:rsidRDefault="001D119A" w14:paraId="33926632" w14:textId="347CEB8C">
      <w:pPr>
        <w:rPr>
          <w:sz w:val="24"/>
        </w:rPr>
      </w:pPr>
      <w:r w:rsidRPr="00B77DBC">
        <w:rPr>
          <w:sz w:val="24"/>
        </w:rPr>
        <w:t>The business practice standards under FERC-549C are required to carry out the Commission’s policies in accordance with the general authority in sections 4, 5, 7, 8, 10, 14, 16, and 20 of the Natural Gas Act (NGA)</w:t>
      </w:r>
      <w:r w:rsidR="00CC0BAF">
        <w:rPr>
          <w:sz w:val="24"/>
        </w:rPr>
        <w:t>,</w:t>
      </w:r>
      <w:r w:rsidRPr="00B77DBC">
        <w:rPr>
          <w:b/>
          <w:sz w:val="24"/>
          <w:vertAlign w:val="superscript"/>
        </w:rPr>
        <w:footnoteReference w:id="5"/>
      </w:r>
      <w:r w:rsidRPr="00B77DBC">
        <w:rPr>
          <w:sz w:val="24"/>
        </w:rPr>
        <w:t xml:space="preserve"> and sections 311, 501, and 504 of the Natural Gas Policy Act of 1978 (NGPA)</w:t>
      </w:r>
      <w:r w:rsidR="00CC0BAF">
        <w:rPr>
          <w:sz w:val="24"/>
        </w:rPr>
        <w:t>.</w:t>
      </w:r>
      <w:r w:rsidRPr="00B77DBC">
        <w:rPr>
          <w:b/>
          <w:sz w:val="24"/>
          <w:vertAlign w:val="superscript"/>
        </w:rPr>
        <w:footnoteReference w:id="6"/>
      </w:r>
      <w:r w:rsidRPr="00B77DBC">
        <w:rPr>
          <w:sz w:val="24"/>
        </w:rPr>
        <w:t xml:space="preserve">  The Commission adopted these business practice standards in order to update and standardize the natural gas industry’s business practices and procedures in addition to improve the efficiency of the gas market and the means by which the gas industry conducts business across the interstate pipeline grid.   </w:t>
      </w:r>
    </w:p>
    <w:p w:rsidR="00D75BF5" w:rsidP="001D119A" w:rsidRDefault="001D119A" w14:paraId="7568B0BE" w14:textId="77777777">
      <w:pPr>
        <w:rPr>
          <w:sz w:val="24"/>
        </w:rPr>
      </w:pPr>
      <w:r w:rsidRPr="00B77DBC">
        <w:rPr>
          <w:sz w:val="24"/>
        </w:rPr>
        <w:tab/>
      </w:r>
    </w:p>
    <w:p w:rsidR="00D75BF5" w:rsidP="001D119A" w:rsidRDefault="00D75BF5" w14:paraId="44AFA90D" w14:textId="77777777">
      <w:pPr>
        <w:rPr>
          <w:sz w:val="24"/>
        </w:rPr>
      </w:pPr>
    </w:p>
    <w:p w:rsidR="001D119A" w:rsidP="001D119A" w:rsidRDefault="001D119A" w14:paraId="12675C57" w14:textId="59DE62E1">
      <w:pPr>
        <w:rPr>
          <w:sz w:val="24"/>
        </w:rPr>
      </w:pPr>
      <w:r w:rsidRPr="00B77DBC">
        <w:rPr>
          <w:sz w:val="24"/>
        </w:rPr>
        <w:t>In various orders since 1996, the Commission has adopted regulations to standardize the business practices and communication methodologies of interstate natural gas pipelines.  These standards were proposed by the North American Energy Standards Board (NAESB</w:t>
      </w:r>
      <w:r w:rsidRPr="00B77DBC">
        <w:rPr>
          <w:b/>
          <w:sz w:val="24"/>
          <w:vertAlign w:val="superscript"/>
        </w:rPr>
        <w:footnoteReference w:id="7"/>
      </w:r>
      <w:r w:rsidRPr="00B77DBC">
        <w:rPr>
          <w:sz w:val="24"/>
        </w:rPr>
        <w:t>) in order to create a more integrated and efficient pipeline industry.</w:t>
      </w:r>
      <w:r w:rsidRPr="00B77DBC">
        <w:rPr>
          <w:b/>
          <w:sz w:val="24"/>
          <w:vertAlign w:val="superscript"/>
        </w:rPr>
        <w:footnoteReference w:id="8"/>
      </w:r>
      <w:r w:rsidRPr="00B77DBC">
        <w:rPr>
          <w:sz w:val="24"/>
        </w:rPr>
        <w:t xml:space="preserve">  Generally, when and if NAESB-proposed standards (e.g. consensus standards developed by the Wholesale Gas Quadrant (WGQ)) are approved by the Commission, the Commission incorporates them by reference into its approval.  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natural gas industry and, ultimately, the Gas Industry Standards Board (GISB), a consensus organization open to all members of the gas industry, was created.  GISB was succeeded by NAESB.</w:t>
      </w:r>
    </w:p>
    <w:p w:rsidRPr="00B77DBC" w:rsidR="009C4E66" w:rsidP="001D119A" w:rsidRDefault="009C4E66" w14:paraId="43844727" w14:textId="77777777">
      <w:pPr>
        <w:rPr>
          <w:sz w:val="24"/>
        </w:rPr>
      </w:pPr>
    </w:p>
    <w:p w:rsidRPr="00B77DBC" w:rsidR="00A36AE2" w:rsidP="001D119A" w:rsidRDefault="001D119A" w14:paraId="0792EF87" w14:textId="77777777">
      <w:pPr>
        <w:rPr>
          <w:sz w:val="24"/>
        </w:rPr>
      </w:pPr>
      <w:r w:rsidRPr="00B77DBC">
        <w:rPr>
          <w:sz w:val="24"/>
        </w:rPr>
        <w:tab/>
        <w:t>NAESB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NAESB’s core objective is to facilitate a seamless North American marketplace for natural gas, as recognized by its customers, the business community, industry participants, and regulatory bodies.</w:t>
      </w:r>
    </w:p>
    <w:p w:rsidRPr="00B77DBC" w:rsidR="00A36AE2" w:rsidP="001D119A" w:rsidRDefault="001D119A" w14:paraId="011B2FAE" w14:textId="77777777">
      <w:pPr>
        <w:rPr>
          <w:sz w:val="24"/>
        </w:rPr>
      </w:pPr>
      <w:r w:rsidRPr="00B77DBC">
        <w:rPr>
          <w:sz w:val="24"/>
        </w:rPr>
        <w:t xml:space="preserve">  </w:t>
      </w:r>
    </w:p>
    <w:p w:rsidRPr="00B77DBC" w:rsidR="001D119A" w:rsidP="001D119A" w:rsidRDefault="001D119A" w14:paraId="224E36B8" w14:textId="0B00DBA3">
      <w:pPr>
        <w:rPr>
          <w:sz w:val="24"/>
        </w:rPr>
      </w:pPr>
      <w:r w:rsidRPr="00B77DBC">
        <w:rPr>
          <w:sz w:val="24"/>
        </w:rPr>
        <w:tab/>
        <w:t>NAESB has divided its efforts among four quadrants including two retail quadrants, a wholesale electric quadrant, and the WGQ.  The NAESB WGQ standards are a product of this effort.  Industry participants seeking additional or amended standards (to include principles, definitions, standards, data elements, process descriptions, and technical implementation instructions) must submit a request to the NAESB office, detailing the change, so that the appropriate process may take place to amend the standards.</w:t>
      </w:r>
    </w:p>
    <w:p w:rsidRPr="00B77DBC" w:rsidR="00A36AE2" w:rsidP="001D119A" w:rsidRDefault="00A36AE2" w14:paraId="3AF6C340" w14:textId="77777777">
      <w:pPr>
        <w:rPr>
          <w:sz w:val="24"/>
        </w:rPr>
      </w:pPr>
    </w:p>
    <w:p w:rsidRPr="00B77DBC" w:rsidR="001361B9" w:rsidP="001D119A" w:rsidRDefault="001D119A" w14:paraId="27FAD1CB" w14:textId="4076F09D">
      <w:pPr>
        <w:rPr>
          <w:bCs/>
          <w:sz w:val="24"/>
        </w:rPr>
      </w:pPr>
      <w:r w:rsidRPr="00B77DBC">
        <w:rPr>
          <w:sz w:val="24"/>
        </w:rPr>
        <w:tab/>
        <w:t>Failure to collect the FERC-549C data would prevent the Commission from monitoring and properly evaluating pipeline transactions and/or meeting statutory obligations under both the NGA and NGPA.</w:t>
      </w:r>
    </w:p>
    <w:p w:rsidRPr="001D119A" w:rsidR="001D119A" w:rsidP="001D119A" w:rsidRDefault="001D119A" w14:paraId="2DF98347" w14:textId="77777777">
      <w:pPr>
        <w:rPr>
          <w:bCs/>
          <w:szCs w:val="26"/>
        </w:rPr>
      </w:pPr>
    </w:p>
    <w:p w:rsidRPr="001361B9" w:rsidR="001361B9" w:rsidP="001361B9" w:rsidRDefault="001361B9" w14:paraId="5C4F28C5" w14:textId="7AD81937">
      <w:pPr>
        <w:spacing w:after="160" w:line="259" w:lineRule="auto"/>
        <w:rPr>
          <w:rFonts w:eastAsia="Calibri"/>
          <w:sz w:val="24"/>
        </w:rPr>
      </w:pPr>
      <w:r w:rsidRPr="001361B9">
        <w:rPr>
          <w:rFonts w:eastAsia="Calibri"/>
          <w:b/>
          <w:sz w:val="24"/>
        </w:rPr>
        <w:t>The WGQ Additional Business Practice Standards</w:t>
      </w:r>
      <w:r w:rsidRPr="001361B9">
        <w:rPr>
          <w:rFonts w:eastAsia="Calibri"/>
          <w:sz w:val="24"/>
        </w:rPr>
        <w:t xml:space="preserve"> address six areas: Creditworthiness; Storage Information; Gas/Electric Operational Communications; Operational Capacity; Unsubscribed Capacity; and Location Data Download.</w:t>
      </w:r>
    </w:p>
    <w:p w:rsidRPr="001361B9" w:rsidR="001361B9" w:rsidP="001361B9" w:rsidRDefault="001361B9" w14:paraId="63DBE71B" w14:textId="6BB30308">
      <w:pPr>
        <w:numPr>
          <w:ilvl w:val="0"/>
          <w:numId w:val="16"/>
        </w:numPr>
        <w:spacing w:after="160" w:line="259" w:lineRule="auto"/>
        <w:rPr>
          <w:rFonts w:eastAsia="Calibri"/>
          <w:sz w:val="24"/>
        </w:rPr>
      </w:pPr>
      <w:r w:rsidRPr="001361B9">
        <w:rPr>
          <w:rFonts w:eastAsia="Calibri"/>
          <w:sz w:val="24"/>
        </w:rPr>
        <w:t>The Creditworthiness related standards describe requirements for the exchange of information, notification, and communication between parties during the creditworthiness evaluation process.</w:t>
      </w:r>
    </w:p>
    <w:p w:rsidRPr="001361B9" w:rsidR="001361B9" w:rsidP="001361B9" w:rsidRDefault="001361B9" w14:paraId="063DD2F9" w14:textId="4D465B8B">
      <w:pPr>
        <w:numPr>
          <w:ilvl w:val="0"/>
          <w:numId w:val="16"/>
        </w:numPr>
        <w:spacing w:after="160" w:line="259" w:lineRule="auto"/>
        <w:rPr>
          <w:rFonts w:eastAsia="Calibri"/>
          <w:sz w:val="24"/>
        </w:rPr>
      </w:pPr>
      <w:r w:rsidRPr="001361B9">
        <w:rPr>
          <w:rFonts w:eastAsia="Calibri"/>
          <w:sz w:val="24"/>
        </w:rPr>
        <w:lastRenderedPageBreak/>
        <w:t>The Storage Information related standards define the information to be provided to natural gas service requesters related to storage activities and/or balances.</w:t>
      </w:r>
    </w:p>
    <w:p w:rsidRPr="001361B9" w:rsidR="001361B9" w:rsidP="001361B9" w:rsidRDefault="001361B9" w14:paraId="0CD35DF9" w14:textId="0065E57A">
      <w:pPr>
        <w:numPr>
          <w:ilvl w:val="0"/>
          <w:numId w:val="16"/>
        </w:numPr>
        <w:spacing w:after="160" w:line="259" w:lineRule="auto"/>
        <w:rPr>
          <w:rFonts w:eastAsia="Calibri"/>
          <w:sz w:val="24"/>
        </w:rPr>
      </w:pPr>
      <w:r w:rsidRPr="001361B9">
        <w:rPr>
          <w:rFonts w:eastAsia="Calibri"/>
          <w:sz w:val="24"/>
        </w:rPr>
        <w:t>The Gas/Electric Operational Communications related standards define communication protocols intended to improve coordination between the gas and electric industries in daily operational communications between transportation service providers and gas-fired power plants.  The standards include requirements for communicating anticipated power generation fuel for the upcoming day as well as any operating problems that might hinder gas-fired power plants from receiving contractual gas quantities.</w:t>
      </w:r>
    </w:p>
    <w:p w:rsidRPr="001361B9" w:rsidR="001361B9" w:rsidP="001361B9" w:rsidRDefault="001361B9" w14:paraId="23C8BFD3" w14:textId="4DB4C2D7">
      <w:pPr>
        <w:numPr>
          <w:ilvl w:val="0"/>
          <w:numId w:val="16"/>
        </w:numPr>
        <w:spacing w:after="160" w:line="259" w:lineRule="auto"/>
        <w:rPr>
          <w:rFonts w:eastAsia="Calibri"/>
          <w:sz w:val="24"/>
        </w:rPr>
      </w:pPr>
      <w:r w:rsidRPr="001361B9">
        <w:rPr>
          <w:rFonts w:eastAsia="Calibri"/>
          <w:sz w:val="24"/>
        </w:rPr>
        <w:t>The Operational Capacity related standards define requirements of the transportation service provider related to the reporting and requesting of a transportation service provider’s operational capacity, total scheduled quantity, and operationally available capacity.</w:t>
      </w:r>
    </w:p>
    <w:p w:rsidRPr="001361B9" w:rsidR="001361B9" w:rsidP="001361B9" w:rsidRDefault="001361B9" w14:paraId="6773B520" w14:textId="3FE9C8C2">
      <w:pPr>
        <w:numPr>
          <w:ilvl w:val="0"/>
          <w:numId w:val="16"/>
        </w:numPr>
        <w:spacing w:after="160" w:line="259" w:lineRule="auto"/>
        <w:rPr>
          <w:rFonts w:eastAsia="Calibri"/>
          <w:sz w:val="24"/>
        </w:rPr>
      </w:pPr>
      <w:r w:rsidRPr="001361B9">
        <w:rPr>
          <w:rFonts w:eastAsia="Calibri"/>
          <w:sz w:val="24"/>
        </w:rPr>
        <w:t>The Unsubscribed Capacity related standards define requirements of the transportation service provider related to the reporting and requesting of a transportation service provider’s available unsubscribed capacity.</w:t>
      </w:r>
    </w:p>
    <w:p w:rsidR="001361B9" w:rsidP="001361B9" w:rsidRDefault="001361B9" w14:paraId="0D441062" w14:textId="2F613251">
      <w:pPr>
        <w:numPr>
          <w:ilvl w:val="0"/>
          <w:numId w:val="16"/>
        </w:numPr>
        <w:spacing w:after="160" w:line="259" w:lineRule="auto"/>
        <w:rPr>
          <w:rFonts w:eastAsia="Calibri"/>
          <w:sz w:val="24"/>
        </w:rPr>
      </w:pPr>
      <w:r w:rsidRPr="001361B9">
        <w:rPr>
          <w:rFonts w:eastAsia="Calibri"/>
          <w:sz w:val="24"/>
        </w:rPr>
        <w:t>The Location Data Download related standards define requirements for the use of codes assigned by the transportation service provider for locations and common codes for parties communicating electronically.</w:t>
      </w:r>
    </w:p>
    <w:p w:rsidRPr="001361B9" w:rsidR="001361B9" w:rsidP="001361B9" w:rsidRDefault="001361B9" w14:paraId="5A8A8E54" w14:textId="1759E446">
      <w:pPr>
        <w:spacing w:after="160" w:line="259" w:lineRule="auto"/>
        <w:rPr>
          <w:rFonts w:eastAsia="Calibri"/>
          <w:sz w:val="24"/>
        </w:rPr>
      </w:pPr>
      <w:r w:rsidRPr="001361B9">
        <w:rPr>
          <w:rFonts w:eastAsia="Calibri"/>
          <w:sz w:val="24"/>
        </w:rPr>
        <w:t xml:space="preserve">The implementation of these standards and regulations will promote the additional efficiency and reliability of the natural gas industries’ operations thereby helping the Commission to carry out its responsibilities under the NGA.  In addition, the Commission’s Office of Enforcement will use the data for general industry oversight. </w:t>
      </w:r>
      <w:r w:rsidR="00D75BF5">
        <w:rPr>
          <w:rFonts w:eastAsia="Calibri"/>
          <w:sz w:val="24"/>
        </w:rPr>
        <w:t xml:space="preserve"> </w:t>
      </w:r>
      <w:r w:rsidRPr="001361B9">
        <w:rPr>
          <w:rFonts w:eastAsia="Calibri"/>
          <w:sz w:val="24"/>
        </w:rPr>
        <w:t>These requirements conform to our plan for efficient information collection, communication, and management within the natural gas pipeline industries.</w:t>
      </w:r>
    </w:p>
    <w:p w:rsidRPr="001361B9" w:rsidR="001361B9" w:rsidP="001361B9" w:rsidRDefault="001361B9" w14:paraId="10831EB6" w14:textId="671F1887">
      <w:pPr>
        <w:spacing w:after="160" w:line="259" w:lineRule="auto"/>
        <w:rPr>
          <w:rFonts w:eastAsia="Calibri"/>
          <w:sz w:val="24"/>
        </w:rPr>
      </w:pPr>
      <w:r w:rsidRPr="001361B9">
        <w:rPr>
          <w:rFonts w:eastAsia="Calibri"/>
          <w:sz w:val="24"/>
        </w:rPr>
        <w:t>For each standard, the pipeline must specify in the tariff section or tariff sheet(s) listing all the NAESB standards:</w:t>
      </w:r>
    </w:p>
    <w:p w:rsidRPr="001361B9" w:rsidR="001361B9" w:rsidP="001361B9" w:rsidRDefault="001361B9" w14:paraId="113DD8B4" w14:textId="25F840B7">
      <w:pPr>
        <w:spacing w:after="160" w:line="259" w:lineRule="auto"/>
        <w:rPr>
          <w:rFonts w:eastAsia="Calibri"/>
          <w:sz w:val="24"/>
        </w:rPr>
      </w:pPr>
      <w:r w:rsidRPr="001361B9">
        <w:rPr>
          <w:rFonts w:eastAsia="Calibri"/>
          <w:sz w:val="24"/>
        </w:rPr>
        <w:t>1.</w:t>
      </w:r>
      <w:r w:rsidR="00A36AE2">
        <w:rPr>
          <w:rFonts w:eastAsia="Calibri"/>
          <w:sz w:val="24"/>
        </w:rPr>
        <w:t xml:space="preserve"> </w:t>
      </w:r>
      <w:r w:rsidRPr="001361B9">
        <w:rPr>
          <w:rFonts w:eastAsia="Calibri"/>
          <w:sz w:val="24"/>
        </w:rPr>
        <w:t xml:space="preserve">whether the standard is incorporated by </w:t>
      </w:r>
      <w:proofErr w:type="gramStart"/>
      <w:r w:rsidRPr="001361B9">
        <w:rPr>
          <w:rFonts w:eastAsia="Calibri"/>
          <w:sz w:val="24"/>
        </w:rPr>
        <w:t>reference;</w:t>
      </w:r>
      <w:proofErr w:type="gramEnd"/>
    </w:p>
    <w:p w:rsidRPr="001361B9" w:rsidR="001361B9" w:rsidP="001361B9" w:rsidRDefault="001361B9" w14:paraId="0CAF27CB" w14:textId="24721B3A">
      <w:pPr>
        <w:spacing w:after="160" w:line="259" w:lineRule="auto"/>
        <w:rPr>
          <w:rFonts w:eastAsia="Calibri"/>
          <w:sz w:val="24"/>
        </w:rPr>
      </w:pPr>
      <w:r w:rsidRPr="001361B9">
        <w:rPr>
          <w:rFonts w:eastAsia="Calibri"/>
          <w:sz w:val="24"/>
        </w:rPr>
        <w:t>2.</w:t>
      </w:r>
      <w:r w:rsidR="00A36AE2">
        <w:rPr>
          <w:rFonts w:eastAsia="Calibri"/>
          <w:sz w:val="24"/>
        </w:rPr>
        <w:t xml:space="preserve"> </w:t>
      </w:r>
      <w:r w:rsidRPr="001361B9">
        <w:rPr>
          <w:rFonts w:eastAsia="Calibri"/>
          <w:sz w:val="24"/>
        </w:rPr>
        <w:t>for those standards not incorporated by reference, the tariff provision that complies with the standard; or</w:t>
      </w:r>
    </w:p>
    <w:p w:rsidRPr="00910DCD" w:rsidR="001361B9" w:rsidP="00910DCD" w:rsidRDefault="001361B9" w14:paraId="71AF093B" w14:textId="369A773D">
      <w:pPr>
        <w:spacing w:after="160" w:line="259" w:lineRule="auto"/>
        <w:rPr>
          <w:rFonts w:eastAsia="Calibri"/>
          <w:sz w:val="24"/>
        </w:rPr>
      </w:pPr>
      <w:r w:rsidRPr="001361B9">
        <w:rPr>
          <w:rFonts w:eastAsia="Calibri"/>
          <w:sz w:val="24"/>
        </w:rPr>
        <w:t>3.</w:t>
      </w:r>
      <w:r w:rsidR="00A36AE2">
        <w:rPr>
          <w:rFonts w:eastAsia="Calibri"/>
          <w:sz w:val="24"/>
        </w:rPr>
        <w:t xml:space="preserve"> </w:t>
      </w:r>
      <w:r w:rsidRPr="001361B9">
        <w:rPr>
          <w:rFonts w:eastAsia="Calibri"/>
          <w:sz w:val="24"/>
        </w:rPr>
        <w:t>for those standards with which the pipeline does not comply, an explanatory statement, including an indication of whether the pipeline has been granted a waiver, extension of time, or other variance with respect to compliance with the standard.</w:t>
      </w:r>
    </w:p>
    <w:p w:rsidRPr="00E2173D" w:rsidR="00805CDD" w:rsidP="00E2173D" w:rsidRDefault="00805CDD" w14:paraId="78A061C4" w14:textId="77777777">
      <w:pPr>
        <w:rPr>
          <w:sz w:val="24"/>
        </w:rPr>
      </w:pPr>
    </w:p>
    <w:p w:rsidRPr="001D119A" w:rsidR="00BC15BE" w:rsidP="001D119A" w:rsidRDefault="00BC15BE" w14:paraId="29271503" w14:textId="39C57A15">
      <w:pPr>
        <w:pStyle w:val="Level1"/>
        <w:widowControl/>
        <w:tabs>
          <w:tab w:val="left" w:pos="-1440"/>
        </w:tabs>
        <w:rPr>
          <w:b/>
        </w:rPr>
      </w:pPr>
      <w:r w:rsidRPr="001D119A">
        <w:rPr>
          <w:b/>
        </w:rPr>
        <w:t>DESCRIBE ANY CONSIDERATION FOR THE USE OF IMPROVED INFORMATION TECHNOLOGY TO REDUCE BURDEN AND TECHNICAL OR LEGAL OBSTACLES TO REDUCING BURDEN</w:t>
      </w:r>
    </w:p>
    <w:p w:rsidR="00573C31" w:rsidP="00F8150C" w:rsidRDefault="00573C31" w14:paraId="69014BD5" w14:textId="77777777">
      <w:pPr>
        <w:rPr>
          <w:sz w:val="24"/>
        </w:rPr>
      </w:pPr>
    </w:p>
    <w:p w:rsidR="007B7E0C" w:rsidP="00F90719" w:rsidRDefault="0008669A" w14:paraId="2179F510" w14:textId="6A771BCB">
      <w:pPr>
        <w:rPr>
          <w:sz w:val="24"/>
        </w:rPr>
      </w:pPr>
      <w:r>
        <w:rPr>
          <w:sz w:val="24"/>
        </w:rPr>
        <w:lastRenderedPageBreak/>
        <w:t>T</w:t>
      </w:r>
      <w:r w:rsidRPr="00F5428B" w:rsidR="00F8150C">
        <w:rPr>
          <w:sz w:val="24"/>
        </w:rPr>
        <w:t xml:space="preserve">he Commission implemented the capability and requirement for electronic </w:t>
      </w:r>
      <w:r w:rsidR="007B7E0C">
        <w:rPr>
          <w:sz w:val="24"/>
        </w:rPr>
        <w:t xml:space="preserve">tariff </w:t>
      </w:r>
      <w:r w:rsidRPr="00F5428B" w:rsidR="00F8150C">
        <w:rPr>
          <w:sz w:val="24"/>
        </w:rPr>
        <w:t>filing</w:t>
      </w:r>
      <w:r w:rsidR="007B7E0C">
        <w:rPr>
          <w:sz w:val="24"/>
        </w:rPr>
        <w:t>s</w:t>
      </w:r>
      <w:r w:rsidR="00CC0BAF">
        <w:rPr>
          <w:sz w:val="24"/>
        </w:rPr>
        <w:t>.</w:t>
      </w:r>
      <w:r w:rsidRPr="00F5428B">
        <w:rPr>
          <w:sz w:val="24"/>
          <w:vertAlign w:val="superscript"/>
        </w:rPr>
        <w:footnoteReference w:id="9"/>
      </w:r>
      <w:r w:rsidRPr="00F5428B" w:rsidR="00F8150C">
        <w:rPr>
          <w:sz w:val="24"/>
        </w:rPr>
        <w:t xml:space="preserve"> </w:t>
      </w:r>
      <w:r w:rsidR="007B7E0C">
        <w:rPr>
          <w:sz w:val="24"/>
        </w:rPr>
        <w:t xml:space="preserve">Further, the Commission </w:t>
      </w:r>
      <w:r w:rsidRPr="00F5428B" w:rsidR="00F8150C">
        <w:rPr>
          <w:sz w:val="24"/>
        </w:rPr>
        <w:t xml:space="preserve">improved the security </w:t>
      </w:r>
      <w:r w:rsidR="007B7E0C">
        <w:rPr>
          <w:sz w:val="24"/>
        </w:rPr>
        <w:t xml:space="preserve">for </w:t>
      </w:r>
      <w:r w:rsidRPr="00F5428B" w:rsidR="00F8150C">
        <w:rPr>
          <w:sz w:val="24"/>
        </w:rPr>
        <w:t xml:space="preserve">submitting electronic </w:t>
      </w:r>
      <w:r w:rsidR="007B7E0C">
        <w:rPr>
          <w:sz w:val="24"/>
        </w:rPr>
        <w:t xml:space="preserve">tariff </w:t>
      </w:r>
      <w:r w:rsidRPr="00F5428B" w:rsidR="00F8150C">
        <w:rPr>
          <w:sz w:val="24"/>
        </w:rPr>
        <w:t>filings</w:t>
      </w:r>
      <w:r w:rsidR="007B7E0C">
        <w:rPr>
          <w:sz w:val="24"/>
        </w:rPr>
        <w:t xml:space="preserve">.  In addition, the Commission improved </w:t>
      </w:r>
      <w:r w:rsidRPr="00F5428B" w:rsidR="00F8150C">
        <w:rPr>
          <w:sz w:val="24"/>
        </w:rPr>
        <w:t>the pipelines’ online process of appointing and modifying agents with the authority to make a</w:t>
      </w:r>
      <w:r w:rsidR="007B7E0C">
        <w:rPr>
          <w:sz w:val="24"/>
        </w:rPr>
        <w:t xml:space="preserve">n electronic tariff </w:t>
      </w:r>
      <w:r w:rsidRPr="00F5428B" w:rsidR="00F8150C">
        <w:rPr>
          <w:sz w:val="24"/>
        </w:rPr>
        <w:t>filing on the pipeline’s behalf</w:t>
      </w:r>
      <w:r w:rsidR="006C2E0E">
        <w:rPr>
          <w:sz w:val="24"/>
        </w:rPr>
        <w:t>.</w:t>
      </w:r>
    </w:p>
    <w:p w:rsidRPr="00F5428B" w:rsidR="00C4337B" w:rsidP="00F8150C" w:rsidRDefault="00C4337B" w14:paraId="4984098A" w14:textId="77777777">
      <w:pPr>
        <w:rPr>
          <w:sz w:val="24"/>
        </w:rPr>
      </w:pPr>
    </w:p>
    <w:p w:rsidRPr="00F5428B" w:rsidR="00BC15BE" w:rsidP="00BC15BE" w:rsidRDefault="00BC15BE" w14:paraId="696ED31D" w14:textId="77777777">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rsidRPr="00F5428B" w:rsidR="00F8150C" w:rsidP="00F8150C" w:rsidRDefault="00F8150C" w14:paraId="087C3C6A" w14:textId="1442C6D9">
      <w:pPr>
        <w:tabs>
          <w:tab w:val="num" w:pos="0"/>
        </w:tabs>
        <w:spacing w:before="100" w:beforeAutospacing="1" w:after="240"/>
        <w:rPr>
          <w:sz w:val="24"/>
        </w:rPr>
      </w:pPr>
      <w:r w:rsidRPr="00F5428B">
        <w:rPr>
          <w:sz w:val="24"/>
        </w:rPr>
        <w:t>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w:t>
      </w:r>
    </w:p>
    <w:p w:rsidRPr="00F5428B" w:rsidR="00BC15BE" w:rsidP="00BC15BE" w:rsidRDefault="00BC15BE" w14:paraId="21267518" w14:textId="77777777">
      <w:pPr>
        <w:pStyle w:val="Level1"/>
        <w:widowControl/>
        <w:numPr>
          <w:ilvl w:val="0"/>
          <w:numId w:val="0"/>
        </w:numPr>
        <w:tabs>
          <w:tab w:val="left" w:pos="-1440"/>
        </w:tabs>
        <w:ind w:firstLine="720"/>
      </w:pPr>
    </w:p>
    <w:p w:rsidRPr="00F5428B" w:rsidR="00BC15BE" w:rsidP="00BC15BE" w:rsidRDefault="00BC15BE" w14:paraId="5B66D13D" w14:textId="77777777">
      <w:pPr>
        <w:pStyle w:val="Level1"/>
        <w:widowControl/>
        <w:tabs>
          <w:tab w:val="left" w:pos="-1440"/>
          <w:tab w:val="num" w:pos="720"/>
        </w:tabs>
        <w:rPr>
          <w:b/>
        </w:rPr>
      </w:pPr>
      <w:r w:rsidRPr="00F5428B">
        <w:rPr>
          <w:b/>
        </w:rPr>
        <w:t>METHODS USED TO MINIMIZE BURDEN IN COLLECTION OF INFORMATION INVOLVING SMALL ENTITIES</w:t>
      </w:r>
    </w:p>
    <w:p w:rsidR="00966D03" w:rsidP="00F8150C" w:rsidRDefault="00966D03" w14:paraId="19CD3887" w14:textId="77777777">
      <w:pPr>
        <w:rPr>
          <w:sz w:val="24"/>
        </w:rPr>
      </w:pPr>
    </w:p>
    <w:p w:rsidRPr="00F5428B" w:rsidR="00F8150C" w:rsidP="00F8150C" w:rsidRDefault="00F8150C" w14:paraId="70FE6071" w14:textId="1F9114F3">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The SBA (in 13 CFR 121.</w:t>
      </w:r>
      <w:r w:rsidR="00015DA5">
        <w:rPr>
          <w:sz w:val="24"/>
        </w:rPr>
        <w:t>2</w:t>
      </w:r>
      <w:r w:rsidRPr="00F5428B">
        <w:rPr>
          <w:sz w:val="24"/>
        </w:rPr>
        <w:t xml:space="preserve">01) has established a size standard for pipelines transporting natural gas, </w:t>
      </w:r>
      <w:r w:rsidR="00015DA5">
        <w:rPr>
          <w:sz w:val="24"/>
        </w:rPr>
        <w:t xml:space="preserve">currently </w:t>
      </w:r>
      <w:r w:rsidRPr="00F5428B">
        <w:rPr>
          <w:sz w:val="24"/>
        </w:rPr>
        <w:t xml:space="preserve">stating that a firm is a small entity if its </w:t>
      </w:r>
      <w:r w:rsidR="00015DA5">
        <w:rPr>
          <w:sz w:val="24"/>
        </w:rPr>
        <w:t xml:space="preserve">total </w:t>
      </w:r>
      <w:r w:rsidRPr="00F5428B">
        <w:rPr>
          <w:sz w:val="24"/>
        </w:rPr>
        <w:t>annual receipts (in</w:t>
      </w:r>
      <w:r w:rsidR="00015DA5">
        <w:rPr>
          <w:sz w:val="24"/>
        </w:rPr>
        <w:t xml:space="preserve"> combination with </w:t>
      </w:r>
      <w:r w:rsidRPr="00F5428B">
        <w:rPr>
          <w:sz w:val="24"/>
        </w:rPr>
        <w:t>its affiliates) are $</w:t>
      </w:r>
      <w:r w:rsidR="00573C31">
        <w:rPr>
          <w:sz w:val="24"/>
        </w:rPr>
        <w:t>30</w:t>
      </w:r>
      <w:r w:rsidRPr="00F5428B">
        <w:rPr>
          <w:sz w:val="24"/>
        </w:rPr>
        <w:t xml:space="preserve"> million or less.</w:t>
      </w:r>
      <w:r w:rsidRPr="00F5428B">
        <w:rPr>
          <w:rStyle w:val="FootnoteReference"/>
          <w:sz w:val="24"/>
          <w:szCs w:val="24"/>
        </w:rPr>
        <w:footnoteReference w:id="10"/>
      </w:r>
    </w:p>
    <w:p w:rsidR="00966D03" w:rsidP="00F8150C" w:rsidRDefault="00966D03" w14:paraId="02FFEA5C" w14:textId="77777777">
      <w:pPr>
        <w:rPr>
          <w:b/>
          <w:sz w:val="24"/>
        </w:rPr>
      </w:pPr>
    </w:p>
    <w:p w:rsidRPr="00F5428B" w:rsidR="00F8150C" w:rsidP="00F8150C" w:rsidRDefault="00F8150C" w14:paraId="2ECE79F4" w14:textId="13AFAE3F">
      <w:pPr>
        <w:rPr>
          <w:sz w:val="24"/>
        </w:rPr>
      </w:pPr>
      <w:r w:rsidRPr="00F5428B">
        <w:rPr>
          <w:sz w:val="24"/>
        </w:rPr>
        <w:t xml:space="preserve">The </w:t>
      </w:r>
      <w:r w:rsidR="00F90719">
        <w:rPr>
          <w:sz w:val="24"/>
        </w:rPr>
        <w:t xml:space="preserve">FERC-549C </w:t>
      </w:r>
      <w:r w:rsidRPr="00F5428B">
        <w:rPr>
          <w:sz w:val="24"/>
        </w:rPr>
        <w:t>filing</w:t>
      </w:r>
      <w:r w:rsidR="00D74895">
        <w:rPr>
          <w:sz w:val="24"/>
        </w:rPr>
        <w:t xml:space="preserve"> are</w:t>
      </w:r>
      <w:r w:rsidRPr="00F5428B">
        <w:rPr>
          <w:sz w:val="24"/>
        </w:rPr>
        <w:t xml:space="preserve"> requirement</w:t>
      </w:r>
      <w:r w:rsidR="000B2C2A">
        <w:rPr>
          <w:sz w:val="24"/>
        </w:rPr>
        <w:t>s</w:t>
      </w:r>
      <w:r w:rsidRPr="00F5428B">
        <w:rPr>
          <w:sz w:val="24"/>
        </w:rPr>
        <w:t xml:space="preserve"> related to pipeline rate filing obligations for the transportation and storage of natural gas.  The filing</w:t>
      </w:r>
      <w:r w:rsidR="000B2C2A">
        <w:rPr>
          <w:sz w:val="24"/>
        </w:rPr>
        <w:t>s</w:t>
      </w:r>
      <w:r w:rsidRPr="00F5428B">
        <w:rPr>
          <w:sz w:val="24"/>
        </w:rPr>
        <w:t xml:space="preserve"> collect data from both large and small respondent companies.  The data required </w:t>
      </w:r>
      <w:r w:rsidRPr="00F5428B" w:rsidR="00353A27">
        <w:rPr>
          <w:sz w:val="24"/>
        </w:rPr>
        <w:t xml:space="preserve">were designed to </w:t>
      </w:r>
      <w:r w:rsidRPr="00F5428B">
        <w:rPr>
          <w:sz w:val="24"/>
        </w:rPr>
        <w:t xml:space="preserve">impose the least possible burden for companies, while collecting the information required for processing the filings.  Use of the Internet to file documents electronically is the primary method the Commission uses to minimize the </w:t>
      </w:r>
      <w:r w:rsidRPr="00F5428B" w:rsidR="00353A27">
        <w:rPr>
          <w:sz w:val="24"/>
        </w:rPr>
        <w:t xml:space="preserve">filing </w:t>
      </w:r>
      <w:r w:rsidRPr="00F5428B">
        <w:rPr>
          <w:sz w:val="24"/>
        </w:rPr>
        <w:t>burden.</w:t>
      </w:r>
    </w:p>
    <w:p w:rsidRPr="00F5428B" w:rsidR="00BC15BE" w:rsidP="00573C31" w:rsidRDefault="00BC15BE" w14:paraId="1CB13102" w14:textId="77777777">
      <w:pPr>
        <w:pStyle w:val="FERCparanumber"/>
        <w:numPr>
          <w:ilvl w:val="0"/>
          <w:numId w:val="0"/>
        </w:numPr>
        <w:autoSpaceDE w:val="0"/>
        <w:autoSpaceDN w:val="0"/>
        <w:adjustRightInd w:val="0"/>
        <w:rPr>
          <w:sz w:val="24"/>
        </w:rPr>
      </w:pPr>
    </w:p>
    <w:p w:rsidRPr="00F5428B" w:rsidR="00BC15BE" w:rsidP="00BC15BE" w:rsidRDefault="00BC15BE" w14:paraId="54B1E88D" w14:textId="77777777">
      <w:pPr>
        <w:pStyle w:val="Level1"/>
        <w:widowControl/>
        <w:tabs>
          <w:tab w:val="left" w:pos="-1440"/>
          <w:tab w:val="num" w:pos="720"/>
        </w:tabs>
        <w:rPr>
          <w:b/>
        </w:rPr>
      </w:pPr>
      <w:r w:rsidRPr="00F5428B">
        <w:rPr>
          <w:b/>
        </w:rPr>
        <w:t>CONSEQUENCE TO FEDERAL PROGRAM IF COLLECTION WERE CONDUCTED LESS FREQUENTLY</w:t>
      </w:r>
    </w:p>
    <w:p w:rsidR="001B1135" w:rsidP="00F8150C" w:rsidRDefault="001B1135" w14:paraId="2BA137A1" w14:textId="77777777">
      <w:pPr>
        <w:tabs>
          <w:tab w:val="left" w:pos="0"/>
        </w:tabs>
        <w:rPr>
          <w:sz w:val="24"/>
        </w:rPr>
      </w:pPr>
    </w:p>
    <w:p w:rsidRPr="00F5428B" w:rsidR="00F8150C" w:rsidP="00F8150C" w:rsidRDefault="000B2C2A" w14:paraId="62DFD3E8" w14:textId="4678904A">
      <w:pPr>
        <w:tabs>
          <w:tab w:val="left" w:pos="0"/>
        </w:tabs>
        <w:rPr>
          <w:sz w:val="24"/>
        </w:rPr>
      </w:pPr>
      <w:r>
        <w:rPr>
          <w:sz w:val="24"/>
        </w:rPr>
        <w:t xml:space="preserve">The </w:t>
      </w:r>
      <w:r w:rsidR="00573C31">
        <w:rPr>
          <w:sz w:val="24"/>
        </w:rPr>
        <w:t>FERC-549C</w:t>
      </w:r>
      <w:r w:rsidRPr="00F5428B" w:rsidR="00F8150C">
        <w:rPr>
          <w:sz w:val="24"/>
        </w:rPr>
        <w:t xml:space="preserve"> </w:t>
      </w:r>
      <w:r w:rsidR="00BD6B0B">
        <w:rPr>
          <w:sz w:val="24"/>
        </w:rPr>
        <w:t>is a one-time compliance filing</w:t>
      </w:r>
      <w:r w:rsidRPr="00F5428B" w:rsidR="00F8150C">
        <w:rPr>
          <w:sz w:val="24"/>
        </w:rPr>
        <w:t xml:space="preserve">.  Failure to collect the information would prohibit </w:t>
      </w:r>
      <w:r w:rsidR="001B1135">
        <w:rPr>
          <w:sz w:val="24"/>
        </w:rPr>
        <w:t>the Commission</w:t>
      </w:r>
      <w:r w:rsidRPr="00F5428B" w:rsidR="001B1135">
        <w:rPr>
          <w:sz w:val="24"/>
        </w:rPr>
        <w:t xml:space="preserve"> </w:t>
      </w:r>
      <w:r w:rsidRPr="00F5428B" w:rsidR="00F8150C">
        <w:rPr>
          <w:sz w:val="24"/>
        </w:rPr>
        <w:t xml:space="preserve">from properly monitoring and evaluating pipeline transactions and meeting statutory obligations under </w:t>
      </w:r>
      <w:r w:rsidR="001B1135">
        <w:rPr>
          <w:sz w:val="24"/>
        </w:rPr>
        <w:t xml:space="preserve">the </w:t>
      </w:r>
      <w:r>
        <w:rPr>
          <w:sz w:val="24"/>
        </w:rPr>
        <w:t>Natural Gas Policy Act and Natural Gas Act.</w:t>
      </w:r>
    </w:p>
    <w:p w:rsidRPr="00F5428B" w:rsidR="00BC15BE" w:rsidP="00BC15BE" w:rsidRDefault="00BC15BE" w14:paraId="3FD162DE" w14:textId="77777777">
      <w:pPr>
        <w:pStyle w:val="Level1"/>
        <w:widowControl/>
        <w:numPr>
          <w:ilvl w:val="0"/>
          <w:numId w:val="0"/>
        </w:numPr>
        <w:tabs>
          <w:tab w:val="left" w:pos="-1440"/>
        </w:tabs>
      </w:pPr>
    </w:p>
    <w:p w:rsidRPr="00F5428B" w:rsidR="00BC15BE" w:rsidP="00BC15BE" w:rsidRDefault="00BC15BE" w14:paraId="5ECAB497" w14:textId="77777777">
      <w:pPr>
        <w:pStyle w:val="Level1"/>
        <w:widowControl/>
        <w:tabs>
          <w:tab w:val="left" w:pos="-1440"/>
          <w:tab w:val="num" w:pos="720"/>
        </w:tabs>
        <w:rPr>
          <w:b/>
        </w:rPr>
      </w:pPr>
      <w:r w:rsidRPr="00F5428B">
        <w:rPr>
          <w:b/>
        </w:rPr>
        <w:t>EXPLAIN ANY SPECIAL CIRCUMSTANCES RELATING TO THE INFORMATION COLLECTION</w:t>
      </w:r>
    </w:p>
    <w:p w:rsidRPr="00F5428B" w:rsidR="00BC15BE" w:rsidP="00BC15BE" w:rsidRDefault="00BC15BE" w14:paraId="217EEBCF" w14:textId="77777777">
      <w:pPr>
        <w:pStyle w:val="Level1"/>
        <w:numPr>
          <w:ilvl w:val="0"/>
          <w:numId w:val="0"/>
        </w:numPr>
      </w:pPr>
    </w:p>
    <w:p w:rsidRPr="00F5428B" w:rsidR="00F8150C" w:rsidP="00BC15BE" w:rsidRDefault="00BD6B0B" w14:paraId="41837890" w14:textId="63AB7DF5">
      <w:pPr>
        <w:pStyle w:val="Level1"/>
        <w:numPr>
          <w:ilvl w:val="0"/>
          <w:numId w:val="0"/>
        </w:numPr>
      </w:pPr>
      <w:r>
        <w:t xml:space="preserve">The </w:t>
      </w:r>
      <w:r w:rsidR="00573C31">
        <w:t xml:space="preserve">549C </w:t>
      </w:r>
      <w:r w:rsidRPr="00F5428B" w:rsidR="00F8150C">
        <w:t>present</w:t>
      </w:r>
      <w:r>
        <w:t>s</w:t>
      </w:r>
      <w:r w:rsidRPr="00F5428B" w:rsidR="00F8150C">
        <w:t xml:space="preserve"> no special circumstances.</w:t>
      </w:r>
    </w:p>
    <w:p w:rsidRPr="00F5428B" w:rsidR="00F45B52" w:rsidP="00BC15BE" w:rsidRDefault="00F45B52" w14:paraId="6BB4F597" w14:textId="77777777">
      <w:pPr>
        <w:pStyle w:val="Level1"/>
        <w:numPr>
          <w:ilvl w:val="0"/>
          <w:numId w:val="0"/>
        </w:numPr>
      </w:pPr>
    </w:p>
    <w:p w:rsidRPr="00F5428B" w:rsidR="00BC15BE" w:rsidP="00BC15BE" w:rsidRDefault="00BC15BE" w14:paraId="183E946C" w14:textId="77777777">
      <w:pPr>
        <w:pStyle w:val="Level1"/>
        <w:widowControl/>
        <w:tabs>
          <w:tab w:val="left" w:pos="-1440"/>
          <w:tab w:val="num" w:pos="720"/>
        </w:tabs>
        <w:rPr>
          <w:b/>
        </w:rPr>
      </w:pPr>
      <w:r w:rsidRPr="00F5428B">
        <w:rPr>
          <w:b/>
        </w:rPr>
        <w:t>DESCRIBE EFFORTS TO CONSULT OUTSIDE THE AGENCY: SUMMARIZE PUBLIC COMMENTS AND AGENCY'S RESPONSE TO THESE COMMENTS</w:t>
      </w:r>
    </w:p>
    <w:p w:rsidR="00A5298F" w:rsidP="00BC15BE" w:rsidRDefault="00A5298F" w14:paraId="517D2728" w14:textId="169B5E3F">
      <w:pPr>
        <w:tabs>
          <w:tab w:val="left" w:pos="-1440"/>
        </w:tabs>
        <w:rPr>
          <w:sz w:val="24"/>
        </w:rPr>
      </w:pPr>
    </w:p>
    <w:p w:rsidR="0000597D" w:rsidP="008E08A2" w:rsidRDefault="0008669A" w14:paraId="1528E785" w14:textId="5735E42D">
      <w:pPr>
        <w:tabs>
          <w:tab w:val="left" w:pos="-1440"/>
        </w:tabs>
        <w:rPr>
          <w:bCs/>
          <w:sz w:val="24"/>
        </w:rPr>
      </w:pPr>
      <w:r>
        <w:rPr>
          <w:bCs/>
          <w:sz w:val="24"/>
        </w:rPr>
        <w:t>The 60-day notice published on November 15,</w:t>
      </w:r>
      <w:r w:rsidR="00267745">
        <w:rPr>
          <w:bCs/>
          <w:sz w:val="24"/>
        </w:rPr>
        <w:t xml:space="preserve"> </w:t>
      </w:r>
      <w:r>
        <w:rPr>
          <w:bCs/>
          <w:sz w:val="24"/>
        </w:rPr>
        <w:t>2021 (86 FR 63010)</w:t>
      </w:r>
      <w:r w:rsidR="00F27BCC">
        <w:rPr>
          <w:bCs/>
          <w:sz w:val="24"/>
        </w:rPr>
        <w:t>.</w:t>
      </w:r>
      <w:r>
        <w:rPr>
          <w:bCs/>
          <w:sz w:val="24"/>
        </w:rPr>
        <w:t xml:space="preserve"> </w:t>
      </w:r>
      <w:r w:rsidR="00F27BCC">
        <w:rPr>
          <w:bCs/>
          <w:sz w:val="24"/>
        </w:rPr>
        <w:t>N</w:t>
      </w:r>
      <w:r w:rsidRPr="00FB3975" w:rsidR="008E08A2">
        <w:rPr>
          <w:bCs/>
          <w:sz w:val="24"/>
        </w:rPr>
        <w:t>o comments were filed raising any objections to the burden</w:t>
      </w:r>
      <w:r w:rsidR="008E08A2">
        <w:rPr>
          <w:sz w:val="24"/>
        </w:rPr>
        <w:t xml:space="preserve"> </w:t>
      </w:r>
      <w:r w:rsidRPr="00FB3975" w:rsidR="008E08A2">
        <w:rPr>
          <w:bCs/>
          <w:sz w:val="24"/>
        </w:rPr>
        <w:t>estimate</w:t>
      </w:r>
      <w:r>
        <w:rPr>
          <w:bCs/>
          <w:sz w:val="24"/>
        </w:rPr>
        <w:t xml:space="preserve">.  The 30-day notice </w:t>
      </w:r>
      <w:r w:rsidR="00F27BCC">
        <w:rPr>
          <w:bCs/>
          <w:sz w:val="24"/>
        </w:rPr>
        <w:t xml:space="preserve">was </w:t>
      </w:r>
      <w:r>
        <w:rPr>
          <w:bCs/>
          <w:sz w:val="24"/>
        </w:rPr>
        <w:t xml:space="preserve">published on January </w:t>
      </w:r>
      <w:r w:rsidR="0024518E">
        <w:rPr>
          <w:bCs/>
          <w:sz w:val="24"/>
        </w:rPr>
        <w:t>26</w:t>
      </w:r>
      <w:r>
        <w:rPr>
          <w:bCs/>
          <w:sz w:val="24"/>
        </w:rPr>
        <w:t>, 2022</w:t>
      </w:r>
      <w:r w:rsidR="0024518E">
        <w:rPr>
          <w:bCs/>
          <w:sz w:val="24"/>
        </w:rPr>
        <w:t xml:space="preserve"> (87 FR 4012)</w:t>
      </w:r>
      <w:r>
        <w:rPr>
          <w:bCs/>
          <w:sz w:val="24"/>
        </w:rPr>
        <w:t xml:space="preserve">. </w:t>
      </w:r>
    </w:p>
    <w:p w:rsidRPr="00FB3975" w:rsidR="0000597D" w:rsidP="008E08A2" w:rsidRDefault="0000597D" w14:paraId="7AD2A888" w14:textId="77777777">
      <w:pPr>
        <w:tabs>
          <w:tab w:val="left" w:pos="-1440"/>
        </w:tabs>
        <w:rPr>
          <w:sz w:val="24"/>
        </w:rPr>
      </w:pPr>
    </w:p>
    <w:p w:rsidRPr="000973F8" w:rsidR="00BC15BE" w:rsidP="000973F8" w:rsidRDefault="0000597D" w14:paraId="3AD239FD" w14:textId="3EBAB186">
      <w:pPr>
        <w:tabs>
          <w:tab w:val="left" w:pos="-1440"/>
        </w:tabs>
        <w:rPr>
          <w:bCs/>
          <w:sz w:val="24"/>
        </w:rPr>
      </w:pPr>
      <w:r>
        <w:rPr>
          <w:b/>
          <w:sz w:val="24"/>
        </w:rPr>
        <w:t xml:space="preserve">9.           </w:t>
      </w:r>
      <w:r w:rsidRPr="00F5428B" w:rsidR="00BC15BE">
        <w:rPr>
          <w:b/>
          <w:sz w:val="24"/>
        </w:rPr>
        <w:t>EXPLAIN ANY PAYMENT OR GIFTS TO RESPONDENTS</w:t>
      </w:r>
    </w:p>
    <w:p w:rsidR="002F39BD" w:rsidP="00BC15BE" w:rsidRDefault="002F39BD" w14:paraId="7051282D" w14:textId="77777777">
      <w:pPr>
        <w:rPr>
          <w:sz w:val="24"/>
        </w:rPr>
      </w:pPr>
    </w:p>
    <w:p w:rsidRPr="00F5428B" w:rsidR="00BC15BE" w:rsidP="00BC15BE" w:rsidRDefault="00BC15BE" w14:paraId="747F4580" w14:textId="2F1C0C88">
      <w:pPr>
        <w:rPr>
          <w:sz w:val="24"/>
        </w:rPr>
      </w:pPr>
      <w:r w:rsidRPr="00F5428B">
        <w:rPr>
          <w:sz w:val="24"/>
        </w:rPr>
        <w:t>There are no payments or gifts</w:t>
      </w:r>
      <w:r w:rsidR="000326C9">
        <w:rPr>
          <w:sz w:val="24"/>
        </w:rPr>
        <w:t xml:space="preserve"> made or given </w:t>
      </w:r>
      <w:r w:rsidRPr="00F5428B">
        <w:rPr>
          <w:sz w:val="24"/>
        </w:rPr>
        <w:t>to respondents associated with</w:t>
      </w:r>
      <w:r w:rsidR="00CC7AD5">
        <w:rPr>
          <w:sz w:val="24"/>
        </w:rPr>
        <w:t xml:space="preserve"> </w:t>
      </w:r>
      <w:r w:rsidRPr="00F5428B" w:rsidR="00F8150C">
        <w:rPr>
          <w:sz w:val="24"/>
        </w:rPr>
        <w:t>FERC-</w:t>
      </w:r>
      <w:r w:rsidR="00573C31">
        <w:rPr>
          <w:sz w:val="24"/>
        </w:rPr>
        <w:t>549C</w:t>
      </w:r>
      <w:r w:rsidR="006512E7">
        <w:rPr>
          <w:sz w:val="24"/>
        </w:rPr>
        <w:t>.</w:t>
      </w:r>
    </w:p>
    <w:p w:rsidRPr="00F5428B" w:rsidR="00BC15BE" w:rsidP="00BC15BE" w:rsidRDefault="00BC15BE" w14:paraId="519A22C7" w14:textId="77777777">
      <w:pPr>
        <w:ind w:left="720" w:hanging="720"/>
        <w:rPr>
          <w:b/>
          <w:bCs/>
          <w:sz w:val="24"/>
        </w:rPr>
      </w:pPr>
    </w:p>
    <w:p w:rsidRPr="000973F8" w:rsidR="00BC15BE" w:rsidP="000973F8" w:rsidRDefault="0000597D" w14:paraId="2135200F" w14:textId="7B294BF4">
      <w:pPr>
        <w:pStyle w:val="Level1"/>
        <w:numPr>
          <w:ilvl w:val="0"/>
          <w:numId w:val="18"/>
        </w:numPr>
        <w:rPr>
          <w:b/>
        </w:rPr>
      </w:pPr>
      <w:r>
        <w:rPr>
          <w:bCs/>
        </w:rPr>
        <w:t xml:space="preserve"> </w:t>
      </w:r>
      <w:r w:rsidRPr="000973F8" w:rsidR="00BC15BE">
        <w:rPr>
          <w:b/>
        </w:rPr>
        <w:t>DESCRIBE ANY ASSURANCE OF CONFIDENTIALITY PROVIDED TO RESPONDENTS</w:t>
      </w:r>
    </w:p>
    <w:p w:rsidRPr="000973F8" w:rsidR="00DF6937" w:rsidP="000973F8" w:rsidRDefault="00DF6937" w14:paraId="7CAC0BB8" w14:textId="77777777">
      <w:pPr>
        <w:pStyle w:val="Level1"/>
        <w:numPr>
          <w:ilvl w:val="0"/>
          <w:numId w:val="0"/>
        </w:numPr>
        <w:ind w:left="720"/>
        <w:rPr>
          <w:b/>
        </w:rPr>
      </w:pPr>
    </w:p>
    <w:p w:rsidR="00F8150C" w:rsidP="00BC15BE" w:rsidRDefault="00DF6937" w14:paraId="3346081C" w14:textId="13193E52">
      <w:pPr>
        <w:rPr>
          <w:sz w:val="24"/>
        </w:rPr>
      </w:pPr>
      <w:r w:rsidRPr="00DF6937">
        <w:rPr>
          <w:b/>
          <w:bCs/>
          <w:sz w:val="24"/>
        </w:rPr>
        <w:t>FERC-549C data</w:t>
      </w:r>
      <w:r w:rsidRPr="00DF6937">
        <w:rPr>
          <w:sz w:val="24"/>
        </w:rPr>
        <w:t xml:space="preserve">. </w:t>
      </w:r>
      <w:r w:rsidR="00F27BCC">
        <w:rPr>
          <w:sz w:val="24"/>
        </w:rPr>
        <w:t xml:space="preserve"> </w:t>
      </w:r>
      <w:r w:rsidRPr="00DF6937">
        <w:rPr>
          <w:sz w:val="24"/>
        </w:rPr>
        <w:t>NAESB added language to existing Standards 4.3.60, 4.3.61, 10.2.33, and 10.3.25 to clarify the Transport Layer Security protocol,</w:t>
      </w:r>
      <w:r w:rsidRPr="00DF6937">
        <w:rPr>
          <w:b/>
          <w:sz w:val="24"/>
          <w:vertAlign w:val="superscript"/>
        </w:rPr>
        <w:footnoteReference w:id="11"/>
      </w:r>
      <w:r w:rsidRPr="00DF6937">
        <w:rPr>
          <w:sz w:val="24"/>
        </w:rPr>
        <w:t xml:space="preserve"> which encrypts data to hide information from electronic observers on the internet.  NAESB also deleted all references to the Secure Sockets Layer protocol in the standards. Concerning identification key lengths, the Sandia Surety Assessment recommended that </w:t>
      </w:r>
      <w:proofErr w:type="spellStart"/>
      <w:r w:rsidRPr="00DF6937">
        <w:rPr>
          <w:sz w:val="24"/>
        </w:rPr>
        <w:t>Rivest</w:t>
      </w:r>
      <w:proofErr w:type="spellEnd"/>
      <w:r w:rsidRPr="00DF6937">
        <w:rPr>
          <w:sz w:val="24"/>
        </w:rPr>
        <w:t>-Shamir-Adelman keys</w:t>
      </w:r>
      <w:r w:rsidRPr="00DF6937">
        <w:rPr>
          <w:b/>
          <w:sz w:val="24"/>
          <w:vertAlign w:val="superscript"/>
        </w:rPr>
        <w:footnoteReference w:id="12"/>
      </w:r>
      <w:r w:rsidRPr="00DF6937">
        <w:rPr>
          <w:sz w:val="24"/>
        </w:rPr>
        <w:t xml:space="preserve"> must be no shorter than 2048 bits, Elliptic Curve Digital Signature Algorithm keys</w:t>
      </w:r>
      <w:r w:rsidRPr="00DF6937">
        <w:rPr>
          <w:b/>
          <w:sz w:val="24"/>
          <w:vertAlign w:val="superscript"/>
        </w:rPr>
        <w:footnoteReference w:id="13"/>
      </w:r>
      <w:r w:rsidRPr="00DF6937">
        <w:rPr>
          <w:sz w:val="24"/>
        </w:rPr>
        <w:t xml:space="preserve"> must be no shorter than 224 bits, Hash</w:t>
      </w:r>
      <w:r w:rsidRPr="00DF6937">
        <w:rPr>
          <w:b/>
          <w:sz w:val="24"/>
          <w:vertAlign w:val="superscript"/>
        </w:rPr>
        <w:footnoteReference w:id="14"/>
      </w:r>
      <w:r w:rsidRPr="00DF6937">
        <w:rPr>
          <w:sz w:val="24"/>
        </w:rPr>
        <w:t xml:space="preserve"> algorithms should be from the Secure Hash Algorithm (SHA)-2</w:t>
      </w:r>
      <w:r w:rsidRPr="00DF6937">
        <w:rPr>
          <w:b/>
          <w:sz w:val="24"/>
          <w:vertAlign w:val="superscript"/>
        </w:rPr>
        <w:footnoteReference w:id="15"/>
      </w:r>
      <w:r w:rsidRPr="00DF6937">
        <w:rPr>
          <w:sz w:val="24"/>
        </w:rPr>
        <w:t xml:space="preserve"> or SHA-3 families, and acceptable Advanced Encryption Standard key lengths range from 128, to 192, to 256.  The </w:t>
      </w:r>
      <w:r w:rsidRPr="00DF6937">
        <w:rPr>
          <w:sz w:val="24"/>
        </w:rPr>
        <w:lastRenderedPageBreak/>
        <w:t>Sandia Surety Assessment recommended that, in general, implementors use the largest feasible key length consistent with implementation of current business processes.  In response, NAESB deleted Standard 4.3.83 to remove legacy support references and maintain a minimum encryption strength of 128 bits.  Further, NAESB revised existing Standards 10.2.34 and 10.3.15 to delete a proprietary Pretty Good Privacy (PGP)</w:t>
      </w:r>
      <w:r w:rsidRPr="00DF6937">
        <w:rPr>
          <w:b/>
          <w:sz w:val="24"/>
          <w:vertAlign w:val="superscript"/>
        </w:rPr>
        <w:footnoteReference w:id="16"/>
      </w:r>
      <w:r w:rsidR="00CC0BAF">
        <w:rPr>
          <w:sz w:val="24"/>
        </w:rPr>
        <w:t xml:space="preserve"> </w:t>
      </w:r>
      <w:r w:rsidRPr="00DF6937">
        <w:rPr>
          <w:sz w:val="24"/>
        </w:rPr>
        <w:t xml:space="preserve">related hyperlink and to accommodate license-free </w:t>
      </w:r>
      <w:proofErr w:type="spellStart"/>
      <w:r w:rsidRPr="00DF6937">
        <w:rPr>
          <w:sz w:val="24"/>
        </w:rPr>
        <w:t>OpenPGP</w:t>
      </w:r>
      <w:proofErr w:type="spellEnd"/>
      <w:r w:rsidRPr="00DF6937">
        <w:rPr>
          <w:sz w:val="24"/>
        </w:rPr>
        <w:t xml:space="preserve">, respectively.  NAESB also adopted a new Standard 10.2.39 to specify that </w:t>
      </w:r>
      <w:proofErr w:type="spellStart"/>
      <w:r w:rsidRPr="00DF6937">
        <w:rPr>
          <w:sz w:val="24"/>
        </w:rPr>
        <w:t>OpenPGP</w:t>
      </w:r>
      <w:proofErr w:type="spellEnd"/>
      <w:r w:rsidRPr="00DF6937">
        <w:rPr>
          <w:sz w:val="24"/>
        </w:rPr>
        <w:t xml:space="preserve"> should be used to create public and private keys for privacy and digital signature applications. </w:t>
      </w:r>
      <w:r w:rsidR="00F27BCC">
        <w:rPr>
          <w:sz w:val="24"/>
        </w:rPr>
        <w:t xml:space="preserve"> </w:t>
      </w:r>
      <w:r w:rsidRPr="00DF6937">
        <w:rPr>
          <w:sz w:val="24"/>
        </w:rPr>
        <w:t>In general, for submittals to the Commission, filers may submit specific requests for confidential treatment to the extent permitted by law; details are available in 18 C.F.R. Section 388.112.</w:t>
      </w:r>
    </w:p>
    <w:p w:rsidRPr="00F5428B" w:rsidR="00206528" w:rsidP="00BC15BE" w:rsidRDefault="00206528" w14:paraId="412A393E" w14:textId="77777777">
      <w:pPr>
        <w:rPr>
          <w:sz w:val="24"/>
        </w:rPr>
      </w:pPr>
    </w:p>
    <w:p w:rsidRPr="00F5428B" w:rsidR="00BC15BE" w:rsidP="00BC15BE" w:rsidRDefault="00BC15BE" w14:paraId="20B1F703" w14:textId="77777777">
      <w:pPr>
        <w:pStyle w:val="Level1"/>
        <w:numPr>
          <w:ilvl w:val="0"/>
          <w:numId w:val="3"/>
        </w:numPr>
        <w:rPr>
          <w:b/>
        </w:rPr>
      </w:pPr>
      <w:r w:rsidRPr="00F5428B">
        <w:rPr>
          <w:b/>
        </w:rPr>
        <w:t>PROVIDE ADDITIONAL JUSTIFICATION FOR ANY QUESTIONS OF A SENSITIVE NATURE, SUCH AS SEXUAL BEHAVIOR AND ATTITUDES, RELIGIOUS BELIEFS, AND OTHER MATTERS THAT ARE COMMONLY CONSIDERED PRIVATE.</w:t>
      </w:r>
    </w:p>
    <w:p w:rsidR="00A17430" w:rsidP="00BC15BE" w:rsidRDefault="00A17430" w14:paraId="46AEDFC5" w14:textId="77777777">
      <w:pPr>
        <w:rPr>
          <w:sz w:val="24"/>
        </w:rPr>
      </w:pPr>
    </w:p>
    <w:p w:rsidRPr="00F5428B" w:rsidR="00BC15BE" w:rsidP="00BC15BE" w:rsidRDefault="00BC15BE" w14:paraId="3DCB60E8" w14:textId="77777777">
      <w:pPr>
        <w:rPr>
          <w:sz w:val="24"/>
        </w:rPr>
      </w:pPr>
      <w:r w:rsidRPr="00F5428B">
        <w:rPr>
          <w:sz w:val="24"/>
        </w:rPr>
        <w:t>There are no questions of a sensitive nature in the reporting requirements.</w:t>
      </w:r>
    </w:p>
    <w:p w:rsidRPr="00F5428B" w:rsidR="00BC15BE" w:rsidP="00BC15BE" w:rsidRDefault="00BC15BE" w14:paraId="3E51840A" w14:textId="77777777">
      <w:pPr>
        <w:rPr>
          <w:sz w:val="24"/>
        </w:rPr>
      </w:pPr>
    </w:p>
    <w:p w:rsidR="00BC15BE" w:rsidP="00BC15BE" w:rsidRDefault="00BC15BE" w14:paraId="584352B7" w14:textId="1EBBC641">
      <w:pPr>
        <w:pStyle w:val="Level1"/>
        <w:rPr>
          <w:b/>
        </w:rPr>
      </w:pPr>
      <w:r w:rsidRPr="00F5428B">
        <w:rPr>
          <w:b/>
        </w:rPr>
        <w:t>ESTIMATED BURDEN OF COLLECTION OF INFORMATION</w:t>
      </w:r>
    </w:p>
    <w:p w:rsidRPr="00F5428B" w:rsidR="006D5606" w:rsidP="006D5606" w:rsidRDefault="006D5606" w14:paraId="24B166E2" w14:textId="77777777">
      <w:pPr>
        <w:pStyle w:val="Level1"/>
        <w:numPr>
          <w:ilvl w:val="0"/>
          <w:numId w:val="0"/>
        </w:numPr>
        <w:rPr>
          <w:b/>
        </w:rPr>
      </w:pPr>
    </w:p>
    <w:p w:rsidR="00CF1BAF" w:rsidP="006D5606" w:rsidRDefault="00CF1BAF" w14:paraId="47D509A5" w14:textId="0D420E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342537">
        <w:rPr>
          <w:i/>
          <w:szCs w:val="26"/>
        </w:rPr>
        <w:t>Estimate of Annual Burden</w:t>
      </w:r>
      <w:r w:rsidR="00CC0BAF">
        <w:rPr>
          <w:i/>
          <w:szCs w:val="26"/>
        </w:rPr>
        <w:t>.</w:t>
      </w:r>
      <w:r w:rsidRPr="00342537">
        <w:rPr>
          <w:b/>
          <w:i/>
          <w:szCs w:val="26"/>
          <w:vertAlign w:val="superscript"/>
        </w:rPr>
        <w:footnoteReference w:id="17"/>
      </w:r>
      <w:r w:rsidRPr="00342537">
        <w:rPr>
          <w:i/>
          <w:szCs w:val="26"/>
        </w:rPr>
        <w:t xml:space="preserve"> </w:t>
      </w:r>
      <w:r w:rsidRPr="00342537">
        <w:rPr>
          <w:szCs w:val="26"/>
        </w:rPr>
        <w:t>The Commission estimates the total annual burden and cost</w:t>
      </w:r>
      <w:r w:rsidRPr="00342537">
        <w:rPr>
          <w:b/>
          <w:szCs w:val="26"/>
          <w:vertAlign w:val="superscript"/>
        </w:rPr>
        <w:footnoteReference w:id="18"/>
      </w:r>
      <w:r w:rsidRPr="00342537">
        <w:rPr>
          <w:szCs w:val="26"/>
          <w:vertAlign w:val="superscript"/>
        </w:rPr>
        <w:t xml:space="preserve"> </w:t>
      </w:r>
      <w:r w:rsidRPr="00342537">
        <w:rPr>
          <w:szCs w:val="26"/>
        </w:rPr>
        <w:t>for this information collection as follows:</w:t>
      </w:r>
      <w:r w:rsidRPr="00342537" w:rsidDel="00D55408">
        <w:rPr>
          <w:szCs w:val="26"/>
        </w:rPr>
        <w:t xml:space="preserve"> </w:t>
      </w:r>
    </w:p>
    <w:p w:rsidR="00CF1BAF" w:rsidP="00CF1BAF" w:rsidRDefault="00CF1BAF" w14:paraId="52DFDF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03"/>
        <w:gridCol w:w="1080"/>
        <w:gridCol w:w="1260"/>
        <w:gridCol w:w="1709"/>
        <w:gridCol w:w="1312"/>
      </w:tblGrid>
      <w:tr w:rsidRPr="002D35D1" w:rsidR="00CF1BAF" w:rsidTr="00D440EC" w14:paraId="5F6DE1BC" w14:textId="77777777">
        <w:trPr>
          <w:cantSplit/>
        </w:trPr>
        <w:tc>
          <w:tcPr>
            <w:tcW w:w="5000" w:type="pct"/>
            <w:gridSpan w:val="7"/>
            <w:tcBorders>
              <w:bottom w:val="single" w:color="auto" w:sz="4" w:space="0"/>
            </w:tcBorders>
            <w:shd w:val="clear" w:color="auto" w:fill="D9D9D9"/>
          </w:tcPr>
          <w:p w:rsidRPr="002D35D1" w:rsidR="00CF1BAF" w:rsidP="00D440EC" w:rsidRDefault="00CF1BAF" w14:paraId="7197964C" w14:textId="77777777">
            <w:pPr>
              <w:jc w:val="center"/>
              <w:rPr>
                <w:rFonts w:eastAsia="Calibri"/>
                <w:b/>
                <w:sz w:val="24"/>
              </w:rPr>
            </w:pPr>
            <w:r w:rsidRPr="002D35D1">
              <w:rPr>
                <w:rFonts w:eastAsia="Calibri"/>
                <w:b/>
                <w:sz w:val="24"/>
              </w:rPr>
              <w:t>FERC-549C: Standards for Business Practices of Interstate Natural Gas Pipelines</w:t>
            </w:r>
          </w:p>
        </w:tc>
      </w:tr>
      <w:tr w:rsidRPr="002D35D1" w:rsidR="00CF1BAF" w:rsidTr="00DE1FCB" w14:paraId="696ECF2C" w14:textId="77777777">
        <w:trPr>
          <w:cantSplit/>
        </w:trPr>
        <w:tc>
          <w:tcPr>
            <w:tcW w:w="878" w:type="pct"/>
            <w:shd w:val="clear" w:color="auto" w:fill="D9D9D9"/>
          </w:tcPr>
          <w:p w:rsidRPr="002D35D1" w:rsidR="00CF1BAF" w:rsidP="00D440EC" w:rsidRDefault="00CF1BAF" w14:paraId="1579DA84" w14:textId="77777777">
            <w:pPr>
              <w:jc w:val="center"/>
              <w:rPr>
                <w:rFonts w:eastAsia="Calibri"/>
                <w:b/>
                <w:sz w:val="24"/>
              </w:rPr>
            </w:pPr>
          </w:p>
        </w:tc>
        <w:tc>
          <w:tcPr>
            <w:tcW w:w="746" w:type="pct"/>
            <w:shd w:val="clear" w:color="auto" w:fill="D9D9D9"/>
            <w:vAlign w:val="bottom"/>
          </w:tcPr>
          <w:p w:rsidRPr="002D35D1" w:rsidR="00CF1BAF" w:rsidP="00D440EC" w:rsidRDefault="00CF1BAF" w14:paraId="7EC0BF09" w14:textId="77777777">
            <w:pPr>
              <w:jc w:val="center"/>
              <w:rPr>
                <w:rFonts w:eastAsia="Calibri"/>
                <w:b/>
                <w:sz w:val="24"/>
              </w:rPr>
            </w:pPr>
            <w:r w:rsidRPr="002D35D1">
              <w:rPr>
                <w:rFonts w:eastAsia="Calibri"/>
                <w:b/>
                <w:sz w:val="24"/>
              </w:rPr>
              <w:t>Number of Respondents</w:t>
            </w:r>
            <w:r w:rsidRPr="002D35D1">
              <w:rPr>
                <w:rFonts w:eastAsia="Calibri"/>
                <w:b/>
                <w:sz w:val="24"/>
              </w:rPr>
              <w:br/>
              <w:t>(1)</w:t>
            </w:r>
          </w:p>
        </w:tc>
        <w:tc>
          <w:tcPr>
            <w:tcW w:w="700" w:type="pct"/>
            <w:shd w:val="clear" w:color="auto" w:fill="D9D9D9"/>
            <w:vAlign w:val="bottom"/>
          </w:tcPr>
          <w:p w:rsidRPr="002D35D1" w:rsidR="00CF1BAF" w:rsidP="00D440EC" w:rsidRDefault="00CF1BAF" w14:paraId="436DA83E" w14:textId="77777777">
            <w:pPr>
              <w:jc w:val="center"/>
              <w:rPr>
                <w:rFonts w:eastAsia="Calibri"/>
                <w:b/>
                <w:sz w:val="24"/>
              </w:rPr>
            </w:pPr>
            <w:r w:rsidRPr="002D35D1">
              <w:rPr>
                <w:rFonts w:eastAsia="Calibri"/>
                <w:b/>
                <w:sz w:val="24"/>
              </w:rPr>
              <w:t>Average Number of Responses per Respondent</w:t>
            </w:r>
          </w:p>
          <w:p w:rsidRPr="002D35D1" w:rsidR="00CF1BAF" w:rsidP="00D440EC" w:rsidRDefault="00CF1BAF" w14:paraId="60DC229F" w14:textId="77777777">
            <w:pPr>
              <w:jc w:val="center"/>
              <w:rPr>
                <w:rFonts w:eastAsia="Calibri"/>
                <w:b/>
                <w:sz w:val="24"/>
              </w:rPr>
            </w:pPr>
            <w:r w:rsidRPr="002D35D1">
              <w:rPr>
                <w:rFonts w:eastAsia="Calibri"/>
                <w:b/>
                <w:sz w:val="24"/>
              </w:rPr>
              <w:t>(2)</w:t>
            </w:r>
          </w:p>
        </w:tc>
        <w:tc>
          <w:tcPr>
            <w:tcW w:w="539" w:type="pct"/>
            <w:shd w:val="clear" w:color="auto" w:fill="D9D9D9"/>
            <w:vAlign w:val="bottom"/>
          </w:tcPr>
          <w:p w:rsidRPr="002D35D1" w:rsidR="00CF1BAF" w:rsidP="00D440EC" w:rsidRDefault="00CF1BAF" w14:paraId="78290E44" w14:textId="77777777">
            <w:pPr>
              <w:jc w:val="center"/>
              <w:rPr>
                <w:rFonts w:eastAsia="Calibri"/>
                <w:b/>
                <w:sz w:val="24"/>
              </w:rPr>
            </w:pPr>
            <w:r w:rsidRPr="002D35D1">
              <w:rPr>
                <w:rFonts w:eastAsia="Calibri"/>
                <w:b/>
                <w:sz w:val="24"/>
              </w:rPr>
              <w:t>Total Number of Responses (</w:t>
            </w:r>
            <w:proofErr w:type="gramStart"/>
            <w:r w:rsidRPr="002D35D1">
              <w:rPr>
                <w:rFonts w:eastAsia="Calibri"/>
                <w:b/>
                <w:sz w:val="24"/>
              </w:rPr>
              <w:t>1)*</w:t>
            </w:r>
            <w:proofErr w:type="gramEnd"/>
            <w:r w:rsidRPr="002D35D1">
              <w:rPr>
                <w:rFonts w:eastAsia="Calibri"/>
                <w:b/>
                <w:sz w:val="24"/>
              </w:rPr>
              <w:t>(2)=(3)</w:t>
            </w:r>
          </w:p>
        </w:tc>
        <w:tc>
          <w:tcPr>
            <w:tcW w:w="629" w:type="pct"/>
            <w:shd w:val="clear" w:color="auto" w:fill="D9D9D9"/>
            <w:vAlign w:val="bottom"/>
          </w:tcPr>
          <w:p w:rsidRPr="002D35D1" w:rsidR="00CF1BAF" w:rsidP="00D440EC" w:rsidRDefault="00CF1BAF" w14:paraId="5A15451B" w14:textId="77777777">
            <w:pPr>
              <w:jc w:val="center"/>
              <w:rPr>
                <w:rFonts w:eastAsia="Calibri"/>
                <w:b/>
                <w:sz w:val="24"/>
              </w:rPr>
            </w:pPr>
            <w:r w:rsidRPr="002D35D1">
              <w:rPr>
                <w:rFonts w:eastAsia="Calibri"/>
                <w:b/>
                <w:sz w:val="24"/>
              </w:rPr>
              <w:t>Average Burden &amp; Cost Per Response</w:t>
            </w:r>
            <w:r w:rsidRPr="002D35D1">
              <w:rPr>
                <w:rFonts w:eastAsia="Calibri"/>
                <w:b/>
                <w:sz w:val="24"/>
                <w:vertAlign w:val="superscript"/>
              </w:rPr>
              <w:footnoteReference w:id="19"/>
            </w:r>
          </w:p>
          <w:p w:rsidRPr="002D35D1" w:rsidR="00CF1BAF" w:rsidP="00D440EC" w:rsidRDefault="00CF1BAF" w14:paraId="7D090721" w14:textId="77777777">
            <w:pPr>
              <w:jc w:val="center"/>
              <w:rPr>
                <w:rFonts w:eastAsia="Calibri"/>
                <w:b/>
                <w:sz w:val="24"/>
              </w:rPr>
            </w:pPr>
            <w:r w:rsidRPr="002D35D1">
              <w:rPr>
                <w:rFonts w:eastAsia="Calibri"/>
                <w:b/>
                <w:sz w:val="24"/>
              </w:rPr>
              <w:t>(4)</w:t>
            </w:r>
          </w:p>
        </w:tc>
        <w:tc>
          <w:tcPr>
            <w:tcW w:w="853" w:type="pct"/>
            <w:shd w:val="clear" w:color="auto" w:fill="D9D9D9"/>
            <w:vAlign w:val="bottom"/>
          </w:tcPr>
          <w:p w:rsidRPr="002D35D1" w:rsidR="00CF1BAF" w:rsidP="00D440EC" w:rsidRDefault="00CF1BAF" w14:paraId="5E637386" w14:textId="77777777">
            <w:pPr>
              <w:jc w:val="center"/>
              <w:rPr>
                <w:rFonts w:eastAsia="Calibri"/>
                <w:b/>
                <w:sz w:val="24"/>
              </w:rPr>
            </w:pPr>
            <w:r w:rsidRPr="002D35D1">
              <w:rPr>
                <w:rFonts w:eastAsia="Calibri"/>
                <w:b/>
                <w:sz w:val="24"/>
              </w:rPr>
              <w:t>Total Annual Burden Hours &amp; Total Annual Cost</w:t>
            </w:r>
          </w:p>
          <w:p w:rsidRPr="002D35D1" w:rsidR="00CF1BAF" w:rsidP="00D440EC" w:rsidRDefault="00CF1BAF" w14:paraId="2853C34F" w14:textId="77777777">
            <w:pPr>
              <w:jc w:val="center"/>
              <w:rPr>
                <w:rFonts w:eastAsia="Calibri"/>
                <w:b/>
                <w:sz w:val="24"/>
              </w:rPr>
            </w:pPr>
            <w:r w:rsidRPr="002D35D1">
              <w:rPr>
                <w:rFonts w:eastAsia="Calibri"/>
                <w:b/>
                <w:sz w:val="24"/>
              </w:rPr>
              <w:t>(</w:t>
            </w:r>
            <w:proofErr w:type="gramStart"/>
            <w:r w:rsidRPr="002D35D1">
              <w:rPr>
                <w:rFonts w:eastAsia="Calibri"/>
                <w:b/>
                <w:sz w:val="24"/>
              </w:rPr>
              <w:t>3)*</w:t>
            </w:r>
            <w:proofErr w:type="gramEnd"/>
            <w:r w:rsidRPr="002D35D1">
              <w:rPr>
                <w:rFonts w:eastAsia="Calibri"/>
                <w:b/>
                <w:sz w:val="24"/>
              </w:rPr>
              <w:t>(4)=(5)</w:t>
            </w:r>
          </w:p>
        </w:tc>
        <w:tc>
          <w:tcPr>
            <w:tcW w:w="655" w:type="pct"/>
            <w:shd w:val="clear" w:color="auto" w:fill="D9D9D9"/>
            <w:vAlign w:val="bottom"/>
          </w:tcPr>
          <w:p w:rsidRPr="002D35D1" w:rsidR="00CF1BAF" w:rsidP="00D440EC" w:rsidRDefault="00CF1BAF" w14:paraId="30786932" w14:textId="77777777">
            <w:pPr>
              <w:jc w:val="center"/>
              <w:rPr>
                <w:rFonts w:eastAsia="Calibri"/>
                <w:b/>
                <w:sz w:val="24"/>
              </w:rPr>
            </w:pPr>
            <w:r w:rsidRPr="002D35D1">
              <w:rPr>
                <w:rFonts w:eastAsia="Calibri"/>
                <w:b/>
                <w:sz w:val="24"/>
              </w:rPr>
              <w:t>Cost per Respondent</w:t>
            </w:r>
          </w:p>
          <w:p w:rsidRPr="002D35D1" w:rsidR="00CF1BAF" w:rsidP="00D440EC" w:rsidRDefault="00CF1BAF" w14:paraId="16685F2F" w14:textId="77777777">
            <w:pPr>
              <w:jc w:val="center"/>
              <w:rPr>
                <w:rFonts w:eastAsia="Calibri"/>
                <w:b/>
                <w:sz w:val="24"/>
              </w:rPr>
            </w:pPr>
            <w:r w:rsidRPr="002D35D1">
              <w:rPr>
                <w:rFonts w:eastAsia="Calibri"/>
                <w:b/>
                <w:sz w:val="24"/>
              </w:rPr>
              <w:t xml:space="preserve"> ($)</w:t>
            </w:r>
          </w:p>
          <w:p w:rsidRPr="002D35D1" w:rsidR="00CF1BAF" w:rsidP="00D440EC" w:rsidRDefault="00CF1BAF" w14:paraId="3D185482" w14:textId="77777777">
            <w:pPr>
              <w:jc w:val="center"/>
              <w:rPr>
                <w:rFonts w:eastAsia="Calibri"/>
                <w:b/>
                <w:sz w:val="24"/>
              </w:rPr>
            </w:pPr>
            <w:r w:rsidRPr="002D35D1">
              <w:rPr>
                <w:rFonts w:eastAsia="Calibri"/>
                <w:b/>
                <w:sz w:val="24"/>
              </w:rPr>
              <w:t>(</w:t>
            </w:r>
            <w:proofErr w:type="gramStart"/>
            <w:r w:rsidRPr="002D35D1">
              <w:rPr>
                <w:rFonts w:eastAsia="Calibri"/>
                <w:b/>
                <w:sz w:val="24"/>
              </w:rPr>
              <w:t>5)÷</w:t>
            </w:r>
            <w:proofErr w:type="gramEnd"/>
            <w:r w:rsidRPr="002D35D1">
              <w:rPr>
                <w:rFonts w:eastAsia="Calibri"/>
                <w:b/>
                <w:sz w:val="24"/>
              </w:rPr>
              <w:t>(1)</w:t>
            </w:r>
          </w:p>
        </w:tc>
      </w:tr>
      <w:tr w:rsidRPr="002D35D1" w:rsidR="00CF1BAF" w:rsidTr="00DE1FCB" w14:paraId="7D900AAC" w14:textId="77777777">
        <w:trPr>
          <w:cantSplit/>
        </w:trPr>
        <w:tc>
          <w:tcPr>
            <w:tcW w:w="878" w:type="pct"/>
          </w:tcPr>
          <w:p w:rsidRPr="002D35D1" w:rsidR="00CF1BAF" w:rsidP="00D440EC" w:rsidRDefault="00CE046E" w14:paraId="5B0EC3EB" w14:textId="2FF078C6">
            <w:pPr>
              <w:rPr>
                <w:rFonts w:eastAsia="Calibri"/>
                <w:sz w:val="24"/>
              </w:rPr>
            </w:pPr>
            <w:r w:rsidRPr="002D35D1">
              <w:rPr>
                <w:rFonts w:eastAsia="Calibri"/>
                <w:sz w:val="24"/>
              </w:rPr>
              <w:t>Burden from Final Rule RM96-1-42 (NAESB Version 3.2)</w:t>
            </w:r>
          </w:p>
        </w:tc>
        <w:tc>
          <w:tcPr>
            <w:tcW w:w="746" w:type="pct"/>
          </w:tcPr>
          <w:p w:rsidRPr="002D35D1" w:rsidR="00CF1BAF" w:rsidP="00D440EC" w:rsidRDefault="00A12AE9" w14:paraId="607EEEA7" w14:textId="4FA1F9A1">
            <w:pPr>
              <w:jc w:val="right"/>
              <w:rPr>
                <w:rFonts w:eastAsia="Calibri"/>
                <w:sz w:val="24"/>
              </w:rPr>
            </w:pPr>
            <w:r>
              <w:rPr>
                <w:rFonts w:eastAsia="Calibri"/>
                <w:sz w:val="24"/>
              </w:rPr>
              <w:t>59</w:t>
            </w:r>
            <w:r w:rsidR="00DE1FCB">
              <w:rPr>
                <w:rFonts w:eastAsia="Calibri"/>
                <w:sz w:val="24"/>
              </w:rPr>
              <w:t>.33</w:t>
            </w:r>
          </w:p>
          <w:p w:rsidRPr="002D35D1" w:rsidR="00CF1BAF" w:rsidP="00D440EC" w:rsidRDefault="00CF1BAF" w14:paraId="0096662C" w14:textId="77777777">
            <w:pPr>
              <w:jc w:val="right"/>
              <w:rPr>
                <w:rFonts w:eastAsia="Calibri"/>
                <w:sz w:val="24"/>
              </w:rPr>
            </w:pPr>
          </w:p>
        </w:tc>
        <w:tc>
          <w:tcPr>
            <w:tcW w:w="700" w:type="pct"/>
          </w:tcPr>
          <w:p w:rsidRPr="002D35D1" w:rsidR="00CF1BAF" w:rsidP="00D440EC" w:rsidRDefault="00CF1BAF" w14:paraId="24DA4FDF" w14:textId="77777777">
            <w:pPr>
              <w:jc w:val="right"/>
              <w:rPr>
                <w:rFonts w:eastAsia="Calibri"/>
                <w:sz w:val="24"/>
              </w:rPr>
            </w:pPr>
            <w:r w:rsidRPr="002D35D1">
              <w:rPr>
                <w:rFonts w:eastAsia="Calibri"/>
                <w:sz w:val="24"/>
              </w:rPr>
              <w:t>1</w:t>
            </w:r>
          </w:p>
        </w:tc>
        <w:tc>
          <w:tcPr>
            <w:tcW w:w="539" w:type="pct"/>
          </w:tcPr>
          <w:p w:rsidRPr="002D35D1" w:rsidR="00CF1BAF" w:rsidP="00D440EC" w:rsidRDefault="00B77DBC" w14:paraId="6636E618" w14:textId="5A38D368">
            <w:pPr>
              <w:jc w:val="right"/>
              <w:rPr>
                <w:rFonts w:eastAsia="Calibri"/>
                <w:sz w:val="24"/>
              </w:rPr>
            </w:pPr>
            <w:r>
              <w:rPr>
                <w:rFonts w:eastAsia="Calibri"/>
                <w:sz w:val="24"/>
              </w:rPr>
              <w:t>59</w:t>
            </w:r>
            <w:r w:rsidR="00DE1FCB">
              <w:rPr>
                <w:rFonts w:eastAsia="Calibri"/>
                <w:sz w:val="24"/>
              </w:rPr>
              <w:t>.33</w:t>
            </w:r>
          </w:p>
        </w:tc>
        <w:tc>
          <w:tcPr>
            <w:tcW w:w="629" w:type="pct"/>
          </w:tcPr>
          <w:p w:rsidRPr="002D35D1" w:rsidR="00CF1BAF" w:rsidP="00D440EC" w:rsidRDefault="00DE1FCB" w14:paraId="63260204" w14:textId="1B2DFFC2">
            <w:pPr>
              <w:jc w:val="right"/>
              <w:rPr>
                <w:rFonts w:eastAsia="Calibri"/>
                <w:sz w:val="24"/>
              </w:rPr>
            </w:pPr>
            <w:r>
              <w:rPr>
                <w:rFonts w:eastAsia="Calibri"/>
                <w:sz w:val="24"/>
              </w:rPr>
              <w:t>100</w:t>
            </w:r>
            <w:r w:rsidRPr="002D35D1" w:rsidR="00CF1BAF">
              <w:rPr>
                <w:rFonts w:eastAsia="Calibri"/>
                <w:sz w:val="24"/>
              </w:rPr>
              <w:t xml:space="preserve"> </w:t>
            </w:r>
            <w:proofErr w:type="gramStart"/>
            <w:r w:rsidRPr="002D35D1" w:rsidR="00CF1BAF">
              <w:rPr>
                <w:rFonts w:eastAsia="Calibri"/>
                <w:sz w:val="24"/>
              </w:rPr>
              <w:t>hrs.;</w:t>
            </w:r>
            <w:proofErr w:type="gramEnd"/>
          </w:p>
          <w:p w:rsidRPr="002D35D1" w:rsidR="00CF1BAF" w:rsidP="00D440EC" w:rsidRDefault="00CF1BAF" w14:paraId="44284D23" w14:textId="78236C57">
            <w:pPr>
              <w:jc w:val="right"/>
              <w:rPr>
                <w:rFonts w:eastAsia="Calibri"/>
                <w:sz w:val="24"/>
              </w:rPr>
            </w:pPr>
            <w:r w:rsidRPr="002D35D1">
              <w:rPr>
                <w:rFonts w:eastAsia="Calibri"/>
                <w:sz w:val="24"/>
              </w:rPr>
              <w:t>$</w:t>
            </w:r>
            <w:r w:rsidR="00DE1FCB">
              <w:rPr>
                <w:rFonts w:eastAsia="Calibri"/>
                <w:sz w:val="24"/>
              </w:rPr>
              <w:t>9,407</w:t>
            </w:r>
          </w:p>
        </w:tc>
        <w:tc>
          <w:tcPr>
            <w:tcW w:w="853" w:type="pct"/>
          </w:tcPr>
          <w:p w:rsidRPr="002D35D1" w:rsidR="00CF1BAF" w:rsidP="00D440EC" w:rsidRDefault="00CF1BAF" w14:paraId="592410F4" w14:textId="2ADD0481">
            <w:pPr>
              <w:jc w:val="right"/>
              <w:rPr>
                <w:rFonts w:eastAsia="Calibri"/>
                <w:sz w:val="24"/>
              </w:rPr>
            </w:pPr>
            <w:r w:rsidRPr="002D35D1">
              <w:rPr>
                <w:rFonts w:eastAsia="Calibri"/>
                <w:sz w:val="24"/>
              </w:rPr>
              <w:t xml:space="preserve"> 5,93</w:t>
            </w:r>
            <w:r w:rsidR="00DE1FCB">
              <w:rPr>
                <w:rFonts w:eastAsia="Calibri"/>
                <w:sz w:val="24"/>
              </w:rPr>
              <w:t>3.33</w:t>
            </w:r>
            <w:r w:rsidRPr="002D35D1">
              <w:rPr>
                <w:rFonts w:eastAsia="Calibri"/>
                <w:sz w:val="24"/>
              </w:rPr>
              <w:t xml:space="preserve"> </w:t>
            </w:r>
            <w:proofErr w:type="gramStart"/>
            <w:r w:rsidRPr="002D35D1">
              <w:rPr>
                <w:rFonts w:eastAsia="Calibri"/>
                <w:sz w:val="24"/>
              </w:rPr>
              <w:t>hrs.;</w:t>
            </w:r>
            <w:proofErr w:type="gramEnd"/>
          </w:p>
          <w:p w:rsidRPr="002D35D1" w:rsidR="00CF1BAF" w:rsidP="00D440EC" w:rsidRDefault="00CF1BAF" w14:paraId="57AB474B" w14:textId="4E67C8A8">
            <w:pPr>
              <w:jc w:val="right"/>
              <w:rPr>
                <w:rFonts w:eastAsia="Calibri"/>
                <w:sz w:val="24"/>
              </w:rPr>
            </w:pPr>
            <w:r w:rsidRPr="002D35D1">
              <w:rPr>
                <w:rFonts w:eastAsia="Calibri"/>
                <w:sz w:val="24"/>
              </w:rPr>
              <w:t>$558,</w:t>
            </w:r>
            <w:r w:rsidR="00DE1FCB">
              <w:rPr>
                <w:rFonts w:eastAsia="Calibri"/>
                <w:sz w:val="24"/>
              </w:rPr>
              <w:t>148.35</w:t>
            </w:r>
          </w:p>
        </w:tc>
        <w:tc>
          <w:tcPr>
            <w:tcW w:w="655" w:type="pct"/>
          </w:tcPr>
          <w:p w:rsidRPr="002D35D1" w:rsidR="00CF1BAF" w:rsidP="00D440EC" w:rsidRDefault="00CF1BAF" w14:paraId="60DADC3D" w14:textId="3E4B10BD">
            <w:pPr>
              <w:jc w:val="right"/>
              <w:rPr>
                <w:rFonts w:eastAsia="Calibri"/>
                <w:sz w:val="24"/>
              </w:rPr>
            </w:pPr>
            <w:r w:rsidRPr="002D35D1">
              <w:rPr>
                <w:rFonts w:eastAsia="Calibri"/>
                <w:sz w:val="24"/>
              </w:rPr>
              <w:t>$</w:t>
            </w:r>
            <w:r w:rsidR="00DE1FCB">
              <w:rPr>
                <w:rFonts w:eastAsia="Calibri"/>
                <w:sz w:val="24"/>
              </w:rPr>
              <w:t>9,407</w:t>
            </w:r>
            <w:r w:rsidRPr="002D35D1">
              <w:rPr>
                <w:rFonts w:eastAsia="Calibri"/>
                <w:sz w:val="24"/>
              </w:rPr>
              <w:t xml:space="preserve"> </w:t>
            </w:r>
          </w:p>
          <w:p w:rsidRPr="002D35D1" w:rsidR="00CF1BAF" w:rsidP="00D440EC" w:rsidRDefault="00CF1BAF" w14:paraId="474001C0" w14:textId="77777777">
            <w:pPr>
              <w:jc w:val="right"/>
              <w:rPr>
                <w:rFonts w:eastAsia="Calibri"/>
                <w:sz w:val="24"/>
              </w:rPr>
            </w:pPr>
          </w:p>
        </w:tc>
      </w:tr>
      <w:tr w:rsidRPr="002D35D1" w:rsidR="00CE046E" w:rsidTr="00D440EC" w14:paraId="0E2EC15D" w14:textId="77777777">
        <w:trPr>
          <w:cantSplit/>
        </w:trPr>
        <w:tc>
          <w:tcPr>
            <w:tcW w:w="5000" w:type="pct"/>
            <w:gridSpan w:val="7"/>
            <w:tcBorders>
              <w:bottom w:val="single" w:color="auto" w:sz="4" w:space="0"/>
            </w:tcBorders>
            <w:shd w:val="clear" w:color="auto" w:fill="D9D9D9"/>
          </w:tcPr>
          <w:p w:rsidRPr="002D35D1" w:rsidR="00CE046E" w:rsidP="00CE046E" w:rsidRDefault="00CE046E" w14:paraId="5F06426A" w14:textId="7627C059">
            <w:pPr>
              <w:jc w:val="center"/>
              <w:rPr>
                <w:rFonts w:eastAsia="Calibri"/>
                <w:b/>
                <w:sz w:val="24"/>
              </w:rPr>
            </w:pPr>
          </w:p>
        </w:tc>
      </w:tr>
      <w:tr w:rsidRPr="002D35D1" w:rsidR="00CE046E" w:rsidTr="00DE1FCB" w14:paraId="7A71E31F" w14:textId="77777777">
        <w:trPr>
          <w:cantSplit/>
        </w:trPr>
        <w:tc>
          <w:tcPr>
            <w:tcW w:w="878" w:type="pct"/>
          </w:tcPr>
          <w:p w:rsidRPr="002D35D1" w:rsidR="00CE046E" w:rsidP="00CE046E" w:rsidRDefault="00CE046E" w14:paraId="32BCD2FE" w14:textId="5D02CB4A">
            <w:pPr>
              <w:jc w:val="center"/>
              <w:rPr>
                <w:rFonts w:eastAsia="Calibri"/>
                <w:b/>
                <w:sz w:val="24"/>
              </w:rPr>
            </w:pPr>
            <w:r w:rsidRPr="002D35D1">
              <w:rPr>
                <w:rFonts w:eastAsia="Calibri"/>
                <w:sz w:val="24"/>
              </w:rPr>
              <w:t>Standards for Business Practices of Interstate Natural Gas Pipelines</w:t>
            </w:r>
          </w:p>
        </w:tc>
        <w:tc>
          <w:tcPr>
            <w:tcW w:w="746" w:type="pct"/>
          </w:tcPr>
          <w:p w:rsidRPr="002D35D1" w:rsidR="00CE046E" w:rsidP="00CE046E" w:rsidRDefault="00CE046E" w14:paraId="08F679C4" w14:textId="62832A83">
            <w:pPr>
              <w:jc w:val="right"/>
              <w:rPr>
                <w:rFonts w:eastAsia="Calibri"/>
                <w:sz w:val="24"/>
              </w:rPr>
            </w:pPr>
            <w:r w:rsidRPr="002D35D1">
              <w:rPr>
                <w:rFonts w:eastAsia="Calibri"/>
                <w:sz w:val="24"/>
              </w:rPr>
              <w:t>165</w:t>
            </w:r>
          </w:p>
          <w:p w:rsidRPr="002D35D1" w:rsidR="00CE046E" w:rsidP="00CE046E" w:rsidRDefault="00CE046E" w14:paraId="10F73BAF" w14:textId="79A6AFCC">
            <w:pPr>
              <w:jc w:val="center"/>
              <w:rPr>
                <w:rFonts w:eastAsia="Calibri"/>
                <w:b/>
                <w:sz w:val="24"/>
              </w:rPr>
            </w:pPr>
          </w:p>
        </w:tc>
        <w:tc>
          <w:tcPr>
            <w:tcW w:w="700" w:type="pct"/>
          </w:tcPr>
          <w:p w:rsidRPr="002D35D1" w:rsidR="00CE046E" w:rsidP="00CE046E" w:rsidRDefault="00CE046E" w14:paraId="1DD0A79A" w14:textId="13A0A714">
            <w:pPr>
              <w:jc w:val="right"/>
              <w:rPr>
                <w:rFonts w:eastAsia="Calibri"/>
                <w:b/>
                <w:sz w:val="24"/>
              </w:rPr>
            </w:pPr>
            <w:r w:rsidRPr="002D35D1">
              <w:rPr>
                <w:rFonts w:eastAsia="Calibri"/>
                <w:sz w:val="24"/>
              </w:rPr>
              <w:t>2.96</w:t>
            </w:r>
          </w:p>
        </w:tc>
        <w:tc>
          <w:tcPr>
            <w:tcW w:w="539" w:type="pct"/>
          </w:tcPr>
          <w:p w:rsidRPr="002D35D1" w:rsidR="00CE046E" w:rsidP="00CE046E" w:rsidRDefault="00CE046E" w14:paraId="68BA8CCB" w14:textId="0CD99E75">
            <w:pPr>
              <w:jc w:val="right"/>
              <w:rPr>
                <w:rFonts w:eastAsia="Calibri"/>
                <w:b/>
                <w:sz w:val="24"/>
              </w:rPr>
            </w:pPr>
            <w:r w:rsidRPr="002D35D1">
              <w:rPr>
                <w:rFonts w:eastAsia="Calibri"/>
                <w:sz w:val="24"/>
              </w:rPr>
              <w:t>490</w:t>
            </w:r>
          </w:p>
        </w:tc>
        <w:tc>
          <w:tcPr>
            <w:tcW w:w="629" w:type="pct"/>
          </w:tcPr>
          <w:p w:rsidRPr="002D35D1" w:rsidR="00CE046E" w:rsidP="00CE046E" w:rsidRDefault="00CE046E" w14:paraId="08356323" w14:textId="2334F2F9">
            <w:pPr>
              <w:jc w:val="right"/>
              <w:rPr>
                <w:rFonts w:eastAsia="Calibri"/>
                <w:sz w:val="24"/>
              </w:rPr>
            </w:pPr>
            <w:r w:rsidRPr="002D35D1">
              <w:rPr>
                <w:rFonts w:eastAsia="Calibri"/>
                <w:sz w:val="24"/>
              </w:rPr>
              <w:t xml:space="preserve">96 </w:t>
            </w:r>
            <w:proofErr w:type="gramStart"/>
            <w:r w:rsidRPr="002D35D1">
              <w:rPr>
                <w:rFonts w:eastAsia="Calibri"/>
                <w:sz w:val="24"/>
              </w:rPr>
              <w:t>hrs.;</w:t>
            </w:r>
            <w:proofErr w:type="gramEnd"/>
          </w:p>
          <w:p w:rsidRPr="002D35D1" w:rsidR="00CE046E" w:rsidP="00CE046E" w:rsidRDefault="00CE046E" w14:paraId="5217B92F" w14:textId="33B0487C">
            <w:pPr>
              <w:jc w:val="center"/>
              <w:rPr>
                <w:rFonts w:eastAsia="Calibri"/>
                <w:b/>
                <w:sz w:val="24"/>
              </w:rPr>
            </w:pPr>
            <w:r w:rsidRPr="002D35D1">
              <w:rPr>
                <w:rFonts w:eastAsia="Calibri"/>
                <w:sz w:val="24"/>
              </w:rPr>
              <w:t>$</w:t>
            </w:r>
            <w:r w:rsidR="009314A0">
              <w:rPr>
                <w:rFonts w:eastAsia="Calibri"/>
                <w:sz w:val="24"/>
              </w:rPr>
              <w:t>9,030.72</w:t>
            </w:r>
          </w:p>
        </w:tc>
        <w:tc>
          <w:tcPr>
            <w:tcW w:w="853" w:type="pct"/>
          </w:tcPr>
          <w:p w:rsidRPr="002D35D1" w:rsidR="00CE046E" w:rsidP="00CE046E" w:rsidRDefault="00CE046E" w14:paraId="52CED6C0" w14:textId="09706CDB">
            <w:pPr>
              <w:jc w:val="right"/>
              <w:rPr>
                <w:rFonts w:eastAsia="Calibri"/>
                <w:sz w:val="24"/>
              </w:rPr>
            </w:pPr>
            <w:r w:rsidRPr="002D35D1">
              <w:rPr>
                <w:rFonts w:eastAsia="Calibri"/>
                <w:sz w:val="24"/>
              </w:rPr>
              <w:t xml:space="preserve"> 47,040 </w:t>
            </w:r>
            <w:proofErr w:type="gramStart"/>
            <w:r w:rsidRPr="002D35D1">
              <w:rPr>
                <w:rFonts w:eastAsia="Calibri"/>
                <w:sz w:val="24"/>
              </w:rPr>
              <w:t>hrs.;</w:t>
            </w:r>
            <w:proofErr w:type="gramEnd"/>
          </w:p>
          <w:p w:rsidRPr="002D35D1" w:rsidR="00CE046E" w:rsidP="00CE046E" w:rsidRDefault="00CE046E" w14:paraId="653D4EC1" w14:textId="3C8F42D3">
            <w:pPr>
              <w:jc w:val="center"/>
              <w:rPr>
                <w:rFonts w:eastAsia="Calibri"/>
                <w:b/>
                <w:sz w:val="24"/>
              </w:rPr>
            </w:pPr>
            <w:r w:rsidRPr="002D35D1">
              <w:rPr>
                <w:rFonts w:eastAsia="Calibri"/>
                <w:sz w:val="24"/>
              </w:rPr>
              <w:t>$4,</w:t>
            </w:r>
            <w:r w:rsidR="009314A0">
              <w:rPr>
                <w:rFonts w:eastAsia="Calibri"/>
                <w:sz w:val="24"/>
              </w:rPr>
              <w:t>425,052.80</w:t>
            </w:r>
          </w:p>
        </w:tc>
        <w:tc>
          <w:tcPr>
            <w:tcW w:w="655" w:type="pct"/>
          </w:tcPr>
          <w:p w:rsidRPr="002D35D1" w:rsidR="00CE046E" w:rsidP="00CE046E" w:rsidRDefault="00CE046E" w14:paraId="08771B96" w14:textId="486D934E">
            <w:pPr>
              <w:jc w:val="right"/>
              <w:rPr>
                <w:rFonts w:eastAsia="Calibri"/>
                <w:sz w:val="24"/>
              </w:rPr>
            </w:pPr>
            <w:r w:rsidRPr="002D35D1">
              <w:rPr>
                <w:rFonts w:eastAsia="Calibri"/>
                <w:sz w:val="24"/>
              </w:rPr>
              <w:t>$2</w:t>
            </w:r>
            <w:r w:rsidR="00F52BFE">
              <w:rPr>
                <w:rFonts w:eastAsia="Calibri"/>
                <w:sz w:val="24"/>
              </w:rPr>
              <w:t>6,818.50</w:t>
            </w:r>
            <w:r w:rsidRPr="002D35D1">
              <w:rPr>
                <w:rFonts w:eastAsia="Calibri"/>
                <w:sz w:val="24"/>
              </w:rPr>
              <w:t xml:space="preserve"> </w:t>
            </w:r>
          </w:p>
          <w:p w:rsidRPr="002D35D1" w:rsidR="00CE046E" w:rsidP="00CE046E" w:rsidRDefault="00CE046E" w14:paraId="205F133E" w14:textId="6E0B0DEA">
            <w:pPr>
              <w:jc w:val="center"/>
              <w:rPr>
                <w:rFonts w:eastAsia="Calibri"/>
                <w:b/>
                <w:sz w:val="24"/>
              </w:rPr>
            </w:pPr>
          </w:p>
        </w:tc>
      </w:tr>
      <w:tr w:rsidRPr="002D35D1" w:rsidR="00CE046E" w:rsidTr="00DE1FCB" w14:paraId="58C3C0BF" w14:textId="77777777">
        <w:trPr>
          <w:cantSplit/>
          <w:trHeight w:val="440"/>
        </w:trPr>
        <w:tc>
          <w:tcPr>
            <w:tcW w:w="878" w:type="pct"/>
          </w:tcPr>
          <w:p w:rsidRPr="002D35D1" w:rsidR="00CE046E" w:rsidP="00CE046E" w:rsidRDefault="00CE046E" w14:paraId="7E2325E7" w14:textId="7CAC7587">
            <w:pPr>
              <w:rPr>
                <w:rFonts w:eastAsia="Calibri"/>
                <w:b/>
                <w:bCs/>
                <w:sz w:val="24"/>
              </w:rPr>
            </w:pPr>
            <w:r w:rsidRPr="002D35D1">
              <w:rPr>
                <w:rFonts w:eastAsia="Calibri"/>
                <w:b/>
                <w:bCs/>
                <w:sz w:val="24"/>
              </w:rPr>
              <w:t>Total for FERC-549C</w:t>
            </w:r>
          </w:p>
        </w:tc>
        <w:tc>
          <w:tcPr>
            <w:tcW w:w="746" w:type="pct"/>
            <w:shd w:val="clear" w:color="auto" w:fill="D9D9D9" w:themeFill="background1" w:themeFillShade="D9"/>
          </w:tcPr>
          <w:p w:rsidRPr="002D35D1" w:rsidR="00CE046E" w:rsidP="00CE046E" w:rsidRDefault="00CE046E" w14:paraId="21DDBF7B" w14:textId="3DF2066F">
            <w:pPr>
              <w:jc w:val="right"/>
              <w:rPr>
                <w:rFonts w:eastAsia="Calibri"/>
                <w:sz w:val="24"/>
              </w:rPr>
            </w:pPr>
          </w:p>
        </w:tc>
        <w:tc>
          <w:tcPr>
            <w:tcW w:w="700" w:type="pct"/>
            <w:shd w:val="clear" w:color="auto" w:fill="D9D9D9" w:themeFill="background1" w:themeFillShade="D9"/>
          </w:tcPr>
          <w:p w:rsidRPr="002D35D1" w:rsidR="00CE046E" w:rsidP="00CE046E" w:rsidRDefault="00CE046E" w14:paraId="5307853C" w14:textId="53645FD3">
            <w:pPr>
              <w:jc w:val="right"/>
              <w:rPr>
                <w:rFonts w:eastAsia="Calibri"/>
                <w:sz w:val="24"/>
              </w:rPr>
            </w:pPr>
          </w:p>
        </w:tc>
        <w:tc>
          <w:tcPr>
            <w:tcW w:w="539" w:type="pct"/>
          </w:tcPr>
          <w:p w:rsidRPr="002D35D1" w:rsidR="00CE046E" w:rsidP="00CE046E" w:rsidRDefault="00B77DBC" w14:paraId="628F276F" w14:textId="6C085983">
            <w:pPr>
              <w:jc w:val="right"/>
              <w:rPr>
                <w:rFonts w:eastAsia="Calibri"/>
                <w:sz w:val="24"/>
              </w:rPr>
            </w:pPr>
            <w:r>
              <w:rPr>
                <w:rFonts w:eastAsia="Calibri"/>
                <w:sz w:val="24"/>
              </w:rPr>
              <w:t>549</w:t>
            </w:r>
            <w:r w:rsidR="00DE1FCB">
              <w:rPr>
                <w:rFonts w:eastAsia="Calibri"/>
                <w:sz w:val="24"/>
              </w:rPr>
              <w:t>.33</w:t>
            </w:r>
          </w:p>
        </w:tc>
        <w:tc>
          <w:tcPr>
            <w:tcW w:w="629" w:type="pct"/>
            <w:shd w:val="clear" w:color="auto" w:fill="D9D9D9" w:themeFill="background1" w:themeFillShade="D9"/>
          </w:tcPr>
          <w:p w:rsidRPr="002D35D1" w:rsidR="00CE046E" w:rsidP="00CE046E" w:rsidRDefault="00CE046E" w14:paraId="05722D9C" w14:textId="3C91EC75">
            <w:pPr>
              <w:jc w:val="right"/>
              <w:rPr>
                <w:rFonts w:eastAsia="Calibri"/>
                <w:sz w:val="24"/>
              </w:rPr>
            </w:pPr>
          </w:p>
        </w:tc>
        <w:tc>
          <w:tcPr>
            <w:tcW w:w="853" w:type="pct"/>
          </w:tcPr>
          <w:p w:rsidRPr="002D35D1" w:rsidR="00CE046E" w:rsidP="00CE046E" w:rsidRDefault="007E4C21" w14:paraId="5B0368FB" w14:textId="074EC447">
            <w:pPr>
              <w:jc w:val="right"/>
              <w:rPr>
                <w:rFonts w:eastAsia="Calibri"/>
                <w:sz w:val="24"/>
              </w:rPr>
            </w:pPr>
            <w:r w:rsidRPr="002D35D1">
              <w:rPr>
                <w:rFonts w:eastAsia="Calibri"/>
                <w:sz w:val="24"/>
              </w:rPr>
              <w:t>52,97</w:t>
            </w:r>
            <w:r w:rsidR="00DE1FCB">
              <w:rPr>
                <w:rFonts w:eastAsia="Calibri"/>
                <w:sz w:val="24"/>
              </w:rPr>
              <w:t>3.33</w:t>
            </w:r>
            <w:r w:rsidRPr="002D35D1">
              <w:rPr>
                <w:rFonts w:eastAsia="Calibri"/>
                <w:sz w:val="24"/>
              </w:rPr>
              <w:t xml:space="preserve"> hrs.;</w:t>
            </w:r>
            <w:r w:rsidRPr="002D35D1" w:rsidR="00EC44BE">
              <w:rPr>
                <w:rFonts w:eastAsia="Calibri"/>
                <w:sz w:val="24"/>
              </w:rPr>
              <w:t xml:space="preserve"> $4,983,</w:t>
            </w:r>
            <w:r w:rsidR="00DE1FCB">
              <w:rPr>
                <w:rFonts w:eastAsia="Calibri"/>
                <w:sz w:val="24"/>
              </w:rPr>
              <w:t>201</w:t>
            </w:r>
            <w:r w:rsidRPr="002D35D1" w:rsidR="00EC44BE">
              <w:rPr>
                <w:rFonts w:eastAsia="Calibri"/>
                <w:sz w:val="24"/>
              </w:rPr>
              <w:t>.</w:t>
            </w:r>
            <w:r w:rsidR="00DE1FCB">
              <w:rPr>
                <w:rFonts w:eastAsia="Calibri"/>
                <w:sz w:val="24"/>
              </w:rPr>
              <w:t>1</w:t>
            </w:r>
            <w:r w:rsidRPr="002D35D1" w:rsidR="00EC44BE">
              <w:rPr>
                <w:rFonts w:eastAsia="Calibri"/>
                <w:sz w:val="24"/>
              </w:rPr>
              <w:t>5</w:t>
            </w:r>
          </w:p>
          <w:p w:rsidRPr="002D35D1" w:rsidR="007E4C21" w:rsidP="00CE046E" w:rsidRDefault="007E4C21" w14:paraId="74609ADD" w14:textId="0563A6D2">
            <w:pPr>
              <w:jc w:val="right"/>
              <w:rPr>
                <w:rFonts w:eastAsia="Calibri"/>
                <w:sz w:val="24"/>
              </w:rPr>
            </w:pPr>
          </w:p>
        </w:tc>
        <w:tc>
          <w:tcPr>
            <w:tcW w:w="655" w:type="pct"/>
            <w:shd w:val="clear" w:color="auto" w:fill="D9D9D9" w:themeFill="background1" w:themeFillShade="D9"/>
          </w:tcPr>
          <w:p w:rsidRPr="002D35D1" w:rsidR="00CE046E" w:rsidP="00CE046E" w:rsidRDefault="00CE046E" w14:paraId="6C356DD7" w14:textId="77777777">
            <w:pPr>
              <w:jc w:val="right"/>
              <w:rPr>
                <w:rFonts w:eastAsia="Calibri"/>
                <w:sz w:val="24"/>
              </w:rPr>
            </w:pPr>
          </w:p>
        </w:tc>
      </w:tr>
    </w:tbl>
    <w:p w:rsidR="00EF3830" w:rsidP="00F8150C" w:rsidRDefault="00EF3830" w14:paraId="119D3529" w14:textId="30A6C8BC">
      <w:pPr>
        <w:pStyle w:val="FERCparanumber"/>
        <w:numPr>
          <w:ilvl w:val="0"/>
          <w:numId w:val="0"/>
        </w:numPr>
        <w:rPr>
          <w:b/>
          <w:sz w:val="24"/>
          <w:u w:val="single"/>
        </w:rPr>
      </w:pPr>
    </w:p>
    <w:p w:rsidRPr="001361B9" w:rsidR="00B803B5" w:rsidP="00B803B5" w:rsidRDefault="00B803B5" w14:paraId="6A72CA72" w14:textId="2C66EA3F">
      <w:pPr>
        <w:rPr>
          <w:sz w:val="24"/>
        </w:rPr>
      </w:pPr>
      <w:r w:rsidRPr="001361B9">
        <w:rPr>
          <w:sz w:val="24"/>
        </w:rPr>
        <w:t xml:space="preserve">The Commission’s burden estimates for the </w:t>
      </w:r>
      <w:r>
        <w:rPr>
          <w:sz w:val="24"/>
        </w:rPr>
        <w:t>Final Rule</w:t>
      </w:r>
      <w:r w:rsidRPr="001361B9">
        <w:rPr>
          <w:sz w:val="24"/>
        </w:rPr>
        <w:t xml:space="preserve"> </w:t>
      </w:r>
      <w:r w:rsidR="00073E1F">
        <w:rPr>
          <w:sz w:val="24"/>
        </w:rPr>
        <w:t>were</w:t>
      </w:r>
      <w:r w:rsidRPr="001361B9">
        <w:rPr>
          <w:sz w:val="24"/>
        </w:rPr>
        <w:t xml:space="preserve"> for one-time implementation of the information collection requirements (including tariff filing which consists of the costs of preparing a tariff section under which every standard incorporated by reference by the Commission is listed and submitting the compliance tariff filing with the Commission for acceptance; the costs of documenting the process and procedures conducted during the Commission’s review of the tariff changes in the compliance filing; and the costs to pipelines for undertaking the necessary information technology work to comply with the new standards).</w:t>
      </w:r>
    </w:p>
    <w:p w:rsidRPr="00B803B5" w:rsidR="00B803B5" w:rsidP="00B803B5" w:rsidRDefault="00B803B5" w14:paraId="096FA260" w14:textId="3AB9365A">
      <w:pPr>
        <w:spacing w:after="160" w:line="259" w:lineRule="auto"/>
        <w:rPr>
          <w:rFonts w:eastAsia="Calibri"/>
          <w:sz w:val="24"/>
        </w:rPr>
      </w:pPr>
      <w:r w:rsidRPr="001361B9">
        <w:rPr>
          <w:rFonts w:eastAsia="Calibri"/>
          <w:sz w:val="24"/>
        </w:rPr>
        <w:lastRenderedPageBreak/>
        <w:t>The burden estimates are primarily related to implementing these standards and regulations and will not result in ongoing costs.</w:t>
      </w:r>
    </w:p>
    <w:p w:rsidRPr="00CC7AD5" w:rsidR="00BC15BE" w:rsidP="00BC15BE" w:rsidRDefault="00BC15BE" w14:paraId="2D5A5365" w14:textId="77777777">
      <w:pPr>
        <w:pStyle w:val="Level1"/>
        <w:rPr>
          <w:b/>
        </w:rPr>
      </w:pPr>
      <w:r w:rsidRPr="00CC7AD5">
        <w:rPr>
          <w:b/>
        </w:rPr>
        <w:t>ESTIMATE OF THE TOTAL ANNUAL COST BURDEN TO RESPONDENTS</w:t>
      </w:r>
    </w:p>
    <w:p w:rsidR="0053203F" w:rsidP="00BC15BE" w:rsidRDefault="0053203F" w14:paraId="20728F76" w14:textId="77777777">
      <w:pPr>
        <w:rPr>
          <w:sz w:val="24"/>
        </w:rPr>
      </w:pPr>
    </w:p>
    <w:p w:rsidRPr="00F5428B" w:rsidR="00BC15BE" w:rsidP="00BC15BE" w:rsidRDefault="00F8150C" w14:paraId="65DE3541" w14:textId="4AAB15DD">
      <w:pPr>
        <w:rPr>
          <w:sz w:val="24"/>
        </w:rPr>
      </w:pPr>
      <w:r w:rsidRPr="00F5428B">
        <w:rPr>
          <w:sz w:val="24"/>
        </w:rPr>
        <w:t xml:space="preserve">There are no capital or start-up costs that are not associated with the burden hours.  </w:t>
      </w:r>
      <w:proofErr w:type="gramStart"/>
      <w:r w:rsidRPr="00F5428B">
        <w:rPr>
          <w:sz w:val="24"/>
        </w:rPr>
        <w:t>All of</w:t>
      </w:r>
      <w:proofErr w:type="gramEnd"/>
      <w:r w:rsidRPr="00F5428B">
        <w:rPr>
          <w:sz w:val="24"/>
        </w:rPr>
        <w:t xml:space="preserve"> the costs are related to burden hours and are detailed in </w:t>
      </w:r>
      <w:r w:rsidR="00AC5B84">
        <w:rPr>
          <w:sz w:val="24"/>
        </w:rPr>
        <w:t>Questions</w:t>
      </w:r>
      <w:r w:rsidR="008611ED">
        <w:rPr>
          <w:sz w:val="24"/>
        </w:rPr>
        <w:t xml:space="preserve"> </w:t>
      </w:r>
      <w:r w:rsidR="00AC5B84">
        <w:rPr>
          <w:sz w:val="24"/>
        </w:rPr>
        <w:t>#</w:t>
      </w:r>
      <w:r w:rsidRPr="00F5428B">
        <w:rPr>
          <w:sz w:val="24"/>
        </w:rPr>
        <w:t xml:space="preserve">12 and </w:t>
      </w:r>
      <w:r w:rsidR="00AC5B84">
        <w:rPr>
          <w:sz w:val="24"/>
        </w:rPr>
        <w:t>#</w:t>
      </w:r>
      <w:r w:rsidRPr="00F5428B">
        <w:rPr>
          <w:sz w:val="24"/>
        </w:rPr>
        <w:t>15.</w:t>
      </w:r>
    </w:p>
    <w:p w:rsidRPr="00F5428B" w:rsidR="00F8150C" w:rsidP="00BC15BE" w:rsidRDefault="00F8150C" w14:paraId="18ADEA96" w14:textId="77777777">
      <w:pPr>
        <w:rPr>
          <w:sz w:val="24"/>
        </w:rPr>
      </w:pPr>
    </w:p>
    <w:p w:rsidRPr="00F5428B" w:rsidR="00BC15BE" w:rsidP="00BC15BE" w:rsidRDefault="00BC15BE" w14:paraId="630D4C84" w14:textId="77777777">
      <w:pPr>
        <w:pStyle w:val="Level1"/>
        <w:rPr>
          <w:b/>
        </w:rPr>
      </w:pPr>
      <w:r w:rsidRPr="00F5428B">
        <w:rPr>
          <w:b/>
        </w:rPr>
        <w:t>ESTIMATED ANNUALIZED COST TO FEDERAL GOVERNMENT</w:t>
      </w:r>
    </w:p>
    <w:p w:rsidRPr="00F5428B" w:rsidR="00BC15BE" w:rsidP="00BC15BE" w:rsidRDefault="00BC15BE" w14:paraId="103D3D7F" w14:textId="77777777">
      <w:pPr>
        <w:rPr>
          <w:sz w:val="24"/>
        </w:rPr>
      </w:pPr>
    </w:p>
    <w:p w:rsidRPr="00F5428B" w:rsidR="002C118D" w:rsidP="002C118D" w:rsidRDefault="002C118D" w14:paraId="24E448B3" w14:textId="77777777">
      <w:pPr>
        <w:rPr>
          <w:sz w:val="24"/>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8"/>
        <w:gridCol w:w="3101"/>
        <w:gridCol w:w="3196"/>
      </w:tblGrid>
      <w:tr w:rsidRPr="00F5428B" w:rsidR="002C118D" w:rsidTr="00573C31" w14:paraId="76270073" w14:textId="77777777">
        <w:tc>
          <w:tcPr>
            <w:tcW w:w="3148" w:type="dxa"/>
            <w:shd w:val="clear" w:color="auto" w:fill="CCCCCC"/>
          </w:tcPr>
          <w:p w:rsidRPr="00F5428B" w:rsidR="002C118D" w:rsidP="008D4689" w:rsidRDefault="002C118D" w14:paraId="64C5C7C1" w14:textId="77777777">
            <w:pPr>
              <w:rPr>
                <w:sz w:val="24"/>
              </w:rPr>
            </w:pPr>
          </w:p>
        </w:tc>
        <w:tc>
          <w:tcPr>
            <w:tcW w:w="3101" w:type="dxa"/>
            <w:shd w:val="clear" w:color="auto" w:fill="CCCCCC"/>
            <w:vAlign w:val="bottom"/>
          </w:tcPr>
          <w:p w:rsidRPr="00F5428B" w:rsidR="002C118D" w:rsidP="008D4689" w:rsidRDefault="002C118D" w14:paraId="128D10F5" w14:textId="77777777">
            <w:pPr>
              <w:jc w:val="center"/>
              <w:rPr>
                <w:b/>
                <w:sz w:val="24"/>
              </w:rPr>
            </w:pPr>
            <w:r w:rsidRPr="00F5428B">
              <w:rPr>
                <w:b/>
                <w:sz w:val="24"/>
              </w:rPr>
              <w:t>Number of Hours or FTE’s</w:t>
            </w:r>
          </w:p>
        </w:tc>
        <w:tc>
          <w:tcPr>
            <w:tcW w:w="3196" w:type="dxa"/>
            <w:shd w:val="clear" w:color="auto" w:fill="CCCCCC"/>
            <w:vAlign w:val="bottom"/>
          </w:tcPr>
          <w:p w:rsidRPr="00F5428B" w:rsidR="002C118D" w:rsidP="008D4689" w:rsidRDefault="002C118D" w14:paraId="48D03250" w14:textId="77777777">
            <w:pPr>
              <w:jc w:val="center"/>
              <w:rPr>
                <w:b/>
                <w:sz w:val="24"/>
              </w:rPr>
            </w:pPr>
            <w:r w:rsidRPr="00F5428B">
              <w:rPr>
                <w:b/>
                <w:sz w:val="24"/>
              </w:rPr>
              <w:t>Estimated Annual Federal Cost ($)</w:t>
            </w:r>
            <w:r w:rsidRPr="00F5428B">
              <w:rPr>
                <w:sz w:val="24"/>
                <w:vertAlign w:val="superscript"/>
              </w:rPr>
              <w:footnoteReference w:id="20"/>
            </w:r>
            <w:r w:rsidRPr="00F5428B">
              <w:rPr>
                <w:b/>
                <w:sz w:val="24"/>
              </w:rPr>
              <w:t xml:space="preserve"> </w:t>
            </w:r>
          </w:p>
        </w:tc>
      </w:tr>
      <w:tr w:rsidRPr="00E37BB0" w:rsidR="002C118D" w:rsidTr="00573C31" w14:paraId="5823F039" w14:textId="77777777">
        <w:tc>
          <w:tcPr>
            <w:tcW w:w="3148" w:type="dxa"/>
          </w:tcPr>
          <w:p w:rsidRPr="00F5428B" w:rsidR="002C118D" w:rsidP="008D4689" w:rsidRDefault="002C118D" w14:paraId="5149305D" w14:textId="659DC968">
            <w:pPr>
              <w:rPr>
                <w:sz w:val="24"/>
              </w:rPr>
            </w:pPr>
            <w:r w:rsidRPr="00F5428B">
              <w:rPr>
                <w:sz w:val="24"/>
              </w:rPr>
              <w:t>PRA</w:t>
            </w:r>
            <w:r w:rsidRPr="00F5428B">
              <w:rPr>
                <w:rStyle w:val="FootnoteReference"/>
                <w:sz w:val="24"/>
                <w:szCs w:val="24"/>
              </w:rPr>
              <w:footnoteReference w:id="21"/>
            </w:r>
            <w:r w:rsidRPr="00F5428B">
              <w:rPr>
                <w:sz w:val="24"/>
              </w:rPr>
              <w:t xml:space="preserve"> Administration Cost</w:t>
            </w:r>
            <w:r w:rsidRPr="00F5428B">
              <w:rPr>
                <w:sz w:val="24"/>
                <w:vertAlign w:val="superscript"/>
              </w:rPr>
              <w:footnoteReference w:id="22"/>
            </w:r>
          </w:p>
        </w:tc>
        <w:tc>
          <w:tcPr>
            <w:tcW w:w="3101" w:type="dxa"/>
            <w:shd w:val="clear" w:color="auto" w:fill="FFFFFF"/>
            <w:vAlign w:val="bottom"/>
          </w:tcPr>
          <w:p w:rsidRPr="00F5428B" w:rsidR="002C118D" w:rsidP="008D4689" w:rsidRDefault="002C118D" w14:paraId="7FD151E6" w14:textId="77777777">
            <w:pPr>
              <w:jc w:val="right"/>
              <w:rPr>
                <w:sz w:val="24"/>
              </w:rPr>
            </w:pPr>
            <w:r w:rsidRPr="00F5428B">
              <w:rPr>
                <w:sz w:val="24"/>
              </w:rPr>
              <w:t>-</w:t>
            </w:r>
          </w:p>
        </w:tc>
        <w:tc>
          <w:tcPr>
            <w:tcW w:w="3196" w:type="dxa"/>
            <w:vAlign w:val="bottom"/>
          </w:tcPr>
          <w:p w:rsidRPr="00E37BB0" w:rsidR="002C118D" w:rsidP="008D4689" w:rsidRDefault="00565AA0" w14:paraId="1C3FD6E6" w14:textId="7310C58B">
            <w:pPr>
              <w:jc w:val="right"/>
              <w:rPr>
                <w:sz w:val="24"/>
              </w:rPr>
            </w:pPr>
            <w:r w:rsidRPr="00E37BB0">
              <w:rPr>
                <w:sz w:val="24"/>
              </w:rPr>
              <w:t>$</w:t>
            </w:r>
            <w:r w:rsidR="00CC7AD5">
              <w:rPr>
                <w:sz w:val="24"/>
              </w:rPr>
              <w:t>8</w:t>
            </w:r>
            <w:r w:rsidR="00573C31">
              <w:rPr>
                <w:sz w:val="24"/>
              </w:rPr>
              <w:t>,</w:t>
            </w:r>
            <w:r w:rsidR="007E4C21">
              <w:rPr>
                <w:sz w:val="24"/>
              </w:rPr>
              <w:t>2</w:t>
            </w:r>
            <w:r w:rsidR="00714BD9">
              <w:rPr>
                <w:sz w:val="24"/>
              </w:rPr>
              <w:t>7</w:t>
            </w:r>
            <w:r w:rsidR="00CC7AD5">
              <w:rPr>
                <w:sz w:val="24"/>
              </w:rPr>
              <w:t>9</w:t>
            </w:r>
            <w:r w:rsidRPr="00E37BB0" w:rsidR="00A277D4">
              <w:rPr>
                <w:rStyle w:val="FootnoteReference"/>
                <w:b w:val="0"/>
              </w:rPr>
              <w:footnoteReference w:id="23"/>
            </w:r>
          </w:p>
        </w:tc>
      </w:tr>
      <w:tr w:rsidRPr="00AC1033" w:rsidR="0068135E" w:rsidTr="00573C31" w14:paraId="69BB6999" w14:textId="77777777">
        <w:tc>
          <w:tcPr>
            <w:tcW w:w="3148" w:type="dxa"/>
            <w:vAlign w:val="bottom"/>
          </w:tcPr>
          <w:p w:rsidRPr="00AC1033" w:rsidR="0068135E" w:rsidP="008D4689" w:rsidRDefault="0068135E" w14:paraId="75C39D29" w14:textId="77777777">
            <w:pPr>
              <w:ind w:left="720"/>
              <w:jc w:val="right"/>
              <w:rPr>
                <w:i/>
                <w:sz w:val="24"/>
              </w:rPr>
            </w:pPr>
            <w:r w:rsidRPr="00AC1033">
              <w:rPr>
                <w:sz w:val="24"/>
              </w:rPr>
              <w:t>Data Processing and Analysis, Sub-Total</w:t>
            </w:r>
            <w:r w:rsidRPr="00AC1033">
              <w:rPr>
                <w:rStyle w:val="FootnoteReference"/>
                <w:b w:val="0"/>
                <w:sz w:val="24"/>
                <w:szCs w:val="24"/>
              </w:rPr>
              <w:footnoteReference w:id="24"/>
            </w:r>
          </w:p>
        </w:tc>
        <w:tc>
          <w:tcPr>
            <w:tcW w:w="3101" w:type="dxa"/>
            <w:shd w:val="clear" w:color="auto" w:fill="FFFFFF" w:themeFill="background1"/>
            <w:vAlign w:val="bottom"/>
          </w:tcPr>
          <w:p w:rsidRPr="00AC1033" w:rsidR="0068135E" w:rsidP="008D4689" w:rsidRDefault="0068135E" w14:paraId="6C7121A8" w14:textId="2A4C2149">
            <w:pPr>
              <w:jc w:val="right"/>
              <w:rPr>
                <w:sz w:val="24"/>
              </w:rPr>
            </w:pPr>
            <w:r w:rsidRPr="00AC1033">
              <w:rPr>
                <w:sz w:val="24"/>
              </w:rPr>
              <w:t>0.25</w:t>
            </w:r>
          </w:p>
        </w:tc>
        <w:tc>
          <w:tcPr>
            <w:tcW w:w="3196" w:type="dxa"/>
            <w:vAlign w:val="bottom"/>
          </w:tcPr>
          <w:p w:rsidRPr="00AC1033" w:rsidR="0068135E" w:rsidDel="00423194" w:rsidP="008D4689" w:rsidRDefault="0068135E" w14:paraId="4B251C4C" w14:textId="1B5EEFFF">
            <w:pPr>
              <w:jc w:val="right"/>
              <w:rPr>
                <w:sz w:val="24"/>
              </w:rPr>
            </w:pPr>
            <w:r w:rsidRPr="00AC1033">
              <w:rPr>
                <w:sz w:val="24"/>
              </w:rPr>
              <w:t>$</w:t>
            </w:r>
            <w:r w:rsidR="007E4C21">
              <w:rPr>
                <w:sz w:val="24"/>
              </w:rPr>
              <w:t>45,175.75</w:t>
            </w:r>
          </w:p>
        </w:tc>
      </w:tr>
      <w:tr w:rsidRPr="00AC1033" w:rsidR="0068135E" w:rsidTr="009A7BCA" w14:paraId="61D79815" w14:textId="77777777">
        <w:tc>
          <w:tcPr>
            <w:tcW w:w="3148" w:type="dxa"/>
          </w:tcPr>
          <w:p w:rsidRPr="00AC1033" w:rsidR="0068135E" w:rsidP="008D4689" w:rsidRDefault="0068135E" w14:paraId="51494E06" w14:textId="4B7AB795">
            <w:pPr>
              <w:ind w:left="720"/>
              <w:jc w:val="right"/>
              <w:rPr>
                <w:i/>
                <w:sz w:val="24"/>
              </w:rPr>
            </w:pPr>
            <w:r w:rsidRPr="00AC1033">
              <w:rPr>
                <w:b/>
                <w:sz w:val="24"/>
              </w:rPr>
              <w:t>FERC Total for FERC-549C</w:t>
            </w:r>
          </w:p>
        </w:tc>
        <w:tc>
          <w:tcPr>
            <w:tcW w:w="3101" w:type="dxa"/>
            <w:vAlign w:val="bottom"/>
          </w:tcPr>
          <w:p w:rsidRPr="00AC1033" w:rsidR="0068135E" w:rsidP="008D4689" w:rsidRDefault="0068135E" w14:paraId="04431892" w14:textId="6B548CF5">
            <w:pPr>
              <w:jc w:val="right"/>
              <w:rPr>
                <w:i/>
                <w:sz w:val="24"/>
              </w:rPr>
            </w:pPr>
          </w:p>
        </w:tc>
        <w:tc>
          <w:tcPr>
            <w:tcW w:w="3196" w:type="dxa"/>
            <w:vAlign w:val="bottom"/>
          </w:tcPr>
          <w:p w:rsidRPr="00AC1033" w:rsidR="0068135E" w:rsidP="008D4689" w:rsidRDefault="0068135E" w14:paraId="1D124B18" w14:textId="1A094C79">
            <w:pPr>
              <w:jc w:val="right"/>
              <w:rPr>
                <w:i/>
                <w:sz w:val="24"/>
              </w:rPr>
            </w:pPr>
            <w:r w:rsidRPr="00AC1033">
              <w:rPr>
                <w:sz w:val="24"/>
              </w:rPr>
              <w:t>$</w:t>
            </w:r>
            <w:r w:rsidR="00454AFC">
              <w:rPr>
                <w:sz w:val="24"/>
              </w:rPr>
              <w:t>53,454.75</w:t>
            </w:r>
          </w:p>
        </w:tc>
      </w:tr>
    </w:tbl>
    <w:p w:rsidRPr="00AC1033" w:rsidR="00BC15BE" w:rsidP="00BC15BE" w:rsidRDefault="00BC15BE" w14:paraId="2ED17E47" w14:textId="77777777">
      <w:pPr>
        <w:rPr>
          <w:sz w:val="24"/>
        </w:rPr>
      </w:pPr>
    </w:p>
    <w:p w:rsidRPr="00AC1033" w:rsidR="00AC5B84" w:rsidP="00AC5B84" w:rsidRDefault="00BC15BE" w14:paraId="116A3679" w14:textId="229E72D9">
      <w:pPr>
        <w:pStyle w:val="Level1"/>
        <w:rPr>
          <w:b/>
        </w:rPr>
      </w:pPr>
      <w:r w:rsidRPr="00AC1033">
        <w:rPr>
          <w:b/>
        </w:rPr>
        <w:t>REASONS FOR CHANGES IN BURDEN INCLUDING THE NEED FOR ANY INCREASE</w:t>
      </w:r>
    </w:p>
    <w:p w:rsidR="00DA7F4B" w:rsidP="00DA7F4B" w:rsidRDefault="00DA7F4B" w14:paraId="7629B38A" w14:textId="77777777">
      <w:pPr>
        <w:rPr>
          <w:sz w:val="24"/>
        </w:rPr>
      </w:pPr>
    </w:p>
    <w:p w:rsidRPr="00DA7F4B" w:rsidR="00DA7F4B" w:rsidP="00DA7F4B" w:rsidRDefault="00DA7F4B" w14:paraId="3E66ED0A" w14:textId="4443C001">
      <w:pPr>
        <w:rPr>
          <w:sz w:val="24"/>
        </w:rPr>
      </w:pPr>
      <w:r w:rsidRPr="00DA7F4B">
        <w:rPr>
          <w:sz w:val="24"/>
        </w:rPr>
        <w:t>Final Rule RM96-1-42 average of one-time burden spread over years 1-3.</w:t>
      </w:r>
    </w:p>
    <w:p w:rsidRPr="00DA7F4B" w:rsidR="00DA7F4B" w:rsidP="00DA7F4B" w:rsidRDefault="00DA7F4B" w14:paraId="0DA07878" w14:textId="77777777">
      <w:pPr>
        <w:rPr>
          <w:sz w:val="24"/>
        </w:rPr>
      </w:pPr>
      <w:r w:rsidRPr="00DA7F4B">
        <w:rPr>
          <w:sz w:val="24"/>
        </w:rPr>
        <w:t>NAESB (Version 3.2)</w:t>
      </w:r>
    </w:p>
    <w:p w:rsidRPr="00DA7F4B" w:rsidR="00DA7F4B" w:rsidP="00DA7F4B" w:rsidRDefault="00DA7F4B" w14:paraId="603A5348" w14:textId="77777777">
      <w:pPr>
        <w:rPr>
          <w:sz w:val="24"/>
        </w:rPr>
      </w:pPr>
    </w:p>
    <w:p w:rsidR="00EC44BE" w:rsidP="00DA7F4B" w:rsidRDefault="00DA7F4B" w14:paraId="56F229A5" w14:textId="608B6BBC">
      <w:pPr>
        <w:rPr>
          <w:sz w:val="24"/>
        </w:rPr>
      </w:pPr>
      <w:r w:rsidRPr="00DA7F4B">
        <w:rPr>
          <w:sz w:val="24"/>
        </w:rPr>
        <w:t xml:space="preserve">•Correction </w:t>
      </w:r>
      <w:r>
        <w:rPr>
          <w:sz w:val="24"/>
        </w:rPr>
        <w:t xml:space="preserve">was </w:t>
      </w:r>
      <w:r w:rsidRPr="00DA7F4B">
        <w:rPr>
          <w:sz w:val="24"/>
        </w:rPr>
        <w:t xml:space="preserve">made to the number of responses of the originally stated 178 should </w:t>
      </w:r>
      <w:proofErr w:type="gramStart"/>
      <w:r w:rsidRPr="00DA7F4B">
        <w:rPr>
          <w:sz w:val="24"/>
        </w:rPr>
        <w:t>actually be</w:t>
      </w:r>
      <w:proofErr w:type="gramEnd"/>
      <w:r w:rsidRPr="00DA7F4B">
        <w:rPr>
          <w:sz w:val="24"/>
        </w:rPr>
        <w:t xml:space="preserve"> 59.  (178/3=59.333 *rounded)</w:t>
      </w:r>
    </w:p>
    <w:p w:rsidR="00E443F9" w:rsidP="00E443F9" w:rsidRDefault="00E443F9" w14:paraId="30C6D1A5" w14:textId="77777777">
      <w:pPr>
        <w:jc w:val="both"/>
        <w:rPr>
          <w:sz w:val="24"/>
        </w:rPr>
      </w:pPr>
    </w:p>
    <w:p w:rsidR="00862E03" w:rsidP="00BC15BE" w:rsidRDefault="00862E03" w14:paraId="2686D727" w14:textId="1DF8B4F5">
      <w:pPr>
        <w:rPr>
          <w:sz w:val="24"/>
        </w:rPr>
      </w:pP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862E03" w:rsidR="00862E03" w:rsidTr="00E3104D" w14:paraId="184E9D04" w14:textId="77777777">
        <w:trPr>
          <w:trHeight w:val="870"/>
        </w:trPr>
        <w:tc>
          <w:tcPr>
            <w:tcW w:w="2679" w:type="dxa"/>
            <w:tcBorders>
              <w:bottom w:val="single" w:color="auto" w:sz="4" w:space="0"/>
            </w:tcBorders>
            <w:shd w:val="clear" w:color="auto" w:fill="D9D9D9"/>
            <w:vAlign w:val="bottom"/>
          </w:tcPr>
          <w:p w:rsidRPr="00862E03" w:rsidR="00862E03" w:rsidP="00862E03" w:rsidRDefault="00862E03" w14:paraId="6ABE724F" w14:textId="77777777">
            <w:pPr>
              <w:rPr>
                <w:b/>
                <w:sz w:val="24"/>
              </w:rPr>
            </w:pPr>
          </w:p>
        </w:tc>
        <w:tc>
          <w:tcPr>
            <w:tcW w:w="1461" w:type="dxa"/>
            <w:tcBorders>
              <w:bottom w:val="single" w:color="auto" w:sz="4" w:space="0"/>
            </w:tcBorders>
            <w:shd w:val="clear" w:color="auto" w:fill="D9D9D9"/>
            <w:vAlign w:val="bottom"/>
          </w:tcPr>
          <w:p w:rsidRPr="00862E03" w:rsidR="00862E03" w:rsidP="00862E03" w:rsidRDefault="00862E03" w14:paraId="2734319E" w14:textId="77777777">
            <w:pPr>
              <w:rPr>
                <w:b/>
                <w:sz w:val="24"/>
              </w:rPr>
            </w:pPr>
            <w:r w:rsidRPr="00862E03">
              <w:rPr>
                <w:b/>
                <w:sz w:val="24"/>
              </w:rPr>
              <w:t>Total Request</w:t>
            </w:r>
          </w:p>
        </w:tc>
        <w:tc>
          <w:tcPr>
            <w:tcW w:w="1620" w:type="dxa"/>
            <w:tcBorders>
              <w:bottom w:val="single" w:color="auto" w:sz="4" w:space="0"/>
            </w:tcBorders>
            <w:shd w:val="clear" w:color="auto" w:fill="D9D9D9"/>
            <w:vAlign w:val="bottom"/>
          </w:tcPr>
          <w:p w:rsidRPr="00862E03" w:rsidR="00862E03" w:rsidP="00862E03" w:rsidRDefault="00862E03" w14:paraId="186049FA" w14:textId="77777777">
            <w:pPr>
              <w:rPr>
                <w:b/>
                <w:sz w:val="24"/>
              </w:rPr>
            </w:pPr>
            <w:r w:rsidRPr="00862E03">
              <w:rPr>
                <w:b/>
                <w:sz w:val="24"/>
              </w:rPr>
              <w:t>Previously Approved</w:t>
            </w:r>
          </w:p>
        </w:tc>
        <w:tc>
          <w:tcPr>
            <w:tcW w:w="1800" w:type="dxa"/>
            <w:tcBorders>
              <w:bottom w:val="single" w:color="auto" w:sz="4" w:space="0"/>
            </w:tcBorders>
            <w:shd w:val="clear" w:color="auto" w:fill="D9D9D9"/>
            <w:vAlign w:val="bottom"/>
          </w:tcPr>
          <w:p w:rsidRPr="00862E03" w:rsidR="00862E03" w:rsidP="00862E03" w:rsidRDefault="00862E03" w14:paraId="4102AB8D" w14:textId="77777777">
            <w:pPr>
              <w:rPr>
                <w:b/>
                <w:sz w:val="24"/>
              </w:rPr>
            </w:pPr>
            <w:r w:rsidRPr="00862E03">
              <w:rPr>
                <w:b/>
                <w:sz w:val="24"/>
              </w:rPr>
              <w:t>Change due to Adjustment in Estimate</w:t>
            </w:r>
          </w:p>
        </w:tc>
        <w:tc>
          <w:tcPr>
            <w:tcW w:w="1957" w:type="dxa"/>
            <w:tcBorders>
              <w:bottom w:val="single" w:color="auto" w:sz="4" w:space="0"/>
            </w:tcBorders>
            <w:shd w:val="clear" w:color="auto" w:fill="D9D9D9"/>
            <w:vAlign w:val="bottom"/>
          </w:tcPr>
          <w:p w:rsidRPr="00862E03" w:rsidR="00862E03" w:rsidP="00862E03" w:rsidRDefault="00862E03" w14:paraId="1E7C0EC0" w14:textId="77777777">
            <w:pPr>
              <w:rPr>
                <w:b/>
                <w:sz w:val="24"/>
              </w:rPr>
            </w:pPr>
            <w:r w:rsidRPr="00862E03">
              <w:rPr>
                <w:b/>
                <w:sz w:val="24"/>
              </w:rPr>
              <w:t>Change Due to Agency Discretion</w:t>
            </w:r>
          </w:p>
        </w:tc>
      </w:tr>
      <w:tr w:rsidRPr="00862E03" w:rsidR="00862E03" w:rsidTr="00E3104D" w14:paraId="2C22EF4C" w14:textId="77777777">
        <w:trPr>
          <w:trHeight w:val="431"/>
        </w:trPr>
        <w:tc>
          <w:tcPr>
            <w:tcW w:w="9517" w:type="dxa"/>
            <w:gridSpan w:val="5"/>
            <w:shd w:val="clear" w:color="auto" w:fill="C6D9F1" w:themeFill="text2" w:themeFillTint="33"/>
            <w:vAlign w:val="bottom"/>
          </w:tcPr>
          <w:p w:rsidRPr="00862E03" w:rsidR="00862E03" w:rsidP="00862E03" w:rsidRDefault="00862E03" w14:paraId="1AEA5DF3" w14:textId="0C1183A8">
            <w:pPr>
              <w:jc w:val="center"/>
              <w:rPr>
                <w:b/>
                <w:bCs/>
                <w:sz w:val="24"/>
              </w:rPr>
            </w:pPr>
            <w:r w:rsidRPr="00862E03">
              <w:rPr>
                <w:b/>
                <w:bCs/>
                <w:sz w:val="24"/>
              </w:rPr>
              <w:t>FERC-54</w:t>
            </w:r>
            <w:r>
              <w:rPr>
                <w:b/>
                <w:bCs/>
                <w:sz w:val="24"/>
              </w:rPr>
              <w:t>9C</w:t>
            </w:r>
          </w:p>
        </w:tc>
      </w:tr>
      <w:tr w:rsidRPr="00862E03" w:rsidR="00862E03" w:rsidTr="00E3104D" w14:paraId="543AF2B3" w14:textId="77777777">
        <w:trPr>
          <w:trHeight w:val="591"/>
        </w:trPr>
        <w:tc>
          <w:tcPr>
            <w:tcW w:w="2679" w:type="dxa"/>
            <w:shd w:val="clear" w:color="auto" w:fill="auto"/>
          </w:tcPr>
          <w:p w:rsidRPr="00862E03" w:rsidR="00862E03" w:rsidP="00862E03" w:rsidRDefault="00862E03" w14:paraId="5342FD0B" w14:textId="77777777">
            <w:pPr>
              <w:rPr>
                <w:sz w:val="24"/>
              </w:rPr>
            </w:pPr>
            <w:r w:rsidRPr="00862E03">
              <w:rPr>
                <w:sz w:val="24"/>
              </w:rPr>
              <w:t>Annual Number of Responses</w:t>
            </w:r>
          </w:p>
        </w:tc>
        <w:tc>
          <w:tcPr>
            <w:tcW w:w="1461" w:type="dxa"/>
            <w:shd w:val="clear" w:color="auto" w:fill="auto"/>
            <w:vAlign w:val="bottom"/>
          </w:tcPr>
          <w:p w:rsidRPr="00EC44BE" w:rsidR="00862E03" w:rsidP="00862E03" w:rsidRDefault="00B77DBC" w14:paraId="4BF25EF2" w14:textId="1B64A281">
            <w:pPr>
              <w:jc w:val="center"/>
              <w:rPr>
                <w:sz w:val="24"/>
              </w:rPr>
            </w:pPr>
            <w:r>
              <w:rPr>
                <w:sz w:val="24"/>
              </w:rPr>
              <w:t>549</w:t>
            </w:r>
          </w:p>
        </w:tc>
        <w:tc>
          <w:tcPr>
            <w:tcW w:w="1620" w:type="dxa"/>
            <w:shd w:val="clear" w:color="auto" w:fill="auto"/>
            <w:vAlign w:val="bottom"/>
          </w:tcPr>
          <w:p w:rsidRPr="00EC44BE" w:rsidR="00862E03" w:rsidP="00862E03" w:rsidRDefault="007E4C21" w14:paraId="2C313C7D" w14:textId="3D4C21D0">
            <w:pPr>
              <w:jc w:val="center"/>
              <w:rPr>
                <w:sz w:val="24"/>
              </w:rPr>
            </w:pPr>
            <w:r w:rsidRPr="00EC44BE">
              <w:rPr>
                <w:sz w:val="24"/>
              </w:rPr>
              <w:t>668</w:t>
            </w:r>
          </w:p>
        </w:tc>
        <w:tc>
          <w:tcPr>
            <w:tcW w:w="1800" w:type="dxa"/>
            <w:shd w:val="clear" w:color="auto" w:fill="auto"/>
            <w:vAlign w:val="bottom"/>
          </w:tcPr>
          <w:p w:rsidRPr="00862E03" w:rsidR="00862E03" w:rsidP="00862E03" w:rsidRDefault="00B77DBC" w14:paraId="77EA4154" w14:textId="62198EB4">
            <w:pPr>
              <w:jc w:val="center"/>
              <w:rPr>
                <w:sz w:val="24"/>
              </w:rPr>
            </w:pPr>
            <w:r>
              <w:rPr>
                <w:sz w:val="24"/>
              </w:rPr>
              <w:t>-119</w:t>
            </w:r>
          </w:p>
        </w:tc>
        <w:tc>
          <w:tcPr>
            <w:tcW w:w="1957" w:type="dxa"/>
            <w:shd w:val="clear" w:color="auto" w:fill="auto"/>
            <w:vAlign w:val="bottom"/>
          </w:tcPr>
          <w:p w:rsidRPr="00862E03" w:rsidR="00862E03" w:rsidP="00862E03" w:rsidRDefault="00885C49" w14:paraId="70D91D03" w14:textId="6880F0FC">
            <w:pPr>
              <w:jc w:val="center"/>
              <w:rPr>
                <w:sz w:val="24"/>
              </w:rPr>
            </w:pPr>
            <w:r>
              <w:rPr>
                <w:sz w:val="24"/>
              </w:rPr>
              <w:t>0</w:t>
            </w:r>
          </w:p>
        </w:tc>
      </w:tr>
      <w:tr w:rsidRPr="00862E03" w:rsidR="00862E03" w:rsidTr="00E3104D" w14:paraId="6E286B1C" w14:textId="77777777">
        <w:trPr>
          <w:trHeight w:val="575"/>
        </w:trPr>
        <w:tc>
          <w:tcPr>
            <w:tcW w:w="2679" w:type="dxa"/>
            <w:shd w:val="clear" w:color="auto" w:fill="auto"/>
          </w:tcPr>
          <w:p w:rsidRPr="00862E03" w:rsidR="00862E03" w:rsidP="00862E03" w:rsidRDefault="00862E03" w14:paraId="747DAB8B" w14:textId="77777777">
            <w:pPr>
              <w:rPr>
                <w:sz w:val="24"/>
              </w:rPr>
            </w:pPr>
            <w:r w:rsidRPr="00862E03">
              <w:rPr>
                <w:sz w:val="24"/>
              </w:rPr>
              <w:t>Annual Time Burden (Hr.)</w:t>
            </w:r>
          </w:p>
        </w:tc>
        <w:tc>
          <w:tcPr>
            <w:tcW w:w="1461" w:type="dxa"/>
            <w:shd w:val="clear" w:color="auto" w:fill="auto"/>
            <w:vAlign w:val="bottom"/>
          </w:tcPr>
          <w:p w:rsidRPr="00EC44BE" w:rsidR="00862E03" w:rsidP="00862E03" w:rsidRDefault="00F55615" w14:paraId="142AF0A1" w14:textId="474DD5E0">
            <w:pPr>
              <w:jc w:val="center"/>
              <w:rPr>
                <w:sz w:val="24"/>
              </w:rPr>
            </w:pPr>
            <w:r w:rsidRPr="00EC44BE">
              <w:rPr>
                <w:sz w:val="24"/>
              </w:rPr>
              <w:t>5</w:t>
            </w:r>
            <w:r w:rsidRPr="00EC44BE" w:rsidR="00E443F9">
              <w:rPr>
                <w:sz w:val="24"/>
              </w:rPr>
              <w:t>2,973</w:t>
            </w:r>
          </w:p>
        </w:tc>
        <w:tc>
          <w:tcPr>
            <w:tcW w:w="1620" w:type="dxa"/>
            <w:shd w:val="clear" w:color="auto" w:fill="auto"/>
            <w:vAlign w:val="bottom"/>
          </w:tcPr>
          <w:p w:rsidRPr="00EC44BE" w:rsidR="00862E03" w:rsidP="00862E03" w:rsidRDefault="007E4C21" w14:paraId="4E5E1127" w14:textId="27F7F6AA">
            <w:pPr>
              <w:jc w:val="center"/>
              <w:rPr>
                <w:sz w:val="24"/>
              </w:rPr>
            </w:pPr>
            <w:r w:rsidRPr="00EC44BE">
              <w:rPr>
                <w:sz w:val="24"/>
              </w:rPr>
              <w:t>52,973</w:t>
            </w:r>
          </w:p>
        </w:tc>
        <w:tc>
          <w:tcPr>
            <w:tcW w:w="1800" w:type="dxa"/>
            <w:shd w:val="clear" w:color="auto" w:fill="auto"/>
            <w:vAlign w:val="bottom"/>
          </w:tcPr>
          <w:p w:rsidRPr="00862E03" w:rsidR="00862E03" w:rsidP="00862E03" w:rsidRDefault="00413B83" w14:paraId="09C4D5A5" w14:textId="38AC890B">
            <w:pPr>
              <w:jc w:val="center"/>
              <w:rPr>
                <w:sz w:val="24"/>
              </w:rPr>
            </w:pPr>
            <w:r>
              <w:rPr>
                <w:sz w:val="24"/>
              </w:rPr>
              <w:t>0</w:t>
            </w:r>
          </w:p>
        </w:tc>
        <w:tc>
          <w:tcPr>
            <w:tcW w:w="1957" w:type="dxa"/>
            <w:shd w:val="clear" w:color="auto" w:fill="auto"/>
            <w:vAlign w:val="bottom"/>
          </w:tcPr>
          <w:p w:rsidRPr="00862E03" w:rsidR="00862E03" w:rsidP="00862E03" w:rsidRDefault="00885C49" w14:paraId="5F44D190" w14:textId="35371518">
            <w:pPr>
              <w:jc w:val="center"/>
              <w:rPr>
                <w:sz w:val="24"/>
              </w:rPr>
            </w:pPr>
            <w:r>
              <w:rPr>
                <w:sz w:val="24"/>
              </w:rPr>
              <w:t>0</w:t>
            </w:r>
          </w:p>
        </w:tc>
      </w:tr>
      <w:tr w:rsidRPr="00862E03" w:rsidR="00862E03" w:rsidTr="00E3104D" w14:paraId="15FB5753" w14:textId="77777777">
        <w:trPr>
          <w:trHeight w:val="295"/>
        </w:trPr>
        <w:tc>
          <w:tcPr>
            <w:tcW w:w="2679" w:type="dxa"/>
            <w:tcBorders>
              <w:bottom w:val="single" w:color="auto" w:sz="4" w:space="0"/>
            </w:tcBorders>
            <w:shd w:val="clear" w:color="auto" w:fill="auto"/>
          </w:tcPr>
          <w:p w:rsidRPr="00862E03" w:rsidR="00862E03" w:rsidP="00862E03" w:rsidRDefault="00862E03" w14:paraId="1FA1FD4C" w14:textId="77777777">
            <w:pPr>
              <w:rPr>
                <w:sz w:val="24"/>
              </w:rPr>
            </w:pPr>
            <w:r w:rsidRPr="00862E03">
              <w:rPr>
                <w:sz w:val="24"/>
              </w:rPr>
              <w:lastRenderedPageBreak/>
              <w:t>Annual Cost Burden ($)</w:t>
            </w:r>
          </w:p>
        </w:tc>
        <w:tc>
          <w:tcPr>
            <w:tcW w:w="1461" w:type="dxa"/>
            <w:tcBorders>
              <w:bottom w:val="single" w:color="auto" w:sz="4" w:space="0"/>
            </w:tcBorders>
            <w:shd w:val="clear" w:color="auto" w:fill="auto"/>
            <w:vAlign w:val="bottom"/>
          </w:tcPr>
          <w:p w:rsidRPr="00EC44BE" w:rsidR="00862E03" w:rsidP="00862E03" w:rsidRDefault="00862E03" w14:paraId="247F0448" w14:textId="77777777">
            <w:pPr>
              <w:jc w:val="center"/>
              <w:rPr>
                <w:sz w:val="24"/>
              </w:rPr>
            </w:pPr>
            <w:r w:rsidRPr="00EC44BE">
              <w:rPr>
                <w:sz w:val="24"/>
              </w:rPr>
              <w:t>$0</w:t>
            </w:r>
          </w:p>
        </w:tc>
        <w:tc>
          <w:tcPr>
            <w:tcW w:w="1620" w:type="dxa"/>
            <w:tcBorders>
              <w:bottom w:val="single" w:color="auto" w:sz="4" w:space="0"/>
            </w:tcBorders>
            <w:shd w:val="clear" w:color="auto" w:fill="auto"/>
            <w:vAlign w:val="bottom"/>
          </w:tcPr>
          <w:p w:rsidRPr="00EC44BE" w:rsidR="00862E03" w:rsidP="00862E03" w:rsidRDefault="00862E03" w14:paraId="37D4166C" w14:textId="77777777">
            <w:pPr>
              <w:jc w:val="center"/>
              <w:rPr>
                <w:sz w:val="24"/>
              </w:rPr>
            </w:pPr>
            <w:r w:rsidRPr="00EC44BE">
              <w:rPr>
                <w:sz w:val="24"/>
              </w:rPr>
              <w:t>$0</w:t>
            </w:r>
          </w:p>
        </w:tc>
        <w:tc>
          <w:tcPr>
            <w:tcW w:w="1800" w:type="dxa"/>
            <w:tcBorders>
              <w:bottom w:val="single" w:color="auto" w:sz="4" w:space="0"/>
            </w:tcBorders>
            <w:shd w:val="clear" w:color="auto" w:fill="auto"/>
            <w:vAlign w:val="bottom"/>
          </w:tcPr>
          <w:p w:rsidRPr="00862E03" w:rsidR="00862E03" w:rsidP="00862E03" w:rsidRDefault="00862E03" w14:paraId="5E6D0606" w14:textId="77777777">
            <w:pPr>
              <w:jc w:val="center"/>
              <w:rPr>
                <w:sz w:val="24"/>
              </w:rPr>
            </w:pPr>
            <w:r w:rsidRPr="00862E03">
              <w:rPr>
                <w:sz w:val="24"/>
              </w:rPr>
              <w:t>$0</w:t>
            </w:r>
          </w:p>
        </w:tc>
        <w:tc>
          <w:tcPr>
            <w:tcW w:w="1957" w:type="dxa"/>
            <w:tcBorders>
              <w:bottom w:val="single" w:color="auto" w:sz="4" w:space="0"/>
            </w:tcBorders>
            <w:shd w:val="clear" w:color="auto" w:fill="auto"/>
            <w:vAlign w:val="bottom"/>
          </w:tcPr>
          <w:p w:rsidRPr="00862E03" w:rsidR="00862E03" w:rsidP="00862E03" w:rsidRDefault="00862E03" w14:paraId="178CF763" w14:textId="77777777">
            <w:pPr>
              <w:jc w:val="center"/>
              <w:rPr>
                <w:sz w:val="24"/>
              </w:rPr>
            </w:pPr>
            <w:r w:rsidRPr="00862E03">
              <w:rPr>
                <w:sz w:val="24"/>
              </w:rPr>
              <w:t>$0</w:t>
            </w:r>
          </w:p>
        </w:tc>
      </w:tr>
    </w:tbl>
    <w:p w:rsidRPr="00F5428B" w:rsidR="00862E03" w:rsidP="00BC15BE" w:rsidRDefault="00862E03" w14:paraId="6942E0E9" w14:textId="77777777">
      <w:pPr>
        <w:rPr>
          <w:sz w:val="24"/>
        </w:rPr>
      </w:pPr>
    </w:p>
    <w:p w:rsidRPr="00F5428B" w:rsidR="00BC15BE" w:rsidP="00BC15BE" w:rsidRDefault="00BC15BE" w14:paraId="1DD34261" w14:textId="77777777">
      <w:pPr>
        <w:pStyle w:val="Level1"/>
        <w:rPr>
          <w:b/>
        </w:rPr>
      </w:pPr>
      <w:r w:rsidRPr="00F5428B">
        <w:rPr>
          <w:b/>
        </w:rPr>
        <w:t>TIME SCHEDULE FOR PUBLICATION OF DATA</w:t>
      </w:r>
    </w:p>
    <w:p w:rsidR="000C0189" w:rsidP="00BC15BE" w:rsidRDefault="000C0189" w14:paraId="0A20ADCA" w14:textId="731B441E">
      <w:pPr>
        <w:rPr>
          <w:sz w:val="24"/>
        </w:rPr>
      </w:pPr>
    </w:p>
    <w:p w:rsidRPr="00DF6937" w:rsidR="00DF6937" w:rsidP="00DF6937" w:rsidRDefault="00DF6937" w14:paraId="7E8CED75" w14:textId="6B952E6E">
      <w:pPr>
        <w:rPr>
          <w:sz w:val="24"/>
        </w:rPr>
      </w:pPr>
      <w:r w:rsidRPr="00DF6937">
        <w:rPr>
          <w:sz w:val="24"/>
        </w:rPr>
        <w:t>Further,</w:t>
      </w:r>
      <w:r w:rsidR="005E583F">
        <w:rPr>
          <w:sz w:val="24"/>
        </w:rPr>
        <w:t xml:space="preserve"> </w:t>
      </w:r>
      <w:proofErr w:type="gramStart"/>
      <w:r w:rsidR="005E583F">
        <w:rPr>
          <w:sz w:val="24"/>
        </w:rPr>
        <w:t>despite the fact that</w:t>
      </w:r>
      <w:proofErr w:type="gramEnd"/>
      <w:r w:rsidR="005E583F">
        <w:rPr>
          <w:sz w:val="24"/>
        </w:rPr>
        <w:t xml:space="preserve"> FERC-549C </w:t>
      </w:r>
      <w:r w:rsidRPr="00F5428B" w:rsidR="005E583F">
        <w:rPr>
          <w:sz w:val="24"/>
        </w:rPr>
        <w:t xml:space="preserve">data </w:t>
      </w:r>
      <w:r w:rsidR="005E583F">
        <w:rPr>
          <w:sz w:val="24"/>
        </w:rPr>
        <w:t>are</w:t>
      </w:r>
      <w:r w:rsidRPr="00F5428B" w:rsidR="005E583F">
        <w:rPr>
          <w:sz w:val="24"/>
        </w:rPr>
        <w:t xml:space="preserve"> </w:t>
      </w:r>
      <w:r w:rsidR="005E583F">
        <w:rPr>
          <w:sz w:val="24"/>
        </w:rPr>
        <w:t>publicly available,</w:t>
      </w:r>
      <w:r w:rsidRPr="00DF6937">
        <w:rPr>
          <w:sz w:val="24"/>
        </w:rPr>
        <w:t xml:space="preserve"> there </w:t>
      </w:r>
      <w:r w:rsidR="005E583F">
        <w:rPr>
          <w:sz w:val="24"/>
        </w:rPr>
        <w:t>are</w:t>
      </w:r>
      <w:r w:rsidRPr="00DF6937">
        <w:rPr>
          <w:sz w:val="24"/>
        </w:rPr>
        <w:t xml:space="preserve"> no tabulating, statistical or publication plans.</w:t>
      </w:r>
    </w:p>
    <w:p w:rsidR="00DF6937" w:rsidP="00BC15BE" w:rsidRDefault="00DF6937" w14:paraId="78111E1E" w14:textId="77777777">
      <w:pPr>
        <w:rPr>
          <w:sz w:val="24"/>
        </w:rPr>
      </w:pPr>
    </w:p>
    <w:p w:rsidRPr="00F5428B" w:rsidR="00BC15BE" w:rsidP="00BC15BE" w:rsidRDefault="00BC15BE" w14:paraId="02004AD4" w14:textId="77777777">
      <w:pPr>
        <w:rPr>
          <w:sz w:val="24"/>
        </w:rPr>
      </w:pPr>
    </w:p>
    <w:p w:rsidRPr="00F5428B" w:rsidR="00BC15BE" w:rsidP="00BC15BE" w:rsidRDefault="00BC15BE" w14:paraId="604362A8" w14:textId="77777777">
      <w:pPr>
        <w:pStyle w:val="Level1"/>
        <w:rPr>
          <w:b/>
        </w:rPr>
      </w:pPr>
      <w:r w:rsidRPr="00F5428B">
        <w:rPr>
          <w:b/>
        </w:rPr>
        <w:t>DISPLAY OF EXPIRATION DATE</w:t>
      </w:r>
    </w:p>
    <w:p w:rsidR="000C0189" w:rsidP="00BC15BE" w:rsidRDefault="000C0189" w14:paraId="3EFB0E76" w14:textId="77777777">
      <w:pPr>
        <w:rPr>
          <w:sz w:val="24"/>
        </w:rPr>
      </w:pPr>
    </w:p>
    <w:p w:rsidRPr="003E4971" w:rsidR="003E4971" w:rsidP="003E4971" w:rsidRDefault="003E4971" w14:paraId="4EC464D6" w14:textId="77777777">
      <w:pPr>
        <w:rPr>
          <w:rFonts w:eastAsiaTheme="minorHAnsi"/>
          <w:sz w:val="24"/>
        </w:rPr>
      </w:pPr>
      <w:r w:rsidRPr="003E4971">
        <w:rPr>
          <w:rFonts w:eastAsiaTheme="minorHAnsi"/>
          <w:sz w:val="24"/>
        </w:rPr>
        <w:t xml:space="preserve">The expiration date is displayed in a table posted on ferc.gov at </w:t>
      </w:r>
      <w:hyperlink w:history="1" r:id="rId12">
        <w:r w:rsidRPr="003E4971">
          <w:rPr>
            <w:rFonts w:eastAsiaTheme="minorHAnsi"/>
            <w:color w:val="0000FF"/>
            <w:sz w:val="24"/>
            <w:u w:val="single"/>
          </w:rPr>
          <w:t>https://www.ferc.gov/information-collections</w:t>
        </w:r>
      </w:hyperlink>
    </w:p>
    <w:p w:rsidRPr="00F5428B" w:rsidR="00BC15BE" w:rsidP="00BC15BE" w:rsidRDefault="00BC15BE" w14:paraId="39DDEEB5" w14:textId="77777777">
      <w:pPr>
        <w:rPr>
          <w:sz w:val="24"/>
        </w:rPr>
      </w:pPr>
    </w:p>
    <w:p w:rsidRPr="00F5428B" w:rsidR="00BC15BE" w:rsidP="00BC15BE" w:rsidRDefault="00BC15BE" w14:paraId="121B55AC" w14:textId="77777777">
      <w:pPr>
        <w:pStyle w:val="Level1"/>
        <w:rPr>
          <w:b/>
        </w:rPr>
      </w:pPr>
      <w:r w:rsidRPr="00F5428B">
        <w:rPr>
          <w:b/>
        </w:rPr>
        <w:t>EXCEPTIONS TO THE CERTIFICATION STATEMENT</w:t>
      </w:r>
    </w:p>
    <w:p w:rsidR="000C0189" w:rsidP="00BC15BE" w:rsidRDefault="000C0189" w14:paraId="4508C369" w14:textId="77777777">
      <w:pPr>
        <w:rPr>
          <w:sz w:val="24"/>
        </w:rPr>
      </w:pPr>
    </w:p>
    <w:p w:rsidRPr="00F5428B" w:rsidR="00BC15BE" w:rsidP="00BC15BE" w:rsidRDefault="00BC15BE" w14:paraId="7C3D7C44" w14:textId="77777777">
      <w:pPr>
        <w:rPr>
          <w:sz w:val="24"/>
        </w:rPr>
      </w:pPr>
      <w:r w:rsidRPr="00F5428B">
        <w:rPr>
          <w:sz w:val="24"/>
        </w:rPr>
        <w:t>There are no exceptions.</w:t>
      </w:r>
    </w:p>
    <w:p w:rsidRPr="00F5428B" w:rsidR="0010764F" w:rsidRDefault="0010764F" w14:paraId="5DD536D6" w14:textId="77777777">
      <w:pPr>
        <w:rPr>
          <w:sz w:val="24"/>
        </w:rPr>
      </w:pPr>
    </w:p>
    <w:sectPr w:rsidRPr="00F5428B" w:rsidR="0010764F" w:rsidSect="008D4689">
      <w:headerReference w:type="default" r:id="rId13"/>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2C623" w14:textId="77777777" w:rsidR="001E7B98" w:rsidRDefault="001E7B98" w:rsidP="00BC15BE">
      <w:r>
        <w:separator/>
      </w:r>
    </w:p>
  </w:endnote>
  <w:endnote w:type="continuationSeparator" w:id="0">
    <w:p w14:paraId="724503D6" w14:textId="77777777" w:rsidR="001E7B98" w:rsidRDefault="001E7B98" w:rsidP="00BC15BE">
      <w:r>
        <w:continuationSeparator/>
      </w:r>
    </w:p>
  </w:endnote>
  <w:endnote w:type="continuationNotice" w:id="1">
    <w:p w14:paraId="11ED0F91" w14:textId="77777777" w:rsidR="001E7B98" w:rsidRDefault="001E7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179F3" w14:textId="77777777" w:rsidR="001E7B98" w:rsidRDefault="001E7B98" w:rsidP="00BC15BE">
      <w:r>
        <w:separator/>
      </w:r>
    </w:p>
  </w:footnote>
  <w:footnote w:type="continuationSeparator" w:id="0">
    <w:p w14:paraId="0B9EEFD9" w14:textId="77777777" w:rsidR="001E7B98" w:rsidRDefault="001E7B98" w:rsidP="00BC15BE">
      <w:r>
        <w:continuationSeparator/>
      </w:r>
    </w:p>
  </w:footnote>
  <w:footnote w:type="continuationNotice" w:id="1">
    <w:p w14:paraId="77BC6B3F" w14:textId="77777777" w:rsidR="001E7B98" w:rsidRDefault="001E7B98"/>
  </w:footnote>
  <w:footnote w:id="2">
    <w:p w14:paraId="0CB6E7C8" w14:textId="6E725C0A" w:rsidR="00B51119" w:rsidRPr="002D35D1" w:rsidRDefault="00B51119" w:rsidP="00B51119">
      <w:pPr>
        <w:pStyle w:val="FootnoteText"/>
        <w:rPr>
          <w:sz w:val="24"/>
          <w:szCs w:val="24"/>
        </w:rPr>
      </w:pPr>
      <w:r w:rsidRPr="002D35D1">
        <w:rPr>
          <w:rStyle w:val="FootnoteReference"/>
          <w:sz w:val="24"/>
          <w:szCs w:val="24"/>
        </w:rPr>
        <w:footnoteRef/>
      </w:r>
      <w:r w:rsidRPr="002D35D1">
        <w:rPr>
          <w:sz w:val="24"/>
          <w:szCs w:val="24"/>
        </w:rPr>
        <w:t xml:space="preserve"> This series of orders began with the Commission’s issuance of </w:t>
      </w:r>
      <w:r w:rsidRPr="002D35D1">
        <w:rPr>
          <w:i/>
          <w:sz w:val="24"/>
          <w:szCs w:val="24"/>
        </w:rPr>
        <w:t>Standards for Bus. Practices of Interstate Nat. Gas Pipelines</w:t>
      </w:r>
      <w:r w:rsidRPr="002D35D1">
        <w:rPr>
          <w:sz w:val="24"/>
          <w:szCs w:val="24"/>
        </w:rPr>
        <w:t>, Ord. No. 587, FERC Stats. &amp; Regs. ¶ 31,038 (1996).</w:t>
      </w:r>
    </w:p>
  </w:footnote>
  <w:footnote w:id="3">
    <w:p w14:paraId="5FE6ABA9" w14:textId="77777777" w:rsidR="00B51119" w:rsidRPr="002D35D1" w:rsidRDefault="00B51119" w:rsidP="00B51119">
      <w:pPr>
        <w:pStyle w:val="FootnoteText"/>
        <w:rPr>
          <w:sz w:val="24"/>
          <w:szCs w:val="24"/>
        </w:rPr>
      </w:pPr>
      <w:r w:rsidRPr="002D35D1">
        <w:rPr>
          <w:rStyle w:val="FootnoteReference"/>
          <w:sz w:val="24"/>
          <w:szCs w:val="24"/>
        </w:rPr>
        <w:footnoteRef/>
      </w:r>
      <w:r w:rsidRPr="002D35D1">
        <w:rPr>
          <w:sz w:val="24"/>
          <w:szCs w:val="24"/>
        </w:rP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4">
    <w:p w14:paraId="2F546197" w14:textId="77777777" w:rsidR="00B51119" w:rsidRPr="002D35D1" w:rsidRDefault="00B51119" w:rsidP="00B51119">
      <w:pPr>
        <w:pStyle w:val="FootnoteText"/>
        <w:rPr>
          <w:sz w:val="24"/>
          <w:szCs w:val="24"/>
          <w:lang w:bidi="en-US"/>
        </w:rPr>
      </w:pPr>
      <w:r w:rsidRPr="002D35D1">
        <w:rPr>
          <w:rStyle w:val="FootnoteReference"/>
          <w:sz w:val="24"/>
          <w:szCs w:val="24"/>
        </w:rPr>
        <w:footnoteRef/>
      </w:r>
      <w:r w:rsidRPr="002D35D1">
        <w:rPr>
          <w:sz w:val="24"/>
          <w:szCs w:val="24"/>
        </w:rPr>
        <w:t xml:space="preserve"> </w:t>
      </w:r>
      <w:r w:rsidRPr="002D35D1">
        <w:rPr>
          <w:sz w:val="24"/>
          <w:szCs w:val="24"/>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5">
    <w:p w14:paraId="6F419776" w14:textId="77777777" w:rsidR="001D119A" w:rsidRPr="002D35D1" w:rsidRDefault="001D119A" w:rsidP="001D119A">
      <w:pPr>
        <w:pStyle w:val="FootnoteText"/>
        <w:rPr>
          <w:sz w:val="24"/>
          <w:szCs w:val="24"/>
        </w:rPr>
      </w:pPr>
      <w:r w:rsidRPr="002D35D1">
        <w:rPr>
          <w:rStyle w:val="FootnoteReference"/>
          <w:sz w:val="24"/>
          <w:szCs w:val="24"/>
        </w:rPr>
        <w:footnoteRef/>
      </w:r>
      <w:r w:rsidRPr="002D35D1">
        <w:rPr>
          <w:sz w:val="24"/>
          <w:szCs w:val="24"/>
        </w:rPr>
        <w:t xml:space="preserve"> 15 U.S.C. 717c-717w</w:t>
      </w:r>
    </w:p>
  </w:footnote>
  <w:footnote w:id="6">
    <w:p w14:paraId="425C75EA" w14:textId="77777777" w:rsidR="001D119A" w:rsidRDefault="001D119A" w:rsidP="001D119A">
      <w:pPr>
        <w:pStyle w:val="FootnoteText"/>
        <w:rPr>
          <w:sz w:val="26"/>
          <w:szCs w:val="26"/>
        </w:rPr>
      </w:pPr>
      <w:r w:rsidRPr="002D35D1">
        <w:rPr>
          <w:rStyle w:val="FootnoteReference"/>
          <w:sz w:val="24"/>
          <w:szCs w:val="24"/>
        </w:rPr>
        <w:footnoteRef/>
      </w:r>
      <w:r w:rsidRPr="002D35D1">
        <w:rPr>
          <w:sz w:val="24"/>
          <w:szCs w:val="24"/>
        </w:rPr>
        <w:t xml:space="preserve"> 15 U.S.C. 3301-3432</w:t>
      </w:r>
    </w:p>
  </w:footnote>
  <w:footnote w:id="7">
    <w:p w14:paraId="70246926" w14:textId="77777777" w:rsidR="001D119A" w:rsidRPr="002D35D1" w:rsidRDefault="001D119A" w:rsidP="001D119A">
      <w:pPr>
        <w:pStyle w:val="FootnoteText"/>
        <w:rPr>
          <w:sz w:val="24"/>
          <w:szCs w:val="24"/>
        </w:rPr>
      </w:pPr>
      <w:r w:rsidRPr="002D35D1">
        <w:rPr>
          <w:rStyle w:val="FootnoteReference"/>
          <w:sz w:val="24"/>
          <w:szCs w:val="24"/>
        </w:rPr>
        <w:footnoteRef/>
      </w:r>
      <w:r w:rsidRPr="002D35D1">
        <w:rPr>
          <w:sz w:val="24"/>
          <w:szCs w:val="24"/>
        </w:rPr>
        <w:t xml:space="preserve"> A standards organization accredited by the American National Standards Institute (ANSI).</w:t>
      </w:r>
    </w:p>
  </w:footnote>
  <w:footnote w:id="8">
    <w:p w14:paraId="3FE2BA29" w14:textId="69292C4B" w:rsidR="001D119A" w:rsidRPr="002D35D1" w:rsidRDefault="001D119A" w:rsidP="001D119A">
      <w:pPr>
        <w:pStyle w:val="FootnoteText"/>
        <w:rPr>
          <w:sz w:val="24"/>
          <w:szCs w:val="24"/>
        </w:rPr>
      </w:pPr>
      <w:r w:rsidRPr="002D35D1">
        <w:rPr>
          <w:rStyle w:val="FootnoteReference"/>
          <w:sz w:val="24"/>
          <w:szCs w:val="24"/>
        </w:rPr>
        <w:footnoteRef/>
      </w:r>
      <w:r w:rsidRPr="002D35D1">
        <w:rPr>
          <w:sz w:val="24"/>
          <w:szCs w:val="24"/>
        </w:rPr>
        <w:t xml:space="preserve"> This series of orders began with the Commission’s issuance of </w:t>
      </w:r>
      <w:r w:rsidRPr="002D35D1">
        <w:rPr>
          <w:i/>
          <w:sz w:val="24"/>
          <w:szCs w:val="24"/>
        </w:rPr>
        <w:t>Standards for Business Practices of Interstate Natural Gas Pipelines</w:t>
      </w:r>
      <w:r w:rsidRPr="002D35D1">
        <w:rPr>
          <w:sz w:val="24"/>
          <w:szCs w:val="24"/>
        </w:rPr>
        <w:t>, Order No. 587, FERC Stats. &amp; Regs. ¶ 31,038 (1996).</w:t>
      </w:r>
    </w:p>
  </w:footnote>
  <w:footnote w:id="9">
    <w:p w14:paraId="3EDCA3EF" w14:textId="77777777" w:rsidR="0008669A" w:rsidRPr="002D35D1" w:rsidRDefault="0008669A" w:rsidP="0008669A">
      <w:pPr>
        <w:pStyle w:val="FootnoteText"/>
        <w:rPr>
          <w:sz w:val="24"/>
          <w:szCs w:val="24"/>
        </w:rPr>
      </w:pPr>
      <w:r w:rsidRPr="002D35D1">
        <w:rPr>
          <w:rStyle w:val="FootnoteReference"/>
          <w:sz w:val="24"/>
          <w:szCs w:val="24"/>
        </w:rPr>
        <w:footnoteRef/>
      </w:r>
      <w:r w:rsidRPr="002D35D1">
        <w:rPr>
          <w:sz w:val="24"/>
          <w:szCs w:val="24"/>
        </w:rPr>
        <w:t xml:space="preserve"> More information is available on FERC’s </w:t>
      </w:r>
      <w:proofErr w:type="spellStart"/>
      <w:r w:rsidRPr="002D35D1">
        <w:rPr>
          <w:sz w:val="24"/>
          <w:szCs w:val="24"/>
        </w:rPr>
        <w:t>eTariff</w:t>
      </w:r>
      <w:proofErr w:type="spellEnd"/>
      <w:r w:rsidRPr="002D35D1">
        <w:rPr>
          <w:sz w:val="24"/>
          <w:szCs w:val="24"/>
        </w:rPr>
        <w:t xml:space="preserve"> page at </w:t>
      </w:r>
      <w:hyperlink r:id="rId1" w:history="1">
        <w:r w:rsidRPr="002D35D1">
          <w:rPr>
            <w:rStyle w:val="Hyperlink"/>
            <w:sz w:val="24"/>
            <w:szCs w:val="24"/>
          </w:rPr>
          <w:t>https://ferconline.ferc.gov/Login.aspx</w:t>
        </w:r>
      </w:hyperlink>
      <w:r w:rsidRPr="002D35D1">
        <w:rPr>
          <w:sz w:val="24"/>
          <w:szCs w:val="24"/>
        </w:rPr>
        <w:t xml:space="preserve">. </w:t>
      </w:r>
    </w:p>
  </w:footnote>
  <w:footnote w:id="10">
    <w:p w14:paraId="075C000E" w14:textId="383BA8CE" w:rsidR="00015DA5" w:rsidRPr="002D35D1" w:rsidRDefault="00D36F12" w:rsidP="002567E4">
      <w:pPr>
        <w:pStyle w:val="FootnoteText"/>
        <w:rPr>
          <w:sz w:val="24"/>
          <w:szCs w:val="24"/>
        </w:rPr>
      </w:pPr>
      <w:r w:rsidRPr="002D35D1">
        <w:rPr>
          <w:rStyle w:val="FootnoteReference"/>
          <w:sz w:val="24"/>
          <w:szCs w:val="24"/>
        </w:rPr>
        <w:footnoteRef/>
      </w:r>
      <w:r w:rsidRPr="002D35D1">
        <w:rPr>
          <w:sz w:val="24"/>
          <w:szCs w:val="24"/>
        </w:rPr>
        <w:t xml:space="preserve"> U.S. Small Business Administration, Table of Small Business Size Standards for Pipeline Transportation of Natural Gas, NAICS Code 486210, </w:t>
      </w:r>
      <w:r w:rsidR="00015DA5" w:rsidRPr="002D35D1">
        <w:rPr>
          <w:sz w:val="24"/>
          <w:szCs w:val="24"/>
        </w:rPr>
        <w:t xml:space="preserve">Subsector 486-Pipeline Transportation; North American Industry Classification System code 486210; Pipeline Transportation of Natural Gas (2020) </w:t>
      </w:r>
      <w:r w:rsidRPr="002D35D1">
        <w:rPr>
          <w:sz w:val="24"/>
          <w:szCs w:val="24"/>
        </w:rPr>
        <w:t>available at</w:t>
      </w:r>
      <w:hyperlink r:id="rId2" w:history="1">
        <w:r w:rsidR="00015DA5" w:rsidRPr="002D35D1">
          <w:rPr>
            <w:rStyle w:val="Hyperlink"/>
            <w:sz w:val="24"/>
            <w:szCs w:val="24"/>
          </w:rPr>
          <w:t>https://www.sba.gov/sites/default/files/2019-08/SBA%20Table%20of%20Size%20Standards_Effective%20Aug%2019%2C%202019_Rev.pdf</w:t>
        </w:r>
      </w:hyperlink>
      <w:r w:rsidR="00015DA5" w:rsidRPr="002D35D1">
        <w:rPr>
          <w:sz w:val="24"/>
          <w:szCs w:val="24"/>
        </w:rPr>
        <w:t>.</w:t>
      </w:r>
    </w:p>
    <w:p w14:paraId="59F6B092" w14:textId="7119462D" w:rsidR="00D36F12" w:rsidRPr="002D35D1" w:rsidRDefault="00015DA5" w:rsidP="002567E4">
      <w:pPr>
        <w:pStyle w:val="FootnoteText"/>
        <w:rPr>
          <w:sz w:val="24"/>
          <w:szCs w:val="24"/>
        </w:rPr>
      </w:pPr>
      <w:r w:rsidRPr="002D35D1">
        <w:rPr>
          <w:sz w:val="24"/>
          <w:szCs w:val="24"/>
        </w:rPr>
        <w:t>.</w:t>
      </w:r>
      <w:r w:rsidR="00D36F12" w:rsidRPr="002D35D1">
        <w:rPr>
          <w:sz w:val="24"/>
          <w:szCs w:val="24"/>
        </w:rPr>
        <w:t xml:space="preserve">, Subsector 486. </w:t>
      </w:r>
    </w:p>
    <w:p w14:paraId="67E0ACF9" w14:textId="7D9585A6" w:rsidR="00D36F12" w:rsidRPr="002D35D1" w:rsidRDefault="00D36F12" w:rsidP="002567E4">
      <w:pPr>
        <w:pStyle w:val="FootnoteText"/>
        <w:rPr>
          <w:sz w:val="24"/>
          <w:szCs w:val="24"/>
        </w:rPr>
      </w:pPr>
      <w:r w:rsidRPr="002D35D1">
        <w:rPr>
          <w:sz w:val="24"/>
          <w:szCs w:val="24"/>
        </w:rPr>
        <w:t>Matched to North American Industry Classification System Codes, Natural Gas Pipeline Transportation, NAICS Code 486210, page 27.</w:t>
      </w:r>
    </w:p>
  </w:footnote>
  <w:footnote w:id="11">
    <w:p w14:paraId="6241356D" w14:textId="77777777" w:rsidR="00DF6937" w:rsidRPr="002D35D1" w:rsidRDefault="00DF6937" w:rsidP="00DF6937">
      <w:pPr>
        <w:pStyle w:val="FootnoteText"/>
        <w:rPr>
          <w:sz w:val="24"/>
          <w:szCs w:val="24"/>
        </w:rPr>
      </w:pPr>
      <w:r w:rsidRPr="002D35D1">
        <w:rPr>
          <w:rStyle w:val="FootnoteReference"/>
          <w:sz w:val="24"/>
          <w:szCs w:val="24"/>
        </w:rPr>
        <w:footnoteRef/>
      </w:r>
      <w:r w:rsidRPr="002D35D1">
        <w:rPr>
          <w:sz w:val="24"/>
          <w:szCs w:val="24"/>
        </w:rPr>
        <w:t xml:space="preserve"> The National Institute of Standards and Technology Special Pub. 800-52 requires government Transport Layer Security servers and clients to support Transport Layer Security Version 1.2 and recommends support for Transport Layer Security Version 1.3 by the year 2024.</w:t>
      </w:r>
    </w:p>
  </w:footnote>
  <w:footnote w:id="12">
    <w:p w14:paraId="7AAB85F0" w14:textId="77777777" w:rsidR="00DF6937" w:rsidRPr="00B77DBC" w:rsidRDefault="00DF6937" w:rsidP="00DF6937">
      <w:pPr>
        <w:pStyle w:val="FootnoteText"/>
        <w:rPr>
          <w:rFonts w:asciiTheme="minorHAnsi" w:hAnsiTheme="minorHAnsi" w:cstheme="minorBidi"/>
          <w:sz w:val="24"/>
          <w:szCs w:val="24"/>
        </w:rPr>
      </w:pPr>
      <w:r w:rsidRPr="00B77DBC">
        <w:rPr>
          <w:rStyle w:val="FootnoteReference"/>
          <w:sz w:val="24"/>
          <w:szCs w:val="24"/>
        </w:rPr>
        <w:footnoteRef/>
      </w:r>
      <w:r w:rsidRPr="00B77DBC">
        <w:rPr>
          <w:sz w:val="24"/>
          <w:szCs w:val="24"/>
        </w:rPr>
        <w:t xml:space="preserve"> </w:t>
      </w:r>
      <w:proofErr w:type="spellStart"/>
      <w:r w:rsidRPr="00B77DBC">
        <w:rPr>
          <w:sz w:val="24"/>
          <w:szCs w:val="24"/>
        </w:rPr>
        <w:t>Rivest</w:t>
      </w:r>
      <w:proofErr w:type="spellEnd"/>
      <w:r w:rsidRPr="00B77DBC">
        <w:rPr>
          <w:sz w:val="24"/>
          <w:szCs w:val="24"/>
        </w:rPr>
        <w:t>-Shamir-Adelman is a public key infrastructure algorithm composed of a public component and a private component that is typically installed on a recognized Certificate Authority.</w:t>
      </w:r>
    </w:p>
  </w:footnote>
  <w:footnote w:id="13">
    <w:p w14:paraId="213E453F" w14:textId="77777777" w:rsidR="00DF6937" w:rsidRPr="002D35D1" w:rsidRDefault="00DF6937" w:rsidP="00DF6937">
      <w:pPr>
        <w:pStyle w:val="FootnoteText"/>
        <w:rPr>
          <w:rFonts w:asciiTheme="minorHAnsi" w:hAnsiTheme="minorHAnsi" w:cstheme="minorBidi"/>
          <w:sz w:val="24"/>
          <w:szCs w:val="24"/>
        </w:rPr>
      </w:pPr>
      <w:r w:rsidRPr="002D35D1">
        <w:rPr>
          <w:rStyle w:val="FootnoteReference"/>
          <w:sz w:val="24"/>
          <w:szCs w:val="24"/>
        </w:rPr>
        <w:footnoteRef/>
      </w:r>
      <w:r w:rsidRPr="002D35D1">
        <w:rPr>
          <w:sz w:val="24"/>
          <w:szCs w:val="24"/>
        </w:rPr>
        <w:t xml:space="preserve"> Elliptic Curve Digital Signature Algorithm public keys generate an encrypted signature to validate data.</w:t>
      </w:r>
    </w:p>
  </w:footnote>
  <w:footnote w:id="14">
    <w:p w14:paraId="6CF33B81" w14:textId="77777777" w:rsidR="00DF6937" w:rsidRPr="002D35D1" w:rsidRDefault="00DF6937" w:rsidP="00DF6937">
      <w:pPr>
        <w:pStyle w:val="FootnoteText"/>
        <w:rPr>
          <w:sz w:val="24"/>
          <w:szCs w:val="24"/>
        </w:rPr>
      </w:pPr>
      <w:r w:rsidRPr="002D35D1">
        <w:rPr>
          <w:rStyle w:val="FootnoteReference"/>
          <w:sz w:val="24"/>
          <w:szCs w:val="24"/>
        </w:rPr>
        <w:footnoteRef/>
      </w:r>
      <w:r w:rsidRPr="002D35D1">
        <w:rPr>
          <w:sz w:val="24"/>
          <w:szCs w:val="24"/>
        </w:rPr>
        <w:t xml:space="preserve"> A Hash is a cryptology technique used for digital signatures in which a series of numbers that may represent, for example, a password, an image, a document, or an executable file is used to generate a cryptographic hash (i.e., a large number).</w:t>
      </w:r>
    </w:p>
  </w:footnote>
  <w:footnote w:id="15">
    <w:p w14:paraId="4A3EB7DA" w14:textId="77777777" w:rsidR="00DF6937" w:rsidRPr="002D35D1" w:rsidRDefault="00DF6937" w:rsidP="00DF6937">
      <w:pPr>
        <w:pStyle w:val="FootnoteText"/>
        <w:rPr>
          <w:sz w:val="24"/>
          <w:szCs w:val="24"/>
        </w:rPr>
      </w:pPr>
      <w:r w:rsidRPr="002D35D1">
        <w:rPr>
          <w:rStyle w:val="FootnoteReference"/>
          <w:sz w:val="24"/>
          <w:szCs w:val="24"/>
        </w:rPr>
        <w:footnoteRef/>
      </w:r>
      <w:r w:rsidRPr="002D35D1">
        <w:rPr>
          <w:sz w:val="24"/>
          <w:szCs w:val="24"/>
        </w:rPr>
        <w:t xml:space="preserve"> SHA-2 is a set of cryptographic hash functions.</w:t>
      </w:r>
    </w:p>
  </w:footnote>
  <w:footnote w:id="16">
    <w:p w14:paraId="632006ED" w14:textId="77777777" w:rsidR="00DF6937" w:rsidRPr="002D35D1" w:rsidRDefault="00DF6937" w:rsidP="00DF6937">
      <w:pPr>
        <w:pStyle w:val="FootnoteText"/>
        <w:rPr>
          <w:sz w:val="24"/>
          <w:szCs w:val="24"/>
        </w:rPr>
      </w:pPr>
      <w:r w:rsidRPr="002D35D1">
        <w:rPr>
          <w:rStyle w:val="FootnoteReference"/>
          <w:sz w:val="24"/>
          <w:szCs w:val="24"/>
        </w:rPr>
        <w:footnoteRef/>
      </w:r>
      <w:r w:rsidRPr="002D35D1">
        <w:rPr>
          <w:sz w:val="24"/>
          <w:szCs w:val="24"/>
        </w:rPr>
        <w:t xml:space="preserve"> PGP is a proprietary (i.e., an organization must pay to use it) encryption program developed to enhance the confidentiality and integrity of data.</w:t>
      </w:r>
    </w:p>
  </w:footnote>
  <w:footnote w:id="17">
    <w:p w14:paraId="19F66637" w14:textId="77777777" w:rsidR="00CF1BAF" w:rsidRPr="002D35D1" w:rsidRDefault="00CF1BAF" w:rsidP="00CF1BAF">
      <w:pPr>
        <w:pStyle w:val="FootnoteText"/>
        <w:rPr>
          <w:sz w:val="24"/>
          <w:szCs w:val="24"/>
        </w:rPr>
      </w:pPr>
      <w:r w:rsidRPr="002D35D1">
        <w:rPr>
          <w:rStyle w:val="FootnoteReference"/>
          <w:sz w:val="24"/>
          <w:szCs w:val="24"/>
        </w:rPr>
        <w:footnoteRef/>
      </w:r>
      <w:r w:rsidRPr="002D35D1">
        <w:rPr>
          <w:sz w:val="24"/>
          <w:szCs w:val="24"/>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14:paraId="1CBC1E08" w14:textId="77777777" w:rsidR="00CF1BAF" w:rsidRPr="002D35D1" w:rsidRDefault="00CF1BAF" w:rsidP="00CF1BAF">
      <w:pPr>
        <w:pStyle w:val="FootnoteText"/>
        <w:rPr>
          <w:sz w:val="24"/>
          <w:szCs w:val="24"/>
        </w:rPr>
      </w:pPr>
    </w:p>
  </w:footnote>
  <w:footnote w:id="18">
    <w:p w14:paraId="77D8C868" w14:textId="77777777" w:rsidR="00CF1BAF" w:rsidRPr="002D35D1" w:rsidRDefault="00CF1BAF" w:rsidP="00CF1BAF">
      <w:pPr>
        <w:pStyle w:val="FootnoteText"/>
        <w:rPr>
          <w:sz w:val="24"/>
          <w:szCs w:val="24"/>
        </w:rPr>
      </w:pPr>
      <w:r w:rsidRPr="002D35D1">
        <w:rPr>
          <w:rStyle w:val="FootnoteReference"/>
          <w:sz w:val="24"/>
          <w:szCs w:val="24"/>
        </w:rPr>
        <w:footnoteRef/>
      </w:r>
      <w:r w:rsidRPr="002D35D1">
        <w:rPr>
          <w:sz w:val="24"/>
          <w:szCs w:val="24"/>
        </w:rPr>
        <w:t xml:space="preserve"> Commission staff estimates that the industry’s skill set and cost (for wages and benefits) for FERC-549C are approximately the same as the Commission’s average cost.  </w:t>
      </w:r>
      <w:bookmarkStart w:id="0" w:name="_Hlk84516404"/>
      <w:r w:rsidRPr="002D35D1">
        <w:rPr>
          <w:sz w:val="24"/>
          <w:szCs w:val="24"/>
        </w:rPr>
        <w:t xml:space="preserve">The FERC 2021 average salary plus benefits for one FERC full-time equivalent (FTE) is $180,703/year (or $87.00/hour) posted by the Bureau of Labor Statistics for the Utilities sector (available at </w:t>
      </w:r>
      <w:hyperlink r:id="rId3" w:history="1">
        <w:r w:rsidRPr="002D35D1">
          <w:rPr>
            <w:rStyle w:val="Hyperlink"/>
            <w:sz w:val="24"/>
            <w:szCs w:val="24"/>
          </w:rPr>
          <w:t>https://www.bls.gov/oes/current/naics3_221000.htm</w:t>
        </w:r>
      </w:hyperlink>
      <w:r w:rsidRPr="002D35D1">
        <w:rPr>
          <w:sz w:val="24"/>
          <w:szCs w:val="24"/>
        </w:rPr>
        <w:t>)</w:t>
      </w:r>
    </w:p>
    <w:p w14:paraId="528D4420" w14:textId="77777777" w:rsidR="00CF1BAF" w:rsidRPr="002D35D1" w:rsidRDefault="00CF1BAF" w:rsidP="00CF1BAF">
      <w:pPr>
        <w:pStyle w:val="FootnoteText"/>
        <w:rPr>
          <w:sz w:val="24"/>
          <w:szCs w:val="24"/>
        </w:rPr>
      </w:pPr>
    </w:p>
    <w:bookmarkEnd w:id="0"/>
  </w:footnote>
  <w:footnote w:id="19">
    <w:p w14:paraId="107B73B1" w14:textId="77777777" w:rsidR="00CF1BAF" w:rsidRPr="002D35D1" w:rsidRDefault="00CF1BAF" w:rsidP="00CF1BAF">
      <w:pPr>
        <w:pStyle w:val="FootnoteText"/>
        <w:rPr>
          <w:sz w:val="24"/>
          <w:szCs w:val="24"/>
        </w:rPr>
      </w:pPr>
      <w:r w:rsidRPr="002D35D1">
        <w:rPr>
          <w:rStyle w:val="FootnoteReference"/>
          <w:sz w:val="24"/>
          <w:szCs w:val="24"/>
        </w:rPr>
        <w:footnoteRef/>
      </w:r>
      <w:r w:rsidRPr="002D35D1">
        <w:rPr>
          <w:sz w:val="24"/>
          <w:szCs w:val="24"/>
        </w:rPr>
        <w:t xml:space="preserve"> The estimated hourly cost (salary plus benefits) provided in this section is based on the salary figures for May 2021 posted by the Bureau of Labor Statistics for the Utilities sector (available at </w:t>
      </w:r>
      <w:hyperlink r:id="rId4" w:history="1">
        <w:r w:rsidRPr="002D35D1">
          <w:rPr>
            <w:color w:val="0000FF"/>
            <w:sz w:val="24"/>
            <w:szCs w:val="24"/>
            <w:u w:val="single"/>
          </w:rPr>
          <w:t>http://www.bls.gov/oes/current/naics2_22.htm#13-0000</w:t>
        </w:r>
      </w:hyperlink>
      <w:r w:rsidRPr="002D35D1">
        <w:rPr>
          <w:sz w:val="24"/>
          <w:szCs w:val="24"/>
        </w:rPr>
        <w:t xml:space="preserve">) and scaled to reflect benefits using the relative importance of employer costs in employee compensation from June 2021 (available at </w:t>
      </w:r>
      <w:hyperlink r:id="rId5" w:history="1">
        <w:r w:rsidRPr="002D35D1">
          <w:rPr>
            <w:color w:val="0000FF"/>
            <w:sz w:val="24"/>
            <w:szCs w:val="24"/>
            <w:u w:val="single"/>
          </w:rPr>
          <w:t>https://www.bls.gov/oes/current/naics2_22.htm</w:t>
        </w:r>
      </w:hyperlink>
      <w:r w:rsidRPr="002D35D1">
        <w:rPr>
          <w:sz w:val="24"/>
          <w:szCs w:val="24"/>
        </w:rPr>
        <w:t xml:space="preserve">).  The hourly estimates for salary plus benefits are: </w:t>
      </w:r>
    </w:p>
    <w:p w14:paraId="6B120EA3" w14:textId="77777777" w:rsidR="00CF1BAF" w:rsidRPr="002D35D1" w:rsidRDefault="00CF1BAF" w:rsidP="00CF1BAF">
      <w:pPr>
        <w:pStyle w:val="FootnoteText"/>
        <w:rPr>
          <w:rFonts w:eastAsia="Calibri"/>
          <w:sz w:val="24"/>
          <w:szCs w:val="24"/>
        </w:rPr>
      </w:pPr>
      <w:r w:rsidRPr="002D35D1">
        <w:rPr>
          <w:rFonts w:eastAsia="Calibri"/>
          <w:sz w:val="24"/>
          <w:szCs w:val="24"/>
        </w:rPr>
        <w:tab/>
        <w:t>Petroleum Engineer (Occupation Code: 17-2171), $74.20</w:t>
      </w:r>
      <w:r w:rsidRPr="002D35D1">
        <w:rPr>
          <w:rFonts w:eastAsia="Calibri"/>
          <w:sz w:val="24"/>
          <w:szCs w:val="24"/>
        </w:rPr>
        <w:tab/>
      </w:r>
    </w:p>
    <w:p w14:paraId="2EC86C0A" w14:textId="77777777" w:rsidR="00CF1BAF" w:rsidRPr="002D35D1" w:rsidRDefault="00CF1BAF" w:rsidP="00CF1BAF">
      <w:pPr>
        <w:pStyle w:val="FootnoteText"/>
        <w:rPr>
          <w:rFonts w:eastAsia="Calibri"/>
          <w:sz w:val="24"/>
          <w:szCs w:val="24"/>
        </w:rPr>
      </w:pPr>
      <w:r w:rsidRPr="002D35D1">
        <w:rPr>
          <w:rFonts w:eastAsia="Calibri"/>
          <w:sz w:val="24"/>
          <w:szCs w:val="24"/>
        </w:rPr>
        <w:tab/>
        <w:t>Computer Systems Analysts (Occupation Code: 15-1120), $67.99</w:t>
      </w:r>
    </w:p>
    <w:p w14:paraId="59E599F7" w14:textId="77777777" w:rsidR="00CF1BAF" w:rsidRPr="002D35D1" w:rsidRDefault="00CF1BAF" w:rsidP="00CF1BAF">
      <w:pPr>
        <w:pStyle w:val="FootnoteText"/>
        <w:rPr>
          <w:rFonts w:eastAsia="Calibri"/>
          <w:sz w:val="24"/>
          <w:szCs w:val="24"/>
        </w:rPr>
      </w:pPr>
      <w:r w:rsidRPr="002D35D1">
        <w:rPr>
          <w:rFonts w:eastAsia="Calibri"/>
          <w:sz w:val="24"/>
          <w:szCs w:val="24"/>
        </w:rPr>
        <w:tab/>
        <w:t>Legal (Occupation Code: 23-0000), $142.25</w:t>
      </w:r>
    </w:p>
    <w:p w14:paraId="58508CDE" w14:textId="77777777" w:rsidR="00CF1BAF" w:rsidRPr="002D35D1" w:rsidRDefault="00CF1BAF" w:rsidP="00CF1BAF">
      <w:pPr>
        <w:pStyle w:val="FootnoteText"/>
        <w:rPr>
          <w:rFonts w:eastAsia="Calibri"/>
          <w:sz w:val="24"/>
          <w:szCs w:val="24"/>
        </w:rPr>
      </w:pPr>
      <w:r w:rsidRPr="002D35D1">
        <w:rPr>
          <w:rFonts w:eastAsia="Calibri"/>
          <w:sz w:val="24"/>
          <w:szCs w:val="24"/>
        </w:rPr>
        <w:tab/>
        <w:t>Economist (Occupation Code: 19-3011), $75.75</w:t>
      </w:r>
    </w:p>
    <w:p w14:paraId="25390F52" w14:textId="3C503A65" w:rsidR="00CF1BAF" w:rsidRPr="002D35D1" w:rsidRDefault="00CF1BAF" w:rsidP="00CF1BAF">
      <w:pPr>
        <w:autoSpaceDE w:val="0"/>
        <w:autoSpaceDN w:val="0"/>
        <w:adjustRightInd w:val="0"/>
        <w:rPr>
          <w:sz w:val="24"/>
        </w:rPr>
      </w:pPr>
      <w:r w:rsidRPr="002D35D1">
        <w:rPr>
          <w:sz w:val="24"/>
        </w:rPr>
        <w:t xml:space="preserve">The average hourly cost (salary plus benefits) is calculated weighting each of the </w:t>
      </w:r>
      <w:proofErr w:type="gramStart"/>
      <w:r w:rsidRPr="002D35D1">
        <w:rPr>
          <w:sz w:val="24"/>
        </w:rPr>
        <w:t>aforementioned wage</w:t>
      </w:r>
      <w:proofErr w:type="gramEnd"/>
      <w:r w:rsidRPr="002D35D1">
        <w:rPr>
          <w:sz w:val="24"/>
        </w:rPr>
        <w:t xml:space="preserve"> categories as follows: $74.20 (0.3) + $142.25 (0.3) + $67.99 (0.15) + $75.75 (0.25) = $94.07. </w:t>
      </w:r>
    </w:p>
    <w:p w14:paraId="190D7B22" w14:textId="77777777" w:rsidR="00CF1BAF" w:rsidRPr="002720D7" w:rsidRDefault="00CF1BAF" w:rsidP="00CF1BAF">
      <w:pPr>
        <w:autoSpaceDE w:val="0"/>
        <w:autoSpaceDN w:val="0"/>
        <w:adjustRightInd w:val="0"/>
        <w:rPr>
          <w:sz w:val="20"/>
          <w:szCs w:val="20"/>
        </w:rPr>
      </w:pPr>
    </w:p>
  </w:footnote>
  <w:footnote w:id="20">
    <w:p w14:paraId="1AA21F48" w14:textId="0988CDE7" w:rsidR="00D36F12" w:rsidRPr="002567E4" w:rsidRDefault="00D36F12" w:rsidP="002567E4">
      <w:pPr>
        <w:pStyle w:val="FootnoteText"/>
      </w:pPr>
      <w:r w:rsidRPr="002567E4">
        <w:rPr>
          <w:rStyle w:val="FootnoteReference"/>
          <w:sz w:val="20"/>
          <w:szCs w:val="20"/>
        </w:rPr>
        <w:footnoteRef/>
      </w:r>
      <w:r w:rsidRPr="002567E4">
        <w:t xml:space="preserve"> Based on FERC’s Fiscal Year 20</w:t>
      </w:r>
      <w:r w:rsidR="00E23A1C">
        <w:t>21</w:t>
      </w:r>
      <w:r w:rsidRPr="002567E4">
        <w:t xml:space="preserve"> average cost per FTE (salary plus benefits) of $1</w:t>
      </w:r>
      <w:r w:rsidR="007E4C21">
        <w:t>80,703</w:t>
      </w:r>
      <w:r w:rsidRPr="002567E4">
        <w:t xml:space="preserve"> per year (or 2,080 work hours), rounded to $</w:t>
      </w:r>
      <w:r w:rsidR="00F90719">
        <w:t>8</w:t>
      </w:r>
      <w:r w:rsidR="007E4C21">
        <w:t>7</w:t>
      </w:r>
      <w:r w:rsidRPr="002567E4">
        <w:t xml:space="preserve">.00 per hour. </w:t>
      </w:r>
    </w:p>
  </w:footnote>
  <w:footnote w:id="21">
    <w:p w14:paraId="5896C281" w14:textId="77777777" w:rsidR="00D36F12" w:rsidRPr="002567E4" w:rsidRDefault="00D36F12" w:rsidP="002567E4">
      <w:pPr>
        <w:pStyle w:val="FootnoteText"/>
      </w:pPr>
      <w:r w:rsidRPr="002567E4">
        <w:rPr>
          <w:rStyle w:val="FootnoteReference"/>
          <w:sz w:val="20"/>
          <w:szCs w:val="20"/>
        </w:rPr>
        <w:footnoteRef/>
      </w:r>
      <w:r w:rsidRPr="002567E4">
        <w:t xml:space="preserve"> Paperwork Reduction Act of 1995 (PRA)</w:t>
      </w:r>
    </w:p>
  </w:footnote>
  <w:footnote w:id="22">
    <w:p w14:paraId="2AB0B54B" w14:textId="42889524" w:rsidR="00D36F12" w:rsidRPr="002567E4" w:rsidRDefault="00D36F12" w:rsidP="002567E4">
      <w:pPr>
        <w:pStyle w:val="FootnoteText"/>
      </w:pPr>
      <w:r w:rsidRPr="002567E4">
        <w:rPr>
          <w:rStyle w:val="FootnoteReference"/>
          <w:sz w:val="20"/>
          <w:szCs w:val="20"/>
        </w:rPr>
        <w:footnoteRef/>
      </w:r>
      <w:r w:rsidRPr="002567E4">
        <w:t xml:space="preserve"> The PRA Administration Cost is $ </w:t>
      </w:r>
      <w:r w:rsidR="00E23A1C">
        <w:t>8,279</w:t>
      </w:r>
      <w:r w:rsidRPr="002567E4">
        <w:t>, and includes preparing supporting statements, notices, and other activities associated with P</w:t>
      </w:r>
      <w:r w:rsidR="008B59AE">
        <w:t xml:space="preserve">RA </w:t>
      </w:r>
      <w:r w:rsidRPr="002567E4">
        <w:t>compliance.</w:t>
      </w:r>
    </w:p>
  </w:footnote>
  <w:footnote w:id="23">
    <w:p w14:paraId="26909FBA" w14:textId="0BFB7648" w:rsidR="00A277D4" w:rsidRPr="002567E4" w:rsidRDefault="00A277D4" w:rsidP="002567E4">
      <w:pPr>
        <w:pStyle w:val="FootnoteText"/>
      </w:pPr>
      <w:r w:rsidRPr="002567E4">
        <w:rPr>
          <w:rStyle w:val="FootnoteReference"/>
          <w:sz w:val="20"/>
          <w:szCs w:val="20"/>
        </w:rPr>
        <w:footnoteRef/>
      </w:r>
      <w:r w:rsidRPr="002567E4">
        <w:t xml:space="preserve"> This cost will be applied to FERC-549C</w:t>
      </w:r>
      <w:r w:rsidR="004D5056" w:rsidRPr="002567E4">
        <w:t xml:space="preserve"> information collections</w:t>
      </w:r>
      <w:r w:rsidR="006462AD" w:rsidRPr="002567E4">
        <w:t xml:space="preserve"> as related </w:t>
      </w:r>
      <w:r w:rsidR="008B59AE">
        <w:t xml:space="preserve">to </w:t>
      </w:r>
      <w:r w:rsidR="006462AD" w:rsidRPr="002567E4">
        <w:t>their respective ICRs.</w:t>
      </w:r>
    </w:p>
  </w:footnote>
  <w:footnote w:id="24">
    <w:p w14:paraId="5827BD56" w14:textId="2DC1DC3A" w:rsidR="0068135E" w:rsidRPr="002567E4" w:rsidRDefault="0068135E" w:rsidP="002567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75F88" w14:textId="77777777" w:rsidR="00D36F12" w:rsidRPr="00F5428B" w:rsidRDefault="00D36F12" w:rsidP="008D4689">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14:paraId="2BD795A8" w14:textId="6AB0FBC9" w:rsidR="003B6C0A" w:rsidRPr="00A873E5" w:rsidRDefault="003B6C0A" w:rsidP="002B45F1">
    <w:pPr>
      <w:pStyle w:val="Header"/>
    </w:pPr>
    <w:r>
      <w:t>FERC-549C (OMB Control No. 1902-0174)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05D32DCB"/>
    <w:multiLevelType w:val="hybridMultilevel"/>
    <w:tmpl w:val="1964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655DC0"/>
    <w:multiLevelType w:val="hybridMultilevel"/>
    <w:tmpl w:val="98F2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87E03"/>
    <w:multiLevelType w:val="hybridMultilevel"/>
    <w:tmpl w:val="2F0C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9055B"/>
    <w:multiLevelType w:val="hybridMultilevel"/>
    <w:tmpl w:val="2986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
    <w:abstractNumId w:val="0"/>
    <w:lvlOverride w:ilvl="0">
      <w:startOverride w:val="11"/>
      <w:lvl w:ilvl="0">
        <w:start w:val="11"/>
        <w:numFmt w:val="decimal"/>
        <w:pStyle w:val="Level1"/>
        <w:lvlText w:val="%1."/>
        <w:lvlJc w:val="left"/>
      </w:lvl>
    </w:lvlOverride>
  </w:num>
  <w:num w:numId="4">
    <w:abstractNumId w:val="10"/>
  </w:num>
  <w:num w:numId="5">
    <w:abstractNumId w:val="4"/>
  </w:num>
  <w:num w:numId="6">
    <w:abstractNumId w:val="15"/>
  </w:num>
  <w:num w:numId="7">
    <w:abstractNumId w:val="3"/>
  </w:num>
  <w:num w:numId="8">
    <w:abstractNumId w:val="1"/>
  </w:num>
  <w:num w:numId="9">
    <w:abstractNumId w:val="7"/>
  </w:num>
  <w:num w:numId="10">
    <w:abstractNumId w:val="9"/>
  </w:num>
  <w:num w:numId="11">
    <w:abstractNumId w:val="13"/>
  </w:num>
  <w:num w:numId="12">
    <w:abstractNumId w:val="2"/>
  </w:num>
  <w:num w:numId="13">
    <w:abstractNumId w:val="12"/>
  </w:num>
  <w:num w:numId="14">
    <w:abstractNumId w:val="14"/>
  </w:num>
  <w:num w:numId="15">
    <w:abstractNumId w:val="11"/>
  </w:num>
  <w:num w:numId="16">
    <w:abstractNumId w:val="6"/>
  </w:num>
  <w:num w:numId="17">
    <w:abstractNumId w:val="5"/>
  </w:num>
  <w:num w:numId="18">
    <w:abstractNumId w:val="0"/>
    <w:lvlOverride w:ilvl="0">
      <w:startOverride w:val="10"/>
      <w:lvl w:ilvl="0">
        <w:start w:val="10"/>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597D"/>
    <w:rsid w:val="00006D51"/>
    <w:rsid w:val="00015DA5"/>
    <w:rsid w:val="00023257"/>
    <w:rsid w:val="000326C9"/>
    <w:rsid w:val="00035182"/>
    <w:rsid w:val="000524C2"/>
    <w:rsid w:val="00052AF3"/>
    <w:rsid w:val="000652A8"/>
    <w:rsid w:val="00073E1F"/>
    <w:rsid w:val="00074EFD"/>
    <w:rsid w:val="0008669A"/>
    <w:rsid w:val="00095B57"/>
    <w:rsid w:val="000973F8"/>
    <w:rsid w:val="000B2C2A"/>
    <w:rsid w:val="000C0189"/>
    <w:rsid w:val="000C4030"/>
    <w:rsid w:val="000C5550"/>
    <w:rsid w:val="000D03CF"/>
    <w:rsid w:val="000E2C3C"/>
    <w:rsid w:val="000E71C5"/>
    <w:rsid w:val="00103C09"/>
    <w:rsid w:val="00106AB4"/>
    <w:rsid w:val="0010764F"/>
    <w:rsid w:val="001235FD"/>
    <w:rsid w:val="00132E7B"/>
    <w:rsid w:val="00133C8D"/>
    <w:rsid w:val="001361B9"/>
    <w:rsid w:val="00141E40"/>
    <w:rsid w:val="001456AE"/>
    <w:rsid w:val="00153E29"/>
    <w:rsid w:val="00157642"/>
    <w:rsid w:val="00162EBD"/>
    <w:rsid w:val="001839B0"/>
    <w:rsid w:val="00185817"/>
    <w:rsid w:val="001915FB"/>
    <w:rsid w:val="001A535C"/>
    <w:rsid w:val="001B1135"/>
    <w:rsid w:val="001D119A"/>
    <w:rsid w:val="001D5A3B"/>
    <w:rsid w:val="001E7B98"/>
    <w:rsid w:val="001F1E2C"/>
    <w:rsid w:val="00206528"/>
    <w:rsid w:val="0020662B"/>
    <w:rsid w:val="00212D57"/>
    <w:rsid w:val="00215D6C"/>
    <w:rsid w:val="00226EC4"/>
    <w:rsid w:val="00241C42"/>
    <w:rsid w:val="0024518E"/>
    <w:rsid w:val="00256088"/>
    <w:rsid w:val="002567E4"/>
    <w:rsid w:val="00261F73"/>
    <w:rsid w:val="00267745"/>
    <w:rsid w:val="00275D69"/>
    <w:rsid w:val="0027779E"/>
    <w:rsid w:val="00292218"/>
    <w:rsid w:val="00292691"/>
    <w:rsid w:val="00295055"/>
    <w:rsid w:val="002978F1"/>
    <w:rsid w:val="002A2273"/>
    <w:rsid w:val="002A2AFD"/>
    <w:rsid w:val="002A4EBF"/>
    <w:rsid w:val="002B4415"/>
    <w:rsid w:val="002B45F1"/>
    <w:rsid w:val="002C118D"/>
    <w:rsid w:val="002C7122"/>
    <w:rsid w:val="002D1A59"/>
    <w:rsid w:val="002D35D1"/>
    <w:rsid w:val="002D4D89"/>
    <w:rsid w:val="002D7F3A"/>
    <w:rsid w:val="002E2010"/>
    <w:rsid w:val="002E6CFA"/>
    <w:rsid w:val="002E7150"/>
    <w:rsid w:val="002E7DA9"/>
    <w:rsid w:val="002F39BD"/>
    <w:rsid w:val="002F6758"/>
    <w:rsid w:val="00353A27"/>
    <w:rsid w:val="00382D44"/>
    <w:rsid w:val="00382FF3"/>
    <w:rsid w:val="00385B39"/>
    <w:rsid w:val="003941E0"/>
    <w:rsid w:val="00394CEF"/>
    <w:rsid w:val="00395CA7"/>
    <w:rsid w:val="003A6CBA"/>
    <w:rsid w:val="003B6C0A"/>
    <w:rsid w:val="003D2136"/>
    <w:rsid w:val="003E0393"/>
    <w:rsid w:val="003E4971"/>
    <w:rsid w:val="003F0E97"/>
    <w:rsid w:val="003F1AE2"/>
    <w:rsid w:val="00402714"/>
    <w:rsid w:val="00413B83"/>
    <w:rsid w:val="00416822"/>
    <w:rsid w:val="004266B7"/>
    <w:rsid w:val="00440A6C"/>
    <w:rsid w:val="00454AFC"/>
    <w:rsid w:val="00462F10"/>
    <w:rsid w:val="00467965"/>
    <w:rsid w:val="00467A1C"/>
    <w:rsid w:val="004714B2"/>
    <w:rsid w:val="00476985"/>
    <w:rsid w:val="00481661"/>
    <w:rsid w:val="004832CE"/>
    <w:rsid w:val="00486D73"/>
    <w:rsid w:val="004B16C8"/>
    <w:rsid w:val="004D5056"/>
    <w:rsid w:val="00504150"/>
    <w:rsid w:val="005228C3"/>
    <w:rsid w:val="00530CC0"/>
    <w:rsid w:val="00531B60"/>
    <w:rsid w:val="0053203F"/>
    <w:rsid w:val="00533037"/>
    <w:rsid w:val="005409EE"/>
    <w:rsid w:val="00552843"/>
    <w:rsid w:val="00554171"/>
    <w:rsid w:val="0056066E"/>
    <w:rsid w:val="00565AA0"/>
    <w:rsid w:val="005703D3"/>
    <w:rsid w:val="00573C31"/>
    <w:rsid w:val="00577E07"/>
    <w:rsid w:val="005A77A4"/>
    <w:rsid w:val="005B305F"/>
    <w:rsid w:val="005C31E9"/>
    <w:rsid w:val="005C6925"/>
    <w:rsid w:val="005E3C93"/>
    <w:rsid w:val="005E583F"/>
    <w:rsid w:val="005E7DE0"/>
    <w:rsid w:val="005F2E53"/>
    <w:rsid w:val="00602497"/>
    <w:rsid w:val="006071DF"/>
    <w:rsid w:val="00613D99"/>
    <w:rsid w:val="00622554"/>
    <w:rsid w:val="006334BD"/>
    <w:rsid w:val="006406B0"/>
    <w:rsid w:val="006462AD"/>
    <w:rsid w:val="006512E7"/>
    <w:rsid w:val="00652747"/>
    <w:rsid w:val="00653765"/>
    <w:rsid w:val="0065564D"/>
    <w:rsid w:val="006703B3"/>
    <w:rsid w:val="00671BA2"/>
    <w:rsid w:val="00681128"/>
    <w:rsid w:val="0068135E"/>
    <w:rsid w:val="00684BD1"/>
    <w:rsid w:val="00691DF4"/>
    <w:rsid w:val="00693FC9"/>
    <w:rsid w:val="006943C1"/>
    <w:rsid w:val="006B7B80"/>
    <w:rsid w:val="006B7EB4"/>
    <w:rsid w:val="006C2E0E"/>
    <w:rsid w:val="006D5606"/>
    <w:rsid w:val="006E49AD"/>
    <w:rsid w:val="006F1BF6"/>
    <w:rsid w:val="006F3568"/>
    <w:rsid w:val="007051A1"/>
    <w:rsid w:val="00714BD9"/>
    <w:rsid w:val="00725D1D"/>
    <w:rsid w:val="0073773B"/>
    <w:rsid w:val="00741AE3"/>
    <w:rsid w:val="00750F03"/>
    <w:rsid w:val="00755C82"/>
    <w:rsid w:val="0076212B"/>
    <w:rsid w:val="00762CA3"/>
    <w:rsid w:val="007777B4"/>
    <w:rsid w:val="00786926"/>
    <w:rsid w:val="00786B8A"/>
    <w:rsid w:val="00790B4E"/>
    <w:rsid w:val="00790F34"/>
    <w:rsid w:val="007973BC"/>
    <w:rsid w:val="007A42A3"/>
    <w:rsid w:val="007A7CD6"/>
    <w:rsid w:val="007B7E0C"/>
    <w:rsid w:val="007C083D"/>
    <w:rsid w:val="007C35D1"/>
    <w:rsid w:val="007D0453"/>
    <w:rsid w:val="007E03B0"/>
    <w:rsid w:val="007E1376"/>
    <w:rsid w:val="007E4C21"/>
    <w:rsid w:val="007F1802"/>
    <w:rsid w:val="007F2B47"/>
    <w:rsid w:val="007F3726"/>
    <w:rsid w:val="007F4D97"/>
    <w:rsid w:val="00800B4C"/>
    <w:rsid w:val="00805CDD"/>
    <w:rsid w:val="00817FF3"/>
    <w:rsid w:val="0082352D"/>
    <w:rsid w:val="00857BDB"/>
    <w:rsid w:val="00860043"/>
    <w:rsid w:val="008611ED"/>
    <w:rsid w:val="00862E03"/>
    <w:rsid w:val="00863189"/>
    <w:rsid w:val="00863D5C"/>
    <w:rsid w:val="00866355"/>
    <w:rsid w:val="0087618D"/>
    <w:rsid w:val="00885C49"/>
    <w:rsid w:val="00886043"/>
    <w:rsid w:val="00895DFE"/>
    <w:rsid w:val="008A250D"/>
    <w:rsid w:val="008B5107"/>
    <w:rsid w:val="008B59AE"/>
    <w:rsid w:val="008D3989"/>
    <w:rsid w:val="008D4689"/>
    <w:rsid w:val="008D6559"/>
    <w:rsid w:val="008E08A2"/>
    <w:rsid w:val="008F65E6"/>
    <w:rsid w:val="008F718E"/>
    <w:rsid w:val="00904FC9"/>
    <w:rsid w:val="00910DCD"/>
    <w:rsid w:val="009314A0"/>
    <w:rsid w:val="0094085E"/>
    <w:rsid w:val="00947FC5"/>
    <w:rsid w:val="00950A2F"/>
    <w:rsid w:val="00966D03"/>
    <w:rsid w:val="00971F55"/>
    <w:rsid w:val="00980CA7"/>
    <w:rsid w:val="00986AA7"/>
    <w:rsid w:val="009878A3"/>
    <w:rsid w:val="009B43B6"/>
    <w:rsid w:val="009B640A"/>
    <w:rsid w:val="009C3D22"/>
    <w:rsid w:val="009C4E66"/>
    <w:rsid w:val="009C5ED8"/>
    <w:rsid w:val="009D1B59"/>
    <w:rsid w:val="009E442F"/>
    <w:rsid w:val="009F020C"/>
    <w:rsid w:val="00A036CB"/>
    <w:rsid w:val="00A12AE9"/>
    <w:rsid w:val="00A17430"/>
    <w:rsid w:val="00A1752A"/>
    <w:rsid w:val="00A277D4"/>
    <w:rsid w:val="00A36AE2"/>
    <w:rsid w:val="00A4633A"/>
    <w:rsid w:val="00A5298F"/>
    <w:rsid w:val="00A55A48"/>
    <w:rsid w:val="00A560CE"/>
    <w:rsid w:val="00A720A5"/>
    <w:rsid w:val="00A75096"/>
    <w:rsid w:val="00A873E5"/>
    <w:rsid w:val="00AA2983"/>
    <w:rsid w:val="00AA44F5"/>
    <w:rsid w:val="00AC1033"/>
    <w:rsid w:val="00AC5B84"/>
    <w:rsid w:val="00AD3668"/>
    <w:rsid w:val="00B2471C"/>
    <w:rsid w:val="00B3074E"/>
    <w:rsid w:val="00B33CE5"/>
    <w:rsid w:val="00B33E93"/>
    <w:rsid w:val="00B3775B"/>
    <w:rsid w:val="00B37E87"/>
    <w:rsid w:val="00B51119"/>
    <w:rsid w:val="00B572D2"/>
    <w:rsid w:val="00B6435E"/>
    <w:rsid w:val="00B70817"/>
    <w:rsid w:val="00B719A3"/>
    <w:rsid w:val="00B77DBC"/>
    <w:rsid w:val="00B803B5"/>
    <w:rsid w:val="00B83849"/>
    <w:rsid w:val="00B83CB7"/>
    <w:rsid w:val="00B90ECF"/>
    <w:rsid w:val="00B96244"/>
    <w:rsid w:val="00BA3975"/>
    <w:rsid w:val="00BB1744"/>
    <w:rsid w:val="00BC15BE"/>
    <w:rsid w:val="00BD6B0B"/>
    <w:rsid w:val="00BE7994"/>
    <w:rsid w:val="00BF47F2"/>
    <w:rsid w:val="00C002D1"/>
    <w:rsid w:val="00C132B3"/>
    <w:rsid w:val="00C152C8"/>
    <w:rsid w:val="00C15E0A"/>
    <w:rsid w:val="00C16812"/>
    <w:rsid w:val="00C34573"/>
    <w:rsid w:val="00C375B5"/>
    <w:rsid w:val="00C40086"/>
    <w:rsid w:val="00C4337B"/>
    <w:rsid w:val="00C50902"/>
    <w:rsid w:val="00C51371"/>
    <w:rsid w:val="00C60DEA"/>
    <w:rsid w:val="00C6428D"/>
    <w:rsid w:val="00C74820"/>
    <w:rsid w:val="00C769FE"/>
    <w:rsid w:val="00C82FB6"/>
    <w:rsid w:val="00C91AC4"/>
    <w:rsid w:val="00C950E3"/>
    <w:rsid w:val="00C95983"/>
    <w:rsid w:val="00CB2252"/>
    <w:rsid w:val="00CC0BAF"/>
    <w:rsid w:val="00CC6A49"/>
    <w:rsid w:val="00CC7AD5"/>
    <w:rsid w:val="00CE046E"/>
    <w:rsid w:val="00CE4075"/>
    <w:rsid w:val="00CF1BAF"/>
    <w:rsid w:val="00CF2FD7"/>
    <w:rsid w:val="00CF57C2"/>
    <w:rsid w:val="00D008ED"/>
    <w:rsid w:val="00D019E6"/>
    <w:rsid w:val="00D25A7D"/>
    <w:rsid w:val="00D36F12"/>
    <w:rsid w:val="00D43303"/>
    <w:rsid w:val="00D53DB5"/>
    <w:rsid w:val="00D60724"/>
    <w:rsid w:val="00D64990"/>
    <w:rsid w:val="00D74895"/>
    <w:rsid w:val="00D75BF5"/>
    <w:rsid w:val="00D81DD0"/>
    <w:rsid w:val="00D856B0"/>
    <w:rsid w:val="00D93F72"/>
    <w:rsid w:val="00D94EDA"/>
    <w:rsid w:val="00DA0302"/>
    <w:rsid w:val="00DA678D"/>
    <w:rsid w:val="00DA7F4B"/>
    <w:rsid w:val="00DB4B59"/>
    <w:rsid w:val="00DC1D42"/>
    <w:rsid w:val="00DC399D"/>
    <w:rsid w:val="00DD0DF0"/>
    <w:rsid w:val="00DE1FCB"/>
    <w:rsid w:val="00DE3EE7"/>
    <w:rsid w:val="00DE6187"/>
    <w:rsid w:val="00DF17B3"/>
    <w:rsid w:val="00DF624B"/>
    <w:rsid w:val="00DF6937"/>
    <w:rsid w:val="00E06116"/>
    <w:rsid w:val="00E111A5"/>
    <w:rsid w:val="00E133F3"/>
    <w:rsid w:val="00E2173D"/>
    <w:rsid w:val="00E23A1C"/>
    <w:rsid w:val="00E34C4E"/>
    <w:rsid w:val="00E37BB0"/>
    <w:rsid w:val="00E42F90"/>
    <w:rsid w:val="00E443F9"/>
    <w:rsid w:val="00E44AA6"/>
    <w:rsid w:val="00E57C05"/>
    <w:rsid w:val="00E639DE"/>
    <w:rsid w:val="00E64A43"/>
    <w:rsid w:val="00E83E38"/>
    <w:rsid w:val="00E91039"/>
    <w:rsid w:val="00EB7781"/>
    <w:rsid w:val="00EC2AAF"/>
    <w:rsid w:val="00EC44BE"/>
    <w:rsid w:val="00EC646E"/>
    <w:rsid w:val="00ED09DA"/>
    <w:rsid w:val="00EE3E11"/>
    <w:rsid w:val="00EF3830"/>
    <w:rsid w:val="00F27BCC"/>
    <w:rsid w:val="00F35E8E"/>
    <w:rsid w:val="00F4226F"/>
    <w:rsid w:val="00F45B52"/>
    <w:rsid w:val="00F513B7"/>
    <w:rsid w:val="00F52BFE"/>
    <w:rsid w:val="00F52DA0"/>
    <w:rsid w:val="00F5428B"/>
    <w:rsid w:val="00F55615"/>
    <w:rsid w:val="00F559C3"/>
    <w:rsid w:val="00F56F9C"/>
    <w:rsid w:val="00F66FF0"/>
    <w:rsid w:val="00F8150C"/>
    <w:rsid w:val="00F86954"/>
    <w:rsid w:val="00F90719"/>
    <w:rsid w:val="00F959E9"/>
    <w:rsid w:val="00FA0BA0"/>
    <w:rsid w:val="00FA7C25"/>
    <w:rsid w:val="00FB3975"/>
    <w:rsid w:val="00FD7DF0"/>
    <w:rsid w:val="00FE6EB5"/>
    <w:rsid w:val="00FF3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Char,fn1,fn3,fn4"/>
    <w:basedOn w:val="Normal"/>
    <w:link w:val="FootnoteTextChar2"/>
    <w:qFormat/>
    <w:rsid w:val="007A42A3"/>
    <w:rPr>
      <w:sz w:val="20"/>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841575">
      <w:bodyDiv w:val="1"/>
      <w:marLeft w:val="0"/>
      <w:marRight w:val="0"/>
      <w:marTop w:val="0"/>
      <w:marBottom w:val="0"/>
      <w:divBdr>
        <w:top w:val="none" w:sz="0" w:space="0" w:color="auto"/>
        <w:left w:val="none" w:sz="0" w:space="0" w:color="auto"/>
        <w:bottom w:val="none" w:sz="0" w:space="0" w:color="auto"/>
        <w:right w:val="none" w:sz="0" w:space="0" w:color="auto"/>
      </w:divBdr>
    </w:div>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4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rc.gov/information-collec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3_221000.htm" TargetMode="External"/><Relationship Id="rId2" Type="http://schemas.openxmlformats.org/officeDocument/2006/relationships/hyperlink" Target="https://www.sba.gov/sites/default/files/2019-08/SBA%20Table%20of%20Size%20Standards_Effective%20Aug%2019%2C%202019_Rev.pdf" TargetMode="External"/><Relationship Id="rId1" Type="http://schemas.openxmlformats.org/officeDocument/2006/relationships/hyperlink" Target="https://ferconline.ferc.gov/Login.aspx" TargetMode="External"/><Relationship Id="rId5" Type="http://schemas.openxmlformats.org/officeDocument/2006/relationships/hyperlink" Target="https://www.bls.gov/oes/current/naics2_22.htm" TargetMode="External"/><Relationship Id="rId4" Type="http://schemas.openxmlformats.org/officeDocument/2006/relationships/hyperlink" Target="http://www.bls.gov/oes/current/naics2_22.htm%231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62E1DFB6D69D4983BED8CA804A90D7" ma:contentTypeVersion="0" ma:contentTypeDescription="Create a new document." ma:contentTypeScope="" ma:versionID="b2b59ea85ed96a0f988dec2a13ba52b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9A4D3-CA86-48B6-B461-471D0663250E}">
  <ds:schemaRefs>
    <ds:schemaRef ds:uri="http://schemas.openxmlformats.org/officeDocument/2006/bibliography"/>
  </ds:schemaRefs>
</ds:datastoreItem>
</file>

<file path=customXml/itemProps2.xml><?xml version="1.0" encoding="utf-8"?>
<ds:datastoreItem xmlns:ds="http://schemas.openxmlformats.org/officeDocument/2006/customXml" ds:itemID="{1DC3324D-3051-4133-9627-7DA9B31FC4BE}">
  <ds:schemaRefs>
    <ds:schemaRef ds:uri="Microsoft.SharePoint.Taxonomy.ContentTypeSync"/>
  </ds:schemaRefs>
</ds:datastoreItem>
</file>

<file path=customXml/itemProps3.xml><?xml version="1.0" encoding="utf-8"?>
<ds:datastoreItem xmlns:ds="http://schemas.openxmlformats.org/officeDocument/2006/customXml" ds:itemID="{23C472E6-E3F7-4C35-B2DC-3F4E7649F8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5.xml><?xml version="1.0" encoding="utf-8"?>
<ds:datastoreItem xmlns:ds="http://schemas.openxmlformats.org/officeDocument/2006/customXml" ds:itemID="{D7E7AC01-D607-4F84-B0F3-278FF0B94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RM96-1-041 Final Rule Supporting Statement</vt:lpstr>
    </vt:vector>
  </TitlesOfParts>
  <Company>Federal Energy Regulatory Commission</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creator>Oscar Santillana</dc:creator>
  <cp:lastModifiedBy>Kayla Williams</cp:lastModifiedBy>
  <cp:revision>4</cp:revision>
  <dcterms:created xsi:type="dcterms:W3CDTF">2022-01-26T14:23:00Z</dcterms:created>
  <dcterms:modified xsi:type="dcterms:W3CDTF">2022-01-26T21:58:00Z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0x0101006C62E1DFB6D69D4983BED8CA804A90D7</vt:lpwstr>
  </property>
  <property fmtid="{D5CDD505-2E9C-101B-9397-08002B2CF9AE}" pid="3" name="MSIP_Label_6155a89b-0f08-4a93-8ea2-8a916d6643b5_Enabled">
    <vt:lpwstr>true</vt:lpwstr>
  </property>
  <property fmtid="{D5CDD505-2E9C-101B-9397-08002B2CF9AE}" pid="4" name="MSIP_Label_6155a89b-0f08-4a93-8ea2-8a916d6643b5_SetDate">
    <vt:lpwstr>2021-09-27T12:07:54Z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ae0499c6-ecec-428b-aa41-a06398d5bd4a</vt:lpwstr>
  </property>
  <property fmtid="{D5CDD505-2E9C-101B-9397-08002B2CF9AE}" pid="9" name="MSIP_Label_6155a89b-0f08-4a93-8ea2-8a916d6643b5_ContentBits">
    <vt:lpwstr>0</vt:lpwstr>
  </property>
</Properties>
</file>