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4F4A989D">
      <w:pPr>
        <w:jc w:val="center"/>
      </w:pPr>
      <w:r w:rsidRPr="00980E58">
        <w:t>[</w:t>
      </w:r>
      <w:r w:rsidRPr="007633DD">
        <w:t>Docket No</w:t>
      </w:r>
      <w:r w:rsidRPr="00413FDE">
        <w:t xml:space="preserve">. </w:t>
      </w:r>
      <w:r w:rsidRPr="00413FDE" w:rsidR="00613169">
        <w:t>IC</w:t>
      </w:r>
      <w:r w:rsidRPr="00413FDE" w:rsidR="00FB078F">
        <w:t>2</w:t>
      </w:r>
      <w:r w:rsidR="00EA0E8C">
        <w:t>2</w:t>
      </w:r>
      <w:r w:rsidRPr="00413FDE" w:rsidR="00613169">
        <w:t>-</w:t>
      </w:r>
      <w:r w:rsidR="00E82FDD">
        <w:t>2</w:t>
      </w:r>
      <w:r w:rsidRPr="00413FDE" w:rsidR="00613169">
        <w:t>-000</w:t>
      </w:r>
      <w:r w:rsidRPr="00413FDE">
        <w:t>]</w:t>
      </w:r>
    </w:p>
    <w:p w:rsidR="00A2604E" w:rsidP="00A2604E" w:rsidRDefault="00A2604E" w14:paraId="4D16FE54" w14:textId="77777777"/>
    <w:p w:rsidR="00A2604E" w:rsidP="00A2604E" w:rsidRDefault="00A2604E" w14:paraId="0627AE31" w14:textId="5678EA39">
      <w:pPr>
        <w:jc w:val="center"/>
      </w:pPr>
      <w:r>
        <w:t>COMMISSION INFORMATION COLLECTION ACTIVITIES (FERC-</w:t>
      </w:r>
      <w:r w:rsidR="00530906">
        <w:t>545</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32099D" w:rsidP="00421FE8" w:rsidRDefault="00421FE8" w14:paraId="62378F07" w14:textId="3908884E">
      <w:pPr>
        <w:jc w:val="center"/>
      </w:pPr>
      <w:r w:rsidRPr="00421FE8">
        <w:t>(January 20, 2022)</w:t>
      </w:r>
    </w:p>
    <w:p w:rsidRPr="00421FE8" w:rsidR="00421FE8" w:rsidP="00421FE8" w:rsidRDefault="00421FE8" w14:paraId="1761EA3C"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00B556C9" w:rsidRDefault="00A2604E" w14:paraId="35DEAE81" w14:textId="5959733D">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name="_Hlk68526471" w:id="1"/>
      <w:bookmarkStart w:name="_Hlk72925791" w:id="2"/>
      <w:bookmarkStart w:name="_Hlk86237088" w:id="3"/>
      <w:r w:rsidR="00EA0E8C">
        <w:rPr>
          <w:szCs w:val="26"/>
        </w:rPr>
        <w:t>FERC-</w:t>
      </w:r>
      <w:r w:rsidR="00530906">
        <w:rPr>
          <w:szCs w:val="26"/>
        </w:rPr>
        <w:t>545</w:t>
      </w:r>
      <w:r w:rsidR="00EA0E8C">
        <w:rPr>
          <w:szCs w:val="26"/>
        </w:rPr>
        <w:t xml:space="preserve"> </w:t>
      </w:r>
      <w:bookmarkEnd w:id="1"/>
      <w:r w:rsidRPr="00B556C9" w:rsidR="00EA0E8C">
        <w:rPr>
          <w:rFonts w:eastAsiaTheme="minorHAnsi"/>
          <w:szCs w:val="26"/>
        </w:rPr>
        <w:t>(</w:t>
      </w:r>
      <w:bookmarkEnd w:id="2"/>
      <w:r w:rsidRPr="001F3B1B" w:rsidR="00B503A5">
        <w:rPr>
          <w:szCs w:val="26"/>
        </w:rPr>
        <w:t>Gas Pipeline Rates: Rate Change (Non-Formal</w:t>
      </w:r>
      <w:r w:rsidR="00B503A5">
        <w:rPr>
          <w:szCs w:val="26"/>
        </w:rPr>
        <w:t>))</w:t>
      </w:r>
      <w:bookmarkEnd w:id="3"/>
      <w:r w:rsidR="00564ADB">
        <w:rPr>
          <w:rFonts w:eastAsiaTheme="minorHAnsi"/>
          <w:szCs w:val="26"/>
        </w:rPr>
        <w:t xml:space="preserve">, </w:t>
      </w:r>
      <w:r w:rsidRPr="00564ADB" w:rsidR="00564ADB">
        <w:rPr>
          <w:rFonts w:eastAsiaTheme="minorHAnsi"/>
          <w:szCs w:val="26"/>
        </w:rPr>
        <w:t>which will be submitted to the Office of Management and Budget (OMB) for review.</w:t>
      </w:r>
    </w:p>
    <w:p w:rsidRPr="00524164" w:rsidR="00A2604E" w:rsidP="00A2604E" w:rsidRDefault="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Pr="00BB5EF5" w:rsidR="00564ADB" w:rsidP="00564ADB" w:rsidRDefault="00A2604E" w14:paraId="55C4F2A9" w14:textId="5198FE4E">
      <w:pPr>
        <w:spacing w:line="480" w:lineRule="auto"/>
      </w:pPr>
      <w:r w:rsidRPr="00524164">
        <w:rPr>
          <w:b/>
        </w:rPr>
        <w:t>ADDRESSES:</w:t>
      </w:r>
      <w:r w:rsidRPr="00524164">
        <w:t xml:space="preserve"> </w:t>
      </w:r>
      <w:r w:rsidRPr="00BB5EF5" w:rsidR="00564ADB">
        <w:rPr>
          <w:iCs/>
        </w:rPr>
        <w:t>Send written comments on FERC-</w:t>
      </w:r>
      <w:r w:rsidR="00530906">
        <w:rPr>
          <w:iCs/>
        </w:rPr>
        <w:t>545</w:t>
      </w:r>
      <w:r w:rsidRPr="00BB5EF5" w:rsidR="00564ADB">
        <w:rPr>
          <w:iCs/>
        </w:rPr>
        <w:t xml:space="preserve"> to OMB through </w:t>
      </w:r>
      <w:hyperlink w:history="1" r:id="rId12">
        <w:r w:rsidRPr="00BB5EF5" w:rsidR="00564ADB">
          <w:rPr>
            <w:rStyle w:val="Hyperlink"/>
          </w:rPr>
          <w:t>www.reginfo.gov/public/do/PRAMain</w:t>
        </w:r>
      </w:hyperlink>
      <w:r w:rsidRPr="00BB5EF5" w:rsidR="00564ADB">
        <w:rPr>
          <w:iCs/>
        </w:rPr>
        <w:t>.  Attention:  Federal Energy Regulatory Commission Desk Officer.  Please identify the OMB Control Number (1902-0</w:t>
      </w:r>
      <w:r w:rsidR="00D541DD">
        <w:rPr>
          <w:iCs/>
        </w:rPr>
        <w:t>154</w:t>
      </w:r>
      <w:r w:rsidRPr="00BB5EF5" w:rsidR="00564ADB">
        <w:rPr>
          <w:iCs/>
        </w:rPr>
        <w:t>) in the subject line of your comments.  Comments</w:t>
      </w:r>
      <w:r w:rsidRPr="00BB5EF5" w:rsidR="00564ADB">
        <w:t xml:space="preserve"> should be sent </w:t>
      </w:r>
      <w:bookmarkStart w:name="_Hlk35891527" w:id="4"/>
      <w:r w:rsidRPr="00BB5EF5" w:rsidR="00564ADB">
        <w:t xml:space="preserve">within 30 days of publication of this notice  to </w:t>
      </w:r>
      <w:bookmarkStart w:name="_Hlk38028221" w:id="5"/>
      <w:r w:rsidRPr="00BB5EF5" w:rsidR="00564ADB">
        <w:fldChar w:fldCharType="begin"/>
      </w:r>
      <w:r w:rsidRPr="00BB5EF5" w:rsidR="00564ADB">
        <w:instrText xml:space="preserve"> HYPERLINK "http://www.reginfo.gov/public/do/PRAMain" </w:instrText>
      </w:r>
      <w:r w:rsidRPr="00BB5EF5" w:rsidR="00564ADB">
        <w:fldChar w:fldCharType="separate"/>
      </w:r>
      <w:r w:rsidRPr="00BB5EF5" w:rsidR="00564ADB">
        <w:rPr>
          <w:rStyle w:val="Hyperlink"/>
        </w:rPr>
        <w:t>www.reginfo.gov/public/do/PRAMain</w:t>
      </w:r>
      <w:r w:rsidRPr="00BB5EF5" w:rsidR="00564ADB">
        <w:fldChar w:fldCharType="end"/>
      </w:r>
      <w:r w:rsidRPr="00BB5EF5" w:rsidR="00564ADB">
        <w:t>.</w:t>
      </w:r>
      <w:bookmarkEnd w:id="4"/>
      <w:bookmarkEnd w:id="5"/>
    </w:p>
    <w:p w:rsidRPr="00BB5EF5" w:rsidR="00564ADB" w:rsidP="00564ADB" w:rsidRDefault="00564ADB" w14:paraId="7F9E2910" w14:textId="4E3D9557">
      <w:pPr>
        <w:spacing w:line="480" w:lineRule="auto"/>
      </w:pPr>
      <w:r w:rsidRPr="00BB5EF5">
        <w:t>Please submit copies of your comments to the Commission.  You may submit copies of your comments (identified by Docket No. IC2</w:t>
      </w:r>
      <w:r w:rsidR="00EA0E8C">
        <w:t>2</w:t>
      </w:r>
      <w:r w:rsidRPr="00BB5EF5">
        <w:t>-</w:t>
      </w:r>
      <w:r w:rsidR="00530906">
        <w:t>2</w:t>
      </w:r>
      <w:r w:rsidRPr="00BB5EF5">
        <w:t>-000) by one of the following methods:</w:t>
      </w:r>
    </w:p>
    <w:p w:rsidRPr="00BB5EF5" w:rsidR="00564ADB" w:rsidP="00564ADB" w:rsidRDefault="00564ADB" w14:paraId="719A4BB0" w14:textId="77777777">
      <w:pPr>
        <w:spacing w:line="480" w:lineRule="auto"/>
      </w:pPr>
      <w:r w:rsidRPr="00BB5EF5">
        <w:lastRenderedPageBreak/>
        <w:t xml:space="preserve">Electronic filing through </w:t>
      </w:r>
      <w:hyperlink w:history="1" r:id="rId13">
        <w:r w:rsidRPr="00BB5EF5">
          <w:rPr>
            <w:rStyle w:val="Hyperlink"/>
          </w:rPr>
          <w:t>http://www.ferc.gov</w:t>
        </w:r>
      </w:hyperlink>
      <w:r w:rsidRPr="00BB5EF5">
        <w:t>, is preferred.</w:t>
      </w:r>
    </w:p>
    <w:p w:rsidRPr="00BB5EF5" w:rsidR="00564ADB" w:rsidP="00564ADB" w:rsidRDefault="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Pr="00BB5EF5" w:rsidR="00564ADB" w:rsidP="00564ADB" w:rsidRDefault="00564ADB" w14:paraId="5DD1201B" w14:textId="77777777">
      <w:pPr>
        <w:numPr>
          <w:ilvl w:val="0"/>
          <w:numId w:val="6"/>
        </w:numPr>
        <w:spacing w:line="480" w:lineRule="auto"/>
      </w:pPr>
      <w:r w:rsidRPr="00BB5EF5">
        <w:t>For those unable to file electronically, comments may be filed by USPS mail or by hand (including courier) delivery.</w:t>
      </w:r>
    </w:p>
    <w:p w:rsidRPr="00BB5EF5" w:rsidR="00564ADB" w:rsidP="00564ADB" w:rsidRDefault="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Pr="00BB5EF5" w:rsidR="00564ADB" w:rsidP="00564ADB" w:rsidRDefault="00564ADB" w14:paraId="5FE8252C" w14:textId="77777777">
      <w:pPr>
        <w:numPr>
          <w:ilvl w:val="1"/>
          <w:numId w:val="6"/>
        </w:numPr>
        <w:spacing w:line="480" w:lineRule="auto"/>
      </w:pPr>
      <w:r w:rsidRPr="00BB5EF5">
        <w:t>Hand (including courier) delivery: Deliver to: Federal Energy Regulatory Commission, 12225 Wilkins Avenue, Rockville, MD 20852.</w:t>
      </w:r>
    </w:p>
    <w:p w:rsidRPr="00BB5EF5" w:rsidR="00564ADB" w:rsidP="00564ADB" w:rsidRDefault="00564ADB" w14:paraId="67E70211" w14:textId="77777777">
      <w:pPr>
        <w:spacing w:line="480" w:lineRule="auto"/>
      </w:pPr>
      <w:bookmarkStart w:name="OLE_LINK1" w:id="6"/>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w:history="1" r:id="rId14">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Pr="00BB5EF5" w:rsidR="00564ADB" w:rsidP="00564ADB" w:rsidRDefault="00564ADB" w14:paraId="24473466" w14:textId="77777777">
      <w:pPr>
        <w:spacing w:line="480" w:lineRule="auto"/>
      </w:pPr>
      <w:r w:rsidRPr="00BB5EF5">
        <w:rPr>
          <w:i/>
          <w:iCs/>
        </w:rPr>
        <w:t>FERC submissions</w:t>
      </w:r>
      <w:r w:rsidRPr="00BB5EF5">
        <w:t xml:space="preserve"> </w:t>
      </w:r>
      <w:bookmarkStart w:name="_Hlk38028397" w:id="7"/>
      <w:r w:rsidRPr="00BB5EF5">
        <w:t>must be formatted and filed in accordance with submission guidelines at</w:t>
      </w:r>
      <w:bookmarkEnd w:id="7"/>
      <w:r w:rsidRPr="00BB5EF5">
        <w:t xml:space="preserve">: </w:t>
      </w:r>
      <w:hyperlink w:history="1" r:id="rId15">
        <w:r w:rsidRPr="00BB5EF5">
          <w:rPr>
            <w:rStyle w:val="Hyperlink"/>
          </w:rPr>
          <w:t>http://www.ferc.gov</w:t>
        </w:r>
      </w:hyperlink>
      <w:r w:rsidRPr="00BB5EF5">
        <w:t>.  For user assistance, contact FERC Online Support by e-mail at ferconlinesupport@ferc.gov, or by phone at: (866) 208-3676 (toll-free).</w:t>
      </w:r>
    </w:p>
    <w:p w:rsidRPr="00BB5EF5" w:rsidR="00564ADB" w:rsidP="00564ADB" w:rsidRDefault="00564ADB" w14:paraId="5AB1E7F2"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w:history="1" r:id="rId16">
        <w:r w:rsidRPr="00BB5EF5">
          <w:rPr>
            <w:rStyle w:val="Hyperlink"/>
          </w:rPr>
          <w:t>https://www.ferc.gov/ferc-online/overview</w:t>
        </w:r>
      </w:hyperlink>
      <w:r w:rsidRPr="00BB5EF5">
        <w:t xml:space="preserve">. </w:t>
      </w:r>
    </w:p>
    <w:bookmarkEnd w:id="6"/>
    <w:p w:rsidRPr="00564ADB" w:rsidR="00FB078F" w:rsidP="00564ADB" w:rsidRDefault="00564ADB" w14:paraId="4D057177" w14:textId="18E892A7">
      <w:pPr>
        <w:spacing w:line="480" w:lineRule="auto"/>
      </w:pPr>
      <w:r w:rsidRPr="00BB5EF5">
        <w:rPr>
          <w:b/>
        </w:rPr>
        <w:t>FOR FURTHER INFORMATION CONTACT:</w:t>
      </w:r>
      <w:r w:rsidRPr="00BB5EF5">
        <w:t xml:space="preserve">  Ellen Brown may be reached by e-mail at </w:t>
      </w:r>
      <w:hyperlink w:history="1" r:id="rId17">
        <w:r w:rsidRPr="00BB5EF5">
          <w:rPr>
            <w:rStyle w:val="Hyperlink"/>
          </w:rPr>
          <w:t>DataClearance@FERC.gov</w:t>
        </w:r>
      </w:hyperlink>
      <w:r w:rsidRPr="00BB5EF5">
        <w:t>, telephone at (202) 502-8663.</w:t>
      </w:r>
      <w:r w:rsidRPr="00524164" w:rsidR="00A2604E">
        <w:t xml:space="preserve"> </w:t>
      </w:r>
    </w:p>
    <w:p w:rsidR="000F3BC3" w:rsidP="000F3BC3" w:rsidRDefault="000F3BC3" w14:paraId="5169038C" w14:textId="349E34C9">
      <w:pPr>
        <w:spacing w:line="480" w:lineRule="auto"/>
        <w:rPr>
          <w:szCs w:val="26"/>
        </w:rPr>
      </w:pPr>
      <w:r w:rsidRPr="000F3BC3">
        <w:rPr>
          <w:b/>
          <w:szCs w:val="26"/>
        </w:rPr>
        <w:lastRenderedPageBreak/>
        <w:t>SUPPLEMENTARY INFORMATION:</w:t>
      </w:r>
      <w:r w:rsidRPr="000F3BC3">
        <w:rPr>
          <w:szCs w:val="26"/>
        </w:rPr>
        <w:t xml:space="preserve">  </w:t>
      </w:r>
    </w:p>
    <w:p w:rsidRPr="001F3B1B" w:rsidR="00F539D7" w:rsidP="00F539D7" w:rsidRDefault="00F539D7" w14:paraId="0E221BE8" w14:textId="77777777">
      <w:pPr>
        <w:spacing w:line="480" w:lineRule="auto"/>
        <w:rPr>
          <w:szCs w:val="26"/>
        </w:rPr>
      </w:pPr>
      <w:r w:rsidRPr="00BE7A16">
        <w:rPr>
          <w:i/>
          <w:szCs w:val="26"/>
        </w:rPr>
        <w:t xml:space="preserve">Title: </w:t>
      </w:r>
      <w:r w:rsidRPr="00BE7A16">
        <w:rPr>
          <w:szCs w:val="26"/>
        </w:rPr>
        <w:t>FERC-5</w:t>
      </w:r>
      <w:r>
        <w:rPr>
          <w:szCs w:val="26"/>
        </w:rPr>
        <w:t>45</w:t>
      </w:r>
      <w:r w:rsidRPr="00BE7A16">
        <w:rPr>
          <w:szCs w:val="26"/>
        </w:rPr>
        <w:t>,</w:t>
      </w:r>
      <w:r w:rsidRPr="00BE7A16">
        <w:rPr>
          <w:i/>
          <w:szCs w:val="26"/>
        </w:rPr>
        <w:t xml:space="preserve"> </w:t>
      </w:r>
      <w:bookmarkStart w:name="_Hlk83829518" w:id="8"/>
      <w:r w:rsidRPr="001F3B1B">
        <w:rPr>
          <w:szCs w:val="26"/>
        </w:rPr>
        <w:t>Gas Pipeline Rates: Rate Change (Non-Formal)</w:t>
      </w:r>
    </w:p>
    <w:bookmarkEnd w:id="8"/>
    <w:p w:rsidRPr="00BE7A16" w:rsidR="00F539D7" w:rsidP="00F539D7" w:rsidRDefault="00F539D7" w14:paraId="4D954CD3" w14:textId="77777777">
      <w:pPr>
        <w:spacing w:line="480" w:lineRule="auto"/>
        <w:rPr>
          <w:szCs w:val="26"/>
        </w:rPr>
      </w:pPr>
      <w:r w:rsidRPr="00BE7A16">
        <w:rPr>
          <w:i/>
          <w:szCs w:val="26"/>
        </w:rPr>
        <w:t>OMB Control No.:</w:t>
      </w:r>
      <w:r w:rsidRPr="00BE7A16">
        <w:rPr>
          <w:szCs w:val="26"/>
        </w:rPr>
        <w:t xml:space="preserve"> 1902-0</w:t>
      </w:r>
      <w:r>
        <w:rPr>
          <w:szCs w:val="26"/>
        </w:rPr>
        <w:t>154</w:t>
      </w:r>
    </w:p>
    <w:p w:rsidRPr="00BE7A16" w:rsidR="00F539D7" w:rsidP="00F539D7" w:rsidRDefault="00F539D7" w14:paraId="73B127AC" w14:textId="4743BCDD">
      <w:pPr>
        <w:spacing w:line="480" w:lineRule="auto"/>
        <w:rPr>
          <w:szCs w:val="26"/>
        </w:rPr>
      </w:pPr>
      <w:bookmarkStart w:name="_Hlk84467461" w:id="9"/>
      <w:r w:rsidRPr="00BE7A16">
        <w:rPr>
          <w:i/>
          <w:szCs w:val="26"/>
        </w:rPr>
        <w:t>Type of Request:</w:t>
      </w:r>
      <w:r w:rsidRPr="00BE7A16">
        <w:rPr>
          <w:szCs w:val="26"/>
        </w:rPr>
        <w:t xml:space="preserve"> Three-year extension of the FERC-5</w:t>
      </w:r>
      <w:r>
        <w:rPr>
          <w:szCs w:val="26"/>
        </w:rPr>
        <w:t>45</w:t>
      </w:r>
      <w:r w:rsidRPr="00BE7A16">
        <w:rPr>
          <w:szCs w:val="26"/>
        </w:rPr>
        <w:t xml:space="preserve"> information collection requirements with no changes to the current reporting requirements. </w:t>
      </w:r>
      <w:r w:rsidR="000E5D3B">
        <w:rPr>
          <w:szCs w:val="26"/>
        </w:rPr>
        <w:t>No comments were received on the 60-day notice published November 15, 2021 (86 FR 63010).</w:t>
      </w:r>
    </w:p>
    <w:bookmarkEnd w:id="9"/>
    <w:p w:rsidRPr="0070303C" w:rsidR="00F539D7" w:rsidP="00F539D7" w:rsidRDefault="00F539D7" w14:paraId="6E4BD656" w14:textId="77777777">
      <w:pPr>
        <w:spacing w:line="480" w:lineRule="auto"/>
        <w:rPr>
          <w:szCs w:val="26"/>
        </w:rPr>
      </w:pPr>
      <w:r w:rsidRPr="00BE7A16">
        <w:rPr>
          <w:i/>
          <w:szCs w:val="26"/>
        </w:rPr>
        <w:t xml:space="preserve">Abstract: </w:t>
      </w:r>
      <w:r w:rsidRPr="0070303C">
        <w:rPr>
          <w:szCs w:val="26"/>
        </w:rPr>
        <w:t>FERC-545 is required to implement Sections 4, 5, and 16 of the Natural Gas Act (NGA), (15 U</w:t>
      </w:r>
      <w:r>
        <w:rPr>
          <w:szCs w:val="26"/>
        </w:rPr>
        <w:t>.</w:t>
      </w:r>
      <w:r w:rsidRPr="0070303C">
        <w:rPr>
          <w:szCs w:val="26"/>
        </w:rPr>
        <w:t>S</w:t>
      </w:r>
      <w:r>
        <w:rPr>
          <w:szCs w:val="26"/>
        </w:rPr>
        <w:t>.</w:t>
      </w:r>
      <w:r w:rsidRPr="0070303C">
        <w:rPr>
          <w:szCs w:val="26"/>
        </w:rPr>
        <w:t>C</w:t>
      </w:r>
      <w:r>
        <w:rPr>
          <w:szCs w:val="26"/>
        </w:rPr>
        <w:t>.</w:t>
      </w:r>
      <w:r w:rsidRPr="0070303C">
        <w:rPr>
          <w:szCs w:val="26"/>
        </w:rPr>
        <w:t xml:space="preserve"> 717c</w:t>
      </w:r>
      <w:r>
        <w:rPr>
          <w:szCs w:val="26"/>
        </w:rPr>
        <w:t xml:space="preserve">, 717d, and </w:t>
      </w:r>
      <w:r w:rsidRPr="0070303C">
        <w:rPr>
          <w:szCs w:val="26"/>
        </w:rPr>
        <w:t xml:space="preserve">717o).  NGA Sections 4, 5, and </w:t>
      </w:r>
      <w:r>
        <w:rPr>
          <w:szCs w:val="26"/>
        </w:rPr>
        <w:t>1</w:t>
      </w:r>
      <w:r w:rsidRPr="0070303C">
        <w:rPr>
          <w:szCs w:val="26"/>
        </w:rPr>
        <w:t xml:space="preserve">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rsidRPr="0070303C" w:rsidR="00F539D7" w:rsidP="00F539D7" w:rsidRDefault="00F539D7" w14:paraId="6E6A8DF6" w14:textId="77777777">
      <w:pPr>
        <w:spacing w:line="480" w:lineRule="auto"/>
        <w:rPr>
          <w:szCs w:val="26"/>
        </w:rPr>
      </w:pPr>
      <w:r w:rsidRPr="0070303C">
        <w:rPr>
          <w:szCs w:val="26"/>
        </w:rPr>
        <w:t xml:space="preserve">Under the NGA, a natural gas company’s rates must be just and reasonable and not unduly discriminatory or preferential.  The Commission may act under different sections of the NGA to effect a change in a natural gas company’s rate.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rsidRPr="0070303C" w:rsidR="00F539D7" w:rsidP="00F539D7" w:rsidRDefault="00F539D7" w14:paraId="08D505CA" w14:textId="5D623FAD">
      <w:pPr>
        <w:spacing w:line="480" w:lineRule="auto"/>
        <w:rPr>
          <w:szCs w:val="26"/>
        </w:rPr>
      </w:pPr>
      <w:r w:rsidRPr="0070303C">
        <w:rPr>
          <w:szCs w:val="26"/>
        </w:rPr>
        <w:lastRenderedPageBreak/>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w:t>
      </w:r>
      <w:r w:rsidR="0096137B">
        <w:rPr>
          <w:szCs w:val="26"/>
        </w:rPr>
        <w:t>,</w:t>
      </w:r>
      <w:r w:rsidRPr="0070303C">
        <w:rPr>
          <w:szCs w:val="26"/>
        </w:rPr>
        <w:t xml:space="preserve"> or reports and to prescribe rules and regulations.</w:t>
      </w:r>
    </w:p>
    <w:p w:rsidRPr="0070303C" w:rsidR="00F539D7" w:rsidP="00F539D7" w:rsidRDefault="00F539D7" w14:paraId="6F4BCDC1" w14:textId="77777777">
      <w:pPr>
        <w:spacing w:line="480" w:lineRule="auto"/>
        <w:rPr>
          <w:szCs w:val="26"/>
        </w:rPr>
      </w:pPr>
      <w:r w:rsidRPr="0070303C">
        <w:rPr>
          <w:szCs w:val="26"/>
        </w:rPr>
        <w:t xml:space="preserve">Pipelines adjust their tariffs to meet market and customer needs.  </w:t>
      </w:r>
      <w:r>
        <w:rPr>
          <w:szCs w:val="26"/>
        </w:rPr>
        <w:t xml:space="preserve">The </w:t>
      </w:r>
      <w:r w:rsidRPr="0070303C">
        <w:rPr>
          <w:szCs w:val="26"/>
        </w:rPr>
        <w:t>Commission</w:t>
      </w:r>
      <w:r>
        <w:rPr>
          <w:szCs w:val="26"/>
        </w:rPr>
        <w:t>’s</w:t>
      </w:r>
      <w:r w:rsidRPr="0070303C">
        <w:rPr>
          <w:szCs w:val="26"/>
        </w:rPr>
        <w:t xml:space="preserve"> review of these proposed changes is required to ensure rates remain just and reasonable and that services are not provided in an unduly or preferential manner.  The Commission’s regulations in 18 CFR Part 154 specify what changes are allowed and the procedures for requesting Commission approval.</w:t>
      </w:r>
    </w:p>
    <w:p w:rsidRPr="002C41B2" w:rsidR="00F539D7" w:rsidP="00F539D7" w:rsidRDefault="00F539D7" w14:paraId="4A2147DE" w14:textId="77777777">
      <w:pPr>
        <w:spacing w:line="480" w:lineRule="auto"/>
        <w:rPr>
          <w:bCs/>
          <w:szCs w:val="26"/>
        </w:rPr>
      </w:pPr>
      <w:r w:rsidRPr="002C41B2">
        <w:rPr>
          <w:bCs/>
          <w:szCs w:val="26"/>
        </w:rPr>
        <w:t>The Commission uses information in FERC-545 to examine rates, services, and tariff provisions related to natural gas transportation and storage services.  The following filing categories are subject to FERC-545:  (1) Tariff Filings – filings regarding proposed changes to a pipeline’s tariff (including Cost Recovery Mechanisms for Modernization of Natural Gas Facilities filings in Docket No. PL15-1) and any related compliance filings; (2) Rate Filings – rate-related filings under NGA sections 4 and 5 and any related compliance filings and settlements; (3) Informational Reports; (4) Negotiated Rate and Non-Conforming Agreement Filings</w:t>
      </w:r>
      <w:r>
        <w:rPr>
          <w:bCs/>
          <w:szCs w:val="26"/>
        </w:rPr>
        <w:t xml:space="preserve">; (5) </w:t>
      </w:r>
      <w:r>
        <w:rPr>
          <w:szCs w:val="26"/>
        </w:rPr>
        <w:t>North American Energy Standards Board (NAESB) (RM96-1-042) Version 3.2</w:t>
      </w:r>
      <w:r w:rsidRPr="002C41B2">
        <w:rPr>
          <w:bCs/>
          <w:szCs w:val="26"/>
        </w:rPr>
        <w:t xml:space="preserve">; and (6) Market-Based Rates for Storage Filings (Part 284.501-505).    </w:t>
      </w:r>
    </w:p>
    <w:p w:rsidRPr="00BE7A16" w:rsidR="00F539D7" w:rsidP="00F539D7" w:rsidRDefault="00F539D7" w14:paraId="79CEF912" w14:textId="77777777">
      <w:pPr>
        <w:spacing w:line="480" w:lineRule="auto"/>
        <w:rPr>
          <w:szCs w:val="26"/>
        </w:rPr>
      </w:pPr>
      <w:r w:rsidRPr="00BE7A16">
        <w:rPr>
          <w:i/>
          <w:szCs w:val="26"/>
        </w:rPr>
        <w:t xml:space="preserve">Type of Respondents: </w:t>
      </w:r>
      <w:r w:rsidRPr="00993FD1">
        <w:rPr>
          <w:szCs w:val="26"/>
        </w:rPr>
        <w:t>Natural gas pipelines under the jurisdiction of NGA.</w:t>
      </w:r>
      <w:r w:rsidRPr="00BE7A16">
        <w:rPr>
          <w:szCs w:val="26"/>
        </w:rPr>
        <w:t xml:space="preserve">  </w:t>
      </w:r>
    </w:p>
    <w:p w:rsidR="00F539D7" w:rsidP="00F539D7" w:rsidRDefault="00F539D7" w14:paraId="1436172F" w14:textId="179985E9">
      <w:pPr>
        <w:spacing w:line="480" w:lineRule="auto"/>
        <w:rPr>
          <w:szCs w:val="26"/>
        </w:rPr>
      </w:pPr>
      <w:r w:rsidRPr="00BE7A16">
        <w:rPr>
          <w:i/>
          <w:szCs w:val="26"/>
        </w:rPr>
        <w:lastRenderedPageBreak/>
        <w:t>Estimate of Annual Burden</w:t>
      </w:r>
      <w:r w:rsidRPr="00BE7A16">
        <w:rPr>
          <w:rStyle w:val="FootnoteReference"/>
          <w:i/>
        </w:rPr>
        <w:footnoteReference w:id="2"/>
      </w:r>
      <w:r w:rsidRPr="00BE7A16">
        <w:rPr>
          <w:i/>
          <w:szCs w:val="26"/>
        </w:rPr>
        <w:t xml:space="preserve">: </w:t>
      </w:r>
      <w:r>
        <w:rPr>
          <w:szCs w:val="26"/>
        </w:rPr>
        <w:t>The public reporting burden has increased for this information collection due to normal fluctuations in industry and the inclusion of tariff filings in compliance with Order No. 587-Z.  On July 15, 2021, in Docket No. RM96-1-042, the Commission amended its regulations to incorporate by reference the North American Energy Standards Board (NAESB) Wholesale Quadrant Version 3.2 standards.</w:t>
      </w:r>
      <w:r w:rsidR="00B0092E">
        <w:rPr>
          <w:rStyle w:val="FootnoteReference"/>
        </w:rPr>
        <w:footnoteReference w:id="3"/>
      </w:r>
      <w:r>
        <w:rPr>
          <w:szCs w:val="26"/>
        </w:rPr>
        <w:t xml:space="preserve">  The revisions made by NAESB Version 3.2 are designed to enhance the natural gas industries’ cyber security measures.   </w:t>
      </w:r>
    </w:p>
    <w:p w:rsidRPr="002A5C54" w:rsidR="008947D7" w:rsidP="00F539D7" w:rsidRDefault="008947D7" w14:paraId="1A5ADD06" w14:textId="44F66E88">
      <w:pPr>
        <w:spacing w:line="480" w:lineRule="auto"/>
        <w:rPr>
          <w:szCs w:val="26"/>
        </w:rPr>
      </w:pPr>
      <w:r>
        <w:rPr>
          <w:szCs w:val="26"/>
        </w:rPr>
        <w:t xml:space="preserve">The 60-day notice </w:t>
      </w:r>
      <w:r w:rsidR="0096137B">
        <w:rPr>
          <w:szCs w:val="26"/>
        </w:rPr>
        <w:t xml:space="preserve">was </w:t>
      </w:r>
      <w:r>
        <w:rPr>
          <w:szCs w:val="26"/>
        </w:rPr>
        <w:t>published on November 15, 2021</w:t>
      </w:r>
      <w:r w:rsidR="00157116">
        <w:rPr>
          <w:szCs w:val="26"/>
        </w:rPr>
        <w:t xml:space="preserve"> (86 FR 63010)</w:t>
      </w:r>
      <w:r w:rsidR="0096137B">
        <w:rPr>
          <w:szCs w:val="26"/>
        </w:rPr>
        <w:t>.  N</w:t>
      </w:r>
      <w:r>
        <w:rPr>
          <w:szCs w:val="26"/>
        </w:rPr>
        <w:t>o comments were received.</w:t>
      </w:r>
    </w:p>
    <w:p w:rsidRPr="00BE7A16" w:rsidR="00F539D7" w:rsidP="00F539D7" w:rsidRDefault="00F539D7" w14:paraId="7A24326C" w14:textId="77777777">
      <w:pPr>
        <w:spacing w:line="480" w:lineRule="auto"/>
        <w:rPr>
          <w:szCs w:val="26"/>
        </w:rPr>
      </w:pPr>
      <w:r w:rsidRPr="00BE7A16">
        <w:rPr>
          <w:szCs w:val="26"/>
        </w:rPr>
        <w:t>The Commission estimates the annual public reporting burden and cost for the information collection as follows:</w:t>
      </w:r>
    </w:p>
    <w:tbl>
      <w:tblPr>
        <w:tblW w:w="552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46"/>
        <w:gridCol w:w="1632"/>
        <w:gridCol w:w="1200"/>
        <w:gridCol w:w="1439"/>
        <w:gridCol w:w="1351"/>
        <w:gridCol w:w="1530"/>
        <w:gridCol w:w="1528"/>
      </w:tblGrid>
      <w:tr w:rsidRPr="00E22BCA" w:rsidR="00E22BCA" w:rsidTr="002302E8" w14:paraId="3428A713"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E22BCA" w:rsidR="00E22BCA" w:rsidP="00E22BCA" w:rsidRDefault="00E22BCA" w14:paraId="27E9171E" w14:textId="77777777">
            <w:pPr>
              <w:spacing w:line="256" w:lineRule="auto"/>
              <w:jc w:val="center"/>
              <w:rPr>
                <w:rFonts w:eastAsia="Calibri"/>
                <w:b/>
                <w:szCs w:val="26"/>
              </w:rPr>
            </w:pPr>
            <w:r w:rsidRPr="00E22BCA">
              <w:rPr>
                <w:rFonts w:eastAsia="Calibri"/>
                <w:b/>
                <w:szCs w:val="26"/>
              </w:rPr>
              <w:t>FERC-545: Gas Pipeline Rates: Rate Change (Non-Formal)</w:t>
            </w:r>
          </w:p>
        </w:tc>
      </w:tr>
      <w:tr w:rsidRPr="00E22BCA" w:rsidR="00E22BCA" w:rsidTr="002302E8" w14:paraId="0A13565F" w14:textId="77777777">
        <w:trPr>
          <w:cantSplit/>
        </w:trPr>
        <w:tc>
          <w:tcPr>
            <w:tcW w:w="797" w:type="pct"/>
            <w:tcBorders>
              <w:top w:val="single" w:color="auto" w:sz="4" w:space="0"/>
              <w:left w:val="single" w:color="auto" w:sz="4" w:space="0"/>
              <w:bottom w:val="single" w:color="auto" w:sz="4" w:space="0"/>
              <w:right w:val="single" w:color="auto" w:sz="4" w:space="0"/>
            </w:tcBorders>
            <w:shd w:val="clear" w:color="auto" w:fill="D9D9D9"/>
          </w:tcPr>
          <w:p w:rsidRPr="00E22BCA" w:rsidR="00E22BCA" w:rsidP="00E22BCA" w:rsidRDefault="00E22BCA" w14:paraId="169E6131" w14:textId="77777777">
            <w:pPr>
              <w:spacing w:line="256" w:lineRule="auto"/>
              <w:jc w:val="center"/>
              <w:rPr>
                <w:rFonts w:eastAsia="Calibri"/>
                <w:b/>
                <w:szCs w:val="26"/>
              </w:rPr>
            </w:pPr>
          </w:p>
        </w:tc>
        <w:tc>
          <w:tcPr>
            <w:tcW w:w="79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22BCA" w:rsidR="00E22BCA" w:rsidP="00E22BCA" w:rsidRDefault="00E22BCA" w14:paraId="55034DBF" w14:textId="77777777">
            <w:pPr>
              <w:spacing w:line="256" w:lineRule="auto"/>
              <w:jc w:val="center"/>
              <w:rPr>
                <w:rFonts w:eastAsia="Calibri"/>
                <w:b/>
                <w:szCs w:val="26"/>
              </w:rPr>
            </w:pPr>
            <w:r w:rsidRPr="00E22BCA">
              <w:rPr>
                <w:rFonts w:eastAsia="Calibri"/>
                <w:b/>
                <w:szCs w:val="26"/>
              </w:rPr>
              <w:t>Number of Respondents</w:t>
            </w:r>
            <w:r w:rsidRPr="00E22BCA">
              <w:rPr>
                <w:rFonts w:eastAsia="Calibri"/>
                <w:b/>
                <w:szCs w:val="26"/>
              </w:rPr>
              <w:br/>
              <w:t>(1)</w:t>
            </w:r>
          </w:p>
        </w:tc>
        <w:tc>
          <w:tcPr>
            <w:tcW w:w="58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22BCA" w:rsidR="00E22BCA" w:rsidP="00E22BCA" w:rsidRDefault="00E22BCA" w14:paraId="7ACA7405" w14:textId="77777777">
            <w:pPr>
              <w:spacing w:line="256" w:lineRule="auto"/>
              <w:jc w:val="center"/>
              <w:rPr>
                <w:rFonts w:eastAsia="Calibri"/>
                <w:b/>
                <w:szCs w:val="26"/>
              </w:rPr>
            </w:pPr>
            <w:r w:rsidRPr="00E22BCA">
              <w:rPr>
                <w:rFonts w:eastAsia="Calibri"/>
                <w:b/>
                <w:szCs w:val="26"/>
              </w:rPr>
              <w:t>Average Number of Responses per Respondent</w:t>
            </w:r>
          </w:p>
          <w:p w:rsidRPr="00E22BCA" w:rsidR="00E22BCA" w:rsidP="00E22BCA" w:rsidRDefault="00E22BCA" w14:paraId="43D1E9A3" w14:textId="77777777">
            <w:pPr>
              <w:spacing w:line="256" w:lineRule="auto"/>
              <w:jc w:val="center"/>
              <w:rPr>
                <w:rFonts w:eastAsia="Calibri"/>
                <w:b/>
                <w:szCs w:val="26"/>
              </w:rPr>
            </w:pPr>
            <w:r w:rsidRPr="00E22BCA">
              <w:rPr>
                <w:rFonts w:eastAsia="Calibri"/>
                <w:b/>
                <w:szCs w:val="26"/>
              </w:rPr>
              <w:t>(2)</w:t>
            </w:r>
          </w:p>
        </w:tc>
        <w:tc>
          <w:tcPr>
            <w:tcW w:w="69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22BCA" w:rsidR="00E22BCA" w:rsidP="00E22BCA" w:rsidRDefault="00E22BCA" w14:paraId="66FCFBF0" w14:textId="77777777">
            <w:pPr>
              <w:spacing w:line="256" w:lineRule="auto"/>
              <w:jc w:val="center"/>
              <w:rPr>
                <w:rFonts w:eastAsia="Calibri"/>
                <w:b/>
                <w:szCs w:val="26"/>
              </w:rPr>
            </w:pPr>
            <w:r w:rsidRPr="00E22BCA">
              <w:rPr>
                <w:rFonts w:eastAsia="Calibri"/>
                <w:b/>
                <w:szCs w:val="26"/>
              </w:rPr>
              <w:t>Total Number of Responses (</w:t>
            </w:r>
            <w:proofErr w:type="gramStart"/>
            <w:r w:rsidRPr="00E22BCA">
              <w:rPr>
                <w:rFonts w:eastAsia="Calibri"/>
                <w:b/>
                <w:szCs w:val="26"/>
              </w:rPr>
              <w:t>1)*</w:t>
            </w:r>
            <w:proofErr w:type="gramEnd"/>
            <w:r w:rsidRPr="00E22BCA">
              <w:rPr>
                <w:rFonts w:eastAsia="Calibri"/>
                <w:b/>
                <w:szCs w:val="26"/>
              </w:rPr>
              <w:t>(2)=(3)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22BCA" w:rsidR="00E22BCA" w:rsidP="00E22BCA" w:rsidRDefault="00E22BCA" w14:paraId="125A0B58" w14:textId="77777777">
            <w:pPr>
              <w:spacing w:line="256" w:lineRule="auto"/>
              <w:jc w:val="center"/>
              <w:rPr>
                <w:rFonts w:eastAsia="Calibri"/>
                <w:b/>
                <w:szCs w:val="26"/>
              </w:rPr>
            </w:pPr>
            <w:r w:rsidRPr="00E22BCA">
              <w:rPr>
                <w:rFonts w:eastAsia="Calibri"/>
                <w:b/>
                <w:szCs w:val="26"/>
              </w:rPr>
              <w:t>Average Burden &amp; Cost Per Response</w:t>
            </w:r>
            <w:r w:rsidRPr="00E22BCA">
              <w:rPr>
                <w:rFonts w:eastAsia="Calibri"/>
                <w:b/>
                <w:szCs w:val="26"/>
                <w:vertAlign w:val="superscript"/>
              </w:rPr>
              <w:footnoteReference w:id="4"/>
            </w:r>
          </w:p>
          <w:p w:rsidRPr="00E22BCA" w:rsidR="00E22BCA" w:rsidP="00E22BCA" w:rsidRDefault="00E22BCA" w14:paraId="2371EAB0" w14:textId="77777777">
            <w:pPr>
              <w:spacing w:line="256" w:lineRule="auto"/>
              <w:jc w:val="center"/>
              <w:rPr>
                <w:rFonts w:eastAsia="Calibri"/>
                <w:b/>
                <w:szCs w:val="26"/>
              </w:rPr>
            </w:pPr>
            <w:r w:rsidRPr="00E22BCA">
              <w:rPr>
                <w:rFonts w:eastAsia="Calibri"/>
                <w:b/>
                <w:szCs w:val="26"/>
              </w:rPr>
              <w:t>(4)</w:t>
            </w:r>
          </w:p>
        </w:tc>
        <w:tc>
          <w:tcPr>
            <w:tcW w:w="74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22BCA" w:rsidR="00E22BCA" w:rsidP="00E22BCA" w:rsidRDefault="00E22BCA" w14:paraId="644532DC" w14:textId="77777777">
            <w:pPr>
              <w:spacing w:line="256" w:lineRule="auto"/>
              <w:jc w:val="center"/>
              <w:rPr>
                <w:rFonts w:eastAsia="Calibri"/>
                <w:b/>
                <w:szCs w:val="26"/>
              </w:rPr>
            </w:pPr>
            <w:r w:rsidRPr="00E22BCA">
              <w:rPr>
                <w:rFonts w:eastAsia="Calibri"/>
                <w:b/>
                <w:szCs w:val="26"/>
              </w:rPr>
              <w:t>Total Annual Burden Hours &amp; Total Annual Cost</w:t>
            </w:r>
          </w:p>
          <w:p w:rsidRPr="00E22BCA" w:rsidR="00E22BCA" w:rsidP="00E22BCA" w:rsidRDefault="00E22BCA" w14:paraId="4DBD025B" w14:textId="77777777">
            <w:pPr>
              <w:spacing w:line="256" w:lineRule="auto"/>
              <w:jc w:val="center"/>
              <w:rPr>
                <w:rFonts w:eastAsia="Calibri"/>
                <w:b/>
                <w:szCs w:val="26"/>
              </w:rPr>
            </w:pPr>
            <w:r w:rsidRPr="00E22BCA">
              <w:rPr>
                <w:rFonts w:eastAsia="Calibri"/>
                <w:b/>
                <w:szCs w:val="26"/>
              </w:rPr>
              <w:t>(</w:t>
            </w:r>
            <w:proofErr w:type="gramStart"/>
            <w:r w:rsidRPr="00E22BCA">
              <w:rPr>
                <w:rFonts w:eastAsia="Calibri"/>
                <w:b/>
                <w:szCs w:val="26"/>
              </w:rPr>
              <w:t>3)*</w:t>
            </w:r>
            <w:proofErr w:type="gramEnd"/>
            <w:r w:rsidRPr="00E22BCA">
              <w:rPr>
                <w:rFonts w:eastAsia="Calibri"/>
                <w:b/>
                <w:szCs w:val="26"/>
              </w:rPr>
              <w:t>(4)=(5)</w:t>
            </w:r>
          </w:p>
        </w:tc>
        <w:tc>
          <w:tcPr>
            <w:tcW w:w="74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22BCA" w:rsidR="00E22BCA" w:rsidP="00E22BCA" w:rsidRDefault="00E22BCA" w14:paraId="67102E21" w14:textId="77777777">
            <w:pPr>
              <w:spacing w:line="256" w:lineRule="auto"/>
              <w:jc w:val="center"/>
              <w:rPr>
                <w:rFonts w:eastAsia="Calibri"/>
                <w:b/>
                <w:szCs w:val="26"/>
              </w:rPr>
            </w:pPr>
            <w:r w:rsidRPr="00E22BCA">
              <w:rPr>
                <w:rFonts w:eastAsia="Calibri"/>
                <w:b/>
                <w:szCs w:val="26"/>
              </w:rPr>
              <w:t>Cost per Respondent</w:t>
            </w:r>
          </w:p>
          <w:p w:rsidRPr="00E22BCA" w:rsidR="00E22BCA" w:rsidP="00E22BCA" w:rsidRDefault="00E22BCA" w14:paraId="72C6965B" w14:textId="77777777">
            <w:pPr>
              <w:spacing w:line="256" w:lineRule="auto"/>
              <w:jc w:val="center"/>
              <w:rPr>
                <w:rFonts w:eastAsia="Calibri"/>
                <w:b/>
                <w:szCs w:val="26"/>
              </w:rPr>
            </w:pPr>
            <w:r w:rsidRPr="00E22BCA">
              <w:rPr>
                <w:rFonts w:eastAsia="Calibri"/>
                <w:b/>
                <w:szCs w:val="26"/>
              </w:rPr>
              <w:t xml:space="preserve"> ($)</w:t>
            </w:r>
          </w:p>
          <w:p w:rsidRPr="00E22BCA" w:rsidR="00E22BCA" w:rsidP="00E22BCA" w:rsidRDefault="00E22BCA" w14:paraId="47831041" w14:textId="77777777">
            <w:pPr>
              <w:spacing w:line="256" w:lineRule="auto"/>
              <w:jc w:val="center"/>
              <w:rPr>
                <w:rFonts w:eastAsia="Calibri"/>
                <w:b/>
                <w:szCs w:val="26"/>
              </w:rPr>
            </w:pPr>
            <w:r w:rsidRPr="00E22BCA">
              <w:rPr>
                <w:rFonts w:eastAsia="Calibri"/>
                <w:b/>
                <w:szCs w:val="26"/>
              </w:rPr>
              <w:t>(</w:t>
            </w:r>
            <w:proofErr w:type="gramStart"/>
            <w:r w:rsidRPr="00E22BCA">
              <w:rPr>
                <w:rFonts w:eastAsia="Calibri"/>
                <w:b/>
                <w:szCs w:val="26"/>
              </w:rPr>
              <w:t>5)÷</w:t>
            </w:r>
            <w:proofErr w:type="gramEnd"/>
            <w:r w:rsidRPr="00E22BCA">
              <w:rPr>
                <w:rFonts w:eastAsia="Calibri"/>
                <w:b/>
                <w:szCs w:val="26"/>
              </w:rPr>
              <w:t>(1)</w:t>
            </w:r>
          </w:p>
        </w:tc>
      </w:tr>
      <w:tr w:rsidRPr="00E22BCA" w:rsidR="00E22BCA" w:rsidTr="000E5D3B" w14:paraId="1E32C724" w14:textId="77777777">
        <w:trPr>
          <w:cantSplit/>
          <w:trHeight w:val="962"/>
        </w:trPr>
        <w:tc>
          <w:tcPr>
            <w:tcW w:w="7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22E53C4D" w14:textId="77777777">
            <w:pPr>
              <w:spacing w:line="256" w:lineRule="auto"/>
              <w:rPr>
                <w:rFonts w:eastAsia="Calibri"/>
                <w:szCs w:val="26"/>
              </w:rPr>
            </w:pPr>
            <w:r w:rsidRPr="00E22BCA">
              <w:rPr>
                <w:rFonts w:eastAsia="Calibri"/>
                <w:szCs w:val="26"/>
              </w:rPr>
              <w:lastRenderedPageBreak/>
              <w:t>Tariff Filings</w:t>
            </w:r>
          </w:p>
        </w:tc>
        <w:tc>
          <w:tcPr>
            <w:tcW w:w="790" w:type="pct"/>
            <w:tcBorders>
              <w:top w:val="single" w:color="auto" w:sz="4" w:space="0"/>
              <w:left w:val="single" w:color="auto" w:sz="4" w:space="0"/>
              <w:bottom w:val="single" w:color="auto" w:sz="4" w:space="0"/>
              <w:right w:val="single" w:color="auto" w:sz="4" w:space="0"/>
            </w:tcBorders>
          </w:tcPr>
          <w:p w:rsidRPr="00E22BCA" w:rsidR="00E22BCA" w:rsidP="00E22BCA" w:rsidRDefault="00E22BCA" w14:paraId="4F471BE1" w14:textId="77777777">
            <w:pPr>
              <w:tabs>
                <w:tab w:val="center" w:pos="657"/>
                <w:tab w:val="right" w:pos="1315"/>
              </w:tabs>
              <w:spacing w:line="256" w:lineRule="auto"/>
              <w:jc w:val="right"/>
              <w:rPr>
                <w:rFonts w:eastAsia="Calibri"/>
                <w:szCs w:val="26"/>
              </w:rPr>
            </w:pPr>
            <w:r w:rsidRPr="00E22BCA">
              <w:rPr>
                <w:rFonts w:eastAsia="Calibri"/>
                <w:szCs w:val="26"/>
              </w:rPr>
              <w:t>109</w:t>
            </w:r>
          </w:p>
          <w:p w:rsidRPr="00E22BCA" w:rsidR="00E22BCA" w:rsidP="00E22BCA" w:rsidRDefault="00E22BCA" w14:paraId="760572A2" w14:textId="77777777">
            <w:pPr>
              <w:spacing w:line="256" w:lineRule="auto"/>
              <w:jc w:val="right"/>
              <w:rPr>
                <w:rFonts w:eastAsia="Calibri"/>
                <w:szCs w:val="26"/>
              </w:rPr>
            </w:pPr>
          </w:p>
        </w:tc>
        <w:tc>
          <w:tcPr>
            <w:tcW w:w="58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4A0BA045" w14:textId="77777777">
            <w:pPr>
              <w:spacing w:line="256" w:lineRule="auto"/>
              <w:jc w:val="right"/>
              <w:rPr>
                <w:rFonts w:eastAsia="Calibri"/>
                <w:szCs w:val="26"/>
              </w:rPr>
            </w:pPr>
            <w:r w:rsidRPr="00E22BCA">
              <w:rPr>
                <w:rFonts w:eastAsia="Calibri"/>
                <w:szCs w:val="26"/>
              </w:rPr>
              <w:t>2.768</w:t>
            </w:r>
          </w:p>
        </w:tc>
        <w:tc>
          <w:tcPr>
            <w:tcW w:w="6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3B1054CD" w14:textId="77777777">
            <w:pPr>
              <w:spacing w:line="256" w:lineRule="auto"/>
              <w:jc w:val="right"/>
              <w:rPr>
                <w:rFonts w:eastAsia="Calibri"/>
                <w:szCs w:val="26"/>
              </w:rPr>
            </w:pPr>
            <w:r w:rsidRPr="00E22BCA">
              <w:rPr>
                <w:rFonts w:eastAsia="Calibri"/>
                <w:szCs w:val="26"/>
              </w:rPr>
              <w:t>301.712</w:t>
            </w:r>
          </w:p>
        </w:tc>
        <w:tc>
          <w:tcPr>
            <w:tcW w:w="654"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7C921F3A" w14:textId="77777777">
            <w:pPr>
              <w:spacing w:line="256" w:lineRule="auto"/>
              <w:jc w:val="right"/>
              <w:rPr>
                <w:rFonts w:eastAsia="Calibri"/>
                <w:szCs w:val="26"/>
              </w:rPr>
            </w:pPr>
            <w:r w:rsidRPr="00E22BCA">
              <w:rPr>
                <w:rFonts w:eastAsia="Calibri"/>
                <w:szCs w:val="26"/>
              </w:rPr>
              <w:t xml:space="preserve">211 </w:t>
            </w:r>
            <w:proofErr w:type="gramStart"/>
            <w:r w:rsidRPr="00E22BCA">
              <w:rPr>
                <w:rFonts w:eastAsia="Calibri"/>
                <w:szCs w:val="26"/>
              </w:rPr>
              <w:t>hrs.;</w:t>
            </w:r>
            <w:proofErr w:type="gramEnd"/>
          </w:p>
          <w:p w:rsidRPr="00E22BCA" w:rsidR="00E22BCA" w:rsidP="00E22BCA" w:rsidRDefault="00E22BCA" w14:paraId="0CC4DD59" w14:textId="77777777">
            <w:pPr>
              <w:spacing w:line="256" w:lineRule="auto"/>
              <w:jc w:val="right"/>
              <w:rPr>
                <w:rFonts w:eastAsia="Calibri"/>
                <w:szCs w:val="26"/>
              </w:rPr>
            </w:pPr>
            <w:r w:rsidRPr="00E22BCA">
              <w:rPr>
                <w:rFonts w:eastAsia="Calibri"/>
                <w:szCs w:val="26"/>
              </w:rPr>
              <w:t>$20,467</w:t>
            </w:r>
          </w:p>
        </w:tc>
        <w:tc>
          <w:tcPr>
            <w:tcW w:w="74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776C5ABF" w14:textId="77777777">
            <w:pPr>
              <w:spacing w:line="256" w:lineRule="auto"/>
              <w:jc w:val="right"/>
              <w:rPr>
                <w:rFonts w:eastAsia="Calibri"/>
                <w:szCs w:val="26"/>
              </w:rPr>
            </w:pPr>
            <w:r w:rsidRPr="00E22BCA">
              <w:rPr>
                <w:rFonts w:eastAsia="Calibri"/>
                <w:szCs w:val="26"/>
              </w:rPr>
              <w:t xml:space="preserve">63,661.232 </w:t>
            </w:r>
            <w:proofErr w:type="gramStart"/>
            <w:r w:rsidRPr="00E22BCA">
              <w:rPr>
                <w:rFonts w:eastAsia="Calibri"/>
                <w:szCs w:val="26"/>
              </w:rPr>
              <w:t>hrs.;</w:t>
            </w:r>
            <w:proofErr w:type="gramEnd"/>
          </w:p>
          <w:p w:rsidRPr="00E22BCA" w:rsidR="00E22BCA" w:rsidP="00E22BCA" w:rsidRDefault="00E22BCA" w14:paraId="12E2532A" w14:textId="77777777">
            <w:pPr>
              <w:spacing w:line="256" w:lineRule="auto"/>
              <w:jc w:val="right"/>
              <w:rPr>
                <w:rFonts w:eastAsia="Calibri"/>
                <w:szCs w:val="26"/>
              </w:rPr>
            </w:pPr>
            <w:r w:rsidRPr="00E22BCA">
              <w:rPr>
                <w:rFonts w:eastAsia="Calibri"/>
                <w:szCs w:val="26"/>
              </w:rPr>
              <w:t>$6,175,139.50</w:t>
            </w:r>
          </w:p>
        </w:tc>
        <w:tc>
          <w:tcPr>
            <w:tcW w:w="740"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0F9D3CD1" w14:textId="77777777">
            <w:pPr>
              <w:spacing w:line="256" w:lineRule="auto"/>
              <w:jc w:val="right"/>
              <w:rPr>
                <w:rFonts w:eastAsia="Calibri"/>
                <w:szCs w:val="26"/>
              </w:rPr>
            </w:pPr>
            <w:r w:rsidRPr="00E22BCA">
              <w:rPr>
                <w:rFonts w:eastAsia="Calibri"/>
                <w:szCs w:val="26"/>
              </w:rPr>
              <w:t>$56,652.66</w:t>
            </w:r>
          </w:p>
        </w:tc>
      </w:tr>
      <w:tr w:rsidRPr="00E22BCA" w:rsidR="00E22BCA" w:rsidTr="000E5D3B" w14:paraId="77ED513D" w14:textId="77777777">
        <w:trPr>
          <w:cantSplit/>
        </w:trPr>
        <w:tc>
          <w:tcPr>
            <w:tcW w:w="7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1D0E5FCF" w14:textId="77777777">
            <w:pPr>
              <w:spacing w:line="256" w:lineRule="auto"/>
              <w:rPr>
                <w:rFonts w:eastAsia="Calibri"/>
                <w:szCs w:val="26"/>
              </w:rPr>
            </w:pPr>
            <w:r w:rsidRPr="00E22BCA">
              <w:rPr>
                <w:rFonts w:eastAsia="Calibri"/>
                <w:szCs w:val="26"/>
              </w:rPr>
              <w:t>Rate Filings</w:t>
            </w:r>
          </w:p>
        </w:tc>
        <w:tc>
          <w:tcPr>
            <w:tcW w:w="790"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4B7E56B9" w14:textId="77777777">
            <w:pPr>
              <w:tabs>
                <w:tab w:val="center" w:pos="657"/>
                <w:tab w:val="right" w:pos="1315"/>
              </w:tabs>
              <w:spacing w:line="256" w:lineRule="auto"/>
              <w:jc w:val="right"/>
              <w:rPr>
                <w:rFonts w:eastAsia="Calibri"/>
                <w:szCs w:val="26"/>
              </w:rPr>
            </w:pPr>
            <w:r w:rsidRPr="00E22BCA">
              <w:rPr>
                <w:rFonts w:eastAsia="Calibri"/>
                <w:szCs w:val="26"/>
              </w:rPr>
              <w:t>32</w:t>
            </w:r>
          </w:p>
        </w:tc>
        <w:tc>
          <w:tcPr>
            <w:tcW w:w="58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48D1DED5" w14:textId="77777777">
            <w:pPr>
              <w:spacing w:line="256" w:lineRule="auto"/>
              <w:jc w:val="right"/>
              <w:rPr>
                <w:rFonts w:eastAsia="Calibri"/>
                <w:szCs w:val="26"/>
              </w:rPr>
            </w:pPr>
            <w:r w:rsidRPr="00E22BCA">
              <w:rPr>
                <w:rFonts w:eastAsia="Calibri"/>
                <w:szCs w:val="26"/>
              </w:rPr>
              <w:t>2</w:t>
            </w:r>
          </w:p>
        </w:tc>
        <w:tc>
          <w:tcPr>
            <w:tcW w:w="6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365E733C" w14:textId="77777777">
            <w:pPr>
              <w:spacing w:line="256" w:lineRule="auto"/>
              <w:jc w:val="right"/>
              <w:rPr>
                <w:rFonts w:eastAsia="Calibri"/>
                <w:szCs w:val="26"/>
              </w:rPr>
            </w:pPr>
            <w:r w:rsidRPr="00E22BCA">
              <w:rPr>
                <w:rFonts w:eastAsia="Calibri"/>
                <w:szCs w:val="26"/>
              </w:rPr>
              <w:t>64</w:t>
            </w:r>
          </w:p>
        </w:tc>
        <w:tc>
          <w:tcPr>
            <w:tcW w:w="654"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6077A72D" w14:textId="77777777">
            <w:pPr>
              <w:spacing w:line="256" w:lineRule="auto"/>
              <w:jc w:val="right"/>
              <w:rPr>
                <w:rFonts w:eastAsia="Calibri"/>
                <w:szCs w:val="26"/>
              </w:rPr>
            </w:pPr>
            <w:r w:rsidRPr="00E22BCA">
              <w:rPr>
                <w:rFonts w:eastAsia="Calibri"/>
                <w:szCs w:val="26"/>
              </w:rPr>
              <w:t xml:space="preserve">354 </w:t>
            </w:r>
            <w:proofErr w:type="gramStart"/>
            <w:r w:rsidRPr="00E22BCA">
              <w:rPr>
                <w:rFonts w:eastAsia="Calibri"/>
                <w:szCs w:val="26"/>
              </w:rPr>
              <w:t>hrs.;</w:t>
            </w:r>
            <w:proofErr w:type="gramEnd"/>
          </w:p>
          <w:p w:rsidRPr="00E22BCA" w:rsidR="00E22BCA" w:rsidP="00E22BCA" w:rsidRDefault="00E22BCA" w14:paraId="69555624" w14:textId="77777777">
            <w:pPr>
              <w:spacing w:line="256" w:lineRule="auto"/>
              <w:jc w:val="right"/>
              <w:rPr>
                <w:rFonts w:eastAsia="Calibri"/>
                <w:szCs w:val="26"/>
              </w:rPr>
            </w:pPr>
            <w:r w:rsidRPr="00E22BCA">
              <w:rPr>
                <w:rFonts w:eastAsia="Calibri"/>
                <w:szCs w:val="26"/>
              </w:rPr>
              <w:t>$34,338</w:t>
            </w:r>
          </w:p>
        </w:tc>
        <w:tc>
          <w:tcPr>
            <w:tcW w:w="74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09D69965" w14:textId="77777777">
            <w:pPr>
              <w:spacing w:line="256" w:lineRule="auto"/>
              <w:jc w:val="right"/>
              <w:rPr>
                <w:rFonts w:eastAsia="Calibri"/>
                <w:szCs w:val="26"/>
              </w:rPr>
            </w:pPr>
            <w:r w:rsidRPr="00E22BCA">
              <w:rPr>
                <w:rFonts w:eastAsia="Calibri"/>
                <w:szCs w:val="26"/>
              </w:rPr>
              <w:t xml:space="preserve">22,656 </w:t>
            </w:r>
            <w:proofErr w:type="gramStart"/>
            <w:r w:rsidRPr="00E22BCA">
              <w:rPr>
                <w:rFonts w:eastAsia="Calibri"/>
                <w:szCs w:val="26"/>
              </w:rPr>
              <w:t>hrs.;</w:t>
            </w:r>
            <w:proofErr w:type="gramEnd"/>
          </w:p>
          <w:p w:rsidRPr="00E22BCA" w:rsidR="00E22BCA" w:rsidP="00E22BCA" w:rsidRDefault="00E22BCA" w14:paraId="08C763E7" w14:textId="77777777">
            <w:pPr>
              <w:spacing w:line="256" w:lineRule="auto"/>
              <w:jc w:val="right"/>
              <w:rPr>
                <w:rFonts w:eastAsia="Calibri"/>
                <w:szCs w:val="26"/>
              </w:rPr>
            </w:pPr>
            <w:r w:rsidRPr="00E22BCA">
              <w:rPr>
                <w:rFonts w:eastAsia="Calibri"/>
                <w:szCs w:val="26"/>
              </w:rPr>
              <w:t>$2,197,632</w:t>
            </w:r>
          </w:p>
        </w:tc>
        <w:tc>
          <w:tcPr>
            <w:tcW w:w="740"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64504ED6" w14:textId="26B559BC">
            <w:pPr>
              <w:spacing w:line="256" w:lineRule="auto"/>
              <w:jc w:val="right"/>
              <w:rPr>
                <w:rFonts w:eastAsia="Calibri"/>
                <w:szCs w:val="26"/>
              </w:rPr>
            </w:pPr>
            <w:r w:rsidRPr="00E22BCA">
              <w:rPr>
                <w:rFonts w:eastAsia="Calibri"/>
                <w:szCs w:val="26"/>
              </w:rPr>
              <w:t>$</w:t>
            </w:r>
            <w:r w:rsidR="000C3CEE">
              <w:rPr>
                <w:rFonts w:eastAsia="Calibri"/>
                <w:szCs w:val="26"/>
              </w:rPr>
              <w:t>68,676</w:t>
            </w:r>
          </w:p>
        </w:tc>
      </w:tr>
      <w:tr w:rsidRPr="00E22BCA" w:rsidR="00E22BCA" w:rsidTr="000E5D3B" w14:paraId="2B8103D0" w14:textId="77777777">
        <w:trPr>
          <w:cantSplit/>
        </w:trPr>
        <w:tc>
          <w:tcPr>
            <w:tcW w:w="7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665287C5" w14:textId="77777777">
            <w:pPr>
              <w:spacing w:line="256" w:lineRule="auto"/>
              <w:rPr>
                <w:rFonts w:eastAsia="Calibri"/>
                <w:szCs w:val="26"/>
              </w:rPr>
            </w:pPr>
            <w:r w:rsidRPr="00E22BCA">
              <w:rPr>
                <w:rFonts w:eastAsia="Calibri"/>
                <w:szCs w:val="26"/>
              </w:rPr>
              <w:t>Informational Reports</w:t>
            </w:r>
          </w:p>
        </w:tc>
        <w:tc>
          <w:tcPr>
            <w:tcW w:w="790"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072F7F17" w14:textId="77777777">
            <w:pPr>
              <w:spacing w:line="256" w:lineRule="auto"/>
              <w:jc w:val="right"/>
              <w:rPr>
                <w:rFonts w:eastAsia="Calibri"/>
                <w:szCs w:val="26"/>
              </w:rPr>
            </w:pPr>
            <w:r w:rsidRPr="00E22BCA">
              <w:rPr>
                <w:rFonts w:eastAsia="Calibri"/>
                <w:szCs w:val="26"/>
              </w:rPr>
              <w:t>100</w:t>
            </w:r>
          </w:p>
        </w:tc>
        <w:tc>
          <w:tcPr>
            <w:tcW w:w="58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442B45C2" w14:textId="77777777">
            <w:pPr>
              <w:spacing w:line="256" w:lineRule="auto"/>
              <w:jc w:val="right"/>
              <w:rPr>
                <w:rFonts w:eastAsia="Calibri"/>
                <w:szCs w:val="26"/>
              </w:rPr>
            </w:pPr>
            <w:r w:rsidRPr="00E22BCA">
              <w:rPr>
                <w:rFonts w:eastAsia="Calibri"/>
                <w:szCs w:val="26"/>
              </w:rPr>
              <w:t>1.770</w:t>
            </w:r>
          </w:p>
        </w:tc>
        <w:tc>
          <w:tcPr>
            <w:tcW w:w="6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4B200A5A" w14:textId="77777777">
            <w:pPr>
              <w:spacing w:line="256" w:lineRule="auto"/>
              <w:jc w:val="right"/>
              <w:rPr>
                <w:rFonts w:eastAsia="Calibri"/>
                <w:szCs w:val="26"/>
              </w:rPr>
            </w:pPr>
            <w:r w:rsidRPr="00E22BCA">
              <w:rPr>
                <w:rFonts w:eastAsia="Calibri"/>
                <w:szCs w:val="26"/>
              </w:rPr>
              <w:t>177</w:t>
            </w:r>
          </w:p>
        </w:tc>
        <w:tc>
          <w:tcPr>
            <w:tcW w:w="654"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273A0799" w14:textId="77777777">
            <w:pPr>
              <w:spacing w:line="256" w:lineRule="auto"/>
              <w:jc w:val="right"/>
              <w:rPr>
                <w:rFonts w:eastAsia="Calibri"/>
                <w:szCs w:val="26"/>
              </w:rPr>
            </w:pPr>
            <w:r w:rsidRPr="00E22BCA">
              <w:rPr>
                <w:rFonts w:eastAsia="Calibri"/>
                <w:szCs w:val="26"/>
              </w:rPr>
              <w:t xml:space="preserve">235 </w:t>
            </w:r>
            <w:proofErr w:type="gramStart"/>
            <w:r w:rsidRPr="00E22BCA">
              <w:rPr>
                <w:rFonts w:eastAsia="Calibri"/>
                <w:szCs w:val="26"/>
              </w:rPr>
              <w:t>hrs.;</w:t>
            </w:r>
            <w:proofErr w:type="gramEnd"/>
          </w:p>
          <w:p w:rsidRPr="00E22BCA" w:rsidR="00E22BCA" w:rsidP="00E22BCA" w:rsidRDefault="00E22BCA" w14:paraId="78423772" w14:textId="77777777">
            <w:pPr>
              <w:spacing w:line="256" w:lineRule="auto"/>
              <w:jc w:val="right"/>
              <w:rPr>
                <w:rFonts w:eastAsia="Calibri"/>
                <w:szCs w:val="26"/>
              </w:rPr>
            </w:pPr>
            <w:r w:rsidRPr="00E22BCA">
              <w:rPr>
                <w:rFonts w:eastAsia="Calibri"/>
                <w:szCs w:val="26"/>
              </w:rPr>
              <w:t>$22,795</w:t>
            </w:r>
          </w:p>
        </w:tc>
        <w:tc>
          <w:tcPr>
            <w:tcW w:w="74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1F55F977" w14:textId="77777777">
            <w:pPr>
              <w:spacing w:line="256" w:lineRule="auto"/>
              <w:jc w:val="right"/>
              <w:rPr>
                <w:rFonts w:eastAsia="Calibri"/>
                <w:szCs w:val="26"/>
              </w:rPr>
            </w:pPr>
            <w:r w:rsidRPr="00E22BCA">
              <w:rPr>
                <w:rFonts w:eastAsia="Calibri"/>
                <w:szCs w:val="26"/>
              </w:rPr>
              <w:t xml:space="preserve">41,595 </w:t>
            </w:r>
            <w:proofErr w:type="gramStart"/>
            <w:r w:rsidRPr="00E22BCA">
              <w:rPr>
                <w:rFonts w:eastAsia="Calibri"/>
                <w:szCs w:val="26"/>
              </w:rPr>
              <w:t>hrs.;</w:t>
            </w:r>
            <w:proofErr w:type="gramEnd"/>
          </w:p>
          <w:p w:rsidRPr="00E22BCA" w:rsidR="00E22BCA" w:rsidP="00E22BCA" w:rsidRDefault="00E22BCA" w14:paraId="4050172F" w14:textId="77777777">
            <w:pPr>
              <w:spacing w:line="256" w:lineRule="auto"/>
              <w:jc w:val="right"/>
              <w:rPr>
                <w:rFonts w:eastAsia="Calibri"/>
                <w:szCs w:val="26"/>
              </w:rPr>
            </w:pPr>
            <w:r w:rsidRPr="00E22BCA">
              <w:rPr>
                <w:rFonts w:eastAsia="Calibri"/>
                <w:szCs w:val="26"/>
              </w:rPr>
              <w:t>$4,034,715</w:t>
            </w:r>
          </w:p>
        </w:tc>
        <w:tc>
          <w:tcPr>
            <w:tcW w:w="740"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5B962E74" w14:textId="77777777">
            <w:pPr>
              <w:spacing w:line="256" w:lineRule="auto"/>
              <w:jc w:val="right"/>
              <w:rPr>
                <w:rFonts w:eastAsia="Calibri"/>
                <w:szCs w:val="26"/>
              </w:rPr>
            </w:pPr>
            <w:r w:rsidRPr="00E22BCA">
              <w:rPr>
                <w:rFonts w:eastAsia="Calibri"/>
                <w:szCs w:val="26"/>
              </w:rPr>
              <w:t>$40,347.15</w:t>
            </w:r>
          </w:p>
        </w:tc>
      </w:tr>
      <w:tr w:rsidRPr="00E22BCA" w:rsidR="00E22BCA" w:rsidTr="000E5D3B" w14:paraId="25FC8B40" w14:textId="77777777">
        <w:trPr>
          <w:cantSplit/>
          <w:trHeight w:val="485"/>
        </w:trPr>
        <w:tc>
          <w:tcPr>
            <w:tcW w:w="7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0F7C1D14" w14:textId="77777777">
            <w:pPr>
              <w:spacing w:line="256" w:lineRule="auto"/>
              <w:rPr>
                <w:rFonts w:eastAsia="Calibri"/>
                <w:szCs w:val="26"/>
              </w:rPr>
            </w:pPr>
            <w:r w:rsidRPr="00E22BCA">
              <w:rPr>
                <w:rFonts w:eastAsia="Calibri"/>
                <w:szCs w:val="26"/>
              </w:rPr>
              <w:t>Negotiated Rates &amp; Non-Conforming Agreement Filings</w:t>
            </w:r>
          </w:p>
        </w:tc>
        <w:tc>
          <w:tcPr>
            <w:tcW w:w="790"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27744BED" w14:textId="77777777">
            <w:pPr>
              <w:spacing w:line="256" w:lineRule="auto"/>
              <w:jc w:val="right"/>
              <w:rPr>
                <w:rFonts w:eastAsia="Calibri"/>
                <w:szCs w:val="26"/>
              </w:rPr>
            </w:pPr>
            <w:r w:rsidRPr="00E22BCA">
              <w:rPr>
                <w:rFonts w:eastAsia="Calibri"/>
                <w:szCs w:val="26"/>
              </w:rPr>
              <w:t>69</w:t>
            </w:r>
          </w:p>
        </w:tc>
        <w:tc>
          <w:tcPr>
            <w:tcW w:w="58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33919DC3" w14:textId="77777777">
            <w:pPr>
              <w:spacing w:line="256" w:lineRule="auto"/>
              <w:jc w:val="right"/>
              <w:rPr>
                <w:rFonts w:eastAsia="Calibri"/>
                <w:szCs w:val="26"/>
              </w:rPr>
            </w:pPr>
            <w:r w:rsidRPr="00E22BCA">
              <w:rPr>
                <w:rFonts w:eastAsia="Calibri"/>
                <w:szCs w:val="26"/>
              </w:rPr>
              <w:t>11</w:t>
            </w:r>
          </w:p>
        </w:tc>
        <w:tc>
          <w:tcPr>
            <w:tcW w:w="6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745E136F" w14:textId="77777777">
            <w:pPr>
              <w:spacing w:line="256" w:lineRule="auto"/>
              <w:jc w:val="right"/>
              <w:rPr>
                <w:rFonts w:eastAsia="Calibri"/>
                <w:szCs w:val="26"/>
              </w:rPr>
            </w:pPr>
            <w:r w:rsidRPr="00E22BCA">
              <w:rPr>
                <w:rFonts w:eastAsia="Calibri"/>
                <w:szCs w:val="26"/>
              </w:rPr>
              <w:t>759</w:t>
            </w:r>
          </w:p>
        </w:tc>
        <w:tc>
          <w:tcPr>
            <w:tcW w:w="654"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581C821C" w14:textId="77777777">
            <w:pPr>
              <w:spacing w:line="256" w:lineRule="auto"/>
              <w:jc w:val="right"/>
              <w:rPr>
                <w:rFonts w:eastAsia="Calibri"/>
                <w:szCs w:val="26"/>
              </w:rPr>
            </w:pPr>
            <w:r w:rsidRPr="00E22BCA">
              <w:rPr>
                <w:rFonts w:eastAsia="Calibri"/>
                <w:szCs w:val="26"/>
              </w:rPr>
              <w:t xml:space="preserve">233 </w:t>
            </w:r>
            <w:proofErr w:type="gramStart"/>
            <w:r w:rsidRPr="00E22BCA">
              <w:rPr>
                <w:rFonts w:eastAsia="Calibri"/>
                <w:szCs w:val="26"/>
              </w:rPr>
              <w:t>hrs.;</w:t>
            </w:r>
            <w:proofErr w:type="gramEnd"/>
          </w:p>
          <w:p w:rsidRPr="00E22BCA" w:rsidR="00E22BCA" w:rsidP="00E22BCA" w:rsidRDefault="00E22BCA" w14:paraId="58B83E84" w14:textId="77777777">
            <w:pPr>
              <w:spacing w:line="256" w:lineRule="auto"/>
              <w:jc w:val="right"/>
              <w:rPr>
                <w:rFonts w:eastAsia="Calibri"/>
                <w:szCs w:val="26"/>
              </w:rPr>
            </w:pPr>
            <w:r w:rsidRPr="00E22BCA">
              <w:rPr>
                <w:rFonts w:eastAsia="Calibri"/>
                <w:szCs w:val="26"/>
              </w:rPr>
              <w:t>$22,601</w:t>
            </w:r>
          </w:p>
        </w:tc>
        <w:tc>
          <w:tcPr>
            <w:tcW w:w="74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2F433FB2" w14:textId="77777777">
            <w:pPr>
              <w:spacing w:line="256" w:lineRule="auto"/>
              <w:jc w:val="right"/>
              <w:rPr>
                <w:rFonts w:eastAsia="Calibri"/>
                <w:szCs w:val="26"/>
              </w:rPr>
            </w:pPr>
            <w:r w:rsidRPr="00E22BCA">
              <w:rPr>
                <w:rFonts w:eastAsia="Calibri"/>
                <w:szCs w:val="26"/>
              </w:rPr>
              <w:t xml:space="preserve">176,847 </w:t>
            </w:r>
            <w:proofErr w:type="gramStart"/>
            <w:r w:rsidRPr="00E22BCA">
              <w:rPr>
                <w:rFonts w:eastAsia="Calibri"/>
                <w:szCs w:val="26"/>
              </w:rPr>
              <w:t>hrs.;</w:t>
            </w:r>
            <w:proofErr w:type="gramEnd"/>
          </w:p>
          <w:p w:rsidRPr="00E22BCA" w:rsidR="00E22BCA" w:rsidP="00E22BCA" w:rsidRDefault="00E22BCA" w14:paraId="41EF5F2A" w14:textId="77777777">
            <w:pPr>
              <w:spacing w:line="256" w:lineRule="auto"/>
              <w:jc w:val="right"/>
              <w:rPr>
                <w:rFonts w:eastAsia="Calibri"/>
                <w:szCs w:val="26"/>
              </w:rPr>
            </w:pPr>
            <w:r w:rsidRPr="00E22BCA">
              <w:rPr>
                <w:rFonts w:eastAsia="Calibri"/>
                <w:szCs w:val="26"/>
              </w:rPr>
              <w:t>$17,154,159</w:t>
            </w:r>
          </w:p>
        </w:tc>
        <w:tc>
          <w:tcPr>
            <w:tcW w:w="740"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17229D63" w14:textId="77777777">
            <w:pPr>
              <w:spacing w:line="256" w:lineRule="auto"/>
              <w:jc w:val="right"/>
              <w:rPr>
                <w:rFonts w:eastAsia="Calibri"/>
                <w:szCs w:val="26"/>
              </w:rPr>
            </w:pPr>
            <w:r w:rsidRPr="00E22BCA">
              <w:rPr>
                <w:rFonts w:eastAsia="Calibri"/>
                <w:szCs w:val="26"/>
              </w:rPr>
              <w:t>$248,611</w:t>
            </w:r>
          </w:p>
        </w:tc>
      </w:tr>
      <w:tr w:rsidRPr="00E22BCA" w:rsidR="00E22BCA" w:rsidTr="000E5D3B" w14:paraId="37133D98" w14:textId="77777777">
        <w:trPr>
          <w:cantSplit/>
          <w:trHeight w:val="485"/>
        </w:trPr>
        <w:tc>
          <w:tcPr>
            <w:tcW w:w="7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6476D723" w14:textId="77777777">
            <w:pPr>
              <w:spacing w:line="256" w:lineRule="auto"/>
              <w:rPr>
                <w:rFonts w:eastAsia="Calibri"/>
                <w:szCs w:val="26"/>
              </w:rPr>
            </w:pPr>
            <w:r w:rsidRPr="00E22BCA">
              <w:rPr>
                <w:rFonts w:eastAsia="Calibri"/>
                <w:szCs w:val="26"/>
              </w:rPr>
              <w:t>Market-Base Rates for Storage Filings</w:t>
            </w:r>
          </w:p>
        </w:tc>
        <w:tc>
          <w:tcPr>
            <w:tcW w:w="790"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3E283F18" w14:textId="77777777">
            <w:pPr>
              <w:spacing w:line="256" w:lineRule="auto"/>
              <w:jc w:val="right"/>
              <w:rPr>
                <w:rFonts w:eastAsia="Calibri"/>
                <w:szCs w:val="26"/>
              </w:rPr>
            </w:pPr>
            <w:r w:rsidRPr="00E22BCA">
              <w:rPr>
                <w:rFonts w:eastAsia="Calibri"/>
                <w:szCs w:val="26"/>
              </w:rPr>
              <w:t>2</w:t>
            </w:r>
          </w:p>
        </w:tc>
        <w:tc>
          <w:tcPr>
            <w:tcW w:w="58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29094C58" w14:textId="77777777">
            <w:pPr>
              <w:spacing w:line="256" w:lineRule="auto"/>
              <w:jc w:val="right"/>
              <w:rPr>
                <w:rFonts w:eastAsia="Calibri"/>
                <w:szCs w:val="26"/>
              </w:rPr>
            </w:pPr>
            <w:r w:rsidRPr="00E22BCA">
              <w:rPr>
                <w:rFonts w:eastAsia="Calibri"/>
                <w:szCs w:val="26"/>
              </w:rPr>
              <w:t>1</w:t>
            </w:r>
          </w:p>
        </w:tc>
        <w:tc>
          <w:tcPr>
            <w:tcW w:w="6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64C29087" w14:textId="77777777">
            <w:pPr>
              <w:spacing w:line="256" w:lineRule="auto"/>
              <w:jc w:val="right"/>
              <w:rPr>
                <w:rFonts w:eastAsia="Calibri"/>
                <w:szCs w:val="26"/>
              </w:rPr>
            </w:pPr>
            <w:r w:rsidRPr="00E22BCA">
              <w:rPr>
                <w:rFonts w:eastAsia="Calibri"/>
                <w:szCs w:val="26"/>
              </w:rPr>
              <w:t>2</w:t>
            </w:r>
          </w:p>
        </w:tc>
        <w:tc>
          <w:tcPr>
            <w:tcW w:w="654"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172F6C9A" w14:textId="77777777">
            <w:pPr>
              <w:spacing w:line="256" w:lineRule="auto"/>
              <w:jc w:val="right"/>
              <w:rPr>
                <w:rFonts w:eastAsia="Calibri"/>
                <w:szCs w:val="26"/>
              </w:rPr>
            </w:pPr>
            <w:r w:rsidRPr="00E22BCA">
              <w:rPr>
                <w:rFonts w:eastAsia="Calibri"/>
                <w:szCs w:val="26"/>
              </w:rPr>
              <w:t xml:space="preserve">230 </w:t>
            </w:r>
            <w:proofErr w:type="gramStart"/>
            <w:r w:rsidRPr="00E22BCA">
              <w:rPr>
                <w:rFonts w:eastAsia="Calibri"/>
                <w:szCs w:val="26"/>
              </w:rPr>
              <w:t>hrs.;</w:t>
            </w:r>
            <w:proofErr w:type="gramEnd"/>
          </w:p>
          <w:p w:rsidRPr="00E22BCA" w:rsidR="00E22BCA" w:rsidP="00E22BCA" w:rsidRDefault="00E22BCA" w14:paraId="11661675" w14:textId="77777777">
            <w:pPr>
              <w:spacing w:line="256" w:lineRule="auto"/>
              <w:jc w:val="right"/>
              <w:rPr>
                <w:rFonts w:eastAsia="Calibri"/>
                <w:szCs w:val="26"/>
              </w:rPr>
            </w:pPr>
            <w:r w:rsidRPr="00E22BCA">
              <w:rPr>
                <w:rFonts w:eastAsia="Calibri"/>
                <w:szCs w:val="26"/>
              </w:rPr>
              <w:t>$22,310</w:t>
            </w:r>
          </w:p>
        </w:tc>
        <w:tc>
          <w:tcPr>
            <w:tcW w:w="74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1478370F" w14:textId="77777777">
            <w:pPr>
              <w:spacing w:line="256" w:lineRule="auto"/>
              <w:jc w:val="right"/>
              <w:rPr>
                <w:rFonts w:eastAsia="Calibri"/>
                <w:szCs w:val="26"/>
              </w:rPr>
            </w:pPr>
            <w:r w:rsidRPr="00E22BCA">
              <w:rPr>
                <w:rFonts w:eastAsia="Calibri"/>
                <w:szCs w:val="26"/>
              </w:rPr>
              <w:t xml:space="preserve">460 </w:t>
            </w:r>
            <w:proofErr w:type="gramStart"/>
            <w:r w:rsidRPr="00E22BCA">
              <w:rPr>
                <w:rFonts w:eastAsia="Calibri"/>
                <w:szCs w:val="26"/>
              </w:rPr>
              <w:t>hrs.;</w:t>
            </w:r>
            <w:proofErr w:type="gramEnd"/>
          </w:p>
          <w:p w:rsidRPr="00E22BCA" w:rsidR="00E22BCA" w:rsidP="00E22BCA" w:rsidRDefault="00E22BCA" w14:paraId="62E508E6" w14:textId="77777777">
            <w:pPr>
              <w:spacing w:line="256" w:lineRule="auto"/>
              <w:jc w:val="right"/>
              <w:rPr>
                <w:rFonts w:eastAsia="Calibri"/>
                <w:szCs w:val="26"/>
              </w:rPr>
            </w:pPr>
            <w:r w:rsidRPr="00E22BCA">
              <w:rPr>
                <w:rFonts w:eastAsia="Calibri"/>
                <w:szCs w:val="26"/>
              </w:rPr>
              <w:t>$44,620</w:t>
            </w:r>
          </w:p>
        </w:tc>
        <w:tc>
          <w:tcPr>
            <w:tcW w:w="740"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07934037" w14:textId="77777777">
            <w:pPr>
              <w:spacing w:line="256" w:lineRule="auto"/>
              <w:jc w:val="right"/>
              <w:rPr>
                <w:rFonts w:eastAsia="Calibri"/>
                <w:szCs w:val="26"/>
              </w:rPr>
            </w:pPr>
            <w:r w:rsidRPr="00E22BCA">
              <w:rPr>
                <w:rFonts w:eastAsia="Calibri"/>
                <w:szCs w:val="26"/>
              </w:rPr>
              <w:t>$22,310</w:t>
            </w:r>
          </w:p>
        </w:tc>
      </w:tr>
      <w:tr w:rsidRPr="00E22BCA" w:rsidR="00E22BCA" w:rsidTr="000E5D3B" w14:paraId="52B4453C" w14:textId="77777777">
        <w:trPr>
          <w:cantSplit/>
          <w:trHeight w:val="485"/>
        </w:trPr>
        <w:tc>
          <w:tcPr>
            <w:tcW w:w="7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782ED239" w14:textId="77777777">
            <w:pPr>
              <w:spacing w:line="256" w:lineRule="auto"/>
              <w:rPr>
                <w:rFonts w:eastAsia="Calibri"/>
                <w:szCs w:val="26"/>
              </w:rPr>
            </w:pPr>
            <w:r w:rsidRPr="00E22BCA">
              <w:rPr>
                <w:rFonts w:eastAsia="Calibri"/>
                <w:szCs w:val="26"/>
              </w:rPr>
              <w:t>NAESB (version 3.2) one time over 3 years carried over from RM96-1-42</w:t>
            </w:r>
            <w:r w:rsidRPr="00E22BCA">
              <w:rPr>
                <w:rFonts w:eastAsia="Calibri"/>
                <w:b/>
                <w:szCs w:val="26"/>
                <w:vertAlign w:val="superscript"/>
              </w:rPr>
              <w:footnoteReference w:id="5"/>
            </w:r>
          </w:p>
        </w:tc>
        <w:tc>
          <w:tcPr>
            <w:tcW w:w="790"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3743C507" w14:textId="77777777">
            <w:pPr>
              <w:spacing w:line="256" w:lineRule="auto"/>
              <w:jc w:val="right"/>
              <w:rPr>
                <w:rFonts w:eastAsia="Calibri"/>
                <w:szCs w:val="26"/>
              </w:rPr>
            </w:pPr>
            <w:r w:rsidRPr="00E22BCA">
              <w:rPr>
                <w:rFonts w:eastAsia="Calibri"/>
                <w:szCs w:val="26"/>
              </w:rPr>
              <w:t>59</w:t>
            </w:r>
          </w:p>
        </w:tc>
        <w:tc>
          <w:tcPr>
            <w:tcW w:w="58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3DEA5BCF" w14:textId="77777777">
            <w:pPr>
              <w:spacing w:line="256" w:lineRule="auto"/>
              <w:jc w:val="right"/>
              <w:rPr>
                <w:rFonts w:eastAsia="Calibri"/>
                <w:szCs w:val="26"/>
              </w:rPr>
            </w:pPr>
            <w:r w:rsidRPr="00E22BCA">
              <w:rPr>
                <w:rFonts w:eastAsia="Calibri"/>
                <w:szCs w:val="26"/>
              </w:rPr>
              <w:t>1</w:t>
            </w:r>
          </w:p>
        </w:tc>
        <w:tc>
          <w:tcPr>
            <w:tcW w:w="6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62D0EBDD" w14:textId="77777777">
            <w:pPr>
              <w:spacing w:line="256" w:lineRule="auto"/>
              <w:jc w:val="right"/>
              <w:rPr>
                <w:rFonts w:eastAsia="Calibri"/>
                <w:szCs w:val="26"/>
              </w:rPr>
            </w:pPr>
            <w:r w:rsidRPr="00E22BCA">
              <w:rPr>
                <w:rFonts w:eastAsia="Calibri"/>
                <w:szCs w:val="26"/>
              </w:rPr>
              <w:t>59</w:t>
            </w:r>
          </w:p>
        </w:tc>
        <w:tc>
          <w:tcPr>
            <w:tcW w:w="654"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03F56B0F" w14:textId="2651BB36">
            <w:pPr>
              <w:spacing w:line="256" w:lineRule="auto"/>
              <w:jc w:val="right"/>
              <w:rPr>
                <w:rFonts w:eastAsia="Calibri"/>
                <w:szCs w:val="26"/>
              </w:rPr>
            </w:pPr>
            <w:r w:rsidRPr="00E22BCA">
              <w:rPr>
                <w:rFonts w:eastAsia="Calibri"/>
                <w:szCs w:val="26"/>
              </w:rPr>
              <w:t>10 hrs.; $970</w:t>
            </w:r>
          </w:p>
        </w:tc>
        <w:tc>
          <w:tcPr>
            <w:tcW w:w="74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7918D5E5" w14:textId="7DC690AD">
            <w:pPr>
              <w:spacing w:line="256" w:lineRule="auto"/>
              <w:jc w:val="right"/>
              <w:rPr>
                <w:rFonts w:eastAsia="Calibri"/>
                <w:szCs w:val="26"/>
              </w:rPr>
            </w:pPr>
            <w:r w:rsidRPr="00E22BCA">
              <w:rPr>
                <w:rFonts w:eastAsia="Calibri"/>
                <w:szCs w:val="26"/>
              </w:rPr>
              <w:t>593.33 hrs.; $57,553.33</w:t>
            </w:r>
          </w:p>
        </w:tc>
        <w:tc>
          <w:tcPr>
            <w:tcW w:w="740"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48D29BEA" w14:textId="45A930C3">
            <w:pPr>
              <w:spacing w:line="256" w:lineRule="auto"/>
              <w:jc w:val="right"/>
              <w:rPr>
                <w:rFonts w:eastAsia="Calibri"/>
                <w:szCs w:val="26"/>
              </w:rPr>
            </w:pPr>
            <w:r w:rsidRPr="00E22BCA">
              <w:rPr>
                <w:rFonts w:eastAsia="Calibri"/>
                <w:szCs w:val="26"/>
              </w:rPr>
              <w:t>$970</w:t>
            </w:r>
          </w:p>
        </w:tc>
      </w:tr>
      <w:tr w:rsidRPr="00E22BCA" w:rsidR="00E22BCA" w:rsidTr="002302E8" w14:paraId="5CCBAF2A" w14:textId="77777777">
        <w:trPr>
          <w:cantSplit/>
          <w:trHeight w:val="485"/>
        </w:trPr>
        <w:tc>
          <w:tcPr>
            <w:tcW w:w="7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68D0F7D8" w14:textId="77777777">
            <w:pPr>
              <w:spacing w:line="256" w:lineRule="auto"/>
              <w:rPr>
                <w:rFonts w:eastAsia="Calibri"/>
                <w:b/>
                <w:szCs w:val="26"/>
              </w:rPr>
            </w:pPr>
            <w:r w:rsidRPr="00E22BCA">
              <w:rPr>
                <w:rFonts w:eastAsia="Calibri"/>
                <w:b/>
                <w:szCs w:val="26"/>
              </w:rPr>
              <w:lastRenderedPageBreak/>
              <w:t>TOTAL</w:t>
            </w:r>
          </w:p>
        </w:tc>
        <w:tc>
          <w:tcPr>
            <w:tcW w:w="1371" w:type="pct"/>
            <w:gridSpan w:val="2"/>
            <w:tcBorders>
              <w:top w:val="single" w:color="auto" w:sz="4" w:space="0"/>
              <w:left w:val="single" w:color="auto" w:sz="4" w:space="0"/>
              <w:bottom w:val="single" w:color="auto" w:sz="4" w:space="0"/>
              <w:right w:val="single" w:color="auto" w:sz="4" w:space="0"/>
            </w:tcBorders>
            <w:shd w:val="clear" w:color="auto" w:fill="D9D9D9"/>
          </w:tcPr>
          <w:p w:rsidRPr="00E22BCA" w:rsidR="00E22BCA" w:rsidP="00E22BCA" w:rsidRDefault="00E22BCA" w14:paraId="33C10CA2" w14:textId="77777777">
            <w:pPr>
              <w:spacing w:line="256" w:lineRule="auto"/>
              <w:jc w:val="right"/>
              <w:rPr>
                <w:rFonts w:eastAsia="Calibri"/>
                <w:szCs w:val="26"/>
              </w:rPr>
            </w:pPr>
          </w:p>
        </w:tc>
        <w:tc>
          <w:tcPr>
            <w:tcW w:w="697"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100E83AA" w14:textId="06C082AF">
            <w:pPr>
              <w:spacing w:line="256" w:lineRule="auto"/>
              <w:jc w:val="right"/>
              <w:rPr>
                <w:rFonts w:eastAsia="Calibri"/>
                <w:b/>
                <w:szCs w:val="26"/>
              </w:rPr>
            </w:pPr>
            <w:r w:rsidRPr="00E22BCA">
              <w:rPr>
                <w:rFonts w:eastAsia="Calibri"/>
                <w:b/>
                <w:szCs w:val="26"/>
              </w:rPr>
              <w:t>1,362.712</w:t>
            </w:r>
          </w:p>
        </w:tc>
        <w:tc>
          <w:tcPr>
            <w:tcW w:w="654" w:type="pct"/>
            <w:tcBorders>
              <w:top w:val="single" w:color="auto" w:sz="4" w:space="0"/>
              <w:left w:val="single" w:color="auto" w:sz="4" w:space="0"/>
              <w:bottom w:val="single" w:color="auto" w:sz="4" w:space="0"/>
              <w:right w:val="single" w:color="auto" w:sz="4" w:space="0"/>
            </w:tcBorders>
            <w:shd w:val="clear" w:color="auto" w:fill="D9D9D9"/>
          </w:tcPr>
          <w:p w:rsidRPr="00E22BCA" w:rsidR="00E22BCA" w:rsidP="00E22BCA" w:rsidRDefault="00E22BCA" w14:paraId="17DDB7F3" w14:textId="77777777">
            <w:pPr>
              <w:spacing w:line="256" w:lineRule="auto"/>
              <w:jc w:val="right"/>
              <w:rPr>
                <w:rFonts w:eastAsia="Calibri"/>
                <w:szCs w:val="26"/>
              </w:rPr>
            </w:pPr>
          </w:p>
        </w:tc>
        <w:tc>
          <w:tcPr>
            <w:tcW w:w="741" w:type="pct"/>
            <w:tcBorders>
              <w:top w:val="single" w:color="auto" w:sz="4" w:space="0"/>
              <w:left w:val="single" w:color="auto" w:sz="4" w:space="0"/>
              <w:bottom w:val="single" w:color="auto" w:sz="4" w:space="0"/>
              <w:right w:val="single" w:color="auto" w:sz="4" w:space="0"/>
            </w:tcBorders>
            <w:hideMark/>
          </w:tcPr>
          <w:p w:rsidRPr="00E22BCA" w:rsidR="00E22BCA" w:rsidP="00E22BCA" w:rsidRDefault="00E22BCA" w14:paraId="2FE698AE" w14:textId="22621EE3">
            <w:pPr>
              <w:spacing w:line="256" w:lineRule="auto"/>
              <w:jc w:val="right"/>
              <w:rPr>
                <w:rFonts w:eastAsia="Calibri"/>
                <w:b/>
                <w:szCs w:val="26"/>
              </w:rPr>
            </w:pPr>
            <w:r w:rsidRPr="00E22BCA">
              <w:rPr>
                <w:rFonts w:eastAsia="Calibri"/>
                <w:b/>
                <w:szCs w:val="26"/>
              </w:rPr>
              <w:t xml:space="preserve">305,812.56 </w:t>
            </w:r>
            <w:proofErr w:type="gramStart"/>
            <w:r w:rsidRPr="00E22BCA">
              <w:rPr>
                <w:rFonts w:eastAsia="Calibri"/>
                <w:b/>
                <w:szCs w:val="26"/>
              </w:rPr>
              <w:t>hrs.;</w:t>
            </w:r>
            <w:proofErr w:type="gramEnd"/>
          </w:p>
          <w:p w:rsidRPr="00E22BCA" w:rsidR="00E22BCA" w:rsidP="00E22BCA" w:rsidRDefault="00E22BCA" w14:paraId="3C7C15EA" w14:textId="3B71B900">
            <w:pPr>
              <w:spacing w:line="256" w:lineRule="auto"/>
              <w:jc w:val="right"/>
              <w:rPr>
                <w:rFonts w:eastAsia="Calibri"/>
                <w:b/>
                <w:szCs w:val="26"/>
              </w:rPr>
            </w:pPr>
            <w:r w:rsidRPr="00E22BCA">
              <w:rPr>
                <w:rFonts w:eastAsia="Calibri"/>
                <w:b/>
                <w:szCs w:val="26"/>
              </w:rPr>
              <w:t>$29,663,818.51</w:t>
            </w:r>
          </w:p>
        </w:tc>
        <w:tc>
          <w:tcPr>
            <w:tcW w:w="740" w:type="pct"/>
            <w:tcBorders>
              <w:top w:val="single" w:color="auto" w:sz="4" w:space="0"/>
              <w:left w:val="single" w:color="auto" w:sz="4" w:space="0"/>
              <w:bottom w:val="single" w:color="auto" w:sz="4" w:space="0"/>
              <w:right w:val="single" w:color="auto" w:sz="4" w:space="0"/>
            </w:tcBorders>
            <w:shd w:val="clear" w:color="auto" w:fill="D9D9D9"/>
          </w:tcPr>
          <w:p w:rsidRPr="00E22BCA" w:rsidR="00E22BCA" w:rsidP="00E22BCA" w:rsidRDefault="00E22BCA" w14:paraId="7F618F84" w14:textId="77777777">
            <w:pPr>
              <w:spacing w:line="256" w:lineRule="auto"/>
              <w:jc w:val="right"/>
              <w:rPr>
                <w:rFonts w:eastAsia="Calibri"/>
                <w:b/>
                <w:szCs w:val="26"/>
              </w:rPr>
            </w:pPr>
          </w:p>
        </w:tc>
      </w:tr>
    </w:tbl>
    <w:p w:rsidR="00DE5C87" w:rsidP="002906E5" w:rsidRDefault="00DE5C87" w14:paraId="11D35595" w14:textId="77777777">
      <w:pPr>
        <w:autoSpaceDE w:val="0"/>
        <w:autoSpaceDN w:val="0"/>
        <w:adjustRightInd w:val="0"/>
        <w:spacing w:line="480" w:lineRule="auto"/>
        <w:rPr>
          <w:i/>
        </w:rPr>
      </w:pPr>
    </w:p>
    <w:p w:rsidR="00881405" w:rsidP="002906E5" w:rsidRDefault="00AE1F12" w14:paraId="40735770" w14:textId="2F98BE90">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284E1" w14:textId="77777777" w:rsidR="00C0787D" w:rsidRDefault="00C0787D" w:rsidP="00B01B16">
      <w:r>
        <w:separator/>
      </w:r>
    </w:p>
  </w:endnote>
  <w:endnote w:type="continuationSeparator" w:id="0">
    <w:p w14:paraId="2AA0A279" w14:textId="77777777" w:rsidR="00C0787D" w:rsidRDefault="00C0787D" w:rsidP="00B01B16">
      <w:r>
        <w:continuationSeparator/>
      </w:r>
    </w:p>
  </w:endnote>
  <w:endnote w:type="continuationNotice" w:id="1">
    <w:p w14:paraId="7BFD6990" w14:textId="77777777" w:rsidR="00C0787D" w:rsidRDefault="00C07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9E8D6" w14:textId="77777777" w:rsidR="00C0787D" w:rsidRDefault="00C0787D" w:rsidP="00B01B16">
      <w:r>
        <w:separator/>
      </w:r>
    </w:p>
  </w:footnote>
  <w:footnote w:type="continuationSeparator" w:id="0">
    <w:p w14:paraId="4D38EE18" w14:textId="77777777" w:rsidR="00C0787D" w:rsidRDefault="00C0787D" w:rsidP="00B01B16">
      <w:r>
        <w:continuationSeparator/>
      </w:r>
    </w:p>
  </w:footnote>
  <w:footnote w:type="continuationNotice" w:id="1">
    <w:p w14:paraId="1CCC837C" w14:textId="77777777" w:rsidR="00C0787D" w:rsidRDefault="00C0787D"/>
  </w:footnote>
  <w:footnote w:id="2">
    <w:p w14:paraId="1931E0C5" w14:textId="77777777" w:rsidR="00F539D7" w:rsidRPr="008331D2" w:rsidRDefault="00F539D7" w:rsidP="00421FE8">
      <w:pPr>
        <w:pStyle w:val="FootnoteText"/>
        <w:ind w:firstLine="720"/>
        <w:rPr>
          <w:sz w:val="26"/>
          <w:szCs w:val="26"/>
        </w:rPr>
      </w:pPr>
      <w:r w:rsidRPr="0091295F">
        <w:rPr>
          <w:rStyle w:val="FootnoteReference"/>
        </w:rPr>
        <w:footnoteRef/>
      </w:r>
      <w:r w:rsidRPr="0091295F">
        <w:rPr>
          <w:sz w:val="26"/>
          <w:szCs w:val="26"/>
        </w:rPr>
        <w:t xml:space="preserve"> </w:t>
      </w:r>
      <w:r w:rsidRPr="008331D2">
        <w:rPr>
          <w:sz w:val="26"/>
          <w:szCs w:val="26"/>
        </w:rPr>
        <w:t>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3">
    <w:p w14:paraId="77B2F8C8" w14:textId="4DD90E8E" w:rsidR="00B0092E" w:rsidRPr="000E5D3B" w:rsidRDefault="00B0092E" w:rsidP="00421FE8">
      <w:pPr>
        <w:pStyle w:val="FootnoteText"/>
        <w:ind w:firstLine="720"/>
        <w:rPr>
          <w:sz w:val="26"/>
        </w:rPr>
      </w:pPr>
      <w:r w:rsidRPr="00813E9E">
        <w:rPr>
          <w:rStyle w:val="FootnoteReference"/>
        </w:rPr>
        <w:footnoteRef/>
      </w:r>
      <w:r w:rsidRPr="000E5D3B">
        <w:rPr>
          <w:sz w:val="26"/>
        </w:rPr>
        <w:t xml:space="preserve"> </w:t>
      </w:r>
      <w:r w:rsidR="004248CD" w:rsidRPr="000E5D3B">
        <w:rPr>
          <w:sz w:val="26"/>
        </w:rPr>
        <w:t xml:space="preserve">The final rule was published </w:t>
      </w:r>
      <w:r w:rsidR="00785A49" w:rsidRPr="000E5D3B">
        <w:rPr>
          <w:sz w:val="26"/>
        </w:rPr>
        <w:t xml:space="preserve">in the Federal Register on August 10, 2021 (86 FR 43590).  OMB </w:t>
      </w:r>
      <w:r w:rsidR="00E6792E" w:rsidRPr="000E5D3B">
        <w:rPr>
          <w:sz w:val="26"/>
        </w:rPr>
        <w:t xml:space="preserve">approved the information collection aspects of the rule, including </w:t>
      </w:r>
      <w:r w:rsidR="00CF2218" w:rsidRPr="000E5D3B">
        <w:rPr>
          <w:sz w:val="26"/>
        </w:rPr>
        <w:t>re</w:t>
      </w:r>
      <w:r w:rsidR="000D391F">
        <w:rPr>
          <w:sz w:val="26"/>
        </w:rPr>
        <w:t>v</w:t>
      </w:r>
      <w:r w:rsidR="00CF2218" w:rsidRPr="000E5D3B">
        <w:rPr>
          <w:sz w:val="26"/>
        </w:rPr>
        <w:t xml:space="preserve">sions of FERC-545, in November of </w:t>
      </w:r>
      <w:r w:rsidR="00813E9E" w:rsidRPr="000E5D3B">
        <w:rPr>
          <w:sz w:val="26"/>
        </w:rPr>
        <w:t>2021.</w:t>
      </w:r>
    </w:p>
  </w:footnote>
  <w:footnote w:id="4">
    <w:p w14:paraId="07509F61" w14:textId="77777777" w:rsidR="00E22BCA" w:rsidRPr="000262CA" w:rsidRDefault="00E22BCA" w:rsidP="00421FE8">
      <w:pPr>
        <w:pStyle w:val="FootnoteText"/>
        <w:ind w:firstLine="720"/>
        <w:rPr>
          <w:sz w:val="26"/>
          <w:szCs w:val="26"/>
        </w:rPr>
      </w:pPr>
      <w:r w:rsidRPr="00F33E3A">
        <w:rPr>
          <w:rStyle w:val="FootnoteReference"/>
        </w:rPr>
        <w:footnoteRef/>
      </w:r>
      <w:r w:rsidRPr="00F33E3A">
        <w:rPr>
          <w:sz w:val="26"/>
          <w:szCs w:val="26"/>
        </w:rPr>
        <w:t xml:space="preserve"> The estimated hourly cost (salary plus benefits) provided in this section is based on the salary figures f</w:t>
      </w:r>
      <w:r w:rsidRPr="000262CA">
        <w:rPr>
          <w:sz w:val="26"/>
          <w:szCs w:val="26"/>
        </w:rPr>
        <w:t xml:space="preserve">or May 2021 posted by the Bureau of Labor Statistics for the Utilities sector (available at </w:t>
      </w:r>
      <w:hyperlink r:id="rId1" w:history="1">
        <w:r w:rsidRPr="00F33E3A">
          <w:rPr>
            <w:rStyle w:val="Hyperlink"/>
            <w:sz w:val="26"/>
            <w:szCs w:val="26"/>
          </w:rPr>
          <w:t>https://www.bls.gov/oes/current/naics3_221000.htm</w:t>
        </w:r>
      </w:hyperlink>
      <w:r w:rsidRPr="00F33E3A">
        <w:rPr>
          <w:sz w:val="26"/>
          <w:szCs w:val="26"/>
        </w:rPr>
        <w:t>) and scaled to reflect benefits using the relati</w:t>
      </w:r>
      <w:r w:rsidRPr="000262CA">
        <w:rPr>
          <w:sz w:val="26"/>
          <w:szCs w:val="26"/>
        </w:rPr>
        <w:t xml:space="preserve">ve importance of employer costs for employee compensation from June 2021 (available at </w:t>
      </w:r>
      <w:hyperlink r:id="rId2" w:history="1">
        <w:r w:rsidRPr="00F33E3A">
          <w:rPr>
            <w:rStyle w:val="Hyperlink"/>
            <w:sz w:val="26"/>
            <w:szCs w:val="26"/>
          </w:rPr>
          <w:t>https://www.bls.gov/news.release/ecec.nr0.htm</w:t>
        </w:r>
      </w:hyperlink>
      <w:r w:rsidRPr="00F33E3A">
        <w:rPr>
          <w:sz w:val="26"/>
          <w:szCs w:val="26"/>
        </w:rPr>
        <w:t xml:space="preserve">).  The hourly estimates for salary plus benefits are: </w:t>
      </w:r>
    </w:p>
    <w:p w14:paraId="3AFEF96C" w14:textId="77777777" w:rsidR="00E22BCA" w:rsidRPr="000262CA" w:rsidRDefault="00E22BCA" w:rsidP="00E22BCA">
      <w:pPr>
        <w:pStyle w:val="FootnoteText"/>
        <w:rPr>
          <w:rFonts w:eastAsia="Calibri"/>
          <w:sz w:val="26"/>
          <w:szCs w:val="26"/>
        </w:rPr>
      </w:pPr>
      <w:r w:rsidRPr="000262CA">
        <w:rPr>
          <w:rFonts w:eastAsia="Calibri"/>
          <w:sz w:val="26"/>
          <w:szCs w:val="26"/>
        </w:rPr>
        <w:t>Computer and Information Systems Manager (Occupation Code: 11-3021), $103.61</w:t>
      </w:r>
    </w:p>
    <w:p w14:paraId="62B36C04" w14:textId="77777777" w:rsidR="00E22BCA" w:rsidRPr="00F33E3A" w:rsidRDefault="00E22BCA" w:rsidP="00E22BCA">
      <w:pPr>
        <w:pStyle w:val="FootnoteText"/>
        <w:rPr>
          <w:rFonts w:eastAsia="Calibri"/>
          <w:sz w:val="26"/>
          <w:szCs w:val="26"/>
        </w:rPr>
      </w:pPr>
      <w:r w:rsidRPr="00F33E3A">
        <w:rPr>
          <w:rFonts w:eastAsia="Calibri"/>
          <w:sz w:val="26"/>
          <w:szCs w:val="26"/>
        </w:rPr>
        <w:t>Computer and Information Analysts (Occupation Code:  15-1120(1221), $67.99</w:t>
      </w:r>
    </w:p>
    <w:p w14:paraId="1843AFBF" w14:textId="77777777" w:rsidR="00E22BCA" w:rsidRPr="00F33E3A" w:rsidRDefault="00E22BCA" w:rsidP="00E22BCA">
      <w:pPr>
        <w:pStyle w:val="FootnoteText"/>
        <w:rPr>
          <w:rFonts w:eastAsia="Calibri"/>
          <w:sz w:val="26"/>
          <w:szCs w:val="26"/>
        </w:rPr>
      </w:pPr>
      <w:r w:rsidRPr="00F33E3A">
        <w:rPr>
          <w:rFonts w:eastAsia="Calibri"/>
          <w:sz w:val="26"/>
          <w:szCs w:val="26"/>
        </w:rPr>
        <w:t>Electrical Engineer (Occupation Code: 17-2071), $72.15</w:t>
      </w:r>
    </w:p>
    <w:p w14:paraId="77B9E124" w14:textId="77777777" w:rsidR="00E22BCA" w:rsidRPr="00F33E3A" w:rsidRDefault="00E22BCA" w:rsidP="00E22BCA">
      <w:pPr>
        <w:pStyle w:val="FootnoteText"/>
        <w:rPr>
          <w:rFonts w:eastAsia="Calibri"/>
          <w:sz w:val="26"/>
          <w:szCs w:val="26"/>
        </w:rPr>
      </w:pPr>
      <w:r w:rsidRPr="00F33E3A">
        <w:rPr>
          <w:rFonts w:eastAsia="Calibri"/>
          <w:sz w:val="26"/>
          <w:szCs w:val="26"/>
        </w:rPr>
        <w:t>Legal (Occupation Code: 23-0000), $142.25</w:t>
      </w:r>
    </w:p>
    <w:p w14:paraId="30FF091B" w14:textId="77777777" w:rsidR="00E22BCA" w:rsidRPr="00F33E3A" w:rsidRDefault="00E22BCA" w:rsidP="00E22BCA">
      <w:pPr>
        <w:pStyle w:val="FootnoteText"/>
        <w:rPr>
          <w:sz w:val="26"/>
          <w:szCs w:val="26"/>
        </w:rPr>
      </w:pPr>
      <w:r w:rsidRPr="00F33E3A">
        <w:rPr>
          <w:sz w:val="26"/>
          <w:szCs w:val="26"/>
        </w:rPr>
        <w:t>The average hourly cost (salary plus benefits), weighting all of these skill sets evenly, is $96.50.  We round it to $97/hour.</w:t>
      </w:r>
    </w:p>
    <w:p w14:paraId="430D215B" w14:textId="77777777" w:rsidR="00E22BCA" w:rsidRPr="000E5D3B" w:rsidRDefault="00E22BCA" w:rsidP="00E22BCA">
      <w:pPr>
        <w:pStyle w:val="FootnoteText"/>
        <w:rPr>
          <w:sz w:val="26"/>
        </w:rPr>
      </w:pPr>
    </w:p>
  </w:footnote>
  <w:footnote w:id="5">
    <w:p w14:paraId="69C58403" w14:textId="77777777" w:rsidR="00E22BCA" w:rsidRPr="000E5D3B" w:rsidRDefault="00E22BCA" w:rsidP="00421FE8">
      <w:pPr>
        <w:pStyle w:val="FootnoteText"/>
        <w:ind w:firstLine="720"/>
        <w:rPr>
          <w:sz w:val="26"/>
        </w:rPr>
      </w:pPr>
      <w:r w:rsidRPr="00216196">
        <w:rPr>
          <w:rStyle w:val="FootnoteReference"/>
        </w:rPr>
        <w:footnoteRef/>
      </w:r>
      <w:r w:rsidRPr="000E5D3B">
        <w:rPr>
          <w:sz w:val="26"/>
        </w:rPr>
        <w:t xml:space="preserve"> The final rule in Docket No. RM96-1-042 was published in the Federal Register on August 10, 2021 (86 FR 43590).  OMB approved the information collection aspects of the rule, including revisions of FERC-545, in November of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69D9B6BF" w:rsidR="00C80D25" w:rsidRDefault="00C80D25">
        <w:pPr>
          <w:pStyle w:val="Header"/>
        </w:pPr>
        <w:r w:rsidRPr="00D954AE">
          <w:t>Docket No. IC2</w:t>
        </w:r>
        <w:r w:rsidR="00E82FDD">
          <w:t>2</w:t>
        </w:r>
        <w:r w:rsidRPr="00D954AE">
          <w:t>-2-000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4AED"/>
    <w:multiLevelType w:val="hybridMultilevel"/>
    <w:tmpl w:val="B2D296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60207"/>
    <w:multiLevelType w:val="hybridMultilevel"/>
    <w:tmpl w:val="FB0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8"/>
  </w:num>
  <w:num w:numId="5">
    <w:abstractNumId w:val="17"/>
  </w:num>
  <w:num w:numId="6">
    <w:abstractNumId w:val="2"/>
  </w:num>
  <w:num w:numId="7">
    <w:abstractNumId w:val="12"/>
  </w:num>
  <w:num w:numId="8">
    <w:abstractNumId w:val="1"/>
  </w:num>
  <w:num w:numId="9">
    <w:abstractNumId w:val="10"/>
  </w:num>
  <w:num w:numId="10">
    <w:abstractNumId w:val="16"/>
  </w:num>
  <w:num w:numId="11">
    <w:abstractNumId w:val="3"/>
  </w:num>
  <w:num w:numId="12">
    <w:abstractNumId w:val="14"/>
  </w:num>
  <w:num w:numId="13">
    <w:abstractNumId w:val="0"/>
  </w:num>
  <w:num w:numId="14">
    <w:abstractNumId w:val="15"/>
  </w:num>
  <w:num w:numId="15">
    <w:abstractNumId w:val="9"/>
  </w:num>
  <w:num w:numId="16">
    <w:abstractNumId w:val="5"/>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4E3D"/>
    <w:rsid w:val="0008692A"/>
    <w:rsid w:val="00097607"/>
    <w:rsid w:val="000A0250"/>
    <w:rsid w:val="000A3078"/>
    <w:rsid w:val="000A3C2F"/>
    <w:rsid w:val="000A6164"/>
    <w:rsid w:val="000A6F37"/>
    <w:rsid w:val="000A7E68"/>
    <w:rsid w:val="000B431B"/>
    <w:rsid w:val="000B5B66"/>
    <w:rsid w:val="000B5C78"/>
    <w:rsid w:val="000C3CEE"/>
    <w:rsid w:val="000D318C"/>
    <w:rsid w:val="000D391F"/>
    <w:rsid w:val="000D6969"/>
    <w:rsid w:val="000E1256"/>
    <w:rsid w:val="000E2568"/>
    <w:rsid w:val="000E4C61"/>
    <w:rsid w:val="000E5D3B"/>
    <w:rsid w:val="000F3BC3"/>
    <w:rsid w:val="000F606E"/>
    <w:rsid w:val="00111E92"/>
    <w:rsid w:val="00112B6B"/>
    <w:rsid w:val="00116326"/>
    <w:rsid w:val="00125991"/>
    <w:rsid w:val="001309CE"/>
    <w:rsid w:val="0013255C"/>
    <w:rsid w:val="00135FC5"/>
    <w:rsid w:val="00137823"/>
    <w:rsid w:val="00150BC6"/>
    <w:rsid w:val="00150CBC"/>
    <w:rsid w:val="00151676"/>
    <w:rsid w:val="0015445B"/>
    <w:rsid w:val="00156BBB"/>
    <w:rsid w:val="00157116"/>
    <w:rsid w:val="001600DF"/>
    <w:rsid w:val="00164215"/>
    <w:rsid w:val="00171725"/>
    <w:rsid w:val="00173D03"/>
    <w:rsid w:val="0017684C"/>
    <w:rsid w:val="00177704"/>
    <w:rsid w:val="00181BF7"/>
    <w:rsid w:val="00184A26"/>
    <w:rsid w:val="00184B43"/>
    <w:rsid w:val="00185C1F"/>
    <w:rsid w:val="0019402A"/>
    <w:rsid w:val="00197435"/>
    <w:rsid w:val="001974A9"/>
    <w:rsid w:val="001A2DAA"/>
    <w:rsid w:val="001A6645"/>
    <w:rsid w:val="001A6AD6"/>
    <w:rsid w:val="001B0BD2"/>
    <w:rsid w:val="001B78B8"/>
    <w:rsid w:val="001C543C"/>
    <w:rsid w:val="001C7064"/>
    <w:rsid w:val="001D578A"/>
    <w:rsid w:val="001E3237"/>
    <w:rsid w:val="001F1CDF"/>
    <w:rsid w:val="00202E41"/>
    <w:rsid w:val="00207AE7"/>
    <w:rsid w:val="00211105"/>
    <w:rsid w:val="002131D0"/>
    <w:rsid w:val="00213696"/>
    <w:rsid w:val="00224BF8"/>
    <w:rsid w:val="00224DD2"/>
    <w:rsid w:val="00237AB9"/>
    <w:rsid w:val="00237B93"/>
    <w:rsid w:val="0024271E"/>
    <w:rsid w:val="0024309C"/>
    <w:rsid w:val="00253F98"/>
    <w:rsid w:val="00257CC2"/>
    <w:rsid w:val="00262096"/>
    <w:rsid w:val="00265B23"/>
    <w:rsid w:val="00266431"/>
    <w:rsid w:val="002906E5"/>
    <w:rsid w:val="00292A4C"/>
    <w:rsid w:val="00297211"/>
    <w:rsid w:val="002B5874"/>
    <w:rsid w:val="002C2C8B"/>
    <w:rsid w:val="002C3223"/>
    <w:rsid w:val="002C3579"/>
    <w:rsid w:val="002C5E0E"/>
    <w:rsid w:val="002D09B3"/>
    <w:rsid w:val="002D17E5"/>
    <w:rsid w:val="002D57E8"/>
    <w:rsid w:val="002E06A0"/>
    <w:rsid w:val="002E1C29"/>
    <w:rsid w:val="002E68D4"/>
    <w:rsid w:val="002E6DAA"/>
    <w:rsid w:val="002F4401"/>
    <w:rsid w:val="002F708A"/>
    <w:rsid w:val="00301E3D"/>
    <w:rsid w:val="00303516"/>
    <w:rsid w:val="003053E3"/>
    <w:rsid w:val="00306318"/>
    <w:rsid w:val="00311D90"/>
    <w:rsid w:val="0031393E"/>
    <w:rsid w:val="00314219"/>
    <w:rsid w:val="003149BC"/>
    <w:rsid w:val="0032099D"/>
    <w:rsid w:val="0033340D"/>
    <w:rsid w:val="00336AD9"/>
    <w:rsid w:val="00340D3C"/>
    <w:rsid w:val="00353270"/>
    <w:rsid w:val="00365468"/>
    <w:rsid w:val="003658A2"/>
    <w:rsid w:val="003673EC"/>
    <w:rsid w:val="00373A2E"/>
    <w:rsid w:val="00376525"/>
    <w:rsid w:val="00397ABE"/>
    <w:rsid w:val="003A2C3F"/>
    <w:rsid w:val="003B435C"/>
    <w:rsid w:val="003B5B0B"/>
    <w:rsid w:val="003C08DE"/>
    <w:rsid w:val="003C3E7A"/>
    <w:rsid w:val="003D0BB4"/>
    <w:rsid w:val="003D28D2"/>
    <w:rsid w:val="003E1657"/>
    <w:rsid w:val="003E1B25"/>
    <w:rsid w:val="003E1B5A"/>
    <w:rsid w:val="003E40B2"/>
    <w:rsid w:val="003E44AD"/>
    <w:rsid w:val="003E5168"/>
    <w:rsid w:val="003F0FE7"/>
    <w:rsid w:val="003F2E32"/>
    <w:rsid w:val="003F2EC7"/>
    <w:rsid w:val="003F570B"/>
    <w:rsid w:val="003F6466"/>
    <w:rsid w:val="00401401"/>
    <w:rsid w:val="00407BCE"/>
    <w:rsid w:val="00410A8B"/>
    <w:rsid w:val="00411B62"/>
    <w:rsid w:val="00413AA8"/>
    <w:rsid w:val="00413FDE"/>
    <w:rsid w:val="004177CD"/>
    <w:rsid w:val="00421FE8"/>
    <w:rsid w:val="004248CD"/>
    <w:rsid w:val="00425ADD"/>
    <w:rsid w:val="004266F6"/>
    <w:rsid w:val="0042688C"/>
    <w:rsid w:val="0042765E"/>
    <w:rsid w:val="00427AE5"/>
    <w:rsid w:val="00443282"/>
    <w:rsid w:val="00447C9E"/>
    <w:rsid w:val="00450D64"/>
    <w:rsid w:val="004543E0"/>
    <w:rsid w:val="004562F1"/>
    <w:rsid w:val="004628F2"/>
    <w:rsid w:val="00465456"/>
    <w:rsid w:val="00471921"/>
    <w:rsid w:val="00471FF2"/>
    <w:rsid w:val="00480D2D"/>
    <w:rsid w:val="00491543"/>
    <w:rsid w:val="00492111"/>
    <w:rsid w:val="00497A62"/>
    <w:rsid w:val="004A661D"/>
    <w:rsid w:val="004A6FC8"/>
    <w:rsid w:val="004C0BC3"/>
    <w:rsid w:val="004C70C8"/>
    <w:rsid w:val="004E44F8"/>
    <w:rsid w:val="004E683E"/>
    <w:rsid w:val="004F56E3"/>
    <w:rsid w:val="00524164"/>
    <w:rsid w:val="00527733"/>
    <w:rsid w:val="00530906"/>
    <w:rsid w:val="00531000"/>
    <w:rsid w:val="005401E0"/>
    <w:rsid w:val="00544424"/>
    <w:rsid w:val="0054746C"/>
    <w:rsid w:val="00562BE8"/>
    <w:rsid w:val="00564ADB"/>
    <w:rsid w:val="00565830"/>
    <w:rsid w:val="00565B5E"/>
    <w:rsid w:val="00566B5F"/>
    <w:rsid w:val="00567315"/>
    <w:rsid w:val="005739F7"/>
    <w:rsid w:val="005749DE"/>
    <w:rsid w:val="0058195F"/>
    <w:rsid w:val="00584A11"/>
    <w:rsid w:val="005854FC"/>
    <w:rsid w:val="0058662A"/>
    <w:rsid w:val="00587D1F"/>
    <w:rsid w:val="005953A1"/>
    <w:rsid w:val="00596242"/>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B1A"/>
    <w:rsid w:val="005E45C6"/>
    <w:rsid w:val="005E68E7"/>
    <w:rsid w:val="005F7CE1"/>
    <w:rsid w:val="00602995"/>
    <w:rsid w:val="006128A5"/>
    <w:rsid w:val="00613169"/>
    <w:rsid w:val="0062572C"/>
    <w:rsid w:val="00630E07"/>
    <w:rsid w:val="00635AFD"/>
    <w:rsid w:val="0063784F"/>
    <w:rsid w:val="00637F43"/>
    <w:rsid w:val="00641F0D"/>
    <w:rsid w:val="00643772"/>
    <w:rsid w:val="00644A1B"/>
    <w:rsid w:val="00650E6C"/>
    <w:rsid w:val="006536D8"/>
    <w:rsid w:val="00654399"/>
    <w:rsid w:val="00654BA4"/>
    <w:rsid w:val="00655C57"/>
    <w:rsid w:val="0066195A"/>
    <w:rsid w:val="00663FBE"/>
    <w:rsid w:val="00664931"/>
    <w:rsid w:val="006670C8"/>
    <w:rsid w:val="006841A7"/>
    <w:rsid w:val="00684A03"/>
    <w:rsid w:val="00687348"/>
    <w:rsid w:val="00690375"/>
    <w:rsid w:val="00693721"/>
    <w:rsid w:val="00694C22"/>
    <w:rsid w:val="006963BC"/>
    <w:rsid w:val="006970F4"/>
    <w:rsid w:val="006A2E15"/>
    <w:rsid w:val="006A4398"/>
    <w:rsid w:val="006B3479"/>
    <w:rsid w:val="006D3D49"/>
    <w:rsid w:val="006D5669"/>
    <w:rsid w:val="006E7CBB"/>
    <w:rsid w:val="006E7EBE"/>
    <w:rsid w:val="006F7028"/>
    <w:rsid w:val="006F749E"/>
    <w:rsid w:val="007024F1"/>
    <w:rsid w:val="00707D60"/>
    <w:rsid w:val="00713417"/>
    <w:rsid w:val="00714EDD"/>
    <w:rsid w:val="0071596F"/>
    <w:rsid w:val="00723505"/>
    <w:rsid w:val="007263B9"/>
    <w:rsid w:val="007352F2"/>
    <w:rsid w:val="0075009F"/>
    <w:rsid w:val="00752A48"/>
    <w:rsid w:val="00757503"/>
    <w:rsid w:val="00757707"/>
    <w:rsid w:val="00761148"/>
    <w:rsid w:val="007633DD"/>
    <w:rsid w:val="007755E3"/>
    <w:rsid w:val="00781E6A"/>
    <w:rsid w:val="00785A49"/>
    <w:rsid w:val="007B1F57"/>
    <w:rsid w:val="007B3014"/>
    <w:rsid w:val="007B370F"/>
    <w:rsid w:val="007B4938"/>
    <w:rsid w:val="007D02D8"/>
    <w:rsid w:val="007E3706"/>
    <w:rsid w:val="007F4CD3"/>
    <w:rsid w:val="007F61C2"/>
    <w:rsid w:val="00801456"/>
    <w:rsid w:val="008018DB"/>
    <w:rsid w:val="00803CA2"/>
    <w:rsid w:val="00807CAC"/>
    <w:rsid w:val="008115BF"/>
    <w:rsid w:val="00813E9E"/>
    <w:rsid w:val="008143B0"/>
    <w:rsid w:val="00816942"/>
    <w:rsid w:val="008212DA"/>
    <w:rsid w:val="0082368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0A34"/>
    <w:rsid w:val="00893C9F"/>
    <w:rsid w:val="008947D7"/>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3273"/>
    <w:rsid w:val="008F0C45"/>
    <w:rsid w:val="00904B00"/>
    <w:rsid w:val="009112D0"/>
    <w:rsid w:val="00940C0F"/>
    <w:rsid w:val="00951DC3"/>
    <w:rsid w:val="0095548F"/>
    <w:rsid w:val="0096137B"/>
    <w:rsid w:val="00965AD5"/>
    <w:rsid w:val="009744C8"/>
    <w:rsid w:val="00974530"/>
    <w:rsid w:val="00980E58"/>
    <w:rsid w:val="009815BD"/>
    <w:rsid w:val="00981886"/>
    <w:rsid w:val="00986E69"/>
    <w:rsid w:val="00990102"/>
    <w:rsid w:val="00990FEC"/>
    <w:rsid w:val="00992257"/>
    <w:rsid w:val="009928CD"/>
    <w:rsid w:val="009949AA"/>
    <w:rsid w:val="00995921"/>
    <w:rsid w:val="009A1B08"/>
    <w:rsid w:val="009B0524"/>
    <w:rsid w:val="009B2DA0"/>
    <w:rsid w:val="009B3A62"/>
    <w:rsid w:val="009B5396"/>
    <w:rsid w:val="009C3CB9"/>
    <w:rsid w:val="009C4A13"/>
    <w:rsid w:val="009C745D"/>
    <w:rsid w:val="009D50C1"/>
    <w:rsid w:val="009E2D84"/>
    <w:rsid w:val="009F279E"/>
    <w:rsid w:val="009F7DE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4849"/>
    <w:rsid w:val="00A75AAA"/>
    <w:rsid w:val="00A82A29"/>
    <w:rsid w:val="00A86B6F"/>
    <w:rsid w:val="00A94B18"/>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65F0"/>
    <w:rsid w:val="00B0092E"/>
    <w:rsid w:val="00B009E9"/>
    <w:rsid w:val="00B01711"/>
    <w:rsid w:val="00B01B16"/>
    <w:rsid w:val="00B03644"/>
    <w:rsid w:val="00B062D0"/>
    <w:rsid w:val="00B11D16"/>
    <w:rsid w:val="00B17A95"/>
    <w:rsid w:val="00B24588"/>
    <w:rsid w:val="00B30F2D"/>
    <w:rsid w:val="00B34021"/>
    <w:rsid w:val="00B34928"/>
    <w:rsid w:val="00B35B74"/>
    <w:rsid w:val="00B403F1"/>
    <w:rsid w:val="00B4163B"/>
    <w:rsid w:val="00B44790"/>
    <w:rsid w:val="00B447D7"/>
    <w:rsid w:val="00B503A5"/>
    <w:rsid w:val="00B530FE"/>
    <w:rsid w:val="00B556C9"/>
    <w:rsid w:val="00B56C1B"/>
    <w:rsid w:val="00B60113"/>
    <w:rsid w:val="00B6081E"/>
    <w:rsid w:val="00B61016"/>
    <w:rsid w:val="00B624EB"/>
    <w:rsid w:val="00B71BAA"/>
    <w:rsid w:val="00B76A1F"/>
    <w:rsid w:val="00B806DD"/>
    <w:rsid w:val="00B82F8C"/>
    <w:rsid w:val="00B8460F"/>
    <w:rsid w:val="00B84D34"/>
    <w:rsid w:val="00B917A6"/>
    <w:rsid w:val="00B95477"/>
    <w:rsid w:val="00BA1D81"/>
    <w:rsid w:val="00BA7130"/>
    <w:rsid w:val="00BB436B"/>
    <w:rsid w:val="00BC58DF"/>
    <w:rsid w:val="00BC6431"/>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0787D"/>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2218"/>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541DD"/>
    <w:rsid w:val="00D61B79"/>
    <w:rsid w:val="00D62C84"/>
    <w:rsid w:val="00D6384D"/>
    <w:rsid w:val="00D64D0D"/>
    <w:rsid w:val="00D653F3"/>
    <w:rsid w:val="00D65EC2"/>
    <w:rsid w:val="00D66B24"/>
    <w:rsid w:val="00D67307"/>
    <w:rsid w:val="00D85E13"/>
    <w:rsid w:val="00D86288"/>
    <w:rsid w:val="00D872BC"/>
    <w:rsid w:val="00D954AE"/>
    <w:rsid w:val="00D96929"/>
    <w:rsid w:val="00DA1B6F"/>
    <w:rsid w:val="00DA529F"/>
    <w:rsid w:val="00DB5AAE"/>
    <w:rsid w:val="00DB636B"/>
    <w:rsid w:val="00DB6882"/>
    <w:rsid w:val="00DC4B63"/>
    <w:rsid w:val="00DC5017"/>
    <w:rsid w:val="00DC5129"/>
    <w:rsid w:val="00DD1009"/>
    <w:rsid w:val="00DD7F1B"/>
    <w:rsid w:val="00DE1A87"/>
    <w:rsid w:val="00DE451F"/>
    <w:rsid w:val="00DE5C87"/>
    <w:rsid w:val="00E00044"/>
    <w:rsid w:val="00E03D2D"/>
    <w:rsid w:val="00E12A7A"/>
    <w:rsid w:val="00E22BCA"/>
    <w:rsid w:val="00E27FD6"/>
    <w:rsid w:val="00E36A0F"/>
    <w:rsid w:val="00E400C7"/>
    <w:rsid w:val="00E40322"/>
    <w:rsid w:val="00E40CB4"/>
    <w:rsid w:val="00E41DB9"/>
    <w:rsid w:val="00E56612"/>
    <w:rsid w:val="00E6792E"/>
    <w:rsid w:val="00E71CC0"/>
    <w:rsid w:val="00E731AE"/>
    <w:rsid w:val="00E74310"/>
    <w:rsid w:val="00E762BB"/>
    <w:rsid w:val="00E82FDD"/>
    <w:rsid w:val="00E865C8"/>
    <w:rsid w:val="00E8661B"/>
    <w:rsid w:val="00E9084E"/>
    <w:rsid w:val="00E962E6"/>
    <w:rsid w:val="00E97D7C"/>
    <w:rsid w:val="00EA0E8C"/>
    <w:rsid w:val="00EA1793"/>
    <w:rsid w:val="00EA689F"/>
    <w:rsid w:val="00EB162B"/>
    <w:rsid w:val="00EC1434"/>
    <w:rsid w:val="00EC6F9B"/>
    <w:rsid w:val="00EC72B0"/>
    <w:rsid w:val="00EC77B3"/>
    <w:rsid w:val="00ED0142"/>
    <w:rsid w:val="00EE18F2"/>
    <w:rsid w:val="00EE365D"/>
    <w:rsid w:val="00EF33BE"/>
    <w:rsid w:val="00EF4F97"/>
    <w:rsid w:val="00EF5552"/>
    <w:rsid w:val="00F05673"/>
    <w:rsid w:val="00F126FC"/>
    <w:rsid w:val="00F12983"/>
    <w:rsid w:val="00F15359"/>
    <w:rsid w:val="00F172FE"/>
    <w:rsid w:val="00F175C4"/>
    <w:rsid w:val="00F23714"/>
    <w:rsid w:val="00F245A2"/>
    <w:rsid w:val="00F309CB"/>
    <w:rsid w:val="00F33EED"/>
    <w:rsid w:val="00F33EEE"/>
    <w:rsid w:val="00F37677"/>
    <w:rsid w:val="00F37B05"/>
    <w:rsid w:val="00F44A0E"/>
    <w:rsid w:val="00F4763C"/>
    <w:rsid w:val="00F539D7"/>
    <w:rsid w:val="00F540BA"/>
    <w:rsid w:val="00F570F0"/>
    <w:rsid w:val="00F60E60"/>
    <w:rsid w:val="00F64069"/>
    <w:rsid w:val="00F64D6D"/>
    <w:rsid w:val="00F654D4"/>
    <w:rsid w:val="00F66182"/>
    <w:rsid w:val="00F71399"/>
    <w:rsid w:val="00F82EE1"/>
    <w:rsid w:val="00F93134"/>
    <w:rsid w:val="00FB078F"/>
    <w:rsid w:val="00FB3586"/>
    <w:rsid w:val="00FC3F00"/>
    <w:rsid w:val="00FC750D"/>
    <w:rsid w:val="00FD0EA3"/>
    <w:rsid w:val="00FE34E4"/>
    <w:rsid w:val="00FF1D71"/>
    <w:rsid w:val="00FF5141"/>
    <w:rsid w:val="00FF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Char"/>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932C4-AB21-4DAC-9A5D-AACC6CE85FA5}">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4.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5.xml><?xml version="1.0" encoding="utf-8"?>
<ds:datastoreItem xmlns:ds="http://schemas.openxmlformats.org/officeDocument/2006/customXml" ds:itemID="{B9E12638-7903-43F7-B28E-2DD2695BC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2022-01-26T14:10:00Z</dcterms:created>
  <dcterms:modified xsi:type="dcterms:W3CDTF">2022-01-26T14:10:00Z</dcterms:modified>
  <cp:category/>
  <dc:identifier/>
  <cp:contentStatus/>
  <cp:version/>
</cp:coreProperties>
</file>