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473D" w:rsidRDefault="0082473D" w14:paraId="1C187E4E" w14:textId="77777777">
      <w:pPr>
        <w:pStyle w:val="BodyText"/>
        <w:jc w:val="left"/>
        <w:rPr>
          <w:rFonts w:ascii="Times New Roman"/>
          <w:sz w:val="20"/>
        </w:rPr>
      </w:pPr>
    </w:p>
    <w:p w:rsidR="0082473D" w:rsidRDefault="0082473D" w14:paraId="72B225B0" w14:textId="77777777">
      <w:pPr>
        <w:pStyle w:val="BodyText"/>
        <w:jc w:val="left"/>
        <w:rPr>
          <w:rFonts w:ascii="Times New Roman"/>
          <w:sz w:val="20"/>
        </w:rPr>
      </w:pPr>
    </w:p>
    <w:p w:rsidR="0082473D" w:rsidRDefault="0082473D" w14:paraId="375CC959" w14:textId="77777777">
      <w:pPr>
        <w:pStyle w:val="BodyText"/>
        <w:jc w:val="left"/>
        <w:rPr>
          <w:rFonts w:ascii="Times New Roman"/>
          <w:sz w:val="20"/>
        </w:rPr>
      </w:pPr>
    </w:p>
    <w:p w:rsidR="0082473D" w:rsidRDefault="0082473D" w14:paraId="7DA53145" w14:textId="77777777">
      <w:pPr>
        <w:pStyle w:val="BodyText"/>
        <w:jc w:val="left"/>
        <w:rPr>
          <w:rFonts w:ascii="Times New Roman"/>
          <w:sz w:val="20"/>
        </w:rPr>
      </w:pPr>
    </w:p>
    <w:p w:rsidR="0082473D" w:rsidRDefault="0082473D" w14:paraId="45603162" w14:textId="77777777">
      <w:pPr>
        <w:pStyle w:val="BodyText"/>
        <w:jc w:val="left"/>
        <w:rPr>
          <w:rFonts w:ascii="Times New Roman"/>
          <w:sz w:val="20"/>
        </w:rPr>
      </w:pPr>
    </w:p>
    <w:p w:rsidR="0082473D" w:rsidRDefault="0082473D" w14:paraId="16534642" w14:textId="77777777">
      <w:pPr>
        <w:pStyle w:val="BodyText"/>
        <w:jc w:val="left"/>
        <w:rPr>
          <w:rFonts w:ascii="Times New Roman"/>
          <w:sz w:val="20"/>
        </w:rPr>
      </w:pPr>
    </w:p>
    <w:p w:rsidR="0082473D" w:rsidRDefault="0082473D" w14:paraId="13BB1AA9" w14:textId="77777777">
      <w:pPr>
        <w:pStyle w:val="BodyText"/>
        <w:spacing w:before="6"/>
        <w:jc w:val="left"/>
        <w:rPr>
          <w:rFonts w:ascii="Times New Roman"/>
          <w:sz w:val="22"/>
        </w:rPr>
      </w:pPr>
    </w:p>
    <w:p w:rsidR="0082473D" w:rsidRDefault="00DF2D33" w14:paraId="0BFA8037" w14:textId="77777777">
      <w:pPr>
        <w:pStyle w:val="Heading2"/>
        <w:tabs>
          <w:tab w:val="left" w:pos="7396"/>
        </w:tabs>
        <w:spacing w:before="0"/>
      </w:pPr>
      <w:r>
        <w:t>Federal Energy</w:t>
      </w:r>
      <w:r>
        <w:rPr>
          <w:spacing w:val="16"/>
        </w:rPr>
        <w:t xml:space="preserve"> </w:t>
      </w:r>
      <w:r>
        <w:t>Regulatory</w:t>
      </w:r>
      <w:r>
        <w:rPr>
          <w:spacing w:val="8"/>
        </w:rPr>
        <w:t xml:space="preserve"> </w:t>
      </w:r>
      <w:r>
        <w:t>Commission</w:t>
      </w:r>
      <w:r>
        <w:tab/>
        <w:t>§</w:t>
      </w:r>
      <w:r>
        <w:rPr>
          <w:spacing w:val="-21"/>
        </w:rPr>
        <w:t xml:space="preserve"> </w:t>
      </w:r>
      <w:r>
        <w:t>42.1</w:t>
      </w:r>
    </w:p>
    <w:p w:rsidR="0082473D" w:rsidRDefault="0082473D" w14:paraId="24158803" w14:textId="77777777">
      <w:pPr>
        <w:sectPr w:rsidR="0082473D">
          <w:footerReference w:type="default" r:id="rId7"/>
          <w:pgSz w:w="12240" w:h="15840"/>
          <w:pgMar w:top="1500" w:right="1720" w:bottom="1500" w:left="1720" w:header="0" w:footer="1304" w:gutter="0"/>
          <w:pgNumType w:start="375"/>
          <w:cols w:space="720"/>
        </w:sectPr>
      </w:pPr>
    </w:p>
    <w:p w:rsidR="0082473D" w:rsidRDefault="0082473D" w14:paraId="690FA03F" w14:textId="77777777">
      <w:pPr>
        <w:pStyle w:val="BodyText"/>
        <w:jc w:val="left"/>
        <w:rPr>
          <w:rFonts w:ascii="Century Gothic"/>
          <w:b/>
          <w:sz w:val="14"/>
        </w:rPr>
      </w:pPr>
    </w:p>
    <w:p w:rsidR="0082473D" w:rsidRDefault="00DF2D33" w14:paraId="178383D4" w14:textId="77777777">
      <w:pPr>
        <w:pStyle w:val="BodyText"/>
        <w:spacing w:line="225" w:lineRule="auto"/>
        <w:ind w:left="920"/>
      </w:pPr>
      <w:r>
        <w:rPr>
          <w:w w:val="115"/>
        </w:rPr>
        <w:t>file with the Commission a letter or re- port of the independent accountant certifying approval, together with or within 30 days after the filing of the Annual Report, Form No. 1, covering the subjects and in the form prescribed in the General Instructions of the An- nual Report. For such utility or li- censee operating on a non-calendar fis- cal year, the letter or report of the independent accountant certifying ap- proval must be filed within 150 days of the close of the company’s fiscal year; the letter or report must also identify which, if any, of the examined sched- ules do not conform to the Commis- sion’s requirements and shall describe the discrepancies that exist. The Com- mission will not be bound by a certifi- cation of compliance made by an inde- pendent accountant pursuant to this paragraph.</w:t>
      </w:r>
    </w:p>
    <w:p w:rsidR="0082473D" w:rsidRDefault="00DF2D33" w14:paraId="2B6527EB" w14:textId="77777777">
      <w:pPr>
        <w:spacing w:before="73"/>
        <w:ind w:left="920"/>
        <w:rPr>
          <w:sz w:val="14"/>
        </w:rPr>
      </w:pPr>
      <w:r>
        <w:rPr>
          <w:sz w:val="14"/>
        </w:rPr>
        <w:t>[73 FR 58736, Oct. 7, 2008]</w:t>
      </w:r>
    </w:p>
    <w:p w:rsidR="0082473D" w:rsidRDefault="00DF2D33" w14:paraId="62B93C49" w14:textId="77777777">
      <w:pPr>
        <w:pStyle w:val="Heading3"/>
        <w:spacing w:before="132"/>
        <w:ind w:left="920" w:firstLine="0"/>
      </w:pPr>
      <w:r>
        <w:t>§ 41.12 Qualifications of accountants.</w:t>
      </w:r>
    </w:p>
    <w:p w:rsidR="0082473D" w:rsidRDefault="00DF2D33" w14:paraId="774A9528" w14:textId="77777777">
      <w:pPr>
        <w:pStyle w:val="BodyText"/>
        <w:spacing w:before="57" w:line="225" w:lineRule="auto"/>
        <w:ind w:left="920" w:firstLine="160"/>
      </w:pPr>
      <w:r>
        <w:rPr>
          <w:w w:val="115"/>
        </w:rPr>
        <w:t xml:space="preserve">The Commission will not recognize any certified public accountant or </w:t>
      </w:r>
      <w:r>
        <w:rPr>
          <w:spacing w:val="-5"/>
          <w:w w:val="115"/>
        </w:rPr>
        <w:t xml:space="preserve">pub- </w:t>
      </w:r>
      <w:r>
        <w:rPr>
          <w:w w:val="115"/>
        </w:rPr>
        <w:t xml:space="preserve">lic accountant through December </w:t>
      </w:r>
      <w:r>
        <w:rPr>
          <w:spacing w:val="-6"/>
          <w:w w:val="115"/>
        </w:rPr>
        <w:t xml:space="preserve">31, </w:t>
      </w:r>
      <w:r>
        <w:rPr>
          <w:w w:val="115"/>
        </w:rPr>
        <w:t xml:space="preserve">1975, who is not in fact </w:t>
      </w:r>
      <w:r>
        <w:rPr>
          <w:spacing w:val="-2"/>
          <w:w w:val="115"/>
        </w:rPr>
        <w:t xml:space="preserve">independent. </w:t>
      </w:r>
      <w:r>
        <w:rPr>
          <w:w w:val="115"/>
        </w:rPr>
        <w:t xml:space="preserve">Beginning January 1, 1976, and </w:t>
      </w:r>
      <w:r>
        <w:rPr>
          <w:spacing w:val="-5"/>
          <w:w w:val="115"/>
        </w:rPr>
        <w:t xml:space="preserve">each </w:t>
      </w:r>
      <w:r>
        <w:rPr>
          <w:w w:val="115"/>
        </w:rPr>
        <w:t xml:space="preserve">year thereafter, the Commission </w:t>
      </w:r>
      <w:r>
        <w:rPr>
          <w:spacing w:val="-4"/>
          <w:w w:val="115"/>
        </w:rPr>
        <w:t xml:space="preserve">will </w:t>
      </w:r>
      <w:r>
        <w:rPr>
          <w:w w:val="115"/>
        </w:rPr>
        <w:t xml:space="preserve">recognize only independent certified public accountants, or independent </w:t>
      </w:r>
      <w:r>
        <w:rPr>
          <w:spacing w:val="-6"/>
          <w:w w:val="115"/>
        </w:rPr>
        <w:t xml:space="preserve">li- </w:t>
      </w:r>
      <w:r>
        <w:rPr>
          <w:w w:val="115"/>
        </w:rPr>
        <w:t xml:space="preserve">censed public accountants who were </w:t>
      </w:r>
      <w:r>
        <w:rPr>
          <w:spacing w:val="-6"/>
          <w:w w:val="115"/>
        </w:rPr>
        <w:t xml:space="preserve">li- </w:t>
      </w:r>
      <w:r>
        <w:rPr>
          <w:w w:val="115"/>
        </w:rPr>
        <w:t xml:space="preserve">censed on or before December 31, </w:t>
      </w:r>
      <w:r>
        <w:rPr>
          <w:spacing w:val="-4"/>
          <w:w w:val="115"/>
        </w:rPr>
        <w:t xml:space="preserve">1970, </w:t>
      </w:r>
      <w:r>
        <w:rPr>
          <w:w w:val="115"/>
        </w:rPr>
        <w:t xml:space="preserve">who are in fact independent. For </w:t>
      </w:r>
      <w:r>
        <w:rPr>
          <w:spacing w:val="-3"/>
          <w:w w:val="115"/>
        </w:rPr>
        <w:t xml:space="preserve">exam- </w:t>
      </w:r>
      <w:r>
        <w:rPr>
          <w:w w:val="115"/>
        </w:rPr>
        <w:t xml:space="preserve">ple, an accountant will not be consid- ered independent with respect to </w:t>
      </w:r>
      <w:r>
        <w:rPr>
          <w:spacing w:val="-6"/>
          <w:w w:val="115"/>
        </w:rPr>
        <w:t xml:space="preserve">any </w:t>
      </w:r>
      <w:r>
        <w:rPr>
          <w:w w:val="115"/>
        </w:rPr>
        <w:t xml:space="preserve">person or any of its parents or </w:t>
      </w:r>
      <w:r>
        <w:rPr>
          <w:spacing w:val="-3"/>
          <w:w w:val="115"/>
        </w:rPr>
        <w:t xml:space="preserve">subsidi- </w:t>
      </w:r>
      <w:r>
        <w:rPr>
          <w:w w:val="115"/>
        </w:rPr>
        <w:t>aries</w:t>
      </w:r>
      <w:r>
        <w:rPr>
          <w:spacing w:val="-6"/>
          <w:w w:val="115"/>
        </w:rPr>
        <w:t xml:space="preserve"> </w:t>
      </w:r>
      <w:r>
        <w:rPr>
          <w:w w:val="115"/>
        </w:rPr>
        <w:t>in</w:t>
      </w:r>
      <w:r>
        <w:rPr>
          <w:spacing w:val="-5"/>
          <w:w w:val="115"/>
        </w:rPr>
        <w:t xml:space="preserve"> </w:t>
      </w:r>
      <w:r>
        <w:rPr>
          <w:w w:val="115"/>
        </w:rPr>
        <w:t>whom</w:t>
      </w:r>
      <w:r>
        <w:rPr>
          <w:spacing w:val="-6"/>
          <w:w w:val="115"/>
        </w:rPr>
        <w:t xml:space="preserve"> </w:t>
      </w:r>
      <w:r>
        <w:rPr>
          <w:w w:val="115"/>
        </w:rPr>
        <w:t>he</w:t>
      </w:r>
      <w:r>
        <w:rPr>
          <w:spacing w:val="-5"/>
          <w:w w:val="115"/>
        </w:rPr>
        <w:t xml:space="preserve"> </w:t>
      </w:r>
      <w:r>
        <w:rPr>
          <w:w w:val="115"/>
        </w:rPr>
        <w:t>has,</w:t>
      </w:r>
      <w:r>
        <w:rPr>
          <w:spacing w:val="-6"/>
          <w:w w:val="115"/>
        </w:rPr>
        <w:t xml:space="preserve"> </w:t>
      </w:r>
      <w:r>
        <w:rPr>
          <w:w w:val="115"/>
        </w:rPr>
        <w:t>or</w:t>
      </w:r>
      <w:r>
        <w:rPr>
          <w:spacing w:val="-5"/>
          <w:w w:val="115"/>
        </w:rPr>
        <w:t xml:space="preserve"> </w:t>
      </w:r>
      <w:r>
        <w:rPr>
          <w:w w:val="115"/>
        </w:rPr>
        <w:t>had</w:t>
      </w:r>
      <w:r>
        <w:rPr>
          <w:spacing w:val="-5"/>
          <w:w w:val="115"/>
        </w:rPr>
        <w:t xml:space="preserve"> </w:t>
      </w:r>
      <w:r>
        <w:rPr>
          <w:w w:val="115"/>
        </w:rPr>
        <w:t>during</w:t>
      </w:r>
      <w:r>
        <w:rPr>
          <w:spacing w:val="-6"/>
          <w:w w:val="115"/>
        </w:rPr>
        <w:t xml:space="preserve"> </w:t>
      </w:r>
      <w:r>
        <w:rPr>
          <w:spacing w:val="-5"/>
          <w:w w:val="115"/>
        </w:rPr>
        <w:t xml:space="preserve">the </w:t>
      </w:r>
      <w:r>
        <w:rPr>
          <w:w w:val="115"/>
        </w:rPr>
        <w:t xml:space="preserve">period of report, any direct financial interest. The Commission will </w:t>
      </w:r>
      <w:r>
        <w:rPr>
          <w:spacing w:val="-3"/>
          <w:w w:val="115"/>
        </w:rPr>
        <w:t xml:space="preserve">deter- </w:t>
      </w:r>
      <w:r>
        <w:rPr>
          <w:w w:val="115"/>
        </w:rPr>
        <w:t xml:space="preserve">mine the fact of independence by </w:t>
      </w:r>
      <w:r>
        <w:rPr>
          <w:spacing w:val="-4"/>
          <w:w w:val="115"/>
        </w:rPr>
        <w:t xml:space="preserve">con- </w:t>
      </w:r>
      <w:r>
        <w:rPr>
          <w:w w:val="115"/>
        </w:rPr>
        <w:t xml:space="preserve">sidering all the relevant </w:t>
      </w:r>
      <w:r>
        <w:rPr>
          <w:spacing w:val="-2"/>
          <w:w w:val="115"/>
        </w:rPr>
        <w:t xml:space="preserve">circumstances </w:t>
      </w:r>
      <w:r>
        <w:rPr>
          <w:w w:val="115"/>
        </w:rPr>
        <w:t xml:space="preserve">including evidence bearing on the </w:t>
      </w:r>
      <w:r>
        <w:rPr>
          <w:spacing w:val="-4"/>
          <w:w w:val="115"/>
        </w:rPr>
        <w:t xml:space="preserve">rela- </w:t>
      </w:r>
      <w:r>
        <w:rPr>
          <w:w w:val="115"/>
        </w:rPr>
        <w:t xml:space="preserve">tionships between the accountant </w:t>
      </w:r>
      <w:r>
        <w:rPr>
          <w:spacing w:val="-5"/>
          <w:w w:val="115"/>
        </w:rPr>
        <w:t xml:space="preserve">and </w:t>
      </w:r>
      <w:r>
        <w:rPr>
          <w:w w:val="115"/>
        </w:rPr>
        <w:t>that person or any affiliate</w:t>
      </w:r>
      <w:r>
        <w:rPr>
          <w:spacing w:val="16"/>
          <w:w w:val="115"/>
        </w:rPr>
        <w:t xml:space="preserve"> </w:t>
      </w:r>
      <w:r>
        <w:rPr>
          <w:w w:val="115"/>
        </w:rPr>
        <w:t>thereof.</w:t>
      </w:r>
    </w:p>
    <w:p w:rsidR="0082473D" w:rsidRDefault="00DF2D33" w14:paraId="03491B2B" w14:textId="77777777">
      <w:pPr>
        <w:spacing w:before="72"/>
        <w:ind w:left="920"/>
        <w:rPr>
          <w:sz w:val="14"/>
        </w:rPr>
      </w:pPr>
      <w:r>
        <w:rPr>
          <w:sz w:val="14"/>
        </w:rPr>
        <w:t>[Order 462, 37 FR 26006, Dec. 7, 1972]</w:t>
      </w:r>
    </w:p>
    <w:p w:rsidR="0082473D" w:rsidRDefault="0082473D" w14:paraId="26A3E902" w14:textId="77777777">
      <w:pPr>
        <w:pStyle w:val="BodyText"/>
        <w:spacing w:before="1"/>
        <w:jc w:val="left"/>
        <w:rPr>
          <w:sz w:val="17"/>
        </w:rPr>
      </w:pPr>
    </w:p>
    <w:p w:rsidR="0082473D" w:rsidRDefault="00DF2D33" w14:paraId="792EC7E5" w14:textId="77777777">
      <w:pPr>
        <w:pStyle w:val="Heading1"/>
        <w:spacing w:line="196" w:lineRule="auto"/>
        <w:ind w:left="1120"/>
      </w:pPr>
      <w:r>
        <w:t>PART 42—LONG-TERM FIRM TRANS- MISSION RIGHTS IN ORGANIZED ELECTRICITY MARKETS</w:t>
      </w:r>
    </w:p>
    <w:p w:rsidR="0082473D" w:rsidRDefault="0082473D" w14:paraId="12B788B1" w14:textId="77777777">
      <w:pPr>
        <w:pStyle w:val="BodyText"/>
        <w:spacing w:before="1"/>
        <w:jc w:val="left"/>
        <w:rPr>
          <w:rFonts w:ascii="Century Gothic"/>
          <w:b/>
          <w:sz w:val="22"/>
        </w:rPr>
      </w:pPr>
    </w:p>
    <w:p w:rsidR="0082473D" w:rsidRDefault="00DF2D33" w14:paraId="2603A261" w14:textId="77777777">
      <w:pPr>
        <w:spacing w:line="228" w:lineRule="auto"/>
        <w:ind w:left="919" w:firstLine="140"/>
        <w:jc w:val="both"/>
        <w:rPr>
          <w:sz w:val="14"/>
        </w:rPr>
      </w:pPr>
      <w:r>
        <w:rPr>
          <w:w w:val="110"/>
          <w:sz w:val="14"/>
        </w:rPr>
        <w:t>A</w:t>
      </w:r>
      <w:r>
        <w:rPr>
          <w:w w:val="110"/>
          <w:sz w:val="11"/>
        </w:rPr>
        <w:t>UTHORITY</w:t>
      </w:r>
      <w:r>
        <w:rPr>
          <w:w w:val="110"/>
          <w:sz w:val="14"/>
        </w:rPr>
        <w:t>: 16 U.S.C. 791a–825r and section 217</w:t>
      </w:r>
      <w:r>
        <w:rPr>
          <w:spacing w:val="13"/>
          <w:w w:val="110"/>
          <w:sz w:val="14"/>
        </w:rPr>
        <w:t xml:space="preserve"> </w:t>
      </w:r>
      <w:r>
        <w:rPr>
          <w:w w:val="110"/>
          <w:sz w:val="14"/>
        </w:rPr>
        <w:t>of</w:t>
      </w:r>
      <w:r>
        <w:rPr>
          <w:spacing w:val="14"/>
          <w:w w:val="110"/>
          <w:sz w:val="14"/>
        </w:rPr>
        <w:t xml:space="preserve"> </w:t>
      </w:r>
      <w:r>
        <w:rPr>
          <w:w w:val="110"/>
          <w:sz w:val="14"/>
        </w:rPr>
        <w:t>the</w:t>
      </w:r>
      <w:r>
        <w:rPr>
          <w:spacing w:val="14"/>
          <w:w w:val="110"/>
          <w:sz w:val="14"/>
        </w:rPr>
        <w:t xml:space="preserve"> </w:t>
      </w:r>
      <w:r>
        <w:rPr>
          <w:w w:val="110"/>
          <w:sz w:val="14"/>
        </w:rPr>
        <w:t>Federal</w:t>
      </w:r>
      <w:r>
        <w:rPr>
          <w:spacing w:val="14"/>
          <w:w w:val="110"/>
          <w:sz w:val="14"/>
        </w:rPr>
        <w:t xml:space="preserve"> </w:t>
      </w:r>
      <w:r>
        <w:rPr>
          <w:w w:val="110"/>
          <w:sz w:val="14"/>
        </w:rPr>
        <w:t>Power</w:t>
      </w:r>
      <w:r>
        <w:rPr>
          <w:spacing w:val="14"/>
          <w:w w:val="110"/>
          <w:sz w:val="14"/>
        </w:rPr>
        <w:t xml:space="preserve"> </w:t>
      </w:r>
      <w:r>
        <w:rPr>
          <w:w w:val="110"/>
          <w:sz w:val="14"/>
        </w:rPr>
        <w:t>Act,</w:t>
      </w:r>
      <w:r>
        <w:rPr>
          <w:spacing w:val="14"/>
          <w:w w:val="110"/>
          <w:sz w:val="14"/>
        </w:rPr>
        <w:t xml:space="preserve"> </w:t>
      </w:r>
      <w:r>
        <w:rPr>
          <w:w w:val="110"/>
          <w:sz w:val="14"/>
        </w:rPr>
        <w:t>16</w:t>
      </w:r>
      <w:r>
        <w:rPr>
          <w:spacing w:val="14"/>
          <w:w w:val="110"/>
          <w:sz w:val="14"/>
        </w:rPr>
        <w:t xml:space="preserve"> </w:t>
      </w:r>
      <w:r>
        <w:rPr>
          <w:w w:val="110"/>
          <w:sz w:val="14"/>
        </w:rPr>
        <w:t>U.S.C.</w:t>
      </w:r>
      <w:r>
        <w:rPr>
          <w:spacing w:val="14"/>
          <w:w w:val="110"/>
          <w:sz w:val="14"/>
        </w:rPr>
        <w:t xml:space="preserve"> </w:t>
      </w:r>
      <w:r>
        <w:rPr>
          <w:spacing w:val="-4"/>
          <w:w w:val="110"/>
          <w:sz w:val="14"/>
        </w:rPr>
        <w:t>824q.</w:t>
      </w:r>
    </w:p>
    <w:p w:rsidR="0082473D" w:rsidRDefault="00DF2D33" w14:paraId="74791FED" w14:textId="77777777">
      <w:pPr>
        <w:spacing w:before="73" w:line="164" w:lineRule="exact"/>
        <w:ind w:left="1059"/>
        <w:rPr>
          <w:sz w:val="14"/>
        </w:rPr>
      </w:pPr>
      <w:r>
        <w:rPr>
          <w:sz w:val="14"/>
        </w:rPr>
        <w:t>S</w:t>
      </w:r>
      <w:r>
        <w:rPr>
          <w:sz w:val="11"/>
        </w:rPr>
        <w:t>OURCE</w:t>
      </w:r>
      <w:r>
        <w:rPr>
          <w:sz w:val="14"/>
        </w:rPr>
        <w:t>:</w:t>
      </w:r>
      <w:r>
        <w:rPr>
          <w:spacing w:val="20"/>
          <w:sz w:val="14"/>
        </w:rPr>
        <w:t xml:space="preserve"> </w:t>
      </w:r>
      <w:r>
        <w:rPr>
          <w:sz w:val="14"/>
        </w:rPr>
        <w:t>Order</w:t>
      </w:r>
      <w:r>
        <w:rPr>
          <w:spacing w:val="21"/>
          <w:sz w:val="14"/>
        </w:rPr>
        <w:t xml:space="preserve"> </w:t>
      </w:r>
      <w:r>
        <w:rPr>
          <w:sz w:val="14"/>
        </w:rPr>
        <w:t>681,</w:t>
      </w:r>
      <w:r>
        <w:rPr>
          <w:spacing w:val="20"/>
          <w:sz w:val="14"/>
        </w:rPr>
        <w:t xml:space="preserve"> </w:t>
      </w:r>
      <w:r>
        <w:rPr>
          <w:sz w:val="14"/>
        </w:rPr>
        <w:t>71</w:t>
      </w:r>
      <w:r>
        <w:rPr>
          <w:spacing w:val="21"/>
          <w:sz w:val="14"/>
        </w:rPr>
        <w:t xml:space="preserve"> </w:t>
      </w:r>
      <w:r>
        <w:rPr>
          <w:sz w:val="14"/>
        </w:rPr>
        <w:t>FR</w:t>
      </w:r>
      <w:r>
        <w:rPr>
          <w:spacing w:val="20"/>
          <w:sz w:val="14"/>
        </w:rPr>
        <w:t xml:space="preserve"> </w:t>
      </w:r>
      <w:r>
        <w:rPr>
          <w:sz w:val="14"/>
        </w:rPr>
        <w:t>43619,</w:t>
      </w:r>
      <w:r>
        <w:rPr>
          <w:spacing w:val="21"/>
          <w:sz w:val="14"/>
        </w:rPr>
        <w:t xml:space="preserve"> </w:t>
      </w:r>
      <w:r>
        <w:rPr>
          <w:sz w:val="14"/>
        </w:rPr>
        <w:t>Aug.</w:t>
      </w:r>
      <w:r>
        <w:rPr>
          <w:spacing w:val="20"/>
          <w:sz w:val="14"/>
        </w:rPr>
        <w:t xml:space="preserve"> </w:t>
      </w:r>
      <w:r>
        <w:rPr>
          <w:sz w:val="14"/>
        </w:rPr>
        <w:t>1,</w:t>
      </w:r>
      <w:r>
        <w:rPr>
          <w:spacing w:val="21"/>
          <w:sz w:val="14"/>
        </w:rPr>
        <w:t xml:space="preserve"> </w:t>
      </w:r>
      <w:r>
        <w:rPr>
          <w:spacing w:val="-3"/>
          <w:sz w:val="14"/>
        </w:rPr>
        <w:t>2006,</w:t>
      </w:r>
    </w:p>
    <w:p w:rsidR="0082473D" w:rsidRDefault="00DF2D33" w14:paraId="65CACC3E" w14:textId="77777777">
      <w:pPr>
        <w:spacing w:line="164" w:lineRule="exact"/>
        <w:ind w:left="920"/>
        <w:rPr>
          <w:sz w:val="14"/>
        </w:rPr>
      </w:pPr>
      <w:r>
        <w:rPr>
          <w:w w:val="115"/>
          <w:sz w:val="14"/>
        </w:rPr>
        <w:t>unless otherwise noted.</w:t>
      </w:r>
    </w:p>
    <w:p w:rsidR="0082473D" w:rsidRDefault="00DF2D33" w14:paraId="300A5E2F" w14:textId="77777777">
      <w:pPr>
        <w:pStyle w:val="BodyText"/>
        <w:spacing w:before="3"/>
        <w:jc w:val="left"/>
        <w:rPr>
          <w:sz w:val="17"/>
        </w:rPr>
      </w:pPr>
      <w:r>
        <w:br w:type="column"/>
      </w:r>
    </w:p>
    <w:p w:rsidR="0082473D" w:rsidRDefault="00DF2D33" w14:paraId="18CC0DFD" w14:textId="77777777">
      <w:pPr>
        <w:pStyle w:val="Heading3"/>
        <w:spacing w:line="201" w:lineRule="auto"/>
        <w:ind w:right="916"/>
        <w:jc w:val="both"/>
      </w:pPr>
      <w:r>
        <w:t>§ 42.1 Requirement that Transmission Organizations with Organized Elec- tricity Markets Offer Long-Term Firm Transmission Rights.</w:t>
      </w:r>
    </w:p>
    <w:p w:rsidR="0082473D" w:rsidRDefault="00DF2D33" w14:paraId="67415F60" w14:textId="77777777">
      <w:pPr>
        <w:pStyle w:val="ListParagraph"/>
        <w:numPr>
          <w:ilvl w:val="0"/>
          <w:numId w:val="5"/>
        </w:numPr>
        <w:tabs>
          <w:tab w:val="left" w:pos="686"/>
        </w:tabs>
        <w:spacing w:before="79" w:line="228" w:lineRule="auto"/>
        <w:ind w:right="916" w:firstLine="160"/>
        <w:jc w:val="both"/>
        <w:rPr>
          <w:sz w:val="16"/>
        </w:rPr>
      </w:pPr>
      <w:r>
        <w:rPr>
          <w:rFonts w:ascii="Georgia"/>
          <w:i/>
          <w:w w:val="115"/>
          <w:sz w:val="16"/>
        </w:rPr>
        <w:t xml:space="preserve">Purpose. </w:t>
      </w:r>
      <w:r>
        <w:rPr>
          <w:w w:val="115"/>
          <w:sz w:val="16"/>
        </w:rPr>
        <w:t xml:space="preserve">This section requires </w:t>
      </w:r>
      <w:r>
        <w:rPr>
          <w:spacing w:val="-15"/>
          <w:w w:val="115"/>
          <w:sz w:val="16"/>
        </w:rPr>
        <w:t xml:space="preserve">a </w:t>
      </w:r>
      <w:r>
        <w:rPr>
          <w:w w:val="115"/>
          <w:sz w:val="16"/>
        </w:rPr>
        <w:t xml:space="preserve">transmission organization with one </w:t>
      </w:r>
      <w:r>
        <w:rPr>
          <w:spacing w:val="-8"/>
          <w:w w:val="115"/>
          <w:sz w:val="16"/>
        </w:rPr>
        <w:t xml:space="preserve">or </w:t>
      </w:r>
      <w:r>
        <w:rPr>
          <w:w w:val="115"/>
          <w:sz w:val="16"/>
        </w:rPr>
        <w:t xml:space="preserve">more organized electricity </w:t>
      </w:r>
      <w:r>
        <w:rPr>
          <w:spacing w:val="-3"/>
          <w:w w:val="115"/>
          <w:sz w:val="16"/>
        </w:rPr>
        <w:t xml:space="preserve">markets </w:t>
      </w:r>
      <w:r>
        <w:rPr>
          <w:w w:val="115"/>
          <w:sz w:val="16"/>
        </w:rPr>
        <w:t xml:space="preserve">(administered either by it or by </w:t>
      </w:r>
      <w:r>
        <w:rPr>
          <w:spacing w:val="-5"/>
          <w:w w:val="115"/>
          <w:sz w:val="16"/>
        </w:rPr>
        <w:t xml:space="preserve">an- </w:t>
      </w:r>
      <w:r>
        <w:rPr>
          <w:w w:val="115"/>
          <w:sz w:val="16"/>
        </w:rPr>
        <w:t xml:space="preserve">other entity) to make available </w:t>
      </w:r>
      <w:r>
        <w:rPr>
          <w:spacing w:val="-3"/>
          <w:w w:val="115"/>
          <w:sz w:val="16"/>
        </w:rPr>
        <w:t xml:space="preserve">long- </w:t>
      </w:r>
      <w:r>
        <w:rPr>
          <w:w w:val="115"/>
          <w:sz w:val="16"/>
        </w:rPr>
        <w:t xml:space="preserve">term firm transmission rights, </w:t>
      </w:r>
      <w:r>
        <w:rPr>
          <w:spacing w:val="-3"/>
          <w:w w:val="115"/>
          <w:sz w:val="16"/>
        </w:rPr>
        <w:t xml:space="preserve">pursu- </w:t>
      </w:r>
      <w:r>
        <w:rPr>
          <w:w w:val="115"/>
          <w:sz w:val="16"/>
        </w:rPr>
        <w:t xml:space="preserve">ant to section 217(b)(4) of the Federal Power Act, that satisfy each of the guidelines set forth in paragraph (d) </w:t>
      </w:r>
      <w:r>
        <w:rPr>
          <w:spacing w:val="-9"/>
          <w:w w:val="115"/>
          <w:sz w:val="16"/>
        </w:rPr>
        <w:t xml:space="preserve">of </w:t>
      </w:r>
      <w:r>
        <w:rPr>
          <w:w w:val="115"/>
          <w:sz w:val="16"/>
        </w:rPr>
        <w:t xml:space="preserve">this section. This section does not </w:t>
      </w:r>
      <w:r>
        <w:rPr>
          <w:spacing w:val="-5"/>
          <w:w w:val="115"/>
          <w:sz w:val="16"/>
        </w:rPr>
        <w:t xml:space="preserve">re- </w:t>
      </w:r>
      <w:r>
        <w:rPr>
          <w:w w:val="115"/>
          <w:sz w:val="16"/>
        </w:rPr>
        <w:t xml:space="preserve">quire that a specific type of long-term firm transmission right be made </w:t>
      </w:r>
      <w:r>
        <w:rPr>
          <w:spacing w:val="-3"/>
          <w:w w:val="115"/>
          <w:sz w:val="16"/>
        </w:rPr>
        <w:t xml:space="preserve">avail- </w:t>
      </w:r>
      <w:r>
        <w:rPr>
          <w:w w:val="115"/>
          <w:sz w:val="16"/>
        </w:rPr>
        <w:t xml:space="preserve">able, and is intended to permit </w:t>
      </w:r>
      <w:r>
        <w:rPr>
          <w:spacing w:val="-3"/>
          <w:w w:val="115"/>
          <w:sz w:val="16"/>
        </w:rPr>
        <w:t xml:space="preserve">trans- </w:t>
      </w:r>
      <w:r>
        <w:rPr>
          <w:w w:val="115"/>
          <w:sz w:val="16"/>
        </w:rPr>
        <w:t xml:space="preserve">mission organizations flexibility </w:t>
      </w:r>
      <w:r>
        <w:rPr>
          <w:spacing w:val="-8"/>
          <w:w w:val="115"/>
          <w:sz w:val="16"/>
        </w:rPr>
        <w:t xml:space="preserve">in </w:t>
      </w:r>
      <w:r>
        <w:rPr>
          <w:w w:val="115"/>
          <w:sz w:val="16"/>
        </w:rPr>
        <w:t xml:space="preserve">satisfying the guidelines set forth </w:t>
      </w:r>
      <w:r>
        <w:rPr>
          <w:spacing w:val="-6"/>
          <w:w w:val="115"/>
          <w:sz w:val="16"/>
        </w:rPr>
        <w:t xml:space="preserve">in </w:t>
      </w:r>
      <w:r>
        <w:rPr>
          <w:w w:val="115"/>
          <w:sz w:val="16"/>
        </w:rPr>
        <w:t>paragraph (d) of this</w:t>
      </w:r>
      <w:r>
        <w:rPr>
          <w:spacing w:val="3"/>
          <w:w w:val="115"/>
          <w:sz w:val="16"/>
        </w:rPr>
        <w:t xml:space="preserve"> </w:t>
      </w:r>
      <w:r>
        <w:rPr>
          <w:w w:val="115"/>
          <w:sz w:val="16"/>
        </w:rPr>
        <w:t>section.</w:t>
      </w:r>
    </w:p>
    <w:p w:rsidR="0082473D" w:rsidRDefault="00DF2D33" w14:paraId="51F4D61E" w14:textId="77777777">
      <w:pPr>
        <w:pStyle w:val="ListParagraph"/>
        <w:numPr>
          <w:ilvl w:val="0"/>
          <w:numId w:val="5"/>
        </w:numPr>
        <w:tabs>
          <w:tab w:val="left" w:pos="689"/>
        </w:tabs>
        <w:spacing w:before="3" w:line="225" w:lineRule="auto"/>
        <w:ind w:right="918" w:firstLine="160"/>
        <w:jc w:val="both"/>
        <w:rPr>
          <w:sz w:val="16"/>
        </w:rPr>
      </w:pPr>
      <w:r>
        <w:rPr>
          <w:rFonts w:ascii="Georgia"/>
          <w:i/>
          <w:w w:val="115"/>
          <w:sz w:val="16"/>
        </w:rPr>
        <w:t xml:space="preserve">Definitions. </w:t>
      </w:r>
      <w:r>
        <w:rPr>
          <w:w w:val="115"/>
          <w:sz w:val="16"/>
        </w:rPr>
        <w:t xml:space="preserve">As used in this </w:t>
      </w:r>
      <w:r>
        <w:rPr>
          <w:spacing w:val="-4"/>
          <w:w w:val="115"/>
          <w:sz w:val="16"/>
        </w:rPr>
        <w:t xml:space="preserve">sec- </w:t>
      </w:r>
      <w:r>
        <w:rPr>
          <w:w w:val="115"/>
          <w:sz w:val="16"/>
        </w:rPr>
        <w:t>tion:</w:t>
      </w:r>
    </w:p>
    <w:p w:rsidR="0082473D" w:rsidRDefault="00DF2D33" w14:paraId="38C71A7C" w14:textId="77777777">
      <w:pPr>
        <w:pStyle w:val="ListParagraph"/>
        <w:numPr>
          <w:ilvl w:val="1"/>
          <w:numId w:val="5"/>
        </w:numPr>
        <w:tabs>
          <w:tab w:val="left" w:pos="632"/>
        </w:tabs>
        <w:spacing w:before="16" w:line="225" w:lineRule="auto"/>
        <w:ind w:right="916" w:firstLine="160"/>
        <w:jc w:val="both"/>
        <w:rPr>
          <w:sz w:val="16"/>
        </w:rPr>
      </w:pPr>
      <w:r>
        <w:rPr>
          <w:rFonts w:ascii="Georgia"/>
          <w:i/>
          <w:w w:val="110"/>
          <w:sz w:val="16"/>
        </w:rPr>
        <w:t xml:space="preserve">Transmission Organization </w:t>
      </w:r>
      <w:r>
        <w:rPr>
          <w:w w:val="110"/>
          <w:sz w:val="16"/>
        </w:rPr>
        <w:t xml:space="preserve">means </w:t>
      </w:r>
      <w:r>
        <w:rPr>
          <w:spacing w:val="-13"/>
          <w:w w:val="110"/>
          <w:sz w:val="16"/>
        </w:rPr>
        <w:t xml:space="preserve">a </w:t>
      </w:r>
      <w:r>
        <w:rPr>
          <w:w w:val="115"/>
          <w:sz w:val="16"/>
        </w:rPr>
        <w:t xml:space="preserve">Regional Transmission </w:t>
      </w:r>
      <w:r>
        <w:rPr>
          <w:spacing w:val="-2"/>
          <w:w w:val="115"/>
          <w:sz w:val="16"/>
        </w:rPr>
        <w:t xml:space="preserve">Organization, </w:t>
      </w:r>
      <w:r>
        <w:rPr>
          <w:w w:val="115"/>
          <w:sz w:val="16"/>
        </w:rPr>
        <w:t xml:space="preserve">Independent System Operator, </w:t>
      </w:r>
      <w:r>
        <w:rPr>
          <w:spacing w:val="-4"/>
          <w:w w:val="115"/>
          <w:sz w:val="16"/>
        </w:rPr>
        <w:t xml:space="preserve">inde- </w:t>
      </w:r>
      <w:r>
        <w:rPr>
          <w:w w:val="115"/>
          <w:sz w:val="16"/>
        </w:rPr>
        <w:t xml:space="preserve">pendent transmission provider, </w:t>
      </w:r>
      <w:r>
        <w:rPr>
          <w:spacing w:val="-8"/>
          <w:w w:val="115"/>
          <w:sz w:val="16"/>
        </w:rPr>
        <w:t xml:space="preserve">or </w:t>
      </w:r>
      <w:r>
        <w:rPr>
          <w:w w:val="115"/>
          <w:sz w:val="16"/>
        </w:rPr>
        <w:t xml:space="preserve">other independent transmission </w:t>
      </w:r>
      <w:r>
        <w:rPr>
          <w:spacing w:val="-3"/>
          <w:w w:val="115"/>
          <w:sz w:val="16"/>
        </w:rPr>
        <w:t xml:space="preserve">organi- </w:t>
      </w:r>
      <w:r>
        <w:rPr>
          <w:w w:val="115"/>
          <w:sz w:val="16"/>
        </w:rPr>
        <w:t>zation finally approved by the Commis- sion for the operation of transmission facilities.</w:t>
      </w:r>
    </w:p>
    <w:p w:rsidR="0082473D" w:rsidRDefault="00DF2D33" w14:paraId="494FDBDE" w14:textId="77777777">
      <w:pPr>
        <w:pStyle w:val="ListParagraph"/>
        <w:numPr>
          <w:ilvl w:val="1"/>
          <w:numId w:val="5"/>
        </w:numPr>
        <w:tabs>
          <w:tab w:val="left" w:pos="668"/>
        </w:tabs>
        <w:spacing w:before="20" w:line="223" w:lineRule="auto"/>
        <w:ind w:right="916" w:firstLine="160"/>
        <w:jc w:val="both"/>
        <w:rPr>
          <w:sz w:val="16"/>
        </w:rPr>
      </w:pPr>
      <w:r>
        <w:rPr>
          <w:rFonts w:ascii="Georgia"/>
          <w:i/>
          <w:w w:val="115"/>
          <w:sz w:val="16"/>
        </w:rPr>
        <w:t xml:space="preserve">Load serving entity </w:t>
      </w:r>
      <w:r>
        <w:rPr>
          <w:w w:val="115"/>
          <w:sz w:val="16"/>
        </w:rPr>
        <w:t xml:space="preserve">means a </w:t>
      </w:r>
      <w:r>
        <w:rPr>
          <w:spacing w:val="-3"/>
          <w:w w:val="115"/>
          <w:sz w:val="16"/>
        </w:rPr>
        <w:t xml:space="preserve">dis- </w:t>
      </w:r>
      <w:r>
        <w:rPr>
          <w:w w:val="115"/>
          <w:sz w:val="16"/>
        </w:rPr>
        <w:t xml:space="preserve">tribution utility or an electric </w:t>
      </w:r>
      <w:r>
        <w:rPr>
          <w:spacing w:val="-3"/>
          <w:w w:val="115"/>
          <w:sz w:val="16"/>
        </w:rPr>
        <w:t xml:space="preserve">utility </w:t>
      </w:r>
      <w:r>
        <w:rPr>
          <w:w w:val="115"/>
          <w:sz w:val="16"/>
        </w:rPr>
        <w:t>that has a service</w:t>
      </w:r>
      <w:r>
        <w:rPr>
          <w:spacing w:val="8"/>
          <w:w w:val="115"/>
          <w:sz w:val="16"/>
        </w:rPr>
        <w:t xml:space="preserve"> </w:t>
      </w:r>
      <w:r>
        <w:rPr>
          <w:w w:val="115"/>
          <w:sz w:val="16"/>
        </w:rPr>
        <w:t>obligation.</w:t>
      </w:r>
    </w:p>
    <w:p w:rsidR="0082473D" w:rsidRDefault="00DF2D33" w14:paraId="17B29ECE" w14:textId="77777777">
      <w:pPr>
        <w:pStyle w:val="ListParagraph"/>
        <w:numPr>
          <w:ilvl w:val="1"/>
          <w:numId w:val="5"/>
        </w:numPr>
        <w:tabs>
          <w:tab w:val="left" w:pos="634"/>
        </w:tabs>
        <w:spacing w:before="18" w:line="225" w:lineRule="auto"/>
        <w:ind w:right="916" w:firstLine="160"/>
        <w:jc w:val="both"/>
        <w:rPr>
          <w:sz w:val="16"/>
        </w:rPr>
      </w:pPr>
      <w:r>
        <w:rPr>
          <w:rFonts w:ascii="Georgia"/>
          <w:i/>
          <w:w w:val="115"/>
          <w:sz w:val="16"/>
        </w:rPr>
        <w:t>Service</w:t>
      </w:r>
      <w:r>
        <w:rPr>
          <w:rFonts w:ascii="Georgia"/>
          <w:i/>
          <w:spacing w:val="-11"/>
          <w:w w:val="115"/>
          <w:sz w:val="16"/>
        </w:rPr>
        <w:t xml:space="preserve"> </w:t>
      </w:r>
      <w:r>
        <w:rPr>
          <w:rFonts w:ascii="Georgia"/>
          <w:i/>
          <w:w w:val="115"/>
          <w:sz w:val="16"/>
        </w:rPr>
        <w:t>obligation</w:t>
      </w:r>
      <w:r>
        <w:rPr>
          <w:rFonts w:ascii="Georgia"/>
          <w:i/>
          <w:spacing w:val="-10"/>
          <w:w w:val="115"/>
          <w:sz w:val="16"/>
        </w:rPr>
        <w:t xml:space="preserve"> </w:t>
      </w:r>
      <w:r>
        <w:rPr>
          <w:w w:val="115"/>
          <w:sz w:val="16"/>
        </w:rPr>
        <w:t>means</w:t>
      </w:r>
      <w:r>
        <w:rPr>
          <w:spacing w:val="-17"/>
          <w:w w:val="115"/>
          <w:sz w:val="16"/>
        </w:rPr>
        <w:t xml:space="preserve"> </w:t>
      </w:r>
      <w:r>
        <w:rPr>
          <w:w w:val="115"/>
          <w:sz w:val="16"/>
        </w:rPr>
        <w:t>a</w:t>
      </w:r>
      <w:r>
        <w:rPr>
          <w:spacing w:val="-17"/>
          <w:w w:val="115"/>
          <w:sz w:val="16"/>
        </w:rPr>
        <w:t xml:space="preserve"> </w:t>
      </w:r>
      <w:r>
        <w:rPr>
          <w:w w:val="115"/>
          <w:sz w:val="16"/>
        </w:rPr>
        <w:t xml:space="preserve">require- ment applicable to, or the exercise </w:t>
      </w:r>
      <w:r>
        <w:rPr>
          <w:spacing w:val="-8"/>
          <w:w w:val="115"/>
          <w:sz w:val="16"/>
        </w:rPr>
        <w:t xml:space="preserve">of </w:t>
      </w:r>
      <w:r>
        <w:rPr>
          <w:w w:val="115"/>
          <w:sz w:val="16"/>
        </w:rPr>
        <w:t xml:space="preserve">authority granted to, an electric </w:t>
      </w:r>
      <w:r>
        <w:rPr>
          <w:spacing w:val="-3"/>
          <w:w w:val="115"/>
          <w:sz w:val="16"/>
        </w:rPr>
        <w:t xml:space="preserve">util- </w:t>
      </w:r>
      <w:r>
        <w:rPr>
          <w:w w:val="115"/>
          <w:sz w:val="16"/>
        </w:rPr>
        <w:t xml:space="preserve">ity under Federal, State, or local </w:t>
      </w:r>
      <w:r>
        <w:rPr>
          <w:spacing w:val="-5"/>
          <w:w w:val="115"/>
          <w:sz w:val="16"/>
        </w:rPr>
        <w:t xml:space="preserve">law  </w:t>
      </w:r>
      <w:r>
        <w:rPr>
          <w:w w:val="115"/>
          <w:sz w:val="16"/>
        </w:rPr>
        <w:t xml:space="preserve">or under long-term contracts to </w:t>
      </w:r>
      <w:r>
        <w:rPr>
          <w:spacing w:val="-4"/>
          <w:w w:val="115"/>
          <w:sz w:val="16"/>
        </w:rPr>
        <w:t xml:space="preserve">pro- </w:t>
      </w:r>
      <w:r>
        <w:rPr>
          <w:w w:val="115"/>
          <w:sz w:val="16"/>
        </w:rPr>
        <w:t xml:space="preserve">vide electric service to end-users or </w:t>
      </w:r>
      <w:r>
        <w:rPr>
          <w:spacing w:val="-7"/>
          <w:w w:val="115"/>
          <w:sz w:val="16"/>
        </w:rPr>
        <w:t xml:space="preserve">to  </w:t>
      </w:r>
      <w:r>
        <w:rPr>
          <w:w w:val="115"/>
          <w:sz w:val="16"/>
        </w:rPr>
        <w:t>a distribution</w:t>
      </w:r>
      <w:r>
        <w:rPr>
          <w:spacing w:val="5"/>
          <w:w w:val="115"/>
          <w:sz w:val="16"/>
        </w:rPr>
        <w:t xml:space="preserve"> </w:t>
      </w:r>
      <w:r>
        <w:rPr>
          <w:w w:val="115"/>
          <w:sz w:val="16"/>
        </w:rPr>
        <w:t>utility.</w:t>
      </w:r>
    </w:p>
    <w:p w:rsidR="0082473D" w:rsidRDefault="00DF2D33" w14:paraId="3A82FF6E" w14:textId="77777777">
      <w:pPr>
        <w:pStyle w:val="ListParagraph"/>
        <w:numPr>
          <w:ilvl w:val="1"/>
          <w:numId w:val="5"/>
        </w:numPr>
        <w:tabs>
          <w:tab w:val="left" w:pos="629"/>
        </w:tabs>
        <w:spacing w:before="9" w:line="225" w:lineRule="auto"/>
        <w:ind w:right="916" w:firstLine="160"/>
        <w:jc w:val="both"/>
        <w:rPr>
          <w:sz w:val="16"/>
        </w:rPr>
      </w:pPr>
      <w:r>
        <w:rPr>
          <w:rFonts w:ascii="Georgia"/>
          <w:i/>
          <w:w w:val="110"/>
          <w:sz w:val="16"/>
        </w:rPr>
        <w:t xml:space="preserve">Organized Electricity Market </w:t>
      </w:r>
      <w:r>
        <w:rPr>
          <w:spacing w:val="-3"/>
          <w:w w:val="110"/>
          <w:sz w:val="16"/>
        </w:rPr>
        <w:t xml:space="preserve">means </w:t>
      </w:r>
      <w:r>
        <w:rPr>
          <w:w w:val="115"/>
          <w:sz w:val="16"/>
        </w:rPr>
        <w:t xml:space="preserve">an auction-based day ahead and </w:t>
      </w:r>
      <w:r>
        <w:rPr>
          <w:spacing w:val="-4"/>
          <w:w w:val="115"/>
          <w:sz w:val="16"/>
        </w:rPr>
        <w:t xml:space="preserve">real </w:t>
      </w:r>
      <w:r>
        <w:rPr>
          <w:w w:val="115"/>
          <w:sz w:val="16"/>
        </w:rPr>
        <w:t xml:space="preserve">time wholesale market where a single entity receives offers to sell and bids </w:t>
      </w:r>
      <w:r>
        <w:rPr>
          <w:spacing w:val="-6"/>
          <w:w w:val="115"/>
          <w:sz w:val="16"/>
        </w:rPr>
        <w:t xml:space="preserve">to </w:t>
      </w:r>
      <w:r>
        <w:rPr>
          <w:w w:val="115"/>
          <w:sz w:val="16"/>
        </w:rPr>
        <w:t xml:space="preserve">buy electric energy and/or ancillary services from multiple sellers and </w:t>
      </w:r>
      <w:r>
        <w:rPr>
          <w:spacing w:val="-4"/>
          <w:w w:val="115"/>
          <w:sz w:val="16"/>
        </w:rPr>
        <w:t xml:space="preserve">buy- </w:t>
      </w:r>
      <w:r>
        <w:rPr>
          <w:w w:val="115"/>
          <w:sz w:val="16"/>
        </w:rPr>
        <w:t xml:space="preserve">ers and determines which sales </w:t>
      </w:r>
      <w:r>
        <w:rPr>
          <w:spacing w:val="-6"/>
          <w:w w:val="115"/>
          <w:sz w:val="16"/>
        </w:rPr>
        <w:t xml:space="preserve">and </w:t>
      </w:r>
      <w:r>
        <w:rPr>
          <w:w w:val="115"/>
          <w:sz w:val="16"/>
        </w:rPr>
        <w:t xml:space="preserve">purchases are completed and at </w:t>
      </w:r>
      <w:r>
        <w:rPr>
          <w:spacing w:val="-4"/>
          <w:w w:val="115"/>
          <w:sz w:val="16"/>
        </w:rPr>
        <w:t xml:space="preserve">what </w:t>
      </w:r>
      <w:r>
        <w:rPr>
          <w:w w:val="115"/>
          <w:sz w:val="16"/>
        </w:rPr>
        <w:t xml:space="preserve">prices, based on formal rules contained in Commission-approved tariffs, </w:t>
      </w:r>
      <w:r>
        <w:rPr>
          <w:spacing w:val="-6"/>
          <w:w w:val="115"/>
          <w:sz w:val="16"/>
        </w:rPr>
        <w:t xml:space="preserve">and </w:t>
      </w:r>
      <w:r>
        <w:rPr>
          <w:w w:val="115"/>
          <w:sz w:val="16"/>
        </w:rPr>
        <w:t xml:space="preserve">where the prices are used by a </w:t>
      </w:r>
      <w:r>
        <w:rPr>
          <w:spacing w:val="-3"/>
          <w:w w:val="115"/>
          <w:sz w:val="16"/>
        </w:rPr>
        <w:t xml:space="preserve">trans- </w:t>
      </w:r>
      <w:r>
        <w:rPr>
          <w:w w:val="115"/>
          <w:sz w:val="16"/>
        </w:rPr>
        <w:t xml:space="preserve">mission organization for </w:t>
      </w:r>
      <w:r>
        <w:rPr>
          <w:spacing w:val="-2"/>
          <w:w w:val="115"/>
          <w:sz w:val="16"/>
        </w:rPr>
        <w:t xml:space="preserve">establishing </w:t>
      </w:r>
      <w:r>
        <w:rPr>
          <w:w w:val="115"/>
          <w:sz w:val="16"/>
        </w:rPr>
        <w:t>transmission usage</w:t>
      </w:r>
      <w:r>
        <w:rPr>
          <w:spacing w:val="-1"/>
          <w:w w:val="115"/>
          <w:sz w:val="16"/>
        </w:rPr>
        <w:t xml:space="preserve"> </w:t>
      </w:r>
      <w:r>
        <w:rPr>
          <w:w w:val="115"/>
          <w:sz w:val="16"/>
        </w:rPr>
        <w:t>charges.</w:t>
      </w:r>
    </w:p>
    <w:p w:rsidR="0082473D" w:rsidRDefault="00DF2D33" w14:paraId="4E8DFA73" w14:textId="77777777">
      <w:pPr>
        <w:pStyle w:val="ListParagraph"/>
        <w:numPr>
          <w:ilvl w:val="0"/>
          <w:numId w:val="5"/>
        </w:numPr>
        <w:tabs>
          <w:tab w:val="left" w:pos="642"/>
        </w:tabs>
        <w:spacing w:before="5" w:line="225" w:lineRule="auto"/>
        <w:ind w:right="915" w:firstLine="160"/>
        <w:jc w:val="both"/>
        <w:rPr>
          <w:sz w:val="16"/>
        </w:rPr>
      </w:pPr>
      <w:r>
        <w:rPr>
          <w:rFonts w:ascii="Georgia"/>
          <w:i/>
          <w:w w:val="115"/>
          <w:sz w:val="16"/>
        </w:rPr>
        <w:t xml:space="preserve">General rule. </w:t>
      </w:r>
      <w:r>
        <w:rPr>
          <w:w w:val="115"/>
          <w:sz w:val="16"/>
        </w:rPr>
        <w:t xml:space="preserve">(1) Every public </w:t>
      </w:r>
      <w:r>
        <w:rPr>
          <w:spacing w:val="-3"/>
          <w:w w:val="115"/>
          <w:sz w:val="16"/>
        </w:rPr>
        <w:t xml:space="preserve">util- </w:t>
      </w:r>
      <w:r>
        <w:rPr>
          <w:w w:val="115"/>
          <w:sz w:val="16"/>
        </w:rPr>
        <w:t xml:space="preserve">ity that is a transmission </w:t>
      </w:r>
      <w:r>
        <w:rPr>
          <w:spacing w:val="-2"/>
          <w:w w:val="115"/>
          <w:sz w:val="16"/>
        </w:rPr>
        <w:t xml:space="preserve">organization </w:t>
      </w:r>
      <w:r>
        <w:rPr>
          <w:w w:val="115"/>
          <w:sz w:val="16"/>
        </w:rPr>
        <w:t xml:space="preserve">and that owns, operates or controls </w:t>
      </w:r>
      <w:r>
        <w:rPr>
          <w:spacing w:val="-5"/>
          <w:w w:val="115"/>
          <w:sz w:val="16"/>
        </w:rPr>
        <w:t xml:space="preserve">fa- </w:t>
      </w:r>
      <w:r>
        <w:rPr>
          <w:w w:val="115"/>
          <w:sz w:val="16"/>
        </w:rPr>
        <w:t xml:space="preserve">cilities used for the transmission </w:t>
      </w:r>
      <w:r>
        <w:rPr>
          <w:spacing w:val="-8"/>
          <w:w w:val="115"/>
          <w:sz w:val="16"/>
        </w:rPr>
        <w:t xml:space="preserve">of </w:t>
      </w:r>
      <w:r>
        <w:rPr>
          <w:w w:val="115"/>
          <w:sz w:val="16"/>
        </w:rPr>
        <w:t>electric energy in interstate</w:t>
      </w:r>
      <w:r>
        <w:rPr>
          <w:spacing w:val="38"/>
          <w:w w:val="115"/>
          <w:sz w:val="16"/>
        </w:rPr>
        <w:t xml:space="preserve"> </w:t>
      </w:r>
      <w:r>
        <w:rPr>
          <w:w w:val="115"/>
          <w:sz w:val="16"/>
        </w:rPr>
        <w:t>commerce</w:t>
      </w:r>
    </w:p>
    <w:p w:rsidR="0082473D" w:rsidRDefault="0082473D" w14:paraId="37CDDF4D" w14:textId="77777777">
      <w:pPr>
        <w:spacing w:line="225" w:lineRule="auto"/>
        <w:jc w:val="both"/>
        <w:rPr>
          <w:sz w:val="16"/>
        </w:rPr>
        <w:sectPr w:rsidR="0082473D">
          <w:type w:val="continuous"/>
          <w:pgSz w:w="12240" w:h="15840"/>
          <w:pgMar w:top="0" w:right="1720" w:bottom="0" w:left="1720" w:header="720" w:footer="720" w:gutter="0"/>
          <w:cols w:equalWidth="0" w:space="720" w:num="2">
            <w:col w:w="4283" w:space="40"/>
            <w:col w:w="4477"/>
          </w:cols>
        </w:sectPr>
      </w:pPr>
    </w:p>
    <w:p w:rsidR="0082473D" w:rsidRDefault="0082473D" w14:paraId="6FFC586C" w14:textId="77777777">
      <w:pPr>
        <w:pStyle w:val="BodyText"/>
        <w:jc w:val="left"/>
        <w:rPr>
          <w:sz w:val="20"/>
        </w:rPr>
      </w:pPr>
    </w:p>
    <w:p w:rsidR="0082473D" w:rsidRDefault="0082473D" w14:paraId="3ED92411" w14:textId="77777777">
      <w:pPr>
        <w:pStyle w:val="BodyText"/>
        <w:jc w:val="left"/>
        <w:rPr>
          <w:sz w:val="20"/>
        </w:rPr>
      </w:pPr>
    </w:p>
    <w:p w:rsidR="0082473D" w:rsidRDefault="0082473D" w14:paraId="2B496B55" w14:textId="77777777">
      <w:pPr>
        <w:pStyle w:val="BodyText"/>
        <w:jc w:val="left"/>
        <w:rPr>
          <w:sz w:val="20"/>
        </w:rPr>
      </w:pPr>
    </w:p>
    <w:p w:rsidR="0082473D" w:rsidRDefault="0082473D" w14:paraId="3AA75679" w14:textId="77777777">
      <w:pPr>
        <w:pStyle w:val="BodyText"/>
        <w:jc w:val="left"/>
        <w:rPr>
          <w:sz w:val="20"/>
        </w:rPr>
      </w:pPr>
    </w:p>
    <w:p w:rsidR="0082473D" w:rsidRDefault="0082473D" w14:paraId="40AD3B72" w14:textId="77777777">
      <w:pPr>
        <w:pStyle w:val="BodyText"/>
        <w:jc w:val="left"/>
        <w:rPr>
          <w:sz w:val="20"/>
        </w:rPr>
      </w:pPr>
    </w:p>
    <w:p w:rsidR="0082473D" w:rsidRDefault="0082473D" w14:paraId="50CE55EF" w14:textId="77777777">
      <w:pPr>
        <w:pStyle w:val="BodyText"/>
        <w:spacing w:before="8"/>
        <w:jc w:val="left"/>
        <w:rPr>
          <w:sz w:val="27"/>
        </w:rPr>
      </w:pPr>
    </w:p>
    <w:p w:rsidR="0082473D" w:rsidRDefault="0082473D" w14:paraId="16C3A3A5" w14:textId="77777777">
      <w:pPr>
        <w:rPr>
          <w:sz w:val="27"/>
        </w:rPr>
        <w:sectPr w:rsidR="0082473D">
          <w:pgSz w:w="12240" w:h="15840"/>
          <w:pgMar w:top="1500" w:right="1720" w:bottom="1500" w:left="1720" w:header="0" w:footer="1304" w:gutter="0"/>
          <w:cols w:space="720"/>
        </w:sectPr>
      </w:pPr>
    </w:p>
    <w:p w:rsidR="0082473D" w:rsidRDefault="00DF2D33" w14:paraId="6A69A10B" w14:textId="77777777">
      <w:pPr>
        <w:spacing w:before="104"/>
        <w:ind w:left="920"/>
        <w:rPr>
          <w:rFonts w:ascii="Century Gothic"/>
          <w:b/>
          <w:sz w:val="18"/>
        </w:rPr>
      </w:pPr>
      <w:r>
        <w:rPr>
          <w:rFonts w:ascii="Century Gothic"/>
          <w:b/>
          <w:sz w:val="18"/>
        </w:rPr>
        <w:t>Pt. 45</w:t>
      </w:r>
    </w:p>
    <w:p w:rsidR="0082473D" w:rsidRDefault="00DF2D33" w14:paraId="7154145C" w14:textId="77777777">
      <w:pPr>
        <w:pStyle w:val="BodyText"/>
        <w:spacing w:before="172" w:line="225" w:lineRule="auto"/>
        <w:ind w:left="920"/>
      </w:pPr>
      <w:r>
        <w:rPr>
          <w:w w:val="115"/>
        </w:rPr>
        <w:t xml:space="preserve">and has one or more organized </w:t>
      </w:r>
      <w:r>
        <w:rPr>
          <w:spacing w:val="-3"/>
          <w:w w:val="115"/>
        </w:rPr>
        <w:t xml:space="preserve">elec- </w:t>
      </w:r>
      <w:r>
        <w:rPr>
          <w:w w:val="115"/>
        </w:rPr>
        <w:t xml:space="preserve">tricity markets  (administered  </w:t>
      </w:r>
      <w:r>
        <w:rPr>
          <w:spacing w:val="-4"/>
          <w:w w:val="115"/>
        </w:rPr>
        <w:t xml:space="preserve">either </w:t>
      </w:r>
      <w:r>
        <w:rPr>
          <w:w w:val="115"/>
        </w:rPr>
        <w:t xml:space="preserve">by it or by another entity) must </w:t>
      </w:r>
      <w:r>
        <w:rPr>
          <w:spacing w:val="-4"/>
          <w:w w:val="115"/>
        </w:rPr>
        <w:t xml:space="preserve">file </w:t>
      </w:r>
      <w:r>
        <w:rPr>
          <w:w w:val="115"/>
        </w:rPr>
        <w:t xml:space="preserve">with the Commission, no later </w:t>
      </w:r>
      <w:r>
        <w:rPr>
          <w:spacing w:val="-5"/>
          <w:w w:val="115"/>
        </w:rPr>
        <w:t xml:space="preserve">than </w:t>
      </w:r>
      <w:r>
        <w:rPr>
          <w:w w:val="115"/>
        </w:rPr>
        <w:t>January</w:t>
      </w:r>
      <w:r>
        <w:rPr>
          <w:spacing w:val="-11"/>
          <w:w w:val="115"/>
        </w:rPr>
        <w:t xml:space="preserve"> </w:t>
      </w:r>
      <w:r>
        <w:rPr>
          <w:w w:val="115"/>
        </w:rPr>
        <w:t>29,</w:t>
      </w:r>
      <w:r>
        <w:rPr>
          <w:spacing w:val="-11"/>
          <w:w w:val="115"/>
        </w:rPr>
        <w:t xml:space="preserve"> </w:t>
      </w:r>
      <w:r>
        <w:rPr>
          <w:w w:val="115"/>
        </w:rPr>
        <w:t>2007,</w:t>
      </w:r>
      <w:r>
        <w:rPr>
          <w:spacing w:val="-10"/>
          <w:w w:val="115"/>
        </w:rPr>
        <w:t xml:space="preserve"> </w:t>
      </w:r>
      <w:r>
        <w:rPr>
          <w:w w:val="115"/>
        </w:rPr>
        <w:t>one</w:t>
      </w:r>
      <w:r>
        <w:rPr>
          <w:spacing w:val="-11"/>
          <w:w w:val="115"/>
        </w:rPr>
        <w:t xml:space="preserve"> </w:t>
      </w:r>
      <w:r>
        <w:rPr>
          <w:w w:val="115"/>
        </w:rPr>
        <w:t>of</w:t>
      </w:r>
      <w:r>
        <w:rPr>
          <w:spacing w:val="-10"/>
          <w:w w:val="115"/>
        </w:rPr>
        <w:t xml:space="preserve"> </w:t>
      </w:r>
      <w:r>
        <w:rPr>
          <w:w w:val="115"/>
        </w:rPr>
        <w:t>the</w:t>
      </w:r>
      <w:r>
        <w:rPr>
          <w:spacing w:val="-11"/>
          <w:w w:val="115"/>
        </w:rPr>
        <w:t xml:space="preserve"> </w:t>
      </w:r>
      <w:r>
        <w:rPr>
          <w:w w:val="115"/>
        </w:rPr>
        <w:t>following:</w:t>
      </w:r>
    </w:p>
    <w:p w:rsidR="0082473D" w:rsidRDefault="00DF2D33" w14:paraId="419E06CE" w14:textId="77777777">
      <w:pPr>
        <w:pStyle w:val="ListParagraph"/>
        <w:numPr>
          <w:ilvl w:val="0"/>
          <w:numId w:val="4"/>
        </w:numPr>
        <w:tabs>
          <w:tab w:val="left" w:pos="1377"/>
        </w:tabs>
        <w:spacing w:line="225" w:lineRule="auto"/>
        <w:ind w:firstLine="160"/>
        <w:jc w:val="both"/>
        <w:rPr>
          <w:sz w:val="16"/>
        </w:rPr>
      </w:pPr>
      <w:r>
        <w:rPr>
          <w:w w:val="115"/>
          <w:sz w:val="16"/>
        </w:rPr>
        <w:t xml:space="preserve">Tariff sheets and rate schedules that make available long-term </w:t>
      </w:r>
      <w:r>
        <w:rPr>
          <w:spacing w:val="-5"/>
          <w:w w:val="115"/>
          <w:sz w:val="16"/>
        </w:rPr>
        <w:t xml:space="preserve">firm </w:t>
      </w:r>
      <w:r>
        <w:rPr>
          <w:w w:val="115"/>
          <w:sz w:val="16"/>
        </w:rPr>
        <w:t xml:space="preserve">transmission rights that satisfy each </w:t>
      </w:r>
      <w:r>
        <w:rPr>
          <w:spacing w:val="-9"/>
          <w:w w:val="115"/>
          <w:sz w:val="16"/>
        </w:rPr>
        <w:t xml:space="preserve">of </w:t>
      </w:r>
      <w:r>
        <w:rPr>
          <w:w w:val="115"/>
          <w:sz w:val="16"/>
        </w:rPr>
        <w:t>the guidelines set forth in</w:t>
      </w:r>
      <w:r>
        <w:rPr>
          <w:spacing w:val="4"/>
          <w:w w:val="115"/>
          <w:sz w:val="16"/>
        </w:rPr>
        <w:t xml:space="preserve"> </w:t>
      </w:r>
      <w:r>
        <w:rPr>
          <w:w w:val="115"/>
          <w:sz w:val="16"/>
        </w:rPr>
        <w:t>paragraph</w:t>
      </w:r>
    </w:p>
    <w:p w:rsidR="0082473D" w:rsidRDefault="00DF2D33" w14:paraId="6677F090" w14:textId="77777777">
      <w:pPr>
        <w:pStyle w:val="ListParagraph"/>
        <w:numPr>
          <w:ilvl w:val="0"/>
          <w:numId w:val="5"/>
        </w:numPr>
        <w:tabs>
          <w:tab w:val="left" w:pos="1198"/>
        </w:tabs>
        <w:spacing w:line="173" w:lineRule="exact"/>
        <w:ind w:left="1198" w:hanging="278"/>
        <w:jc w:val="left"/>
        <w:rPr>
          <w:sz w:val="16"/>
        </w:rPr>
      </w:pPr>
      <w:r>
        <w:rPr>
          <w:w w:val="120"/>
          <w:sz w:val="16"/>
        </w:rPr>
        <w:t>of this section;</w:t>
      </w:r>
      <w:r>
        <w:rPr>
          <w:spacing w:val="-5"/>
          <w:w w:val="120"/>
          <w:sz w:val="16"/>
        </w:rPr>
        <w:t xml:space="preserve"> </w:t>
      </w:r>
      <w:r>
        <w:rPr>
          <w:w w:val="120"/>
          <w:sz w:val="16"/>
        </w:rPr>
        <w:t>or</w:t>
      </w:r>
    </w:p>
    <w:p w:rsidR="0082473D" w:rsidRDefault="00DF2D33" w14:paraId="2254BB73" w14:textId="77777777">
      <w:pPr>
        <w:pStyle w:val="ListParagraph"/>
        <w:numPr>
          <w:ilvl w:val="0"/>
          <w:numId w:val="4"/>
        </w:numPr>
        <w:tabs>
          <w:tab w:val="left" w:pos="1392"/>
        </w:tabs>
        <w:spacing w:line="225" w:lineRule="auto"/>
        <w:ind w:firstLine="160"/>
        <w:jc w:val="both"/>
        <w:rPr>
          <w:sz w:val="16"/>
        </w:rPr>
      </w:pPr>
      <w:r>
        <w:rPr>
          <w:w w:val="115"/>
          <w:sz w:val="16"/>
        </w:rPr>
        <w:t xml:space="preserve">An explanation of how its </w:t>
      </w:r>
      <w:r>
        <w:rPr>
          <w:spacing w:val="-3"/>
          <w:w w:val="115"/>
          <w:sz w:val="16"/>
        </w:rPr>
        <w:t xml:space="preserve">current </w:t>
      </w:r>
      <w:r>
        <w:rPr>
          <w:w w:val="115"/>
          <w:sz w:val="16"/>
        </w:rPr>
        <w:t xml:space="preserve">tariff and rate schedules already </w:t>
      </w:r>
      <w:r>
        <w:rPr>
          <w:spacing w:val="-4"/>
          <w:w w:val="115"/>
          <w:sz w:val="16"/>
        </w:rPr>
        <w:t xml:space="preserve">pro- </w:t>
      </w:r>
      <w:r>
        <w:rPr>
          <w:w w:val="115"/>
          <w:sz w:val="16"/>
        </w:rPr>
        <w:t xml:space="preserve">vide for long-term firm </w:t>
      </w:r>
      <w:r>
        <w:rPr>
          <w:spacing w:val="-2"/>
          <w:w w:val="115"/>
          <w:sz w:val="16"/>
        </w:rPr>
        <w:t xml:space="preserve">transmission </w:t>
      </w:r>
      <w:r>
        <w:rPr>
          <w:w w:val="115"/>
          <w:sz w:val="16"/>
        </w:rPr>
        <w:t xml:space="preserve">rights that satisfy each of the </w:t>
      </w:r>
      <w:r>
        <w:rPr>
          <w:spacing w:val="-3"/>
          <w:w w:val="115"/>
          <w:sz w:val="16"/>
        </w:rPr>
        <w:t xml:space="preserve">guide- </w:t>
      </w:r>
      <w:r>
        <w:rPr>
          <w:w w:val="115"/>
          <w:sz w:val="16"/>
        </w:rPr>
        <w:t xml:space="preserve">lines set forth in paragraph (d) of </w:t>
      </w:r>
      <w:r>
        <w:rPr>
          <w:spacing w:val="-4"/>
          <w:w w:val="115"/>
          <w:sz w:val="16"/>
        </w:rPr>
        <w:t xml:space="preserve">this </w:t>
      </w:r>
      <w:r>
        <w:rPr>
          <w:w w:val="115"/>
          <w:sz w:val="16"/>
        </w:rPr>
        <w:t>section.</w:t>
      </w:r>
    </w:p>
    <w:p w:rsidR="0082473D" w:rsidRDefault="00DF2D33" w14:paraId="27A7FD46" w14:textId="77777777">
      <w:pPr>
        <w:pStyle w:val="ListParagraph"/>
        <w:numPr>
          <w:ilvl w:val="0"/>
          <w:numId w:val="3"/>
        </w:numPr>
        <w:tabs>
          <w:tab w:val="left" w:pos="1341"/>
        </w:tabs>
        <w:spacing w:line="225" w:lineRule="auto"/>
        <w:ind w:firstLine="160"/>
        <w:jc w:val="both"/>
        <w:rPr>
          <w:sz w:val="16"/>
        </w:rPr>
      </w:pPr>
      <w:r>
        <w:rPr>
          <w:w w:val="115"/>
          <w:sz w:val="16"/>
        </w:rPr>
        <w:t xml:space="preserve">Any transmission organization </w:t>
      </w:r>
      <w:r>
        <w:rPr>
          <w:spacing w:val="-6"/>
          <w:w w:val="115"/>
          <w:sz w:val="16"/>
        </w:rPr>
        <w:t xml:space="preserve">ap- </w:t>
      </w:r>
      <w:r>
        <w:rPr>
          <w:w w:val="115"/>
          <w:sz w:val="16"/>
        </w:rPr>
        <w:t xml:space="preserve">proved by the Commission for </w:t>
      </w:r>
      <w:r>
        <w:rPr>
          <w:spacing w:val="-4"/>
          <w:w w:val="115"/>
          <w:sz w:val="16"/>
        </w:rPr>
        <w:t xml:space="preserve">oper- </w:t>
      </w:r>
      <w:r>
        <w:rPr>
          <w:w w:val="115"/>
          <w:sz w:val="16"/>
        </w:rPr>
        <w:t xml:space="preserve">ation after January 29, 2007 that </w:t>
      </w:r>
      <w:r>
        <w:rPr>
          <w:spacing w:val="-6"/>
          <w:w w:val="115"/>
          <w:sz w:val="16"/>
        </w:rPr>
        <w:t xml:space="preserve">has </w:t>
      </w:r>
      <w:r>
        <w:rPr>
          <w:w w:val="115"/>
          <w:sz w:val="16"/>
        </w:rPr>
        <w:t xml:space="preserve">one or more organized electricity </w:t>
      </w:r>
      <w:r>
        <w:rPr>
          <w:spacing w:val="-4"/>
          <w:w w:val="115"/>
          <w:sz w:val="16"/>
        </w:rPr>
        <w:t xml:space="preserve">mar- </w:t>
      </w:r>
      <w:r>
        <w:rPr>
          <w:w w:val="115"/>
          <w:sz w:val="16"/>
        </w:rPr>
        <w:t xml:space="preserve">kets (administered either by it or </w:t>
      </w:r>
      <w:r>
        <w:rPr>
          <w:spacing w:val="-9"/>
          <w:w w:val="115"/>
          <w:sz w:val="16"/>
        </w:rPr>
        <w:t xml:space="preserve">by </w:t>
      </w:r>
      <w:r>
        <w:rPr>
          <w:w w:val="115"/>
          <w:sz w:val="16"/>
        </w:rPr>
        <w:t xml:space="preserve">another entity) will be required to </w:t>
      </w:r>
      <w:r>
        <w:rPr>
          <w:spacing w:val="-4"/>
          <w:w w:val="115"/>
          <w:sz w:val="16"/>
        </w:rPr>
        <w:t xml:space="preserve">sat- </w:t>
      </w:r>
      <w:r>
        <w:rPr>
          <w:w w:val="115"/>
          <w:sz w:val="16"/>
        </w:rPr>
        <w:t>isfy this general</w:t>
      </w:r>
      <w:r>
        <w:rPr>
          <w:spacing w:val="4"/>
          <w:w w:val="115"/>
          <w:sz w:val="16"/>
        </w:rPr>
        <w:t xml:space="preserve"> </w:t>
      </w:r>
      <w:r>
        <w:rPr>
          <w:w w:val="115"/>
          <w:sz w:val="16"/>
        </w:rPr>
        <w:t>rule.</w:t>
      </w:r>
    </w:p>
    <w:p w:rsidR="0082473D" w:rsidRDefault="00DF2D33" w14:paraId="72AC3FBE" w14:textId="77777777">
      <w:pPr>
        <w:pStyle w:val="ListParagraph"/>
        <w:numPr>
          <w:ilvl w:val="0"/>
          <w:numId w:val="3"/>
        </w:numPr>
        <w:tabs>
          <w:tab w:val="left" w:pos="1373"/>
        </w:tabs>
        <w:spacing w:line="225" w:lineRule="auto"/>
        <w:ind w:firstLine="160"/>
        <w:jc w:val="both"/>
        <w:rPr>
          <w:sz w:val="16"/>
        </w:rPr>
      </w:pPr>
      <w:r>
        <w:rPr>
          <w:w w:val="115"/>
          <w:sz w:val="16"/>
        </w:rPr>
        <w:t xml:space="preserve">Filings made in compliance </w:t>
      </w:r>
      <w:r>
        <w:rPr>
          <w:spacing w:val="-5"/>
          <w:w w:val="115"/>
          <w:sz w:val="16"/>
        </w:rPr>
        <w:t xml:space="preserve">with </w:t>
      </w:r>
      <w:r>
        <w:rPr>
          <w:w w:val="115"/>
          <w:sz w:val="16"/>
        </w:rPr>
        <w:t xml:space="preserve">this paragraph (c) must explain </w:t>
      </w:r>
      <w:r>
        <w:rPr>
          <w:spacing w:val="-5"/>
          <w:w w:val="115"/>
          <w:sz w:val="16"/>
        </w:rPr>
        <w:t xml:space="preserve">how </w:t>
      </w:r>
      <w:r>
        <w:rPr>
          <w:w w:val="115"/>
          <w:sz w:val="16"/>
        </w:rPr>
        <w:t xml:space="preserve">the transmission organization’s </w:t>
      </w:r>
      <w:r>
        <w:rPr>
          <w:spacing w:val="-3"/>
          <w:w w:val="115"/>
          <w:sz w:val="16"/>
        </w:rPr>
        <w:t xml:space="preserve">trans- </w:t>
      </w:r>
      <w:r>
        <w:rPr>
          <w:w w:val="115"/>
          <w:sz w:val="16"/>
        </w:rPr>
        <w:t xml:space="preserve">mission planning and expansion </w:t>
      </w:r>
      <w:r>
        <w:rPr>
          <w:spacing w:val="-3"/>
          <w:w w:val="115"/>
          <w:sz w:val="16"/>
        </w:rPr>
        <w:t xml:space="preserve">proce- </w:t>
      </w:r>
      <w:r>
        <w:rPr>
          <w:w w:val="115"/>
          <w:sz w:val="16"/>
        </w:rPr>
        <w:t xml:space="preserve">dures will accommodate long-term  firm transmission rights, including </w:t>
      </w:r>
      <w:r>
        <w:rPr>
          <w:spacing w:val="-7"/>
          <w:w w:val="115"/>
          <w:sz w:val="16"/>
        </w:rPr>
        <w:t xml:space="preserve">but </w:t>
      </w:r>
      <w:r>
        <w:rPr>
          <w:w w:val="115"/>
          <w:sz w:val="16"/>
        </w:rPr>
        <w:t xml:space="preserve">not limited to how the transmission </w:t>
      </w:r>
      <w:r>
        <w:rPr>
          <w:spacing w:val="-7"/>
          <w:w w:val="115"/>
          <w:sz w:val="16"/>
        </w:rPr>
        <w:t xml:space="preserve">or- </w:t>
      </w:r>
      <w:r>
        <w:rPr>
          <w:w w:val="115"/>
          <w:sz w:val="16"/>
        </w:rPr>
        <w:t xml:space="preserve">ganization will ensure that allocated long-term firm transmission rights </w:t>
      </w:r>
      <w:r>
        <w:rPr>
          <w:spacing w:val="-6"/>
          <w:w w:val="115"/>
          <w:sz w:val="16"/>
        </w:rPr>
        <w:t xml:space="preserve">re- </w:t>
      </w:r>
      <w:r>
        <w:rPr>
          <w:w w:val="115"/>
          <w:sz w:val="16"/>
        </w:rPr>
        <w:t>main feasible over their entire</w:t>
      </w:r>
      <w:r>
        <w:rPr>
          <w:spacing w:val="8"/>
          <w:w w:val="115"/>
          <w:sz w:val="16"/>
        </w:rPr>
        <w:t xml:space="preserve"> </w:t>
      </w:r>
      <w:r>
        <w:rPr>
          <w:w w:val="115"/>
          <w:sz w:val="16"/>
        </w:rPr>
        <w:t>term.</w:t>
      </w:r>
    </w:p>
    <w:p w:rsidR="0082473D" w:rsidRDefault="00DF2D33" w14:paraId="551649A4" w14:textId="77777777">
      <w:pPr>
        <w:pStyle w:val="ListParagraph"/>
        <w:numPr>
          <w:ilvl w:val="0"/>
          <w:numId w:val="3"/>
        </w:numPr>
        <w:tabs>
          <w:tab w:val="left" w:pos="1422"/>
        </w:tabs>
        <w:spacing w:line="225" w:lineRule="auto"/>
        <w:ind w:firstLine="160"/>
        <w:jc w:val="both"/>
        <w:rPr>
          <w:sz w:val="16"/>
        </w:rPr>
      </w:pPr>
      <w:r>
        <w:rPr>
          <w:w w:val="115"/>
          <w:sz w:val="16"/>
        </w:rPr>
        <w:t xml:space="preserve">Each transmission </w:t>
      </w:r>
      <w:r>
        <w:rPr>
          <w:spacing w:val="-2"/>
          <w:w w:val="115"/>
          <w:sz w:val="16"/>
        </w:rPr>
        <w:t xml:space="preserve">organization </w:t>
      </w:r>
      <w:r>
        <w:rPr>
          <w:w w:val="115"/>
          <w:sz w:val="16"/>
        </w:rPr>
        <w:t xml:space="preserve">subject to this general rule must </w:t>
      </w:r>
      <w:r>
        <w:rPr>
          <w:spacing w:val="-4"/>
          <w:w w:val="115"/>
          <w:sz w:val="16"/>
        </w:rPr>
        <w:t xml:space="preserve">also </w:t>
      </w:r>
      <w:r>
        <w:rPr>
          <w:w w:val="115"/>
          <w:sz w:val="16"/>
        </w:rPr>
        <w:t xml:space="preserve">make its transmission planning and </w:t>
      </w:r>
      <w:r>
        <w:rPr>
          <w:spacing w:val="-6"/>
          <w:w w:val="115"/>
          <w:sz w:val="16"/>
        </w:rPr>
        <w:t xml:space="preserve">ex- </w:t>
      </w:r>
      <w:r>
        <w:rPr>
          <w:w w:val="115"/>
          <w:sz w:val="16"/>
        </w:rPr>
        <w:t xml:space="preserve">pansion procedures and plans publicly available, including (but not  </w:t>
      </w:r>
      <w:r>
        <w:rPr>
          <w:spacing w:val="-3"/>
          <w:w w:val="115"/>
          <w:sz w:val="16"/>
        </w:rPr>
        <w:t xml:space="preserve">limited  </w:t>
      </w:r>
      <w:r>
        <w:rPr>
          <w:w w:val="115"/>
          <w:sz w:val="16"/>
        </w:rPr>
        <w:t xml:space="preserve">to) both the actual plans and any </w:t>
      </w:r>
      <w:r>
        <w:rPr>
          <w:spacing w:val="-6"/>
          <w:w w:val="115"/>
          <w:sz w:val="16"/>
        </w:rPr>
        <w:t xml:space="preserve">un- </w:t>
      </w:r>
      <w:r>
        <w:rPr>
          <w:w w:val="115"/>
          <w:sz w:val="16"/>
        </w:rPr>
        <w:t xml:space="preserve">derlying information used to </w:t>
      </w:r>
      <w:r>
        <w:rPr>
          <w:spacing w:val="-3"/>
          <w:w w:val="115"/>
          <w:sz w:val="16"/>
        </w:rPr>
        <w:t xml:space="preserve">develop </w:t>
      </w:r>
      <w:r>
        <w:rPr>
          <w:w w:val="115"/>
          <w:sz w:val="16"/>
        </w:rPr>
        <w:t>the</w:t>
      </w:r>
      <w:r>
        <w:rPr>
          <w:spacing w:val="1"/>
          <w:w w:val="115"/>
          <w:sz w:val="16"/>
        </w:rPr>
        <w:t xml:space="preserve"> </w:t>
      </w:r>
      <w:r>
        <w:rPr>
          <w:w w:val="115"/>
          <w:sz w:val="16"/>
        </w:rPr>
        <w:t>plans.</w:t>
      </w:r>
    </w:p>
    <w:p w:rsidR="0082473D" w:rsidRDefault="00DF2D33" w14:paraId="53140EE4" w14:textId="77777777">
      <w:pPr>
        <w:spacing w:line="176" w:lineRule="exact"/>
        <w:ind w:left="1080"/>
        <w:rPr>
          <w:rFonts w:ascii="Georgia"/>
          <w:i/>
          <w:sz w:val="16"/>
        </w:rPr>
      </w:pPr>
      <w:r>
        <w:rPr>
          <w:w w:val="110"/>
          <w:sz w:val="16"/>
        </w:rPr>
        <w:t xml:space="preserve">(d) </w:t>
      </w:r>
      <w:r>
        <w:rPr>
          <w:rFonts w:ascii="Georgia"/>
          <w:i/>
          <w:w w:val="110"/>
          <w:sz w:val="16"/>
        </w:rPr>
        <w:t>Guidelines for Design and Adminis-</w:t>
      </w:r>
    </w:p>
    <w:p w:rsidR="0082473D" w:rsidRDefault="00DF2D33" w14:paraId="438C1366" w14:textId="77777777">
      <w:pPr>
        <w:spacing w:line="223" w:lineRule="auto"/>
        <w:ind w:left="920"/>
        <w:jc w:val="both"/>
        <w:rPr>
          <w:sz w:val="16"/>
        </w:rPr>
      </w:pPr>
      <w:r>
        <w:rPr>
          <w:rFonts w:ascii="Georgia"/>
          <w:i/>
          <w:w w:val="115"/>
          <w:sz w:val="16"/>
        </w:rPr>
        <w:t xml:space="preserve">tration of Long-term Firm Transmission Rights. </w:t>
      </w:r>
      <w:r>
        <w:rPr>
          <w:w w:val="115"/>
          <w:sz w:val="16"/>
        </w:rPr>
        <w:t>Transmission organizations subject to paragraph (c) of this section must make available long-term firm transmission rights that satisfy the following guidelines:</w:t>
      </w:r>
    </w:p>
    <w:p w:rsidR="0082473D" w:rsidRDefault="00DF2D33" w14:paraId="6FD11056" w14:textId="77777777">
      <w:pPr>
        <w:pStyle w:val="ListParagraph"/>
        <w:numPr>
          <w:ilvl w:val="0"/>
          <w:numId w:val="2"/>
        </w:numPr>
        <w:tabs>
          <w:tab w:val="left" w:pos="1378"/>
        </w:tabs>
        <w:spacing w:line="225" w:lineRule="auto"/>
        <w:ind w:firstLine="160"/>
        <w:jc w:val="both"/>
        <w:rPr>
          <w:sz w:val="16"/>
        </w:rPr>
      </w:pPr>
      <w:r>
        <w:rPr>
          <w:w w:val="115"/>
          <w:sz w:val="16"/>
        </w:rPr>
        <w:t xml:space="preserve">The long-term firm </w:t>
      </w:r>
      <w:r>
        <w:rPr>
          <w:spacing w:val="-2"/>
          <w:w w:val="115"/>
          <w:sz w:val="16"/>
        </w:rPr>
        <w:t xml:space="preserve">transmission </w:t>
      </w:r>
      <w:r>
        <w:rPr>
          <w:w w:val="115"/>
          <w:sz w:val="16"/>
        </w:rPr>
        <w:t>right should specify a source (injection node or nodes) and sink (withdrawal node or nodes), and a quantity</w:t>
      </w:r>
      <w:r>
        <w:rPr>
          <w:spacing w:val="-20"/>
          <w:w w:val="115"/>
          <w:sz w:val="16"/>
        </w:rPr>
        <w:t xml:space="preserve"> </w:t>
      </w:r>
      <w:r>
        <w:rPr>
          <w:w w:val="115"/>
          <w:sz w:val="16"/>
        </w:rPr>
        <w:t>(MW).</w:t>
      </w:r>
    </w:p>
    <w:p w:rsidR="0082473D" w:rsidRDefault="00DF2D33" w14:paraId="426C9CBE" w14:textId="77777777">
      <w:pPr>
        <w:pStyle w:val="ListParagraph"/>
        <w:numPr>
          <w:ilvl w:val="0"/>
          <w:numId w:val="2"/>
        </w:numPr>
        <w:tabs>
          <w:tab w:val="left" w:pos="1378"/>
        </w:tabs>
        <w:spacing w:line="225" w:lineRule="auto"/>
        <w:ind w:firstLine="160"/>
        <w:jc w:val="both"/>
        <w:rPr>
          <w:sz w:val="16"/>
        </w:rPr>
      </w:pPr>
      <w:r>
        <w:rPr>
          <w:w w:val="115"/>
          <w:sz w:val="16"/>
        </w:rPr>
        <w:t xml:space="preserve">The long-term firm </w:t>
      </w:r>
      <w:r>
        <w:rPr>
          <w:spacing w:val="-2"/>
          <w:w w:val="115"/>
          <w:sz w:val="16"/>
        </w:rPr>
        <w:t xml:space="preserve">transmission </w:t>
      </w:r>
      <w:r>
        <w:rPr>
          <w:w w:val="115"/>
          <w:sz w:val="16"/>
        </w:rPr>
        <w:t xml:space="preserve">right must provide a hedge </w:t>
      </w:r>
      <w:r>
        <w:rPr>
          <w:spacing w:val="-3"/>
          <w:w w:val="115"/>
          <w:sz w:val="16"/>
        </w:rPr>
        <w:t xml:space="preserve">against </w:t>
      </w:r>
      <w:r>
        <w:rPr>
          <w:w w:val="115"/>
          <w:sz w:val="16"/>
        </w:rPr>
        <w:t xml:space="preserve">day-ahead locational marginal </w:t>
      </w:r>
      <w:r>
        <w:rPr>
          <w:spacing w:val="-3"/>
          <w:w w:val="115"/>
          <w:sz w:val="16"/>
        </w:rPr>
        <w:t xml:space="preserve">pricing </w:t>
      </w:r>
      <w:r>
        <w:rPr>
          <w:w w:val="115"/>
          <w:sz w:val="16"/>
        </w:rPr>
        <w:t xml:space="preserve">congestion charges or other direct </w:t>
      </w:r>
      <w:r>
        <w:rPr>
          <w:spacing w:val="-6"/>
          <w:w w:val="115"/>
          <w:sz w:val="16"/>
        </w:rPr>
        <w:t xml:space="preserve">as- </w:t>
      </w:r>
      <w:r>
        <w:rPr>
          <w:w w:val="115"/>
          <w:sz w:val="16"/>
        </w:rPr>
        <w:t xml:space="preserve">signment of congestion costs for </w:t>
      </w:r>
      <w:r>
        <w:rPr>
          <w:spacing w:val="-6"/>
          <w:w w:val="115"/>
          <w:sz w:val="16"/>
        </w:rPr>
        <w:t xml:space="preserve">the </w:t>
      </w:r>
      <w:r>
        <w:rPr>
          <w:w w:val="115"/>
          <w:sz w:val="16"/>
        </w:rPr>
        <w:t>period covered and quantity specified. Once allocated, the financial</w:t>
      </w:r>
      <w:r>
        <w:rPr>
          <w:spacing w:val="1"/>
          <w:w w:val="115"/>
          <w:sz w:val="16"/>
        </w:rPr>
        <w:t xml:space="preserve"> </w:t>
      </w:r>
      <w:r>
        <w:rPr>
          <w:spacing w:val="-3"/>
          <w:w w:val="115"/>
          <w:sz w:val="16"/>
        </w:rPr>
        <w:t>coverage</w:t>
      </w:r>
    </w:p>
    <w:p w:rsidR="0082473D" w:rsidRDefault="00DF2D33" w14:paraId="5BC5F545" w14:textId="77777777">
      <w:pPr>
        <w:pStyle w:val="Heading2"/>
        <w:ind w:left="1084"/>
      </w:pPr>
      <w:r>
        <w:rPr>
          <w:b w:val="0"/>
        </w:rPr>
        <w:br w:type="column"/>
      </w:r>
      <w:r>
        <w:t>18 CFR Ch. I (4–1–18 Edition)</w:t>
      </w:r>
    </w:p>
    <w:p w:rsidR="0082473D" w:rsidRDefault="00DF2D33" w14:paraId="545F4683" w14:textId="77777777">
      <w:pPr>
        <w:pStyle w:val="BodyText"/>
        <w:spacing w:before="172" w:line="225" w:lineRule="auto"/>
        <w:ind w:left="198" w:right="916"/>
      </w:pPr>
      <w:r>
        <w:rPr>
          <w:w w:val="115"/>
        </w:rPr>
        <w:t xml:space="preserve">provided by a financial long-term </w:t>
      </w:r>
      <w:r>
        <w:rPr>
          <w:spacing w:val="-4"/>
          <w:w w:val="115"/>
        </w:rPr>
        <w:t xml:space="preserve">right </w:t>
      </w:r>
      <w:r>
        <w:rPr>
          <w:w w:val="115"/>
        </w:rPr>
        <w:t xml:space="preserve">should not be modified during its </w:t>
      </w:r>
      <w:r>
        <w:rPr>
          <w:spacing w:val="-4"/>
          <w:w w:val="115"/>
        </w:rPr>
        <w:t xml:space="preserve">term </w:t>
      </w:r>
      <w:r>
        <w:rPr>
          <w:w w:val="115"/>
        </w:rPr>
        <w:t xml:space="preserve">(the ‘‘full funding’’ requirement) </w:t>
      </w:r>
      <w:r>
        <w:rPr>
          <w:spacing w:val="-5"/>
          <w:w w:val="115"/>
        </w:rPr>
        <w:t xml:space="preserve">ex- </w:t>
      </w:r>
      <w:r>
        <w:rPr>
          <w:w w:val="115"/>
        </w:rPr>
        <w:t xml:space="preserve">cept in the case of extraordinary </w:t>
      </w:r>
      <w:r>
        <w:rPr>
          <w:spacing w:val="-4"/>
          <w:w w:val="115"/>
        </w:rPr>
        <w:t xml:space="preserve">cir- </w:t>
      </w:r>
      <w:r>
        <w:rPr>
          <w:w w:val="115"/>
        </w:rPr>
        <w:t xml:space="preserve">cumstances or through voluntary agreement of both the holder of </w:t>
      </w:r>
      <w:r>
        <w:rPr>
          <w:spacing w:val="-4"/>
          <w:w w:val="115"/>
        </w:rPr>
        <w:t xml:space="preserve">the </w:t>
      </w:r>
      <w:r>
        <w:rPr>
          <w:w w:val="115"/>
        </w:rPr>
        <w:t>right and the transmission organiza- tion.</w:t>
      </w:r>
    </w:p>
    <w:p w:rsidR="0082473D" w:rsidRDefault="00DF2D33" w14:paraId="6620DF63" w14:textId="77777777">
      <w:pPr>
        <w:pStyle w:val="ListParagraph"/>
        <w:numPr>
          <w:ilvl w:val="0"/>
          <w:numId w:val="2"/>
        </w:numPr>
        <w:tabs>
          <w:tab w:val="left" w:pos="774"/>
        </w:tabs>
        <w:spacing w:line="225" w:lineRule="auto"/>
        <w:ind w:left="198" w:right="916" w:firstLine="160"/>
        <w:jc w:val="both"/>
        <w:rPr>
          <w:sz w:val="16"/>
        </w:rPr>
      </w:pPr>
      <w:r>
        <w:rPr>
          <w:w w:val="115"/>
          <w:sz w:val="16"/>
        </w:rPr>
        <w:t xml:space="preserve">Long-term firm </w:t>
      </w:r>
      <w:r>
        <w:rPr>
          <w:spacing w:val="-2"/>
          <w:w w:val="115"/>
          <w:sz w:val="16"/>
        </w:rPr>
        <w:t xml:space="preserve">transmission </w:t>
      </w:r>
      <w:r>
        <w:rPr>
          <w:w w:val="115"/>
          <w:sz w:val="16"/>
        </w:rPr>
        <w:t xml:space="preserve">rights made feasible by </w:t>
      </w:r>
      <w:r>
        <w:rPr>
          <w:spacing w:val="-2"/>
          <w:w w:val="115"/>
          <w:sz w:val="16"/>
        </w:rPr>
        <w:t xml:space="preserve">transmission </w:t>
      </w:r>
      <w:r>
        <w:rPr>
          <w:w w:val="115"/>
          <w:sz w:val="16"/>
        </w:rPr>
        <w:t xml:space="preserve">upgrades or expansions must be avail- able upon request to any party </w:t>
      </w:r>
      <w:r>
        <w:rPr>
          <w:spacing w:val="-4"/>
          <w:w w:val="115"/>
          <w:sz w:val="16"/>
        </w:rPr>
        <w:t xml:space="preserve">that </w:t>
      </w:r>
      <w:r>
        <w:rPr>
          <w:w w:val="115"/>
          <w:sz w:val="16"/>
        </w:rPr>
        <w:t>pays for such upgrades or expansions</w:t>
      </w:r>
      <w:r>
        <w:rPr>
          <w:spacing w:val="-38"/>
          <w:w w:val="115"/>
          <w:sz w:val="16"/>
        </w:rPr>
        <w:t xml:space="preserve"> </w:t>
      </w:r>
      <w:r>
        <w:rPr>
          <w:spacing w:val="-6"/>
          <w:w w:val="115"/>
          <w:sz w:val="16"/>
        </w:rPr>
        <w:t xml:space="preserve">in </w:t>
      </w:r>
      <w:r>
        <w:rPr>
          <w:w w:val="115"/>
          <w:sz w:val="16"/>
        </w:rPr>
        <w:t xml:space="preserve">accordance with the transmission </w:t>
      </w:r>
      <w:r>
        <w:rPr>
          <w:spacing w:val="-4"/>
          <w:w w:val="115"/>
          <w:sz w:val="16"/>
        </w:rPr>
        <w:t xml:space="preserve">orga- </w:t>
      </w:r>
      <w:r>
        <w:rPr>
          <w:w w:val="115"/>
          <w:sz w:val="16"/>
        </w:rPr>
        <w:t>nization’s prevailing cost allocation methods for upgrades or</w:t>
      </w:r>
      <w:r>
        <w:rPr>
          <w:spacing w:val="-16"/>
          <w:w w:val="115"/>
          <w:sz w:val="16"/>
        </w:rPr>
        <w:t xml:space="preserve"> </w:t>
      </w:r>
      <w:r>
        <w:rPr>
          <w:w w:val="115"/>
          <w:sz w:val="16"/>
        </w:rPr>
        <w:t>expansions.</w:t>
      </w:r>
    </w:p>
    <w:p w:rsidR="0082473D" w:rsidRDefault="00DF2D33" w14:paraId="1626C3F7" w14:textId="77777777">
      <w:pPr>
        <w:pStyle w:val="ListParagraph"/>
        <w:numPr>
          <w:ilvl w:val="0"/>
          <w:numId w:val="2"/>
        </w:numPr>
        <w:tabs>
          <w:tab w:val="left" w:pos="774"/>
        </w:tabs>
        <w:spacing w:line="225" w:lineRule="auto"/>
        <w:ind w:left="198" w:right="916" w:firstLine="160"/>
        <w:jc w:val="both"/>
        <w:rPr>
          <w:sz w:val="16"/>
        </w:rPr>
      </w:pPr>
      <w:r>
        <w:rPr>
          <w:w w:val="115"/>
          <w:sz w:val="16"/>
        </w:rPr>
        <w:t xml:space="preserve">Long-term firm </w:t>
      </w:r>
      <w:r>
        <w:rPr>
          <w:spacing w:val="-2"/>
          <w:w w:val="115"/>
          <w:sz w:val="16"/>
        </w:rPr>
        <w:t xml:space="preserve">transmission </w:t>
      </w:r>
      <w:r>
        <w:rPr>
          <w:w w:val="115"/>
          <w:sz w:val="16"/>
        </w:rPr>
        <w:t xml:space="preserve">rights must be made available </w:t>
      </w:r>
      <w:r>
        <w:rPr>
          <w:spacing w:val="-3"/>
          <w:w w:val="115"/>
          <w:sz w:val="16"/>
        </w:rPr>
        <w:t xml:space="preserve">with </w:t>
      </w:r>
      <w:r>
        <w:rPr>
          <w:w w:val="115"/>
          <w:sz w:val="16"/>
        </w:rPr>
        <w:t xml:space="preserve">term lengths (and/or rights to renewal) that are sufficient to meet the needs of load serving entities to hedge </w:t>
      </w:r>
      <w:r>
        <w:rPr>
          <w:spacing w:val="-3"/>
          <w:w w:val="115"/>
          <w:sz w:val="16"/>
        </w:rPr>
        <w:t xml:space="preserve">long- </w:t>
      </w:r>
      <w:r>
        <w:rPr>
          <w:w w:val="115"/>
          <w:sz w:val="16"/>
        </w:rPr>
        <w:t xml:space="preserve">term power supply arrangements </w:t>
      </w:r>
      <w:r>
        <w:rPr>
          <w:spacing w:val="-3"/>
          <w:w w:val="115"/>
          <w:sz w:val="16"/>
        </w:rPr>
        <w:t xml:space="preserve">made </w:t>
      </w:r>
      <w:r>
        <w:rPr>
          <w:w w:val="115"/>
          <w:sz w:val="16"/>
        </w:rPr>
        <w:t xml:space="preserve">or planned to satisfy a service obliga- tion. The length of term of renewals may be different from the original term. Transmission organizations </w:t>
      </w:r>
      <w:r>
        <w:rPr>
          <w:spacing w:val="-5"/>
          <w:w w:val="115"/>
          <w:sz w:val="16"/>
        </w:rPr>
        <w:t xml:space="preserve">may </w:t>
      </w:r>
      <w:r>
        <w:rPr>
          <w:w w:val="115"/>
          <w:sz w:val="16"/>
        </w:rPr>
        <w:t xml:space="preserve">propose rules specifying the length </w:t>
      </w:r>
      <w:r>
        <w:rPr>
          <w:spacing w:val="-7"/>
          <w:w w:val="115"/>
          <w:sz w:val="16"/>
        </w:rPr>
        <w:t xml:space="preserve">of </w:t>
      </w:r>
      <w:r>
        <w:rPr>
          <w:w w:val="115"/>
          <w:sz w:val="16"/>
        </w:rPr>
        <w:t xml:space="preserve">terms and use of renewal rights to </w:t>
      </w:r>
      <w:r>
        <w:rPr>
          <w:spacing w:val="-4"/>
          <w:w w:val="115"/>
          <w:sz w:val="16"/>
        </w:rPr>
        <w:t xml:space="preserve">pro- </w:t>
      </w:r>
      <w:r>
        <w:rPr>
          <w:w w:val="115"/>
          <w:sz w:val="16"/>
        </w:rPr>
        <w:t xml:space="preserve">vide long-term coverage, but must </w:t>
      </w:r>
      <w:r>
        <w:rPr>
          <w:spacing w:val="-9"/>
          <w:w w:val="115"/>
          <w:sz w:val="16"/>
        </w:rPr>
        <w:t xml:space="preserve">be </w:t>
      </w:r>
      <w:r>
        <w:rPr>
          <w:w w:val="115"/>
          <w:sz w:val="16"/>
        </w:rPr>
        <w:t xml:space="preserve">able to offer firm coverage for at </w:t>
      </w:r>
      <w:r>
        <w:rPr>
          <w:spacing w:val="-3"/>
          <w:w w:val="115"/>
          <w:sz w:val="16"/>
        </w:rPr>
        <w:t xml:space="preserve">least  </w:t>
      </w:r>
      <w:r>
        <w:rPr>
          <w:w w:val="115"/>
          <w:sz w:val="16"/>
        </w:rPr>
        <w:t>a 10 year period.</w:t>
      </w:r>
    </w:p>
    <w:p w:rsidR="0082473D" w:rsidRDefault="00DF2D33" w14:paraId="68389CE4" w14:textId="77777777">
      <w:pPr>
        <w:pStyle w:val="ListParagraph"/>
        <w:numPr>
          <w:ilvl w:val="0"/>
          <w:numId w:val="2"/>
        </w:numPr>
        <w:tabs>
          <w:tab w:val="left" w:pos="662"/>
        </w:tabs>
        <w:spacing w:line="165" w:lineRule="exact"/>
        <w:ind w:left="661" w:hanging="303"/>
        <w:jc w:val="left"/>
        <w:rPr>
          <w:sz w:val="16"/>
        </w:rPr>
      </w:pPr>
      <w:r>
        <w:rPr>
          <w:w w:val="115"/>
          <w:sz w:val="16"/>
        </w:rPr>
        <w:t>Load serving entities must</w:t>
      </w:r>
      <w:r>
        <w:rPr>
          <w:spacing w:val="21"/>
          <w:w w:val="115"/>
          <w:sz w:val="16"/>
        </w:rPr>
        <w:t xml:space="preserve"> </w:t>
      </w:r>
      <w:r>
        <w:rPr>
          <w:w w:val="115"/>
          <w:sz w:val="16"/>
        </w:rPr>
        <w:t>have</w:t>
      </w:r>
    </w:p>
    <w:p w:rsidR="0082473D" w:rsidRDefault="00DF2D33" w14:paraId="5EE7BF94" w14:textId="77777777">
      <w:pPr>
        <w:pStyle w:val="BodyText"/>
        <w:spacing w:line="225" w:lineRule="auto"/>
        <w:ind w:left="198" w:right="916"/>
      </w:pPr>
      <w:r>
        <w:rPr>
          <w:w w:val="115"/>
        </w:rPr>
        <w:t>priority over non-load serving entities in the allocation of long-term firm transmission rights that are supported by existing capacity. The transmission organization may propose reasonable limits on the amount of existing capac- ity used to support long-term firm transmission rights.</w:t>
      </w:r>
    </w:p>
    <w:p w:rsidR="0082473D" w:rsidRDefault="00DF2D33" w14:paraId="7BAD680E" w14:textId="77777777">
      <w:pPr>
        <w:pStyle w:val="ListParagraph"/>
        <w:numPr>
          <w:ilvl w:val="0"/>
          <w:numId w:val="2"/>
        </w:numPr>
        <w:tabs>
          <w:tab w:val="left" w:pos="688"/>
        </w:tabs>
        <w:spacing w:line="225" w:lineRule="auto"/>
        <w:ind w:left="198" w:right="916" w:firstLine="160"/>
        <w:jc w:val="both"/>
        <w:rPr>
          <w:sz w:val="16"/>
        </w:rPr>
      </w:pPr>
      <w:r>
        <w:rPr>
          <w:w w:val="115"/>
          <w:sz w:val="16"/>
        </w:rPr>
        <w:t xml:space="preserve">A long-term transmission </w:t>
      </w:r>
      <w:r>
        <w:rPr>
          <w:spacing w:val="-3"/>
          <w:w w:val="115"/>
          <w:sz w:val="16"/>
        </w:rPr>
        <w:t xml:space="preserve">right </w:t>
      </w:r>
      <w:r>
        <w:rPr>
          <w:w w:val="115"/>
          <w:sz w:val="16"/>
        </w:rPr>
        <w:t xml:space="preserve">held by a load serving entity to </w:t>
      </w:r>
      <w:r>
        <w:rPr>
          <w:spacing w:val="-3"/>
          <w:w w:val="115"/>
          <w:sz w:val="16"/>
        </w:rPr>
        <w:t xml:space="preserve">support </w:t>
      </w:r>
      <w:r>
        <w:rPr>
          <w:w w:val="115"/>
          <w:sz w:val="16"/>
        </w:rPr>
        <w:t xml:space="preserve">a service obligation should be </w:t>
      </w:r>
      <w:r>
        <w:rPr>
          <w:spacing w:val="-3"/>
          <w:w w:val="115"/>
          <w:sz w:val="16"/>
        </w:rPr>
        <w:t xml:space="preserve">re-as- </w:t>
      </w:r>
      <w:r>
        <w:rPr>
          <w:w w:val="115"/>
          <w:sz w:val="16"/>
        </w:rPr>
        <w:t xml:space="preserve">signable to another entity that </w:t>
      </w:r>
      <w:r>
        <w:rPr>
          <w:spacing w:val="-5"/>
          <w:w w:val="115"/>
          <w:sz w:val="16"/>
        </w:rPr>
        <w:t xml:space="preserve">ac- </w:t>
      </w:r>
      <w:r>
        <w:rPr>
          <w:w w:val="115"/>
          <w:sz w:val="16"/>
        </w:rPr>
        <w:t>quires that service</w:t>
      </w:r>
      <w:r>
        <w:rPr>
          <w:spacing w:val="7"/>
          <w:w w:val="115"/>
          <w:sz w:val="16"/>
        </w:rPr>
        <w:t xml:space="preserve"> </w:t>
      </w:r>
      <w:r>
        <w:rPr>
          <w:w w:val="115"/>
          <w:sz w:val="16"/>
        </w:rPr>
        <w:t>obligation.</w:t>
      </w:r>
    </w:p>
    <w:p w:rsidR="0082473D" w:rsidRDefault="00DF2D33" w14:paraId="467DD261" w14:textId="77777777">
      <w:pPr>
        <w:pStyle w:val="ListParagraph"/>
        <w:numPr>
          <w:ilvl w:val="0"/>
          <w:numId w:val="2"/>
        </w:numPr>
        <w:tabs>
          <w:tab w:val="left" w:pos="633"/>
        </w:tabs>
        <w:spacing w:line="225" w:lineRule="auto"/>
        <w:ind w:left="198" w:right="916" w:firstLine="160"/>
        <w:jc w:val="both"/>
        <w:rPr>
          <w:sz w:val="16"/>
        </w:rPr>
      </w:pPr>
      <w:r>
        <w:rPr>
          <w:w w:val="115"/>
          <w:sz w:val="16"/>
        </w:rPr>
        <w:t xml:space="preserve">The initial allocation of the </w:t>
      </w:r>
      <w:r>
        <w:rPr>
          <w:spacing w:val="-3"/>
          <w:w w:val="115"/>
          <w:sz w:val="16"/>
        </w:rPr>
        <w:t xml:space="preserve">long- </w:t>
      </w:r>
      <w:r>
        <w:rPr>
          <w:w w:val="115"/>
          <w:sz w:val="16"/>
        </w:rPr>
        <w:t xml:space="preserve">term firm transmission rights shall </w:t>
      </w:r>
      <w:r>
        <w:rPr>
          <w:spacing w:val="-4"/>
          <w:w w:val="115"/>
          <w:sz w:val="16"/>
        </w:rPr>
        <w:t xml:space="preserve">not </w:t>
      </w:r>
      <w:r>
        <w:rPr>
          <w:w w:val="115"/>
          <w:sz w:val="16"/>
        </w:rPr>
        <w:t xml:space="preserve">require recipients to participate in </w:t>
      </w:r>
      <w:r>
        <w:rPr>
          <w:spacing w:val="-8"/>
          <w:w w:val="115"/>
          <w:sz w:val="16"/>
        </w:rPr>
        <w:t xml:space="preserve">an </w:t>
      </w:r>
      <w:r>
        <w:rPr>
          <w:w w:val="115"/>
          <w:sz w:val="16"/>
        </w:rPr>
        <w:t>auction.</w:t>
      </w:r>
    </w:p>
    <w:p w:rsidR="0082473D" w:rsidRDefault="0082473D" w14:paraId="63FC9F4A" w14:textId="77777777">
      <w:pPr>
        <w:pStyle w:val="BodyText"/>
        <w:jc w:val="left"/>
        <w:rPr>
          <w:sz w:val="15"/>
        </w:rPr>
      </w:pPr>
    </w:p>
    <w:p w:rsidR="0082473D" w:rsidRDefault="00DF2D33" w14:paraId="6D77C1BB" w14:textId="77777777">
      <w:pPr>
        <w:pStyle w:val="Heading1"/>
        <w:spacing w:line="196" w:lineRule="auto"/>
        <w:ind w:right="918"/>
      </w:pPr>
      <w:r>
        <w:t xml:space="preserve">PART 45—APPLICATION FOR </w:t>
      </w:r>
      <w:r>
        <w:rPr>
          <w:spacing w:val="-6"/>
        </w:rPr>
        <w:t xml:space="preserve">AU- </w:t>
      </w:r>
      <w:r>
        <w:t xml:space="preserve">THORITY TO HOLD </w:t>
      </w:r>
      <w:r>
        <w:rPr>
          <w:spacing w:val="-3"/>
        </w:rPr>
        <w:t xml:space="preserve">INTER- </w:t>
      </w:r>
      <w:r>
        <w:t>LOCKING</w:t>
      </w:r>
      <w:r>
        <w:rPr>
          <w:spacing w:val="10"/>
        </w:rPr>
        <w:t xml:space="preserve"> </w:t>
      </w:r>
      <w:r>
        <w:t>POSITIONS</w:t>
      </w:r>
    </w:p>
    <w:p w:rsidR="0082473D" w:rsidRDefault="00DF2D33" w14:paraId="265019B2" w14:textId="77777777">
      <w:pPr>
        <w:spacing w:before="183" w:line="164" w:lineRule="exact"/>
        <w:ind w:left="198"/>
        <w:jc w:val="both"/>
        <w:rPr>
          <w:sz w:val="14"/>
        </w:rPr>
      </w:pPr>
      <w:r>
        <w:rPr>
          <w:w w:val="120"/>
          <w:sz w:val="14"/>
        </w:rPr>
        <w:t>Sec.</w:t>
      </w:r>
    </w:p>
    <w:p w:rsidR="0082473D" w:rsidRDefault="00DF2D33" w14:paraId="69F697C1" w14:textId="77777777">
      <w:pPr>
        <w:pStyle w:val="ListParagraph"/>
        <w:numPr>
          <w:ilvl w:val="1"/>
          <w:numId w:val="1"/>
        </w:numPr>
        <w:tabs>
          <w:tab w:val="left" w:pos="595"/>
        </w:tabs>
        <w:spacing w:line="160" w:lineRule="exact"/>
        <w:ind w:hanging="396"/>
        <w:jc w:val="both"/>
        <w:rPr>
          <w:sz w:val="14"/>
        </w:rPr>
      </w:pPr>
      <w:r>
        <w:rPr>
          <w:w w:val="115"/>
          <w:sz w:val="14"/>
        </w:rPr>
        <w:t>Applicability; who must</w:t>
      </w:r>
      <w:r>
        <w:rPr>
          <w:spacing w:val="5"/>
          <w:w w:val="115"/>
          <w:sz w:val="14"/>
        </w:rPr>
        <w:t xml:space="preserve"> </w:t>
      </w:r>
      <w:r>
        <w:rPr>
          <w:w w:val="115"/>
          <w:sz w:val="14"/>
        </w:rPr>
        <w:t>file.</w:t>
      </w:r>
    </w:p>
    <w:p w:rsidR="0082473D" w:rsidRDefault="00DF2D33" w14:paraId="3428BC01" w14:textId="77777777">
      <w:pPr>
        <w:pStyle w:val="ListParagraph"/>
        <w:numPr>
          <w:ilvl w:val="1"/>
          <w:numId w:val="1"/>
        </w:numPr>
        <w:tabs>
          <w:tab w:val="left" w:pos="595"/>
        </w:tabs>
        <w:spacing w:line="160" w:lineRule="exact"/>
        <w:ind w:hanging="396"/>
        <w:jc w:val="both"/>
        <w:rPr>
          <w:sz w:val="14"/>
        </w:rPr>
      </w:pPr>
      <w:r>
        <w:rPr>
          <w:w w:val="115"/>
          <w:sz w:val="14"/>
        </w:rPr>
        <w:t>Positions requiring</w:t>
      </w:r>
      <w:r>
        <w:rPr>
          <w:spacing w:val="3"/>
          <w:w w:val="115"/>
          <w:sz w:val="14"/>
        </w:rPr>
        <w:t xml:space="preserve"> </w:t>
      </w:r>
      <w:r>
        <w:rPr>
          <w:w w:val="115"/>
          <w:sz w:val="14"/>
        </w:rPr>
        <w:t>authorization.</w:t>
      </w:r>
    </w:p>
    <w:p w:rsidR="0082473D" w:rsidRDefault="00DF2D33" w14:paraId="19C133A1" w14:textId="77777777">
      <w:pPr>
        <w:pStyle w:val="ListParagraph"/>
        <w:numPr>
          <w:ilvl w:val="1"/>
          <w:numId w:val="1"/>
        </w:numPr>
        <w:tabs>
          <w:tab w:val="left" w:pos="595"/>
        </w:tabs>
        <w:spacing w:line="160" w:lineRule="exact"/>
        <w:ind w:hanging="396"/>
        <w:jc w:val="both"/>
        <w:rPr>
          <w:sz w:val="14"/>
        </w:rPr>
      </w:pPr>
      <w:r>
        <w:rPr>
          <w:w w:val="120"/>
          <w:sz w:val="14"/>
        </w:rPr>
        <w:t>Time of filing</w:t>
      </w:r>
      <w:r>
        <w:rPr>
          <w:spacing w:val="-6"/>
          <w:w w:val="120"/>
          <w:sz w:val="14"/>
        </w:rPr>
        <w:t xml:space="preserve"> </w:t>
      </w:r>
      <w:r>
        <w:rPr>
          <w:w w:val="120"/>
          <w:sz w:val="14"/>
        </w:rPr>
        <w:t>application.</w:t>
      </w:r>
    </w:p>
    <w:p w:rsidR="0082473D" w:rsidRDefault="00DF2D33" w14:paraId="23E662FC" w14:textId="77777777">
      <w:pPr>
        <w:pStyle w:val="ListParagraph"/>
        <w:numPr>
          <w:ilvl w:val="1"/>
          <w:numId w:val="1"/>
        </w:numPr>
        <w:tabs>
          <w:tab w:val="left" w:pos="595"/>
        </w:tabs>
        <w:spacing w:line="164" w:lineRule="exact"/>
        <w:ind w:hanging="396"/>
        <w:jc w:val="both"/>
        <w:rPr>
          <w:sz w:val="14"/>
        </w:rPr>
      </w:pPr>
      <w:r>
        <w:rPr>
          <w:w w:val="115"/>
          <w:sz w:val="14"/>
        </w:rPr>
        <w:t>Supplemental</w:t>
      </w:r>
      <w:r>
        <w:rPr>
          <w:spacing w:val="1"/>
          <w:w w:val="115"/>
          <w:sz w:val="14"/>
        </w:rPr>
        <w:t xml:space="preserve"> </w:t>
      </w:r>
      <w:r>
        <w:rPr>
          <w:w w:val="115"/>
          <w:sz w:val="14"/>
        </w:rPr>
        <w:t>applications.</w:t>
      </w:r>
    </w:p>
    <w:sectPr w:rsidR="0082473D">
      <w:type w:val="continuous"/>
      <w:pgSz w:w="12240" w:h="15840"/>
      <w:pgMar w:top="0" w:right="1720" w:bottom="0" w:left="1720" w:header="720" w:footer="720" w:gutter="0"/>
      <w:cols w:equalWidth="0" w:space="720" w:num="2">
        <w:col w:w="4282" w:space="40"/>
        <w:col w:w="44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B86D1" w14:textId="77777777" w:rsidR="00C97637" w:rsidRDefault="00DF2D33">
      <w:r>
        <w:separator/>
      </w:r>
    </w:p>
  </w:endnote>
  <w:endnote w:type="continuationSeparator" w:id="0">
    <w:p w14:paraId="2881F739" w14:textId="77777777" w:rsidR="00C97637" w:rsidRDefault="00DF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entury Schoolbook">
    <w:altName w:val="Century Schoolbook"/>
    <w:panose1 w:val="020406040505050203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88CE4" w14:textId="306DF658" w:rsidR="0082473D" w:rsidRDefault="00114353">
    <w:pPr>
      <w:pStyle w:val="Body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42D66B3C" wp14:editId="4DD2F0D5">
              <wp:simplePos x="0" y="0"/>
              <wp:positionH relativeFrom="page">
                <wp:posOffset>3765550</wp:posOffset>
              </wp:positionH>
              <wp:positionV relativeFrom="page">
                <wp:posOffset>9090660</wp:posOffset>
              </wp:positionV>
              <wp:extent cx="241300" cy="169545"/>
              <wp:effectExtent l="3175"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CA5DA" w14:textId="77777777" w:rsidR="0082473D" w:rsidRDefault="00DF2D33">
                          <w:pPr>
                            <w:spacing w:before="6"/>
                            <w:ind w:left="40"/>
                            <w:rPr>
                              <w:sz w:val="20"/>
                            </w:rPr>
                          </w:pPr>
                          <w:r>
                            <w:fldChar w:fldCharType="begin"/>
                          </w:r>
                          <w:r>
                            <w:rPr>
                              <w:w w:val="95"/>
                              <w:sz w:val="20"/>
                            </w:rPr>
                            <w:instrText xml:space="preserve"> PAGE </w:instrText>
                          </w:r>
                          <w:r>
                            <w:fldChar w:fldCharType="separate"/>
                          </w:r>
                          <w:r>
                            <w:rPr>
                              <w:noProof/>
                              <w:w w:val="95"/>
                              <w:sz w:val="20"/>
                            </w:rPr>
                            <w:t>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66B3C" id="_x0000_t202" coordsize="21600,21600" o:spt="202" path="m,l,21600r21600,l21600,xe">
              <v:stroke joinstyle="miter"/>
              <v:path gradientshapeok="t" o:connecttype="rect"/>
            </v:shapetype>
            <v:shape id="Text Box 1" o:spid="_x0000_s1026" type="#_x0000_t202" style="position:absolute;margin-left:296.5pt;margin-top:715.8pt;width:19pt;height:13.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" filled="f" stroked="f">
              <v:textbox inset="0,0,0,0">
                <w:txbxContent>
                  <w:p w14:paraId="36DCA5DA" w14:textId="77777777" w:rsidR="0082473D" w:rsidRDefault="00DF2D33">
                    <w:pPr>
                      <w:spacing w:before="6"/>
                      <w:ind w:left="40"/>
                      <w:rPr>
                        <w:sz w:val="20"/>
                      </w:rPr>
                    </w:pPr>
                    <w:r>
                      <w:fldChar w:fldCharType="begin"/>
                    </w:r>
                    <w:r>
                      <w:rPr>
                        <w:w w:val="95"/>
                        <w:sz w:val="20"/>
                      </w:rPr>
                      <w:instrText xml:space="preserve"> PAGE </w:instrText>
                    </w:r>
                    <w:r>
                      <w:fldChar w:fldCharType="separate"/>
                    </w:r>
                    <w:r>
                      <w:rPr>
                        <w:noProof/>
                        <w:w w:val="95"/>
                        <w:sz w:val="20"/>
                      </w:rPr>
                      <w:t>375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01990" w14:textId="77777777" w:rsidR="00C97637" w:rsidRDefault="00DF2D33">
      <w:r>
        <w:separator/>
      </w:r>
    </w:p>
  </w:footnote>
  <w:footnote w:type="continuationSeparator" w:id="0">
    <w:p w14:paraId="6F38801E" w14:textId="77777777" w:rsidR="00C97637" w:rsidRDefault="00DF2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B53D9"/>
    <w:multiLevelType w:val="multilevel"/>
    <w:tmpl w:val="D55A8DE2"/>
    <w:lvl w:ilvl="0">
      <w:start w:val="45"/>
      <w:numFmt w:val="decimal"/>
      <w:lvlText w:val="%1"/>
      <w:lvlJc w:val="left"/>
      <w:pPr>
        <w:ind w:left="594" w:hanging="397"/>
        <w:jc w:val="left"/>
      </w:pPr>
      <w:rPr>
        <w:rFonts w:hint="default"/>
      </w:rPr>
    </w:lvl>
    <w:lvl w:ilvl="1">
      <w:start w:val="1"/>
      <w:numFmt w:val="decimal"/>
      <w:lvlText w:val="%1.%2"/>
      <w:lvlJc w:val="left"/>
      <w:pPr>
        <w:ind w:left="594" w:hanging="397"/>
        <w:jc w:val="left"/>
      </w:pPr>
      <w:rPr>
        <w:rFonts w:ascii="Century" w:eastAsia="Century" w:hAnsi="Century" w:cs="Century" w:hint="default"/>
        <w:w w:val="94"/>
        <w:sz w:val="14"/>
        <w:szCs w:val="14"/>
      </w:rPr>
    </w:lvl>
    <w:lvl w:ilvl="2">
      <w:numFmt w:val="bullet"/>
      <w:lvlText w:val="•"/>
      <w:lvlJc w:val="left"/>
      <w:pPr>
        <w:ind w:left="1375" w:hanging="397"/>
      </w:pPr>
      <w:rPr>
        <w:rFonts w:hint="default"/>
      </w:rPr>
    </w:lvl>
    <w:lvl w:ilvl="3">
      <w:numFmt w:val="bullet"/>
      <w:lvlText w:val="•"/>
      <w:lvlJc w:val="left"/>
      <w:pPr>
        <w:ind w:left="1763" w:hanging="397"/>
      </w:pPr>
      <w:rPr>
        <w:rFonts w:hint="default"/>
      </w:rPr>
    </w:lvl>
    <w:lvl w:ilvl="4">
      <w:numFmt w:val="bullet"/>
      <w:lvlText w:val="•"/>
      <w:lvlJc w:val="left"/>
      <w:pPr>
        <w:ind w:left="2151" w:hanging="397"/>
      </w:pPr>
      <w:rPr>
        <w:rFonts w:hint="default"/>
      </w:rPr>
    </w:lvl>
    <w:lvl w:ilvl="5">
      <w:numFmt w:val="bullet"/>
      <w:lvlText w:val="•"/>
      <w:lvlJc w:val="left"/>
      <w:pPr>
        <w:ind w:left="2539" w:hanging="397"/>
      </w:pPr>
      <w:rPr>
        <w:rFonts w:hint="default"/>
      </w:rPr>
    </w:lvl>
    <w:lvl w:ilvl="6">
      <w:numFmt w:val="bullet"/>
      <w:lvlText w:val="•"/>
      <w:lvlJc w:val="left"/>
      <w:pPr>
        <w:ind w:left="2926" w:hanging="397"/>
      </w:pPr>
      <w:rPr>
        <w:rFonts w:hint="default"/>
      </w:rPr>
    </w:lvl>
    <w:lvl w:ilvl="7">
      <w:numFmt w:val="bullet"/>
      <w:lvlText w:val="•"/>
      <w:lvlJc w:val="left"/>
      <w:pPr>
        <w:ind w:left="3314" w:hanging="397"/>
      </w:pPr>
      <w:rPr>
        <w:rFonts w:hint="default"/>
      </w:rPr>
    </w:lvl>
    <w:lvl w:ilvl="8">
      <w:numFmt w:val="bullet"/>
      <w:lvlText w:val="•"/>
      <w:lvlJc w:val="left"/>
      <w:pPr>
        <w:ind w:left="3702" w:hanging="397"/>
      </w:pPr>
      <w:rPr>
        <w:rFonts w:hint="default"/>
      </w:rPr>
    </w:lvl>
  </w:abstractNum>
  <w:abstractNum w:abstractNumId="1" w15:restartNumberingAfterBreak="0">
    <w:nsid w:val="06AE7ECF"/>
    <w:multiLevelType w:val="hybridMultilevel"/>
    <w:tmpl w:val="24948F2E"/>
    <w:lvl w:ilvl="0" w:tplc="44DAE25C">
      <w:start w:val="1"/>
      <w:numFmt w:val="lowerLetter"/>
      <w:lvlText w:val="(%1)"/>
      <w:lvlJc w:val="left"/>
      <w:pPr>
        <w:ind w:left="197" w:hanging="329"/>
        <w:jc w:val="right"/>
      </w:pPr>
      <w:rPr>
        <w:rFonts w:ascii="Century" w:eastAsia="Century" w:hAnsi="Century" w:cs="Century" w:hint="default"/>
        <w:w w:val="115"/>
        <w:sz w:val="16"/>
        <w:szCs w:val="16"/>
      </w:rPr>
    </w:lvl>
    <w:lvl w:ilvl="1" w:tplc="A8C4E416">
      <w:start w:val="1"/>
      <w:numFmt w:val="decimal"/>
      <w:lvlText w:val="(%2)"/>
      <w:lvlJc w:val="left"/>
      <w:pPr>
        <w:ind w:left="197" w:hanging="274"/>
        <w:jc w:val="left"/>
      </w:pPr>
      <w:rPr>
        <w:rFonts w:ascii="Century" w:eastAsia="Century" w:hAnsi="Century" w:cs="Century" w:hint="default"/>
        <w:w w:val="105"/>
        <w:sz w:val="16"/>
        <w:szCs w:val="16"/>
      </w:rPr>
    </w:lvl>
    <w:lvl w:ilvl="2" w:tplc="B7A016B8">
      <w:numFmt w:val="bullet"/>
      <w:lvlText w:val="•"/>
      <w:lvlJc w:val="left"/>
      <w:pPr>
        <w:ind w:left="1055" w:hanging="274"/>
      </w:pPr>
      <w:rPr>
        <w:rFonts w:hint="default"/>
      </w:rPr>
    </w:lvl>
    <w:lvl w:ilvl="3" w:tplc="13424828">
      <w:numFmt w:val="bullet"/>
      <w:lvlText w:val="•"/>
      <w:lvlJc w:val="left"/>
      <w:pPr>
        <w:ind w:left="1483" w:hanging="274"/>
      </w:pPr>
      <w:rPr>
        <w:rFonts w:hint="default"/>
      </w:rPr>
    </w:lvl>
    <w:lvl w:ilvl="4" w:tplc="B24A5D0E">
      <w:numFmt w:val="bullet"/>
      <w:lvlText w:val="•"/>
      <w:lvlJc w:val="left"/>
      <w:pPr>
        <w:ind w:left="1910" w:hanging="274"/>
      </w:pPr>
      <w:rPr>
        <w:rFonts w:hint="default"/>
      </w:rPr>
    </w:lvl>
    <w:lvl w:ilvl="5" w:tplc="5BA0630C">
      <w:numFmt w:val="bullet"/>
      <w:lvlText w:val="•"/>
      <w:lvlJc w:val="left"/>
      <w:pPr>
        <w:ind w:left="2338" w:hanging="274"/>
      </w:pPr>
      <w:rPr>
        <w:rFonts w:hint="default"/>
      </w:rPr>
    </w:lvl>
    <w:lvl w:ilvl="6" w:tplc="50F2E68C">
      <w:numFmt w:val="bullet"/>
      <w:lvlText w:val="•"/>
      <w:lvlJc w:val="left"/>
      <w:pPr>
        <w:ind w:left="2766" w:hanging="274"/>
      </w:pPr>
      <w:rPr>
        <w:rFonts w:hint="default"/>
      </w:rPr>
    </w:lvl>
    <w:lvl w:ilvl="7" w:tplc="4232F8D6">
      <w:numFmt w:val="bullet"/>
      <w:lvlText w:val="•"/>
      <w:lvlJc w:val="left"/>
      <w:pPr>
        <w:ind w:left="3194" w:hanging="274"/>
      </w:pPr>
      <w:rPr>
        <w:rFonts w:hint="default"/>
      </w:rPr>
    </w:lvl>
    <w:lvl w:ilvl="8" w:tplc="C2EC6E66">
      <w:numFmt w:val="bullet"/>
      <w:lvlText w:val="•"/>
      <w:lvlJc w:val="left"/>
      <w:pPr>
        <w:ind w:left="3621" w:hanging="274"/>
      </w:pPr>
      <w:rPr>
        <w:rFonts w:hint="default"/>
      </w:rPr>
    </w:lvl>
  </w:abstractNum>
  <w:abstractNum w:abstractNumId="2" w15:restartNumberingAfterBreak="0">
    <w:nsid w:val="224861E1"/>
    <w:multiLevelType w:val="hybridMultilevel"/>
    <w:tmpl w:val="7B443B76"/>
    <w:lvl w:ilvl="0" w:tplc="7926319A">
      <w:start w:val="1"/>
      <w:numFmt w:val="decimal"/>
      <w:lvlText w:val="(%1)"/>
      <w:lvlJc w:val="left"/>
      <w:pPr>
        <w:ind w:left="920" w:hanging="298"/>
        <w:jc w:val="right"/>
      </w:pPr>
      <w:rPr>
        <w:rFonts w:ascii="Century" w:eastAsia="Century" w:hAnsi="Century" w:cs="Century" w:hint="default"/>
        <w:w w:val="105"/>
        <w:sz w:val="16"/>
        <w:szCs w:val="16"/>
      </w:rPr>
    </w:lvl>
    <w:lvl w:ilvl="1" w:tplc="3940B84A">
      <w:numFmt w:val="bullet"/>
      <w:lvlText w:val="•"/>
      <w:lvlJc w:val="left"/>
      <w:pPr>
        <w:ind w:left="1256" w:hanging="298"/>
      </w:pPr>
      <w:rPr>
        <w:rFonts w:hint="default"/>
      </w:rPr>
    </w:lvl>
    <w:lvl w:ilvl="2" w:tplc="97701E2E">
      <w:numFmt w:val="bullet"/>
      <w:lvlText w:val="•"/>
      <w:lvlJc w:val="left"/>
      <w:pPr>
        <w:ind w:left="1592" w:hanging="298"/>
      </w:pPr>
      <w:rPr>
        <w:rFonts w:hint="default"/>
      </w:rPr>
    </w:lvl>
    <w:lvl w:ilvl="3" w:tplc="26A25FFA">
      <w:numFmt w:val="bullet"/>
      <w:lvlText w:val="•"/>
      <w:lvlJc w:val="left"/>
      <w:pPr>
        <w:ind w:left="1928" w:hanging="298"/>
      </w:pPr>
      <w:rPr>
        <w:rFonts w:hint="default"/>
      </w:rPr>
    </w:lvl>
    <w:lvl w:ilvl="4" w:tplc="5DB0899A">
      <w:numFmt w:val="bullet"/>
      <w:lvlText w:val="•"/>
      <w:lvlJc w:val="left"/>
      <w:pPr>
        <w:ind w:left="2264" w:hanging="298"/>
      </w:pPr>
      <w:rPr>
        <w:rFonts w:hint="default"/>
      </w:rPr>
    </w:lvl>
    <w:lvl w:ilvl="5" w:tplc="84041A8E">
      <w:numFmt w:val="bullet"/>
      <w:lvlText w:val="•"/>
      <w:lvlJc w:val="left"/>
      <w:pPr>
        <w:ind w:left="2600" w:hanging="298"/>
      </w:pPr>
      <w:rPr>
        <w:rFonts w:hint="default"/>
      </w:rPr>
    </w:lvl>
    <w:lvl w:ilvl="6" w:tplc="1A2C9456">
      <w:numFmt w:val="bullet"/>
      <w:lvlText w:val="•"/>
      <w:lvlJc w:val="left"/>
      <w:pPr>
        <w:ind w:left="2937" w:hanging="298"/>
      </w:pPr>
      <w:rPr>
        <w:rFonts w:hint="default"/>
      </w:rPr>
    </w:lvl>
    <w:lvl w:ilvl="7" w:tplc="2A72BD10">
      <w:numFmt w:val="bullet"/>
      <w:lvlText w:val="•"/>
      <w:lvlJc w:val="left"/>
      <w:pPr>
        <w:ind w:left="3273" w:hanging="298"/>
      </w:pPr>
      <w:rPr>
        <w:rFonts w:hint="default"/>
      </w:rPr>
    </w:lvl>
    <w:lvl w:ilvl="8" w:tplc="C6FAE04E">
      <w:numFmt w:val="bullet"/>
      <w:lvlText w:val="•"/>
      <w:lvlJc w:val="left"/>
      <w:pPr>
        <w:ind w:left="3609" w:hanging="298"/>
      </w:pPr>
      <w:rPr>
        <w:rFonts w:hint="default"/>
      </w:rPr>
    </w:lvl>
  </w:abstractNum>
  <w:abstractNum w:abstractNumId="3" w15:restartNumberingAfterBreak="0">
    <w:nsid w:val="2BBF6E9B"/>
    <w:multiLevelType w:val="hybridMultilevel"/>
    <w:tmpl w:val="EE64FC94"/>
    <w:lvl w:ilvl="0" w:tplc="577CA654">
      <w:start w:val="1"/>
      <w:numFmt w:val="lowerRoman"/>
      <w:lvlText w:val="(%1)"/>
      <w:lvlJc w:val="left"/>
      <w:pPr>
        <w:ind w:left="920" w:hanging="297"/>
        <w:jc w:val="left"/>
      </w:pPr>
      <w:rPr>
        <w:rFonts w:ascii="Century" w:eastAsia="Century" w:hAnsi="Century" w:cs="Century" w:hint="default"/>
        <w:w w:val="121"/>
        <w:sz w:val="16"/>
        <w:szCs w:val="16"/>
      </w:rPr>
    </w:lvl>
    <w:lvl w:ilvl="1" w:tplc="6AAA7F62">
      <w:numFmt w:val="bullet"/>
      <w:lvlText w:val="•"/>
      <w:lvlJc w:val="left"/>
      <w:pPr>
        <w:ind w:left="1256" w:hanging="297"/>
      </w:pPr>
      <w:rPr>
        <w:rFonts w:hint="default"/>
      </w:rPr>
    </w:lvl>
    <w:lvl w:ilvl="2" w:tplc="6472C5AE">
      <w:numFmt w:val="bullet"/>
      <w:lvlText w:val="•"/>
      <w:lvlJc w:val="left"/>
      <w:pPr>
        <w:ind w:left="1592" w:hanging="297"/>
      </w:pPr>
      <w:rPr>
        <w:rFonts w:hint="default"/>
      </w:rPr>
    </w:lvl>
    <w:lvl w:ilvl="3" w:tplc="28469198">
      <w:numFmt w:val="bullet"/>
      <w:lvlText w:val="•"/>
      <w:lvlJc w:val="left"/>
      <w:pPr>
        <w:ind w:left="1928" w:hanging="297"/>
      </w:pPr>
      <w:rPr>
        <w:rFonts w:hint="default"/>
      </w:rPr>
    </w:lvl>
    <w:lvl w:ilvl="4" w:tplc="11787030">
      <w:numFmt w:val="bullet"/>
      <w:lvlText w:val="•"/>
      <w:lvlJc w:val="left"/>
      <w:pPr>
        <w:ind w:left="2264" w:hanging="297"/>
      </w:pPr>
      <w:rPr>
        <w:rFonts w:hint="default"/>
      </w:rPr>
    </w:lvl>
    <w:lvl w:ilvl="5" w:tplc="666A537C">
      <w:numFmt w:val="bullet"/>
      <w:lvlText w:val="•"/>
      <w:lvlJc w:val="left"/>
      <w:pPr>
        <w:ind w:left="2600" w:hanging="297"/>
      </w:pPr>
      <w:rPr>
        <w:rFonts w:hint="default"/>
      </w:rPr>
    </w:lvl>
    <w:lvl w:ilvl="6" w:tplc="31CA9A1C">
      <w:numFmt w:val="bullet"/>
      <w:lvlText w:val="•"/>
      <w:lvlJc w:val="left"/>
      <w:pPr>
        <w:ind w:left="2937" w:hanging="297"/>
      </w:pPr>
      <w:rPr>
        <w:rFonts w:hint="default"/>
      </w:rPr>
    </w:lvl>
    <w:lvl w:ilvl="7" w:tplc="C906A192">
      <w:numFmt w:val="bullet"/>
      <w:lvlText w:val="•"/>
      <w:lvlJc w:val="left"/>
      <w:pPr>
        <w:ind w:left="3273" w:hanging="297"/>
      </w:pPr>
      <w:rPr>
        <w:rFonts w:hint="default"/>
      </w:rPr>
    </w:lvl>
    <w:lvl w:ilvl="8" w:tplc="FEF2178E">
      <w:numFmt w:val="bullet"/>
      <w:lvlText w:val="•"/>
      <w:lvlJc w:val="left"/>
      <w:pPr>
        <w:ind w:left="3609" w:hanging="297"/>
      </w:pPr>
      <w:rPr>
        <w:rFonts w:hint="default"/>
      </w:rPr>
    </w:lvl>
  </w:abstractNum>
  <w:abstractNum w:abstractNumId="4" w15:restartNumberingAfterBreak="0">
    <w:nsid w:val="5A257D04"/>
    <w:multiLevelType w:val="hybridMultilevel"/>
    <w:tmpl w:val="9AE024E0"/>
    <w:lvl w:ilvl="0" w:tplc="327653E4">
      <w:start w:val="2"/>
      <w:numFmt w:val="decimal"/>
      <w:lvlText w:val="(%1)"/>
      <w:lvlJc w:val="left"/>
      <w:pPr>
        <w:ind w:left="920" w:hanging="261"/>
        <w:jc w:val="left"/>
      </w:pPr>
      <w:rPr>
        <w:rFonts w:ascii="Century" w:eastAsia="Century" w:hAnsi="Century" w:cs="Century" w:hint="default"/>
        <w:w w:val="105"/>
        <w:sz w:val="16"/>
        <w:szCs w:val="16"/>
      </w:rPr>
    </w:lvl>
    <w:lvl w:ilvl="1" w:tplc="D13A45F6">
      <w:numFmt w:val="bullet"/>
      <w:lvlText w:val="•"/>
      <w:lvlJc w:val="left"/>
      <w:pPr>
        <w:ind w:left="1256" w:hanging="261"/>
      </w:pPr>
      <w:rPr>
        <w:rFonts w:hint="default"/>
      </w:rPr>
    </w:lvl>
    <w:lvl w:ilvl="2" w:tplc="559215CA">
      <w:numFmt w:val="bullet"/>
      <w:lvlText w:val="•"/>
      <w:lvlJc w:val="left"/>
      <w:pPr>
        <w:ind w:left="1592" w:hanging="261"/>
      </w:pPr>
      <w:rPr>
        <w:rFonts w:hint="default"/>
      </w:rPr>
    </w:lvl>
    <w:lvl w:ilvl="3" w:tplc="5170B9FC">
      <w:numFmt w:val="bullet"/>
      <w:lvlText w:val="•"/>
      <w:lvlJc w:val="left"/>
      <w:pPr>
        <w:ind w:left="1928" w:hanging="261"/>
      </w:pPr>
      <w:rPr>
        <w:rFonts w:hint="default"/>
      </w:rPr>
    </w:lvl>
    <w:lvl w:ilvl="4" w:tplc="9C8AE8BA">
      <w:numFmt w:val="bullet"/>
      <w:lvlText w:val="•"/>
      <w:lvlJc w:val="left"/>
      <w:pPr>
        <w:ind w:left="2264" w:hanging="261"/>
      </w:pPr>
      <w:rPr>
        <w:rFonts w:hint="default"/>
      </w:rPr>
    </w:lvl>
    <w:lvl w:ilvl="5" w:tplc="EF32E668">
      <w:numFmt w:val="bullet"/>
      <w:lvlText w:val="•"/>
      <w:lvlJc w:val="left"/>
      <w:pPr>
        <w:ind w:left="2600" w:hanging="261"/>
      </w:pPr>
      <w:rPr>
        <w:rFonts w:hint="default"/>
      </w:rPr>
    </w:lvl>
    <w:lvl w:ilvl="6" w:tplc="B874D518">
      <w:numFmt w:val="bullet"/>
      <w:lvlText w:val="•"/>
      <w:lvlJc w:val="left"/>
      <w:pPr>
        <w:ind w:left="2937" w:hanging="261"/>
      </w:pPr>
      <w:rPr>
        <w:rFonts w:hint="default"/>
      </w:rPr>
    </w:lvl>
    <w:lvl w:ilvl="7" w:tplc="B004012E">
      <w:numFmt w:val="bullet"/>
      <w:lvlText w:val="•"/>
      <w:lvlJc w:val="left"/>
      <w:pPr>
        <w:ind w:left="3273" w:hanging="261"/>
      </w:pPr>
      <w:rPr>
        <w:rFonts w:hint="default"/>
      </w:rPr>
    </w:lvl>
    <w:lvl w:ilvl="8" w:tplc="BD307F20">
      <w:numFmt w:val="bullet"/>
      <w:lvlText w:val="•"/>
      <w:lvlJc w:val="left"/>
      <w:pPr>
        <w:ind w:left="3609" w:hanging="261"/>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3D"/>
    <w:rsid w:val="00114353"/>
    <w:rsid w:val="0082473D"/>
    <w:rsid w:val="00C97637"/>
    <w:rsid w:val="00DF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48C1E"/>
  <w15:docId w15:val="{FF92D3DB-A8ED-4A81-99F2-5530E3D3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w:eastAsia="Century" w:hAnsi="Century" w:cs="Century"/>
    </w:rPr>
  </w:style>
  <w:style w:type="paragraph" w:styleId="Heading1">
    <w:name w:val="heading 1"/>
    <w:basedOn w:val="Normal"/>
    <w:uiPriority w:val="1"/>
    <w:qFormat/>
    <w:pPr>
      <w:ind w:left="398" w:hanging="200"/>
      <w:jc w:val="both"/>
      <w:outlineLvl w:val="0"/>
    </w:pPr>
    <w:rPr>
      <w:rFonts w:ascii="Century Gothic" w:eastAsia="Century Gothic" w:hAnsi="Century Gothic" w:cs="Century Gothic"/>
      <w:b/>
      <w:bCs/>
      <w:sz w:val="20"/>
      <w:szCs w:val="20"/>
    </w:rPr>
  </w:style>
  <w:style w:type="paragraph" w:styleId="Heading2">
    <w:name w:val="heading 2"/>
    <w:basedOn w:val="Normal"/>
    <w:uiPriority w:val="1"/>
    <w:qFormat/>
    <w:pPr>
      <w:spacing w:before="104"/>
      <w:ind w:left="920"/>
      <w:outlineLvl w:val="1"/>
    </w:pPr>
    <w:rPr>
      <w:rFonts w:ascii="Century Gothic" w:eastAsia="Century Gothic" w:hAnsi="Century Gothic" w:cs="Century Gothic"/>
      <w:b/>
      <w:bCs/>
      <w:sz w:val="18"/>
      <w:szCs w:val="18"/>
    </w:rPr>
  </w:style>
  <w:style w:type="paragraph" w:styleId="Heading3">
    <w:name w:val="heading 3"/>
    <w:basedOn w:val="Normal"/>
    <w:uiPriority w:val="1"/>
    <w:qFormat/>
    <w:pPr>
      <w:ind w:left="517" w:hanging="320"/>
      <w:outlineLvl w:val="2"/>
    </w:pPr>
    <w:rPr>
      <w:rFonts w:ascii="Century Schoolbook" w:eastAsia="Century Schoolbook" w:hAnsi="Century Schoolbook" w:cs="Century Schoolbook"/>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6"/>
      <w:szCs w:val="16"/>
    </w:rPr>
  </w:style>
  <w:style w:type="paragraph" w:styleId="ListParagraph">
    <w:name w:val="List Paragraph"/>
    <w:basedOn w:val="Normal"/>
    <w:uiPriority w:val="1"/>
    <w:qFormat/>
    <w:pPr>
      <w:ind w:left="197" w:firstLine="1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6976</Characters>
  <Application>Microsoft Office Word</Application>
  <DocSecurity>0</DocSecurity>
  <Lines>58</Lines>
  <Paragraphs>16</Paragraphs>
  <ScaleCrop>false</ScaleCrop>
  <Company>General Services Administration</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2022-01-26T13:24:00Z</dcterms:created>
  <dcterms:modified xsi:type="dcterms:W3CDTF">2022-01-26T13:24:00Z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2018-08-02T00:00:00Z</vt:filetime>
  </property>
  <property fmtid="{D5CDD505-2E9C-101B-9397-08002B2CF9AE}" pid="3" name="LastSaved">
    <vt:filetime>2019-01-31T00:00:00Z</vt:filetime>
  </property>
</Properties>
</file>