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47919" w14:textId="42036CC4" w:rsidR="00043987" w:rsidRPr="003B4AEE" w:rsidRDefault="007F2877" w:rsidP="001814FD">
      <w:pPr>
        <w:pStyle w:val="Title"/>
        <w:rPr>
          <w:rFonts w:ascii="Cambria" w:hAnsi="Cambria"/>
        </w:rPr>
      </w:pPr>
      <w:r w:rsidRPr="003B4AEE">
        <w:rPr>
          <w:rFonts w:ascii="Cambria" w:hAnsi="Cambria"/>
        </w:rPr>
        <w:t>ICR Supporting Statement</w:t>
      </w:r>
      <w:r w:rsidR="00F949B2" w:rsidRPr="003B4AEE">
        <w:rPr>
          <w:rFonts w:ascii="Cambria" w:hAnsi="Cambria"/>
        </w:rPr>
        <w:br/>
      </w:r>
      <w:r w:rsidR="00E0187E" w:rsidRPr="003B4AEE">
        <w:rPr>
          <w:rFonts w:ascii="Cambria" w:hAnsi="Cambria"/>
        </w:rPr>
        <w:t>Information Collection Request for</w:t>
      </w:r>
      <w:r w:rsidR="00B172BE" w:rsidRPr="003B4AEE">
        <w:rPr>
          <w:rFonts w:ascii="Cambria" w:hAnsi="Cambria"/>
        </w:rPr>
        <w:br/>
      </w:r>
      <w:r w:rsidR="00E0187E" w:rsidRPr="003B4AEE">
        <w:rPr>
          <w:rFonts w:ascii="Cambria" w:hAnsi="Cambria"/>
        </w:rPr>
        <w:t>National Pollutant Discharge Elimination</w:t>
      </w:r>
      <w:r w:rsidR="00F949B2" w:rsidRPr="003B4AEE">
        <w:rPr>
          <w:rFonts w:ascii="Cambria" w:hAnsi="Cambria"/>
        </w:rPr>
        <w:br/>
      </w:r>
      <w:r w:rsidR="00E0187E" w:rsidRPr="003B4AEE">
        <w:rPr>
          <w:rFonts w:ascii="Cambria" w:hAnsi="Cambria"/>
        </w:rPr>
        <w:t>System Program (Renewal)</w:t>
      </w:r>
    </w:p>
    <w:p w14:paraId="7FB46566" w14:textId="520F8349" w:rsidR="00043987" w:rsidRPr="003B4AEE" w:rsidRDefault="00F949B2" w:rsidP="001814FD">
      <w:pPr>
        <w:pStyle w:val="Subtitle"/>
        <w:rPr>
          <w:rFonts w:ascii="Cambria" w:hAnsi="Cambria"/>
          <w:lang w:val="es-US"/>
        </w:rPr>
      </w:pPr>
      <w:r w:rsidRPr="00815421">
        <w:rPr>
          <w:rFonts w:ascii="Cambria" w:hAnsi="Cambria"/>
          <w:lang w:val="es-MX"/>
        </w:rPr>
        <w:br/>
      </w:r>
      <w:r w:rsidR="00E0187E" w:rsidRPr="003B4AEE">
        <w:rPr>
          <w:rFonts w:ascii="Cambria" w:hAnsi="Cambria"/>
          <w:lang w:val="es-US"/>
        </w:rPr>
        <w:t>OMB Control No. 2040-0004, EPA ICR No. 0229.2</w:t>
      </w:r>
      <w:r w:rsidR="00431739" w:rsidRPr="003B4AEE">
        <w:rPr>
          <w:rFonts w:ascii="Cambria" w:hAnsi="Cambria"/>
          <w:lang w:val="es-US"/>
        </w:rPr>
        <w:t>5</w:t>
      </w:r>
    </w:p>
    <w:p w14:paraId="4093ED40" w14:textId="77777777" w:rsidR="00043987" w:rsidRPr="003B4AEE" w:rsidRDefault="00043987" w:rsidP="00043987">
      <w:pPr>
        <w:jc w:val="center"/>
        <w:rPr>
          <w:b/>
          <w:lang w:val="es-US"/>
        </w:rPr>
      </w:pPr>
    </w:p>
    <w:p w14:paraId="3405BF93" w14:textId="77777777" w:rsidR="00043987" w:rsidRPr="003B4AEE" w:rsidRDefault="00043987" w:rsidP="00043987">
      <w:pPr>
        <w:jc w:val="center"/>
        <w:rPr>
          <w:lang w:val="es-US"/>
        </w:rPr>
      </w:pPr>
    </w:p>
    <w:p w14:paraId="0378E9C5" w14:textId="30BBBE50" w:rsidR="001814FD" w:rsidRPr="003B4AEE" w:rsidRDefault="001814FD" w:rsidP="00043987">
      <w:pPr>
        <w:jc w:val="center"/>
        <w:rPr>
          <w:lang w:val="es-US"/>
        </w:rPr>
      </w:pPr>
    </w:p>
    <w:p w14:paraId="30BA2CC8" w14:textId="77777777" w:rsidR="0051630C" w:rsidRPr="003B4AEE" w:rsidRDefault="0051630C" w:rsidP="00043987">
      <w:pPr>
        <w:jc w:val="center"/>
        <w:rPr>
          <w:lang w:val="es-US"/>
        </w:rPr>
      </w:pPr>
    </w:p>
    <w:p w14:paraId="060188F8" w14:textId="00D1C4E5" w:rsidR="00043987" w:rsidRPr="003B4AEE" w:rsidRDefault="00B60FA7" w:rsidP="00043987">
      <w:pPr>
        <w:jc w:val="center"/>
      </w:pPr>
      <w:r w:rsidRPr="00D403C0">
        <w:t xml:space="preserve">December </w:t>
      </w:r>
      <w:r w:rsidR="00655758" w:rsidRPr="00D403C0">
        <w:t>2021</w:t>
      </w:r>
    </w:p>
    <w:p w14:paraId="0FAAE713" w14:textId="07AB386F" w:rsidR="00043987" w:rsidRPr="003B4AEE" w:rsidRDefault="00043987" w:rsidP="00043987">
      <w:pPr>
        <w:jc w:val="center"/>
      </w:pPr>
    </w:p>
    <w:p w14:paraId="4EA0AE83" w14:textId="77777777" w:rsidR="001814FD" w:rsidRPr="003B4AEE" w:rsidRDefault="001814FD" w:rsidP="00043987">
      <w:pPr>
        <w:jc w:val="center"/>
      </w:pPr>
    </w:p>
    <w:p w14:paraId="2A6F889D" w14:textId="77777777" w:rsidR="00043987" w:rsidRPr="003B4AEE" w:rsidRDefault="00043987" w:rsidP="00043987">
      <w:pPr>
        <w:jc w:val="center"/>
      </w:pPr>
    </w:p>
    <w:p w14:paraId="3A8692BD" w14:textId="77777777" w:rsidR="00241E34" w:rsidRPr="003B4AEE" w:rsidRDefault="00241E34">
      <w:pPr>
        <w:autoSpaceDE/>
        <w:autoSpaceDN/>
        <w:adjustRightInd/>
        <w:spacing w:after="160" w:line="259" w:lineRule="auto"/>
        <w:sectPr w:rsidR="00241E34" w:rsidRPr="003B4AEE" w:rsidSect="006A489B">
          <w:headerReference w:type="default" r:id="rId11"/>
          <w:footerReference w:type="default" r:id="rId12"/>
          <w:pgSz w:w="12240" w:h="15840" w:code="1"/>
          <w:pgMar w:top="1440" w:right="1440" w:bottom="1440" w:left="1440" w:header="720" w:footer="720" w:gutter="0"/>
          <w:pgNumType w:start="1"/>
          <w:cols w:space="720"/>
          <w:docGrid w:linePitch="360"/>
        </w:sectPr>
      </w:pPr>
    </w:p>
    <w:p w14:paraId="64C73DBA" w14:textId="5CAC39DE" w:rsidR="003D263B" w:rsidRPr="003B4AEE" w:rsidRDefault="00693057" w:rsidP="001A6DA0">
      <w:pPr>
        <w:spacing w:after="240"/>
        <w:jc w:val="center"/>
        <w:rPr>
          <w:rFonts w:eastAsiaTheme="majorEastAsia"/>
          <w:b/>
          <w:bCs/>
        </w:rPr>
      </w:pPr>
      <w:r w:rsidRPr="003B4AEE">
        <w:rPr>
          <w:rFonts w:eastAsiaTheme="majorEastAsia"/>
          <w:b/>
          <w:bCs/>
        </w:rPr>
        <w:lastRenderedPageBreak/>
        <w:t>Table of Contents</w:t>
      </w:r>
    </w:p>
    <w:p w14:paraId="5634F20F" w14:textId="5F6B2047" w:rsidR="00693057" w:rsidRPr="003B4AEE" w:rsidRDefault="00693057" w:rsidP="00693057">
      <w:pPr>
        <w:spacing w:after="240"/>
        <w:jc w:val="right"/>
        <w:rPr>
          <w:rFonts w:eastAsiaTheme="majorEastAsia"/>
          <w:b/>
          <w:bCs/>
        </w:rPr>
      </w:pPr>
      <w:r w:rsidRPr="003B4AEE">
        <w:rPr>
          <w:rFonts w:eastAsiaTheme="majorEastAsia"/>
          <w:b/>
          <w:bCs/>
        </w:rPr>
        <w:t>Page</w:t>
      </w:r>
    </w:p>
    <w:p w14:paraId="2DC3DD6D" w14:textId="0583126A" w:rsidR="00623F37" w:rsidRPr="003B4AEE" w:rsidRDefault="001A6DA0">
      <w:pPr>
        <w:pStyle w:val="TOC1"/>
        <w:rPr>
          <w:rFonts w:asciiTheme="minorHAnsi" w:eastAsiaTheme="minorEastAsia" w:hAnsiTheme="minorHAnsi" w:cstheme="minorBidi"/>
          <w:b w:val="0"/>
          <w:noProof/>
          <w:sz w:val="22"/>
          <w:szCs w:val="22"/>
        </w:rPr>
      </w:pPr>
      <w:r w:rsidRPr="003B4AEE">
        <w:rPr>
          <w:b w:val="0"/>
        </w:rPr>
        <w:fldChar w:fldCharType="begin"/>
      </w:r>
      <w:r w:rsidRPr="003B4AEE">
        <w:rPr>
          <w:b w:val="0"/>
        </w:rPr>
        <w:instrText xml:space="preserve"> TOC \o "3-3" \h \z \u \t "Heading 1,1,Heading 2,2" </w:instrText>
      </w:r>
      <w:r w:rsidRPr="003B4AEE">
        <w:rPr>
          <w:b w:val="0"/>
        </w:rPr>
        <w:fldChar w:fldCharType="separate"/>
      </w:r>
      <w:hyperlink w:anchor="_Toc71729986" w:history="1">
        <w:r w:rsidR="00623F37" w:rsidRPr="003B4AEE">
          <w:rPr>
            <w:rStyle w:val="Hyperlink"/>
            <w:noProof/>
          </w:rPr>
          <w:t>A.</w:t>
        </w:r>
        <w:r w:rsidR="00623F37" w:rsidRPr="003B4AEE">
          <w:rPr>
            <w:rFonts w:asciiTheme="minorHAnsi" w:eastAsiaTheme="minorEastAsia" w:hAnsiTheme="minorHAnsi" w:cstheme="minorBidi"/>
            <w:b w:val="0"/>
            <w:noProof/>
            <w:sz w:val="22"/>
            <w:szCs w:val="22"/>
          </w:rPr>
          <w:tab/>
        </w:r>
        <w:r w:rsidR="00623F37" w:rsidRPr="003B4AEE">
          <w:rPr>
            <w:rStyle w:val="Hyperlink"/>
            <w:noProof/>
          </w:rPr>
          <w:t>Justification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_Toc71729986 \h </w:instrText>
        </w:r>
        <w:r w:rsidR="00623F37" w:rsidRPr="003B4AEE">
          <w:rPr>
            <w:noProof/>
            <w:webHidden/>
          </w:rPr>
        </w:r>
        <w:r w:rsidR="00623F37" w:rsidRPr="003B4AEE">
          <w:rPr>
            <w:noProof/>
            <w:webHidden/>
          </w:rPr>
          <w:fldChar w:fldCharType="separate"/>
        </w:r>
        <w:r w:rsidR="00623F37" w:rsidRPr="003B4AEE">
          <w:rPr>
            <w:noProof/>
            <w:webHidden/>
          </w:rPr>
          <w:t>1</w:t>
        </w:r>
        <w:r w:rsidR="00623F37" w:rsidRPr="003B4AEE">
          <w:rPr>
            <w:noProof/>
            <w:webHidden/>
          </w:rPr>
          <w:fldChar w:fldCharType="end"/>
        </w:r>
      </w:hyperlink>
    </w:p>
    <w:p w14:paraId="4E125CDD" w14:textId="4682EB5B"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87" w:history="1">
        <w:r w:rsidR="00623F37" w:rsidRPr="003B4AEE">
          <w:rPr>
            <w:rStyle w:val="Hyperlink"/>
            <w:noProof/>
          </w:rPr>
          <w:t>1.</w:t>
        </w:r>
        <w:r w:rsidR="00623F37" w:rsidRPr="003B4AEE">
          <w:rPr>
            <w:rFonts w:asciiTheme="minorHAnsi" w:eastAsiaTheme="minorEastAsia" w:hAnsiTheme="minorHAnsi" w:cstheme="minorBidi"/>
            <w:noProof/>
            <w:sz w:val="22"/>
            <w:szCs w:val="22"/>
          </w:rPr>
          <w:tab/>
        </w:r>
        <w:r w:rsidR="00623F37" w:rsidRPr="003B4AEE">
          <w:rPr>
            <w:rStyle w:val="Hyperlink"/>
            <w:noProof/>
          </w:rPr>
          <w:t>Explain the circumstances that make the collection necessary and explain the legal or administrative requirements relevant to the collection and attach a copy of the statute or regulation authorizing the collection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_Toc71729987 \h </w:instrText>
        </w:r>
        <w:r w:rsidR="00623F37" w:rsidRPr="003B4AEE">
          <w:rPr>
            <w:noProof/>
            <w:webHidden/>
          </w:rPr>
        </w:r>
        <w:r w:rsidR="00623F37" w:rsidRPr="003B4AEE">
          <w:rPr>
            <w:noProof/>
            <w:webHidden/>
          </w:rPr>
          <w:fldChar w:fldCharType="separate"/>
        </w:r>
        <w:r w:rsidR="00623F37" w:rsidRPr="003B4AEE">
          <w:rPr>
            <w:noProof/>
            <w:webHidden/>
          </w:rPr>
          <w:t>1</w:t>
        </w:r>
        <w:r w:rsidR="00623F37" w:rsidRPr="003B4AEE">
          <w:rPr>
            <w:noProof/>
            <w:webHidden/>
          </w:rPr>
          <w:fldChar w:fldCharType="end"/>
        </w:r>
      </w:hyperlink>
    </w:p>
    <w:p w14:paraId="318161F4" w14:textId="2A9C577F" w:rsidR="00623F37" w:rsidRPr="003B4AEE" w:rsidRDefault="00D403C0">
      <w:pPr>
        <w:pStyle w:val="TOC3"/>
        <w:tabs>
          <w:tab w:val="left" w:pos="1980"/>
        </w:tabs>
        <w:rPr>
          <w:rFonts w:asciiTheme="minorHAnsi" w:eastAsiaTheme="minorEastAsia" w:hAnsiTheme="minorHAnsi" w:cstheme="minorBidi"/>
          <w:sz w:val="22"/>
          <w:szCs w:val="22"/>
        </w:rPr>
      </w:pPr>
      <w:hyperlink w:anchor="_Toc71729988" w:history="1">
        <w:r w:rsidR="00623F37" w:rsidRPr="003B4AEE">
          <w:rPr>
            <w:rStyle w:val="Hyperlink"/>
          </w:rPr>
          <w:t>1.1</w:t>
        </w:r>
        <w:r w:rsidR="00623F37" w:rsidRPr="003B4AEE">
          <w:rPr>
            <w:rFonts w:asciiTheme="minorHAnsi" w:eastAsiaTheme="minorEastAsia" w:hAnsiTheme="minorHAnsi" w:cstheme="minorBidi"/>
            <w:sz w:val="22"/>
            <w:szCs w:val="22"/>
          </w:rPr>
          <w:tab/>
        </w:r>
        <w:r w:rsidR="00623F37" w:rsidRPr="003B4AEE">
          <w:rPr>
            <w:rStyle w:val="Hyperlink"/>
          </w:rPr>
          <w:t>Short Characterization/Abstract</w:t>
        </w:r>
        <w:r w:rsidR="00623F37" w:rsidRPr="003B4AEE">
          <w:rPr>
            <w:webHidden/>
          </w:rPr>
          <w:tab/>
        </w:r>
        <w:r w:rsidR="00623F37" w:rsidRPr="003B4AEE">
          <w:rPr>
            <w:webHidden/>
          </w:rPr>
          <w:fldChar w:fldCharType="begin"/>
        </w:r>
        <w:r w:rsidR="00623F37" w:rsidRPr="003B4AEE">
          <w:rPr>
            <w:webHidden/>
          </w:rPr>
          <w:instrText xml:space="preserve"> PAGEREF _Toc71729988 \h </w:instrText>
        </w:r>
        <w:r w:rsidR="00623F37" w:rsidRPr="003B4AEE">
          <w:rPr>
            <w:webHidden/>
          </w:rPr>
        </w:r>
        <w:r w:rsidR="00623F37" w:rsidRPr="003B4AEE">
          <w:rPr>
            <w:webHidden/>
          </w:rPr>
          <w:fldChar w:fldCharType="separate"/>
        </w:r>
        <w:r w:rsidR="00623F37" w:rsidRPr="003B4AEE">
          <w:rPr>
            <w:webHidden/>
          </w:rPr>
          <w:t>1</w:t>
        </w:r>
        <w:r w:rsidR="00623F37" w:rsidRPr="003B4AEE">
          <w:rPr>
            <w:webHidden/>
          </w:rPr>
          <w:fldChar w:fldCharType="end"/>
        </w:r>
      </w:hyperlink>
    </w:p>
    <w:p w14:paraId="4B97950C" w14:textId="70015DC9" w:rsidR="00623F37" w:rsidRPr="003B4AEE" w:rsidRDefault="00D403C0">
      <w:pPr>
        <w:pStyle w:val="TOC3"/>
        <w:tabs>
          <w:tab w:val="left" w:pos="1980"/>
        </w:tabs>
        <w:rPr>
          <w:rFonts w:asciiTheme="minorHAnsi" w:eastAsiaTheme="minorEastAsia" w:hAnsiTheme="minorHAnsi" w:cstheme="minorBidi"/>
          <w:sz w:val="22"/>
          <w:szCs w:val="22"/>
        </w:rPr>
      </w:pPr>
      <w:hyperlink w:anchor="_Toc71729989" w:history="1">
        <w:r w:rsidR="00623F37" w:rsidRPr="003B4AEE">
          <w:rPr>
            <w:rStyle w:val="Hyperlink"/>
          </w:rPr>
          <w:t>1.2</w:t>
        </w:r>
        <w:r w:rsidR="00623F37" w:rsidRPr="003B4AEE">
          <w:rPr>
            <w:rFonts w:asciiTheme="minorHAnsi" w:eastAsiaTheme="minorEastAsia" w:hAnsiTheme="minorHAnsi" w:cstheme="minorBidi"/>
            <w:sz w:val="22"/>
            <w:szCs w:val="22"/>
          </w:rPr>
          <w:tab/>
        </w:r>
        <w:r w:rsidR="00623F37" w:rsidRPr="003B4AEE">
          <w:rPr>
            <w:rStyle w:val="Hyperlink"/>
          </w:rPr>
          <w:t>Need/Authority for the Collection</w:t>
        </w:r>
        <w:r w:rsidR="00623F37" w:rsidRPr="003B4AEE">
          <w:rPr>
            <w:webHidden/>
          </w:rPr>
          <w:tab/>
        </w:r>
        <w:r w:rsidR="00623F37" w:rsidRPr="003B4AEE">
          <w:rPr>
            <w:webHidden/>
          </w:rPr>
          <w:fldChar w:fldCharType="begin"/>
        </w:r>
        <w:r w:rsidR="00623F37" w:rsidRPr="003B4AEE">
          <w:rPr>
            <w:webHidden/>
          </w:rPr>
          <w:instrText xml:space="preserve"> PAGEREF _Toc71729989 \h </w:instrText>
        </w:r>
        <w:r w:rsidR="00623F37" w:rsidRPr="003B4AEE">
          <w:rPr>
            <w:webHidden/>
          </w:rPr>
        </w:r>
        <w:r w:rsidR="00623F37" w:rsidRPr="003B4AEE">
          <w:rPr>
            <w:webHidden/>
          </w:rPr>
          <w:fldChar w:fldCharType="separate"/>
        </w:r>
        <w:r w:rsidR="00623F37" w:rsidRPr="003B4AEE">
          <w:rPr>
            <w:webHidden/>
          </w:rPr>
          <w:t>2</w:t>
        </w:r>
        <w:r w:rsidR="00623F37" w:rsidRPr="003B4AEE">
          <w:rPr>
            <w:webHidden/>
          </w:rPr>
          <w:fldChar w:fldCharType="end"/>
        </w:r>
      </w:hyperlink>
    </w:p>
    <w:p w14:paraId="113DCB2C" w14:textId="5266855C"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0" w:history="1">
        <w:r w:rsidR="00623F37" w:rsidRPr="003B4AEE">
          <w:rPr>
            <w:rStyle w:val="Hyperlink"/>
            <w:noProof/>
          </w:rPr>
          <w:t>2.</w:t>
        </w:r>
        <w:r w:rsidR="00623F37" w:rsidRPr="003B4AEE">
          <w:rPr>
            <w:rFonts w:asciiTheme="minorHAnsi" w:eastAsiaTheme="minorEastAsia" w:hAnsiTheme="minorHAnsi" w:cstheme="minorBidi"/>
            <w:noProof/>
            <w:sz w:val="22"/>
            <w:szCs w:val="22"/>
          </w:rPr>
          <w:tab/>
        </w:r>
        <w:r w:rsidR="00623F37" w:rsidRPr="003B4AEE">
          <w:rPr>
            <w:rStyle w:val="Hyperlink"/>
            <w:noProof/>
          </w:rPr>
          <w:t>Indicate how, by whom and for what purpose the information is to be used</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_Toc71729990 \h </w:instrText>
        </w:r>
        <w:r w:rsidR="00623F37" w:rsidRPr="003B4AEE">
          <w:rPr>
            <w:noProof/>
            <w:webHidden/>
          </w:rPr>
        </w:r>
        <w:r w:rsidR="00623F37" w:rsidRPr="003B4AEE">
          <w:rPr>
            <w:noProof/>
            <w:webHidden/>
          </w:rPr>
          <w:fldChar w:fldCharType="separate"/>
        </w:r>
        <w:r w:rsidR="00623F37" w:rsidRPr="003B4AEE">
          <w:rPr>
            <w:noProof/>
            <w:webHidden/>
          </w:rPr>
          <w:t>7</w:t>
        </w:r>
        <w:r w:rsidR="00623F37" w:rsidRPr="003B4AEE">
          <w:rPr>
            <w:noProof/>
            <w:webHidden/>
          </w:rPr>
          <w:fldChar w:fldCharType="end"/>
        </w:r>
      </w:hyperlink>
    </w:p>
    <w:p w14:paraId="0AA81A59" w14:textId="5D6F357D"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2" w:history="1">
        <w:r w:rsidR="00623F37" w:rsidRPr="003B4AEE">
          <w:rPr>
            <w:rStyle w:val="Hyperlink"/>
            <w:noProof/>
          </w:rPr>
          <w:t>3.</w:t>
        </w:r>
        <w:r w:rsidR="00623F37" w:rsidRPr="003B4AEE">
          <w:rPr>
            <w:rFonts w:asciiTheme="minorHAnsi" w:eastAsiaTheme="minorEastAsia" w:hAnsiTheme="minorHAnsi" w:cstheme="minorBidi"/>
            <w:noProof/>
            <w:sz w:val="22"/>
            <w:szCs w:val="22"/>
          </w:rPr>
          <w:tab/>
        </w:r>
        <w:r w:rsidR="00623F37" w:rsidRPr="003B4AEE">
          <w:rPr>
            <w:rStyle w:val="Hyperlink"/>
            <w:noProof/>
          </w:rPr>
          <w:t>Describe whether and to what extent the collection involves the use of automated processes or information technology to aid with the collection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_Toc71729992 \h </w:instrText>
        </w:r>
        <w:r w:rsidR="00623F37" w:rsidRPr="003B4AEE">
          <w:rPr>
            <w:noProof/>
            <w:webHidden/>
          </w:rPr>
        </w:r>
        <w:r w:rsidR="00623F37" w:rsidRPr="003B4AEE">
          <w:rPr>
            <w:noProof/>
            <w:webHidden/>
          </w:rPr>
          <w:fldChar w:fldCharType="separate"/>
        </w:r>
        <w:r w:rsidR="00623F37" w:rsidRPr="003B4AEE">
          <w:rPr>
            <w:noProof/>
            <w:webHidden/>
          </w:rPr>
          <w:t>14</w:t>
        </w:r>
        <w:r w:rsidR="00623F37" w:rsidRPr="003B4AEE">
          <w:rPr>
            <w:noProof/>
            <w:webHidden/>
          </w:rPr>
          <w:fldChar w:fldCharType="end"/>
        </w:r>
      </w:hyperlink>
    </w:p>
    <w:p w14:paraId="6E07871F" w14:textId="686D0EC5"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3" w:history="1">
        <w:r w:rsidR="00623F37" w:rsidRPr="003B4AEE">
          <w:rPr>
            <w:rStyle w:val="Hyperlink"/>
            <w:noProof/>
          </w:rPr>
          <w:t>4.</w:t>
        </w:r>
        <w:r w:rsidR="00623F37" w:rsidRPr="003B4AEE">
          <w:rPr>
            <w:rFonts w:asciiTheme="minorHAnsi" w:eastAsiaTheme="minorEastAsia" w:hAnsiTheme="minorHAnsi" w:cstheme="minorBidi"/>
            <w:noProof/>
            <w:sz w:val="22"/>
            <w:szCs w:val="22"/>
          </w:rPr>
          <w:tab/>
        </w:r>
        <w:r w:rsidR="00623F37" w:rsidRPr="003B4AEE">
          <w:rPr>
            <w:rStyle w:val="Hyperlink"/>
            <w:noProof/>
          </w:rPr>
          <w:t>Describe the efforts to identify duplication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_Toc71729993 \h </w:instrText>
        </w:r>
        <w:r w:rsidR="00623F37" w:rsidRPr="003B4AEE">
          <w:rPr>
            <w:noProof/>
            <w:webHidden/>
          </w:rPr>
        </w:r>
        <w:r w:rsidR="00623F37" w:rsidRPr="003B4AEE">
          <w:rPr>
            <w:noProof/>
            <w:webHidden/>
          </w:rPr>
          <w:fldChar w:fldCharType="separate"/>
        </w:r>
        <w:r w:rsidR="00623F37" w:rsidRPr="003B4AEE">
          <w:rPr>
            <w:noProof/>
            <w:webHidden/>
          </w:rPr>
          <w:t>15</w:t>
        </w:r>
        <w:r w:rsidR="00623F37" w:rsidRPr="003B4AEE">
          <w:rPr>
            <w:noProof/>
            <w:webHidden/>
          </w:rPr>
          <w:fldChar w:fldCharType="end"/>
        </w:r>
      </w:hyperlink>
    </w:p>
    <w:p w14:paraId="31D79258" w14:textId="28B2D43C"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4" w:history="1">
        <w:r w:rsidR="00623F37" w:rsidRPr="003B4AEE">
          <w:rPr>
            <w:rStyle w:val="Hyperlink"/>
            <w:noProof/>
          </w:rPr>
          <w:t>5.</w:t>
        </w:r>
        <w:r w:rsidR="00623F37" w:rsidRPr="003B4AEE">
          <w:rPr>
            <w:rFonts w:asciiTheme="minorHAnsi" w:eastAsiaTheme="minorEastAsia" w:hAnsiTheme="minorHAnsi" w:cstheme="minorBidi"/>
            <w:noProof/>
            <w:sz w:val="22"/>
            <w:szCs w:val="22"/>
          </w:rPr>
          <w:tab/>
        </w:r>
        <w:r w:rsidR="00623F37" w:rsidRPr="003B4AEE">
          <w:rPr>
            <w:rStyle w:val="Hyperlink"/>
            <w:noProof/>
          </w:rPr>
          <w:t>Explain whether or not the collection impacts small entities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_Toc71729994 \h </w:instrText>
        </w:r>
        <w:r w:rsidR="00623F37" w:rsidRPr="003B4AEE">
          <w:rPr>
            <w:noProof/>
            <w:webHidden/>
          </w:rPr>
        </w:r>
        <w:r w:rsidR="00623F37" w:rsidRPr="003B4AEE">
          <w:rPr>
            <w:noProof/>
            <w:webHidden/>
          </w:rPr>
          <w:fldChar w:fldCharType="separate"/>
        </w:r>
        <w:r w:rsidR="00623F37" w:rsidRPr="003B4AEE">
          <w:rPr>
            <w:noProof/>
            <w:webHidden/>
          </w:rPr>
          <w:t>16</w:t>
        </w:r>
        <w:r w:rsidR="00623F37" w:rsidRPr="003B4AEE">
          <w:rPr>
            <w:noProof/>
            <w:webHidden/>
          </w:rPr>
          <w:fldChar w:fldCharType="end"/>
        </w:r>
      </w:hyperlink>
    </w:p>
    <w:p w14:paraId="36160AF8" w14:textId="1D033670"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5" w:history="1">
        <w:r w:rsidR="00623F37" w:rsidRPr="003B4AEE">
          <w:rPr>
            <w:rStyle w:val="Hyperlink"/>
            <w:noProof/>
          </w:rPr>
          <w:t>6.</w:t>
        </w:r>
        <w:r w:rsidR="00623F37" w:rsidRPr="003B4AEE">
          <w:rPr>
            <w:rFonts w:asciiTheme="minorHAnsi" w:eastAsiaTheme="minorEastAsia" w:hAnsiTheme="minorHAnsi" w:cstheme="minorBidi"/>
            <w:noProof/>
            <w:sz w:val="22"/>
            <w:szCs w:val="22"/>
          </w:rPr>
          <w:tab/>
        </w:r>
        <w:r w:rsidR="00623F37" w:rsidRPr="003B4AEE">
          <w:rPr>
            <w:rStyle w:val="Hyperlink"/>
            <w:noProof/>
          </w:rPr>
          <w:t>Describe the consequences to the program if the collection is not conducted or is conducted less frequently</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_Toc71729995 \h </w:instrText>
        </w:r>
        <w:r w:rsidR="00623F37" w:rsidRPr="003B4AEE">
          <w:rPr>
            <w:noProof/>
            <w:webHidden/>
          </w:rPr>
        </w:r>
        <w:r w:rsidR="00623F37" w:rsidRPr="003B4AEE">
          <w:rPr>
            <w:noProof/>
            <w:webHidden/>
          </w:rPr>
          <w:fldChar w:fldCharType="separate"/>
        </w:r>
        <w:r w:rsidR="00623F37" w:rsidRPr="003B4AEE">
          <w:rPr>
            <w:noProof/>
            <w:webHidden/>
          </w:rPr>
          <w:t>19</w:t>
        </w:r>
        <w:r w:rsidR="00623F37" w:rsidRPr="003B4AEE">
          <w:rPr>
            <w:noProof/>
            <w:webHidden/>
          </w:rPr>
          <w:fldChar w:fldCharType="end"/>
        </w:r>
      </w:hyperlink>
    </w:p>
    <w:p w14:paraId="06AF8D23" w14:textId="53A750EA"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6" w:history="1">
        <w:r w:rsidR="00623F37" w:rsidRPr="003B4AEE">
          <w:rPr>
            <w:rStyle w:val="Hyperlink"/>
            <w:noProof/>
          </w:rPr>
          <w:t>7.</w:t>
        </w:r>
        <w:r w:rsidR="00623F37" w:rsidRPr="003B4AEE">
          <w:rPr>
            <w:rFonts w:asciiTheme="minorHAnsi" w:eastAsiaTheme="minorEastAsia" w:hAnsiTheme="minorHAnsi" w:cstheme="minorBidi"/>
            <w:noProof/>
            <w:sz w:val="22"/>
            <w:szCs w:val="22"/>
          </w:rPr>
          <w:tab/>
        </w:r>
        <w:r w:rsidR="00623F37" w:rsidRPr="003B4AEE">
          <w:rPr>
            <w:rStyle w:val="Hyperlink"/>
            <w:noProof/>
          </w:rPr>
          <w:t>Explain any special circumstances associated with “extraordinary burden” placed on respondents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_Toc71729996 \h </w:instrText>
        </w:r>
        <w:r w:rsidR="00623F37" w:rsidRPr="003B4AEE">
          <w:rPr>
            <w:noProof/>
            <w:webHidden/>
          </w:rPr>
        </w:r>
        <w:r w:rsidR="00623F37" w:rsidRPr="003B4AEE">
          <w:rPr>
            <w:noProof/>
            <w:webHidden/>
          </w:rPr>
          <w:fldChar w:fldCharType="separate"/>
        </w:r>
        <w:r w:rsidR="00623F37" w:rsidRPr="003B4AEE">
          <w:rPr>
            <w:noProof/>
            <w:webHidden/>
          </w:rPr>
          <w:t>21</w:t>
        </w:r>
        <w:r w:rsidR="00623F37" w:rsidRPr="003B4AEE">
          <w:rPr>
            <w:noProof/>
            <w:webHidden/>
          </w:rPr>
          <w:fldChar w:fldCharType="end"/>
        </w:r>
      </w:hyperlink>
    </w:p>
    <w:p w14:paraId="17C61E4E" w14:textId="010C69A2"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7" w:history="1">
        <w:r w:rsidR="00623F37" w:rsidRPr="003B4AEE">
          <w:rPr>
            <w:rStyle w:val="Hyperlink"/>
            <w:noProof/>
          </w:rPr>
          <w:t>8.</w:t>
        </w:r>
        <w:r w:rsidR="00623F37" w:rsidRPr="003B4AEE">
          <w:rPr>
            <w:rFonts w:asciiTheme="minorHAnsi" w:eastAsiaTheme="minorEastAsia" w:hAnsiTheme="minorHAnsi" w:cstheme="minorBidi"/>
            <w:noProof/>
            <w:sz w:val="22"/>
            <w:szCs w:val="22"/>
          </w:rPr>
          <w:tab/>
        </w:r>
        <w:r w:rsidR="00623F37" w:rsidRPr="003B4AEE">
          <w:rPr>
            <w:rStyle w:val="Hyperlink"/>
            <w:noProof/>
          </w:rPr>
          <w:t>Provide a copy and identify the date and page number of the notice in the Federal Register and describe efforts to consult with persons outside the agency</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_Toc71729997 \h </w:instrText>
        </w:r>
        <w:r w:rsidR="00623F37" w:rsidRPr="003B4AEE">
          <w:rPr>
            <w:noProof/>
            <w:webHidden/>
          </w:rPr>
        </w:r>
        <w:r w:rsidR="00623F37" w:rsidRPr="003B4AEE">
          <w:rPr>
            <w:noProof/>
            <w:webHidden/>
          </w:rPr>
          <w:fldChar w:fldCharType="separate"/>
        </w:r>
        <w:r w:rsidR="00623F37" w:rsidRPr="003B4AEE">
          <w:rPr>
            <w:noProof/>
            <w:webHidden/>
          </w:rPr>
          <w:t>21</w:t>
        </w:r>
        <w:r w:rsidR="00623F37" w:rsidRPr="003B4AEE">
          <w:rPr>
            <w:noProof/>
            <w:webHidden/>
          </w:rPr>
          <w:fldChar w:fldCharType="end"/>
        </w:r>
      </w:hyperlink>
    </w:p>
    <w:p w14:paraId="26855EB8" w14:textId="789D91AC"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8" w:history="1">
        <w:r w:rsidR="00623F37" w:rsidRPr="003B4AEE">
          <w:rPr>
            <w:rStyle w:val="Hyperlink"/>
            <w:noProof/>
          </w:rPr>
          <w:t>9.</w:t>
        </w:r>
        <w:r w:rsidR="00623F37" w:rsidRPr="003B4AEE">
          <w:rPr>
            <w:rFonts w:asciiTheme="minorHAnsi" w:eastAsiaTheme="minorEastAsia" w:hAnsiTheme="minorHAnsi" w:cstheme="minorBidi"/>
            <w:noProof/>
            <w:sz w:val="22"/>
            <w:szCs w:val="22"/>
          </w:rPr>
          <w:tab/>
        </w:r>
        <w:r w:rsidR="00623F37" w:rsidRPr="003B4AEE">
          <w:rPr>
            <w:rStyle w:val="Hyperlink"/>
            <w:noProof/>
          </w:rPr>
          <w:t>Explain any decision to provide compensation to respondents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_Toc71729998 \h </w:instrText>
        </w:r>
        <w:r w:rsidR="00623F37" w:rsidRPr="003B4AEE">
          <w:rPr>
            <w:noProof/>
            <w:webHidden/>
          </w:rPr>
        </w:r>
        <w:r w:rsidR="00623F37" w:rsidRPr="003B4AEE">
          <w:rPr>
            <w:noProof/>
            <w:webHidden/>
          </w:rPr>
          <w:fldChar w:fldCharType="separate"/>
        </w:r>
        <w:r w:rsidR="00623F37" w:rsidRPr="003B4AEE">
          <w:rPr>
            <w:noProof/>
            <w:webHidden/>
          </w:rPr>
          <w:t>22</w:t>
        </w:r>
        <w:r w:rsidR="00623F37" w:rsidRPr="003B4AEE">
          <w:rPr>
            <w:noProof/>
            <w:webHidden/>
          </w:rPr>
          <w:fldChar w:fldCharType="end"/>
        </w:r>
      </w:hyperlink>
    </w:p>
    <w:p w14:paraId="658F7E27" w14:textId="67F960D6"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29999" w:history="1">
        <w:r w:rsidR="00623F37" w:rsidRPr="003B4AEE">
          <w:rPr>
            <w:rStyle w:val="Hyperlink"/>
            <w:noProof/>
          </w:rPr>
          <w:t>10.</w:t>
        </w:r>
        <w:r w:rsidR="00623F37" w:rsidRPr="003B4AEE">
          <w:rPr>
            <w:rFonts w:asciiTheme="minorHAnsi" w:eastAsiaTheme="minorEastAsia" w:hAnsiTheme="minorHAnsi" w:cstheme="minorBidi"/>
            <w:noProof/>
            <w:sz w:val="22"/>
            <w:szCs w:val="22"/>
          </w:rPr>
          <w:tab/>
        </w:r>
        <w:r w:rsidR="00623F37" w:rsidRPr="003B4AEE">
          <w:rPr>
            <w:rStyle w:val="Hyperlink"/>
            <w:noProof/>
          </w:rPr>
          <w:t>Describe any assurance of confidentiality provided to respondents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_Toc71729999 \h </w:instrText>
        </w:r>
        <w:r w:rsidR="00623F37" w:rsidRPr="003B4AEE">
          <w:rPr>
            <w:noProof/>
            <w:webHidden/>
          </w:rPr>
        </w:r>
        <w:r w:rsidR="00623F37" w:rsidRPr="003B4AEE">
          <w:rPr>
            <w:noProof/>
            <w:webHidden/>
          </w:rPr>
          <w:fldChar w:fldCharType="separate"/>
        </w:r>
        <w:r w:rsidR="00623F37" w:rsidRPr="003B4AEE">
          <w:rPr>
            <w:noProof/>
            <w:webHidden/>
          </w:rPr>
          <w:t>22</w:t>
        </w:r>
        <w:r w:rsidR="00623F37" w:rsidRPr="003B4AEE">
          <w:rPr>
            <w:noProof/>
            <w:webHidden/>
          </w:rPr>
          <w:fldChar w:fldCharType="end"/>
        </w:r>
      </w:hyperlink>
    </w:p>
    <w:p w14:paraId="4CE778AE" w14:textId="52AACBD7"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0" w:history="1">
        <w:r w:rsidR="00623F37" w:rsidRPr="003B4AEE">
          <w:rPr>
            <w:rStyle w:val="Hyperlink"/>
            <w:noProof/>
          </w:rPr>
          <w:t>11.</w:t>
        </w:r>
        <w:r w:rsidR="00623F37" w:rsidRPr="003B4AEE">
          <w:rPr>
            <w:rFonts w:asciiTheme="minorHAnsi" w:eastAsiaTheme="minorEastAsia" w:hAnsiTheme="minorHAnsi" w:cstheme="minorBidi"/>
            <w:noProof/>
            <w:sz w:val="22"/>
            <w:szCs w:val="22"/>
          </w:rPr>
          <w:tab/>
        </w:r>
        <w:r w:rsidR="00623F37" w:rsidRPr="003B4AEE">
          <w:rPr>
            <w:rStyle w:val="Hyperlink"/>
            <w:noProof/>
          </w:rPr>
          <w:t>Provide additional justification for any questions of a sensitive nature</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_Toc71730000 \h </w:instrText>
        </w:r>
        <w:r w:rsidR="00623F37" w:rsidRPr="003B4AEE">
          <w:rPr>
            <w:noProof/>
            <w:webHidden/>
          </w:rPr>
        </w:r>
        <w:r w:rsidR="00623F37" w:rsidRPr="003B4AEE">
          <w:rPr>
            <w:noProof/>
            <w:webHidden/>
          </w:rPr>
          <w:fldChar w:fldCharType="separate"/>
        </w:r>
        <w:r w:rsidR="00623F37" w:rsidRPr="003B4AEE">
          <w:rPr>
            <w:noProof/>
            <w:webHidden/>
          </w:rPr>
          <w:t>22</w:t>
        </w:r>
        <w:r w:rsidR="00623F37" w:rsidRPr="003B4AEE">
          <w:rPr>
            <w:noProof/>
            <w:webHidden/>
          </w:rPr>
          <w:fldChar w:fldCharType="end"/>
        </w:r>
      </w:hyperlink>
    </w:p>
    <w:p w14:paraId="670D953B" w14:textId="46D32A4A"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1" w:history="1">
        <w:r w:rsidR="00623F37" w:rsidRPr="003B4AEE">
          <w:rPr>
            <w:rStyle w:val="Hyperlink"/>
            <w:noProof/>
          </w:rPr>
          <w:t>12.</w:t>
        </w:r>
        <w:r w:rsidR="00623F37" w:rsidRPr="003B4AEE">
          <w:rPr>
            <w:rFonts w:asciiTheme="minorHAnsi" w:eastAsiaTheme="minorEastAsia" w:hAnsiTheme="minorHAnsi" w:cstheme="minorBidi"/>
            <w:noProof/>
            <w:sz w:val="22"/>
            <w:szCs w:val="22"/>
          </w:rPr>
          <w:tab/>
        </w:r>
        <w:r w:rsidR="00623F37" w:rsidRPr="003B4AEE">
          <w:rPr>
            <w:rStyle w:val="Hyperlink"/>
            <w:noProof/>
          </w:rPr>
          <w:t>Provide estimates of the hour burden of the collection of information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_Toc71730001 \h </w:instrText>
        </w:r>
        <w:r w:rsidR="00623F37" w:rsidRPr="003B4AEE">
          <w:rPr>
            <w:noProof/>
            <w:webHidden/>
          </w:rPr>
        </w:r>
        <w:r w:rsidR="00623F37" w:rsidRPr="003B4AEE">
          <w:rPr>
            <w:noProof/>
            <w:webHidden/>
          </w:rPr>
          <w:fldChar w:fldCharType="separate"/>
        </w:r>
        <w:r w:rsidR="00623F37" w:rsidRPr="003B4AEE">
          <w:rPr>
            <w:noProof/>
            <w:webHidden/>
          </w:rPr>
          <w:t>23</w:t>
        </w:r>
        <w:r w:rsidR="00623F37" w:rsidRPr="003B4AEE">
          <w:rPr>
            <w:noProof/>
            <w:webHidden/>
          </w:rPr>
          <w:fldChar w:fldCharType="end"/>
        </w:r>
      </w:hyperlink>
    </w:p>
    <w:p w14:paraId="0F22F977" w14:textId="6AAF7741"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2" w:history="1">
        <w:r w:rsidR="00623F37" w:rsidRPr="003B4AEE">
          <w:rPr>
            <w:rStyle w:val="Hyperlink"/>
            <w:noProof/>
          </w:rPr>
          <w:t>13.</w:t>
        </w:r>
        <w:r w:rsidR="00623F37" w:rsidRPr="003B4AEE">
          <w:rPr>
            <w:rFonts w:asciiTheme="minorHAnsi" w:eastAsiaTheme="minorEastAsia" w:hAnsiTheme="minorHAnsi" w:cstheme="minorBidi"/>
            <w:noProof/>
            <w:sz w:val="22"/>
            <w:szCs w:val="22"/>
          </w:rPr>
          <w:tab/>
        </w:r>
        <w:r w:rsidR="00623F37" w:rsidRPr="003B4AEE">
          <w:rPr>
            <w:rStyle w:val="Hyperlink"/>
            <w:noProof/>
          </w:rPr>
          <w:t>Provide an estimate of the total annual cost burden to respondents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_Toc71730002 \h </w:instrText>
        </w:r>
        <w:r w:rsidR="00623F37" w:rsidRPr="003B4AEE">
          <w:rPr>
            <w:noProof/>
            <w:webHidden/>
          </w:rPr>
        </w:r>
        <w:r w:rsidR="00623F37" w:rsidRPr="003B4AEE">
          <w:rPr>
            <w:noProof/>
            <w:webHidden/>
          </w:rPr>
          <w:fldChar w:fldCharType="separate"/>
        </w:r>
        <w:r w:rsidR="00623F37" w:rsidRPr="003B4AEE">
          <w:rPr>
            <w:noProof/>
            <w:webHidden/>
          </w:rPr>
          <w:t>23</w:t>
        </w:r>
        <w:r w:rsidR="00623F37" w:rsidRPr="003B4AEE">
          <w:rPr>
            <w:noProof/>
            <w:webHidden/>
          </w:rPr>
          <w:fldChar w:fldCharType="end"/>
        </w:r>
      </w:hyperlink>
    </w:p>
    <w:p w14:paraId="4BC8F577" w14:textId="5FEC6234"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3" w:history="1">
        <w:r w:rsidR="00623F37" w:rsidRPr="003B4AEE">
          <w:rPr>
            <w:rStyle w:val="Hyperlink"/>
            <w:noProof/>
          </w:rPr>
          <w:t>14.</w:t>
        </w:r>
        <w:r w:rsidR="00623F37" w:rsidRPr="003B4AEE">
          <w:rPr>
            <w:rFonts w:asciiTheme="minorHAnsi" w:eastAsiaTheme="minorEastAsia" w:hAnsiTheme="minorHAnsi" w:cstheme="minorBidi"/>
            <w:noProof/>
            <w:sz w:val="22"/>
            <w:szCs w:val="22"/>
          </w:rPr>
          <w:tab/>
        </w:r>
        <w:r w:rsidR="00623F37" w:rsidRPr="003B4AEE">
          <w:rPr>
            <w:rStyle w:val="Hyperlink"/>
            <w:noProof/>
          </w:rPr>
          <w:t>Provide an estimate of the annualized cost to the federal government</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_Toc71730003 \h </w:instrText>
        </w:r>
        <w:r w:rsidR="00623F37" w:rsidRPr="003B4AEE">
          <w:rPr>
            <w:noProof/>
            <w:webHidden/>
          </w:rPr>
        </w:r>
        <w:r w:rsidR="00623F37" w:rsidRPr="003B4AEE">
          <w:rPr>
            <w:noProof/>
            <w:webHidden/>
          </w:rPr>
          <w:fldChar w:fldCharType="separate"/>
        </w:r>
        <w:r w:rsidR="00623F37" w:rsidRPr="003B4AEE">
          <w:rPr>
            <w:noProof/>
            <w:webHidden/>
          </w:rPr>
          <w:t>24</w:t>
        </w:r>
        <w:r w:rsidR="00623F37" w:rsidRPr="003B4AEE">
          <w:rPr>
            <w:noProof/>
            <w:webHidden/>
          </w:rPr>
          <w:fldChar w:fldCharType="end"/>
        </w:r>
      </w:hyperlink>
    </w:p>
    <w:p w14:paraId="777DA8A6" w14:textId="76949E76"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4" w:history="1">
        <w:r w:rsidR="00623F37" w:rsidRPr="003B4AEE">
          <w:rPr>
            <w:rStyle w:val="Hyperlink"/>
            <w:noProof/>
          </w:rPr>
          <w:t>15.</w:t>
        </w:r>
        <w:r w:rsidR="00623F37" w:rsidRPr="003B4AEE">
          <w:rPr>
            <w:rFonts w:asciiTheme="minorHAnsi" w:eastAsiaTheme="minorEastAsia" w:hAnsiTheme="minorHAnsi" w:cstheme="minorBidi"/>
            <w:noProof/>
            <w:sz w:val="22"/>
            <w:szCs w:val="22"/>
          </w:rPr>
          <w:tab/>
        </w:r>
        <w:r w:rsidR="00623F37" w:rsidRPr="003B4AEE">
          <w:rPr>
            <w:rStyle w:val="Hyperlink"/>
            <w:noProof/>
          </w:rPr>
          <w:t>Explain the reasons for adjustments reported in items 13 or 14 of OMB Form 83-I</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_Toc71730004 \h </w:instrText>
        </w:r>
        <w:r w:rsidR="00623F37" w:rsidRPr="003B4AEE">
          <w:rPr>
            <w:noProof/>
            <w:webHidden/>
          </w:rPr>
        </w:r>
        <w:r w:rsidR="00623F37" w:rsidRPr="003B4AEE">
          <w:rPr>
            <w:noProof/>
            <w:webHidden/>
          </w:rPr>
          <w:fldChar w:fldCharType="separate"/>
        </w:r>
        <w:r w:rsidR="00623F37" w:rsidRPr="003B4AEE">
          <w:rPr>
            <w:noProof/>
            <w:webHidden/>
          </w:rPr>
          <w:t>25</w:t>
        </w:r>
        <w:r w:rsidR="00623F37" w:rsidRPr="003B4AEE">
          <w:rPr>
            <w:noProof/>
            <w:webHidden/>
          </w:rPr>
          <w:fldChar w:fldCharType="end"/>
        </w:r>
      </w:hyperlink>
    </w:p>
    <w:p w14:paraId="2ABBE104" w14:textId="4C62E37B"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5" w:history="1">
        <w:r w:rsidR="00623F37" w:rsidRPr="003B4AEE">
          <w:rPr>
            <w:rStyle w:val="Hyperlink"/>
            <w:noProof/>
          </w:rPr>
          <w:t>16.</w:t>
        </w:r>
        <w:r w:rsidR="00623F37" w:rsidRPr="003B4AEE">
          <w:rPr>
            <w:rFonts w:asciiTheme="minorHAnsi" w:eastAsiaTheme="minorEastAsia" w:hAnsiTheme="minorHAnsi" w:cstheme="minorBidi"/>
            <w:noProof/>
            <w:sz w:val="22"/>
            <w:szCs w:val="22"/>
          </w:rPr>
          <w:tab/>
        </w:r>
        <w:r w:rsidR="00623F37" w:rsidRPr="003B4AEE">
          <w:rPr>
            <w:rStyle w:val="Hyperlink"/>
            <w:noProof/>
          </w:rPr>
          <w:t>Outline any plans for tabulation and publication of the information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_Toc71730005 \h </w:instrText>
        </w:r>
        <w:r w:rsidR="00623F37" w:rsidRPr="003B4AEE">
          <w:rPr>
            <w:noProof/>
            <w:webHidden/>
          </w:rPr>
        </w:r>
        <w:r w:rsidR="00623F37" w:rsidRPr="003B4AEE">
          <w:rPr>
            <w:noProof/>
            <w:webHidden/>
          </w:rPr>
          <w:fldChar w:fldCharType="separate"/>
        </w:r>
        <w:r w:rsidR="00623F37" w:rsidRPr="003B4AEE">
          <w:rPr>
            <w:noProof/>
            <w:webHidden/>
          </w:rPr>
          <w:t>27</w:t>
        </w:r>
        <w:r w:rsidR="00623F37" w:rsidRPr="003B4AEE">
          <w:rPr>
            <w:noProof/>
            <w:webHidden/>
          </w:rPr>
          <w:fldChar w:fldCharType="end"/>
        </w:r>
      </w:hyperlink>
    </w:p>
    <w:p w14:paraId="04B421E9" w14:textId="3D9E69BE"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6" w:history="1">
        <w:r w:rsidR="00623F37" w:rsidRPr="003B4AEE">
          <w:rPr>
            <w:rStyle w:val="Hyperlink"/>
            <w:noProof/>
          </w:rPr>
          <w:t>17.</w:t>
        </w:r>
        <w:r w:rsidR="00623F37" w:rsidRPr="003B4AEE">
          <w:rPr>
            <w:rFonts w:asciiTheme="minorHAnsi" w:eastAsiaTheme="minorEastAsia" w:hAnsiTheme="minorHAnsi" w:cstheme="minorBidi"/>
            <w:noProof/>
            <w:sz w:val="22"/>
            <w:szCs w:val="22"/>
          </w:rPr>
          <w:tab/>
        </w:r>
        <w:r w:rsidR="00623F37" w:rsidRPr="003B4AEE">
          <w:rPr>
            <w:rStyle w:val="Hyperlink"/>
            <w:noProof/>
          </w:rPr>
          <w:t>Explain any requests to not display the expiration date of OMB approval</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_Toc71730006 \h </w:instrText>
        </w:r>
        <w:r w:rsidR="00623F37" w:rsidRPr="003B4AEE">
          <w:rPr>
            <w:noProof/>
            <w:webHidden/>
          </w:rPr>
        </w:r>
        <w:r w:rsidR="00623F37" w:rsidRPr="003B4AEE">
          <w:rPr>
            <w:noProof/>
            <w:webHidden/>
          </w:rPr>
          <w:fldChar w:fldCharType="separate"/>
        </w:r>
        <w:r w:rsidR="00623F37" w:rsidRPr="003B4AEE">
          <w:rPr>
            <w:noProof/>
            <w:webHidden/>
          </w:rPr>
          <w:t>28</w:t>
        </w:r>
        <w:r w:rsidR="00623F37" w:rsidRPr="003B4AEE">
          <w:rPr>
            <w:noProof/>
            <w:webHidden/>
          </w:rPr>
          <w:fldChar w:fldCharType="end"/>
        </w:r>
      </w:hyperlink>
    </w:p>
    <w:p w14:paraId="0D8597C0" w14:textId="43C1726D" w:rsidR="00623F37" w:rsidRPr="003B4AEE" w:rsidRDefault="00D403C0">
      <w:pPr>
        <w:pStyle w:val="TOC2"/>
        <w:tabs>
          <w:tab w:val="left" w:pos="1080"/>
          <w:tab w:val="right" w:leader="dot" w:pos="9350"/>
        </w:tabs>
        <w:rPr>
          <w:rFonts w:asciiTheme="minorHAnsi" w:eastAsiaTheme="minorEastAsia" w:hAnsiTheme="minorHAnsi" w:cstheme="minorBidi"/>
          <w:noProof/>
          <w:sz w:val="22"/>
          <w:szCs w:val="22"/>
        </w:rPr>
      </w:pPr>
      <w:hyperlink w:anchor="_Toc71730007" w:history="1">
        <w:r w:rsidR="00623F37" w:rsidRPr="003B4AEE">
          <w:rPr>
            <w:rStyle w:val="Hyperlink"/>
            <w:noProof/>
          </w:rPr>
          <w:t>18.</w:t>
        </w:r>
        <w:r w:rsidR="00623F37" w:rsidRPr="003B4AEE">
          <w:rPr>
            <w:rFonts w:asciiTheme="minorHAnsi" w:eastAsiaTheme="minorEastAsia" w:hAnsiTheme="minorHAnsi" w:cstheme="minorBidi"/>
            <w:noProof/>
            <w:sz w:val="22"/>
            <w:szCs w:val="22"/>
          </w:rPr>
          <w:tab/>
        </w:r>
        <w:r w:rsidR="00623F37" w:rsidRPr="003B4AEE">
          <w:rPr>
            <w:rStyle w:val="Hyperlink"/>
            <w:noProof/>
          </w:rPr>
          <w:t>Explain any exceptions to the certification statement 5 CFR 1320.9, “Agency Certifications for Proposed Collections of Information.”</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_Toc71730007 \h </w:instrText>
        </w:r>
        <w:r w:rsidR="00623F37" w:rsidRPr="003B4AEE">
          <w:rPr>
            <w:noProof/>
            <w:webHidden/>
          </w:rPr>
        </w:r>
        <w:r w:rsidR="00623F37" w:rsidRPr="003B4AEE">
          <w:rPr>
            <w:noProof/>
            <w:webHidden/>
          </w:rPr>
          <w:fldChar w:fldCharType="separate"/>
        </w:r>
        <w:r w:rsidR="00623F37" w:rsidRPr="003B4AEE">
          <w:rPr>
            <w:noProof/>
            <w:webHidden/>
          </w:rPr>
          <w:t>28</w:t>
        </w:r>
        <w:r w:rsidR="00623F37" w:rsidRPr="003B4AEE">
          <w:rPr>
            <w:noProof/>
            <w:webHidden/>
          </w:rPr>
          <w:fldChar w:fldCharType="end"/>
        </w:r>
      </w:hyperlink>
    </w:p>
    <w:p w14:paraId="591B6BC1" w14:textId="399F4FBE" w:rsidR="00623F37" w:rsidRPr="003B4AEE" w:rsidRDefault="00D403C0">
      <w:pPr>
        <w:pStyle w:val="TOC1"/>
        <w:rPr>
          <w:rFonts w:asciiTheme="minorHAnsi" w:eastAsiaTheme="minorEastAsia" w:hAnsiTheme="minorHAnsi" w:cstheme="minorBidi"/>
          <w:b w:val="0"/>
          <w:noProof/>
          <w:sz w:val="22"/>
          <w:szCs w:val="22"/>
        </w:rPr>
      </w:pPr>
      <w:hyperlink w:anchor="_Toc71730008" w:history="1">
        <w:r w:rsidR="00623F37" w:rsidRPr="003B4AEE">
          <w:rPr>
            <w:rStyle w:val="Hyperlink"/>
            <w:noProof/>
          </w:rPr>
          <w:t>B.</w:t>
        </w:r>
        <w:r w:rsidR="00623F37" w:rsidRPr="003B4AEE">
          <w:rPr>
            <w:rFonts w:asciiTheme="minorHAnsi" w:eastAsiaTheme="minorEastAsia" w:hAnsiTheme="minorHAnsi" w:cstheme="minorBidi"/>
            <w:b w:val="0"/>
            <w:noProof/>
            <w:sz w:val="22"/>
            <w:szCs w:val="22"/>
          </w:rPr>
          <w:tab/>
        </w:r>
        <w:r w:rsidR="00623F37" w:rsidRPr="003B4AEE">
          <w:rPr>
            <w:rStyle w:val="Hyperlink"/>
            <w:noProof/>
          </w:rPr>
          <w:t>Statistical Methods (Used for Collection of Information Employing Statistical Methods)</w:t>
        </w:r>
        <w:r w:rsidR="00623F37" w:rsidRPr="003B4AEE">
          <w:rPr>
            <w:noProof/>
            <w:webHidden/>
          </w:rPr>
          <w:tab/>
        </w:r>
        <w:r w:rsidR="00623F37" w:rsidRPr="003B4AEE">
          <w:rPr>
            <w:noProof/>
            <w:webHidden/>
          </w:rPr>
          <w:fldChar w:fldCharType="begin"/>
        </w:r>
        <w:r w:rsidR="00623F37" w:rsidRPr="003B4AEE">
          <w:rPr>
            <w:noProof/>
            <w:webHidden/>
          </w:rPr>
          <w:instrText xml:space="preserve"> PAGEREF _Toc71730008 \h </w:instrText>
        </w:r>
        <w:r w:rsidR="00623F37" w:rsidRPr="003B4AEE">
          <w:rPr>
            <w:noProof/>
            <w:webHidden/>
          </w:rPr>
        </w:r>
        <w:r w:rsidR="00623F37" w:rsidRPr="003B4AEE">
          <w:rPr>
            <w:noProof/>
            <w:webHidden/>
          </w:rPr>
          <w:fldChar w:fldCharType="separate"/>
        </w:r>
        <w:r w:rsidR="00623F37" w:rsidRPr="003B4AEE">
          <w:rPr>
            <w:noProof/>
            <w:webHidden/>
          </w:rPr>
          <w:t>28</w:t>
        </w:r>
        <w:r w:rsidR="00623F37" w:rsidRPr="003B4AEE">
          <w:rPr>
            <w:noProof/>
            <w:webHidden/>
          </w:rPr>
          <w:fldChar w:fldCharType="end"/>
        </w:r>
      </w:hyperlink>
    </w:p>
    <w:p w14:paraId="508E1473" w14:textId="78A44247" w:rsidR="006117F7" w:rsidRPr="003B4AEE" w:rsidRDefault="001A6DA0" w:rsidP="00E15A36">
      <w:r w:rsidRPr="003B4AEE">
        <w:rPr>
          <w:b/>
        </w:rPr>
        <w:fldChar w:fldCharType="end"/>
      </w:r>
    </w:p>
    <w:p w14:paraId="53B4FE93" w14:textId="77777777" w:rsidR="001A6DA0" w:rsidRPr="003B4AEE" w:rsidRDefault="001A6DA0">
      <w:pPr>
        <w:autoSpaceDE/>
        <w:autoSpaceDN/>
        <w:adjustRightInd/>
        <w:spacing w:after="160" w:line="259" w:lineRule="auto"/>
        <w:rPr>
          <w:b/>
          <w:bCs/>
          <w:u w:val="single"/>
        </w:rPr>
      </w:pPr>
      <w:r w:rsidRPr="003B4AEE">
        <w:rPr>
          <w:b/>
          <w:bCs/>
          <w:u w:val="single"/>
        </w:rPr>
        <w:br w:type="page"/>
      </w:r>
    </w:p>
    <w:p w14:paraId="065C276A" w14:textId="31BE6575" w:rsidR="00693057" w:rsidRPr="003B4AEE" w:rsidRDefault="001A6DA0" w:rsidP="001A6DA0">
      <w:pPr>
        <w:autoSpaceDE/>
        <w:autoSpaceDN/>
        <w:adjustRightInd/>
        <w:spacing w:after="160" w:line="259" w:lineRule="auto"/>
        <w:rPr>
          <w:b/>
          <w:bCs/>
          <w:sz w:val="28"/>
          <w:szCs w:val="28"/>
        </w:rPr>
      </w:pPr>
      <w:r w:rsidRPr="003B4AEE">
        <w:rPr>
          <w:b/>
          <w:bCs/>
          <w:sz w:val="28"/>
          <w:szCs w:val="28"/>
        </w:rPr>
        <w:lastRenderedPageBreak/>
        <w:t>List of Appendices</w:t>
      </w:r>
    </w:p>
    <w:p w14:paraId="27524B86" w14:textId="77777777" w:rsidR="00B811B7" w:rsidRPr="003B4AEE" w:rsidRDefault="00693057">
      <w:pPr>
        <w:pStyle w:val="TableofFigures"/>
        <w:tabs>
          <w:tab w:val="right" w:leader="dot" w:pos="9350"/>
        </w:tabs>
        <w:rPr>
          <w:rFonts w:asciiTheme="minorHAnsi" w:eastAsiaTheme="minorEastAsia" w:hAnsiTheme="minorHAnsi" w:cstheme="minorBidi"/>
          <w:noProof/>
          <w:szCs w:val="22"/>
        </w:rPr>
      </w:pPr>
      <w:r w:rsidRPr="003B4AEE">
        <w:fldChar w:fldCharType="begin"/>
      </w:r>
      <w:r w:rsidRPr="003B4AEE">
        <w:instrText xml:space="preserve"> TOC \n \p " " \h \z \t "Heading 7" \c </w:instrText>
      </w:r>
      <w:r w:rsidRPr="003B4AEE">
        <w:fldChar w:fldCharType="separate"/>
      </w:r>
      <w:hyperlink w:anchor="_Toc61512294" w:history="1">
        <w:r w:rsidR="00B811B7" w:rsidRPr="003B4AEE">
          <w:rPr>
            <w:rStyle w:val="Hyperlink"/>
            <w:noProof/>
          </w:rPr>
          <w:t>Appendix A — Description of the Information Collected and Methodology for Estimating Respondent Burden and Cost of Collection</w:t>
        </w:r>
      </w:hyperlink>
    </w:p>
    <w:p w14:paraId="2F25D0E4" w14:textId="1B281612" w:rsidR="00693057" w:rsidRPr="003B4AEE" w:rsidRDefault="00693057">
      <w:pPr>
        <w:autoSpaceDE/>
        <w:autoSpaceDN/>
        <w:adjustRightInd/>
        <w:spacing w:after="160" w:line="259" w:lineRule="auto"/>
        <w:sectPr w:rsidR="00693057" w:rsidRPr="003B4AEE" w:rsidSect="00241E34">
          <w:headerReference w:type="default" r:id="rId13"/>
          <w:footerReference w:type="default" r:id="rId14"/>
          <w:pgSz w:w="12240" w:h="15840" w:code="1"/>
          <w:pgMar w:top="1440" w:right="1440" w:bottom="1440" w:left="1440" w:header="720" w:footer="720" w:gutter="0"/>
          <w:pgNumType w:fmt="lowerRoman"/>
          <w:cols w:space="720"/>
          <w:docGrid w:linePitch="360"/>
        </w:sectPr>
      </w:pPr>
      <w:r w:rsidRPr="003B4AEE">
        <w:fldChar w:fldCharType="end"/>
      </w:r>
    </w:p>
    <w:p w14:paraId="152B6CD5" w14:textId="46C9CDEB" w:rsidR="00693057" w:rsidRPr="003B4AEE" w:rsidRDefault="001A6DA0" w:rsidP="001A6DA0">
      <w:pPr>
        <w:autoSpaceDE/>
        <w:autoSpaceDN/>
        <w:adjustRightInd/>
        <w:spacing w:after="160" w:line="259" w:lineRule="auto"/>
        <w:jc w:val="center"/>
        <w:rPr>
          <w:b/>
          <w:bCs/>
        </w:rPr>
      </w:pPr>
      <w:r w:rsidRPr="003B4AEE">
        <w:rPr>
          <w:b/>
          <w:bCs/>
        </w:rPr>
        <w:lastRenderedPageBreak/>
        <w:t>List of Tables</w:t>
      </w:r>
    </w:p>
    <w:p w14:paraId="46ED8557" w14:textId="7E7F1D46" w:rsidR="001A6DA0" w:rsidRPr="003B4AEE" w:rsidRDefault="001A6DA0" w:rsidP="001A6DA0">
      <w:pPr>
        <w:autoSpaceDE/>
        <w:autoSpaceDN/>
        <w:adjustRightInd/>
        <w:spacing w:after="160" w:line="259" w:lineRule="auto"/>
        <w:jc w:val="right"/>
        <w:rPr>
          <w:b/>
          <w:bCs/>
        </w:rPr>
      </w:pPr>
      <w:r w:rsidRPr="003B4AEE">
        <w:rPr>
          <w:b/>
          <w:bCs/>
        </w:rPr>
        <w:t>Page</w:t>
      </w:r>
    </w:p>
    <w:p w14:paraId="448B4324" w14:textId="5CB5890F" w:rsidR="00F713BF" w:rsidRPr="003B4AEE" w:rsidRDefault="00AF6693">
      <w:pPr>
        <w:pStyle w:val="TableofFigures"/>
        <w:tabs>
          <w:tab w:val="right" w:leader="dot" w:pos="9350"/>
        </w:tabs>
        <w:rPr>
          <w:rFonts w:asciiTheme="minorHAnsi" w:eastAsiaTheme="minorEastAsia" w:hAnsiTheme="minorHAnsi" w:cstheme="minorBidi"/>
          <w:noProof/>
          <w:szCs w:val="22"/>
        </w:rPr>
      </w:pPr>
      <w:r w:rsidRPr="003B4AEE">
        <w:fldChar w:fldCharType="begin"/>
      </w:r>
      <w:r w:rsidRPr="003B4AEE">
        <w:instrText xml:space="preserve"> TOC \h \z \t "Table Title" \c </w:instrText>
      </w:r>
      <w:r w:rsidRPr="003B4AEE">
        <w:fldChar w:fldCharType="separate"/>
      </w:r>
      <w:hyperlink w:anchor="_Toc61521434" w:history="1">
        <w:r w:rsidR="00F713BF" w:rsidRPr="003B4AEE">
          <w:rPr>
            <w:rStyle w:val="Hyperlink"/>
            <w:noProof/>
          </w:rPr>
          <w:t>Table 1</w:t>
        </w:r>
        <w:r w:rsidR="00F713BF" w:rsidRPr="003B4AEE">
          <w:rPr>
            <w:rStyle w:val="Hyperlink"/>
            <w:noProof/>
          </w:rPr>
          <w:noBreakHyphen/>
          <w:t>1. States with Program Authorization as of December 2020</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_Toc61521434 \h </w:instrText>
        </w:r>
        <w:r w:rsidR="00F713BF" w:rsidRPr="003B4AEE">
          <w:rPr>
            <w:noProof/>
            <w:webHidden/>
          </w:rPr>
        </w:r>
        <w:r w:rsidR="00F713BF" w:rsidRPr="003B4AEE">
          <w:rPr>
            <w:noProof/>
            <w:webHidden/>
          </w:rPr>
          <w:fldChar w:fldCharType="separate"/>
        </w:r>
        <w:r w:rsidR="00F713BF" w:rsidRPr="003B4AEE">
          <w:rPr>
            <w:noProof/>
            <w:webHidden/>
          </w:rPr>
          <w:t>3</w:t>
        </w:r>
        <w:r w:rsidR="00F713BF" w:rsidRPr="003B4AEE">
          <w:rPr>
            <w:noProof/>
            <w:webHidden/>
          </w:rPr>
          <w:fldChar w:fldCharType="end"/>
        </w:r>
      </w:hyperlink>
    </w:p>
    <w:p w14:paraId="2D9B995E" w14:textId="02FB433A"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5" w:history="1">
        <w:r w:rsidR="00F713BF" w:rsidRPr="003B4AEE">
          <w:rPr>
            <w:rStyle w:val="Hyperlink"/>
            <w:noProof/>
          </w:rPr>
          <w:t>Table 2</w:t>
        </w:r>
        <w:r w:rsidR="00F713BF" w:rsidRPr="003B4AEE">
          <w:rPr>
            <w:rStyle w:val="Hyperlink"/>
            <w:noProof/>
          </w:rPr>
          <w:noBreakHyphen/>
          <w:t>1. Application Forms and Information Requests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_Toc61521435 \h </w:instrText>
        </w:r>
        <w:r w:rsidR="00F713BF" w:rsidRPr="003B4AEE">
          <w:rPr>
            <w:noProof/>
            <w:webHidden/>
          </w:rPr>
        </w:r>
        <w:r w:rsidR="00F713BF" w:rsidRPr="003B4AEE">
          <w:rPr>
            <w:noProof/>
            <w:webHidden/>
          </w:rPr>
          <w:fldChar w:fldCharType="separate"/>
        </w:r>
        <w:r w:rsidR="00F713BF" w:rsidRPr="003B4AEE">
          <w:rPr>
            <w:noProof/>
            <w:webHidden/>
          </w:rPr>
          <w:t>9</w:t>
        </w:r>
        <w:r w:rsidR="00F713BF" w:rsidRPr="003B4AEE">
          <w:rPr>
            <w:noProof/>
            <w:webHidden/>
          </w:rPr>
          <w:fldChar w:fldCharType="end"/>
        </w:r>
      </w:hyperlink>
    </w:p>
    <w:p w14:paraId="45576418" w14:textId="1FCC369A"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6" w:history="1">
        <w:r w:rsidR="00F713BF" w:rsidRPr="003B4AEE">
          <w:rPr>
            <w:rStyle w:val="Hyperlink"/>
            <w:noProof/>
          </w:rPr>
          <w:t>Table 12</w:t>
        </w:r>
        <w:r w:rsidR="00F713BF" w:rsidRPr="003B4AEE">
          <w:rPr>
            <w:rStyle w:val="Hyperlink"/>
            <w:noProof/>
          </w:rPr>
          <w:noBreakHyphen/>
          <w:t>1. Summary of Labor Burden and Costs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_Toc61521436 \h </w:instrText>
        </w:r>
        <w:r w:rsidR="00F713BF" w:rsidRPr="003B4AEE">
          <w:rPr>
            <w:noProof/>
            <w:webHidden/>
          </w:rPr>
        </w:r>
        <w:r w:rsidR="00F713BF" w:rsidRPr="003B4AEE">
          <w:rPr>
            <w:noProof/>
            <w:webHidden/>
          </w:rPr>
          <w:fldChar w:fldCharType="separate"/>
        </w:r>
        <w:r w:rsidR="00F713BF" w:rsidRPr="003B4AEE">
          <w:rPr>
            <w:noProof/>
            <w:webHidden/>
          </w:rPr>
          <w:t>23</w:t>
        </w:r>
        <w:r w:rsidR="00F713BF" w:rsidRPr="003B4AEE">
          <w:rPr>
            <w:noProof/>
            <w:webHidden/>
          </w:rPr>
          <w:fldChar w:fldCharType="end"/>
        </w:r>
      </w:hyperlink>
    </w:p>
    <w:p w14:paraId="44A7C85B" w14:textId="72E9FDCB"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7" w:history="1">
        <w:r w:rsidR="00F713BF" w:rsidRPr="003B4AEE">
          <w:rPr>
            <w:rStyle w:val="Hyperlink"/>
            <w:noProof/>
          </w:rPr>
          <w:t>Table 13</w:t>
        </w:r>
        <w:r w:rsidR="00F713BF" w:rsidRPr="003B4AEE">
          <w:rPr>
            <w:rStyle w:val="Hyperlink"/>
            <w:noProof/>
          </w:rPr>
          <w:noBreakHyphen/>
          <w:t>1. Summary of Annual O&amp;M and Capital and Start-up Costs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_Toc61521437 \h </w:instrText>
        </w:r>
        <w:r w:rsidR="00F713BF" w:rsidRPr="003B4AEE">
          <w:rPr>
            <w:noProof/>
            <w:webHidden/>
          </w:rPr>
        </w:r>
        <w:r w:rsidR="00F713BF" w:rsidRPr="003B4AEE">
          <w:rPr>
            <w:noProof/>
            <w:webHidden/>
          </w:rPr>
          <w:fldChar w:fldCharType="separate"/>
        </w:r>
        <w:r w:rsidR="00F713BF" w:rsidRPr="003B4AEE">
          <w:rPr>
            <w:noProof/>
            <w:webHidden/>
          </w:rPr>
          <w:t>24</w:t>
        </w:r>
        <w:r w:rsidR="00F713BF" w:rsidRPr="003B4AEE">
          <w:rPr>
            <w:noProof/>
            <w:webHidden/>
          </w:rPr>
          <w:fldChar w:fldCharType="end"/>
        </w:r>
      </w:hyperlink>
    </w:p>
    <w:p w14:paraId="73BE2A84" w14:textId="5E041C15"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8" w:history="1">
        <w:r w:rsidR="00F713BF" w:rsidRPr="003B4AEE">
          <w:rPr>
            <w:rStyle w:val="Hyperlink"/>
            <w:noProof/>
          </w:rPr>
          <w:t>Table 14</w:t>
        </w:r>
        <w:r w:rsidR="00F713BF" w:rsidRPr="003B4AEE">
          <w:rPr>
            <w:rStyle w:val="Hyperlink"/>
            <w:noProof/>
          </w:rPr>
          <w:noBreakHyphen/>
          <w:t>1. Summary of Agency Annualized Burden and Costs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_Toc61521438 \h </w:instrText>
        </w:r>
        <w:r w:rsidR="00F713BF" w:rsidRPr="003B4AEE">
          <w:rPr>
            <w:noProof/>
            <w:webHidden/>
          </w:rPr>
        </w:r>
        <w:r w:rsidR="00F713BF" w:rsidRPr="003B4AEE">
          <w:rPr>
            <w:noProof/>
            <w:webHidden/>
          </w:rPr>
          <w:fldChar w:fldCharType="separate"/>
        </w:r>
        <w:r w:rsidR="00F713BF" w:rsidRPr="003B4AEE">
          <w:rPr>
            <w:noProof/>
            <w:webHidden/>
          </w:rPr>
          <w:t>24</w:t>
        </w:r>
        <w:r w:rsidR="00F713BF" w:rsidRPr="003B4AEE">
          <w:rPr>
            <w:noProof/>
            <w:webHidden/>
          </w:rPr>
          <w:fldChar w:fldCharType="end"/>
        </w:r>
      </w:hyperlink>
    </w:p>
    <w:p w14:paraId="6171F386" w14:textId="32ACBA6D"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9" w:history="1">
        <w:r w:rsidR="00F713BF" w:rsidRPr="003B4AEE">
          <w:rPr>
            <w:rStyle w:val="Hyperlink"/>
            <w:noProof/>
          </w:rPr>
          <w:t>Table 15</w:t>
        </w:r>
        <w:r w:rsidR="00F713BF" w:rsidRPr="003B4AEE">
          <w:rPr>
            <w:rStyle w:val="Hyperlink"/>
            <w:noProof/>
          </w:rPr>
          <w:noBreakHyphen/>
          <w:t>1. Summary of Adjustment in Number of Responses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_Toc61521439 \h </w:instrText>
        </w:r>
        <w:r w:rsidR="00F713BF" w:rsidRPr="003B4AEE">
          <w:rPr>
            <w:noProof/>
            <w:webHidden/>
          </w:rPr>
        </w:r>
        <w:r w:rsidR="00F713BF" w:rsidRPr="003B4AEE">
          <w:rPr>
            <w:noProof/>
            <w:webHidden/>
          </w:rPr>
          <w:fldChar w:fldCharType="separate"/>
        </w:r>
        <w:r w:rsidR="00F713BF" w:rsidRPr="003B4AEE">
          <w:rPr>
            <w:noProof/>
            <w:webHidden/>
          </w:rPr>
          <w:t>26</w:t>
        </w:r>
        <w:r w:rsidR="00F713BF" w:rsidRPr="003B4AEE">
          <w:rPr>
            <w:noProof/>
            <w:webHidden/>
          </w:rPr>
          <w:fldChar w:fldCharType="end"/>
        </w:r>
      </w:hyperlink>
    </w:p>
    <w:p w14:paraId="6B985955" w14:textId="680198A7"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40" w:history="1">
        <w:r w:rsidR="00F713BF" w:rsidRPr="003B4AEE">
          <w:rPr>
            <w:rStyle w:val="Hyperlink"/>
            <w:noProof/>
          </w:rPr>
          <w:t>Table 15</w:t>
        </w:r>
        <w:r w:rsidR="00F713BF" w:rsidRPr="003B4AEE">
          <w:rPr>
            <w:rStyle w:val="Hyperlink"/>
            <w:noProof/>
          </w:rPr>
          <w:noBreakHyphen/>
          <w:t>2. Summary of Adjustment in Number of Burden Hours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_Toc61521440 \h </w:instrText>
        </w:r>
        <w:r w:rsidR="00F713BF" w:rsidRPr="003B4AEE">
          <w:rPr>
            <w:noProof/>
            <w:webHidden/>
          </w:rPr>
        </w:r>
        <w:r w:rsidR="00F713BF" w:rsidRPr="003B4AEE">
          <w:rPr>
            <w:noProof/>
            <w:webHidden/>
          </w:rPr>
          <w:fldChar w:fldCharType="separate"/>
        </w:r>
        <w:r w:rsidR="00F713BF" w:rsidRPr="003B4AEE">
          <w:rPr>
            <w:noProof/>
            <w:webHidden/>
          </w:rPr>
          <w:t>26</w:t>
        </w:r>
        <w:r w:rsidR="00F713BF" w:rsidRPr="003B4AEE">
          <w:rPr>
            <w:noProof/>
            <w:webHidden/>
          </w:rPr>
          <w:fldChar w:fldCharType="end"/>
        </w:r>
      </w:hyperlink>
    </w:p>
    <w:p w14:paraId="4EA8032B" w14:textId="2F6F2E79"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41" w:history="1">
        <w:r w:rsidR="00F713BF" w:rsidRPr="003B4AEE">
          <w:rPr>
            <w:rStyle w:val="Hyperlink"/>
            <w:noProof/>
          </w:rPr>
          <w:t>Table 15</w:t>
        </w:r>
        <w:r w:rsidR="00F713BF" w:rsidRPr="003B4AEE">
          <w:rPr>
            <w:rStyle w:val="Hyperlink"/>
            <w:noProof/>
          </w:rPr>
          <w:noBreakHyphen/>
          <w:t>3. Summary of Adjustment in the Capital/Startup and O&amp;M Cost Burden</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_Toc61521441 \h </w:instrText>
        </w:r>
        <w:r w:rsidR="00F713BF" w:rsidRPr="003B4AEE">
          <w:rPr>
            <w:noProof/>
            <w:webHidden/>
          </w:rPr>
        </w:r>
        <w:r w:rsidR="00F713BF" w:rsidRPr="003B4AEE">
          <w:rPr>
            <w:noProof/>
            <w:webHidden/>
          </w:rPr>
          <w:fldChar w:fldCharType="separate"/>
        </w:r>
        <w:r w:rsidR="00F713BF" w:rsidRPr="003B4AEE">
          <w:rPr>
            <w:noProof/>
            <w:webHidden/>
          </w:rPr>
          <w:t>27</w:t>
        </w:r>
        <w:r w:rsidR="00F713BF" w:rsidRPr="003B4AEE">
          <w:rPr>
            <w:noProof/>
            <w:webHidden/>
          </w:rPr>
          <w:fldChar w:fldCharType="end"/>
        </w:r>
      </w:hyperlink>
    </w:p>
    <w:p w14:paraId="2508B917" w14:textId="1E8E7B0A" w:rsidR="00E15A36" w:rsidRPr="003B4AEE" w:rsidRDefault="00AF6693" w:rsidP="00E15A36">
      <w:r w:rsidRPr="003B4AEE">
        <w:fldChar w:fldCharType="end"/>
      </w:r>
    </w:p>
    <w:p w14:paraId="6B098D98" w14:textId="77777777" w:rsidR="006A489B" w:rsidRPr="003B4AEE" w:rsidRDefault="006A489B" w:rsidP="00E15A36">
      <w:pPr>
        <w:sectPr w:rsidR="006A489B" w:rsidRPr="003B4AEE" w:rsidSect="00241E34">
          <w:headerReference w:type="default" r:id="rId15"/>
          <w:pgSz w:w="12240" w:h="15840" w:code="1"/>
          <w:pgMar w:top="1440" w:right="1440" w:bottom="1440" w:left="1440" w:header="720" w:footer="720" w:gutter="0"/>
          <w:pgNumType w:fmt="lowerRoman"/>
          <w:cols w:space="720"/>
          <w:docGrid w:linePitch="360"/>
        </w:sectPr>
      </w:pPr>
    </w:p>
    <w:p w14:paraId="3BA45364" w14:textId="3464E04D" w:rsidR="007F2877" w:rsidRPr="003B4AEE" w:rsidRDefault="007F2877" w:rsidP="002C3274">
      <w:pPr>
        <w:pStyle w:val="Heading1"/>
      </w:pPr>
      <w:bookmarkStart w:id="0" w:name="_Toc61334191"/>
      <w:bookmarkStart w:id="1" w:name="_Toc71729986"/>
      <w:r w:rsidRPr="003B4AEE">
        <w:lastRenderedPageBreak/>
        <w:t>Justification</w:t>
      </w:r>
      <w:bookmarkEnd w:id="0"/>
      <w:bookmarkEnd w:id="1"/>
    </w:p>
    <w:p w14:paraId="2A1FEE8F" w14:textId="4BE4CB49" w:rsidR="007F2877" w:rsidRPr="003B4AEE" w:rsidRDefault="007F2877" w:rsidP="00290A17">
      <w:pPr>
        <w:pStyle w:val="Heading2"/>
        <w:numPr>
          <w:ilvl w:val="6"/>
          <w:numId w:val="8"/>
        </w:numPr>
      </w:pPr>
      <w:bookmarkStart w:id="2" w:name="_Toc61334192"/>
      <w:bookmarkStart w:id="3" w:name="_Toc71729987"/>
      <w:r w:rsidRPr="003B4AEE">
        <w:t>Explain the circumstances that make the collection necessary and explain the legal or administrative requirements relevant to the collection and attach a copy of the statute or regulation authorizing the collection</w:t>
      </w:r>
      <w:bookmarkEnd w:id="2"/>
      <w:bookmarkEnd w:id="3"/>
    </w:p>
    <w:p w14:paraId="2D830149" w14:textId="330516A4" w:rsidR="00F11B46" w:rsidRPr="003B4AEE" w:rsidRDefault="00F11B46" w:rsidP="002C3274">
      <w:pPr>
        <w:pStyle w:val="Heading3"/>
      </w:pPr>
      <w:bookmarkStart w:id="4" w:name="_Ref199565643"/>
      <w:bookmarkStart w:id="5" w:name="_Ref199565647"/>
      <w:bookmarkStart w:id="6" w:name="_Toc300908820"/>
      <w:bookmarkStart w:id="7" w:name="_Toc61334193"/>
      <w:bookmarkStart w:id="8" w:name="_Toc71729988"/>
      <w:r w:rsidRPr="003B4AEE">
        <w:t>Short Characterization/Abstract</w:t>
      </w:r>
      <w:bookmarkEnd w:id="4"/>
      <w:bookmarkEnd w:id="5"/>
      <w:bookmarkEnd w:id="6"/>
      <w:bookmarkEnd w:id="7"/>
      <w:bookmarkEnd w:id="8"/>
    </w:p>
    <w:p w14:paraId="2E359D2A" w14:textId="7D9167CA" w:rsidR="00941A45" w:rsidRPr="003B4AEE" w:rsidRDefault="00E0187E" w:rsidP="009730AE">
      <w:pPr>
        <w:pStyle w:val="BodyText"/>
      </w:pPr>
      <w:r w:rsidRPr="003B4AEE">
        <w:t xml:space="preserve">This </w:t>
      </w:r>
      <w:r w:rsidR="00941A45" w:rsidRPr="003B4AEE">
        <w:t xml:space="preserve">consolidated </w:t>
      </w:r>
      <w:r w:rsidRPr="003B4AEE">
        <w:t xml:space="preserve">Information Collection Request (ICR) renews </w:t>
      </w:r>
      <w:r w:rsidR="00F47B3D" w:rsidRPr="003B4AEE">
        <w:t xml:space="preserve">the </w:t>
      </w:r>
      <w:r w:rsidRPr="003B4AEE">
        <w:t xml:space="preserve">National Pollutant Discharge Elimination System (NPDES) Program </w:t>
      </w:r>
      <w:r w:rsidR="00F47B3D" w:rsidRPr="003B4AEE">
        <w:t>ICR</w:t>
      </w:r>
      <w:r w:rsidRPr="003B4AEE">
        <w:t>.</w:t>
      </w:r>
      <w:r w:rsidR="00941A45" w:rsidRPr="003B4AEE">
        <w:t xml:space="preserve"> It </w:t>
      </w:r>
      <w:r w:rsidRPr="003B4AEE">
        <w:t>calculates the burden and costs associated with the NPDES program, identifies the types of activities regulated under the NPDES program, describes the roles and responsibilities of state governments and the Agency, and presents the program areas that address the various types of regulated activities</w:t>
      </w:r>
      <w:r w:rsidR="00941A45" w:rsidRPr="003B4AEE">
        <w:t>.</w:t>
      </w:r>
    </w:p>
    <w:p w14:paraId="51E6ADE6" w14:textId="4BB5D4F7" w:rsidR="00E0187E" w:rsidRPr="003B4AEE" w:rsidRDefault="002E2A3B" w:rsidP="009730AE">
      <w:pPr>
        <w:pStyle w:val="BodyText"/>
      </w:pPr>
      <w:r w:rsidRPr="003B4AEE">
        <w:t>Th</w:t>
      </w:r>
      <w:r w:rsidR="00DC032A" w:rsidRPr="003B4AEE">
        <w:t>is</w:t>
      </w:r>
      <w:r w:rsidRPr="003B4AEE">
        <w:t xml:space="preserve"> ICR</w:t>
      </w:r>
      <w:r w:rsidR="002C72C9" w:rsidRPr="003B4AEE">
        <w:t xml:space="preserve"> being renewed (Office of Management and Budget [OMB] control </w:t>
      </w:r>
      <w:r w:rsidR="000106BF" w:rsidRPr="003B4AEE">
        <w:t>no.</w:t>
      </w:r>
      <w:r w:rsidR="002C72C9" w:rsidRPr="003B4AEE">
        <w:t xml:space="preserve"> 2040-0004, EPA ICR </w:t>
      </w:r>
      <w:r w:rsidR="000106BF" w:rsidRPr="003B4AEE">
        <w:t>no.</w:t>
      </w:r>
      <w:r w:rsidR="002C72C9" w:rsidRPr="003B4AEE">
        <w:t xml:space="preserve"> </w:t>
      </w:r>
      <w:r w:rsidR="00432394" w:rsidRPr="003B4AEE">
        <w:t>0229.2</w:t>
      </w:r>
      <w:r w:rsidR="00907099" w:rsidRPr="003B4AEE">
        <w:t>4</w:t>
      </w:r>
      <w:r w:rsidR="002C72C9" w:rsidRPr="003B4AEE">
        <w:t xml:space="preserve">, expiration date </w:t>
      </w:r>
      <w:r w:rsidR="0086346E" w:rsidRPr="003B4AEE">
        <w:t>03</w:t>
      </w:r>
      <w:r w:rsidR="002C72C9" w:rsidRPr="003B4AEE">
        <w:t>/31/20</w:t>
      </w:r>
      <w:r w:rsidR="0086346E" w:rsidRPr="003B4AEE">
        <w:t>22</w:t>
      </w:r>
      <w:r w:rsidR="002C72C9" w:rsidRPr="003B4AEE">
        <w:t xml:space="preserve">) </w:t>
      </w:r>
      <w:r w:rsidR="00E0187E" w:rsidRPr="003B4AEE">
        <w:t>consolidate</w:t>
      </w:r>
      <w:r w:rsidR="00F22CF0" w:rsidRPr="003B4AEE">
        <w:t>s</w:t>
      </w:r>
      <w:r w:rsidR="00E0187E" w:rsidRPr="003B4AEE">
        <w:t xml:space="preserve"> the burden and costs associated with activities previously reported in </w:t>
      </w:r>
      <w:r w:rsidR="00AE3A09" w:rsidRPr="003B4AEE">
        <w:t>1</w:t>
      </w:r>
      <w:r w:rsidR="0084220F" w:rsidRPr="003B4AEE">
        <w:t>8</w:t>
      </w:r>
      <w:r w:rsidR="00E0187E" w:rsidRPr="003B4AEE">
        <w:t xml:space="preserve"> of the NPDES progra</w:t>
      </w:r>
      <w:r w:rsidR="00106ACF">
        <w:t>m</w:t>
      </w:r>
      <w:r w:rsidR="0094026A">
        <w:t xml:space="preserve"> or NPDES-related</w:t>
      </w:r>
      <w:r w:rsidR="00ED211E">
        <w:t xml:space="preserve"> ICRs</w:t>
      </w:r>
      <w:r w:rsidR="00E0187E" w:rsidRPr="003B4AEE">
        <w:t>.</w:t>
      </w:r>
      <w:r w:rsidR="009F3B81" w:rsidRPr="003B4AEE">
        <w:t xml:space="preserve"> </w:t>
      </w:r>
      <w:r w:rsidR="00DC032A" w:rsidRPr="003B4AEE">
        <w:t>Once this ren</w:t>
      </w:r>
      <w:r w:rsidR="004B5007" w:rsidRPr="003B4AEE">
        <w:t>e</w:t>
      </w:r>
      <w:r w:rsidR="00DC032A" w:rsidRPr="003B4AEE">
        <w:t xml:space="preserve">wal ICR is approved, the </w:t>
      </w:r>
      <w:r w:rsidR="002948D5" w:rsidRPr="003B4AEE">
        <w:t xml:space="preserve">following </w:t>
      </w:r>
      <w:r w:rsidR="00DC032A" w:rsidRPr="003B4AEE">
        <w:t>ICRs will be discontinued</w:t>
      </w:r>
      <w:r w:rsidR="008D1B36" w:rsidRPr="003B4AEE">
        <w:t xml:space="preserve"> (each originally</w:t>
      </w:r>
      <w:r w:rsidR="00052F5F" w:rsidRPr="003B4AEE">
        <w:t xml:space="preserve"> would have been effective for three years)</w:t>
      </w:r>
      <w:r w:rsidR="00106ACF">
        <w:t xml:space="preserve"> as this renewal ICR will account for their burden and costs:</w:t>
      </w:r>
    </w:p>
    <w:p w14:paraId="14F089BD" w14:textId="3F790824" w:rsidR="00AE3A09" w:rsidRPr="003B4AEE" w:rsidRDefault="00A5524B" w:rsidP="00290A17">
      <w:pPr>
        <w:pStyle w:val="ListBullet"/>
        <w:numPr>
          <w:ilvl w:val="0"/>
          <w:numId w:val="17"/>
        </w:numPr>
      </w:pPr>
      <w:r w:rsidRPr="003B4AEE">
        <w:t>Public Notification Requirements for CSOs in the Great Lakes Basin</w:t>
      </w:r>
      <w:r w:rsidRPr="003B4AEE" w:rsidDel="00A5524B">
        <w:t xml:space="preserve"> </w:t>
      </w:r>
      <w:r w:rsidR="00191ED8" w:rsidRPr="003B4AEE">
        <w:t xml:space="preserve">(OMB </w:t>
      </w:r>
      <w:r w:rsidR="002C72C9" w:rsidRPr="003B4AEE">
        <w:t xml:space="preserve">control </w:t>
      </w:r>
      <w:r w:rsidR="000106BF" w:rsidRPr="003B4AEE">
        <w:t xml:space="preserve">no. </w:t>
      </w:r>
      <w:r w:rsidR="00191ED8" w:rsidRPr="003B4AEE">
        <w:t>2040-02</w:t>
      </w:r>
      <w:r w:rsidR="00C52D24" w:rsidRPr="003B4AEE">
        <w:t>93</w:t>
      </w:r>
      <w:r w:rsidR="002C72C9" w:rsidRPr="003B4AEE">
        <w:t xml:space="preserve">, </w:t>
      </w:r>
      <w:r w:rsidR="00191ED8" w:rsidRPr="003B4AEE">
        <w:t xml:space="preserve">EPA ICR </w:t>
      </w:r>
      <w:r w:rsidR="002C268A" w:rsidRPr="003B4AEE">
        <w:t>2562.0</w:t>
      </w:r>
      <w:r w:rsidR="00353001" w:rsidRPr="003B4AEE">
        <w:t>3</w:t>
      </w:r>
      <w:r w:rsidR="002C268A" w:rsidRPr="003B4AEE">
        <w:t>,</w:t>
      </w:r>
      <w:r w:rsidR="00F21D52" w:rsidRPr="003B4AEE">
        <w:t xml:space="preserve"> </w:t>
      </w:r>
      <w:r w:rsidR="002C72C9" w:rsidRPr="003B4AEE">
        <w:t xml:space="preserve">expiration </w:t>
      </w:r>
      <w:r w:rsidR="00C55586" w:rsidRPr="003B4AEE">
        <w:t>d</w:t>
      </w:r>
      <w:r w:rsidR="005D2051" w:rsidRPr="003B4AEE">
        <w:t>ate</w:t>
      </w:r>
      <w:r w:rsidR="00586A4F" w:rsidRPr="003B4AEE">
        <w:t xml:space="preserve"> </w:t>
      </w:r>
      <w:r w:rsidR="00F21D52" w:rsidRPr="003B4AEE">
        <w:t>04/30/2024</w:t>
      </w:r>
      <w:r w:rsidR="00444BA1" w:rsidRPr="003B4AEE">
        <w:t>)</w:t>
      </w:r>
    </w:p>
    <w:p w14:paraId="5DDEF773" w14:textId="5385F254" w:rsidR="00B17ECF" w:rsidRPr="003B4AEE" w:rsidRDefault="00914022" w:rsidP="00290A17">
      <w:pPr>
        <w:pStyle w:val="ListBullet"/>
        <w:numPr>
          <w:ilvl w:val="0"/>
          <w:numId w:val="17"/>
        </w:numPr>
      </w:pPr>
      <w:r w:rsidRPr="003B4AEE">
        <w:t xml:space="preserve">Effluent Limitation Guidelines and Standards for the Dental Category </w:t>
      </w:r>
      <w:r w:rsidR="00B17ECF" w:rsidRPr="003B4AEE">
        <w:t xml:space="preserve">(OMB </w:t>
      </w:r>
      <w:r w:rsidR="00437796" w:rsidRPr="003B4AEE">
        <w:t>control no.</w:t>
      </w:r>
      <w:r w:rsidR="00B17ECF" w:rsidRPr="003B4AEE">
        <w:t xml:space="preserve"> 2040-02</w:t>
      </w:r>
      <w:r w:rsidR="002105C4" w:rsidRPr="003B4AEE">
        <w:t>87,</w:t>
      </w:r>
      <w:r w:rsidR="00437796" w:rsidRPr="003B4AEE">
        <w:t xml:space="preserve"> </w:t>
      </w:r>
      <w:r w:rsidR="00B17ECF" w:rsidRPr="003B4AEE">
        <w:t xml:space="preserve">EPA ICR </w:t>
      </w:r>
      <w:r w:rsidR="000106BF" w:rsidRPr="003B4AEE">
        <w:t xml:space="preserve">no. </w:t>
      </w:r>
      <w:r w:rsidR="00DA3CFF" w:rsidRPr="003B4AEE">
        <w:rPr>
          <w:rStyle w:val="normaltextrun"/>
          <w:bdr w:val="none" w:sz="0" w:space="0" w:color="auto" w:frame="1"/>
        </w:rPr>
        <w:t xml:space="preserve">2514.01, expiration </w:t>
      </w:r>
      <w:r w:rsidR="005862B6" w:rsidRPr="003B4AEE">
        <w:rPr>
          <w:rStyle w:val="normaltextrun"/>
          <w:bdr w:val="none" w:sz="0" w:space="0" w:color="auto" w:frame="1"/>
        </w:rPr>
        <w:t>11</w:t>
      </w:r>
      <w:r w:rsidR="00746813" w:rsidRPr="003B4AEE">
        <w:rPr>
          <w:rStyle w:val="normaltextrun"/>
          <w:bdr w:val="none" w:sz="0" w:space="0" w:color="auto" w:frame="1"/>
        </w:rPr>
        <w:t>/</w:t>
      </w:r>
      <w:r w:rsidR="005862B6" w:rsidRPr="003B4AEE">
        <w:rPr>
          <w:rStyle w:val="normaltextrun"/>
          <w:bdr w:val="none" w:sz="0" w:space="0" w:color="auto" w:frame="1"/>
        </w:rPr>
        <w:t>30</w:t>
      </w:r>
      <w:r w:rsidR="00746813" w:rsidRPr="003B4AEE">
        <w:rPr>
          <w:rStyle w:val="normaltextrun"/>
          <w:bdr w:val="none" w:sz="0" w:space="0" w:color="auto" w:frame="1"/>
        </w:rPr>
        <w:t>/</w:t>
      </w:r>
      <w:r w:rsidR="005862B6" w:rsidRPr="003B4AEE">
        <w:rPr>
          <w:rStyle w:val="normaltextrun"/>
          <w:bdr w:val="none" w:sz="0" w:space="0" w:color="auto" w:frame="1"/>
        </w:rPr>
        <w:t>2023</w:t>
      </w:r>
      <w:r w:rsidR="00895D8C" w:rsidRPr="003B4AEE">
        <w:t>)</w:t>
      </w:r>
    </w:p>
    <w:p w14:paraId="4FB228D0" w14:textId="0E7FD145" w:rsidR="00657B6D" w:rsidRDefault="00F27042" w:rsidP="004C6351">
      <w:pPr>
        <w:pStyle w:val="ListBulletlast"/>
        <w:numPr>
          <w:ilvl w:val="0"/>
          <w:numId w:val="17"/>
        </w:numPr>
        <w:spacing w:after="100"/>
      </w:pPr>
      <w:r w:rsidRPr="003B4AEE">
        <w:t>2020 National Pollutant Discharge Elimination System (NPDES) Multi-Sector General Permit (MSGP) for Industrial Stormwater Discharges</w:t>
      </w:r>
      <w:r w:rsidRPr="003B4AEE" w:rsidDel="00F75E5A">
        <w:t xml:space="preserve"> </w:t>
      </w:r>
      <w:r w:rsidR="007C404B" w:rsidRPr="003B4AEE">
        <w:t xml:space="preserve">(OMB </w:t>
      </w:r>
      <w:r w:rsidR="00437796" w:rsidRPr="003B4AEE">
        <w:t>control no.</w:t>
      </w:r>
      <w:r w:rsidR="007C404B" w:rsidRPr="003B4AEE">
        <w:t xml:space="preserve"> 2040-</w:t>
      </w:r>
      <w:r w:rsidR="00B5698A" w:rsidRPr="003B4AEE">
        <w:t>0300</w:t>
      </w:r>
      <w:r w:rsidR="007C404B" w:rsidRPr="003B4AEE">
        <w:t xml:space="preserve">, EPA ICR </w:t>
      </w:r>
      <w:r w:rsidR="00437796" w:rsidRPr="003B4AEE">
        <w:t>no</w:t>
      </w:r>
      <w:r w:rsidR="007C404B" w:rsidRPr="003B4AEE">
        <w:t xml:space="preserve">. </w:t>
      </w:r>
      <w:r w:rsidR="00C640FB" w:rsidRPr="003B4AEE">
        <w:t>2612</w:t>
      </w:r>
      <w:r w:rsidR="007C404B" w:rsidRPr="003B4AEE">
        <w:t>.</w:t>
      </w:r>
      <w:r w:rsidR="00C640FB" w:rsidRPr="003B4AEE">
        <w:t>0</w:t>
      </w:r>
      <w:r w:rsidR="00BB4299" w:rsidRPr="003B4AEE">
        <w:t>2</w:t>
      </w:r>
      <w:r w:rsidR="00703681" w:rsidRPr="003B4AEE">
        <w:rPr>
          <w:rStyle w:val="normaltextrun"/>
          <w:bdr w:val="none" w:sz="0" w:space="0" w:color="auto" w:frame="1"/>
        </w:rPr>
        <w:t xml:space="preserve">, expiration </w:t>
      </w:r>
      <w:r w:rsidR="00B57873" w:rsidRPr="003B4AEE">
        <w:rPr>
          <w:rStyle w:val="normaltextrun"/>
          <w:bdr w:val="none" w:sz="0" w:space="0" w:color="auto" w:frame="1"/>
        </w:rPr>
        <w:t>03/31/</w:t>
      </w:r>
      <w:r w:rsidR="00211C6A" w:rsidRPr="003B4AEE">
        <w:rPr>
          <w:rStyle w:val="normaltextrun"/>
          <w:bdr w:val="none" w:sz="0" w:space="0" w:color="auto" w:frame="1"/>
        </w:rPr>
        <w:t>2024</w:t>
      </w:r>
      <w:r w:rsidR="007C404B" w:rsidRPr="003B4AEE">
        <w:t>)</w:t>
      </w:r>
      <w:r w:rsidR="00657B6D" w:rsidRPr="003B4AEE">
        <w:t xml:space="preserve"> </w:t>
      </w:r>
    </w:p>
    <w:p w14:paraId="588BEFAC" w14:textId="18AC8310" w:rsidR="004C6351" w:rsidRPr="003B4AEE" w:rsidRDefault="004C6351" w:rsidP="00290A17">
      <w:pPr>
        <w:pStyle w:val="ListBulletlast"/>
        <w:numPr>
          <w:ilvl w:val="0"/>
          <w:numId w:val="17"/>
        </w:numPr>
      </w:pPr>
      <w:r w:rsidRPr="004C6351">
        <w:t>NPDES Electronic Reporting Rule – Phase 2 Extension (OMB Control No.: 2020-0037</w:t>
      </w:r>
      <w:r>
        <w:t xml:space="preserve">, </w:t>
      </w:r>
      <w:r w:rsidRPr="004C6351">
        <w:t>EPA ICR No.</w:t>
      </w:r>
      <w:r>
        <w:t xml:space="preserve"> </w:t>
      </w:r>
      <w:r w:rsidRPr="004C6351">
        <w:t>2617.02,</w:t>
      </w:r>
      <w:r>
        <w:t xml:space="preserve"> expiration 12/31/2023</w:t>
      </w:r>
      <w:r w:rsidRPr="004C6351">
        <w:t>)</w:t>
      </w:r>
    </w:p>
    <w:p w14:paraId="3339F30F" w14:textId="0A7B4841" w:rsidR="00E0187E" w:rsidRPr="003B4AEE" w:rsidRDefault="00E0187E" w:rsidP="009730AE">
      <w:pPr>
        <w:pStyle w:val="BodyText"/>
      </w:pPr>
      <w:r w:rsidRPr="003B4AEE">
        <w:t>The C</w:t>
      </w:r>
      <w:r w:rsidR="003B7DC4">
        <w:t xml:space="preserve">lean </w:t>
      </w:r>
      <w:r w:rsidRPr="003B4AEE">
        <w:t>W</w:t>
      </w:r>
      <w:r w:rsidR="003B7DC4">
        <w:t xml:space="preserve">ater </w:t>
      </w:r>
      <w:r w:rsidRPr="003B4AEE">
        <w:t>A</w:t>
      </w:r>
      <w:r w:rsidR="003B7DC4">
        <w:t>ct (CWA)</w:t>
      </w:r>
      <w:r w:rsidRPr="003B4AEE">
        <w:t xml:space="preserve"> authorizes the Agency to issue permits for the discharge of pollutants to waters of the United States</w:t>
      </w:r>
      <w:r w:rsidR="00DC0ED1" w:rsidRPr="003B4AEE">
        <w:t>; t</w:t>
      </w:r>
      <w:r w:rsidRPr="003B4AEE">
        <w:t xml:space="preserve">he Agency </w:t>
      </w:r>
      <w:r w:rsidR="00DC0ED1" w:rsidRPr="003B4AEE">
        <w:t xml:space="preserve">uses the NPDES program to regulate </w:t>
      </w:r>
      <w:r w:rsidRPr="003B4AEE">
        <w:t>point source discharges. CWA section 402(b) allows states (defined to include Indian tribes and U.S. territories) to acquire authority for the NPDES program</w:t>
      </w:r>
      <w:r w:rsidR="00DC0ED1" w:rsidRPr="003B4AEE">
        <w:t xml:space="preserve">, enabling </w:t>
      </w:r>
      <w:r w:rsidRPr="003B4AEE">
        <w:t xml:space="preserve">them to issue and administer NPDES permits. At present, </w:t>
      </w:r>
      <w:r w:rsidR="00E63978" w:rsidRPr="003B4AEE">
        <w:t>47</w:t>
      </w:r>
      <w:r w:rsidRPr="003B4AEE">
        <w:t xml:space="preserve"> states and the U.S. Virgin Islands </w:t>
      </w:r>
      <w:r w:rsidR="00310BCA" w:rsidRPr="003B4AEE">
        <w:t xml:space="preserve">are authorized to administer the </w:t>
      </w:r>
      <w:r w:rsidRPr="003B4AEE">
        <w:t xml:space="preserve">NPDES permit program. In states that do not have authority for these programs, the Agency </w:t>
      </w:r>
      <w:r w:rsidR="003C73AD" w:rsidRPr="003B4AEE">
        <w:t>administers the program and issues</w:t>
      </w:r>
      <w:r w:rsidR="009E33BB" w:rsidRPr="003B4AEE">
        <w:t xml:space="preserve"> </w:t>
      </w:r>
      <w:r w:rsidRPr="003B4AEE">
        <w:t xml:space="preserve">NPDES permits. Because some permit applications are processed by states and some by EPA, this ICR calculates government burden and cost for both </w:t>
      </w:r>
      <w:r w:rsidR="003C4948" w:rsidRPr="003B4AEE">
        <w:t xml:space="preserve">authorized </w:t>
      </w:r>
      <w:r w:rsidRPr="003B4AEE">
        <w:t>states and EPA.</w:t>
      </w:r>
      <w:r w:rsidR="00D72092" w:rsidRPr="003B4AEE">
        <w:t xml:space="preserve"> See Appendix </w:t>
      </w:r>
      <w:r w:rsidR="004D389C" w:rsidRPr="003B4AEE">
        <w:t>F</w:t>
      </w:r>
      <w:r w:rsidR="00D72092" w:rsidRPr="003B4AEE">
        <w:t>.1 for a copy of the authorizing regulation.</w:t>
      </w:r>
    </w:p>
    <w:p w14:paraId="4A5B086D" w14:textId="291A1235" w:rsidR="00F11B46" w:rsidRPr="003B4AEE" w:rsidRDefault="00F11B46" w:rsidP="00B101A0">
      <w:pPr>
        <w:pStyle w:val="Heading3"/>
      </w:pPr>
      <w:bookmarkStart w:id="9" w:name="_Toc61334194"/>
      <w:bookmarkStart w:id="10" w:name="_Toc71729989"/>
      <w:r w:rsidRPr="003B4AEE">
        <w:lastRenderedPageBreak/>
        <w:t>Need/Authority for the Collection</w:t>
      </w:r>
      <w:bookmarkEnd w:id="9"/>
      <w:bookmarkEnd w:id="10"/>
    </w:p>
    <w:p w14:paraId="0DEAC3EE" w14:textId="6721D18E" w:rsidR="006B3066" w:rsidRPr="003B4AEE" w:rsidRDefault="006B3066" w:rsidP="001814FD">
      <w:pPr>
        <w:pStyle w:val="Heading4"/>
      </w:pPr>
      <w:r w:rsidRPr="003B4AEE">
        <w:t>General Description of the NPDES Program</w:t>
      </w:r>
    </w:p>
    <w:p w14:paraId="215F103F" w14:textId="368FAEE5" w:rsidR="00F11B46" w:rsidRPr="003B4AEE" w:rsidRDefault="00F11B46" w:rsidP="009730AE">
      <w:pPr>
        <w:pStyle w:val="BodyText"/>
      </w:pPr>
      <w:r w:rsidRPr="003B4AEE">
        <w:t>Section 402(a) of the CWA authorizes the EPA Administrator to issue permits for the discharge of pollutants if those discharges meet:</w:t>
      </w:r>
    </w:p>
    <w:p w14:paraId="0FF3EE50" w14:textId="77777777" w:rsidR="00F11B46" w:rsidRPr="003B4AEE" w:rsidRDefault="00F11B46" w:rsidP="00290A17">
      <w:pPr>
        <w:pStyle w:val="ListBulletsingle"/>
        <w:numPr>
          <w:ilvl w:val="0"/>
          <w:numId w:val="18"/>
        </w:numPr>
      </w:pPr>
      <w:r w:rsidRPr="003B4AEE">
        <w:t>All applicable requirements of CWA sections 301, 302, 306, 307, 308, and 403; or</w:t>
      </w:r>
    </w:p>
    <w:p w14:paraId="1C0A1D53" w14:textId="77777777" w:rsidR="00F11B46" w:rsidRPr="003B4AEE" w:rsidRDefault="00F11B46" w:rsidP="00290A17">
      <w:pPr>
        <w:pStyle w:val="ListBulletlast"/>
        <w:numPr>
          <w:ilvl w:val="0"/>
          <w:numId w:val="18"/>
        </w:numPr>
      </w:pPr>
      <w:r w:rsidRPr="003B4AEE">
        <w:t>Any conditions the Administrator determines are necessary to carry out the provisions and objectives of the CWA.</w:t>
      </w:r>
    </w:p>
    <w:p w14:paraId="4F61D0AC" w14:textId="40313416" w:rsidR="00F11B46" w:rsidRPr="003B4AEE" w:rsidRDefault="00F11B46" w:rsidP="009730AE">
      <w:pPr>
        <w:pStyle w:val="BodyText"/>
      </w:pPr>
      <w:r w:rsidRPr="003B4AEE">
        <w:t xml:space="preserve">The </w:t>
      </w:r>
      <w:r w:rsidR="003C4948" w:rsidRPr="003B4AEE">
        <w:t xml:space="preserve">initial step in ensuring </w:t>
      </w:r>
      <w:r w:rsidRPr="003B4AEE">
        <w:t xml:space="preserve">that the permits are adequately protective of those requirements is the permit application process. CWA section 402(a)(2) requires EPA to prescribe permit conditions to </w:t>
      </w:r>
      <w:r w:rsidR="00FD7518" w:rsidRPr="003B4AEE">
        <w:t xml:space="preserve">ensure </w:t>
      </w:r>
      <w:r w:rsidRPr="003B4AEE">
        <w:t xml:space="preserve">compliance with requirements “including conditions on data and information collection, reporting and such other requirements as [the Administrator] deemed appropriate.” EPA’s application forms require applicants to submit data that help determine what those </w:t>
      </w:r>
      <w:r w:rsidR="001B5F50" w:rsidRPr="003B4AEE">
        <w:t xml:space="preserve">permit </w:t>
      </w:r>
      <w:r w:rsidRPr="003B4AEE">
        <w:t>conditions should be.</w:t>
      </w:r>
    </w:p>
    <w:p w14:paraId="7117D0F9" w14:textId="41355EE5" w:rsidR="00F11B46" w:rsidRPr="003B4AEE" w:rsidRDefault="00F11B46" w:rsidP="009730AE">
      <w:pPr>
        <w:pStyle w:val="BodyText"/>
      </w:pPr>
      <w:r w:rsidRPr="003B4AEE">
        <w:t>CWA section 402(b) authorizes states</w:t>
      </w:r>
      <w:r w:rsidR="00106ACF">
        <w:t xml:space="preserve"> </w:t>
      </w:r>
      <w:r w:rsidRPr="003B4AEE">
        <w:t>to administer the NPDES program</w:t>
      </w:r>
      <w:r w:rsidR="00106ACF">
        <w:t>.</w:t>
      </w:r>
      <w:r w:rsidRPr="003B4AEE">
        <w:t xml:space="preserve"> </w:t>
      </w:r>
      <w:r w:rsidR="00D94D14" w:rsidRPr="003B4AEE">
        <w:fldChar w:fldCharType="begin"/>
      </w:r>
      <w:r w:rsidR="00D94D14" w:rsidRPr="003B4AEE">
        <w:instrText xml:space="preserve"> REF _Ref61327979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1</w:t>
      </w:r>
      <w:r w:rsidR="00B811B7" w:rsidRPr="003B4AEE">
        <w:noBreakHyphen/>
      </w:r>
      <w:r w:rsidR="00B811B7" w:rsidRPr="003B4AEE">
        <w:rPr>
          <w:noProof/>
        </w:rPr>
        <w:t>1</w:t>
      </w:r>
      <w:r w:rsidR="00D94D14" w:rsidRPr="003B4AEE">
        <w:fldChar w:fldCharType="end"/>
      </w:r>
      <w:r w:rsidRPr="003B4AEE">
        <w:t xml:space="preserve"> summarizes the number of states authorized for each major program element</w:t>
      </w:r>
      <w:r w:rsidR="001B5F50" w:rsidRPr="003B4AEE">
        <w:t>.</w:t>
      </w:r>
      <w:r w:rsidRPr="003B4AEE">
        <w:t xml:space="preserve"> Authorized states are considered permitting authorities and are responsible for issuing, administering, and enforcing permits for most point source discharges within their borders. In states without authorized NPDES program</w:t>
      </w:r>
      <w:r w:rsidR="00123B84" w:rsidRPr="003B4AEE">
        <w:t>s</w:t>
      </w:r>
      <w:r w:rsidRPr="003B4AEE">
        <w:t>, EPA is the permitting authority and undertakes all permitting activities</w:t>
      </w:r>
      <w:r w:rsidR="00106ACF">
        <w:t xml:space="preserve">. </w:t>
      </w:r>
      <w:r w:rsidRPr="003B4AEE">
        <w:t>CWA section 401 requires states to certify that EPA-issued NPDES permits establish “effluent limitations</w:t>
      </w:r>
      <w:r w:rsidR="00123B84" w:rsidRPr="003B4AEE">
        <w:t>…</w:t>
      </w:r>
      <w:r w:rsidRPr="003B4AEE">
        <w:t xml:space="preserve">and monitoring requirements necessary to assure that any applicant...will comply with any applicable effluent limitations and other limitations </w:t>
      </w:r>
      <w:r w:rsidR="00243554" w:rsidRPr="003B4AEE">
        <w:t>[</w:t>
      </w:r>
      <w:r w:rsidRPr="003B4AEE">
        <w:t xml:space="preserve">pursuant to the </w:t>
      </w:r>
      <w:r w:rsidR="00243554" w:rsidRPr="003B4AEE">
        <w:t>CWA]</w:t>
      </w:r>
      <w:r w:rsidRPr="003B4AEE">
        <w:t xml:space="preserve"> and with any other appropriate requirement of state law</w:t>
      </w:r>
      <w:r w:rsidR="00123B84" w:rsidRPr="003B4AEE">
        <w:t>…</w:t>
      </w:r>
      <w:r w:rsidR="004E6FA4" w:rsidRPr="003B4AEE">
        <w:t xml:space="preserve">” </w:t>
      </w:r>
      <w:r w:rsidR="00123B84" w:rsidRPr="003B4AEE">
        <w:t>(</w:t>
      </w:r>
      <w:r w:rsidR="00243554" w:rsidRPr="003B4AEE">
        <w:t>States</w:t>
      </w:r>
      <w:r w:rsidRPr="003B4AEE">
        <w:t>, tribes, and U.S. territories may waive their right to certify permits</w:t>
      </w:r>
      <w:r w:rsidR="00123B84" w:rsidRPr="003B4AEE">
        <w:t>)</w:t>
      </w:r>
      <w:r w:rsidR="00ED211E">
        <w:t>.</w:t>
      </w:r>
      <w:r w:rsidRPr="003B4AEE">
        <w:t xml:space="preserve"> CWA section 510 provides that states, tribes, and territories may adopt requirements equal to or more stringent than standards established pursuant to CWA provisions.</w:t>
      </w:r>
    </w:p>
    <w:p w14:paraId="7B186DE4" w14:textId="3019B010" w:rsidR="004E651D" w:rsidRPr="003B4AEE" w:rsidRDefault="00BB601A" w:rsidP="009F1C6B">
      <w:pPr>
        <w:pStyle w:val="TableTitle"/>
      </w:pPr>
      <w:bookmarkStart w:id="11" w:name="_Ref61327979"/>
      <w:bookmarkStart w:id="12" w:name="_Toc61521434"/>
      <w:r w:rsidRPr="003B4AEE">
        <w:t xml:space="preserve">Table </w:t>
      </w:r>
      <w:r>
        <w:fldChar w:fldCharType="begin"/>
      </w:r>
      <w:r>
        <w:instrText>STYLEREF 2 \s</w:instrText>
      </w:r>
      <w:r>
        <w:fldChar w:fldCharType="separate"/>
      </w:r>
      <w:r w:rsidR="00B811B7" w:rsidRPr="003B4AEE">
        <w:rPr>
          <w:noProof/>
        </w:rPr>
        <w:t>1</w:t>
      </w:r>
      <w:r>
        <w:fldChar w:fldCharType="end"/>
      </w:r>
      <w:r w:rsidR="007A3DD9" w:rsidRPr="003B4AEE">
        <w:noBreakHyphen/>
      </w:r>
      <w:r>
        <w:fldChar w:fldCharType="begin"/>
      </w:r>
      <w:r>
        <w:instrText>SEQ Table \* ARABIC \s 2</w:instrText>
      </w:r>
      <w:r>
        <w:fldChar w:fldCharType="separate"/>
      </w:r>
      <w:r w:rsidR="00B811B7" w:rsidRPr="003B4AEE">
        <w:rPr>
          <w:noProof/>
        </w:rPr>
        <w:t>1</w:t>
      </w:r>
      <w:r>
        <w:fldChar w:fldCharType="end"/>
      </w:r>
      <w:bookmarkEnd w:id="11"/>
      <w:r w:rsidRPr="003B4AEE">
        <w:t>.</w:t>
      </w:r>
      <w:r w:rsidR="004E651D" w:rsidRPr="003B4AEE">
        <w:t xml:space="preserve"> States with </w:t>
      </w:r>
      <w:r w:rsidR="00AC7E76" w:rsidRPr="003B4AEE">
        <w:t>P</w:t>
      </w:r>
      <w:r w:rsidR="004E651D" w:rsidRPr="003B4AEE">
        <w:t xml:space="preserve">rogram </w:t>
      </w:r>
      <w:r w:rsidR="00AC7E76" w:rsidRPr="003B4AEE">
        <w:t>A</w:t>
      </w:r>
      <w:r w:rsidR="004E651D" w:rsidRPr="003B4AEE">
        <w:t xml:space="preserve">uthorization as of </w:t>
      </w:r>
      <w:r w:rsidR="00DD6D01" w:rsidRPr="003B4AEE">
        <w:t>December</w:t>
      </w:r>
      <w:r w:rsidR="00AF0F4F" w:rsidRPr="003B4AEE">
        <w:t xml:space="preserve"> </w:t>
      </w:r>
      <w:r w:rsidR="004E651D" w:rsidRPr="003B4AEE">
        <w:t>20</w:t>
      </w:r>
      <w:r w:rsidR="00AF0F4F" w:rsidRPr="003B4AEE">
        <w:t>20</w:t>
      </w:r>
      <w:bookmarkEnd w:id="12"/>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440"/>
      </w:tblGrid>
      <w:tr w:rsidR="00F11B46" w:rsidRPr="003B4AEE" w14:paraId="78143EC9" w14:textId="77777777" w:rsidTr="00F44871">
        <w:trPr>
          <w:trHeight w:val="255"/>
          <w:tblHeader/>
          <w:jc w:val="center"/>
        </w:trPr>
        <w:tc>
          <w:tcPr>
            <w:tcW w:w="4320" w:type="dxa"/>
            <w:shd w:val="clear" w:color="auto" w:fill="D9D9D9" w:themeFill="background1" w:themeFillShade="D9"/>
            <w:noWrap/>
            <w:vAlign w:val="bottom"/>
          </w:tcPr>
          <w:p w14:paraId="1724B70F" w14:textId="77777777" w:rsidR="00F11B46" w:rsidRPr="003B4AEE" w:rsidRDefault="00F11B46" w:rsidP="009F1C6B">
            <w:pPr>
              <w:pStyle w:val="TableHeading"/>
            </w:pPr>
            <w:r w:rsidRPr="003B4AEE">
              <w:t>Type</w:t>
            </w:r>
          </w:p>
        </w:tc>
        <w:tc>
          <w:tcPr>
            <w:tcW w:w="1440" w:type="dxa"/>
            <w:tcBorders>
              <w:bottom w:val="single" w:sz="4" w:space="0" w:color="auto"/>
            </w:tcBorders>
            <w:shd w:val="clear" w:color="auto" w:fill="D9D9D9" w:themeFill="background1" w:themeFillShade="D9"/>
            <w:noWrap/>
            <w:vAlign w:val="bottom"/>
          </w:tcPr>
          <w:p w14:paraId="768F71F8" w14:textId="77777777" w:rsidR="00F11B46" w:rsidRPr="003B4AEE" w:rsidRDefault="00F11B46" w:rsidP="009F1C6B">
            <w:pPr>
              <w:pStyle w:val="TableHeading"/>
              <w:rPr>
                <w:rFonts w:cs="Arial"/>
                <w:szCs w:val="20"/>
              </w:rPr>
            </w:pPr>
            <w:r w:rsidRPr="003B4AEE">
              <w:rPr>
                <w:rFonts w:cs="Arial"/>
                <w:szCs w:val="20"/>
              </w:rPr>
              <w:t>Number</w:t>
            </w:r>
          </w:p>
        </w:tc>
      </w:tr>
      <w:tr w:rsidR="00F11B46" w:rsidRPr="003B4AEE" w14:paraId="55824E1F" w14:textId="77777777" w:rsidTr="009F1C6B">
        <w:trPr>
          <w:trHeight w:val="255"/>
          <w:jc w:val="center"/>
        </w:trPr>
        <w:tc>
          <w:tcPr>
            <w:tcW w:w="4320" w:type="dxa"/>
            <w:tcBorders>
              <w:right w:val="single" w:sz="4" w:space="0" w:color="auto"/>
            </w:tcBorders>
            <w:shd w:val="clear" w:color="auto" w:fill="auto"/>
            <w:noWrap/>
            <w:vAlign w:val="bottom"/>
          </w:tcPr>
          <w:p w14:paraId="3BB9A36D" w14:textId="77777777" w:rsidR="00F11B46" w:rsidRPr="003B4AEE" w:rsidRDefault="00F11B46" w:rsidP="00DE1B27">
            <w:pPr>
              <w:keepNext/>
              <w:keepLines/>
              <w:spacing w:after="0"/>
              <w:rPr>
                <w:rFonts w:asciiTheme="minorHAnsi" w:hAnsiTheme="minorHAnsi" w:cs="Arial"/>
                <w:sz w:val="20"/>
                <w:szCs w:val="20"/>
              </w:rPr>
            </w:pPr>
            <w:r w:rsidRPr="003B4AEE">
              <w:rPr>
                <w:rFonts w:asciiTheme="minorHAnsi" w:hAnsiTheme="minorHAnsi" w:cs="Arial"/>
                <w:sz w:val="20"/>
                <w:szCs w:val="20"/>
              </w:rPr>
              <w:t>NPDES Base Permit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BF508E" w14:textId="6B24FB3A" w:rsidR="00F11B46" w:rsidRPr="003B4AEE" w:rsidRDefault="005D52C3" w:rsidP="00C9153B">
            <w:pPr>
              <w:keepNext/>
              <w:keepLines/>
              <w:tabs>
                <w:tab w:val="decimal" w:pos="567"/>
              </w:tabs>
              <w:spacing w:after="0"/>
              <w:jc w:val="right"/>
              <w:rPr>
                <w:rFonts w:asciiTheme="minorHAnsi" w:hAnsiTheme="minorHAnsi" w:cs="Arial"/>
                <w:sz w:val="20"/>
                <w:szCs w:val="20"/>
              </w:rPr>
            </w:pPr>
            <w:r w:rsidRPr="003B4AEE">
              <w:rPr>
                <w:rFonts w:asciiTheme="minorHAnsi" w:hAnsiTheme="minorHAnsi" w:cs="Arial"/>
                <w:sz w:val="20"/>
                <w:szCs w:val="20"/>
              </w:rPr>
              <w:t>48</w:t>
            </w:r>
            <w:r w:rsidR="00134A7F" w:rsidRPr="003B4AEE">
              <w:rPr>
                <w:rFonts w:asciiTheme="minorHAnsi" w:hAnsiTheme="minorHAnsi" w:cs="Arial"/>
                <w:sz w:val="20"/>
                <w:szCs w:val="20"/>
                <w:vertAlign w:val="superscript"/>
              </w:rPr>
              <w:t>a</w:t>
            </w:r>
          </w:p>
        </w:tc>
      </w:tr>
      <w:tr w:rsidR="00F11B46" w:rsidRPr="003B4AEE" w14:paraId="39CFF1DE" w14:textId="77777777" w:rsidTr="009F1C6B">
        <w:trPr>
          <w:trHeight w:val="255"/>
          <w:jc w:val="center"/>
        </w:trPr>
        <w:tc>
          <w:tcPr>
            <w:tcW w:w="4320" w:type="dxa"/>
            <w:tcBorders>
              <w:bottom w:val="single" w:sz="4" w:space="0" w:color="auto"/>
              <w:right w:val="single" w:sz="4" w:space="0" w:color="auto"/>
            </w:tcBorders>
            <w:shd w:val="clear" w:color="auto" w:fill="auto"/>
            <w:noWrap/>
            <w:vAlign w:val="bottom"/>
          </w:tcPr>
          <w:p w14:paraId="5843D103" w14:textId="77777777" w:rsidR="00F11B46" w:rsidRPr="003B4AEE" w:rsidRDefault="00F11B46" w:rsidP="00DE1B27">
            <w:pPr>
              <w:keepNext/>
              <w:keepLines/>
              <w:spacing w:after="0"/>
              <w:rPr>
                <w:rFonts w:asciiTheme="minorHAnsi" w:hAnsiTheme="minorHAnsi" w:cs="Arial"/>
                <w:sz w:val="20"/>
                <w:szCs w:val="20"/>
              </w:rPr>
            </w:pPr>
            <w:r w:rsidRPr="003B4AEE">
              <w:rPr>
                <w:rFonts w:asciiTheme="minorHAnsi" w:hAnsiTheme="minorHAnsi" w:cs="Arial"/>
                <w:sz w:val="20"/>
                <w:szCs w:val="20"/>
              </w:rPr>
              <w:t>General Permits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CB65461" w14:textId="04C6D7E2" w:rsidR="00F11B46" w:rsidRPr="003B4AEE" w:rsidRDefault="005D52C3" w:rsidP="00C9153B">
            <w:pPr>
              <w:keepNext/>
              <w:keepLines/>
              <w:tabs>
                <w:tab w:val="decimal" w:pos="567"/>
              </w:tabs>
              <w:spacing w:after="0"/>
              <w:jc w:val="right"/>
              <w:rPr>
                <w:rFonts w:asciiTheme="minorHAnsi" w:hAnsiTheme="minorHAnsi" w:cs="Arial"/>
                <w:sz w:val="20"/>
                <w:szCs w:val="20"/>
              </w:rPr>
            </w:pPr>
            <w:r w:rsidRPr="003B4AEE">
              <w:rPr>
                <w:rFonts w:asciiTheme="minorHAnsi" w:hAnsiTheme="minorHAnsi" w:cs="Arial"/>
                <w:sz w:val="20"/>
                <w:szCs w:val="20"/>
              </w:rPr>
              <w:t>48</w:t>
            </w:r>
            <w:r w:rsidR="00134A7F" w:rsidRPr="003B4AEE">
              <w:rPr>
                <w:rFonts w:asciiTheme="minorHAnsi" w:hAnsiTheme="minorHAnsi" w:cs="Arial"/>
                <w:sz w:val="20"/>
                <w:szCs w:val="20"/>
                <w:vertAlign w:val="superscript"/>
              </w:rPr>
              <w:t>a</w:t>
            </w:r>
          </w:p>
        </w:tc>
      </w:tr>
      <w:tr w:rsidR="008769C5" w:rsidRPr="003B4AEE" w14:paraId="219F511E" w14:textId="77777777" w:rsidTr="009F1C6B">
        <w:trPr>
          <w:trHeight w:val="255"/>
          <w:jc w:val="center"/>
        </w:trPr>
        <w:tc>
          <w:tcPr>
            <w:tcW w:w="4320" w:type="dxa"/>
            <w:tcBorders>
              <w:bottom w:val="single" w:sz="4" w:space="0" w:color="auto"/>
              <w:right w:val="single" w:sz="4" w:space="0" w:color="auto"/>
            </w:tcBorders>
            <w:shd w:val="clear" w:color="auto" w:fill="auto"/>
            <w:noWrap/>
            <w:vAlign w:val="bottom"/>
          </w:tcPr>
          <w:p w14:paraId="357DA5C5" w14:textId="77F7BB2B" w:rsidR="008769C5" w:rsidRPr="003B4AEE" w:rsidRDefault="008769C5" w:rsidP="00DE1B27">
            <w:pPr>
              <w:keepNext/>
              <w:keepLines/>
              <w:spacing w:after="0"/>
              <w:rPr>
                <w:rFonts w:asciiTheme="minorHAnsi" w:hAnsiTheme="minorHAnsi" w:cs="Arial"/>
                <w:sz w:val="20"/>
                <w:szCs w:val="20"/>
              </w:rPr>
            </w:pPr>
            <w:r w:rsidRPr="003B4AEE">
              <w:rPr>
                <w:rFonts w:asciiTheme="minorHAnsi" w:hAnsiTheme="minorHAnsi" w:cs="Arial"/>
                <w:sz w:val="20"/>
                <w:szCs w:val="20"/>
              </w:rPr>
              <w:t>Pretreatment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04D5414" w14:textId="5B54BDA9" w:rsidR="008769C5" w:rsidRPr="003B4AEE" w:rsidRDefault="005D52C3" w:rsidP="00C9153B">
            <w:pPr>
              <w:keepNext/>
              <w:keepLines/>
              <w:tabs>
                <w:tab w:val="decimal" w:pos="567"/>
              </w:tabs>
              <w:spacing w:after="0"/>
              <w:jc w:val="right"/>
              <w:rPr>
                <w:rFonts w:asciiTheme="minorHAnsi" w:hAnsiTheme="minorHAnsi" w:cs="Arial"/>
                <w:sz w:val="20"/>
                <w:szCs w:val="20"/>
              </w:rPr>
            </w:pPr>
            <w:r w:rsidRPr="003B4AEE">
              <w:rPr>
                <w:rFonts w:asciiTheme="minorHAnsi" w:hAnsiTheme="minorHAnsi" w:cs="Arial"/>
                <w:sz w:val="20"/>
                <w:szCs w:val="20"/>
              </w:rPr>
              <w:t>37</w:t>
            </w:r>
          </w:p>
        </w:tc>
      </w:tr>
      <w:tr w:rsidR="00F11B46" w:rsidRPr="003B4AEE" w14:paraId="242D7C44" w14:textId="77777777" w:rsidTr="009F1C6B">
        <w:trPr>
          <w:trHeight w:val="255"/>
          <w:jc w:val="center"/>
        </w:trPr>
        <w:tc>
          <w:tcPr>
            <w:tcW w:w="4320" w:type="dxa"/>
            <w:tcBorders>
              <w:bottom w:val="single" w:sz="4" w:space="0" w:color="auto"/>
              <w:right w:val="single" w:sz="4" w:space="0" w:color="auto"/>
            </w:tcBorders>
            <w:shd w:val="clear" w:color="auto" w:fill="auto"/>
            <w:noWrap/>
            <w:vAlign w:val="bottom"/>
          </w:tcPr>
          <w:p w14:paraId="797EA950" w14:textId="77777777" w:rsidR="00F11B46" w:rsidRPr="003B4AEE" w:rsidRDefault="00F11B46" w:rsidP="00871F94">
            <w:pPr>
              <w:pStyle w:val="Tables"/>
            </w:pPr>
            <w:r w:rsidRPr="003B4AEE">
              <w:t>Biosolids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B324FD6" w14:textId="5CFCDDF3" w:rsidR="00F11B46" w:rsidRPr="003B4AEE" w:rsidRDefault="00CD1E11" w:rsidP="00C9153B">
            <w:pPr>
              <w:keepNext/>
              <w:keepLines/>
              <w:tabs>
                <w:tab w:val="decimal" w:pos="567"/>
              </w:tabs>
              <w:spacing w:after="0"/>
              <w:jc w:val="right"/>
              <w:rPr>
                <w:rFonts w:asciiTheme="minorHAnsi" w:hAnsiTheme="minorHAnsi" w:cs="Arial"/>
                <w:sz w:val="20"/>
                <w:szCs w:val="20"/>
              </w:rPr>
            </w:pPr>
            <w:r w:rsidRPr="003B4AEE">
              <w:rPr>
                <w:rFonts w:asciiTheme="minorHAnsi" w:hAnsiTheme="minorHAnsi" w:cs="Arial"/>
                <w:sz w:val="20"/>
                <w:szCs w:val="20"/>
              </w:rPr>
              <w:t>9</w:t>
            </w:r>
          </w:p>
        </w:tc>
      </w:tr>
      <w:tr w:rsidR="00F11B46" w:rsidRPr="003B4AEE" w14:paraId="793D3FA4" w14:textId="77777777" w:rsidTr="009F1C6B">
        <w:trPr>
          <w:trHeight w:val="255"/>
          <w:jc w:val="center"/>
        </w:trPr>
        <w:tc>
          <w:tcPr>
            <w:tcW w:w="4320" w:type="dxa"/>
            <w:tcBorders>
              <w:bottom w:val="single" w:sz="4" w:space="0" w:color="auto"/>
              <w:right w:val="single" w:sz="4" w:space="0" w:color="auto"/>
            </w:tcBorders>
            <w:shd w:val="clear" w:color="auto" w:fill="auto"/>
            <w:noWrap/>
            <w:vAlign w:val="bottom"/>
          </w:tcPr>
          <w:p w14:paraId="00050709" w14:textId="77777777" w:rsidR="00F11B46" w:rsidRPr="003B4AEE" w:rsidRDefault="00F11B46" w:rsidP="00DE1B27">
            <w:pPr>
              <w:keepNext/>
              <w:keepLines/>
              <w:spacing w:after="0"/>
              <w:rPr>
                <w:rFonts w:asciiTheme="minorHAnsi" w:hAnsiTheme="minorHAnsi" w:cs="Arial"/>
                <w:sz w:val="20"/>
                <w:szCs w:val="20"/>
              </w:rPr>
            </w:pPr>
            <w:r w:rsidRPr="003B4AEE">
              <w:rPr>
                <w:rFonts w:asciiTheme="minorHAnsi" w:hAnsiTheme="minorHAnsi" w:cs="Arial"/>
                <w:sz w:val="20"/>
                <w:szCs w:val="20"/>
              </w:rPr>
              <w:t>Federal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EB9EF0" w14:textId="6BDBA025" w:rsidR="00F11B46" w:rsidRPr="003B4AEE" w:rsidRDefault="00CD1E11" w:rsidP="00C9153B">
            <w:pPr>
              <w:keepNext/>
              <w:keepLines/>
              <w:tabs>
                <w:tab w:val="decimal" w:pos="567"/>
              </w:tabs>
              <w:spacing w:after="0"/>
              <w:jc w:val="right"/>
              <w:rPr>
                <w:rFonts w:asciiTheme="minorHAnsi" w:hAnsiTheme="minorHAnsi" w:cs="Arial"/>
                <w:sz w:val="20"/>
                <w:szCs w:val="20"/>
              </w:rPr>
            </w:pPr>
            <w:r w:rsidRPr="003B4AEE">
              <w:rPr>
                <w:rFonts w:asciiTheme="minorHAnsi" w:hAnsiTheme="minorHAnsi" w:cs="Arial"/>
                <w:sz w:val="20"/>
                <w:szCs w:val="20"/>
              </w:rPr>
              <w:t>44</w:t>
            </w:r>
          </w:p>
        </w:tc>
      </w:tr>
    </w:tbl>
    <w:p w14:paraId="62521391" w14:textId="3B47062C" w:rsidR="00F11B46" w:rsidRPr="003B4AEE" w:rsidRDefault="00134A7F" w:rsidP="00D030D3">
      <w:pPr>
        <w:pStyle w:val="FootnoteText"/>
        <w:tabs>
          <w:tab w:val="left" w:pos="1800"/>
        </w:tabs>
        <w:ind w:left="1890"/>
        <w:rPr>
          <w:sz w:val="18"/>
          <w:szCs w:val="18"/>
        </w:rPr>
      </w:pPr>
      <w:proofErr w:type="spellStart"/>
      <w:r w:rsidRPr="003B4AEE">
        <w:rPr>
          <w:sz w:val="18"/>
          <w:szCs w:val="18"/>
          <w:vertAlign w:val="superscript"/>
        </w:rPr>
        <w:t>a</w:t>
      </w:r>
      <w:proofErr w:type="spellEnd"/>
      <w:r>
        <w:tab/>
      </w:r>
      <w:r w:rsidR="00123B84" w:rsidRPr="003B4AEE">
        <w:rPr>
          <w:sz w:val="18"/>
          <w:szCs w:val="18"/>
        </w:rPr>
        <w:t xml:space="preserve">Includes </w:t>
      </w:r>
      <w:r w:rsidR="00560FD0" w:rsidRPr="003B4AEE">
        <w:rPr>
          <w:sz w:val="18"/>
          <w:szCs w:val="18"/>
        </w:rPr>
        <w:t>the U.S Virgin Islands</w:t>
      </w:r>
      <w:r w:rsidR="00123B84" w:rsidRPr="003B4AEE">
        <w:rPr>
          <w:sz w:val="18"/>
          <w:szCs w:val="18"/>
        </w:rPr>
        <w:t>.</w:t>
      </w:r>
    </w:p>
    <w:p w14:paraId="01C5954B" w14:textId="6BA28002" w:rsidR="00F11B46" w:rsidRPr="003B4AEE" w:rsidRDefault="00F11B46" w:rsidP="00D030D3">
      <w:pPr>
        <w:pStyle w:val="BodyText"/>
        <w:spacing w:before="240"/>
      </w:pPr>
      <w:r w:rsidRPr="003B4AEE">
        <w:t>CWA section 405 prohibits the discharge of pollutants caused by the disposal of sewage sludge</w:t>
      </w:r>
      <w:r w:rsidR="00123B84" w:rsidRPr="003B4AEE">
        <w:t>,</w:t>
      </w:r>
      <w:r w:rsidRPr="003B4AEE">
        <w:t xml:space="preserve"> except in accordance with an NPDES permit (or an authorized state permit issued to control such disposal of sewage sludge). </w:t>
      </w:r>
      <w:r w:rsidR="00884698" w:rsidRPr="003B4AEE">
        <w:t xml:space="preserve">It also </w:t>
      </w:r>
      <w:r w:rsidRPr="003B4AEE">
        <w:t xml:space="preserve">establishes a comprehensive sewage sludge permitting program and requires EPA to develop technical criteria for controlling sewage sludge disposal and use. CWA section 405 allows states with sludge management authority to issue and modify permits that regulate the use and disposal of sewage sludge. EPA implements CWA section 405 through its NPDES </w:t>
      </w:r>
      <w:r w:rsidR="0049204B" w:rsidRPr="003B4AEE">
        <w:t>b</w:t>
      </w:r>
      <w:r w:rsidRPr="003B4AEE">
        <w:t>iosolids</w:t>
      </w:r>
      <w:r w:rsidR="0049204B" w:rsidRPr="003B4AEE">
        <w:t xml:space="preserve"> p</w:t>
      </w:r>
      <w:r w:rsidRPr="003B4AEE">
        <w:t>rogram.</w:t>
      </w:r>
    </w:p>
    <w:p w14:paraId="702D45E7" w14:textId="05BC270E" w:rsidR="00F11B46" w:rsidRPr="003B4AEE" w:rsidRDefault="00F11B46" w:rsidP="009730AE">
      <w:pPr>
        <w:pStyle w:val="BodyText"/>
      </w:pPr>
      <w:r w:rsidRPr="003B4AEE">
        <w:lastRenderedPageBreak/>
        <w:t>CW</w:t>
      </w:r>
      <w:r w:rsidR="006A73CB">
        <w:t>A</w:t>
      </w:r>
      <w:r w:rsidR="004C6351">
        <w:t xml:space="preserve"> </w:t>
      </w:r>
      <w:r w:rsidRPr="003B4AEE">
        <w:t>section 402(p</w:t>
      </w:r>
      <w:r w:rsidR="00884698" w:rsidRPr="003B4AEE">
        <w:t>)</w:t>
      </w:r>
      <w:r w:rsidR="00ED211E">
        <w:t xml:space="preserve"> </w:t>
      </w:r>
      <w:r w:rsidR="00884698" w:rsidRPr="003B4AEE">
        <w:t xml:space="preserve">gives EPA </w:t>
      </w:r>
      <w:r w:rsidR="009D4ACC" w:rsidRPr="003B4AEE">
        <w:t xml:space="preserve">the authority to permit stormwater discharges and identifies the applicable requirements, which in some instances are different from the requirements applicable to other NPDES permittees. </w:t>
      </w:r>
      <w:r w:rsidRPr="003B4AEE">
        <w:t xml:space="preserve">The NPDES </w:t>
      </w:r>
      <w:r w:rsidR="001710DA" w:rsidRPr="003B4AEE">
        <w:t>p</w:t>
      </w:r>
      <w:r w:rsidRPr="003B4AEE">
        <w:t xml:space="preserve">rogram requires permits for stormwater discharges from certain municipal separate storm sewer systems (MS4s), industrial activities, and construction activities disturbing one acre or more. </w:t>
      </w:r>
    </w:p>
    <w:p w14:paraId="055420C6" w14:textId="2E6E9A3E" w:rsidR="00F11B46" w:rsidRPr="003B4AEE" w:rsidRDefault="00F11B46" w:rsidP="009730AE">
      <w:pPr>
        <w:pStyle w:val="BodyText"/>
      </w:pPr>
      <w:r w:rsidRPr="003B4AEE">
        <w:t xml:space="preserve">The NPDES program procedures and requirements are codified in Title 40 of the </w:t>
      </w:r>
      <w:r w:rsidRPr="003B4AEE">
        <w:rPr>
          <w:i/>
        </w:rPr>
        <w:t>Code of Federal Regulations</w:t>
      </w:r>
      <w:r w:rsidRPr="003B4AEE">
        <w:t xml:space="preserve"> </w:t>
      </w:r>
      <w:r w:rsidR="00BC4D7F" w:rsidRPr="003B4AEE">
        <w:t>(</w:t>
      </w:r>
      <w:r w:rsidRPr="003B4AEE">
        <w:rPr>
          <w:iCs/>
        </w:rPr>
        <w:t>CFR</w:t>
      </w:r>
      <w:r w:rsidR="00BC4D7F" w:rsidRPr="003B4AEE">
        <w:rPr>
          <w:iCs/>
        </w:rPr>
        <w:t>)</w:t>
      </w:r>
      <w:r w:rsidRPr="003B4AEE">
        <w:t xml:space="preserve"> Parts 122, 123, 124, and 125 (and </w:t>
      </w:r>
      <w:r w:rsidR="00515289">
        <w:t xml:space="preserve">in </w:t>
      </w:r>
      <w:r w:rsidRPr="003B4AEE">
        <w:t xml:space="preserve">Parts 501 and 503 for </w:t>
      </w:r>
      <w:r w:rsidR="009D4ACC" w:rsidRPr="003B4AEE">
        <w:t>b</w:t>
      </w:r>
      <w:r w:rsidRPr="003B4AEE">
        <w:t>iosolids</w:t>
      </w:r>
      <w:r w:rsidR="00605E12">
        <w:t>,</w:t>
      </w:r>
      <w:r w:rsidR="00515289">
        <w:t xml:space="preserve"> and Part 403 for pretreatment</w:t>
      </w:r>
      <w:r w:rsidRPr="003B4AEE">
        <w:t>). EPA has developed its NPDES discharge</w:t>
      </w:r>
      <w:r w:rsidR="00A87024" w:rsidRPr="003B4AEE">
        <w:t>, intake</w:t>
      </w:r>
      <w:r w:rsidR="001B5F50" w:rsidRPr="003B4AEE">
        <w:t>,</w:t>
      </w:r>
      <w:r w:rsidRPr="003B4AEE">
        <w:t xml:space="preserve"> and sewage sludge </w:t>
      </w:r>
      <w:r w:rsidR="006A243D" w:rsidRPr="003B4AEE">
        <w:t xml:space="preserve">permit </w:t>
      </w:r>
      <w:r w:rsidRPr="003B4AEE">
        <w:t xml:space="preserve">application requirements to ensure that </w:t>
      </w:r>
      <w:r w:rsidR="00527DEC" w:rsidRPr="003B4AEE">
        <w:t xml:space="preserve">the permitting authority </w:t>
      </w:r>
      <w:r w:rsidRPr="003B4AEE">
        <w:t xml:space="preserve">obtains adequate information about applicants before </w:t>
      </w:r>
      <w:r w:rsidR="001F3FDF">
        <w:t>the permitting authority i</w:t>
      </w:r>
      <w:r w:rsidRPr="003B4AEE">
        <w:t xml:space="preserve">ssues permits. Most application requirements are contained in forms developed by EPA. </w:t>
      </w:r>
      <w:r w:rsidR="00D94D14" w:rsidRPr="003B4AEE">
        <w:fldChar w:fldCharType="begin"/>
      </w:r>
      <w:r w:rsidR="00D94D14" w:rsidRPr="003B4AEE">
        <w:instrText xml:space="preserve"> REF _Ref61328182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2</w:t>
      </w:r>
      <w:r w:rsidR="00B811B7" w:rsidRPr="003B4AEE">
        <w:noBreakHyphen/>
      </w:r>
      <w:r w:rsidR="00B811B7" w:rsidRPr="003B4AEE">
        <w:rPr>
          <w:noProof/>
        </w:rPr>
        <w:t>1</w:t>
      </w:r>
      <w:r w:rsidR="00D94D14" w:rsidRPr="003B4AEE">
        <w:fldChar w:fldCharType="end"/>
      </w:r>
      <w:r w:rsidR="00934D52" w:rsidRPr="003B4AEE">
        <w:t xml:space="preserve"> in the next section</w:t>
      </w:r>
      <w:r w:rsidRPr="003B4AEE">
        <w:t xml:space="preserve"> provides an overview of the types of respondents required to submit NPDES application forms and identifies the form(s) that they must submit.</w:t>
      </w:r>
    </w:p>
    <w:p w14:paraId="6EB82568" w14:textId="6C83F074" w:rsidR="00F11B46" w:rsidRPr="003B4AEE" w:rsidRDefault="00F11B46" w:rsidP="009730AE">
      <w:pPr>
        <w:pStyle w:val="BodyText"/>
      </w:pPr>
      <w:r w:rsidRPr="003B4AEE">
        <w:t xml:space="preserve">The specific monitoring, reporting, and recordkeeping requirements for NPDES and biosolids permits are applicable to both EPA and </w:t>
      </w:r>
      <w:proofErr w:type="gramStart"/>
      <w:r w:rsidRPr="003B4AEE">
        <w:t>state-administered</w:t>
      </w:r>
      <w:proofErr w:type="gramEnd"/>
      <w:r w:rsidRPr="003B4AEE">
        <w:t xml:space="preserve"> NPDES permit programs, NPDES permittees (including stormwater), and treatment works that treat, use, or dispose of sewage sludge. CWA section 308 </w:t>
      </w:r>
      <w:r w:rsidR="007A7B53" w:rsidRPr="003B4AEE">
        <w:t xml:space="preserve">gives </w:t>
      </w:r>
      <w:r w:rsidRPr="003B4AEE">
        <w:t>EPA the authority to request this type of information from permittees. While these provisions establish EPA’s authority and requirement to collect pollutant information, EPA has specific needs for collecting the data. These needs include the following:</w:t>
      </w:r>
    </w:p>
    <w:p w14:paraId="2E70B08A" w14:textId="68C9DBAA" w:rsidR="00F11B46" w:rsidRPr="003B4AEE" w:rsidRDefault="00F11B46" w:rsidP="00290A17">
      <w:pPr>
        <w:pStyle w:val="ListBulletsingle"/>
        <w:numPr>
          <w:ilvl w:val="0"/>
          <w:numId w:val="19"/>
        </w:numPr>
      </w:pPr>
      <w:r w:rsidRPr="003B4AEE">
        <w:t>To provide information on pollutant discharge trends</w:t>
      </w:r>
      <w:r w:rsidR="0060775A" w:rsidRPr="003B4AEE">
        <w:t xml:space="preserve"> for performance </w:t>
      </w:r>
      <w:proofErr w:type="gramStart"/>
      <w:r w:rsidR="0060775A" w:rsidRPr="003B4AEE">
        <w:t>measures</w:t>
      </w:r>
      <w:r w:rsidRPr="003B4AEE">
        <w:t>;</w:t>
      </w:r>
      <w:proofErr w:type="gramEnd"/>
    </w:p>
    <w:p w14:paraId="343179FF" w14:textId="77777777" w:rsidR="00F11B46" w:rsidRPr="003B4AEE" w:rsidRDefault="00F11B46" w:rsidP="00290A17">
      <w:pPr>
        <w:pStyle w:val="ListBulletsingle"/>
        <w:numPr>
          <w:ilvl w:val="0"/>
          <w:numId w:val="19"/>
        </w:numPr>
      </w:pPr>
      <w:r w:rsidRPr="003B4AEE">
        <w:t xml:space="preserve">To provide information to permitting authorities to prioritize permit </w:t>
      </w:r>
      <w:proofErr w:type="gramStart"/>
      <w:r w:rsidRPr="003B4AEE">
        <w:t>activities;</w:t>
      </w:r>
      <w:proofErr w:type="gramEnd"/>
    </w:p>
    <w:p w14:paraId="6921F9A3" w14:textId="77777777" w:rsidR="00F11B46" w:rsidRPr="003B4AEE" w:rsidRDefault="00F11B46" w:rsidP="00290A17">
      <w:pPr>
        <w:pStyle w:val="ListBulletsingle"/>
        <w:numPr>
          <w:ilvl w:val="0"/>
          <w:numId w:val="19"/>
        </w:numPr>
      </w:pPr>
      <w:r w:rsidRPr="003B4AEE">
        <w:t xml:space="preserve">To determine whether permittees are in compliance with their permit conditions; and </w:t>
      </w:r>
    </w:p>
    <w:p w14:paraId="5772BF6D" w14:textId="3A287778" w:rsidR="00F11B46" w:rsidRPr="003B4AEE" w:rsidRDefault="00F11B46" w:rsidP="00290A17">
      <w:pPr>
        <w:pStyle w:val="ListBulletlast"/>
        <w:numPr>
          <w:ilvl w:val="0"/>
          <w:numId w:val="19"/>
        </w:numPr>
      </w:pPr>
      <w:r w:rsidRPr="003B4AEE">
        <w:t>To provide information to the permit writer to determine the need for</w:t>
      </w:r>
      <w:r w:rsidR="0016381C" w:rsidRPr="003B4AEE">
        <w:t>, and develop,</w:t>
      </w:r>
      <w:r w:rsidRPr="003B4AEE">
        <w:t xml:space="preserve"> permit limits.</w:t>
      </w:r>
    </w:p>
    <w:p w14:paraId="31AF53BC" w14:textId="033D8801" w:rsidR="00F11B46" w:rsidRPr="003B4AEE" w:rsidRDefault="00F11B46" w:rsidP="009730AE">
      <w:pPr>
        <w:pStyle w:val="BodyText"/>
      </w:pPr>
      <w:r w:rsidRPr="003B4AEE">
        <w:t>P</w:t>
      </w:r>
      <w:r w:rsidR="00644F4D" w:rsidRPr="003B4AEE">
        <w:t>rovisions for p</w:t>
      </w:r>
      <w:r w:rsidRPr="003B4AEE">
        <w:t>ermit modification</w:t>
      </w:r>
      <w:r w:rsidR="004D5815" w:rsidRPr="003B4AEE">
        <w:t>s</w:t>
      </w:r>
      <w:r w:rsidRPr="003B4AEE">
        <w:t xml:space="preserve"> and variance</w:t>
      </w:r>
      <w:r w:rsidR="00644F4D" w:rsidRPr="003B4AEE">
        <w:t>s from technology standards</w:t>
      </w:r>
      <w:r w:rsidRPr="003B4AEE">
        <w:t xml:space="preserve"> are found in CWA sections 301(c), (g), (h), (k), (n); 302(b); and 316(a). Additionally, 40 CFR 122.21, 122.24, 122.41, 122.42, 122.47, 122.62, 122.63, 122.64, 124.5, 125.3, </w:t>
      </w:r>
      <w:r w:rsidR="00150188">
        <w:t xml:space="preserve">403 </w:t>
      </w:r>
      <w:r w:rsidRPr="003B4AEE">
        <w:t xml:space="preserve">and 501.15 give </w:t>
      </w:r>
      <w:r w:rsidR="00D71C30" w:rsidRPr="003B4AEE">
        <w:t>permitting authorities</w:t>
      </w:r>
      <w:r w:rsidRPr="003B4AEE">
        <w:t xml:space="preserve"> the flexibility to respond quickly and efficiently to the dynamic nature of facility operation, technology advancements, and regulatory changes.</w:t>
      </w:r>
    </w:p>
    <w:p w14:paraId="17113E36" w14:textId="193FB00D" w:rsidR="00F11B46" w:rsidRPr="003B4AEE" w:rsidRDefault="00F11B46" w:rsidP="009730AE">
      <w:pPr>
        <w:pStyle w:val="BodyText"/>
      </w:pPr>
      <w:r w:rsidRPr="003B4AEE">
        <w:t xml:space="preserve">Effluent limitations guidelines and standards </w:t>
      </w:r>
      <w:r w:rsidR="00BD4002" w:rsidRPr="003B4AEE">
        <w:t xml:space="preserve">(ELGs) </w:t>
      </w:r>
      <w:r w:rsidRPr="003B4AEE">
        <w:t xml:space="preserve">are national wastewater limitations that apply to specific categories of industrial dischargers. The regulations are promulgated by EPA under the authority of CWA sections 301, 304, 306, and 307 and implemented through NPDES permits. In some instances, EPA establishes requirements for permittees to provide certification to the permitting authority or develop pollution prevention plans to demonstrate compliance with certain aspects of the </w:t>
      </w:r>
      <w:r w:rsidR="007A7B53" w:rsidRPr="003B4AEE">
        <w:t>ELGs</w:t>
      </w:r>
      <w:r w:rsidRPr="003B4AEE">
        <w:t>, often in lieu of monitoring for one or more pollutants. This ICR also integrates those certifications and planning documents.</w:t>
      </w:r>
    </w:p>
    <w:p w14:paraId="645ABDE1" w14:textId="0220B336" w:rsidR="006B3066" w:rsidRPr="003B4AEE" w:rsidRDefault="00415591" w:rsidP="001814FD">
      <w:pPr>
        <w:pStyle w:val="Heading4"/>
      </w:pPr>
      <w:r w:rsidRPr="003B4AEE">
        <w:lastRenderedPageBreak/>
        <w:t xml:space="preserve">Specific </w:t>
      </w:r>
      <w:r w:rsidR="006B3066" w:rsidRPr="003B4AEE">
        <w:t>NPDES Program</w:t>
      </w:r>
      <w:r w:rsidR="001D79AB" w:rsidRPr="003B4AEE">
        <w:t xml:space="preserve"> Areas</w:t>
      </w:r>
    </w:p>
    <w:p w14:paraId="1356E50D" w14:textId="22C2BC75" w:rsidR="00EA0FEA" w:rsidRPr="003B4AEE" w:rsidRDefault="003142F0" w:rsidP="009730AE">
      <w:pPr>
        <w:pStyle w:val="BodyText"/>
      </w:pPr>
      <w:r w:rsidRPr="003B4AEE">
        <w:t xml:space="preserve">Some </w:t>
      </w:r>
      <w:r w:rsidR="00EA0FEA" w:rsidRPr="003B4AEE">
        <w:t>NPDES program</w:t>
      </w:r>
      <w:r w:rsidR="008A2B11" w:rsidRPr="003B4AEE">
        <w:t xml:space="preserve"> areas </w:t>
      </w:r>
      <w:r w:rsidR="007A7B53" w:rsidRPr="003B4AEE">
        <w:t xml:space="preserve">have </w:t>
      </w:r>
      <w:r w:rsidR="008A2B11" w:rsidRPr="003B4AEE">
        <w:t>specific</w:t>
      </w:r>
      <w:r w:rsidR="00EA0FEA" w:rsidRPr="003B4AEE">
        <w:t xml:space="preserve"> components </w:t>
      </w:r>
      <w:r w:rsidR="007A7B53" w:rsidRPr="003B4AEE">
        <w:t xml:space="preserve">that </w:t>
      </w:r>
      <w:r w:rsidR="008A2B11" w:rsidRPr="003B4AEE">
        <w:t>require unique data</w:t>
      </w:r>
      <w:r w:rsidR="007A7B53" w:rsidRPr="003B4AEE">
        <w:t>. These</w:t>
      </w:r>
      <w:r w:rsidR="008A2B11" w:rsidRPr="003B4AEE">
        <w:t xml:space="preserve"> </w:t>
      </w:r>
      <w:r w:rsidR="00EA0FEA" w:rsidRPr="003B4AEE">
        <w:t xml:space="preserve">are described </w:t>
      </w:r>
      <w:r w:rsidRPr="003B4AEE">
        <w:t xml:space="preserve">in greater detail </w:t>
      </w:r>
      <w:r w:rsidR="00EA0FEA" w:rsidRPr="003B4AEE">
        <w:t>below.</w:t>
      </w:r>
    </w:p>
    <w:p w14:paraId="2930CFD3" w14:textId="271EC0A8" w:rsidR="00BE0045" w:rsidRPr="003B4AEE" w:rsidRDefault="00C75477" w:rsidP="009730AE">
      <w:pPr>
        <w:pStyle w:val="BodyText"/>
      </w:pPr>
      <w:r w:rsidRPr="003B4AEE">
        <w:rPr>
          <w:i/>
        </w:rPr>
        <w:t>Stormwater.</w:t>
      </w:r>
      <w:r w:rsidRPr="003B4AEE">
        <w:t xml:space="preserve"> </w:t>
      </w:r>
      <w:r w:rsidR="00975ABE" w:rsidRPr="003B4AEE">
        <w:t>The NPDES stormwater program regulates some stormwater discharges from three potential sources</w:t>
      </w:r>
      <w:r w:rsidR="00FF0883" w:rsidRPr="003B4AEE">
        <w:t xml:space="preserve"> (</w:t>
      </w:r>
      <w:r w:rsidR="00975ABE" w:rsidRPr="003B4AEE">
        <w:t>MS4s, construction activities, and industrial activities</w:t>
      </w:r>
      <w:r w:rsidR="00FF0883" w:rsidRPr="003B4AEE">
        <w:t xml:space="preserve">) and those designated by EPA or the </w:t>
      </w:r>
      <w:r w:rsidR="00881E07">
        <w:t>permitting</w:t>
      </w:r>
      <w:r w:rsidR="00FF0883" w:rsidRPr="003B4AEE">
        <w:t xml:space="preserve"> authority</w:t>
      </w:r>
      <w:r w:rsidR="00975ABE" w:rsidRPr="003B4AEE">
        <w:t xml:space="preserve">. </w:t>
      </w:r>
      <w:r w:rsidR="00BE0045" w:rsidRPr="003B4AEE">
        <w:t>CWA section 402(p) establishes the authority for EPA to permit stormwater discharges and identifies the applicable requirements, which in some instances are different from the requirements applicable to other NPDES permittees.</w:t>
      </w:r>
    </w:p>
    <w:p w14:paraId="1FD0C5C0" w14:textId="6BE678AE" w:rsidR="00F11B46" w:rsidRPr="003B4AEE" w:rsidRDefault="006B3066" w:rsidP="009730AE">
      <w:pPr>
        <w:pStyle w:val="BodyText"/>
      </w:pPr>
      <w:r w:rsidRPr="003B4AEE">
        <w:rPr>
          <w:i/>
        </w:rPr>
        <w:t xml:space="preserve">Combined </w:t>
      </w:r>
      <w:r w:rsidR="00DF2E36" w:rsidRPr="003B4AEE">
        <w:rPr>
          <w:i/>
        </w:rPr>
        <w:t xml:space="preserve">sewer overflows </w:t>
      </w:r>
      <w:r w:rsidRPr="003B4AEE">
        <w:rPr>
          <w:i/>
        </w:rPr>
        <w:t>(</w:t>
      </w:r>
      <w:r w:rsidR="00BD4002" w:rsidRPr="003B4AEE">
        <w:rPr>
          <w:i/>
        </w:rPr>
        <w:t>CSOs</w:t>
      </w:r>
      <w:r w:rsidRPr="003B4AEE">
        <w:rPr>
          <w:i/>
        </w:rPr>
        <w:t>)</w:t>
      </w:r>
      <w:r w:rsidR="00BD4002" w:rsidRPr="003B4AEE">
        <w:rPr>
          <w:i/>
        </w:rPr>
        <w:t xml:space="preserve">. </w:t>
      </w:r>
      <w:r w:rsidR="00F11B46" w:rsidRPr="003B4AEE">
        <w:t>CWA section 402(q) requires that permits, orders, and decrees that include discharges from combined sewer systems conform to the 1994 Combined Sewer Overflow Control Policy (</w:t>
      </w:r>
      <w:r w:rsidR="00786A73" w:rsidRPr="003B4AEE">
        <w:t>59 FR 18688</w:t>
      </w:r>
      <w:r w:rsidR="00864215" w:rsidRPr="003B4AEE">
        <w:t xml:space="preserve">, </w:t>
      </w:r>
      <w:r w:rsidR="00AE63F1" w:rsidRPr="003B4AEE">
        <w:t>April 19, 1994</w:t>
      </w:r>
      <w:r w:rsidR="00F11B46" w:rsidRPr="003B4AEE">
        <w:t xml:space="preserve">). The information collection activities described in this ICR </w:t>
      </w:r>
      <w:r w:rsidR="00DF2E36" w:rsidRPr="003B4AEE">
        <w:t xml:space="preserve">will </w:t>
      </w:r>
      <w:r w:rsidR="00F11B46" w:rsidRPr="003B4AEE">
        <w:t xml:space="preserve">provide the minimum data necessary for EPA to ensure that </w:t>
      </w:r>
      <w:r w:rsidR="00A26708" w:rsidRPr="003B4AEE">
        <w:t xml:space="preserve">(1) </w:t>
      </w:r>
      <w:r w:rsidR="00F11B46" w:rsidRPr="003B4AEE">
        <w:t>all municipalities with combined sewer systems are developing and implementing CSO control programs that are consistent with the CSO Control Policy and (2) these CSO control programs will meet the requirements of the CWA and will achieve compliance with applicable state water quality standards (WQS).</w:t>
      </w:r>
    </w:p>
    <w:p w14:paraId="500E2C0C" w14:textId="2D6E5534" w:rsidR="00D30F1F" w:rsidRPr="003B4AEE" w:rsidRDefault="00D30F1F" w:rsidP="009730AE">
      <w:pPr>
        <w:pStyle w:val="BodyText"/>
      </w:pPr>
      <w:r w:rsidRPr="003B4AEE">
        <w:t xml:space="preserve">On January 8, 2018, EPA finalized a rule to establish public notification requirements for CSO discharges to the Great Lakes, as required by Section 425 of the Consolidated Appropriations Act of 2016 (Pub. L. 114–113). In response, EPA has established public notification requirements for permittees authorized to discharge from a CSO to the Great Lakes Basin [82 FR 4233]. More information about this rule is discussed in the </w:t>
      </w:r>
      <w:r w:rsidRPr="003B4AEE">
        <w:rPr>
          <w:i/>
          <w:iCs/>
        </w:rPr>
        <w:t>Program Components Consolidated in This ICR</w:t>
      </w:r>
      <w:r w:rsidR="005353B8" w:rsidRPr="003B4AEE">
        <w:t xml:space="preserve"> section below. </w:t>
      </w:r>
    </w:p>
    <w:p w14:paraId="37F6CA90" w14:textId="1BCD2A94" w:rsidR="00F11B46" w:rsidRPr="003B4AEE" w:rsidRDefault="00BD4002" w:rsidP="009730AE">
      <w:pPr>
        <w:pStyle w:val="BodyText"/>
      </w:pPr>
      <w:r w:rsidRPr="003B4AEE">
        <w:rPr>
          <w:i/>
        </w:rPr>
        <w:t xml:space="preserve">Great Lakes. </w:t>
      </w:r>
      <w:r w:rsidR="009B6642">
        <w:t>T</w:t>
      </w:r>
      <w:r w:rsidR="0059130A">
        <w:t xml:space="preserve">he </w:t>
      </w:r>
      <w:r w:rsidR="00F11B46" w:rsidRPr="003B4AEE">
        <w:t>CWA directs EPA to publish water quality guidance for the Great Lakes System. Provisions of the Guidance are codified in 40 CFR Part 132. The Guidance establishes minimum water quality criteria, implementation procedures, and antidegradation provisions for the Great Lakes System.</w:t>
      </w:r>
    </w:p>
    <w:p w14:paraId="363CE64A" w14:textId="469EAEED" w:rsidR="00484AD9" w:rsidRPr="003B4AEE" w:rsidRDefault="005C3E37" w:rsidP="00C32F94">
      <w:pPr>
        <w:pStyle w:val="xmsonormal"/>
        <w:rPr>
          <w:rFonts w:ascii="Cambria" w:hAnsi="Cambria" w:cs="Times New Roman"/>
          <w:sz w:val="24"/>
          <w:szCs w:val="24"/>
        </w:rPr>
      </w:pPr>
      <w:r w:rsidRPr="004C6351">
        <w:rPr>
          <w:rFonts w:ascii="Cambria" w:hAnsi="Cambria"/>
          <w:i/>
          <w:sz w:val="24"/>
          <w:szCs w:val="24"/>
        </w:rPr>
        <w:t>Vessels</w:t>
      </w:r>
      <w:r w:rsidR="00B7103A" w:rsidRPr="004C6351">
        <w:rPr>
          <w:rFonts w:ascii="Cambria" w:hAnsi="Cambria"/>
          <w:i/>
          <w:sz w:val="24"/>
          <w:szCs w:val="24"/>
        </w:rPr>
        <w:t xml:space="preserve">. </w:t>
      </w:r>
      <w:r w:rsidR="00B7103A" w:rsidRPr="004C6351">
        <w:rPr>
          <w:rFonts w:ascii="Cambria" w:hAnsi="Cambria"/>
          <w:iCs/>
          <w:sz w:val="24"/>
          <w:szCs w:val="24"/>
        </w:rPr>
        <w:t>T</w:t>
      </w:r>
      <w:r w:rsidRPr="004C6351">
        <w:rPr>
          <w:rFonts w:ascii="Cambria" w:hAnsi="Cambria"/>
          <w:sz w:val="24"/>
          <w:szCs w:val="24"/>
        </w:rPr>
        <w:t>he NPDES Vessel General Permit (VGP) covering discharges incidental to the normal operation of a vessel operating as a means of transportation (“incidental discharges”). Specifically, the VGP is available for (1) incidental discharges from vessels longer than 79 feet and (2) ballast water discharges from vessels of any size. The VGP defines effluent limits for multiple discharge categories and specifies certain practices for various vessel categories.</w:t>
      </w:r>
      <w:r w:rsidR="00F94C8E" w:rsidRPr="004C6351">
        <w:rPr>
          <w:sz w:val="24"/>
          <w:szCs w:val="24"/>
        </w:rPr>
        <w:t xml:space="preserve"> </w:t>
      </w:r>
      <w:r w:rsidRPr="003B4AEE">
        <w:rPr>
          <w:rFonts w:ascii="Cambria" w:hAnsi="Cambria" w:cs="Times New Roman"/>
          <w:sz w:val="24"/>
          <w:szCs w:val="24"/>
        </w:rPr>
        <w:t xml:space="preserve">The types of vessels eligible for coverage under the VGP </w:t>
      </w:r>
      <w:proofErr w:type="gramStart"/>
      <w:r w:rsidRPr="003B4AEE">
        <w:rPr>
          <w:rFonts w:ascii="Cambria" w:hAnsi="Cambria" w:cs="Times New Roman"/>
          <w:sz w:val="24"/>
          <w:szCs w:val="24"/>
        </w:rPr>
        <w:t>include, but</w:t>
      </w:r>
      <w:proofErr w:type="gramEnd"/>
      <w:r w:rsidRPr="003B4AEE">
        <w:rPr>
          <w:rFonts w:ascii="Cambria" w:hAnsi="Cambria" w:cs="Times New Roman"/>
          <w:sz w:val="24"/>
          <w:szCs w:val="24"/>
        </w:rPr>
        <w:t xml:space="preserve"> are not limited to: cruise ships; ferries; barges; oil, petroleum, and chemical tankers; bulk carriers, container ships, and other cargo ships; refrigerant ships; research vessels; commercial fishing vessels; and emergency response vessels.</w:t>
      </w:r>
      <w:r w:rsidR="00484AD9" w:rsidRPr="003B4AEE">
        <w:rPr>
          <w:rFonts w:ascii="Cambria" w:hAnsi="Cambria" w:cs="Times New Roman"/>
          <w:sz w:val="24"/>
          <w:szCs w:val="24"/>
        </w:rPr>
        <w:t xml:space="preserve"> </w:t>
      </w:r>
    </w:p>
    <w:p w14:paraId="23AF4CB0" w14:textId="77777777" w:rsidR="00484AD9" w:rsidRPr="003B4AEE" w:rsidRDefault="00484AD9" w:rsidP="00C32F94">
      <w:pPr>
        <w:pStyle w:val="xmsonormal"/>
        <w:rPr>
          <w:rFonts w:ascii="Cambria" w:hAnsi="Cambria" w:cs="Times New Roman"/>
          <w:sz w:val="24"/>
          <w:szCs w:val="24"/>
        </w:rPr>
      </w:pPr>
    </w:p>
    <w:p w14:paraId="75D826E3" w14:textId="1631CE33" w:rsidR="00017F9B" w:rsidRPr="00017F9B" w:rsidRDefault="00C32F94" w:rsidP="00017F9B">
      <w:pPr>
        <w:pStyle w:val="xmsonormal"/>
        <w:spacing w:after="240"/>
        <w:rPr>
          <w:rFonts w:ascii="Cambria" w:hAnsi="Cambria"/>
          <w:color w:val="201F1E"/>
          <w:sz w:val="24"/>
          <w:szCs w:val="24"/>
        </w:rPr>
      </w:pPr>
      <w:r w:rsidRPr="003B4AEE">
        <w:rPr>
          <w:rFonts w:ascii="Cambria" w:hAnsi="Cambria"/>
          <w:color w:val="000000" w:themeColor="text1"/>
          <w:sz w:val="24"/>
          <w:szCs w:val="24"/>
        </w:rPr>
        <w:t xml:space="preserve">On December 4, 2018 the Vessel Incidental Discharge Act (VIDA) was signed, </w:t>
      </w:r>
      <w:r w:rsidR="00A31BB3">
        <w:rPr>
          <w:rFonts w:ascii="Cambria" w:hAnsi="Cambria"/>
          <w:color w:val="000000" w:themeColor="text1"/>
          <w:sz w:val="24"/>
          <w:szCs w:val="24"/>
        </w:rPr>
        <w:t>which</w:t>
      </w:r>
      <w:r w:rsidRPr="003B4AEE">
        <w:rPr>
          <w:rFonts w:ascii="Cambria" w:hAnsi="Cambria"/>
          <w:color w:val="000000" w:themeColor="text1"/>
          <w:sz w:val="24"/>
          <w:szCs w:val="24"/>
        </w:rPr>
        <w:t xml:space="preserve"> requires EPA to develop national standards of performance for incidental discharges and subsequently for the USCG to develop corresponding implementation, compliance, and enforcement regulations for those standards.  The VIDA specifies that conditions of the </w:t>
      </w:r>
      <w:r w:rsidRPr="003B4AEE">
        <w:rPr>
          <w:rFonts w:ascii="Cambria" w:hAnsi="Cambria"/>
          <w:color w:val="000000" w:themeColor="text1"/>
          <w:sz w:val="24"/>
          <w:szCs w:val="24"/>
        </w:rPr>
        <w:lastRenderedPageBreak/>
        <w:t xml:space="preserve">2013 Vessel General Permit (VGP) remain in effect until both EPA and the USCG regulations are final, effective, and enforceable with respect to every vessel incidental discharge.  Paperwork burden associated with those new VIDA requirements will be addressed as part of the new EPA and USCG regulations. </w:t>
      </w:r>
      <w:r w:rsidR="001301A3">
        <w:rPr>
          <w:rFonts w:ascii="Cambria" w:hAnsi="Cambria"/>
          <w:color w:val="000000" w:themeColor="text1"/>
          <w:sz w:val="24"/>
          <w:szCs w:val="24"/>
        </w:rPr>
        <w:t>Until t</w:t>
      </w:r>
      <w:r w:rsidRPr="003B4AEE">
        <w:rPr>
          <w:rFonts w:ascii="Cambria" w:hAnsi="Cambria"/>
          <w:color w:val="000000" w:themeColor="text1"/>
          <w:sz w:val="24"/>
          <w:szCs w:val="24"/>
        </w:rPr>
        <w:t xml:space="preserve">he new EPA and USCG incidental discharge regulations are final, </w:t>
      </w:r>
      <w:r w:rsidRPr="003B4AEE">
        <w:rPr>
          <w:rFonts w:ascii="Cambria" w:hAnsi="Cambria"/>
          <w:color w:val="201F1E"/>
          <w:sz w:val="24"/>
          <w:szCs w:val="24"/>
        </w:rPr>
        <w:t>collection burden associated with the VGP remains in this ICR.  Consistent with the VIDA repealing the Small Vessel General Permit (</w:t>
      </w:r>
      <w:proofErr w:type="spellStart"/>
      <w:r w:rsidRPr="003B4AEE">
        <w:rPr>
          <w:rFonts w:ascii="Cambria" w:hAnsi="Cambria"/>
          <w:color w:val="201F1E"/>
          <w:sz w:val="24"/>
          <w:szCs w:val="24"/>
        </w:rPr>
        <w:t>sVGP</w:t>
      </w:r>
      <w:proofErr w:type="spellEnd"/>
      <w:r w:rsidRPr="003B4AEE">
        <w:rPr>
          <w:rFonts w:ascii="Cambria" w:hAnsi="Cambria"/>
          <w:color w:val="201F1E"/>
          <w:sz w:val="24"/>
          <w:szCs w:val="24"/>
        </w:rPr>
        <w:t xml:space="preserve">) effectively immediately upon enactment, the collection burden associated with the administration of and compliance with the </w:t>
      </w:r>
      <w:proofErr w:type="spellStart"/>
      <w:r w:rsidRPr="003B4AEE">
        <w:rPr>
          <w:rFonts w:ascii="Cambria" w:hAnsi="Cambria"/>
          <w:color w:val="201F1E"/>
          <w:sz w:val="24"/>
          <w:szCs w:val="24"/>
        </w:rPr>
        <w:t>sVGP</w:t>
      </w:r>
      <w:proofErr w:type="spellEnd"/>
      <w:r w:rsidRPr="003B4AEE">
        <w:rPr>
          <w:rFonts w:ascii="Cambria" w:hAnsi="Cambria"/>
          <w:color w:val="201F1E"/>
          <w:sz w:val="24"/>
          <w:szCs w:val="24"/>
        </w:rPr>
        <w:t xml:space="preserve"> has been removed from this ICR.</w:t>
      </w:r>
    </w:p>
    <w:p w14:paraId="6679EEAA" w14:textId="117DB993" w:rsidR="009379E6" w:rsidRPr="003B4AEE" w:rsidRDefault="00BD4002" w:rsidP="009730AE">
      <w:pPr>
        <w:pStyle w:val="BodyText"/>
      </w:pPr>
      <w:r w:rsidRPr="003B4AEE">
        <w:rPr>
          <w:i/>
        </w:rPr>
        <w:t>Deicing ELG.</w:t>
      </w:r>
      <w:r w:rsidRPr="003B4AEE">
        <w:t xml:space="preserve"> </w:t>
      </w:r>
      <w:r w:rsidR="00864215" w:rsidRPr="003B4AEE">
        <w:t xml:space="preserve">In 2012, </w:t>
      </w:r>
      <w:r w:rsidR="00C63CA5" w:rsidRPr="003B4AEE">
        <w:t xml:space="preserve">EPA promulgated </w:t>
      </w:r>
      <w:r w:rsidR="006B3066" w:rsidRPr="003B4AEE">
        <w:t xml:space="preserve">an </w:t>
      </w:r>
      <w:r w:rsidRPr="003B4AEE">
        <w:t xml:space="preserve">ELG at 40 CFR Part </w:t>
      </w:r>
      <w:r w:rsidR="00702C8D" w:rsidRPr="003B4AEE">
        <w:t>449</w:t>
      </w:r>
      <w:r w:rsidRPr="003B4AEE">
        <w:t xml:space="preserve"> </w:t>
      </w:r>
      <w:r w:rsidR="00C63CA5" w:rsidRPr="003B4AEE">
        <w:t>for airports that conduct deicing operations. Aircraft are deiced by the spraying of deicing fluids, which contain pollutants. Airports also apply airfield pavement deicing chemicals to runways, taxiways</w:t>
      </w:r>
      <w:r w:rsidR="006B3066" w:rsidRPr="003B4AEE">
        <w:t>,</w:t>
      </w:r>
      <w:r w:rsidR="00C63CA5" w:rsidRPr="003B4AEE">
        <w:t xml:space="preserve"> and </w:t>
      </w:r>
      <w:r w:rsidR="00792F8F" w:rsidRPr="003B4AEE">
        <w:t xml:space="preserve">ramps. </w:t>
      </w:r>
      <w:r w:rsidR="00C63CA5" w:rsidRPr="003B4AEE">
        <w:t xml:space="preserve">The rule requires airports to </w:t>
      </w:r>
      <w:r w:rsidR="0017745D" w:rsidRPr="003B4AEE">
        <w:t xml:space="preserve">either </w:t>
      </w:r>
      <w:r w:rsidR="00C63CA5" w:rsidRPr="003B4AEE">
        <w:t xml:space="preserve">certify that they are not using deicers containing urea for airfield pavement deicing </w:t>
      </w:r>
      <w:r w:rsidR="0017745D" w:rsidRPr="003B4AEE">
        <w:t>or monitor their effluent and provide monitoring reports once a year.</w:t>
      </w:r>
      <w:r w:rsidR="00C50109" w:rsidRPr="003B4AEE">
        <w:t xml:space="preserve"> </w:t>
      </w:r>
    </w:p>
    <w:p w14:paraId="5CAE6397" w14:textId="1F4505B0" w:rsidR="00232889" w:rsidRPr="003B4AEE" w:rsidRDefault="00BD4002" w:rsidP="009730AE">
      <w:pPr>
        <w:pStyle w:val="BodyText"/>
      </w:pPr>
      <w:r w:rsidRPr="003B4AEE">
        <w:rPr>
          <w:i/>
        </w:rPr>
        <w:t>Pretreatment.</w:t>
      </w:r>
      <w:r w:rsidRPr="003B4AEE">
        <w:t xml:space="preserve"> EPA and authorized states implement</w:t>
      </w:r>
      <w:r w:rsidR="00232889" w:rsidRPr="003B4AEE">
        <w:t xml:space="preserve"> the National Pretreatment Program</w:t>
      </w:r>
      <w:r w:rsidR="00BC49E2">
        <w:t>.</w:t>
      </w:r>
      <w:r w:rsidR="00232889" w:rsidRPr="003B4AEE">
        <w:t xml:space="preserve"> The CWA requires EPA to develop regulations to establish responsibilities among federal, state, and local government</w:t>
      </w:r>
      <w:r w:rsidR="003333F7" w:rsidRPr="003B4AEE">
        <w:t xml:space="preserve">; </w:t>
      </w:r>
      <w:r w:rsidR="00232889" w:rsidRPr="003B4AEE">
        <w:t>industry</w:t>
      </w:r>
      <w:r w:rsidR="003333F7" w:rsidRPr="003B4AEE">
        <w:t xml:space="preserve">; </w:t>
      </w:r>
      <w:r w:rsidR="00232889" w:rsidRPr="003B4AEE">
        <w:t>and the public to implement pretreatment standards to control pollutants that pass through or interfere</w:t>
      </w:r>
      <w:r w:rsidR="00B77B36" w:rsidRPr="003B4AEE">
        <w:t xml:space="preserve"> with</w:t>
      </w:r>
      <w:r w:rsidR="00232889" w:rsidRPr="003B4AEE">
        <w:t xml:space="preserve"> </w:t>
      </w:r>
      <w:r w:rsidR="00F068AB" w:rsidRPr="003B4AEE">
        <w:t xml:space="preserve">the treatment processes of </w:t>
      </w:r>
      <w:r w:rsidR="00527DEC" w:rsidRPr="003B4AEE">
        <w:t>publicly owned treatment works (POTWs)</w:t>
      </w:r>
      <w:r w:rsidR="00F068AB" w:rsidRPr="003B4AEE">
        <w:t xml:space="preserve"> </w:t>
      </w:r>
      <w:r w:rsidR="00232889" w:rsidRPr="003B4AEE">
        <w:t xml:space="preserve">or that </w:t>
      </w:r>
      <w:r w:rsidR="00F068AB" w:rsidRPr="003B4AEE">
        <w:t xml:space="preserve">might </w:t>
      </w:r>
      <w:r w:rsidR="00232889" w:rsidRPr="003B4AEE">
        <w:t xml:space="preserve">contaminate sewage sludge. </w:t>
      </w:r>
    </w:p>
    <w:p w14:paraId="0F384FBF" w14:textId="35F7E247" w:rsidR="00BA5765" w:rsidRPr="003B4AEE" w:rsidRDefault="008B5158" w:rsidP="009730AE">
      <w:pPr>
        <w:pStyle w:val="BodyText"/>
      </w:pPr>
      <w:r w:rsidRPr="003B4AEE">
        <w:rPr>
          <w:i/>
        </w:rPr>
        <w:t xml:space="preserve">Consolidated </w:t>
      </w:r>
      <w:proofErr w:type="gramStart"/>
      <w:r w:rsidRPr="003B4AEE">
        <w:rPr>
          <w:i/>
        </w:rPr>
        <w:t>animals</w:t>
      </w:r>
      <w:proofErr w:type="gramEnd"/>
      <w:r w:rsidRPr="003B4AEE">
        <w:rPr>
          <w:i/>
        </w:rPr>
        <w:t xml:space="preserve"> sector</w:t>
      </w:r>
      <w:r w:rsidR="00433D40" w:rsidRPr="003B4AEE">
        <w:t>. Under the terms of the NPDES program, C</w:t>
      </w:r>
      <w:r w:rsidR="002B46D5">
        <w:t xml:space="preserve">oncentrated </w:t>
      </w:r>
      <w:r w:rsidR="00433D40" w:rsidRPr="003B4AEE">
        <w:t>A</w:t>
      </w:r>
      <w:r w:rsidR="002B46D5">
        <w:t xml:space="preserve">nimal </w:t>
      </w:r>
      <w:r w:rsidR="00433D40" w:rsidRPr="003B4AEE">
        <w:t>F</w:t>
      </w:r>
      <w:r w:rsidR="002B46D5">
        <w:t xml:space="preserve">eeding </w:t>
      </w:r>
      <w:r w:rsidR="00433D40" w:rsidRPr="003B4AEE">
        <w:t>O</w:t>
      </w:r>
      <w:r w:rsidR="002B46D5">
        <w:t>perations (CAFOS)</w:t>
      </w:r>
      <w:r w:rsidR="00433D40" w:rsidRPr="003B4AEE">
        <w:t xml:space="preserve"> are defined as point sources (33 USC Sec</w:t>
      </w:r>
      <w:r w:rsidR="00963800" w:rsidRPr="003B4AEE">
        <w:t xml:space="preserve">tion </w:t>
      </w:r>
      <w:r w:rsidR="00433D40" w:rsidRPr="003B4AEE">
        <w:t>1362). Under 33 USC Section</w:t>
      </w:r>
      <w:r w:rsidR="00963800" w:rsidRPr="003B4AEE">
        <w:t>s</w:t>
      </w:r>
      <w:r w:rsidR="00433D40" w:rsidRPr="003B4AEE">
        <w:t xml:space="preserve"> 1311 and 1342, a discharging CAFO must obtain a</w:t>
      </w:r>
      <w:r w:rsidR="003667B0" w:rsidRPr="003B4AEE">
        <w:t>n</w:t>
      </w:r>
      <w:r w:rsidR="00433D40" w:rsidRPr="003B4AEE">
        <w:t xml:space="preserve"> NPDES permit and comply with the terms of that permit, which may include appropriate conditions on data and information collection.</w:t>
      </w:r>
      <w:r w:rsidR="006F6F5C" w:rsidRPr="003B4AEE">
        <w:t xml:space="preserve"> </w:t>
      </w:r>
      <w:r w:rsidR="00963800" w:rsidRPr="003B4AEE">
        <w:t xml:space="preserve">EPA’s </w:t>
      </w:r>
      <w:r w:rsidR="00433D40" w:rsidRPr="003B4AEE">
        <w:t xml:space="preserve">NPDES regulations also define when a hatchery, fish farm, or other facility is a </w:t>
      </w:r>
      <w:r w:rsidR="00565193" w:rsidRPr="003B4AEE">
        <w:t>concentrated aquatic animal production (</w:t>
      </w:r>
      <w:r w:rsidR="00433D40" w:rsidRPr="003B4AEE">
        <w:t>CAAP</w:t>
      </w:r>
      <w:r w:rsidR="00565193" w:rsidRPr="003B4AEE">
        <w:t>)</w:t>
      </w:r>
      <w:r w:rsidR="00433D40" w:rsidRPr="003B4AEE">
        <w:t xml:space="preserve"> facility and, therefore, a point source subject to the NPDES permit program (40 CFR 122.24).</w:t>
      </w:r>
    </w:p>
    <w:p w14:paraId="6D6094F7" w14:textId="31D14FC6" w:rsidR="00E875B2" w:rsidRPr="003B4AEE" w:rsidRDefault="00087F50" w:rsidP="009730AE">
      <w:pPr>
        <w:pStyle w:val="BodyText"/>
      </w:pPr>
      <w:r w:rsidRPr="003B4AEE">
        <w:rPr>
          <w:i/>
        </w:rPr>
        <w:t xml:space="preserve">Cooling </w:t>
      </w:r>
      <w:r w:rsidR="00963800" w:rsidRPr="003B4AEE">
        <w:rPr>
          <w:i/>
        </w:rPr>
        <w:t>water intake structures</w:t>
      </w:r>
      <w:r w:rsidRPr="003B4AEE">
        <w:rPr>
          <w:i/>
        </w:rPr>
        <w:t>.</w:t>
      </w:r>
      <w:r w:rsidRPr="003B4AEE">
        <w:t xml:space="preserve"> Section 316(b) of the </w:t>
      </w:r>
      <w:r w:rsidR="00CD443C" w:rsidRPr="003B4AEE">
        <w:t xml:space="preserve">CWA </w:t>
      </w:r>
      <w:r w:rsidRPr="003B4AEE">
        <w:t>provides that “[a]</w:t>
      </w:r>
      <w:proofErr w:type="spellStart"/>
      <w:r w:rsidRPr="003B4AEE">
        <w:t>ny</w:t>
      </w:r>
      <w:proofErr w:type="spellEnd"/>
      <w:r w:rsidRPr="003B4AEE">
        <w:t xml:space="preserve"> standard established pursuant to [CWA section 301] or [CWA section 306] and applicable to a point source shall require that the location, design, construction, and capacity of cooling water intake structures reflect the best technology available for minimizing adverse environmental impact.”</w:t>
      </w:r>
      <w:r w:rsidR="00B0011A" w:rsidRPr="003B4AEE">
        <w:t xml:space="preserve"> Rules </w:t>
      </w:r>
      <w:r w:rsidR="0035700C" w:rsidRPr="003B4AEE">
        <w:t>establishing authority to regulate</w:t>
      </w:r>
      <w:r w:rsidR="00B0011A" w:rsidRPr="003B4AEE">
        <w:t xml:space="preserve"> cooling water intake structures include:</w:t>
      </w:r>
    </w:p>
    <w:p w14:paraId="6E865C7F" w14:textId="60B4CA75" w:rsidR="00517B85" w:rsidRPr="003B4AEE" w:rsidRDefault="00087F50" w:rsidP="00290A17">
      <w:pPr>
        <w:pStyle w:val="BodyText"/>
        <w:numPr>
          <w:ilvl w:val="0"/>
          <w:numId w:val="42"/>
        </w:numPr>
      </w:pPr>
      <w:r w:rsidRPr="003B4AEE">
        <w:t xml:space="preserve">The 316(b) New </w:t>
      </w:r>
      <w:r w:rsidR="001B467C" w:rsidRPr="003B4AEE">
        <w:t>Facilities</w:t>
      </w:r>
      <w:r w:rsidRPr="003B4AEE">
        <w:t xml:space="preserve"> </w:t>
      </w:r>
      <w:r w:rsidR="00426F60" w:rsidRPr="003B4AEE">
        <w:t xml:space="preserve">Final </w:t>
      </w:r>
      <w:r w:rsidRPr="003B4AEE">
        <w:t>Rule (66 FR 65256; December 18, 2001) and minor amendments (68 FR 36749; June 19, 2003) implement section 316(b) as it applies to new facilities that use cooling water intake structures (CWISs).</w:t>
      </w:r>
      <w:r w:rsidR="00655AF7" w:rsidRPr="003B4AEE">
        <w:t xml:space="preserve"> </w:t>
      </w:r>
      <w:r w:rsidR="008769C5" w:rsidRPr="003B4AEE">
        <w:t xml:space="preserve">The burden associated with </w:t>
      </w:r>
      <w:r w:rsidR="00AC38A5" w:rsidRPr="003B4AEE">
        <w:t xml:space="preserve">the </w:t>
      </w:r>
      <w:r w:rsidRPr="003B4AEE">
        <w:t xml:space="preserve">CWIS </w:t>
      </w:r>
      <w:r w:rsidR="00AC38A5" w:rsidRPr="003B4AEE">
        <w:t xml:space="preserve">New </w:t>
      </w:r>
      <w:r w:rsidR="001B467C" w:rsidRPr="003B4AEE">
        <w:t xml:space="preserve">Facilities </w:t>
      </w:r>
      <w:r w:rsidR="00AC38A5" w:rsidRPr="003B4AEE">
        <w:t>Rule</w:t>
      </w:r>
      <w:r w:rsidRPr="003B4AEE">
        <w:t>,</w:t>
      </w:r>
      <w:r w:rsidR="00AC38A5" w:rsidRPr="003B4AEE">
        <w:t xml:space="preserve"> previously contained in a separate ICR (OMB </w:t>
      </w:r>
      <w:r w:rsidR="00437796" w:rsidRPr="003B4AEE">
        <w:t>control no.</w:t>
      </w:r>
      <w:r w:rsidR="00AC38A5" w:rsidRPr="003B4AEE">
        <w:t xml:space="preserve"> 2040-0241; EPA ICR </w:t>
      </w:r>
      <w:r w:rsidR="000106BF" w:rsidRPr="003B4AEE">
        <w:t xml:space="preserve">no. </w:t>
      </w:r>
      <w:r w:rsidR="00AC38A5" w:rsidRPr="003B4AEE">
        <w:t>1973.06)</w:t>
      </w:r>
      <w:r w:rsidRPr="003B4AEE">
        <w:t>,</w:t>
      </w:r>
      <w:r w:rsidR="00AC38A5" w:rsidRPr="003B4AEE">
        <w:t xml:space="preserve"> </w:t>
      </w:r>
      <w:r w:rsidR="00517B85" w:rsidRPr="003B4AEE">
        <w:t>is</w:t>
      </w:r>
      <w:r w:rsidR="00AC38A5" w:rsidRPr="003B4AEE">
        <w:t xml:space="preserve"> being incorporated into this ICR. </w:t>
      </w:r>
    </w:p>
    <w:p w14:paraId="689191A5" w14:textId="280D368F" w:rsidR="007C404B" w:rsidRPr="003B4AEE" w:rsidRDefault="00087F50" w:rsidP="00290A17">
      <w:pPr>
        <w:pStyle w:val="BodyText"/>
        <w:numPr>
          <w:ilvl w:val="0"/>
          <w:numId w:val="42"/>
        </w:numPr>
      </w:pPr>
      <w:r w:rsidRPr="003B4AEE">
        <w:t xml:space="preserve">The </w:t>
      </w:r>
      <w:r w:rsidR="00426F60" w:rsidRPr="003B4AEE">
        <w:t>316(b)</w:t>
      </w:r>
      <w:r w:rsidRPr="003B4AEE">
        <w:t xml:space="preserve"> Phase III </w:t>
      </w:r>
      <w:r w:rsidR="00426F60" w:rsidRPr="003B4AEE">
        <w:t>Facilities</w:t>
      </w:r>
      <w:r w:rsidRPr="003B4AEE">
        <w:t xml:space="preserve"> </w:t>
      </w:r>
      <w:r w:rsidR="00426F60" w:rsidRPr="003B4AEE">
        <w:t xml:space="preserve">Final </w:t>
      </w:r>
      <w:r w:rsidRPr="003B4AEE">
        <w:t xml:space="preserve">Rule (71 FR </w:t>
      </w:r>
      <w:r w:rsidR="00CD443C" w:rsidRPr="003B4AEE">
        <w:t>35006</w:t>
      </w:r>
      <w:r w:rsidRPr="003B4AEE">
        <w:t xml:space="preserve">; June 16, 2006) </w:t>
      </w:r>
      <w:r w:rsidR="00D95245" w:rsidRPr="003B4AEE">
        <w:t>establishes requirements under Part 125, Subpart N, for</w:t>
      </w:r>
      <w:r w:rsidRPr="003B4AEE">
        <w:t xml:space="preserve"> new offshore oil and gas facilities that use </w:t>
      </w:r>
      <w:r w:rsidRPr="003B4AEE">
        <w:lastRenderedPageBreak/>
        <w:t xml:space="preserve">CWISs. </w:t>
      </w:r>
      <w:r w:rsidR="007C404B" w:rsidRPr="003B4AEE">
        <w:t xml:space="preserve">The burden associated with </w:t>
      </w:r>
      <w:r w:rsidR="00426F60" w:rsidRPr="003B4AEE">
        <w:t>this rule</w:t>
      </w:r>
      <w:r w:rsidRPr="003B4AEE">
        <w:t>,</w:t>
      </w:r>
      <w:r w:rsidR="007C404B" w:rsidRPr="003B4AEE">
        <w:t xml:space="preserve"> previously contained in a separate ICR (OMB </w:t>
      </w:r>
      <w:r w:rsidR="00437796" w:rsidRPr="003B4AEE">
        <w:t>control no.</w:t>
      </w:r>
      <w:r w:rsidR="007C404B" w:rsidRPr="003B4AEE">
        <w:t xml:space="preserve"> 2040-0268, EPA ICR </w:t>
      </w:r>
      <w:r w:rsidR="00437796" w:rsidRPr="003B4AEE">
        <w:t>no</w:t>
      </w:r>
      <w:r w:rsidR="007C404B" w:rsidRPr="003B4AEE">
        <w:t>. 2169.05)</w:t>
      </w:r>
      <w:r w:rsidRPr="003B4AEE">
        <w:t>,</w:t>
      </w:r>
      <w:r w:rsidR="007C404B" w:rsidRPr="003B4AEE">
        <w:t xml:space="preserve"> is being incorporated into this ICR. </w:t>
      </w:r>
    </w:p>
    <w:p w14:paraId="03B29335" w14:textId="151D671A" w:rsidR="00517B85" w:rsidRPr="003B4AEE" w:rsidRDefault="0036374E" w:rsidP="00290A17">
      <w:pPr>
        <w:pStyle w:val="BodyText"/>
        <w:numPr>
          <w:ilvl w:val="0"/>
          <w:numId w:val="42"/>
        </w:numPr>
      </w:pPr>
      <w:r w:rsidRPr="003B4AEE">
        <w:t xml:space="preserve">The 316(b) Existing </w:t>
      </w:r>
      <w:r w:rsidR="00426F60" w:rsidRPr="003B4AEE">
        <w:t>Facilities Final</w:t>
      </w:r>
      <w:r w:rsidRPr="003B4AEE">
        <w:t xml:space="preserve"> Rule (79 FR 48300; August 15, 2014) implement</w:t>
      </w:r>
      <w:r w:rsidR="00426F60" w:rsidRPr="003B4AEE">
        <w:t>s</w:t>
      </w:r>
      <w:r w:rsidRPr="003B4AEE">
        <w:t xml:space="preserve"> section 316(b) as it applies to existing power generating and manufacturing facilities that use CWISs. </w:t>
      </w:r>
      <w:r w:rsidR="00517B85" w:rsidRPr="003B4AEE">
        <w:t xml:space="preserve">The burden associated with </w:t>
      </w:r>
      <w:r w:rsidR="00426F60" w:rsidRPr="003B4AEE">
        <w:t>this rule,</w:t>
      </w:r>
      <w:r w:rsidR="00517B85" w:rsidRPr="003B4AEE">
        <w:t xml:space="preserve"> previously contained in a separate ICR (OMB </w:t>
      </w:r>
      <w:r w:rsidR="00437796" w:rsidRPr="003B4AEE">
        <w:t>control no.</w:t>
      </w:r>
      <w:r w:rsidR="00517B85" w:rsidRPr="003B4AEE">
        <w:t xml:space="preserve"> 2040-0257; EPA ICR </w:t>
      </w:r>
      <w:r w:rsidR="00437796" w:rsidRPr="003B4AEE">
        <w:t>n</w:t>
      </w:r>
      <w:r w:rsidR="00517B85" w:rsidRPr="003B4AEE">
        <w:t>o. 2060.07)</w:t>
      </w:r>
      <w:r w:rsidR="00426F60" w:rsidRPr="003B4AEE">
        <w:t>,</w:t>
      </w:r>
      <w:r w:rsidR="00517B85" w:rsidRPr="003B4AEE">
        <w:t xml:space="preserve"> is being incorporated into this ICR. </w:t>
      </w:r>
    </w:p>
    <w:p w14:paraId="432786E5" w14:textId="27CDC247" w:rsidR="00B0011A" w:rsidRPr="003B4AEE" w:rsidRDefault="00426F60" w:rsidP="009730AE">
      <w:pPr>
        <w:pStyle w:val="BodyText"/>
      </w:pPr>
      <w:r w:rsidRPr="003B4AEE">
        <w:rPr>
          <w:i/>
        </w:rPr>
        <w:t xml:space="preserve">Electronic </w:t>
      </w:r>
      <w:r w:rsidR="00655AF7" w:rsidRPr="003B4AEE">
        <w:rPr>
          <w:i/>
        </w:rPr>
        <w:t>reporting</w:t>
      </w:r>
      <w:r w:rsidRPr="003B4AEE">
        <w:rPr>
          <w:i/>
        </w:rPr>
        <w:t>.</w:t>
      </w:r>
      <w:r w:rsidRPr="003B4AEE">
        <w:t xml:space="preserve"> </w:t>
      </w:r>
      <w:r w:rsidR="00520899" w:rsidRPr="003B4AEE">
        <w:t xml:space="preserve">On October 22, 2015, EPA published the final </w:t>
      </w:r>
      <w:r w:rsidR="00CD443C" w:rsidRPr="003B4AEE">
        <w:t xml:space="preserve">NPDES </w:t>
      </w:r>
      <w:r w:rsidR="00520899" w:rsidRPr="003B4AEE">
        <w:t>Electronic Reporting Rule (80 FR 64063)</w:t>
      </w:r>
      <w:r w:rsidR="00C93C8F" w:rsidRPr="003B4AEE">
        <w:t xml:space="preserve"> </w:t>
      </w:r>
      <w:r w:rsidR="0044409A" w:rsidRPr="003B4AEE">
        <w:t>(</w:t>
      </w:r>
      <w:proofErr w:type="spellStart"/>
      <w:r w:rsidR="0044409A" w:rsidRPr="003B4AEE">
        <w:t>eRule</w:t>
      </w:r>
      <w:proofErr w:type="spellEnd"/>
      <w:r w:rsidR="0044409A" w:rsidRPr="003B4AEE">
        <w:t>)</w:t>
      </w:r>
      <w:r w:rsidR="00520899" w:rsidRPr="003B4AEE">
        <w:t xml:space="preserve">. </w:t>
      </w:r>
      <w:r w:rsidR="00154BC9" w:rsidRPr="003B4AEE">
        <w:t xml:space="preserve">The </w:t>
      </w:r>
      <w:proofErr w:type="spellStart"/>
      <w:r w:rsidR="00E21224">
        <w:t>e</w:t>
      </w:r>
      <w:r w:rsidR="00154BC9" w:rsidRPr="003B4AEE">
        <w:t>Rule</w:t>
      </w:r>
      <w:proofErr w:type="spellEnd"/>
      <w:r w:rsidR="00154BC9" w:rsidRPr="003B4AEE">
        <w:t xml:space="preserve"> replaces select existing paper-based reports with electronic reporting. </w:t>
      </w:r>
    </w:p>
    <w:p w14:paraId="029245EC" w14:textId="2F2E1A4A" w:rsidR="00AD5B42" w:rsidRPr="003B4AEE" w:rsidRDefault="00AD5B42" w:rsidP="00AD5B42">
      <w:pPr>
        <w:pStyle w:val="Heading4"/>
      </w:pPr>
      <w:r w:rsidRPr="003B4AEE">
        <w:t>Program Components Consolidated in This ICR</w:t>
      </w:r>
    </w:p>
    <w:p w14:paraId="16B36319" w14:textId="49C3D1A0" w:rsidR="006F6F5C" w:rsidRPr="003B4AEE" w:rsidRDefault="00B24579" w:rsidP="00D25760">
      <w:pPr>
        <w:pStyle w:val="BodyText"/>
      </w:pPr>
      <w:r>
        <w:t>T</w:t>
      </w:r>
      <w:r w:rsidR="006F6F5C" w:rsidRPr="003B4AEE">
        <w:t>his renewal incorporates into the consolidated ICR the burden and costs for several NPDES program components which were previously contained in separate ICRs. The remainder of this section describes those program components and their ICRs.</w:t>
      </w:r>
    </w:p>
    <w:p w14:paraId="6B68EDBE" w14:textId="784DBBA4" w:rsidR="00AD5B42" w:rsidRPr="003B4AEE" w:rsidRDefault="00AD5B42" w:rsidP="009730AE">
      <w:pPr>
        <w:pStyle w:val="BodyText"/>
        <w:rPr>
          <w:i/>
          <w:iCs/>
        </w:rPr>
      </w:pPr>
      <w:bookmarkStart w:id="13" w:name="_Hlk75951664"/>
      <w:r w:rsidRPr="003B4AEE">
        <w:rPr>
          <w:i/>
          <w:iCs/>
        </w:rPr>
        <w:t>CSOs in the Great Lakes Basin</w:t>
      </w:r>
      <w:bookmarkEnd w:id="13"/>
      <w:r w:rsidRPr="003B4AEE">
        <w:rPr>
          <w:i/>
          <w:iCs/>
        </w:rPr>
        <w:t>.</w:t>
      </w:r>
      <w:r w:rsidR="00B0011A" w:rsidRPr="003B4AEE">
        <w:t xml:space="preserve"> On January 8, 2018, EPA finalized a rule to establish public notification requirements for CSO discharges to the Great Lakes, as required by Section 425 of the Consolidated Appropriations Act of 2016 (Pub. L. 114–113). EPA has established public notification requirements for permittees authorized to discharge from a CSO to the Great Lakes Basin [82 FR 4233]. These requirements address: 1) signage; 2) notification to local public health department and other potentially affected public entities; 3) notification to the public; and 4) annual notice. The ongoing activities burden and burden reductions component associated with </w:t>
      </w:r>
      <w:r w:rsidR="0035700C" w:rsidRPr="003B4AEE">
        <w:t>CSO discharges to the Great Lakes</w:t>
      </w:r>
      <w:r w:rsidR="00B0011A" w:rsidRPr="003B4AEE">
        <w:t>, previously contained in a separate ICR (OMB control no. 20</w:t>
      </w:r>
      <w:r w:rsidR="0035700C" w:rsidRPr="003B4AEE">
        <w:t>40-0293</w:t>
      </w:r>
      <w:r w:rsidR="00B0011A" w:rsidRPr="003B4AEE">
        <w:t xml:space="preserve">; EPA ICR no. </w:t>
      </w:r>
      <w:r w:rsidR="0035700C" w:rsidRPr="003B4AEE">
        <w:t>2562.02</w:t>
      </w:r>
      <w:r w:rsidR="00B0011A" w:rsidRPr="003B4AEE">
        <w:t>), are being incorporated into this ICR.</w:t>
      </w:r>
    </w:p>
    <w:p w14:paraId="559217A6" w14:textId="0DFAD256" w:rsidR="00AD5B42" w:rsidRPr="003B4AEE" w:rsidRDefault="00AD5B42" w:rsidP="009730AE">
      <w:pPr>
        <w:pStyle w:val="BodyText"/>
        <w:rPr>
          <w:i/>
          <w:iCs/>
        </w:rPr>
      </w:pPr>
      <w:bookmarkStart w:id="14" w:name="_Hlk75951655"/>
      <w:r w:rsidRPr="003B4AEE">
        <w:rPr>
          <w:i/>
          <w:iCs/>
        </w:rPr>
        <w:t>Dental</w:t>
      </w:r>
      <w:r w:rsidR="007D57A8" w:rsidRPr="003B4AEE">
        <w:rPr>
          <w:i/>
          <w:iCs/>
        </w:rPr>
        <w:t xml:space="preserve"> </w:t>
      </w:r>
      <w:r w:rsidR="008D08F4" w:rsidRPr="003B4AEE">
        <w:rPr>
          <w:i/>
          <w:iCs/>
        </w:rPr>
        <w:t xml:space="preserve">Amalgam </w:t>
      </w:r>
      <w:r w:rsidR="007D57A8" w:rsidRPr="003B4AEE">
        <w:rPr>
          <w:i/>
          <w:iCs/>
        </w:rPr>
        <w:t>ELGs</w:t>
      </w:r>
      <w:bookmarkEnd w:id="14"/>
      <w:r w:rsidRPr="003B4AEE">
        <w:rPr>
          <w:i/>
          <w:iCs/>
        </w:rPr>
        <w:t xml:space="preserve">. </w:t>
      </w:r>
      <w:r w:rsidR="0035700C" w:rsidRPr="003B4AEE">
        <w:t>On June 4, 2017, EPA promulgated a regulation under the CWA to reduce discharges of mercury from dental offices into publicly owned treatment works</w:t>
      </w:r>
      <w:r w:rsidR="00F52141" w:rsidRPr="003B4AEE">
        <w:t>.</w:t>
      </w:r>
      <w:r w:rsidR="0035700C" w:rsidRPr="003B4AEE">
        <w:t xml:space="preserve"> The Dental Office Category (40 CFR Part 441) regulation requires affected dental offices to control mercury discharges to POTWs by reducing their discharge of dental amalgam to a level achievable through the use of the best available technology or best available demonstrated control technology.</w:t>
      </w:r>
      <w:r w:rsidR="00F52141" w:rsidRPr="003B4AEE">
        <w:t xml:space="preserve"> The ongoing activities burden and burden reductions component associated with the Dental Office Category, previously contained in a separate ICR (OMB control no. 2040-0287; EPA ICR no. 2514.03), are being incorporated into this ICR.</w:t>
      </w:r>
    </w:p>
    <w:p w14:paraId="2B33F031" w14:textId="23E099E7" w:rsidR="00AD5B42" w:rsidRDefault="00AD5B42" w:rsidP="009730AE">
      <w:pPr>
        <w:pStyle w:val="BodyText"/>
      </w:pPr>
      <w:bookmarkStart w:id="15" w:name="_Hlk75951673"/>
      <w:r w:rsidRPr="003B4AEE">
        <w:rPr>
          <w:i/>
          <w:iCs/>
        </w:rPr>
        <w:t>202</w:t>
      </w:r>
      <w:r w:rsidR="00C6373D" w:rsidRPr="003B4AEE">
        <w:rPr>
          <w:i/>
          <w:iCs/>
        </w:rPr>
        <w:t>1</w:t>
      </w:r>
      <w:r w:rsidRPr="003B4AEE">
        <w:rPr>
          <w:i/>
          <w:iCs/>
        </w:rPr>
        <w:t xml:space="preserve"> MSGP</w:t>
      </w:r>
      <w:bookmarkEnd w:id="15"/>
      <w:r w:rsidRPr="003B4AEE">
        <w:t>.</w:t>
      </w:r>
      <w:r w:rsidR="001A1A6C" w:rsidRPr="003B4AEE">
        <w:t xml:space="preserve"> </w:t>
      </w:r>
      <w:r w:rsidR="004C352D" w:rsidRPr="003B4AEE">
        <w:t xml:space="preserve">In </w:t>
      </w:r>
      <w:r w:rsidR="00C6373D" w:rsidRPr="003B4AEE">
        <w:t xml:space="preserve">January </w:t>
      </w:r>
      <w:r w:rsidR="004C352D" w:rsidRPr="003B4AEE">
        <w:t>202</w:t>
      </w:r>
      <w:r w:rsidR="00C6373D" w:rsidRPr="003B4AEE">
        <w:t>1</w:t>
      </w:r>
      <w:r w:rsidR="004C352D" w:rsidRPr="003B4AEE">
        <w:t xml:space="preserve">, EPA </w:t>
      </w:r>
      <w:r w:rsidR="00C6373D" w:rsidRPr="003B4AEE">
        <w:t>issued</w:t>
      </w:r>
      <w:r w:rsidR="004C352D" w:rsidRPr="003B4AEE">
        <w:t xml:space="preserve"> an updated NPDES Multi-Sector General Permit</w:t>
      </w:r>
      <w:r w:rsidR="00F52141" w:rsidRPr="003B4AEE">
        <w:t xml:space="preserve"> </w:t>
      </w:r>
      <w:r w:rsidR="00452D14" w:rsidRPr="003B4AEE">
        <w:t>(MSGP)</w:t>
      </w:r>
      <w:r w:rsidR="00F52141" w:rsidRPr="003B4AEE">
        <w:t xml:space="preserve"> </w:t>
      </w:r>
      <w:r w:rsidR="004C352D" w:rsidRPr="003B4AEE">
        <w:t>for stormwater discharges from industrial activity</w:t>
      </w:r>
      <w:r w:rsidR="008A37C7" w:rsidRPr="003B4AEE">
        <w:t xml:space="preserve">. </w:t>
      </w:r>
      <w:r w:rsidR="0B87DAAF">
        <w:t>The</w:t>
      </w:r>
      <w:r w:rsidR="008A37C7" w:rsidRPr="003B4AEE">
        <w:t xml:space="preserve"> collection burden for the prior MSGP general permit was already consolidated into this ICR</w:t>
      </w:r>
      <w:r w:rsidR="00914A55">
        <w:t xml:space="preserve"> and</w:t>
      </w:r>
      <w:r w:rsidR="00CA5732" w:rsidRPr="003B4AEE">
        <w:t xml:space="preserve"> therefore only the</w:t>
      </w:r>
      <w:r w:rsidR="0047647D" w:rsidRPr="003B4AEE">
        <w:t xml:space="preserve"> </w:t>
      </w:r>
      <w:r w:rsidR="0055021C" w:rsidRPr="003B4AEE">
        <w:t xml:space="preserve">incremental increase in </w:t>
      </w:r>
      <w:r w:rsidR="0047647D" w:rsidRPr="003B4AEE">
        <w:t>collection burden</w:t>
      </w:r>
      <w:r w:rsidR="00CA5732" w:rsidRPr="003B4AEE">
        <w:t xml:space="preserve"> generated by the 2021 renewal</w:t>
      </w:r>
      <w:r w:rsidR="0047647D" w:rsidRPr="003B4AEE">
        <w:t xml:space="preserve"> has been consolidated into this ICR</w:t>
      </w:r>
      <w:r w:rsidR="00D91DBE" w:rsidRPr="003B4AEE">
        <w:t xml:space="preserve"> </w:t>
      </w:r>
      <w:r w:rsidR="004C352D" w:rsidRPr="003B4AEE">
        <w:t>(OMB control no. 2040-</w:t>
      </w:r>
      <w:r w:rsidR="00C6373D" w:rsidRPr="003B4AEE">
        <w:t>0300</w:t>
      </w:r>
      <w:r w:rsidR="004C352D" w:rsidRPr="003B4AEE">
        <w:t>; EPA ICR no. 2612.0</w:t>
      </w:r>
      <w:r w:rsidR="003B5F56" w:rsidRPr="003B4AEE">
        <w:t>2</w:t>
      </w:r>
      <w:r w:rsidR="004C352D" w:rsidRPr="003B4AEE">
        <w:t>)</w:t>
      </w:r>
      <w:r w:rsidR="005B1E2E" w:rsidRPr="003B4AEE">
        <w:t xml:space="preserve">. </w:t>
      </w:r>
    </w:p>
    <w:p w14:paraId="78021519" w14:textId="044C51D2" w:rsidR="004C6351" w:rsidRPr="004C6351" w:rsidRDefault="00017F9B" w:rsidP="009730AE">
      <w:pPr>
        <w:pStyle w:val="BodyText"/>
      </w:pPr>
      <w:r>
        <w:rPr>
          <w:i/>
          <w:iCs/>
        </w:rPr>
        <w:lastRenderedPageBreak/>
        <w:t xml:space="preserve">NPDES </w:t>
      </w:r>
      <w:proofErr w:type="spellStart"/>
      <w:r w:rsidR="00AC70B6">
        <w:rPr>
          <w:i/>
          <w:iCs/>
        </w:rPr>
        <w:t>eRule</w:t>
      </w:r>
      <w:proofErr w:type="spellEnd"/>
      <w:r>
        <w:rPr>
          <w:i/>
          <w:iCs/>
        </w:rPr>
        <w:t xml:space="preserve"> Phase 2</w:t>
      </w:r>
      <w:r w:rsidR="00AC70B6">
        <w:rPr>
          <w:i/>
          <w:iCs/>
        </w:rPr>
        <w:t xml:space="preserve"> </w:t>
      </w:r>
      <w:r w:rsidR="004C6351" w:rsidRPr="004C6351">
        <w:rPr>
          <w:i/>
          <w:iCs/>
        </w:rPr>
        <w:t xml:space="preserve">Extension. </w:t>
      </w:r>
      <w:r w:rsidR="00120A76" w:rsidRPr="003B4AEE">
        <w:t xml:space="preserve">On September 23, 2020, the NPDES </w:t>
      </w:r>
      <w:proofErr w:type="spellStart"/>
      <w:r w:rsidR="00120A76" w:rsidRPr="003B4AEE">
        <w:t>eRule</w:t>
      </w:r>
      <w:proofErr w:type="spellEnd"/>
      <w:r w:rsidR="00120A76" w:rsidRPr="003B4AEE">
        <w:t xml:space="preserve"> Phase 2 Extension final rule was signed, extend</w:t>
      </w:r>
      <w:r w:rsidR="00120A76">
        <w:t>ing</w:t>
      </w:r>
      <w:r w:rsidR="00120A76" w:rsidRPr="003B4AEE">
        <w:t xml:space="preserve"> the compliance deadline to December 21, 2025.</w:t>
      </w:r>
      <w:r w:rsidR="00120A76" w:rsidRPr="003B4AEE" w:rsidDel="00B0011A">
        <w:t xml:space="preserve"> </w:t>
      </w:r>
      <w:r w:rsidR="00EA5512">
        <w:t>The</w:t>
      </w:r>
      <w:r w:rsidR="003778E0" w:rsidRPr="003778E0">
        <w:t xml:space="preserve"> ICR </w:t>
      </w:r>
      <w:r w:rsidR="00EA5512">
        <w:t xml:space="preserve">associated with the rulemaking </w:t>
      </w:r>
      <w:r w:rsidR="0059296C">
        <w:t>(</w:t>
      </w:r>
      <w:r w:rsidR="0059296C" w:rsidRPr="0059296C">
        <w:t>OMB Control No.: 2020-0037, EPA ICR No. 2617.02, expiration 12/31/2023)</w:t>
      </w:r>
      <w:r w:rsidR="0059296C">
        <w:t xml:space="preserve"> </w:t>
      </w:r>
      <w:r w:rsidR="003778E0" w:rsidRPr="003778E0">
        <w:t>addresse</w:t>
      </w:r>
      <w:r w:rsidR="00EA5512">
        <w:t>d</w:t>
      </w:r>
      <w:r w:rsidR="003778E0" w:rsidRPr="003778E0">
        <w:t xml:space="preserve"> </w:t>
      </w:r>
      <w:r w:rsidR="00F6346E">
        <w:t xml:space="preserve">the burden </w:t>
      </w:r>
      <w:r w:rsidR="003778E0" w:rsidRPr="003778E0">
        <w:t>associated with the submittal of alternative Phase 2 compliance deadlines requests to EPA and the sharing of information related to state-issued general permits and program reports</w:t>
      </w:r>
      <w:r w:rsidR="00F6346E">
        <w:t>.</w:t>
      </w:r>
      <w:r w:rsidR="003778E0">
        <w:t xml:space="preserve"> </w:t>
      </w:r>
      <w:r w:rsidR="003F286A">
        <w:t>This burden has been consolidated into this ICR.</w:t>
      </w:r>
    </w:p>
    <w:p w14:paraId="27CC2726" w14:textId="59B76568" w:rsidR="007F2877" w:rsidRPr="003B4AEE" w:rsidRDefault="007F2877" w:rsidP="00305558">
      <w:pPr>
        <w:pStyle w:val="Heading2"/>
      </w:pPr>
      <w:bookmarkStart w:id="16" w:name="_Toc61334195"/>
      <w:bookmarkStart w:id="17" w:name="_Toc71729990"/>
      <w:r w:rsidRPr="003B4AEE">
        <w:t>Indicate how, by whom and for what purpose the information is to be used</w:t>
      </w:r>
      <w:bookmarkEnd w:id="16"/>
      <w:bookmarkEnd w:id="17"/>
    </w:p>
    <w:p w14:paraId="4FEC46A4" w14:textId="2EE32DCA" w:rsidR="002A3E05" w:rsidRPr="003B4AEE" w:rsidRDefault="00990328" w:rsidP="009730AE">
      <w:pPr>
        <w:pStyle w:val="BodyText"/>
      </w:pPr>
      <w:r w:rsidRPr="003B4AEE">
        <w:t xml:space="preserve">This ICR includes information used primarily by </w:t>
      </w:r>
      <w:r w:rsidR="00F2046A">
        <w:t xml:space="preserve">EPA, </w:t>
      </w:r>
      <w:r w:rsidRPr="003B4AEE">
        <w:t>permitting authorities</w:t>
      </w:r>
      <w:r w:rsidR="0091115A" w:rsidRPr="003B4AEE">
        <w:t>,</w:t>
      </w:r>
      <w:r w:rsidR="00F2046A">
        <w:t xml:space="preserve"> and</w:t>
      </w:r>
      <w:r w:rsidRPr="003B4AEE">
        <w:t xml:space="preserve"> permittees</w:t>
      </w:r>
      <w:r w:rsidR="00F2046A">
        <w:t>.</w:t>
      </w:r>
      <w:r w:rsidRPr="003B4AEE">
        <w:t xml:space="preserve"> </w:t>
      </w:r>
      <w:r w:rsidR="00F0476C" w:rsidRPr="003B4AEE">
        <w:t>EPA anticipates</w:t>
      </w:r>
      <w:r w:rsidR="0091115A" w:rsidRPr="003B4AEE">
        <w:t xml:space="preserve"> that other government agencies, as well as public interest groups, private companies, and individuals</w:t>
      </w:r>
      <w:r w:rsidR="00732FE1" w:rsidRPr="003B4AEE">
        <w:t>,</w:t>
      </w:r>
      <w:r w:rsidR="0091115A" w:rsidRPr="003B4AEE">
        <w:t xml:space="preserve"> will also use the data. </w:t>
      </w:r>
      <w:r w:rsidR="001A2C55">
        <w:t>Most</w:t>
      </w:r>
      <w:r w:rsidR="001A2C55" w:rsidRPr="003B4AEE">
        <w:t xml:space="preserve"> data</w:t>
      </w:r>
      <w:r w:rsidRPr="003B4AEE">
        <w:t xml:space="preserve"> must be submitted to permitting authorities, while other information must be maintained on-site by the permittee. </w:t>
      </w:r>
      <w:r w:rsidR="00E66AE1" w:rsidRPr="003B4AEE">
        <w:t xml:space="preserve">EPA </w:t>
      </w:r>
      <w:r w:rsidR="00C366C2" w:rsidRPr="003B4AEE">
        <w:t>will either submit</w:t>
      </w:r>
      <w:r w:rsidR="00E66AE1" w:rsidRPr="003B4AEE">
        <w:t xml:space="preserve"> separate ICRs for any regulatory or permitting changes requiring ICR approval that occur during this ICR’s coverage period</w:t>
      </w:r>
      <w:r w:rsidR="00C366C2" w:rsidRPr="003B4AEE">
        <w:t xml:space="preserve"> or revise this ICR, as appropriate</w:t>
      </w:r>
      <w:r w:rsidR="00E66AE1" w:rsidRPr="003B4AEE">
        <w:t xml:space="preserve">. </w:t>
      </w:r>
      <w:r w:rsidRPr="003B4AEE">
        <w:t xml:space="preserve">The information collection provisions associated with the NPDES </w:t>
      </w:r>
      <w:r w:rsidR="001710DA" w:rsidRPr="003B4AEE">
        <w:t>p</w:t>
      </w:r>
      <w:r w:rsidRPr="003B4AEE">
        <w:t>rogram described in Section 1 include the following:</w:t>
      </w:r>
    </w:p>
    <w:p w14:paraId="3D27AB68" w14:textId="79CDD80C" w:rsidR="00990328" w:rsidRPr="003B4AEE" w:rsidRDefault="00990328" w:rsidP="00290A17">
      <w:pPr>
        <w:pStyle w:val="ListBulletsingle"/>
        <w:numPr>
          <w:ilvl w:val="0"/>
          <w:numId w:val="20"/>
        </w:numPr>
      </w:pPr>
      <w:r w:rsidRPr="003B4AEE">
        <w:t xml:space="preserve">Activities directly related to individual permit applications or notices of intent (NOIs) for coverage under general </w:t>
      </w:r>
      <w:proofErr w:type="gramStart"/>
      <w:r w:rsidRPr="003B4AEE">
        <w:t>permits;</w:t>
      </w:r>
      <w:proofErr w:type="gramEnd"/>
    </w:p>
    <w:p w14:paraId="35E797EA" w14:textId="77777777" w:rsidR="00990328" w:rsidRPr="003B4AEE" w:rsidRDefault="00990328" w:rsidP="00290A17">
      <w:pPr>
        <w:pStyle w:val="ListBulletsingle"/>
        <w:numPr>
          <w:ilvl w:val="0"/>
          <w:numId w:val="20"/>
        </w:numPr>
      </w:pPr>
      <w:r w:rsidRPr="003B4AEE">
        <w:t xml:space="preserve">Activities associated with plan development or special </w:t>
      </w:r>
      <w:proofErr w:type="gramStart"/>
      <w:r w:rsidRPr="003B4AEE">
        <w:t>studies;</w:t>
      </w:r>
      <w:proofErr w:type="gramEnd"/>
    </w:p>
    <w:p w14:paraId="10BBAB66" w14:textId="77777777" w:rsidR="00990328" w:rsidRPr="003B4AEE" w:rsidRDefault="00990328" w:rsidP="00290A17">
      <w:pPr>
        <w:pStyle w:val="ListBulletsingle"/>
        <w:numPr>
          <w:ilvl w:val="0"/>
          <w:numId w:val="20"/>
        </w:numPr>
      </w:pPr>
      <w:proofErr w:type="gramStart"/>
      <w:r w:rsidRPr="003B4AEE">
        <w:t>Monitoring;</w:t>
      </w:r>
      <w:proofErr w:type="gramEnd"/>
    </w:p>
    <w:p w14:paraId="0AAB3529" w14:textId="77777777" w:rsidR="00990328" w:rsidRPr="003B4AEE" w:rsidRDefault="00990328" w:rsidP="00290A17">
      <w:pPr>
        <w:pStyle w:val="ListBulletsingle"/>
        <w:numPr>
          <w:ilvl w:val="0"/>
          <w:numId w:val="20"/>
        </w:numPr>
      </w:pPr>
      <w:r w:rsidRPr="003B4AEE">
        <w:t xml:space="preserve">Reporting, including </w:t>
      </w:r>
      <w:proofErr w:type="gramStart"/>
      <w:r w:rsidRPr="003B4AEE">
        <w:t>certification;</w:t>
      </w:r>
      <w:proofErr w:type="gramEnd"/>
    </w:p>
    <w:p w14:paraId="652315D9" w14:textId="3CCF4BE6" w:rsidR="00990328" w:rsidRPr="003B4AEE" w:rsidRDefault="00990328" w:rsidP="00290A17">
      <w:pPr>
        <w:pStyle w:val="ListBulletsingle"/>
        <w:numPr>
          <w:ilvl w:val="0"/>
          <w:numId w:val="20"/>
        </w:numPr>
      </w:pPr>
      <w:proofErr w:type="gramStart"/>
      <w:r w:rsidRPr="003B4AEE">
        <w:t>Recordkeeping;</w:t>
      </w:r>
      <w:proofErr w:type="gramEnd"/>
    </w:p>
    <w:p w14:paraId="0E0A0944" w14:textId="77777777" w:rsidR="00990328" w:rsidRPr="003B4AEE" w:rsidRDefault="00990328" w:rsidP="00290A17">
      <w:pPr>
        <w:pStyle w:val="ListBulletsingle"/>
        <w:numPr>
          <w:ilvl w:val="0"/>
          <w:numId w:val="20"/>
        </w:numPr>
      </w:pPr>
      <w:r w:rsidRPr="003B4AEE">
        <w:t>Activities resulting from compliance assessments or enforcement actions; and</w:t>
      </w:r>
    </w:p>
    <w:p w14:paraId="32122A9B" w14:textId="54DAD665" w:rsidR="00990328" w:rsidRPr="003B4AEE" w:rsidRDefault="00990328" w:rsidP="00290A17">
      <w:pPr>
        <w:pStyle w:val="ListBulletlast"/>
        <w:numPr>
          <w:ilvl w:val="0"/>
          <w:numId w:val="20"/>
        </w:numPr>
      </w:pPr>
      <w:r w:rsidRPr="003B4AEE">
        <w:t>Activities resulting from NPDES program authorization, including modifications, transfer</w:t>
      </w:r>
      <w:r w:rsidR="00FF5B74" w:rsidRPr="003B4AEE">
        <w:t>,</w:t>
      </w:r>
      <w:r w:rsidRPr="003B4AEE">
        <w:t xml:space="preserve"> or withdrawal of authorization.</w:t>
      </w:r>
    </w:p>
    <w:p w14:paraId="5E06AF13" w14:textId="20ADBC25" w:rsidR="00D72AF4" w:rsidRPr="003B4AEE" w:rsidRDefault="00D72AF4" w:rsidP="009730AE">
      <w:pPr>
        <w:pStyle w:val="BodyText"/>
      </w:pPr>
      <w:r w:rsidRPr="003B4AEE">
        <w:t xml:space="preserve">Although different </w:t>
      </w:r>
      <w:r w:rsidR="00F0476C" w:rsidRPr="003B4AEE">
        <w:t xml:space="preserve">types of </w:t>
      </w:r>
      <w:r w:rsidRPr="003B4AEE">
        <w:t>permittees submit widely differing information, this information can be categorized into two sets: identification information and information related to the facility’s discharges or practices.</w:t>
      </w:r>
      <w:r w:rsidR="00783A2E" w:rsidRPr="003B4AEE">
        <w:t xml:space="preserve"> Identification information is primarily colle</w:t>
      </w:r>
      <w:r w:rsidR="00770DDB" w:rsidRPr="003B4AEE">
        <w:t>cted through permit application forms</w:t>
      </w:r>
      <w:r w:rsidR="00783A2E" w:rsidRPr="003B4AEE">
        <w:t xml:space="preserve">, NOIs, certifications, and </w:t>
      </w:r>
      <w:r w:rsidR="00770DDB" w:rsidRPr="003B4AEE">
        <w:t>other application requirements. Information related to the facility’s discharges or practices</w:t>
      </w:r>
      <w:r w:rsidR="00F253DA" w:rsidRPr="003B4AEE">
        <w:t xml:space="preserve"> is most often collected through discharge monitoring reports but can also be included with submissions of application information, plans and studies, certification requests, inspection results, and other reports. </w:t>
      </w:r>
    </w:p>
    <w:p w14:paraId="60EB209A" w14:textId="075AF04D" w:rsidR="00AA5B72" w:rsidRPr="003B4AEE" w:rsidRDefault="00FF5B74" w:rsidP="009730AE">
      <w:pPr>
        <w:pStyle w:val="BodyText"/>
      </w:pPr>
      <w:r w:rsidRPr="003B4AEE">
        <w:rPr>
          <w:i/>
        </w:rPr>
        <w:t xml:space="preserve">Application </w:t>
      </w:r>
      <w:r w:rsidR="00770DDB" w:rsidRPr="003B4AEE">
        <w:rPr>
          <w:i/>
        </w:rPr>
        <w:t xml:space="preserve">and identification </w:t>
      </w:r>
      <w:r w:rsidRPr="003B4AEE">
        <w:rPr>
          <w:i/>
        </w:rPr>
        <w:t>information.</w:t>
      </w:r>
      <w:r w:rsidRPr="003B4AEE">
        <w:t xml:space="preserve"> </w:t>
      </w:r>
      <w:r w:rsidR="00D72AF4" w:rsidRPr="003B4AEE">
        <w:t xml:space="preserve">Permitting authorities collect and use </w:t>
      </w:r>
      <w:r w:rsidR="006F144E" w:rsidRPr="003B4AEE">
        <w:t xml:space="preserve">identification </w:t>
      </w:r>
      <w:r w:rsidR="00665E98" w:rsidRPr="003B4AEE">
        <w:t>information—</w:t>
      </w:r>
      <w:r w:rsidR="00D72AF4" w:rsidRPr="003B4AEE">
        <w:t>such as the name</w:t>
      </w:r>
      <w:r w:rsidR="00665E98" w:rsidRPr="003B4AEE">
        <w:t>s</w:t>
      </w:r>
      <w:r w:rsidR="00D72AF4" w:rsidRPr="003B4AEE">
        <w:t>, location</w:t>
      </w:r>
      <w:r w:rsidR="00665E98" w:rsidRPr="003B4AEE">
        <w:t>s</w:t>
      </w:r>
      <w:r w:rsidR="00D72AF4" w:rsidRPr="003B4AEE">
        <w:t>, and description</w:t>
      </w:r>
      <w:r w:rsidR="00665E98" w:rsidRPr="003B4AEE">
        <w:t>s</w:t>
      </w:r>
      <w:r w:rsidR="00D72AF4" w:rsidRPr="003B4AEE">
        <w:t xml:space="preserve"> of </w:t>
      </w:r>
      <w:r w:rsidR="00665E98" w:rsidRPr="003B4AEE">
        <w:t>facilities—</w:t>
      </w:r>
      <w:r w:rsidR="00D72AF4" w:rsidRPr="003B4AEE">
        <w:t xml:space="preserve">to uniquely identify each applicant seeking individual or general permit coverage and to establish a </w:t>
      </w:r>
      <w:r w:rsidR="00291C40" w:rsidRPr="003B4AEE">
        <w:t xml:space="preserve">point of </w:t>
      </w:r>
      <w:r w:rsidR="00D72AF4" w:rsidRPr="003B4AEE">
        <w:t>contact. This information varies in detail and scope according to the type of respondent.</w:t>
      </w:r>
      <w:r w:rsidR="001B3919" w:rsidRPr="003B4AEE">
        <w:t xml:space="preserve"> </w:t>
      </w:r>
      <w:r w:rsidR="00291C40" w:rsidRPr="003B4AEE">
        <w:t>D</w:t>
      </w:r>
      <w:r w:rsidR="001B3919" w:rsidRPr="003B4AEE">
        <w:t>ischarges vary in complexity and character</w:t>
      </w:r>
      <w:r w:rsidR="00291C40" w:rsidRPr="003B4AEE">
        <w:t>, indicating a need to collect a wide variety of information</w:t>
      </w:r>
      <w:r w:rsidR="00017F9B">
        <w:t>. H</w:t>
      </w:r>
      <w:r w:rsidR="00291C40" w:rsidRPr="003B4AEE">
        <w:t xml:space="preserve">owever, </w:t>
      </w:r>
      <w:r w:rsidR="001B3919" w:rsidRPr="003B4AEE">
        <w:t xml:space="preserve">discharges and activities from </w:t>
      </w:r>
      <w:r w:rsidR="006F144E" w:rsidRPr="003B4AEE">
        <w:t xml:space="preserve">related </w:t>
      </w:r>
      <w:r w:rsidR="001B3919" w:rsidRPr="003B4AEE">
        <w:t>industry groups or treatment works are often similar</w:t>
      </w:r>
      <w:r w:rsidR="00291C40" w:rsidRPr="003B4AEE">
        <w:t>, allowing for common means of information collection.</w:t>
      </w:r>
      <w:r w:rsidR="001B3919" w:rsidRPr="003B4AEE">
        <w:t xml:space="preserve"> </w:t>
      </w:r>
      <w:r w:rsidR="00291C40" w:rsidRPr="003B4AEE">
        <w:t xml:space="preserve">As a result, </w:t>
      </w:r>
      <w:r w:rsidR="001B3919" w:rsidRPr="003B4AEE">
        <w:t xml:space="preserve">EPA has developed several different NPDES application </w:t>
      </w:r>
      <w:r w:rsidR="001B3919" w:rsidRPr="003B4AEE">
        <w:lastRenderedPageBreak/>
        <w:t xml:space="preserve">forms. </w:t>
      </w:r>
      <w:r w:rsidR="00D94D14" w:rsidRPr="003B4AEE">
        <w:fldChar w:fldCharType="begin"/>
      </w:r>
      <w:r w:rsidR="00D94D14" w:rsidRPr="003B4AEE">
        <w:instrText xml:space="preserve"> REF _Ref61328182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2</w:t>
      </w:r>
      <w:r w:rsidR="00B811B7" w:rsidRPr="003B4AEE">
        <w:noBreakHyphen/>
      </w:r>
      <w:r w:rsidR="00B811B7" w:rsidRPr="003B4AEE">
        <w:rPr>
          <w:noProof/>
        </w:rPr>
        <w:t>1</w:t>
      </w:r>
      <w:r w:rsidR="00D94D14" w:rsidRPr="003B4AEE">
        <w:fldChar w:fldCharType="end"/>
      </w:r>
      <w:r w:rsidR="001B3919" w:rsidRPr="003B4AEE">
        <w:t xml:space="preserve"> lists the application forms and other application requirements and </w:t>
      </w:r>
      <w:r w:rsidR="0043004F" w:rsidRPr="003B4AEE">
        <w:t>the respondents to the request.</w:t>
      </w:r>
      <w:r w:rsidR="00AA5B72" w:rsidRPr="003B4AEE">
        <w:t xml:space="preserve"> Standardized application forms covered under this ICR include Forms 1, 2A, 2B, 2C, 2D, 2E, 2F, and 2S</w:t>
      </w:r>
      <w:r w:rsidR="00FE7026" w:rsidRPr="003B4AEE">
        <w:t xml:space="preserve"> </w:t>
      </w:r>
      <w:r w:rsidR="00AA5B72" w:rsidRPr="003B4AEE">
        <w:t>and the Uniform Federal Transportation/Utility System Application Form (</w:t>
      </w:r>
      <w:r w:rsidR="00FE7026" w:rsidRPr="003B4AEE">
        <w:t xml:space="preserve">see </w:t>
      </w:r>
      <w:r w:rsidR="00AA5B72" w:rsidRPr="003B4AEE">
        <w:t xml:space="preserve">Appendix </w:t>
      </w:r>
      <w:r w:rsidR="00654522" w:rsidRPr="003B4AEE">
        <w:t>G</w:t>
      </w:r>
      <w:r w:rsidR="00AA5B72" w:rsidRPr="003B4AEE">
        <w:t xml:space="preserve">). </w:t>
      </w:r>
    </w:p>
    <w:p w14:paraId="4B323B66" w14:textId="574652F2" w:rsidR="004E651D" w:rsidRPr="003B4AEE" w:rsidRDefault="00D030D3" w:rsidP="009730AE">
      <w:pPr>
        <w:pStyle w:val="TableTitle"/>
      </w:pPr>
      <w:bookmarkStart w:id="18" w:name="_Ref61328182"/>
      <w:bookmarkStart w:id="19" w:name="_Toc61521435"/>
      <w:r w:rsidRPr="003B4AEE">
        <w:t xml:space="preserve">Table </w:t>
      </w:r>
      <w:r>
        <w:fldChar w:fldCharType="begin"/>
      </w:r>
      <w:r>
        <w:instrText>STYLEREF 2 \s</w:instrText>
      </w:r>
      <w:r>
        <w:fldChar w:fldCharType="separate"/>
      </w:r>
      <w:r w:rsidR="00B811B7" w:rsidRPr="003B4AEE">
        <w:rPr>
          <w:noProof/>
        </w:rPr>
        <w:t>2</w:t>
      </w:r>
      <w:r>
        <w:fldChar w:fldCharType="end"/>
      </w:r>
      <w:r w:rsidR="007A3DD9" w:rsidRPr="003B4AEE">
        <w:noBreakHyphen/>
      </w:r>
      <w:r>
        <w:fldChar w:fldCharType="begin"/>
      </w:r>
      <w:r>
        <w:instrText>SEQ Table \* ARABIC \s 2</w:instrText>
      </w:r>
      <w:r>
        <w:fldChar w:fldCharType="separate"/>
      </w:r>
      <w:r w:rsidR="00B811B7" w:rsidRPr="003B4AEE">
        <w:rPr>
          <w:noProof/>
        </w:rPr>
        <w:t>1</w:t>
      </w:r>
      <w:r>
        <w:fldChar w:fldCharType="end"/>
      </w:r>
      <w:bookmarkEnd w:id="18"/>
      <w:r w:rsidRPr="003B4AEE">
        <w:t xml:space="preserve">. </w:t>
      </w:r>
      <w:r w:rsidR="004E651D" w:rsidRPr="003B4AEE">
        <w:t xml:space="preserve">Application </w:t>
      </w:r>
      <w:r w:rsidR="008443EA" w:rsidRPr="003B4AEE">
        <w:t>F</w:t>
      </w:r>
      <w:r w:rsidR="004E651D" w:rsidRPr="003B4AEE">
        <w:t xml:space="preserve">orms and </w:t>
      </w:r>
      <w:r w:rsidR="008443EA" w:rsidRPr="003B4AEE">
        <w:t>I</w:t>
      </w:r>
      <w:r w:rsidR="004E651D" w:rsidRPr="003B4AEE">
        <w:t xml:space="preserve">nformation </w:t>
      </w:r>
      <w:r w:rsidR="008443EA" w:rsidRPr="003B4AEE">
        <w:t>R</w:t>
      </w:r>
      <w:r w:rsidR="004E651D" w:rsidRPr="003B4AEE">
        <w:t>equests</w:t>
      </w:r>
      <w:bookmarkEnd w:id="19"/>
      <w:r w:rsidR="004E651D" w:rsidRPr="003B4AEE">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32"/>
        <w:gridCol w:w="6120"/>
      </w:tblGrid>
      <w:tr w:rsidR="005B060B" w:rsidRPr="003B4AEE" w14:paraId="56D2B6EE" w14:textId="77777777" w:rsidTr="00871F94">
        <w:trPr>
          <w:cantSplit/>
          <w:trHeight w:val="20"/>
          <w:tblHeader/>
        </w:trPr>
        <w:tc>
          <w:tcPr>
            <w:tcW w:w="3232" w:type="dxa"/>
            <w:shd w:val="clear" w:color="auto" w:fill="D9D9D9" w:themeFill="background1" w:themeFillShade="D9"/>
          </w:tcPr>
          <w:p w14:paraId="56C440A6" w14:textId="4CF6E737" w:rsidR="005B060B" w:rsidRPr="003B4AEE" w:rsidRDefault="005B060B" w:rsidP="009F1C6B">
            <w:pPr>
              <w:pStyle w:val="TableHeading"/>
            </w:pPr>
            <w:r w:rsidRPr="003B4AEE">
              <w:t>Form/Request</w:t>
            </w:r>
          </w:p>
        </w:tc>
        <w:tc>
          <w:tcPr>
            <w:tcW w:w="6120" w:type="dxa"/>
            <w:shd w:val="clear" w:color="auto" w:fill="D9D9D9" w:themeFill="background1" w:themeFillShade="D9"/>
          </w:tcPr>
          <w:p w14:paraId="41F10828" w14:textId="5E95C85D" w:rsidR="005B060B" w:rsidRPr="003B4AEE" w:rsidRDefault="005B060B" w:rsidP="009F1C6B">
            <w:pPr>
              <w:pStyle w:val="TableHeading"/>
            </w:pPr>
            <w:r w:rsidRPr="003B4AEE">
              <w:t xml:space="preserve">Respondent </w:t>
            </w:r>
            <w:r w:rsidR="008443EA" w:rsidRPr="003B4AEE">
              <w:t>T</w:t>
            </w:r>
            <w:r w:rsidRPr="003B4AEE">
              <w:t>ype</w:t>
            </w:r>
          </w:p>
        </w:tc>
      </w:tr>
      <w:tr w:rsidR="005B060B" w:rsidRPr="003B4AEE" w14:paraId="1152BBFC" w14:textId="77777777" w:rsidTr="00871F94">
        <w:trPr>
          <w:cantSplit/>
          <w:trHeight w:val="20"/>
        </w:trPr>
        <w:tc>
          <w:tcPr>
            <w:tcW w:w="3232" w:type="dxa"/>
            <w:shd w:val="clear" w:color="auto" w:fill="auto"/>
          </w:tcPr>
          <w:p w14:paraId="6CC09E7A" w14:textId="4C94CCC4" w:rsidR="005B060B" w:rsidRPr="003B4AEE" w:rsidRDefault="005B060B" w:rsidP="00EF1FFC">
            <w:pPr>
              <w:pStyle w:val="Tables"/>
            </w:pPr>
            <w:r w:rsidRPr="003B4AEE">
              <w:t>Form 1</w:t>
            </w:r>
            <w:r w:rsidR="005F44FC" w:rsidRPr="003B4AEE">
              <w:rPr>
                <w:vertAlign w:val="superscript"/>
              </w:rPr>
              <w:t>a</w:t>
            </w:r>
          </w:p>
        </w:tc>
        <w:tc>
          <w:tcPr>
            <w:tcW w:w="6120" w:type="dxa"/>
            <w:shd w:val="clear" w:color="auto" w:fill="auto"/>
          </w:tcPr>
          <w:p w14:paraId="348C9C3E" w14:textId="1F37C7B6" w:rsidR="005B060B" w:rsidRPr="003B4AEE" w:rsidRDefault="005B060B" w:rsidP="00EF1FFC">
            <w:pPr>
              <w:pStyle w:val="Tables"/>
            </w:pPr>
            <w:r w:rsidRPr="003B4AEE">
              <w:t xml:space="preserve">Nonmunicipal NPDES applicants not covered under </w:t>
            </w:r>
            <w:r w:rsidR="00291C40" w:rsidRPr="003B4AEE">
              <w:t>F</w:t>
            </w:r>
            <w:r w:rsidRPr="003B4AEE">
              <w:t>orm 2</w:t>
            </w:r>
            <w:r w:rsidR="00C6373D" w:rsidRPr="003B4AEE">
              <w:t>A</w:t>
            </w:r>
          </w:p>
        </w:tc>
      </w:tr>
      <w:tr w:rsidR="005B060B" w:rsidRPr="003B4AEE" w14:paraId="7725BE43" w14:textId="77777777" w:rsidTr="00871F94">
        <w:trPr>
          <w:cantSplit/>
          <w:trHeight w:val="20"/>
        </w:trPr>
        <w:tc>
          <w:tcPr>
            <w:tcW w:w="3232" w:type="dxa"/>
            <w:shd w:val="clear" w:color="auto" w:fill="auto"/>
          </w:tcPr>
          <w:p w14:paraId="2E0274A3" w14:textId="396A46BA" w:rsidR="005B060B" w:rsidRPr="003B4AEE" w:rsidRDefault="005B060B" w:rsidP="00EF1FFC">
            <w:pPr>
              <w:pStyle w:val="Tables"/>
            </w:pPr>
            <w:r w:rsidRPr="003B4AEE">
              <w:t>Form 2A</w:t>
            </w:r>
            <w:r w:rsidR="005F44FC" w:rsidRPr="003B4AEE">
              <w:rPr>
                <w:vertAlign w:val="superscript"/>
              </w:rPr>
              <w:t>a</w:t>
            </w:r>
          </w:p>
        </w:tc>
        <w:tc>
          <w:tcPr>
            <w:tcW w:w="6120" w:type="dxa"/>
            <w:shd w:val="clear" w:color="auto" w:fill="auto"/>
          </w:tcPr>
          <w:p w14:paraId="2F414CA2" w14:textId="033FC561" w:rsidR="005B060B" w:rsidRPr="003B4AEE" w:rsidRDefault="005B060B" w:rsidP="00EF1FFC">
            <w:pPr>
              <w:pStyle w:val="Tables"/>
            </w:pPr>
            <w:r w:rsidRPr="003B4AEE">
              <w:t xml:space="preserve">All POTWs </w:t>
            </w:r>
          </w:p>
        </w:tc>
      </w:tr>
      <w:tr w:rsidR="005B060B" w:rsidRPr="003B4AEE" w14:paraId="3C7CA743" w14:textId="77777777" w:rsidTr="00871F94">
        <w:trPr>
          <w:cantSplit/>
          <w:trHeight w:val="20"/>
        </w:trPr>
        <w:tc>
          <w:tcPr>
            <w:tcW w:w="3232" w:type="dxa"/>
            <w:shd w:val="clear" w:color="auto" w:fill="auto"/>
          </w:tcPr>
          <w:p w14:paraId="7E010141" w14:textId="77777777" w:rsidR="005B060B" w:rsidRPr="003B4AEE" w:rsidRDefault="005B060B" w:rsidP="00EF1FFC">
            <w:pPr>
              <w:pStyle w:val="Tables"/>
            </w:pPr>
            <w:r w:rsidRPr="003B4AEE">
              <w:t>Additional NPDES Application Requirements for Municipal Dischargers (Section 308 Request)</w:t>
            </w:r>
          </w:p>
        </w:tc>
        <w:tc>
          <w:tcPr>
            <w:tcW w:w="6120" w:type="dxa"/>
            <w:shd w:val="clear" w:color="auto" w:fill="auto"/>
          </w:tcPr>
          <w:p w14:paraId="079A10A1" w14:textId="1991ED03" w:rsidR="005B060B" w:rsidRPr="003B4AEE" w:rsidRDefault="005B060B" w:rsidP="00EF1FFC">
            <w:pPr>
              <w:pStyle w:val="Tables"/>
            </w:pPr>
            <w:r w:rsidRPr="003B4AEE">
              <w:t>Municipal facilities (i.e., POTWs)</w:t>
            </w:r>
          </w:p>
        </w:tc>
      </w:tr>
      <w:tr w:rsidR="00CF37E4" w:rsidRPr="003B4AEE" w14:paraId="4F4FFF1F" w14:textId="77777777" w:rsidTr="00871F94">
        <w:trPr>
          <w:cantSplit/>
          <w:trHeight w:val="20"/>
        </w:trPr>
        <w:tc>
          <w:tcPr>
            <w:tcW w:w="3232" w:type="dxa"/>
            <w:shd w:val="clear" w:color="auto" w:fill="auto"/>
          </w:tcPr>
          <w:p w14:paraId="1B74938E" w14:textId="4E3F895A" w:rsidR="00CF37E4" w:rsidRPr="003B4AEE" w:rsidRDefault="00CF37E4" w:rsidP="00EF1FFC">
            <w:pPr>
              <w:pStyle w:val="Tables"/>
            </w:pPr>
            <w:r w:rsidRPr="003B4AEE">
              <w:t>Additional NPDES Application Requirements for Nonmunicipal Dischargers (Section 308 Requests)</w:t>
            </w:r>
          </w:p>
        </w:tc>
        <w:tc>
          <w:tcPr>
            <w:tcW w:w="6120" w:type="dxa"/>
            <w:shd w:val="clear" w:color="auto" w:fill="auto"/>
          </w:tcPr>
          <w:p w14:paraId="624D6CB3" w14:textId="76853289" w:rsidR="00CF37E4" w:rsidRPr="003B4AEE" w:rsidRDefault="00CF37E4" w:rsidP="00EF1FFC">
            <w:pPr>
              <w:pStyle w:val="Tables"/>
            </w:pPr>
            <w:r w:rsidRPr="003B4AEE">
              <w:t>Nonmunicipal facilities</w:t>
            </w:r>
          </w:p>
        </w:tc>
      </w:tr>
      <w:tr w:rsidR="00CF37E4" w:rsidRPr="003B4AEE" w14:paraId="2E683059" w14:textId="77777777" w:rsidTr="00871F94">
        <w:trPr>
          <w:cantSplit/>
          <w:trHeight w:val="20"/>
        </w:trPr>
        <w:tc>
          <w:tcPr>
            <w:tcW w:w="3232" w:type="dxa"/>
            <w:shd w:val="clear" w:color="auto" w:fill="auto"/>
          </w:tcPr>
          <w:p w14:paraId="152986B7" w14:textId="048A16A0" w:rsidR="00CF37E4" w:rsidRPr="003B4AEE" w:rsidRDefault="00CF37E4" w:rsidP="00EF1FFC">
            <w:pPr>
              <w:pStyle w:val="Tables"/>
            </w:pPr>
            <w:r w:rsidRPr="003B4AEE">
              <w:t>Form 2B</w:t>
            </w:r>
            <w:r w:rsidR="005F44FC" w:rsidRPr="003B4AEE">
              <w:rPr>
                <w:vertAlign w:val="superscript"/>
              </w:rPr>
              <w:t>a</w:t>
            </w:r>
          </w:p>
        </w:tc>
        <w:tc>
          <w:tcPr>
            <w:tcW w:w="6120" w:type="dxa"/>
            <w:shd w:val="clear" w:color="auto" w:fill="auto"/>
          </w:tcPr>
          <w:p w14:paraId="7521D7FE" w14:textId="58380D90" w:rsidR="00CF37E4" w:rsidRPr="003B4AEE" w:rsidRDefault="00CF37E4" w:rsidP="00EF1FFC">
            <w:pPr>
              <w:pStyle w:val="Tables"/>
            </w:pPr>
            <w:r w:rsidRPr="003B4AEE">
              <w:t xml:space="preserve">CAFOs and CAAP facilities </w:t>
            </w:r>
          </w:p>
        </w:tc>
      </w:tr>
      <w:tr w:rsidR="00CF37E4" w:rsidRPr="003B4AEE" w14:paraId="041BC251" w14:textId="77777777" w:rsidTr="00871F94">
        <w:trPr>
          <w:cantSplit/>
          <w:trHeight w:val="20"/>
        </w:trPr>
        <w:tc>
          <w:tcPr>
            <w:tcW w:w="3232" w:type="dxa"/>
            <w:shd w:val="clear" w:color="auto" w:fill="auto"/>
          </w:tcPr>
          <w:p w14:paraId="6E139095" w14:textId="4A8F16C1" w:rsidR="00CF37E4" w:rsidRPr="003B4AEE" w:rsidRDefault="00CF37E4" w:rsidP="00EF1FFC">
            <w:pPr>
              <w:pStyle w:val="Tables"/>
            </w:pPr>
            <w:r w:rsidRPr="003B4AEE">
              <w:t>Form 2C</w:t>
            </w:r>
            <w:r w:rsidR="005F44FC" w:rsidRPr="003B4AEE">
              <w:rPr>
                <w:vertAlign w:val="superscript"/>
              </w:rPr>
              <w:t>a</w:t>
            </w:r>
          </w:p>
        </w:tc>
        <w:tc>
          <w:tcPr>
            <w:tcW w:w="6120" w:type="dxa"/>
            <w:shd w:val="clear" w:color="auto" w:fill="auto"/>
          </w:tcPr>
          <w:p w14:paraId="7F9EA48D" w14:textId="54D7CE7C" w:rsidR="00CF37E4" w:rsidRPr="003B4AEE" w:rsidRDefault="00CF37E4" w:rsidP="00EF1FFC">
            <w:pPr>
              <w:pStyle w:val="Tables"/>
            </w:pPr>
            <w:r w:rsidRPr="003B4AEE">
              <w:t>Existing manufacturing, commercial, mining, and silvicultural operations that discharge process wastewater</w:t>
            </w:r>
          </w:p>
        </w:tc>
      </w:tr>
      <w:tr w:rsidR="00CF37E4" w:rsidRPr="003B4AEE" w14:paraId="5AD83B7F" w14:textId="77777777" w:rsidTr="00871F94">
        <w:trPr>
          <w:cantSplit/>
          <w:trHeight w:val="20"/>
        </w:trPr>
        <w:tc>
          <w:tcPr>
            <w:tcW w:w="3232" w:type="dxa"/>
            <w:shd w:val="clear" w:color="auto" w:fill="auto"/>
          </w:tcPr>
          <w:p w14:paraId="37FA521A" w14:textId="4F8BFF38" w:rsidR="00CF37E4" w:rsidRPr="003B4AEE" w:rsidRDefault="00CF37E4" w:rsidP="00EF1FFC">
            <w:pPr>
              <w:pStyle w:val="Tables"/>
            </w:pPr>
            <w:r w:rsidRPr="003B4AEE">
              <w:t>Form 2D</w:t>
            </w:r>
            <w:r w:rsidR="005F44FC" w:rsidRPr="003B4AEE">
              <w:rPr>
                <w:vertAlign w:val="superscript"/>
              </w:rPr>
              <w:t>a</w:t>
            </w:r>
          </w:p>
        </w:tc>
        <w:tc>
          <w:tcPr>
            <w:tcW w:w="6120" w:type="dxa"/>
            <w:shd w:val="clear" w:color="auto" w:fill="auto"/>
          </w:tcPr>
          <w:p w14:paraId="192C7D86" w14:textId="41049AB1" w:rsidR="00CF37E4" w:rsidRPr="003B4AEE" w:rsidRDefault="00CF37E4" w:rsidP="00EF1FFC">
            <w:pPr>
              <w:pStyle w:val="Tables"/>
            </w:pPr>
            <w:r w:rsidRPr="003B4AEE">
              <w:t>New manufacturing and commercial facilities that discharge process wastewater</w:t>
            </w:r>
          </w:p>
        </w:tc>
      </w:tr>
      <w:tr w:rsidR="00CF37E4" w:rsidRPr="003B4AEE" w14:paraId="75D7EA77" w14:textId="77777777" w:rsidTr="00871F94">
        <w:trPr>
          <w:cantSplit/>
          <w:trHeight w:val="20"/>
        </w:trPr>
        <w:tc>
          <w:tcPr>
            <w:tcW w:w="3232" w:type="dxa"/>
            <w:shd w:val="clear" w:color="auto" w:fill="auto"/>
          </w:tcPr>
          <w:p w14:paraId="524FA146" w14:textId="6EA88BC2" w:rsidR="00CF37E4" w:rsidRPr="003B4AEE" w:rsidRDefault="00CF37E4" w:rsidP="00EF1FFC">
            <w:pPr>
              <w:pStyle w:val="Tables"/>
            </w:pPr>
            <w:r w:rsidRPr="003B4AEE">
              <w:t>Form 2E</w:t>
            </w:r>
            <w:r w:rsidR="005F44FC" w:rsidRPr="003B4AEE">
              <w:rPr>
                <w:vertAlign w:val="superscript"/>
              </w:rPr>
              <w:t>a</w:t>
            </w:r>
            <w:r w:rsidR="005F44FC" w:rsidRPr="003B4AEE" w:rsidDel="005F44FC">
              <w:t xml:space="preserve"> </w:t>
            </w:r>
          </w:p>
        </w:tc>
        <w:tc>
          <w:tcPr>
            <w:tcW w:w="6120" w:type="dxa"/>
            <w:shd w:val="clear" w:color="auto" w:fill="auto"/>
          </w:tcPr>
          <w:p w14:paraId="53EAE820" w14:textId="71855562" w:rsidR="00CF37E4" w:rsidRPr="003B4AEE" w:rsidRDefault="00CF37E4" w:rsidP="00EF1FFC">
            <w:pPr>
              <w:pStyle w:val="Tables"/>
            </w:pPr>
            <w:r w:rsidRPr="003B4AEE">
              <w:t>New or existing nonmunicipal facilities that discharge only non-process wastewater</w:t>
            </w:r>
          </w:p>
        </w:tc>
      </w:tr>
      <w:tr w:rsidR="00CF37E4" w:rsidRPr="003B4AEE" w14:paraId="1E180EA2" w14:textId="77777777" w:rsidTr="00871F94">
        <w:trPr>
          <w:cantSplit/>
          <w:trHeight w:val="20"/>
        </w:trPr>
        <w:tc>
          <w:tcPr>
            <w:tcW w:w="3232" w:type="dxa"/>
            <w:shd w:val="clear" w:color="auto" w:fill="auto"/>
          </w:tcPr>
          <w:p w14:paraId="774AC513" w14:textId="0022A6A6" w:rsidR="00CF37E4" w:rsidRPr="003B4AEE" w:rsidRDefault="00CF37E4" w:rsidP="00EF1FFC">
            <w:pPr>
              <w:pStyle w:val="Tables"/>
            </w:pPr>
            <w:r w:rsidRPr="003B4AEE">
              <w:t>Form 2F</w:t>
            </w:r>
            <w:r w:rsidR="005F44FC" w:rsidRPr="003B4AEE">
              <w:rPr>
                <w:vertAlign w:val="superscript"/>
              </w:rPr>
              <w:t>a</w:t>
            </w:r>
          </w:p>
        </w:tc>
        <w:tc>
          <w:tcPr>
            <w:tcW w:w="6120" w:type="dxa"/>
            <w:shd w:val="clear" w:color="auto" w:fill="auto"/>
          </w:tcPr>
          <w:p w14:paraId="0A774ED6" w14:textId="2BBAF0AF" w:rsidR="00CF37E4" w:rsidRPr="003B4AEE" w:rsidRDefault="00CF37E4" w:rsidP="00EF1FFC">
            <w:pPr>
              <w:pStyle w:val="Tables"/>
            </w:pPr>
            <w:r w:rsidRPr="003B4AEE">
              <w:t xml:space="preserve">Industrial stormwater dischargers applying for an individual permit </w:t>
            </w:r>
          </w:p>
        </w:tc>
      </w:tr>
      <w:tr w:rsidR="00CF37E4" w:rsidRPr="003B4AEE" w14:paraId="26FCE1A2" w14:textId="77777777" w:rsidTr="00871F94">
        <w:trPr>
          <w:cantSplit/>
          <w:trHeight w:val="20"/>
        </w:trPr>
        <w:tc>
          <w:tcPr>
            <w:tcW w:w="3232" w:type="dxa"/>
            <w:shd w:val="clear" w:color="auto" w:fill="auto"/>
          </w:tcPr>
          <w:p w14:paraId="1BF61ABF" w14:textId="31F37C63" w:rsidR="00CF37E4" w:rsidRPr="003B4AEE" w:rsidRDefault="00CF37E4" w:rsidP="00EF1FFC">
            <w:pPr>
              <w:pStyle w:val="Tables"/>
            </w:pPr>
            <w:r w:rsidRPr="003B4AEE">
              <w:t>Form 2S</w:t>
            </w:r>
            <w:r w:rsidR="005F44FC" w:rsidRPr="003B4AEE">
              <w:rPr>
                <w:vertAlign w:val="superscript"/>
              </w:rPr>
              <w:t>a</w:t>
            </w:r>
          </w:p>
        </w:tc>
        <w:tc>
          <w:tcPr>
            <w:tcW w:w="6120" w:type="dxa"/>
            <w:shd w:val="clear" w:color="auto" w:fill="auto"/>
          </w:tcPr>
          <w:p w14:paraId="4B6CC636" w14:textId="4CED61E1" w:rsidR="00CF37E4" w:rsidRPr="003B4AEE" w:rsidRDefault="00CF37E4" w:rsidP="00EF1FFC">
            <w:pPr>
              <w:pStyle w:val="Tables"/>
            </w:pPr>
            <w:r w:rsidRPr="003B4AEE">
              <w:t>POTWs and other treatment works treating domestic sewage (covers sludge)</w:t>
            </w:r>
          </w:p>
        </w:tc>
      </w:tr>
      <w:tr w:rsidR="00CF37E4" w:rsidRPr="003B4AEE" w14:paraId="30C516C4" w14:textId="77777777" w:rsidTr="00871F94">
        <w:trPr>
          <w:cantSplit/>
          <w:trHeight w:val="20"/>
        </w:trPr>
        <w:tc>
          <w:tcPr>
            <w:tcW w:w="3232" w:type="dxa"/>
            <w:shd w:val="clear" w:color="auto" w:fill="auto"/>
          </w:tcPr>
          <w:p w14:paraId="4E68B96D" w14:textId="14760743" w:rsidR="00CF37E4" w:rsidRPr="003B4AEE" w:rsidRDefault="00CF37E4" w:rsidP="00EF1FFC">
            <w:pPr>
              <w:pStyle w:val="Tables"/>
            </w:pPr>
            <w:r w:rsidRPr="003B4AEE">
              <w:t>NOI</w:t>
            </w:r>
            <w:r w:rsidR="00BB2406" w:rsidRPr="003B4AEE">
              <w:t>—</w:t>
            </w:r>
            <w:r w:rsidRPr="003B4AEE">
              <w:t>Industrial Activity (NOI</w:t>
            </w:r>
            <w:r w:rsidR="00BB2406" w:rsidRPr="003B4AEE">
              <w:t>—</w:t>
            </w:r>
            <w:r w:rsidRPr="003B4AEE">
              <w:t>Stormwater)</w:t>
            </w:r>
            <w:r w:rsidR="00C77C5F" w:rsidRPr="003B4AEE">
              <w:rPr>
                <w:vertAlign w:val="superscript"/>
              </w:rPr>
              <w:t xml:space="preserve"> a</w:t>
            </w:r>
          </w:p>
        </w:tc>
        <w:tc>
          <w:tcPr>
            <w:tcW w:w="6120" w:type="dxa"/>
            <w:shd w:val="clear" w:color="auto" w:fill="auto"/>
          </w:tcPr>
          <w:p w14:paraId="229E5F92" w14:textId="6C7A5D87" w:rsidR="00CF37E4" w:rsidRPr="003B4AEE" w:rsidRDefault="00CF37E4" w:rsidP="00EF1FFC">
            <w:pPr>
              <w:pStyle w:val="Tables"/>
            </w:pPr>
            <w:r w:rsidRPr="003B4AEE">
              <w:t xml:space="preserve">Industrial stormwater dischargers applying for </w:t>
            </w:r>
            <w:r w:rsidR="002030E4" w:rsidRPr="003B4AEE">
              <w:t>the</w:t>
            </w:r>
            <w:r w:rsidRPr="003B4AEE">
              <w:t xml:space="preserve"> Multi-Sector General Permit (MSGP)</w:t>
            </w:r>
          </w:p>
        </w:tc>
      </w:tr>
      <w:tr w:rsidR="00CF37E4" w:rsidRPr="003B4AEE" w14:paraId="3536AF27" w14:textId="77777777" w:rsidTr="00871F94">
        <w:trPr>
          <w:cantSplit/>
          <w:trHeight w:val="20"/>
        </w:trPr>
        <w:tc>
          <w:tcPr>
            <w:tcW w:w="3232" w:type="dxa"/>
            <w:shd w:val="clear" w:color="auto" w:fill="auto"/>
          </w:tcPr>
          <w:p w14:paraId="140735EC" w14:textId="4E810235" w:rsidR="00CF37E4" w:rsidRPr="003B4AEE" w:rsidRDefault="00CF37E4" w:rsidP="00EF1FFC">
            <w:pPr>
              <w:pStyle w:val="Tables"/>
            </w:pPr>
            <w:r w:rsidRPr="003B4AEE">
              <w:t xml:space="preserve">Application for Transportation and Utility Systems and Facilities </w:t>
            </w:r>
            <w:r w:rsidR="00BB2406" w:rsidRPr="003B4AEE">
              <w:t xml:space="preserve">on </w:t>
            </w:r>
            <w:r w:rsidRPr="003B4AEE">
              <w:t>Federal Lands (Alaskan Lands Application)</w:t>
            </w:r>
            <w:r w:rsidR="005F44FC" w:rsidRPr="003B4AEE">
              <w:rPr>
                <w:vertAlign w:val="superscript"/>
              </w:rPr>
              <w:t>a</w:t>
            </w:r>
          </w:p>
        </w:tc>
        <w:tc>
          <w:tcPr>
            <w:tcW w:w="6120" w:type="dxa"/>
            <w:shd w:val="clear" w:color="auto" w:fill="auto"/>
          </w:tcPr>
          <w:p w14:paraId="73AC549B" w14:textId="525DB67D" w:rsidR="00CF37E4" w:rsidRPr="003B4AEE" w:rsidRDefault="00CF37E4" w:rsidP="00EF1FFC">
            <w:pPr>
              <w:pStyle w:val="Tables"/>
            </w:pPr>
            <w:r w:rsidRPr="003B4AEE">
              <w:t>Builders and operators of transportation and utility projects on Alaskan public lands (substitutes for Forms 1, 2B, and 2C)</w:t>
            </w:r>
          </w:p>
        </w:tc>
      </w:tr>
      <w:tr w:rsidR="00CF37E4" w:rsidRPr="003B4AEE" w14:paraId="077EE660" w14:textId="77777777" w:rsidTr="00871F94">
        <w:trPr>
          <w:cantSplit/>
          <w:trHeight w:val="20"/>
        </w:trPr>
        <w:tc>
          <w:tcPr>
            <w:tcW w:w="3232" w:type="dxa"/>
            <w:shd w:val="clear" w:color="auto" w:fill="auto"/>
          </w:tcPr>
          <w:p w14:paraId="0DEA33ED" w14:textId="370990B3" w:rsidR="00CF37E4" w:rsidRPr="003B4AEE" w:rsidRDefault="00CF37E4" w:rsidP="00EF1FFC">
            <w:pPr>
              <w:pStyle w:val="Tables"/>
            </w:pPr>
            <w:r w:rsidRPr="003B4AEE">
              <w:t xml:space="preserve">Application for Phase I </w:t>
            </w:r>
            <w:r w:rsidR="002030E4" w:rsidRPr="003B4AEE">
              <w:t>Municipal Separate Storm Sewer Systems (</w:t>
            </w:r>
            <w:r w:rsidRPr="003B4AEE">
              <w:t>MS4s</w:t>
            </w:r>
            <w:r w:rsidR="002030E4" w:rsidRPr="003B4AEE">
              <w:t>)</w:t>
            </w:r>
          </w:p>
        </w:tc>
        <w:tc>
          <w:tcPr>
            <w:tcW w:w="6120" w:type="dxa"/>
            <w:shd w:val="clear" w:color="auto" w:fill="auto"/>
          </w:tcPr>
          <w:p w14:paraId="6CD6CCE2" w14:textId="491E4140" w:rsidR="00CF37E4" w:rsidRPr="003B4AEE" w:rsidRDefault="00CF37E4" w:rsidP="00EF1FFC">
            <w:pPr>
              <w:pStyle w:val="Tables"/>
            </w:pPr>
            <w:r w:rsidRPr="003B4AEE">
              <w:t>Phase I MS4s</w:t>
            </w:r>
          </w:p>
        </w:tc>
      </w:tr>
      <w:tr w:rsidR="00CF37E4" w:rsidRPr="003B4AEE" w14:paraId="267A2315" w14:textId="77777777" w:rsidTr="00871F94">
        <w:trPr>
          <w:cantSplit/>
          <w:trHeight w:val="20"/>
        </w:trPr>
        <w:tc>
          <w:tcPr>
            <w:tcW w:w="3232" w:type="dxa"/>
            <w:shd w:val="clear" w:color="auto" w:fill="auto"/>
          </w:tcPr>
          <w:p w14:paraId="2A58B67C" w14:textId="26D5AE76" w:rsidR="00CF37E4" w:rsidRPr="003B4AEE" w:rsidRDefault="00CF37E4" w:rsidP="00EF1FFC">
            <w:pPr>
              <w:pStyle w:val="Tables"/>
            </w:pPr>
            <w:r w:rsidRPr="003B4AEE">
              <w:t xml:space="preserve">Petitions for </w:t>
            </w:r>
            <w:r w:rsidR="00A45610" w:rsidRPr="003B4AEE">
              <w:t xml:space="preserve">Stormwater </w:t>
            </w:r>
            <w:r w:rsidRPr="003B4AEE">
              <w:t>Individual Permit</w:t>
            </w:r>
            <w:r w:rsidR="00A45610" w:rsidRPr="003B4AEE">
              <w:t xml:space="preserve"> Coverage</w:t>
            </w:r>
            <w:r w:rsidRPr="003B4AEE">
              <w:t xml:space="preserve"> </w:t>
            </w:r>
          </w:p>
        </w:tc>
        <w:tc>
          <w:tcPr>
            <w:tcW w:w="6120" w:type="dxa"/>
            <w:shd w:val="clear" w:color="auto" w:fill="auto"/>
          </w:tcPr>
          <w:p w14:paraId="285D8312" w14:textId="5D774A7B" w:rsidR="00CF37E4" w:rsidRPr="003B4AEE" w:rsidRDefault="00CF37E4" w:rsidP="00EF1FFC">
            <w:pPr>
              <w:pStyle w:val="Tables"/>
            </w:pPr>
            <w:r w:rsidRPr="003B4AEE">
              <w:t>Small MS4 operators or any person</w:t>
            </w:r>
            <w:r w:rsidR="00F94CD1" w:rsidRPr="003B4AEE">
              <w:t xml:space="preserve"> request</w:t>
            </w:r>
            <w:r w:rsidR="008443EA" w:rsidRPr="003B4AEE">
              <w:t>ing that</w:t>
            </w:r>
            <w:r w:rsidR="00F94CD1" w:rsidRPr="003B4AEE">
              <w:t xml:space="preserve"> a</w:t>
            </w:r>
            <w:r w:rsidR="00A45610" w:rsidRPr="003B4AEE">
              <w:t>n industrial</w:t>
            </w:r>
            <w:r w:rsidR="00F94CD1" w:rsidRPr="003B4AEE">
              <w:t xml:space="preserve"> facility </w:t>
            </w:r>
            <w:r w:rsidR="00A45610" w:rsidRPr="003B4AEE">
              <w:t>discharging through an MS4 to obtain coverage</w:t>
            </w:r>
            <w:r w:rsidR="00F94CD1" w:rsidRPr="003B4AEE">
              <w:t xml:space="preserve"> under an individual permit</w:t>
            </w:r>
          </w:p>
        </w:tc>
      </w:tr>
      <w:tr w:rsidR="00A53F5D" w:rsidRPr="003B4AEE" w14:paraId="6861CD58" w14:textId="77777777" w:rsidTr="00871F94">
        <w:trPr>
          <w:cantSplit/>
          <w:trHeight w:val="20"/>
        </w:trPr>
        <w:tc>
          <w:tcPr>
            <w:tcW w:w="3232" w:type="dxa"/>
            <w:shd w:val="clear" w:color="auto" w:fill="auto"/>
          </w:tcPr>
          <w:p w14:paraId="581A6066" w14:textId="7B7C58C2" w:rsidR="00A53F5D" w:rsidRPr="003B4AEE" w:rsidDel="00114E70" w:rsidRDefault="00A53F5D" w:rsidP="00EF1FFC">
            <w:pPr>
              <w:pStyle w:val="Tables"/>
            </w:pPr>
            <w:r w:rsidRPr="003B4AEE">
              <w:t>NOI</w:t>
            </w:r>
            <w:r w:rsidR="00BB2406" w:rsidRPr="003B4AEE">
              <w:t>—</w:t>
            </w:r>
            <w:r w:rsidR="005D1CDE" w:rsidRPr="003B4AEE">
              <w:t>State General Permits</w:t>
            </w:r>
          </w:p>
        </w:tc>
        <w:tc>
          <w:tcPr>
            <w:tcW w:w="6120" w:type="dxa"/>
            <w:shd w:val="clear" w:color="auto" w:fill="auto"/>
          </w:tcPr>
          <w:p w14:paraId="06F10BE4" w14:textId="784715F1" w:rsidR="00A53F5D" w:rsidRPr="003B4AEE" w:rsidRDefault="008443EA" w:rsidP="00EF1FFC">
            <w:pPr>
              <w:pStyle w:val="Tables"/>
            </w:pPr>
            <w:r w:rsidRPr="003B4AEE">
              <w:t>F</w:t>
            </w:r>
            <w:r w:rsidR="00DD6C0D" w:rsidRPr="003B4AEE">
              <w:t>acility owners/operators applying under various state</w:t>
            </w:r>
            <w:r w:rsidR="00D83786" w:rsidRPr="003B4AEE">
              <w:t xml:space="preserve">- or </w:t>
            </w:r>
            <w:proofErr w:type="gramStart"/>
            <w:r w:rsidR="00017F9B">
              <w:t>Federally</w:t>
            </w:r>
            <w:r w:rsidR="00D83786" w:rsidRPr="003B4AEE">
              <w:t>-issued</w:t>
            </w:r>
            <w:proofErr w:type="gramEnd"/>
            <w:r w:rsidR="00DD6C0D" w:rsidRPr="003B4AEE">
              <w:t xml:space="preserve"> general permits (e.g., CAFOs, CAAPs) </w:t>
            </w:r>
          </w:p>
        </w:tc>
      </w:tr>
      <w:tr w:rsidR="00CF37E4" w:rsidRPr="003B4AEE" w14:paraId="29F573AF" w14:textId="77777777" w:rsidTr="00871F94">
        <w:trPr>
          <w:cantSplit/>
          <w:trHeight w:val="20"/>
        </w:trPr>
        <w:tc>
          <w:tcPr>
            <w:tcW w:w="3232" w:type="dxa"/>
            <w:shd w:val="clear" w:color="auto" w:fill="auto"/>
          </w:tcPr>
          <w:p w14:paraId="36A0926E" w14:textId="4EC3E11B" w:rsidR="00CF37E4" w:rsidRPr="003B4AEE" w:rsidRDefault="00114E70" w:rsidP="00EF1FFC">
            <w:pPr>
              <w:pStyle w:val="Tables"/>
              <w:rPr>
                <w:lang w:val="es-US"/>
              </w:rPr>
            </w:pPr>
            <w:r w:rsidRPr="003B4AEE">
              <w:rPr>
                <w:lang w:val="es-US"/>
              </w:rPr>
              <w:t>NOI</w:t>
            </w:r>
            <w:r w:rsidR="00BB2406" w:rsidRPr="003B4AEE">
              <w:rPr>
                <w:lang w:val="es-US"/>
              </w:rPr>
              <w:t>—</w:t>
            </w:r>
            <w:r w:rsidR="005D1CDE" w:rsidRPr="003B4AEE">
              <w:rPr>
                <w:lang w:val="es-US"/>
              </w:rPr>
              <w:t>Pesticide General Permit</w:t>
            </w:r>
            <w:r w:rsidR="005E0FCB" w:rsidRPr="003B4AEE">
              <w:rPr>
                <w:lang w:val="es-US"/>
              </w:rPr>
              <w:t xml:space="preserve"> (PGP</w:t>
            </w:r>
            <w:r w:rsidR="003A7401" w:rsidRPr="003B4AEE">
              <w:rPr>
                <w:lang w:val="es-US"/>
              </w:rPr>
              <w:t>)</w:t>
            </w:r>
            <w:r w:rsidR="005F44FC" w:rsidRPr="003B4AEE">
              <w:rPr>
                <w:vertAlign w:val="superscript"/>
                <w:lang w:val="es-US"/>
              </w:rPr>
              <w:t>a</w:t>
            </w:r>
          </w:p>
        </w:tc>
        <w:tc>
          <w:tcPr>
            <w:tcW w:w="6120" w:type="dxa"/>
            <w:shd w:val="clear" w:color="auto" w:fill="auto"/>
          </w:tcPr>
          <w:p w14:paraId="491E4979" w14:textId="4F7F62A7" w:rsidR="00CF37E4" w:rsidRPr="003B4AEE" w:rsidRDefault="00EB6335" w:rsidP="00EF1FFC">
            <w:pPr>
              <w:pStyle w:val="Tables"/>
            </w:pPr>
            <w:r w:rsidRPr="003B4AEE">
              <w:t>C</w:t>
            </w:r>
            <w:r w:rsidR="00CF37E4" w:rsidRPr="003B4AEE">
              <w:t xml:space="preserve">ertain pesticide applicators applying under the PGP </w:t>
            </w:r>
          </w:p>
        </w:tc>
      </w:tr>
      <w:tr w:rsidR="005D1CDE" w:rsidRPr="003B4AEE" w14:paraId="71EB8928" w14:textId="77777777" w:rsidTr="00871F94">
        <w:trPr>
          <w:cantSplit/>
          <w:trHeight w:val="20"/>
        </w:trPr>
        <w:tc>
          <w:tcPr>
            <w:tcW w:w="3232" w:type="dxa"/>
            <w:shd w:val="clear" w:color="auto" w:fill="auto"/>
          </w:tcPr>
          <w:p w14:paraId="6F131D75" w14:textId="5E17C0C9" w:rsidR="005D1CDE" w:rsidRPr="003B4AEE" w:rsidDel="00114E70" w:rsidRDefault="005D1CDE" w:rsidP="00EF1FFC">
            <w:pPr>
              <w:pStyle w:val="Tables"/>
            </w:pPr>
            <w:r w:rsidRPr="003B4AEE">
              <w:t>NOI</w:t>
            </w:r>
            <w:r w:rsidR="00BB2406" w:rsidRPr="003B4AEE">
              <w:t>—</w:t>
            </w:r>
            <w:r w:rsidRPr="003B4AEE">
              <w:t>Vessels General Permit</w:t>
            </w:r>
            <w:r w:rsidR="005E0FCB" w:rsidRPr="003B4AEE">
              <w:t xml:space="preserve"> (VGP)</w:t>
            </w:r>
            <w:r w:rsidR="005F44FC" w:rsidRPr="003B4AEE">
              <w:rPr>
                <w:vertAlign w:val="superscript"/>
              </w:rPr>
              <w:t>a</w:t>
            </w:r>
          </w:p>
        </w:tc>
        <w:tc>
          <w:tcPr>
            <w:tcW w:w="6120" w:type="dxa"/>
            <w:shd w:val="clear" w:color="auto" w:fill="auto"/>
          </w:tcPr>
          <w:p w14:paraId="4B5E0B7D" w14:textId="2F35AFAF" w:rsidR="005D1CDE" w:rsidRPr="003B4AEE" w:rsidRDefault="00AF3122" w:rsidP="00EF1FFC">
            <w:pPr>
              <w:pStyle w:val="Tables"/>
            </w:pPr>
            <w:r w:rsidRPr="003B4AEE">
              <w:t>Vessels applying under the VGP</w:t>
            </w:r>
          </w:p>
        </w:tc>
      </w:tr>
      <w:tr w:rsidR="005D1CDE" w:rsidRPr="003B4AEE" w14:paraId="7A2CB567" w14:textId="77777777" w:rsidTr="00871F94">
        <w:trPr>
          <w:cantSplit/>
          <w:trHeight w:val="20"/>
        </w:trPr>
        <w:tc>
          <w:tcPr>
            <w:tcW w:w="3232" w:type="dxa"/>
            <w:shd w:val="clear" w:color="auto" w:fill="auto"/>
          </w:tcPr>
          <w:p w14:paraId="6F590FD4" w14:textId="7C6471F0" w:rsidR="005D1CDE" w:rsidRPr="003B4AEE" w:rsidRDefault="00CC03BA" w:rsidP="00EF1FFC">
            <w:pPr>
              <w:pStyle w:val="Tables"/>
            </w:pPr>
            <w:r w:rsidRPr="003B4AEE">
              <w:t>NOI</w:t>
            </w:r>
            <w:r w:rsidR="00BB2406" w:rsidRPr="003B4AEE">
              <w:t>—</w:t>
            </w:r>
            <w:r w:rsidRPr="003B4AEE">
              <w:t>Construction General Permit</w:t>
            </w:r>
            <w:r w:rsidR="005E0FCB" w:rsidRPr="003B4AEE">
              <w:t xml:space="preserve"> (CGP)</w:t>
            </w:r>
            <w:r w:rsidR="005F44FC" w:rsidRPr="003B4AEE">
              <w:rPr>
                <w:vertAlign w:val="superscript"/>
              </w:rPr>
              <w:t>a</w:t>
            </w:r>
          </w:p>
        </w:tc>
        <w:tc>
          <w:tcPr>
            <w:tcW w:w="6120" w:type="dxa"/>
            <w:shd w:val="clear" w:color="auto" w:fill="auto"/>
          </w:tcPr>
          <w:p w14:paraId="46C12171" w14:textId="7AE29162" w:rsidR="005D1CDE" w:rsidRPr="003B4AEE" w:rsidRDefault="00EB6335" w:rsidP="00EF1FFC">
            <w:pPr>
              <w:pStyle w:val="Tables"/>
            </w:pPr>
            <w:r w:rsidRPr="003B4AEE">
              <w:t xml:space="preserve">Construction site owners/operators applying under </w:t>
            </w:r>
            <w:r w:rsidR="005E0FCB" w:rsidRPr="003B4AEE">
              <w:t>the construction general permit</w:t>
            </w:r>
          </w:p>
        </w:tc>
      </w:tr>
      <w:tr w:rsidR="00CC03BA" w:rsidRPr="003B4AEE" w14:paraId="0CA2B25B" w14:textId="77777777" w:rsidTr="00871F94">
        <w:trPr>
          <w:cantSplit/>
          <w:trHeight w:val="20"/>
        </w:trPr>
        <w:tc>
          <w:tcPr>
            <w:tcW w:w="3232" w:type="dxa"/>
            <w:shd w:val="clear" w:color="auto" w:fill="auto"/>
          </w:tcPr>
          <w:p w14:paraId="5FE00C72" w14:textId="43D28E46" w:rsidR="00CC03BA" w:rsidRPr="003B4AEE" w:rsidRDefault="00CC03BA" w:rsidP="00EF1FFC">
            <w:pPr>
              <w:pStyle w:val="Tables"/>
            </w:pPr>
            <w:r w:rsidRPr="003B4AEE">
              <w:t>NOI</w:t>
            </w:r>
            <w:r w:rsidR="00BB2406" w:rsidRPr="003B4AEE">
              <w:t>—</w:t>
            </w:r>
            <w:proofErr w:type="spellStart"/>
            <w:r w:rsidR="005E0FCB" w:rsidRPr="003B4AEE">
              <w:t>MSGP</w:t>
            </w:r>
            <w:r w:rsidR="005F44FC" w:rsidRPr="003B4AEE">
              <w:rPr>
                <w:vertAlign w:val="superscript"/>
              </w:rPr>
              <w:t>a</w:t>
            </w:r>
            <w:proofErr w:type="spellEnd"/>
          </w:p>
        </w:tc>
        <w:tc>
          <w:tcPr>
            <w:tcW w:w="6120" w:type="dxa"/>
            <w:shd w:val="clear" w:color="auto" w:fill="auto"/>
          </w:tcPr>
          <w:p w14:paraId="314A5B70" w14:textId="38DB479E" w:rsidR="00CC03BA" w:rsidRPr="003B4AEE" w:rsidRDefault="005E0FCB" w:rsidP="00EF1FFC">
            <w:pPr>
              <w:pStyle w:val="Tables"/>
            </w:pPr>
            <w:r w:rsidRPr="003B4AEE">
              <w:t>Industrial facility owners/operators applying under the MSGP</w:t>
            </w:r>
          </w:p>
        </w:tc>
      </w:tr>
      <w:tr w:rsidR="00CF37E4" w:rsidRPr="003B4AEE" w14:paraId="6B914C19" w14:textId="77777777" w:rsidTr="00871F94">
        <w:trPr>
          <w:cantSplit/>
          <w:trHeight w:val="20"/>
        </w:trPr>
        <w:tc>
          <w:tcPr>
            <w:tcW w:w="3232" w:type="dxa"/>
            <w:shd w:val="clear" w:color="auto" w:fill="auto"/>
          </w:tcPr>
          <w:p w14:paraId="4863DA6A" w14:textId="77777777" w:rsidR="00CF37E4" w:rsidRPr="003B4AEE" w:rsidRDefault="00CF37E4" w:rsidP="00EF1FFC">
            <w:pPr>
              <w:pStyle w:val="Tables"/>
            </w:pPr>
            <w:r w:rsidRPr="003B4AEE">
              <w:t>Permit Consolidation Request</w:t>
            </w:r>
          </w:p>
        </w:tc>
        <w:tc>
          <w:tcPr>
            <w:tcW w:w="6120" w:type="dxa"/>
            <w:shd w:val="clear" w:color="auto" w:fill="auto"/>
          </w:tcPr>
          <w:p w14:paraId="39BEE62E" w14:textId="0CE11DF7" w:rsidR="00CF37E4" w:rsidRPr="003B4AEE" w:rsidRDefault="00CF37E4" w:rsidP="00EF1FFC">
            <w:pPr>
              <w:pStyle w:val="Tables"/>
            </w:pPr>
            <w:r w:rsidRPr="003B4AEE">
              <w:t>Facilities with multiple permits</w:t>
            </w:r>
          </w:p>
        </w:tc>
      </w:tr>
      <w:tr w:rsidR="00CF37E4" w:rsidRPr="003B4AEE" w14:paraId="143F0124" w14:textId="77777777" w:rsidTr="00871F94">
        <w:trPr>
          <w:cantSplit/>
          <w:trHeight w:val="20"/>
        </w:trPr>
        <w:tc>
          <w:tcPr>
            <w:tcW w:w="3232" w:type="dxa"/>
            <w:shd w:val="clear" w:color="auto" w:fill="auto"/>
          </w:tcPr>
          <w:p w14:paraId="40214FAC" w14:textId="2E0C5F87" w:rsidR="00CF37E4" w:rsidRPr="003B4AEE" w:rsidRDefault="00CF37E4" w:rsidP="00EF1FFC">
            <w:pPr>
              <w:pStyle w:val="Tables"/>
            </w:pPr>
            <w:bookmarkStart w:id="20" w:name="OLE_LINK6"/>
            <w:bookmarkStart w:id="21" w:name="OLE_LINK7"/>
            <w:r w:rsidRPr="003B4AEE">
              <w:t>Notification of Construction</w:t>
            </w:r>
            <w:bookmarkEnd w:id="20"/>
            <w:bookmarkEnd w:id="21"/>
          </w:p>
        </w:tc>
        <w:tc>
          <w:tcPr>
            <w:tcW w:w="6120" w:type="dxa"/>
            <w:shd w:val="clear" w:color="auto" w:fill="auto"/>
          </w:tcPr>
          <w:p w14:paraId="58FA453C" w14:textId="4E0CD338" w:rsidR="00CF37E4" w:rsidRPr="003B4AEE" w:rsidRDefault="00CF37E4" w:rsidP="00EF1FFC">
            <w:pPr>
              <w:pStyle w:val="Tables"/>
            </w:pPr>
            <w:r w:rsidRPr="003B4AEE">
              <w:t>Facilities classified as new sources</w:t>
            </w:r>
          </w:p>
        </w:tc>
      </w:tr>
      <w:tr w:rsidR="00CF37E4" w:rsidRPr="003B4AEE" w14:paraId="79FA9116" w14:textId="77777777" w:rsidTr="00871F94">
        <w:trPr>
          <w:cantSplit/>
          <w:trHeight w:val="20"/>
        </w:trPr>
        <w:tc>
          <w:tcPr>
            <w:tcW w:w="3232" w:type="dxa"/>
            <w:shd w:val="clear" w:color="auto" w:fill="auto"/>
          </w:tcPr>
          <w:p w14:paraId="501B7C99" w14:textId="77777777" w:rsidR="00CF37E4" w:rsidRPr="003B4AEE" w:rsidRDefault="00CF37E4" w:rsidP="00EF1FFC">
            <w:pPr>
              <w:pStyle w:val="Tables"/>
            </w:pPr>
            <w:r w:rsidRPr="003B4AEE">
              <w:t>Ocean Discharge Information</w:t>
            </w:r>
          </w:p>
        </w:tc>
        <w:tc>
          <w:tcPr>
            <w:tcW w:w="6120" w:type="dxa"/>
            <w:shd w:val="clear" w:color="auto" w:fill="auto"/>
          </w:tcPr>
          <w:p w14:paraId="4987CE1A" w14:textId="48DA6B16" w:rsidR="00CF37E4" w:rsidRPr="003B4AEE" w:rsidRDefault="00CF37E4" w:rsidP="00EF1FFC">
            <w:pPr>
              <w:pStyle w:val="Tables"/>
            </w:pPr>
            <w:r w:rsidRPr="003B4AEE">
              <w:t>Ocean dischargers</w:t>
            </w:r>
          </w:p>
        </w:tc>
      </w:tr>
      <w:tr w:rsidR="00CF37E4" w:rsidRPr="003B4AEE" w14:paraId="3B32626A" w14:textId="77777777" w:rsidTr="00871F94">
        <w:trPr>
          <w:cantSplit/>
          <w:trHeight w:val="20"/>
        </w:trPr>
        <w:tc>
          <w:tcPr>
            <w:tcW w:w="3232" w:type="dxa"/>
            <w:shd w:val="clear" w:color="auto" w:fill="auto"/>
          </w:tcPr>
          <w:p w14:paraId="1C9CEA70" w14:textId="44052B30" w:rsidR="00CF37E4" w:rsidRPr="003B4AEE" w:rsidRDefault="00CF37E4" w:rsidP="00EF1FFC">
            <w:pPr>
              <w:pStyle w:val="Tables"/>
            </w:pPr>
            <w:r w:rsidRPr="003B4AEE">
              <w:t>Notice of Termination (NOT)</w:t>
            </w:r>
            <w:r w:rsidR="00BB2406" w:rsidRPr="003B4AEE">
              <w:t>—</w:t>
            </w:r>
            <w:proofErr w:type="spellStart"/>
            <w:r w:rsidR="005E0FCB" w:rsidRPr="003B4AEE">
              <w:t>PGP</w:t>
            </w:r>
            <w:r w:rsidR="005F44FC" w:rsidRPr="003B4AEE">
              <w:rPr>
                <w:vertAlign w:val="superscript"/>
              </w:rPr>
              <w:t>a</w:t>
            </w:r>
            <w:proofErr w:type="spellEnd"/>
          </w:p>
        </w:tc>
        <w:tc>
          <w:tcPr>
            <w:tcW w:w="6120" w:type="dxa"/>
            <w:shd w:val="clear" w:color="auto" w:fill="auto"/>
          </w:tcPr>
          <w:p w14:paraId="4ADA7E76" w14:textId="381E8425" w:rsidR="00CF37E4" w:rsidRPr="003B4AEE" w:rsidRDefault="005E0FCB" w:rsidP="00EF1FFC">
            <w:pPr>
              <w:pStyle w:val="Tables"/>
            </w:pPr>
            <w:r w:rsidRPr="003B4AEE">
              <w:t>C</w:t>
            </w:r>
            <w:r w:rsidR="00CF37E4" w:rsidRPr="003B4AEE">
              <w:t>ertain pesticide applicators applying under the PGP</w:t>
            </w:r>
          </w:p>
        </w:tc>
      </w:tr>
      <w:tr w:rsidR="005E0FCB" w:rsidRPr="003B4AEE" w14:paraId="657B7B76" w14:textId="77777777" w:rsidTr="00871F94">
        <w:trPr>
          <w:cantSplit/>
          <w:trHeight w:val="20"/>
        </w:trPr>
        <w:tc>
          <w:tcPr>
            <w:tcW w:w="3232" w:type="dxa"/>
            <w:shd w:val="clear" w:color="auto" w:fill="auto"/>
          </w:tcPr>
          <w:p w14:paraId="6AEAA0C9" w14:textId="7169D0DD" w:rsidR="005E0FCB" w:rsidRPr="003B4AEE" w:rsidRDefault="005E0FCB" w:rsidP="00EF1FFC">
            <w:pPr>
              <w:pStyle w:val="Tables"/>
            </w:pPr>
            <w:r w:rsidRPr="003B4AEE">
              <w:t>NOT</w:t>
            </w:r>
            <w:r w:rsidR="00BB2406" w:rsidRPr="003B4AEE">
              <w:t>—</w:t>
            </w:r>
            <w:proofErr w:type="spellStart"/>
            <w:r w:rsidRPr="003B4AEE">
              <w:t>VGP</w:t>
            </w:r>
            <w:r w:rsidR="005F44FC" w:rsidRPr="003B4AEE">
              <w:rPr>
                <w:vertAlign w:val="superscript"/>
              </w:rPr>
              <w:t>a</w:t>
            </w:r>
            <w:proofErr w:type="spellEnd"/>
          </w:p>
        </w:tc>
        <w:tc>
          <w:tcPr>
            <w:tcW w:w="6120" w:type="dxa"/>
            <w:shd w:val="clear" w:color="auto" w:fill="auto"/>
          </w:tcPr>
          <w:p w14:paraId="46271C74" w14:textId="07551ACC" w:rsidR="005E0FCB" w:rsidRPr="003B4AEE" w:rsidRDefault="005E0FCB" w:rsidP="00EF1FFC">
            <w:pPr>
              <w:pStyle w:val="Tables"/>
            </w:pPr>
            <w:r w:rsidRPr="003B4AEE">
              <w:t>Vessels covered under the VGP</w:t>
            </w:r>
          </w:p>
        </w:tc>
      </w:tr>
      <w:tr w:rsidR="005E0FCB" w:rsidRPr="003B4AEE" w14:paraId="5F971984" w14:textId="77777777" w:rsidTr="00871F94">
        <w:trPr>
          <w:cantSplit/>
          <w:trHeight w:val="20"/>
        </w:trPr>
        <w:tc>
          <w:tcPr>
            <w:tcW w:w="3232" w:type="dxa"/>
            <w:shd w:val="clear" w:color="auto" w:fill="auto"/>
          </w:tcPr>
          <w:p w14:paraId="677BF80A" w14:textId="44AECE09" w:rsidR="005E0FCB" w:rsidRPr="003B4AEE" w:rsidRDefault="005E0FCB" w:rsidP="00EF1FFC">
            <w:pPr>
              <w:pStyle w:val="Tables"/>
            </w:pPr>
            <w:r w:rsidRPr="003B4AEE">
              <w:lastRenderedPageBreak/>
              <w:t>NOT</w:t>
            </w:r>
            <w:r w:rsidR="00BB2406" w:rsidRPr="003B4AEE">
              <w:t>—</w:t>
            </w:r>
            <w:proofErr w:type="spellStart"/>
            <w:r w:rsidRPr="003B4AEE">
              <w:t>CGP</w:t>
            </w:r>
            <w:r w:rsidR="005F44FC" w:rsidRPr="003B4AEE">
              <w:rPr>
                <w:vertAlign w:val="superscript"/>
              </w:rPr>
              <w:t>a</w:t>
            </w:r>
            <w:proofErr w:type="spellEnd"/>
          </w:p>
        </w:tc>
        <w:tc>
          <w:tcPr>
            <w:tcW w:w="6120" w:type="dxa"/>
            <w:shd w:val="clear" w:color="auto" w:fill="auto"/>
          </w:tcPr>
          <w:p w14:paraId="19E77598" w14:textId="41572868" w:rsidR="005E0FCB" w:rsidRPr="003B4AEE" w:rsidRDefault="005E0FCB" w:rsidP="00EF1FFC">
            <w:pPr>
              <w:pStyle w:val="Tables"/>
            </w:pPr>
            <w:r w:rsidRPr="003B4AEE">
              <w:t>Construction permittees covered under the CGP</w:t>
            </w:r>
          </w:p>
        </w:tc>
      </w:tr>
      <w:tr w:rsidR="005E0FCB" w:rsidRPr="003B4AEE" w14:paraId="7EFF5EA5" w14:textId="77777777" w:rsidTr="00871F94">
        <w:trPr>
          <w:cantSplit/>
          <w:trHeight w:val="20"/>
        </w:trPr>
        <w:tc>
          <w:tcPr>
            <w:tcW w:w="3232" w:type="dxa"/>
            <w:shd w:val="clear" w:color="auto" w:fill="auto"/>
          </w:tcPr>
          <w:p w14:paraId="65C91DFA" w14:textId="1A8B479D" w:rsidR="005E0FCB" w:rsidRPr="003B4AEE" w:rsidRDefault="005E0FCB" w:rsidP="00EF1FFC">
            <w:pPr>
              <w:pStyle w:val="Tables"/>
            </w:pPr>
            <w:r w:rsidRPr="003B4AEE">
              <w:t>NOT</w:t>
            </w:r>
            <w:r w:rsidR="00BB2406" w:rsidRPr="003B4AEE">
              <w:t>—</w:t>
            </w:r>
            <w:proofErr w:type="spellStart"/>
            <w:r w:rsidRPr="003B4AEE">
              <w:t>MSGP</w:t>
            </w:r>
            <w:r w:rsidR="005F44FC" w:rsidRPr="003B4AEE">
              <w:rPr>
                <w:vertAlign w:val="superscript"/>
              </w:rPr>
              <w:t>a</w:t>
            </w:r>
            <w:proofErr w:type="spellEnd"/>
          </w:p>
        </w:tc>
        <w:tc>
          <w:tcPr>
            <w:tcW w:w="6120" w:type="dxa"/>
            <w:shd w:val="clear" w:color="auto" w:fill="auto"/>
          </w:tcPr>
          <w:p w14:paraId="6F8FE98B" w14:textId="45AE807C" w:rsidR="005E0FCB" w:rsidRPr="003B4AEE" w:rsidRDefault="005E0FCB" w:rsidP="00EF1FFC">
            <w:pPr>
              <w:pStyle w:val="Tables"/>
            </w:pPr>
            <w:r w:rsidRPr="003B4AEE">
              <w:t>Industrial permittees covered under the MSGP</w:t>
            </w:r>
          </w:p>
        </w:tc>
      </w:tr>
      <w:tr w:rsidR="00CF37E4" w:rsidRPr="003B4AEE" w14:paraId="0A3B9277" w14:textId="77777777" w:rsidTr="00871F94">
        <w:trPr>
          <w:cantSplit/>
          <w:trHeight w:val="20"/>
        </w:trPr>
        <w:tc>
          <w:tcPr>
            <w:tcW w:w="3232" w:type="dxa"/>
            <w:shd w:val="clear" w:color="auto" w:fill="auto"/>
          </w:tcPr>
          <w:p w14:paraId="16F6456A" w14:textId="676ECF3D" w:rsidR="00CF37E4" w:rsidRPr="003B4AEE" w:rsidRDefault="00CF37E4" w:rsidP="00EF1FFC">
            <w:pPr>
              <w:pStyle w:val="Tables"/>
            </w:pPr>
            <w:r w:rsidRPr="003B4AEE">
              <w:t>No Exposure Certification (NOE)</w:t>
            </w:r>
          </w:p>
        </w:tc>
        <w:tc>
          <w:tcPr>
            <w:tcW w:w="6120" w:type="dxa"/>
            <w:shd w:val="clear" w:color="auto" w:fill="auto"/>
          </w:tcPr>
          <w:p w14:paraId="00D1C33C" w14:textId="3161B072" w:rsidR="00CF37E4" w:rsidRPr="003B4AEE" w:rsidRDefault="00CF37E4" w:rsidP="00EF1FFC">
            <w:pPr>
              <w:pStyle w:val="Tables"/>
            </w:pPr>
            <w:r w:rsidRPr="003B4AEE">
              <w:t>Industrial stormwater dischargers</w:t>
            </w:r>
          </w:p>
        </w:tc>
      </w:tr>
      <w:tr w:rsidR="00CF37E4" w:rsidRPr="003B4AEE" w14:paraId="67C36CB1" w14:textId="77777777" w:rsidTr="00871F94">
        <w:trPr>
          <w:cantSplit/>
          <w:trHeight w:val="20"/>
        </w:trPr>
        <w:tc>
          <w:tcPr>
            <w:tcW w:w="3232" w:type="dxa"/>
            <w:shd w:val="clear" w:color="auto" w:fill="auto"/>
          </w:tcPr>
          <w:p w14:paraId="2A6EA584" w14:textId="77777777" w:rsidR="00CF37E4" w:rsidRPr="003B4AEE" w:rsidRDefault="00CF37E4" w:rsidP="00EF1FFC">
            <w:pPr>
              <w:pStyle w:val="Tables"/>
            </w:pPr>
            <w:r w:rsidRPr="003B4AEE">
              <w:t>Low Erosivity Waiver Certification</w:t>
            </w:r>
          </w:p>
        </w:tc>
        <w:tc>
          <w:tcPr>
            <w:tcW w:w="6120" w:type="dxa"/>
            <w:shd w:val="clear" w:color="auto" w:fill="auto"/>
          </w:tcPr>
          <w:p w14:paraId="71D08677" w14:textId="1B966153" w:rsidR="00CF37E4" w:rsidRPr="003B4AEE" w:rsidRDefault="00CF37E4" w:rsidP="00EF1FFC">
            <w:pPr>
              <w:pStyle w:val="Tables"/>
            </w:pPr>
            <w:r w:rsidRPr="003B4AEE">
              <w:t>Construction stormwater</w:t>
            </w:r>
            <w:r w:rsidR="002030E4" w:rsidRPr="003B4AEE">
              <w:t xml:space="preserve"> dischargers</w:t>
            </w:r>
          </w:p>
        </w:tc>
      </w:tr>
      <w:tr w:rsidR="00CF37E4" w:rsidRPr="003B4AEE" w14:paraId="79149778" w14:textId="77777777" w:rsidTr="00871F94">
        <w:trPr>
          <w:cantSplit/>
          <w:trHeight w:val="20"/>
        </w:trPr>
        <w:tc>
          <w:tcPr>
            <w:tcW w:w="3232" w:type="dxa"/>
            <w:shd w:val="clear" w:color="auto" w:fill="auto"/>
          </w:tcPr>
          <w:p w14:paraId="658623BE" w14:textId="38EC5680" w:rsidR="00CF37E4" w:rsidRPr="003B4AEE" w:rsidRDefault="00CF37E4" w:rsidP="00EF1FFC">
            <w:pPr>
              <w:pStyle w:val="Tables"/>
            </w:pPr>
            <w:r w:rsidRPr="003B4AEE">
              <w:t>Annual Report</w:t>
            </w:r>
          </w:p>
        </w:tc>
        <w:tc>
          <w:tcPr>
            <w:tcW w:w="6120" w:type="dxa"/>
            <w:shd w:val="clear" w:color="auto" w:fill="auto"/>
          </w:tcPr>
          <w:p w14:paraId="66161AF2" w14:textId="50391520" w:rsidR="00CF37E4" w:rsidRPr="003B4AEE" w:rsidRDefault="00CF37E4" w:rsidP="00EF1FFC">
            <w:pPr>
              <w:pStyle w:val="Tables"/>
            </w:pPr>
            <w:r w:rsidRPr="003B4AEE">
              <w:t>Vessels under the VGP; and certain pesticide applicators applying under the PGP</w:t>
            </w:r>
          </w:p>
        </w:tc>
      </w:tr>
      <w:tr w:rsidR="00CF37E4" w:rsidRPr="003B4AEE" w14:paraId="6996023F" w14:textId="77777777" w:rsidTr="00871F94">
        <w:trPr>
          <w:cantSplit/>
          <w:trHeight w:val="20"/>
        </w:trPr>
        <w:tc>
          <w:tcPr>
            <w:tcW w:w="3232" w:type="dxa"/>
            <w:shd w:val="clear" w:color="auto" w:fill="auto"/>
          </w:tcPr>
          <w:p w14:paraId="1FACF721" w14:textId="73B79F50" w:rsidR="00CF37E4" w:rsidRPr="003B4AEE" w:rsidRDefault="00CF37E4" w:rsidP="00EF1FFC">
            <w:pPr>
              <w:pStyle w:val="Tables"/>
            </w:pPr>
            <w:r w:rsidRPr="003B4AEE">
              <w:t>Permit Authorization and Record of Inspection (PARI)</w:t>
            </w:r>
            <w:r w:rsidR="005F44FC" w:rsidRPr="003B4AEE">
              <w:rPr>
                <w:vertAlign w:val="superscript"/>
              </w:rPr>
              <w:t>a</w:t>
            </w:r>
          </w:p>
        </w:tc>
        <w:tc>
          <w:tcPr>
            <w:tcW w:w="6120" w:type="dxa"/>
            <w:shd w:val="clear" w:color="auto" w:fill="auto"/>
          </w:tcPr>
          <w:p w14:paraId="49916329" w14:textId="3409F36D" w:rsidR="00CF37E4" w:rsidRPr="003B4AEE" w:rsidRDefault="00CF37E4" w:rsidP="00EF1FFC">
            <w:pPr>
              <w:pStyle w:val="Tables"/>
            </w:pPr>
            <w:r w:rsidRPr="003B4AEE">
              <w:t xml:space="preserve">Vessels under the VGP </w:t>
            </w:r>
          </w:p>
        </w:tc>
      </w:tr>
      <w:tr w:rsidR="00CF37E4" w:rsidRPr="003B4AEE" w14:paraId="71CA0891" w14:textId="77777777" w:rsidTr="00871F94">
        <w:trPr>
          <w:cantSplit/>
          <w:trHeight w:val="20"/>
        </w:trPr>
        <w:tc>
          <w:tcPr>
            <w:tcW w:w="3232" w:type="dxa"/>
            <w:shd w:val="clear" w:color="auto" w:fill="auto"/>
          </w:tcPr>
          <w:p w14:paraId="16F92B2F" w14:textId="17C57013" w:rsidR="00CF37E4" w:rsidRPr="003B4AEE" w:rsidRDefault="00CF37E4" w:rsidP="00EF1FFC">
            <w:pPr>
              <w:pStyle w:val="Tables"/>
            </w:pPr>
            <w:r w:rsidRPr="003B4AEE">
              <w:t>Adverse Incident Report</w:t>
            </w:r>
          </w:p>
        </w:tc>
        <w:tc>
          <w:tcPr>
            <w:tcW w:w="6120" w:type="dxa"/>
            <w:shd w:val="clear" w:color="auto" w:fill="auto"/>
          </w:tcPr>
          <w:p w14:paraId="6FFA5634" w14:textId="0C6934E4" w:rsidR="00CF37E4" w:rsidRPr="003B4AEE" w:rsidRDefault="00CF37E4" w:rsidP="00EF1FFC">
            <w:pPr>
              <w:pStyle w:val="Tables"/>
            </w:pPr>
            <w:r w:rsidRPr="003B4AEE">
              <w:t>Pesticide applicators applying under the PGP</w:t>
            </w:r>
          </w:p>
        </w:tc>
      </w:tr>
      <w:tr w:rsidR="00CF37E4" w:rsidRPr="003B4AEE" w14:paraId="6DDB19D1" w14:textId="77777777" w:rsidTr="00871F94">
        <w:trPr>
          <w:cantSplit/>
          <w:trHeight w:val="20"/>
        </w:trPr>
        <w:tc>
          <w:tcPr>
            <w:tcW w:w="3232" w:type="dxa"/>
            <w:shd w:val="clear" w:color="auto" w:fill="auto"/>
          </w:tcPr>
          <w:p w14:paraId="47414FB4" w14:textId="097A60FD" w:rsidR="00CF37E4" w:rsidRPr="003B4AEE" w:rsidRDefault="00CF37E4" w:rsidP="00EF1FFC">
            <w:pPr>
              <w:pStyle w:val="Tables"/>
            </w:pPr>
            <w:r w:rsidRPr="003B4AEE">
              <w:t>Nutrient Management Plan</w:t>
            </w:r>
          </w:p>
        </w:tc>
        <w:tc>
          <w:tcPr>
            <w:tcW w:w="6120" w:type="dxa"/>
            <w:shd w:val="clear" w:color="auto" w:fill="auto"/>
          </w:tcPr>
          <w:p w14:paraId="7B7C627C" w14:textId="228BC618" w:rsidR="00CF37E4" w:rsidRPr="003B4AEE" w:rsidRDefault="00CF37E4" w:rsidP="00EF1FFC">
            <w:pPr>
              <w:pStyle w:val="Tables"/>
            </w:pPr>
            <w:r w:rsidRPr="003B4AEE">
              <w:t xml:space="preserve">CAFOs </w:t>
            </w:r>
            <w:r w:rsidR="00114E70" w:rsidRPr="003B4AEE">
              <w:t>covered by</w:t>
            </w:r>
            <w:r w:rsidRPr="003B4AEE">
              <w:t xml:space="preserve"> an individual permit </w:t>
            </w:r>
            <w:r w:rsidR="00114E70" w:rsidRPr="003B4AEE">
              <w:t>or</w:t>
            </w:r>
            <w:r w:rsidRPr="003B4AEE">
              <w:t xml:space="preserve"> general permit</w:t>
            </w:r>
          </w:p>
        </w:tc>
      </w:tr>
      <w:tr w:rsidR="00CF37E4" w:rsidRPr="003B4AEE" w14:paraId="061BF42A" w14:textId="77777777" w:rsidTr="00871F94">
        <w:trPr>
          <w:cantSplit/>
          <w:trHeight w:val="20"/>
        </w:trPr>
        <w:tc>
          <w:tcPr>
            <w:tcW w:w="3232" w:type="dxa"/>
            <w:shd w:val="clear" w:color="auto" w:fill="auto"/>
          </w:tcPr>
          <w:p w14:paraId="518ADD38" w14:textId="722E81BE" w:rsidR="00CF37E4" w:rsidRPr="003B4AEE" w:rsidRDefault="00CF37E4" w:rsidP="00EF1FFC">
            <w:pPr>
              <w:pStyle w:val="Tables"/>
            </w:pPr>
            <w:r w:rsidRPr="003B4AEE">
              <w:t>Pesticide Discharge Management Plan</w:t>
            </w:r>
          </w:p>
        </w:tc>
        <w:tc>
          <w:tcPr>
            <w:tcW w:w="6120" w:type="dxa"/>
            <w:shd w:val="clear" w:color="auto" w:fill="auto"/>
          </w:tcPr>
          <w:p w14:paraId="57557FFD" w14:textId="7D344789" w:rsidR="00CF37E4" w:rsidRPr="003B4AEE" w:rsidRDefault="00CF37E4" w:rsidP="00EF1FFC">
            <w:pPr>
              <w:pStyle w:val="Tables"/>
            </w:pPr>
            <w:r w:rsidRPr="003B4AEE">
              <w:t>Certain pesticide applicators applying under the PGP</w:t>
            </w:r>
          </w:p>
        </w:tc>
      </w:tr>
      <w:tr w:rsidR="00CF37E4" w:rsidRPr="003B4AEE" w14:paraId="4B438042" w14:textId="77777777" w:rsidTr="00871F94">
        <w:trPr>
          <w:cantSplit/>
          <w:trHeight w:val="20"/>
        </w:trPr>
        <w:tc>
          <w:tcPr>
            <w:tcW w:w="3232" w:type="dxa"/>
            <w:shd w:val="clear" w:color="auto" w:fill="auto"/>
          </w:tcPr>
          <w:p w14:paraId="69A6BE4D" w14:textId="4EE28F51" w:rsidR="00CF37E4" w:rsidRPr="003B4AEE" w:rsidRDefault="00F60B46" w:rsidP="00EF1FFC">
            <w:pPr>
              <w:pStyle w:val="Tables"/>
            </w:pPr>
            <w:r w:rsidRPr="003B4AEE">
              <w:t xml:space="preserve">Cooling Water Intake Structures </w:t>
            </w:r>
            <w:r w:rsidR="00CF37E4" w:rsidRPr="003B4AEE">
              <w:t>122.21(r)(2)</w:t>
            </w:r>
            <w:r w:rsidRPr="003B4AEE">
              <w:t>–4</w:t>
            </w:r>
            <w:r w:rsidR="00CF37E4" w:rsidRPr="003B4AEE">
              <w:t xml:space="preserve"> </w:t>
            </w:r>
          </w:p>
        </w:tc>
        <w:tc>
          <w:tcPr>
            <w:tcW w:w="6120" w:type="dxa"/>
            <w:shd w:val="clear" w:color="auto" w:fill="auto"/>
          </w:tcPr>
          <w:p w14:paraId="647A84BF" w14:textId="06FCC805" w:rsidR="00CF37E4" w:rsidRPr="003B4AEE" w:rsidRDefault="00CF37E4" w:rsidP="00EF1FFC">
            <w:pPr>
              <w:pStyle w:val="Tables"/>
            </w:pPr>
            <w:r w:rsidRPr="003B4AEE">
              <w:t>Facilities with CWIS</w:t>
            </w:r>
            <w:r w:rsidR="006E7278" w:rsidRPr="003B4AEE">
              <w:t>s</w:t>
            </w:r>
            <w:r w:rsidRPr="003B4AEE">
              <w:t xml:space="preserve"> (Phase I, Phase III</w:t>
            </w:r>
            <w:r w:rsidR="006E7278" w:rsidRPr="003B4AEE">
              <w:t>,</w:t>
            </w:r>
            <w:r w:rsidRPr="003B4AEE">
              <w:t xml:space="preserve"> and Existing)</w:t>
            </w:r>
          </w:p>
        </w:tc>
      </w:tr>
      <w:tr w:rsidR="00CF37E4" w:rsidRPr="003B4AEE" w14:paraId="1079E210" w14:textId="77777777" w:rsidTr="00871F94">
        <w:trPr>
          <w:cantSplit/>
          <w:trHeight w:val="20"/>
        </w:trPr>
        <w:tc>
          <w:tcPr>
            <w:tcW w:w="3232" w:type="dxa"/>
            <w:shd w:val="clear" w:color="auto" w:fill="auto"/>
          </w:tcPr>
          <w:p w14:paraId="59571AC8" w14:textId="4C459EEE" w:rsidR="00CF37E4" w:rsidRPr="003B4AEE" w:rsidRDefault="00F60B46" w:rsidP="00EF1FFC">
            <w:pPr>
              <w:pStyle w:val="Tables"/>
            </w:pPr>
            <w:r w:rsidRPr="003B4AEE">
              <w:t xml:space="preserve">Cooling Water Intake Structures </w:t>
            </w:r>
            <w:r w:rsidR="00CF37E4" w:rsidRPr="003B4AEE">
              <w:t>122.21(r)(</w:t>
            </w:r>
            <w:r w:rsidRPr="003B4AEE">
              <w:t>5</w:t>
            </w:r>
            <w:r w:rsidR="00CF37E4" w:rsidRPr="003B4AEE">
              <w:t>)</w:t>
            </w:r>
            <w:r w:rsidRPr="003B4AEE">
              <w:t>–(8)</w:t>
            </w:r>
          </w:p>
        </w:tc>
        <w:tc>
          <w:tcPr>
            <w:tcW w:w="6120" w:type="dxa"/>
            <w:shd w:val="clear" w:color="auto" w:fill="auto"/>
          </w:tcPr>
          <w:p w14:paraId="2E97CC00" w14:textId="2F595FCF" w:rsidR="00CF37E4" w:rsidRPr="003B4AEE" w:rsidRDefault="00F60B46" w:rsidP="00EF1FFC">
            <w:pPr>
              <w:pStyle w:val="Tables"/>
            </w:pPr>
            <w:r w:rsidRPr="003B4AEE">
              <w:t>Existing f</w:t>
            </w:r>
            <w:r w:rsidR="00CF37E4" w:rsidRPr="003B4AEE">
              <w:t>acilities CWIS</w:t>
            </w:r>
            <w:r w:rsidR="006E7278" w:rsidRPr="003B4AEE">
              <w:t>s</w:t>
            </w:r>
          </w:p>
        </w:tc>
      </w:tr>
      <w:tr w:rsidR="00CF37E4" w:rsidRPr="003B4AEE" w14:paraId="4CF12BAB" w14:textId="77777777" w:rsidTr="00871F94">
        <w:trPr>
          <w:cantSplit/>
          <w:trHeight w:val="20"/>
        </w:trPr>
        <w:tc>
          <w:tcPr>
            <w:tcW w:w="3232" w:type="dxa"/>
            <w:shd w:val="clear" w:color="auto" w:fill="auto"/>
          </w:tcPr>
          <w:p w14:paraId="5090E4BC" w14:textId="7AB41372" w:rsidR="00CF37E4" w:rsidRPr="003B4AEE" w:rsidRDefault="00F60B46" w:rsidP="00EF1FFC">
            <w:pPr>
              <w:pStyle w:val="Tables"/>
            </w:pPr>
            <w:r w:rsidRPr="003B4AEE">
              <w:t xml:space="preserve">Cooling Water Intake Structures </w:t>
            </w:r>
            <w:r w:rsidR="00CF37E4" w:rsidRPr="003B4AEE">
              <w:t>122.21(r)(9)</w:t>
            </w:r>
            <w:r w:rsidRPr="003B4AEE">
              <w:t>–(13)</w:t>
            </w:r>
          </w:p>
        </w:tc>
        <w:tc>
          <w:tcPr>
            <w:tcW w:w="6120" w:type="dxa"/>
            <w:shd w:val="clear" w:color="auto" w:fill="auto"/>
          </w:tcPr>
          <w:p w14:paraId="6689BBA9" w14:textId="5ABBB93A" w:rsidR="00CF37E4" w:rsidRPr="003B4AEE" w:rsidRDefault="00CF37E4" w:rsidP="00EF1FFC">
            <w:pPr>
              <w:pStyle w:val="Tables"/>
            </w:pPr>
            <w:r w:rsidRPr="003B4AEE">
              <w:t>Existing facilities with CWIS</w:t>
            </w:r>
            <w:r w:rsidR="006E7278" w:rsidRPr="003B4AEE">
              <w:t>s</w:t>
            </w:r>
            <w:r w:rsidRPr="003B4AEE">
              <w:t xml:space="preserve"> with average intake flow greater than 125 </w:t>
            </w:r>
            <w:r w:rsidR="006E7278" w:rsidRPr="003B4AEE">
              <w:t>million gallons per day</w:t>
            </w:r>
          </w:p>
        </w:tc>
      </w:tr>
      <w:tr w:rsidR="00CF37E4" w:rsidRPr="003B4AEE" w14:paraId="43B7EFCB" w14:textId="77777777" w:rsidTr="00871F94">
        <w:trPr>
          <w:cantSplit/>
          <w:trHeight w:val="20"/>
        </w:trPr>
        <w:tc>
          <w:tcPr>
            <w:tcW w:w="3232" w:type="dxa"/>
            <w:shd w:val="clear" w:color="auto" w:fill="auto"/>
          </w:tcPr>
          <w:p w14:paraId="4F2DFCF9" w14:textId="60E68A8E" w:rsidR="00CF37E4" w:rsidRPr="003B4AEE" w:rsidRDefault="00F60B46" w:rsidP="00EF1FFC">
            <w:pPr>
              <w:pStyle w:val="Tables"/>
            </w:pPr>
            <w:r w:rsidRPr="003B4AEE">
              <w:t xml:space="preserve">Cooling Water Intake Structures </w:t>
            </w:r>
            <w:r w:rsidR="00CF37E4" w:rsidRPr="003B4AEE">
              <w:t>122.21(r)(14)</w:t>
            </w:r>
          </w:p>
        </w:tc>
        <w:tc>
          <w:tcPr>
            <w:tcW w:w="6120" w:type="dxa"/>
            <w:shd w:val="clear" w:color="auto" w:fill="auto"/>
          </w:tcPr>
          <w:p w14:paraId="102A597E" w14:textId="5AEB0B16" w:rsidR="00CF37E4" w:rsidRPr="003B4AEE" w:rsidRDefault="00CF37E4" w:rsidP="00EF1FFC">
            <w:pPr>
              <w:pStyle w:val="Tables"/>
            </w:pPr>
            <w:r w:rsidRPr="003B4AEE">
              <w:t>New units at existing facilities with CWIS</w:t>
            </w:r>
            <w:r w:rsidR="006E7278" w:rsidRPr="003B4AEE">
              <w:t>s</w:t>
            </w:r>
          </w:p>
        </w:tc>
      </w:tr>
      <w:tr w:rsidR="00760266" w:rsidRPr="003B4AEE" w14:paraId="2E76E1D9" w14:textId="77777777" w:rsidTr="00871F94">
        <w:trPr>
          <w:cantSplit/>
          <w:trHeight w:val="20"/>
        </w:trPr>
        <w:tc>
          <w:tcPr>
            <w:tcW w:w="3232" w:type="dxa"/>
            <w:shd w:val="clear" w:color="auto" w:fill="auto"/>
          </w:tcPr>
          <w:p w14:paraId="29843505" w14:textId="15DE5969" w:rsidR="00760266" w:rsidRPr="003B4AEE" w:rsidRDefault="00760266" w:rsidP="00EF1FFC">
            <w:pPr>
              <w:pStyle w:val="Tables"/>
            </w:pPr>
            <w:r w:rsidRPr="003B4AEE">
              <w:t>One-Time Compliance Report f</w:t>
            </w:r>
            <w:r w:rsidR="00D25760" w:rsidRPr="003B4AEE">
              <w:t>or</w:t>
            </w:r>
            <w:r w:rsidRPr="003B4AEE">
              <w:t xml:space="preserve"> Dental Dischargers</w:t>
            </w:r>
            <w:r w:rsidR="003F286A" w:rsidRPr="003B4AEE">
              <w:rPr>
                <w:vertAlign w:val="superscript"/>
              </w:rPr>
              <w:t xml:space="preserve"> a</w:t>
            </w:r>
          </w:p>
        </w:tc>
        <w:tc>
          <w:tcPr>
            <w:tcW w:w="6120" w:type="dxa"/>
            <w:shd w:val="clear" w:color="auto" w:fill="auto"/>
          </w:tcPr>
          <w:p w14:paraId="4FF2BE2F" w14:textId="6BA411C5" w:rsidR="00760266" w:rsidRPr="003B4AEE" w:rsidRDefault="00760266" w:rsidP="00EF1FFC">
            <w:pPr>
              <w:pStyle w:val="Tables"/>
            </w:pPr>
            <w:r w:rsidRPr="003B4AEE">
              <w:t xml:space="preserve">Dental offices that </w:t>
            </w:r>
            <w:r w:rsidR="008428AE" w:rsidRPr="003B4AEE">
              <w:t>place or remove amalgam</w:t>
            </w:r>
            <w:r w:rsidRPr="003B4AEE">
              <w:t xml:space="preserve"> </w:t>
            </w:r>
          </w:p>
        </w:tc>
      </w:tr>
      <w:tr w:rsidR="003778E0" w:rsidRPr="003B4AEE" w14:paraId="020D23AD" w14:textId="77777777" w:rsidTr="00871F94">
        <w:trPr>
          <w:cantSplit/>
          <w:trHeight w:val="20"/>
        </w:trPr>
        <w:tc>
          <w:tcPr>
            <w:tcW w:w="3232" w:type="dxa"/>
            <w:shd w:val="clear" w:color="auto" w:fill="auto"/>
          </w:tcPr>
          <w:p w14:paraId="2C7BA88B" w14:textId="56294079" w:rsidR="003778E0" w:rsidRPr="003B4AEE" w:rsidRDefault="003778E0" w:rsidP="00EF1FFC">
            <w:pPr>
              <w:pStyle w:val="Tables"/>
            </w:pPr>
            <w:r>
              <w:t xml:space="preserve">Alternative Phase 2 Compliance Deadline </w:t>
            </w:r>
            <w:proofErr w:type="spellStart"/>
            <w:r>
              <w:t>Request</w:t>
            </w:r>
            <w:r w:rsidRPr="003B4AEE">
              <w:rPr>
                <w:vertAlign w:val="superscript"/>
              </w:rPr>
              <w:t>a</w:t>
            </w:r>
            <w:proofErr w:type="spellEnd"/>
          </w:p>
        </w:tc>
        <w:tc>
          <w:tcPr>
            <w:tcW w:w="6120" w:type="dxa"/>
            <w:shd w:val="clear" w:color="auto" w:fill="auto"/>
          </w:tcPr>
          <w:p w14:paraId="1EFD9A17" w14:textId="053F704D" w:rsidR="003778E0" w:rsidRPr="003B4AEE" w:rsidRDefault="003778E0" w:rsidP="00EF1FFC">
            <w:pPr>
              <w:pStyle w:val="Tables"/>
            </w:pPr>
            <w:r>
              <w:t xml:space="preserve">States - </w:t>
            </w:r>
            <w:r w:rsidRPr="003778E0">
              <w:t>48 authorized NPDES programs</w:t>
            </w:r>
          </w:p>
        </w:tc>
      </w:tr>
      <w:tr w:rsidR="003778E0" w:rsidRPr="003B4AEE" w14:paraId="164FB8DA" w14:textId="77777777" w:rsidTr="00871F94">
        <w:trPr>
          <w:cantSplit/>
          <w:trHeight w:val="20"/>
        </w:trPr>
        <w:tc>
          <w:tcPr>
            <w:tcW w:w="3232" w:type="dxa"/>
            <w:shd w:val="clear" w:color="auto" w:fill="auto"/>
          </w:tcPr>
          <w:p w14:paraId="44B5B1CD" w14:textId="1B48E295" w:rsidR="003778E0" w:rsidRPr="003B4AEE" w:rsidRDefault="003778E0" w:rsidP="00EF1FFC">
            <w:pPr>
              <w:pStyle w:val="Tables"/>
            </w:pPr>
            <w:r>
              <w:t xml:space="preserve">General Permit and Program Report Inventory </w:t>
            </w:r>
            <w:proofErr w:type="spellStart"/>
            <w:r>
              <w:t>Update</w:t>
            </w:r>
            <w:r w:rsidRPr="003B4AEE">
              <w:rPr>
                <w:vertAlign w:val="superscript"/>
              </w:rPr>
              <w:t>a</w:t>
            </w:r>
            <w:proofErr w:type="spellEnd"/>
          </w:p>
        </w:tc>
        <w:tc>
          <w:tcPr>
            <w:tcW w:w="6120" w:type="dxa"/>
            <w:shd w:val="clear" w:color="auto" w:fill="auto"/>
          </w:tcPr>
          <w:p w14:paraId="0972DB32" w14:textId="136DD237" w:rsidR="003778E0" w:rsidRPr="003B4AEE" w:rsidRDefault="003778E0" w:rsidP="00EF1FFC">
            <w:pPr>
              <w:pStyle w:val="Tables"/>
            </w:pPr>
            <w:r>
              <w:t xml:space="preserve">States - </w:t>
            </w:r>
            <w:r w:rsidRPr="003778E0">
              <w:t>48 authorized NPDES programs</w:t>
            </w:r>
          </w:p>
        </w:tc>
      </w:tr>
    </w:tbl>
    <w:p w14:paraId="51214A34" w14:textId="3E4E1D28" w:rsidR="00990328" w:rsidRPr="003B4AEE" w:rsidRDefault="005F44FC" w:rsidP="005F44FC">
      <w:pPr>
        <w:pStyle w:val="Tablenote"/>
        <w:ind w:left="180" w:hanging="180"/>
      </w:pPr>
      <w:proofErr w:type="spellStart"/>
      <w:r w:rsidRPr="003B4AEE">
        <w:rPr>
          <w:vertAlign w:val="superscript"/>
        </w:rPr>
        <w:t>a</w:t>
      </w:r>
      <w:proofErr w:type="spellEnd"/>
      <w:r w:rsidRPr="003B4AEE">
        <w:rPr>
          <w:vertAlign w:val="superscript"/>
        </w:rPr>
        <w:tab/>
      </w:r>
      <w:r w:rsidR="003A7401" w:rsidRPr="003B4AEE">
        <w:t>These forms are included in Attachment G</w:t>
      </w:r>
      <w:r w:rsidR="008443EA" w:rsidRPr="003B4AEE">
        <w:t>.</w:t>
      </w:r>
    </w:p>
    <w:p w14:paraId="6572D49F" w14:textId="391A8EAF" w:rsidR="009974BC" w:rsidRPr="003B4AEE" w:rsidRDefault="009974BC" w:rsidP="009730AE">
      <w:pPr>
        <w:pStyle w:val="BodyText"/>
      </w:pPr>
      <w:r w:rsidRPr="003B4AEE">
        <w:t xml:space="preserve">From the applications and requests for supplemental information, permitting authorities gather information about industrial processes, treatment systems, pollutant characteristics, discharge rates and volumes, sewage sludge use and disposal practices, sewage sludge quality, and other data such as pollution prevention practices. </w:t>
      </w:r>
      <w:r w:rsidR="005E09B2" w:rsidRPr="003B4AEE">
        <w:t xml:space="preserve">At times, permitting authorities require additional information, such as more detailed production information or maintenance and operating data for a treatment system, or additional monitoring data to characterize a discharge or receiving water quality, to inform the permitting process. </w:t>
      </w:r>
      <w:r w:rsidRPr="003B4AEE">
        <w:t>Additional information collection requirements that might be necessary to implement state-, tribal-, or EPA-promulgated provisions consistent with the CWA, the Great Lakes Guidance, and other EPA regulatory requirements include monitoring (</w:t>
      </w:r>
      <w:r w:rsidR="00F077FF" w:rsidRPr="003B4AEE">
        <w:t xml:space="preserve">e.g., </w:t>
      </w:r>
      <w:r w:rsidRPr="003B4AEE">
        <w:t>pollutant-specific and whole effluent toxicity), pollutant minimization programs, bioassays to support the development of water quality criteria, antidegradation policy/demonstrations, and regulatory relief options (e.g., variances from water quality criteria).</w:t>
      </w:r>
    </w:p>
    <w:p w14:paraId="087151D4" w14:textId="624A91C1" w:rsidR="009974BC" w:rsidRPr="003B4AEE" w:rsidRDefault="009974BC" w:rsidP="009730AE">
      <w:pPr>
        <w:pStyle w:val="BodyText"/>
      </w:pPr>
      <w:r w:rsidRPr="003B4AEE">
        <w:t>The information</w:t>
      </w:r>
      <w:r w:rsidR="00CB5FB9" w:rsidRPr="003B4AEE">
        <w:t xml:space="preserve"> in applications</w:t>
      </w:r>
      <w:r w:rsidRPr="003B4AEE">
        <w:t xml:space="preserve"> is used to develop effluent limitations, compliance schedules, and other routine and special conditions in permits. EPA may </w:t>
      </w:r>
      <w:r w:rsidR="00A81AB0" w:rsidRPr="003B4AEE">
        <w:t xml:space="preserve">also </w:t>
      </w:r>
      <w:r w:rsidRPr="003B4AEE">
        <w:t>use these data to reevaluate testing requirements or to develop or revise effluent standards on a national basis. Permitting authorities may also use</w:t>
      </w:r>
      <w:r w:rsidR="00477EEC" w:rsidRPr="003B4AEE">
        <w:t xml:space="preserve"> data from</w:t>
      </w:r>
      <w:r w:rsidRPr="003B4AEE">
        <w:t xml:space="preserve"> NOI</w:t>
      </w:r>
      <w:r w:rsidR="00477EEC" w:rsidRPr="003B4AEE">
        <w:t>s</w:t>
      </w:r>
      <w:r w:rsidRPr="003B4AEE">
        <w:t xml:space="preserve">, </w:t>
      </w:r>
      <w:r w:rsidR="00CE2ED9" w:rsidRPr="003B4AEE">
        <w:t xml:space="preserve">Nutrient Management Plans (NMPs), </w:t>
      </w:r>
      <w:r w:rsidRPr="003B4AEE">
        <w:t>Pesticide Discharge Management Plan</w:t>
      </w:r>
      <w:r w:rsidR="00477EEC" w:rsidRPr="003B4AEE">
        <w:t>s</w:t>
      </w:r>
      <w:r w:rsidRPr="003B4AEE">
        <w:t xml:space="preserve"> (PDMP</w:t>
      </w:r>
      <w:r w:rsidR="00782980" w:rsidRPr="003B4AEE">
        <w:t>s</w:t>
      </w:r>
      <w:r w:rsidRPr="003B4AEE">
        <w:t>)</w:t>
      </w:r>
      <w:r w:rsidR="00A81AB0" w:rsidRPr="003B4AEE">
        <w:t>,</w:t>
      </w:r>
      <w:r w:rsidRPr="003B4AEE">
        <w:t xml:space="preserve"> stormwater pollution prevention </w:t>
      </w:r>
      <w:r w:rsidRPr="003B4AEE">
        <w:lastRenderedPageBreak/>
        <w:t>plan</w:t>
      </w:r>
      <w:r w:rsidR="00477EEC" w:rsidRPr="003B4AEE">
        <w:t>s</w:t>
      </w:r>
      <w:r w:rsidRPr="003B4AEE">
        <w:t xml:space="preserve"> (SWPPP</w:t>
      </w:r>
      <w:r w:rsidR="00782980" w:rsidRPr="003B4AEE">
        <w:t>s</w:t>
      </w:r>
      <w:r w:rsidRPr="003B4AEE">
        <w:t>)</w:t>
      </w:r>
      <w:r w:rsidR="00477EEC" w:rsidRPr="003B4AEE">
        <w:t>, etc.</w:t>
      </w:r>
      <w:r w:rsidR="00782980" w:rsidRPr="003B4AEE">
        <w:t>,</w:t>
      </w:r>
      <w:r w:rsidRPr="003B4AEE">
        <w:t xml:space="preserve"> as part of an evaluation to determine whether the permittee adheres to procedures laid out in the documents.</w:t>
      </w:r>
    </w:p>
    <w:p w14:paraId="4DD704B2" w14:textId="3195CFC9" w:rsidR="009974BC" w:rsidRPr="003B4AEE" w:rsidRDefault="009974BC" w:rsidP="009730AE">
      <w:pPr>
        <w:pStyle w:val="BodyText"/>
      </w:pPr>
      <w:r w:rsidRPr="003B4AEE">
        <w:t xml:space="preserve">NPDES permits may not be issued for a period more than five years. The reapplication process is the primary mechanism for obtaining up-to-date information on discharges and sewage sludge quality, particularly for new pollutants. Although existing permittees provide pollutant data from self-monitoring activities in routine reports, these reports are usually limited to pollutants listed in existing permits. Permitting authorities use reapplication data to identify new pollutants or other information that could lead them to specify additional permit limitations, assess compliance with applicable effluent and sewage sludge limits, and </w:t>
      </w:r>
      <w:r w:rsidR="00A81AB0" w:rsidRPr="003B4AEE">
        <w:t xml:space="preserve">develop </w:t>
      </w:r>
      <w:r w:rsidRPr="003B4AEE">
        <w:t>appropriate special conditions in permits.</w:t>
      </w:r>
    </w:p>
    <w:p w14:paraId="0FEB4240" w14:textId="5CE3E048" w:rsidR="00F253DA" w:rsidRPr="003B4AEE" w:rsidRDefault="00F253DA" w:rsidP="009730AE">
      <w:pPr>
        <w:pStyle w:val="BodyText"/>
      </w:pPr>
      <w:r w:rsidRPr="003B4AEE">
        <w:rPr>
          <w:i/>
        </w:rPr>
        <w:t>Routine data collection</w:t>
      </w:r>
      <w:r w:rsidRPr="003B4AEE">
        <w:t xml:space="preserve">. Permittees use discharge monitoring data or sewage sludge quality data to </w:t>
      </w:r>
      <w:r w:rsidR="58EEAC92">
        <w:t>support</w:t>
      </w:r>
      <w:r w:rsidRPr="003B4AEE">
        <w:t xml:space="preserve"> routine operations at their facilities and evaluate facility performance. In addition, they might need to collect this information to comply with state-specific program requirements or, in the case of POTWs, to administer pretreatment programs. </w:t>
      </w:r>
    </w:p>
    <w:p w14:paraId="31E76020" w14:textId="4518815E" w:rsidR="00F253DA" w:rsidRPr="003B4AEE" w:rsidRDefault="005E65DC" w:rsidP="009730AE">
      <w:pPr>
        <w:pStyle w:val="BodyText"/>
      </w:pPr>
      <w:r>
        <w:t>D</w:t>
      </w:r>
      <w:r w:rsidR="00F253DA" w:rsidRPr="003B4AEE">
        <w:t xml:space="preserve">ischarge monitoring data </w:t>
      </w:r>
      <w:r w:rsidR="00FE7026" w:rsidRPr="003B4AEE">
        <w:t xml:space="preserve">give </w:t>
      </w:r>
      <w:r w:rsidR="00F253DA" w:rsidRPr="003B4AEE">
        <w:t>permitting authorities the information necessary to assess permittee compliance. Self-monitoring data also help the permitting authority modify or develop permit limits. Permitting authorities may also require other types of monitoring data, such as influent monitoring data to evaluate a plant’s operational aspects</w:t>
      </w:r>
      <w:r w:rsidR="00A629C8" w:rsidRPr="003B4AEE">
        <w:t>,</w:t>
      </w:r>
      <w:r w:rsidR="00F253DA" w:rsidRPr="003B4AEE">
        <w:t xml:space="preserve"> ambient stream monitoring data to measure a permit’s effectiveness in protecting water quality</w:t>
      </w:r>
      <w:r w:rsidR="00A629C8" w:rsidRPr="003B4AEE">
        <w:t xml:space="preserve">, </w:t>
      </w:r>
      <w:r w:rsidR="00F253DA" w:rsidRPr="003B4AEE">
        <w:t>internal waste stream data when monitoring at the point of discharge is impractical or infeasible</w:t>
      </w:r>
      <w:r w:rsidR="00A629C8" w:rsidRPr="003B4AEE">
        <w:t xml:space="preserve">, </w:t>
      </w:r>
      <w:r w:rsidR="00F253DA" w:rsidRPr="003B4AEE">
        <w:t>or visual monitoring (including underwater surveys) that might be necessary to determine compliance with permit limits.</w:t>
      </w:r>
    </w:p>
    <w:p w14:paraId="3078CD6E" w14:textId="2D201D9F" w:rsidR="00F253DA" w:rsidRPr="003B4AEE" w:rsidRDefault="00F253DA" w:rsidP="009730AE">
      <w:pPr>
        <w:pStyle w:val="BodyText"/>
      </w:pPr>
      <w:r w:rsidRPr="003B4AEE">
        <w:t xml:space="preserve">A permittee generally informs the permitting authority about its discharge through a </w:t>
      </w:r>
      <w:r w:rsidR="00FE7026" w:rsidRPr="003B4AEE">
        <w:t xml:space="preserve">discharge monitoring report </w:t>
      </w:r>
      <w:r w:rsidRPr="003B4AEE">
        <w:t xml:space="preserve">(DMR). The DMR lists the results from the permittee’s required self-monitoring of pollutants. The permitting authority reviews this information and compares it with permit limits to determine compliance and if there is a need to develop additional limits. In addition to DMRs, permittees may be required to submit reports on violations of certain discharge limitations (e.g., maximum daily), as specifically required in their permits. This latter reporting requirement is intended to alert the permitting authority </w:t>
      </w:r>
      <w:r w:rsidR="00A629C8" w:rsidRPr="003B4AEE">
        <w:t xml:space="preserve">to </w:t>
      </w:r>
      <w:r w:rsidRPr="003B4AEE">
        <w:t>potential health or environmental risks that could require a timely response. The data collected by this requirement are more incident-specific than the summary information provided on the DMR.</w:t>
      </w:r>
    </w:p>
    <w:p w14:paraId="0A5C2236" w14:textId="441D3314" w:rsidR="00D72AF4" w:rsidRPr="003B4AEE" w:rsidRDefault="003F65D6" w:rsidP="009730AE">
      <w:pPr>
        <w:pStyle w:val="BodyText"/>
      </w:pPr>
      <w:r w:rsidRPr="003B4AEE">
        <w:rPr>
          <w:i/>
        </w:rPr>
        <w:t>Data management</w:t>
      </w:r>
      <w:r w:rsidRPr="003B4AEE">
        <w:t xml:space="preserve">. </w:t>
      </w:r>
      <w:r w:rsidR="00F51A99" w:rsidRPr="003B4AEE">
        <w:t xml:space="preserve">EPA uses </w:t>
      </w:r>
      <w:r w:rsidR="00CC21CC" w:rsidRPr="003B4AEE">
        <w:t>the Integrated Compliance Information System (</w:t>
      </w:r>
      <w:r w:rsidR="00525114" w:rsidRPr="003B4AEE">
        <w:t>ICIS-NPDES</w:t>
      </w:r>
      <w:r w:rsidR="00CC21CC" w:rsidRPr="003B4AEE">
        <w:t>)</w:t>
      </w:r>
      <w:r w:rsidR="00F51A99" w:rsidRPr="003B4AEE">
        <w:t xml:space="preserve"> </w:t>
      </w:r>
      <w:r w:rsidR="00CC21CC" w:rsidRPr="003B4AEE">
        <w:t xml:space="preserve">as its national system </w:t>
      </w:r>
      <w:r w:rsidR="00F51A99" w:rsidRPr="003B4AEE">
        <w:t xml:space="preserve">for </w:t>
      </w:r>
      <w:r w:rsidR="00464509" w:rsidRPr="003B4AEE">
        <w:t>managing data</w:t>
      </w:r>
      <w:r w:rsidR="00F51A99" w:rsidRPr="003B4AEE">
        <w:t xml:space="preserve">. </w:t>
      </w:r>
      <w:r w:rsidR="00D72AF4" w:rsidRPr="003B4AEE">
        <w:t xml:space="preserve">ICIS-NPDES </w:t>
      </w:r>
      <w:r w:rsidR="00F51A99" w:rsidRPr="003B4AEE">
        <w:t>is</w:t>
      </w:r>
      <w:r w:rsidR="00D72AF4" w:rsidRPr="003B4AEE">
        <w:t xml:space="preserve"> used to track permit limits, permit expiration dates, monitoring data, enforcement and compliance data, and other data</w:t>
      </w:r>
      <w:r w:rsidR="00464509" w:rsidRPr="003B4AEE">
        <w:t>. It also</w:t>
      </w:r>
      <w:r w:rsidR="00D72AF4" w:rsidRPr="003B4AEE">
        <w:t xml:space="preserve"> provide</w:t>
      </w:r>
      <w:r w:rsidR="00464509" w:rsidRPr="003B4AEE">
        <w:t>s</w:t>
      </w:r>
      <w:r w:rsidR="00D72AF4" w:rsidRPr="003B4AEE">
        <w:t xml:space="preserve"> EPA with a nationwide inventory of permit holders. </w:t>
      </w:r>
      <w:r w:rsidR="00D72AF4" w:rsidRPr="00B964AB">
        <w:t>EPA and most states store basic information for stormwater permittees in databases separate from ICIS-NPDES</w:t>
      </w:r>
      <w:r w:rsidR="00D72AF4" w:rsidRPr="003B4AEE">
        <w:t xml:space="preserve">. EPA uses </w:t>
      </w:r>
      <w:r w:rsidR="003478FE" w:rsidRPr="003B4AEE">
        <w:t>ICIS-NPDES</w:t>
      </w:r>
      <w:r w:rsidR="00D72AF4" w:rsidRPr="003B4AEE">
        <w:t xml:space="preserve"> information to develop reports on permit issuance, backlog, and compliance rates. EPA also uses the information to respond to public and congressional inquiries, develop and guide its policies, support enforcement action, and manage its </w:t>
      </w:r>
      <w:r w:rsidR="00D72AF4" w:rsidRPr="003B4AEE">
        <w:lastRenderedPageBreak/>
        <w:t xml:space="preserve">programs to ensure national consistency in permitting. </w:t>
      </w:r>
      <w:r w:rsidRPr="003B4AEE">
        <w:t>EPA</w:t>
      </w:r>
      <w:r w:rsidR="006D77FF" w:rsidRPr="003B4AEE">
        <w:t>,</w:t>
      </w:r>
      <w:r w:rsidRPr="003B4AEE">
        <w:t xml:space="preserve"> states</w:t>
      </w:r>
      <w:r w:rsidR="006D77FF" w:rsidRPr="003B4AEE">
        <w:t>,</w:t>
      </w:r>
      <w:r w:rsidRPr="003B4AEE">
        <w:t xml:space="preserve"> and territories </w:t>
      </w:r>
      <w:r w:rsidR="00D72AF4" w:rsidRPr="003B4AEE">
        <w:t>incur similar types of burdens</w:t>
      </w:r>
      <w:r w:rsidR="003478FE" w:rsidRPr="003B4AEE">
        <w:t xml:space="preserve"> associated with data collection and management</w:t>
      </w:r>
      <w:r w:rsidR="00D72AF4" w:rsidRPr="003B4AEE">
        <w:t>.</w:t>
      </w:r>
    </w:p>
    <w:p w14:paraId="41F67109" w14:textId="5A21A6DA" w:rsidR="00D72AF4" w:rsidRPr="003B4AEE" w:rsidRDefault="00C72E37" w:rsidP="009730AE">
      <w:pPr>
        <w:pStyle w:val="BodyText"/>
      </w:pPr>
      <w:r w:rsidRPr="003B4AEE">
        <w:rPr>
          <w:i/>
        </w:rPr>
        <w:t>Data use</w:t>
      </w:r>
      <w:r w:rsidRPr="003B4AEE">
        <w:t xml:space="preserve">. </w:t>
      </w:r>
      <w:r w:rsidR="00F63866" w:rsidRPr="003B4AEE">
        <w:t xml:space="preserve">For individual permits, </w:t>
      </w:r>
      <w:r w:rsidR="00D72AF4" w:rsidRPr="003B4AEE">
        <w:t xml:space="preserve">EPA and states analyze monitoring data when establishing permit conditions. NPDES permit writers may revise permit requirements </w:t>
      </w:r>
      <w:r w:rsidR="004E53DA" w:rsidRPr="003B4AEE">
        <w:t>based on</w:t>
      </w:r>
      <w:r w:rsidR="00D72AF4" w:rsidRPr="003B4AEE">
        <w:t xml:space="preserve"> data from monitoring reports. EPA and states have referred to DMR data on pollutants when developing lists of waters impaired by pollutants and point source dischargers that may cause or contribute to degradation of the quality of those waters.</w:t>
      </w:r>
      <w:r w:rsidR="00E62A10" w:rsidRPr="00E62A10">
        <w:t xml:space="preserve"> </w:t>
      </w:r>
      <w:r w:rsidR="00E62A10" w:rsidRPr="003B4AEE">
        <w:t>In addition, environmental groups, academicians, and others use monitoring data to estimate toxic pollutant loading to streams, lakes, oceans, and estuaries.</w:t>
      </w:r>
    </w:p>
    <w:p w14:paraId="13D179B4" w14:textId="7A611634" w:rsidR="00D72AF4" w:rsidRPr="003B4AEE" w:rsidRDefault="00D72AF4" w:rsidP="009730AE">
      <w:pPr>
        <w:pStyle w:val="BodyText"/>
      </w:pPr>
      <w:r w:rsidRPr="003B4AEE">
        <w:t>If noncompliance with permit conditions is detected, the permitting authority will</w:t>
      </w:r>
      <w:r w:rsidR="00C16FBF" w:rsidRPr="003B4AEE">
        <w:t xml:space="preserve"> use the data to help</w:t>
      </w:r>
      <w:r w:rsidRPr="003B4AEE">
        <w:t xml:space="preserve"> determine the appropriate enforcement response based on the nature and severity of the violation, the overall frequency of noncompliance, and the degree of seriousness of the violation.</w:t>
      </w:r>
    </w:p>
    <w:p w14:paraId="4670B3BD" w14:textId="4C6650F9" w:rsidR="00D72AF4" w:rsidRPr="003B4AEE" w:rsidRDefault="00D72AF4" w:rsidP="009730AE">
      <w:pPr>
        <w:pStyle w:val="BodyText"/>
      </w:pPr>
      <w:r w:rsidRPr="003B4AEE">
        <w:t xml:space="preserve">There are </w:t>
      </w:r>
      <w:r w:rsidR="00520899" w:rsidRPr="003B4AEE">
        <w:t>variations</w:t>
      </w:r>
      <w:r w:rsidR="00543B35" w:rsidRPr="003B4AEE">
        <w:t xml:space="preserve"> </w:t>
      </w:r>
      <w:r w:rsidR="007551CA" w:rsidRPr="003B4AEE">
        <w:t>in</w:t>
      </w:r>
      <w:r w:rsidRPr="003B4AEE">
        <w:t xml:space="preserve"> the </w:t>
      </w:r>
      <w:r w:rsidR="003174A3">
        <w:t>conveyance</w:t>
      </w:r>
      <w:r w:rsidRPr="003B4AEE">
        <w:t xml:space="preserve"> of compliance</w:t>
      </w:r>
      <w:r w:rsidR="00E22EAF" w:rsidRPr="003B4AEE">
        <w:t>-</w:t>
      </w:r>
      <w:r w:rsidR="00543B35" w:rsidRPr="003B4AEE">
        <w:t>related</w:t>
      </w:r>
      <w:r w:rsidRPr="003B4AEE">
        <w:t xml:space="preserve"> data </w:t>
      </w:r>
      <w:r w:rsidR="00A001E7" w:rsidRPr="003B4AEE">
        <w:t xml:space="preserve">from </w:t>
      </w:r>
      <w:r w:rsidRPr="003B4AEE">
        <w:t xml:space="preserve">the permittee to the permitting authority. EPA may require </w:t>
      </w:r>
      <w:r w:rsidR="007551CA" w:rsidRPr="003B4AEE">
        <w:t xml:space="preserve">more </w:t>
      </w:r>
      <w:r w:rsidRPr="003B4AEE">
        <w:t>information in the form of a section 308(a) letter</w:t>
      </w:r>
      <w:r w:rsidR="00F11B46" w:rsidRPr="003B4AEE">
        <w:t>.</w:t>
      </w:r>
      <w:r w:rsidR="00B33478" w:rsidRPr="003B4AEE">
        <w:t xml:space="preserve"> </w:t>
      </w:r>
      <w:r w:rsidR="00A001E7" w:rsidRPr="003B4AEE">
        <w:t>I</w:t>
      </w:r>
      <w:r w:rsidRPr="003B4AEE">
        <w:t>n the case of the NPDES stormwater permitting program</w:t>
      </w:r>
      <w:r w:rsidR="007551CA" w:rsidRPr="003B4AEE">
        <w:t>,</w:t>
      </w:r>
      <w:r w:rsidRPr="003B4AEE">
        <w:t xml:space="preserve"> the regulatory requirement is for records retention rather than reporting. This </w:t>
      </w:r>
      <w:r w:rsidR="00BE6913" w:rsidRPr="003B4AEE">
        <w:t xml:space="preserve">type of </w:t>
      </w:r>
      <w:r w:rsidRPr="003B4AEE">
        <w:t>activity is reflected in this ICR as a recordkeeping activity.</w:t>
      </w:r>
    </w:p>
    <w:p w14:paraId="0FD61846" w14:textId="69218818" w:rsidR="0017745D" w:rsidRPr="003B4AEE" w:rsidRDefault="00DD51FD" w:rsidP="009730AE">
      <w:pPr>
        <w:pStyle w:val="BodyText"/>
      </w:pPr>
      <w:r w:rsidRPr="003B4AEE">
        <w:t>A permit may be modified to change its limits and conditions</w:t>
      </w:r>
      <w:r w:rsidR="0017745D" w:rsidRPr="003B4AEE">
        <w:t xml:space="preserve"> without affecting the permit’s term. Information supporting modification requests is collected during the effective term of the permit. Variances, alternatively, allow effluent limitation requirements or time deadlines to be modified or waived. During the permit development process, the permitting authority collects information from facilities to evaluate variance requests. In each case, the information collected is used to update or supplement permit application data.</w:t>
      </w:r>
    </w:p>
    <w:p w14:paraId="24DECB92" w14:textId="17031339" w:rsidR="00D72AF4" w:rsidRPr="003B4AEE" w:rsidRDefault="00D72AF4" w:rsidP="00481F7D">
      <w:pPr>
        <w:pStyle w:val="BodyText"/>
      </w:pPr>
      <w:r w:rsidRPr="003B4AEE">
        <w:t>Use of the data provided in each type of modification or variance request varies greatly because the information requirements of these items are so diverse. In general, EPA and authorized states use the information to determine whether the conditions or requirements that would warrant a modification or variance exist, and the progress toward achieving the goals of the CWA continue</w:t>
      </w:r>
      <w:r w:rsidR="00A001E7" w:rsidRPr="003B4AEE">
        <w:t>s</w:t>
      </w:r>
      <w:r w:rsidRPr="003B4AEE">
        <w:t xml:space="preserve"> if the modification or variance is granted.</w:t>
      </w:r>
    </w:p>
    <w:p w14:paraId="00239636" w14:textId="4B8B11E6" w:rsidR="00D72AF4" w:rsidRPr="003B4AEE" w:rsidRDefault="00436AB4" w:rsidP="00481F7D">
      <w:pPr>
        <w:pStyle w:val="BodyText"/>
      </w:pPr>
      <w:r w:rsidRPr="003B4AEE">
        <w:t xml:space="preserve">Reporting </w:t>
      </w:r>
      <w:r w:rsidR="00D72AF4" w:rsidRPr="003B4AEE">
        <w:t xml:space="preserve">by municipalities under the CSO Control Policy </w:t>
      </w:r>
      <w:r w:rsidR="00A001E7" w:rsidRPr="003B4AEE">
        <w:t xml:space="preserve">gives </w:t>
      </w:r>
      <w:r w:rsidR="00D72AF4" w:rsidRPr="003B4AEE">
        <w:t xml:space="preserve">NPDES permitting authorities the information </w:t>
      </w:r>
      <w:r w:rsidR="00A001E7" w:rsidRPr="003B4AEE">
        <w:t xml:space="preserve">they need </w:t>
      </w:r>
      <w:r w:rsidR="00D72AF4" w:rsidRPr="003B4AEE">
        <w:t>to determine whether a municipality’s CSO control program is adequate to achieve compliance with CWA requirements and applicable state WQS</w:t>
      </w:r>
      <w:r w:rsidR="00A001E7" w:rsidRPr="003B4AEE">
        <w:t xml:space="preserve">, </w:t>
      </w:r>
      <w:r w:rsidR="00D72AF4" w:rsidRPr="003B4AEE">
        <w:t>to establish permit terms and conditions for CSOs</w:t>
      </w:r>
      <w:r w:rsidR="00A001E7" w:rsidRPr="003B4AEE">
        <w:t xml:space="preserve">, </w:t>
      </w:r>
      <w:r w:rsidR="00D72AF4" w:rsidRPr="003B4AEE">
        <w:t>to track performance</w:t>
      </w:r>
      <w:r w:rsidR="00A001E7" w:rsidRPr="003B4AEE">
        <w:t xml:space="preserve">, </w:t>
      </w:r>
      <w:r w:rsidR="00D72AF4" w:rsidRPr="003B4AEE">
        <w:t>to identify and assess violations</w:t>
      </w:r>
      <w:r w:rsidR="00A001E7" w:rsidRPr="003B4AEE">
        <w:t xml:space="preserve">, </w:t>
      </w:r>
      <w:r w:rsidR="00D72AF4" w:rsidRPr="003B4AEE">
        <w:t xml:space="preserve">and to target inspection and enforcement actions. The information is also used by EPA Regions and states to develop and evaluate the success of their CSO Control Strategies. EPA will also use </w:t>
      </w:r>
      <w:r w:rsidR="00A001E7" w:rsidRPr="003B4AEE">
        <w:t xml:space="preserve">these </w:t>
      </w:r>
      <w:r w:rsidR="00D72AF4" w:rsidRPr="003B4AEE">
        <w:t>data to measure its performance in achieving the goals of the CSO Control Policy.</w:t>
      </w:r>
    </w:p>
    <w:p w14:paraId="78803E6E" w14:textId="77777777" w:rsidR="00E74A5C" w:rsidRDefault="00C72E37" w:rsidP="00481F7D">
      <w:pPr>
        <w:pStyle w:val="BodyText"/>
      </w:pPr>
      <w:r w:rsidRPr="003B4AEE">
        <w:rPr>
          <w:i/>
        </w:rPr>
        <w:t>Oversight</w:t>
      </w:r>
      <w:r w:rsidRPr="003B4AEE">
        <w:t xml:space="preserve">. </w:t>
      </w:r>
      <w:bookmarkStart w:id="22" w:name="_Hlk73539092"/>
      <w:r w:rsidR="00D72AF4" w:rsidRPr="003B4AEE">
        <w:t xml:space="preserve">Information collected by EPA is used to evaluate the adequacy of a state’s NPDES or sludge program, and to </w:t>
      </w:r>
      <w:r w:rsidR="00A001E7" w:rsidRPr="003B4AEE">
        <w:t xml:space="preserve">enable </w:t>
      </w:r>
      <w:r w:rsidR="00D72AF4" w:rsidRPr="003B4AEE">
        <w:t xml:space="preserve">EPA to fulfill its </w:t>
      </w:r>
      <w:r w:rsidR="00436AB4" w:rsidRPr="003B4AEE">
        <w:t xml:space="preserve">statutory </w:t>
      </w:r>
      <w:r w:rsidR="00D72AF4" w:rsidRPr="003B4AEE">
        <w:t xml:space="preserve">function of oversight over state </w:t>
      </w:r>
      <w:r w:rsidR="00D72AF4" w:rsidRPr="003B4AEE">
        <w:lastRenderedPageBreak/>
        <w:t>program performance and individual permit actions</w:t>
      </w:r>
      <w:bookmarkEnd w:id="22"/>
      <w:r w:rsidR="00D72AF4" w:rsidRPr="003B4AEE">
        <w:t xml:space="preserve">. EPA will also use this information to evaluate states’ requests for full or partial program authorization and program modifications. To evaluate the adequacy of a state’s proposed program, </w:t>
      </w:r>
      <w:r w:rsidR="0018582C" w:rsidRPr="003B4AEE">
        <w:t xml:space="preserve">EPA must have </w:t>
      </w:r>
      <w:r w:rsidR="00D72AF4" w:rsidRPr="003B4AEE">
        <w:t>appropriate information to ensure that proper procedures, regulations, and statutes are in place and consistent with CWA requirements.</w:t>
      </w:r>
      <w:r w:rsidR="00632B46" w:rsidRPr="003B4AEE">
        <w:t xml:space="preserve"> EPA’s ongoing monitoring of authorized state programs ensures continued compliance with the goals and requirements of the CWA and state programs. </w:t>
      </w:r>
    </w:p>
    <w:p w14:paraId="6427037A" w14:textId="5F3B1422" w:rsidR="00632B46" w:rsidRPr="003B4AEE" w:rsidRDefault="00632B46" w:rsidP="00481F7D">
      <w:pPr>
        <w:pStyle w:val="BodyText"/>
      </w:pPr>
      <w:r w:rsidRPr="003B4AEE">
        <w:t>EPA uses information about permittees’ noncompliance to do the following:</w:t>
      </w:r>
    </w:p>
    <w:p w14:paraId="47BD55DB" w14:textId="0D687333" w:rsidR="00632B46" w:rsidRPr="003B4AEE" w:rsidRDefault="00632B46" w:rsidP="00290A17">
      <w:pPr>
        <w:pStyle w:val="ListBulletsingle"/>
        <w:numPr>
          <w:ilvl w:val="0"/>
          <w:numId w:val="43"/>
        </w:numPr>
      </w:pPr>
      <w:r w:rsidRPr="003B4AEE">
        <w:t xml:space="preserve">Evaluate the effectiveness of state compliance enforcement </w:t>
      </w:r>
      <w:proofErr w:type="gramStart"/>
      <w:r w:rsidRPr="003B4AEE">
        <w:t>programs;</w:t>
      </w:r>
      <w:proofErr w:type="gramEnd"/>
    </w:p>
    <w:p w14:paraId="45939A09" w14:textId="20B8BD6A" w:rsidR="00632B46" w:rsidRPr="003B4AEE" w:rsidRDefault="00632B46" w:rsidP="00290A17">
      <w:pPr>
        <w:pStyle w:val="ListBulletsingle"/>
        <w:numPr>
          <w:ilvl w:val="0"/>
          <w:numId w:val="43"/>
        </w:numPr>
      </w:pPr>
      <w:r w:rsidRPr="003B4AEE">
        <w:t>Support its own enforcement actions, if any, against dischargers in authorized states; and</w:t>
      </w:r>
    </w:p>
    <w:p w14:paraId="5204BFB0" w14:textId="6A473CBC" w:rsidR="00D72AF4" w:rsidRPr="003B4AEE" w:rsidRDefault="00632B46" w:rsidP="00290A17">
      <w:pPr>
        <w:pStyle w:val="ListBulletlast"/>
        <w:numPr>
          <w:ilvl w:val="0"/>
          <w:numId w:val="43"/>
        </w:numPr>
      </w:pPr>
      <w:r w:rsidRPr="003B4AEE">
        <w:t>Generate and publish noncompliance rates to be used in reports to offices within EPA and to OMB and Congress.</w:t>
      </w:r>
    </w:p>
    <w:p w14:paraId="71C40DCD" w14:textId="7C84F6AF" w:rsidR="00D72AF4" w:rsidRPr="003B4AEE" w:rsidRDefault="00D72AF4" w:rsidP="00481F7D">
      <w:pPr>
        <w:pStyle w:val="BodyText"/>
      </w:pPr>
      <w:r w:rsidRPr="003B4AEE">
        <w:t>In a Memorandum of Agreement, EPA Regions and authorized states define which permits the Region will and will not</w:t>
      </w:r>
      <w:r w:rsidR="00BF7F5B" w:rsidRPr="003B4AEE">
        <w:t xml:space="preserve"> be provided for</w:t>
      </w:r>
      <w:r w:rsidRPr="003B4AEE">
        <w:t xml:space="preserve"> review. </w:t>
      </w:r>
      <w:r w:rsidR="00A20543">
        <w:t>T</w:t>
      </w:r>
      <w:r w:rsidRPr="003B4AEE">
        <w:t xml:space="preserve">he Region must be </w:t>
      </w:r>
      <w:r w:rsidR="0018582C" w:rsidRPr="003B4AEE">
        <w:t xml:space="preserve">given </w:t>
      </w:r>
      <w:r w:rsidRPr="003B4AEE">
        <w:t xml:space="preserve">the opportunity to review all permits for major facilities, all general permits, and a small percentage of permits for minor facilities. The information submitted by states consists of all appropriate data necessary for permit review––application forms, fact sheets, draft permits, and </w:t>
      </w:r>
      <w:r w:rsidR="00A20543">
        <w:t>other supporting documentation</w:t>
      </w:r>
      <w:r w:rsidRPr="003B4AEE">
        <w:t xml:space="preserve">. EPA uses the information submitted by states to review state-issued permits for compliance with federal laws. </w:t>
      </w:r>
    </w:p>
    <w:p w14:paraId="2E960F74" w14:textId="44393CD2" w:rsidR="00770DDB" w:rsidRPr="003B4AEE" w:rsidRDefault="00770DDB" w:rsidP="00481F7D">
      <w:pPr>
        <w:pStyle w:val="BodyText"/>
      </w:pPr>
      <w:r w:rsidRPr="003B4AEE">
        <w:rPr>
          <w:i/>
        </w:rPr>
        <w:t>Other regulations</w:t>
      </w:r>
      <w:r w:rsidRPr="003B4AEE">
        <w:t xml:space="preserve">. To meet its obligations under the CWA, National Historic Preservation Act (NHPA), and Endangered Species Act (ESA), EPA must ensure that discharges covered under EPA-issued NPDES permits are protective of historic properties, endangered and threatened species, and critical habitat. </w:t>
      </w:r>
      <w:r w:rsidR="0018582C" w:rsidRPr="003B4AEE">
        <w:t>A</w:t>
      </w:r>
      <w:r w:rsidRPr="003B4AEE">
        <w:t>pplicants are required to assess the effects of their discharges on historic properties, federally</w:t>
      </w:r>
      <w:r w:rsidR="0018582C" w:rsidRPr="003B4AEE">
        <w:t xml:space="preserve"> </w:t>
      </w:r>
      <w:r w:rsidRPr="003B4AEE">
        <w:t xml:space="preserve">listed endangered and threatened species, and designated critical habitat. Information from this assessment for stormwater or PGP applicants is provided in the </w:t>
      </w:r>
      <w:r w:rsidR="00970263" w:rsidRPr="003B4AEE">
        <w:t xml:space="preserve">NOI </w:t>
      </w:r>
      <w:r w:rsidRPr="003B4AEE">
        <w:t>and therefore contained in the NOI database. Authorized states are not required to meet the ESA and NHPA obligations, and therefore no ESA or NHPA burden is associated with state-issued permits.</w:t>
      </w:r>
    </w:p>
    <w:p w14:paraId="6436C972" w14:textId="1FCE1775" w:rsidR="00770DDB" w:rsidRPr="003B4AEE" w:rsidRDefault="00770DDB" w:rsidP="00E86F4D">
      <w:pPr>
        <w:pStyle w:val="BodyText"/>
      </w:pPr>
      <w:r w:rsidRPr="003B4AEE">
        <w:t>Recently added NPDES program</w:t>
      </w:r>
      <w:r w:rsidR="00970263" w:rsidRPr="003B4AEE">
        <w:t xml:space="preserve"> component</w:t>
      </w:r>
      <w:r w:rsidRPr="003B4AEE">
        <w:t>s are discussed in more detail below.</w:t>
      </w:r>
    </w:p>
    <w:p w14:paraId="626FF12D" w14:textId="6987A460" w:rsidR="00602CEB" w:rsidRPr="003B4AEE" w:rsidRDefault="004C3750" w:rsidP="00481F7D">
      <w:pPr>
        <w:pStyle w:val="BodyText"/>
        <w:rPr>
          <w:i/>
          <w:iCs/>
        </w:rPr>
      </w:pPr>
      <w:r w:rsidRPr="003B4AEE">
        <w:rPr>
          <w:i/>
          <w:iCs/>
        </w:rPr>
        <w:t xml:space="preserve">Public Notification </w:t>
      </w:r>
      <w:r w:rsidR="00C2631E" w:rsidRPr="003B4AEE">
        <w:rPr>
          <w:i/>
          <w:iCs/>
        </w:rPr>
        <w:t xml:space="preserve">Requirements for </w:t>
      </w:r>
      <w:r w:rsidR="00602CEB" w:rsidRPr="003B4AEE">
        <w:rPr>
          <w:i/>
          <w:iCs/>
        </w:rPr>
        <w:t>CSOs in the Great Lakes Basin.</w:t>
      </w:r>
      <w:r w:rsidR="0010448B" w:rsidRPr="003B4AEE">
        <w:t xml:space="preserve"> </w:t>
      </w:r>
      <w:r w:rsidR="2C59F8B4">
        <w:t>The</w:t>
      </w:r>
      <w:r w:rsidR="00FE6C6D" w:rsidRPr="003B4AEE">
        <w:t xml:space="preserve"> regulation </w:t>
      </w:r>
      <w:r w:rsidR="009B0DA2" w:rsidRPr="003B4AEE">
        <w:t>is</w:t>
      </w:r>
      <w:r w:rsidR="00FE6C6D" w:rsidRPr="003B4AEE">
        <w:t xml:space="preserve"> specific to CSO discharges in the Great Lakes Basin and </w:t>
      </w:r>
      <w:r w:rsidR="009B0DA2" w:rsidRPr="003B4AEE">
        <w:t>is</w:t>
      </w:r>
      <w:r w:rsidR="00FE6C6D" w:rsidRPr="003B4AEE">
        <w:t xml:space="preserve"> intended to alert the public, local public health departments, and other potentially affected public entities to the short- and long-term public health and environmental hazards associated with CSO discharges. Such notification will enable potentially affected parties to take action that may help prevent serious health effects that may otherwise occur if they were to remain unaware of the occurrence of CSO discharges.</w:t>
      </w:r>
    </w:p>
    <w:p w14:paraId="7B842BC7" w14:textId="11359CD3" w:rsidR="00602CEB" w:rsidRPr="003B4AEE" w:rsidRDefault="00602CEB" w:rsidP="00481F7D">
      <w:pPr>
        <w:pStyle w:val="BodyText"/>
      </w:pPr>
      <w:r w:rsidRPr="003B4AEE">
        <w:rPr>
          <w:i/>
          <w:iCs/>
        </w:rPr>
        <w:t xml:space="preserve">Specific Provisions Affecting Applications and Program Updates. </w:t>
      </w:r>
      <w:r w:rsidR="008A6FB2" w:rsidRPr="003B4AEE">
        <w:t>The use of this information is the same as</w:t>
      </w:r>
      <w:r w:rsidR="00542933" w:rsidRPr="003B4AEE">
        <w:t xml:space="preserve"> for</w:t>
      </w:r>
      <w:r w:rsidR="00533116" w:rsidRPr="003B4AEE">
        <w:t xml:space="preserve"> other NPDES</w:t>
      </w:r>
      <w:r w:rsidR="00542933" w:rsidRPr="003B4AEE">
        <w:t xml:space="preserve"> activities directly related to individual NPDES permit </w:t>
      </w:r>
      <w:r w:rsidR="00542933" w:rsidRPr="003B4AEE">
        <w:lastRenderedPageBreak/>
        <w:t>applications</w:t>
      </w:r>
      <w:r w:rsidR="005E097E" w:rsidRPr="003B4AEE">
        <w:t xml:space="preserve">, as the </w:t>
      </w:r>
      <w:r w:rsidR="00542933" w:rsidRPr="003B4AEE">
        <w:t>specific</w:t>
      </w:r>
      <w:r w:rsidR="005E097E" w:rsidRPr="003B4AEE">
        <w:t xml:space="preserve"> provisions </w:t>
      </w:r>
      <w:r w:rsidR="003C0440" w:rsidRPr="003B4AEE">
        <w:t xml:space="preserve">affect the </w:t>
      </w:r>
      <w:r w:rsidR="00520585" w:rsidRPr="003B4AEE">
        <w:t>NPDES program requirements and application forms mentioned above.</w:t>
      </w:r>
    </w:p>
    <w:p w14:paraId="189068BB" w14:textId="204E5C6C" w:rsidR="00602CEB" w:rsidRPr="003B4AEE" w:rsidRDefault="00602CEB" w:rsidP="00481F7D">
      <w:pPr>
        <w:pStyle w:val="BodyText"/>
      </w:pPr>
      <w:r w:rsidRPr="003B4AEE">
        <w:rPr>
          <w:i/>
          <w:iCs/>
        </w:rPr>
        <w:t>Dental</w:t>
      </w:r>
      <w:r w:rsidR="000E6E5F" w:rsidRPr="003B4AEE">
        <w:rPr>
          <w:i/>
          <w:iCs/>
        </w:rPr>
        <w:t xml:space="preserve"> Amalgam</w:t>
      </w:r>
      <w:r w:rsidR="00C5476E" w:rsidRPr="003B4AEE">
        <w:rPr>
          <w:i/>
          <w:iCs/>
        </w:rPr>
        <w:t xml:space="preserve"> ELGs</w:t>
      </w:r>
      <w:r w:rsidRPr="003B4AEE">
        <w:rPr>
          <w:i/>
          <w:iCs/>
        </w:rPr>
        <w:t xml:space="preserve">. </w:t>
      </w:r>
      <w:r w:rsidR="002254F6" w:rsidRPr="003B4AEE">
        <w:t>Control Authorities are responsible for oversight of the pretreatment standards.</w:t>
      </w:r>
      <w:r w:rsidR="000755CE" w:rsidRPr="003B4AEE">
        <w:t xml:space="preserve"> Control Authorities (including EPA) review the reports and records of compliance to assess dental facilities’ compliance with the pretreatment standards. These reports and records also allow Control Authorities to assess how many dentist offices within their jurisdiction discharge amalgam, what BMPs are used, when inspections occur</w:t>
      </w:r>
      <w:r w:rsidR="008D08F4" w:rsidRPr="003B4AEE">
        <w:t>,</w:t>
      </w:r>
      <w:r w:rsidR="000755CE" w:rsidRPr="003B4AEE">
        <w:t xml:space="preserve"> as well as what operation and maintenance activities are conducted.</w:t>
      </w:r>
    </w:p>
    <w:p w14:paraId="500EF94D" w14:textId="77777777" w:rsidR="004B5CBF" w:rsidRPr="003B4AEE" w:rsidRDefault="004B5CBF" w:rsidP="004B5CBF">
      <w:pPr>
        <w:pStyle w:val="BodyText"/>
      </w:pPr>
      <w:r w:rsidRPr="003B4AEE">
        <w:rPr>
          <w:i/>
          <w:iCs/>
        </w:rPr>
        <w:t xml:space="preserve">2021 MSGP. </w:t>
      </w:r>
      <w:r w:rsidRPr="003B4AEE">
        <w:t>EPA collects the information required in the MSGP</w:t>
      </w:r>
      <w:r>
        <w:t xml:space="preserve"> t</w:t>
      </w:r>
      <w:r w:rsidRPr="003B4AEE">
        <w:t>o provide information supporting permittee eligibility to be covered by the permit;</w:t>
      </w:r>
      <w:r>
        <w:t xml:space="preserve"> </w:t>
      </w:r>
      <w:r w:rsidRPr="003B4AEE">
        <w:t>provide information on pollutant discharge trends for performance measures;</w:t>
      </w:r>
      <w:r>
        <w:t xml:space="preserve"> </w:t>
      </w:r>
      <w:r w:rsidRPr="003B4AEE">
        <w:t>provide information to the EPA and states to prioritize permit activities;</w:t>
      </w:r>
      <w:r>
        <w:t xml:space="preserve"> </w:t>
      </w:r>
      <w:r w:rsidRPr="003B4AEE">
        <w:t>determine whether permittees are in compliance with permit conditions; and</w:t>
      </w:r>
      <w:r>
        <w:t xml:space="preserve"> </w:t>
      </w:r>
      <w:r w:rsidRPr="003B4AEE">
        <w:t>provide information to the EPA to determine the need for and to help with development of permit limits.</w:t>
      </w:r>
    </w:p>
    <w:p w14:paraId="6CE6C986" w14:textId="56523E7C" w:rsidR="003778E0" w:rsidRPr="003B4AEE" w:rsidRDefault="003778E0" w:rsidP="00C207F0">
      <w:pPr>
        <w:pStyle w:val="ListBulletlast"/>
        <w:ind w:left="0" w:firstLine="0"/>
      </w:pPr>
      <w:r w:rsidRPr="00C207F0">
        <w:rPr>
          <w:i/>
          <w:iCs/>
        </w:rPr>
        <w:t>Phase 2 Extension</w:t>
      </w:r>
      <w:r>
        <w:t xml:space="preserve">. </w:t>
      </w:r>
      <w:r w:rsidR="00C207F0">
        <w:t>State</w:t>
      </w:r>
      <w:r>
        <w:t xml:space="preserve"> authorized NPDES programs will</w:t>
      </w:r>
      <w:r w:rsidR="00C207F0">
        <w:t xml:space="preserve"> p</w:t>
      </w:r>
      <w:r>
        <w:t>repare and send a waiver</w:t>
      </w:r>
      <w:r w:rsidR="00C207F0">
        <w:t xml:space="preserve"> </w:t>
      </w:r>
      <w:r>
        <w:t xml:space="preserve">request to EPA when they are seeking an alternative Phase 2 compliance deadline for general permits or program reports. </w:t>
      </w:r>
      <w:r w:rsidR="00C207F0">
        <w:t>They will also p</w:t>
      </w:r>
      <w:r>
        <w:t xml:space="preserve">repare and send basic information to EPA as they update or deploy their general permits and program reports and the related electronic reporting tools. </w:t>
      </w:r>
      <w:r w:rsidR="00C207F0">
        <w:t>Additionally, states will a</w:t>
      </w:r>
      <w:r>
        <w:t xml:space="preserve">nnually review EPA’s inventory of general permits and program reports and the related electronic reporting tools. </w:t>
      </w:r>
    </w:p>
    <w:p w14:paraId="29827809" w14:textId="0695C423" w:rsidR="007F2877" w:rsidRPr="003B4AEE" w:rsidRDefault="007F2877" w:rsidP="00305558">
      <w:pPr>
        <w:pStyle w:val="Heading2"/>
      </w:pPr>
      <w:bookmarkStart w:id="23" w:name="_Toc71729991"/>
      <w:bookmarkStart w:id="24" w:name="_Toc61289806"/>
      <w:bookmarkStart w:id="25" w:name="_Toc61294066"/>
      <w:bookmarkStart w:id="26" w:name="_Toc61294202"/>
      <w:bookmarkStart w:id="27" w:name="_Toc61333763"/>
      <w:bookmarkStart w:id="28" w:name="_Toc61334196"/>
      <w:bookmarkStart w:id="29" w:name="_Toc61334399"/>
      <w:bookmarkStart w:id="30" w:name="_Toc61334534"/>
      <w:bookmarkStart w:id="31" w:name="_Toc61334669"/>
      <w:bookmarkStart w:id="32" w:name="_Toc61334804"/>
      <w:bookmarkStart w:id="33" w:name="_Toc61335555"/>
      <w:bookmarkStart w:id="34" w:name="_Toc61512029"/>
      <w:bookmarkStart w:id="35" w:name="_Toc61512164"/>
      <w:bookmarkStart w:id="36" w:name="_Toc61289807"/>
      <w:bookmarkStart w:id="37" w:name="_Toc61294067"/>
      <w:bookmarkStart w:id="38" w:name="_Toc61294203"/>
      <w:bookmarkStart w:id="39" w:name="_Toc61333764"/>
      <w:bookmarkStart w:id="40" w:name="_Toc61334197"/>
      <w:bookmarkStart w:id="41" w:name="_Toc61334400"/>
      <w:bookmarkStart w:id="42" w:name="_Toc61334535"/>
      <w:bookmarkStart w:id="43" w:name="_Toc61334670"/>
      <w:bookmarkStart w:id="44" w:name="_Toc61334805"/>
      <w:bookmarkStart w:id="45" w:name="_Toc61335556"/>
      <w:bookmarkStart w:id="46" w:name="_Toc61512030"/>
      <w:bookmarkStart w:id="47" w:name="_Toc61512165"/>
      <w:bookmarkStart w:id="48" w:name="_Toc61289808"/>
      <w:bookmarkStart w:id="49" w:name="_Toc61294068"/>
      <w:bookmarkStart w:id="50" w:name="_Toc61294204"/>
      <w:bookmarkStart w:id="51" w:name="_Toc61333765"/>
      <w:bookmarkStart w:id="52" w:name="_Toc61334198"/>
      <w:bookmarkStart w:id="53" w:name="_Toc61334401"/>
      <w:bookmarkStart w:id="54" w:name="_Toc61334536"/>
      <w:bookmarkStart w:id="55" w:name="_Toc61334671"/>
      <w:bookmarkStart w:id="56" w:name="_Toc61334806"/>
      <w:bookmarkStart w:id="57" w:name="_Toc61335557"/>
      <w:bookmarkStart w:id="58" w:name="_Toc61512031"/>
      <w:bookmarkStart w:id="59" w:name="_Toc61512166"/>
      <w:bookmarkStart w:id="60" w:name="_Toc61289809"/>
      <w:bookmarkStart w:id="61" w:name="_Toc61294069"/>
      <w:bookmarkStart w:id="62" w:name="_Toc61294205"/>
      <w:bookmarkStart w:id="63" w:name="_Toc61333766"/>
      <w:bookmarkStart w:id="64" w:name="_Toc61334199"/>
      <w:bookmarkStart w:id="65" w:name="_Toc61334402"/>
      <w:bookmarkStart w:id="66" w:name="_Toc61334537"/>
      <w:bookmarkStart w:id="67" w:name="_Toc61334672"/>
      <w:bookmarkStart w:id="68" w:name="_Toc61334807"/>
      <w:bookmarkStart w:id="69" w:name="_Toc61335558"/>
      <w:bookmarkStart w:id="70" w:name="_Toc61512032"/>
      <w:bookmarkStart w:id="71" w:name="_Toc61512167"/>
      <w:bookmarkStart w:id="72" w:name="_Toc61289810"/>
      <w:bookmarkStart w:id="73" w:name="_Toc61294070"/>
      <w:bookmarkStart w:id="74" w:name="_Toc61294206"/>
      <w:bookmarkStart w:id="75" w:name="_Toc61333767"/>
      <w:bookmarkStart w:id="76" w:name="_Toc61334200"/>
      <w:bookmarkStart w:id="77" w:name="_Toc61334403"/>
      <w:bookmarkStart w:id="78" w:name="_Toc61334538"/>
      <w:bookmarkStart w:id="79" w:name="_Toc61334673"/>
      <w:bookmarkStart w:id="80" w:name="_Toc61334808"/>
      <w:bookmarkStart w:id="81" w:name="_Toc61335559"/>
      <w:bookmarkStart w:id="82" w:name="_Toc61512033"/>
      <w:bookmarkStart w:id="83" w:name="_Toc61512168"/>
      <w:bookmarkStart w:id="84" w:name="_Toc61289811"/>
      <w:bookmarkStart w:id="85" w:name="_Toc61294071"/>
      <w:bookmarkStart w:id="86" w:name="_Toc61294207"/>
      <w:bookmarkStart w:id="87" w:name="_Toc61333768"/>
      <w:bookmarkStart w:id="88" w:name="_Toc61334201"/>
      <w:bookmarkStart w:id="89" w:name="_Toc61334404"/>
      <w:bookmarkStart w:id="90" w:name="_Toc61334539"/>
      <w:bookmarkStart w:id="91" w:name="_Toc61334674"/>
      <w:bookmarkStart w:id="92" w:name="_Toc61334809"/>
      <w:bookmarkStart w:id="93" w:name="_Toc61335560"/>
      <w:bookmarkStart w:id="94" w:name="_Toc61512034"/>
      <w:bookmarkStart w:id="95" w:name="_Toc61512169"/>
      <w:bookmarkStart w:id="96" w:name="_Toc61289812"/>
      <w:bookmarkStart w:id="97" w:name="_Toc61294072"/>
      <w:bookmarkStart w:id="98" w:name="_Toc61294208"/>
      <w:bookmarkStart w:id="99" w:name="_Toc61333769"/>
      <w:bookmarkStart w:id="100" w:name="_Toc61334202"/>
      <w:bookmarkStart w:id="101" w:name="_Toc61334405"/>
      <w:bookmarkStart w:id="102" w:name="_Toc61334540"/>
      <w:bookmarkStart w:id="103" w:name="_Toc61334675"/>
      <w:bookmarkStart w:id="104" w:name="_Toc61334810"/>
      <w:bookmarkStart w:id="105" w:name="_Toc61335561"/>
      <w:bookmarkStart w:id="106" w:name="_Toc61512035"/>
      <w:bookmarkStart w:id="107" w:name="_Toc61512170"/>
      <w:bookmarkStart w:id="108" w:name="_Toc61289813"/>
      <w:bookmarkStart w:id="109" w:name="_Toc61294073"/>
      <w:bookmarkStart w:id="110" w:name="_Toc61294209"/>
      <w:bookmarkStart w:id="111" w:name="_Toc61333770"/>
      <w:bookmarkStart w:id="112" w:name="_Toc61334203"/>
      <w:bookmarkStart w:id="113" w:name="_Toc61334406"/>
      <w:bookmarkStart w:id="114" w:name="_Toc61334541"/>
      <w:bookmarkStart w:id="115" w:name="_Toc61334676"/>
      <w:bookmarkStart w:id="116" w:name="_Toc61334811"/>
      <w:bookmarkStart w:id="117" w:name="_Toc61335562"/>
      <w:bookmarkStart w:id="118" w:name="_Toc61512036"/>
      <w:bookmarkStart w:id="119" w:name="_Toc61512171"/>
      <w:bookmarkStart w:id="120" w:name="_Toc61289814"/>
      <w:bookmarkStart w:id="121" w:name="_Toc61294074"/>
      <w:bookmarkStart w:id="122" w:name="_Toc61294210"/>
      <w:bookmarkStart w:id="123" w:name="_Toc61333771"/>
      <w:bookmarkStart w:id="124" w:name="_Toc61334204"/>
      <w:bookmarkStart w:id="125" w:name="_Toc61334407"/>
      <w:bookmarkStart w:id="126" w:name="_Toc61334542"/>
      <w:bookmarkStart w:id="127" w:name="_Toc61334677"/>
      <w:bookmarkStart w:id="128" w:name="_Toc61334812"/>
      <w:bookmarkStart w:id="129" w:name="_Toc61335563"/>
      <w:bookmarkStart w:id="130" w:name="_Toc61512037"/>
      <w:bookmarkStart w:id="131" w:name="_Toc61512172"/>
      <w:bookmarkStart w:id="132" w:name="_Toc61289815"/>
      <w:bookmarkStart w:id="133" w:name="_Toc61294075"/>
      <w:bookmarkStart w:id="134" w:name="_Toc61294211"/>
      <w:bookmarkStart w:id="135" w:name="_Toc61333772"/>
      <w:bookmarkStart w:id="136" w:name="_Toc61334205"/>
      <w:bookmarkStart w:id="137" w:name="_Toc61334408"/>
      <w:bookmarkStart w:id="138" w:name="_Toc61334543"/>
      <w:bookmarkStart w:id="139" w:name="_Toc61334678"/>
      <w:bookmarkStart w:id="140" w:name="_Toc61334813"/>
      <w:bookmarkStart w:id="141" w:name="_Toc61335564"/>
      <w:bookmarkStart w:id="142" w:name="_Toc61512038"/>
      <w:bookmarkStart w:id="143" w:name="_Toc61512173"/>
      <w:bookmarkStart w:id="144" w:name="_Toc61289816"/>
      <w:bookmarkStart w:id="145" w:name="_Toc61294076"/>
      <w:bookmarkStart w:id="146" w:name="_Toc61294212"/>
      <w:bookmarkStart w:id="147" w:name="_Toc61333773"/>
      <w:bookmarkStart w:id="148" w:name="_Toc61334206"/>
      <w:bookmarkStart w:id="149" w:name="_Toc61334409"/>
      <w:bookmarkStart w:id="150" w:name="_Toc61334544"/>
      <w:bookmarkStart w:id="151" w:name="_Toc61334679"/>
      <w:bookmarkStart w:id="152" w:name="_Toc61334814"/>
      <w:bookmarkStart w:id="153" w:name="_Toc61335565"/>
      <w:bookmarkStart w:id="154" w:name="_Toc61512039"/>
      <w:bookmarkStart w:id="155" w:name="_Toc61512174"/>
      <w:bookmarkStart w:id="156" w:name="_Toc61289817"/>
      <w:bookmarkStart w:id="157" w:name="_Toc61294077"/>
      <w:bookmarkStart w:id="158" w:name="_Toc61294213"/>
      <w:bookmarkStart w:id="159" w:name="_Toc61333774"/>
      <w:bookmarkStart w:id="160" w:name="_Toc61334207"/>
      <w:bookmarkStart w:id="161" w:name="_Toc61334410"/>
      <w:bookmarkStart w:id="162" w:name="_Toc61334545"/>
      <w:bookmarkStart w:id="163" w:name="_Toc61334680"/>
      <w:bookmarkStart w:id="164" w:name="_Toc61334815"/>
      <w:bookmarkStart w:id="165" w:name="_Toc61335566"/>
      <w:bookmarkStart w:id="166" w:name="_Toc61512040"/>
      <w:bookmarkStart w:id="167" w:name="_Toc61512175"/>
      <w:bookmarkStart w:id="168" w:name="_Toc61289818"/>
      <w:bookmarkStart w:id="169" w:name="_Toc61294078"/>
      <w:bookmarkStart w:id="170" w:name="_Toc61294214"/>
      <w:bookmarkStart w:id="171" w:name="_Toc61333775"/>
      <w:bookmarkStart w:id="172" w:name="_Toc61334208"/>
      <w:bookmarkStart w:id="173" w:name="_Toc61334411"/>
      <w:bookmarkStart w:id="174" w:name="_Toc61334546"/>
      <w:bookmarkStart w:id="175" w:name="_Toc61334681"/>
      <w:bookmarkStart w:id="176" w:name="_Toc61334816"/>
      <w:bookmarkStart w:id="177" w:name="_Toc61335567"/>
      <w:bookmarkStart w:id="178" w:name="_Toc61512041"/>
      <w:bookmarkStart w:id="179" w:name="_Toc61512176"/>
      <w:bookmarkStart w:id="180" w:name="_Toc71729992"/>
      <w:bookmarkStart w:id="181" w:name="_Toc6133420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3B4AEE">
        <w:t>Describe whether and to what extent the collection involves the use of automated processes or information technology to aid with the collection</w:t>
      </w:r>
      <w:bookmarkEnd w:id="180"/>
      <w:bookmarkEnd w:id="181"/>
    </w:p>
    <w:p w14:paraId="14D031DA" w14:textId="580ACD0A" w:rsidR="00C26048" w:rsidRPr="003B4AEE" w:rsidRDefault="00520899" w:rsidP="004E05CF">
      <w:pPr>
        <w:pStyle w:val="BodyText"/>
      </w:pPr>
      <w:r w:rsidRPr="003B4AEE">
        <w:t xml:space="preserve">The </w:t>
      </w:r>
      <w:r w:rsidR="008D63B6" w:rsidRPr="003B4AEE">
        <w:t xml:space="preserve">Electronic Reporting </w:t>
      </w:r>
      <w:r w:rsidR="00E12BB2" w:rsidRPr="003B4AEE">
        <w:t xml:space="preserve">regulation </w:t>
      </w:r>
      <w:r w:rsidR="008D63B6" w:rsidRPr="003B4AEE">
        <w:t>require</w:t>
      </w:r>
      <w:r w:rsidR="001B6078" w:rsidRPr="003B4AEE">
        <w:t>s</w:t>
      </w:r>
      <w:r w:rsidR="008D63B6" w:rsidRPr="003B4AEE">
        <w:t xml:space="preserve"> electronic reporting of NPDES information rather than paper-based reports. </w:t>
      </w:r>
      <w:r w:rsidR="004A65AF" w:rsidRPr="003B4AEE">
        <w:t>(</w:t>
      </w:r>
      <w:r w:rsidR="00FF0D49" w:rsidRPr="003B4AEE">
        <w:t xml:space="preserve">See </w:t>
      </w:r>
      <w:r w:rsidR="004A65AF" w:rsidRPr="003B4AEE">
        <w:t>section A.1.8.4 for details</w:t>
      </w:r>
      <w:r w:rsidR="00FF0D49" w:rsidRPr="003B4AEE">
        <w:t>.</w:t>
      </w:r>
      <w:r w:rsidR="004A65AF" w:rsidRPr="003B4AEE">
        <w:t xml:space="preserve">) </w:t>
      </w:r>
      <w:r w:rsidR="005E247B">
        <w:t>O</w:t>
      </w:r>
      <w:r w:rsidR="00C26048" w:rsidRPr="003B4AEE">
        <w:t xml:space="preserve">n September 23, 2020, EPA signed the final "Phase 2 Extension Rule," which </w:t>
      </w:r>
      <w:r w:rsidR="0088473F" w:rsidRPr="003B4AEE">
        <w:t>extended</w:t>
      </w:r>
      <w:r w:rsidR="00ED211E">
        <w:t xml:space="preserve"> </w:t>
      </w:r>
      <w:r w:rsidR="00C26048" w:rsidRPr="003B4AEE">
        <w:t xml:space="preserve">the compliance deadline for implementation of Phase 2 of the </w:t>
      </w:r>
      <w:proofErr w:type="spellStart"/>
      <w:r w:rsidR="00C26048" w:rsidRPr="003B4AEE">
        <w:t>eRule</w:t>
      </w:r>
      <w:proofErr w:type="spellEnd"/>
      <w:r w:rsidR="00C26048" w:rsidRPr="003B4AEE">
        <w:t xml:space="preserve"> to December 21, 2025. </w:t>
      </w:r>
      <w:r w:rsidR="00E33781" w:rsidRPr="003B4AEE">
        <w:t>This extension has been accounted for in this ICR.</w:t>
      </w:r>
    </w:p>
    <w:p w14:paraId="643E6B39" w14:textId="77777777" w:rsidR="00B964AB" w:rsidRPr="003B4AEE" w:rsidRDefault="00B964AB" w:rsidP="00B964AB">
      <w:pPr>
        <w:pStyle w:val="BodyText"/>
      </w:pPr>
      <w:r w:rsidRPr="003B4AEE">
        <w:t xml:space="preserve">For activities related to general permits, respondents for certain permits are currently required to submit NOIs electronically via EPA’s NPDES </w:t>
      </w:r>
      <w:proofErr w:type="spellStart"/>
      <w:r w:rsidRPr="003B4AEE">
        <w:t>eReporting</w:t>
      </w:r>
      <w:proofErr w:type="spellEnd"/>
      <w:r w:rsidRPr="003B4AEE">
        <w:t xml:space="preserve"> Tool (</w:t>
      </w:r>
      <w:proofErr w:type="spellStart"/>
      <w:r w:rsidRPr="003B4AEE">
        <w:t>NeT</w:t>
      </w:r>
      <w:proofErr w:type="spellEnd"/>
      <w:r w:rsidRPr="003B4AEE">
        <w:t>)</w:t>
      </w:r>
      <w:r>
        <w:t>, or similar state tools</w:t>
      </w:r>
      <w:r w:rsidRPr="003B4AEE">
        <w:t xml:space="preserve">. </w:t>
      </w:r>
      <w:r>
        <w:t>A</w:t>
      </w:r>
      <w:r w:rsidRPr="003B4AEE">
        <w:t xml:space="preserve">ll other EPA-issued </w:t>
      </w:r>
      <w:r>
        <w:t xml:space="preserve">general </w:t>
      </w:r>
      <w:r w:rsidRPr="003B4AEE">
        <w:t xml:space="preserve">permits, and some state-issued permits will transition to submitting NOIs through </w:t>
      </w:r>
      <w:proofErr w:type="spellStart"/>
      <w:r w:rsidRPr="003B4AEE">
        <w:t>NeT</w:t>
      </w:r>
      <w:proofErr w:type="spellEnd"/>
      <w:r w:rsidRPr="003B4AEE">
        <w:t xml:space="preserve"> over the next several years.</w:t>
      </w:r>
      <w:r>
        <w:t xml:space="preserve"> Other state-issued permits will require use of state electronic reporting tools. EPA’s legacy electronic Notice of Intent (eNOI) system, which was previously used for NOI submitted under several EPA-issued general permits will be decommissioned following the final transition of remaining functionality to </w:t>
      </w:r>
      <w:proofErr w:type="spellStart"/>
      <w:r>
        <w:t>NeT</w:t>
      </w:r>
      <w:proofErr w:type="spellEnd"/>
      <w:r>
        <w:t xml:space="preserve"> in FY22.</w:t>
      </w:r>
    </w:p>
    <w:p w14:paraId="49A451EF" w14:textId="0C3D3607" w:rsidR="00B964AB" w:rsidRPr="003B4AEE" w:rsidRDefault="00B964AB" w:rsidP="00B964AB">
      <w:pPr>
        <w:pStyle w:val="BodyText"/>
      </w:pPr>
      <w:r w:rsidRPr="003B4AEE">
        <w:t xml:space="preserve">Currently, EPA maintains some general permit data in ICIS-NPDES. The use of this database is expanding as a result of implementation of the </w:t>
      </w:r>
      <w:proofErr w:type="spellStart"/>
      <w:r>
        <w:t>eRule</w:t>
      </w:r>
      <w:proofErr w:type="spellEnd"/>
      <w:r w:rsidRPr="003B4AEE">
        <w:t xml:space="preserve">. </w:t>
      </w:r>
      <w:r w:rsidR="2991877E">
        <w:t xml:space="preserve">This </w:t>
      </w:r>
      <w:proofErr w:type="spellStart"/>
      <w:r w:rsidR="5D68F725">
        <w:t>eRule</w:t>
      </w:r>
      <w:proofErr w:type="spellEnd"/>
      <w:r w:rsidR="5D68F725">
        <w:t xml:space="preserve"> implementation</w:t>
      </w:r>
      <w:r w:rsidRPr="003B4AEE">
        <w:t xml:space="preserve"> reduces the burden to EPA and the states for gathering and analyzing national permit and water quality data.</w:t>
      </w:r>
    </w:p>
    <w:p w14:paraId="3FE80AB3" w14:textId="77777777" w:rsidR="00B964AB" w:rsidRPr="003B4AEE" w:rsidRDefault="00B964AB" w:rsidP="00B964AB">
      <w:pPr>
        <w:pStyle w:val="BodyText"/>
      </w:pPr>
      <w:r w:rsidRPr="003B4AEE">
        <w:lastRenderedPageBreak/>
        <w:t xml:space="preserve">In collecting and analyzing the information associated with NPDES individual permit applications, EPA will use ICIS-NPDES to ultimately store the relevant facility and permit information. EPA and the states will ensure accuracy and completeness of the information and are responsible for ensuring that applicable data are entered into ICIS-NPDES. </w:t>
      </w:r>
    </w:p>
    <w:p w14:paraId="39089E31" w14:textId="5DE237AF" w:rsidR="00D72AF4" w:rsidRPr="003B4AEE" w:rsidRDefault="001B6078" w:rsidP="004E05CF">
      <w:pPr>
        <w:pStyle w:val="BodyText"/>
      </w:pPr>
      <w:r w:rsidRPr="003B4AEE">
        <w:t>T</w:t>
      </w:r>
      <w:r w:rsidR="00D72AF4" w:rsidRPr="003B4AEE">
        <w:t>he public may access certain information via Enforcement and Compliance History Online (ECHO). Some of the information is available to the public through Web-based interfaces</w:t>
      </w:r>
      <w:r w:rsidR="00950D3B" w:rsidRPr="003B4AEE">
        <w:t xml:space="preserve"> that pull data from ICIS-NPDES and other EPA data systems</w:t>
      </w:r>
      <w:r w:rsidR="00D72AF4" w:rsidRPr="003B4AEE">
        <w:t>.</w:t>
      </w:r>
    </w:p>
    <w:p w14:paraId="775EFDEB" w14:textId="4FBF05EA" w:rsidR="00D72AF4" w:rsidRPr="003B4AEE" w:rsidRDefault="00D72AF4" w:rsidP="004E05CF">
      <w:pPr>
        <w:pStyle w:val="BodyText"/>
      </w:pPr>
      <w:r w:rsidRPr="003B4AEE">
        <w:t xml:space="preserve">For activities related to </w:t>
      </w:r>
      <w:r w:rsidR="00223D44" w:rsidRPr="003B4AEE">
        <w:t xml:space="preserve">requests for </w:t>
      </w:r>
      <w:r w:rsidRPr="003B4AEE">
        <w:t xml:space="preserve">NPDES </w:t>
      </w:r>
      <w:r w:rsidR="00E9259A" w:rsidRPr="003B4AEE">
        <w:t xml:space="preserve">permit </w:t>
      </w:r>
      <w:r w:rsidRPr="003B4AEE">
        <w:t>modification</w:t>
      </w:r>
      <w:r w:rsidR="00223D44" w:rsidRPr="003B4AEE">
        <w:t>s</w:t>
      </w:r>
      <w:r w:rsidRPr="003B4AEE">
        <w:t xml:space="preserve"> and </w:t>
      </w:r>
      <w:r w:rsidR="00223D44" w:rsidRPr="003B4AEE">
        <w:t xml:space="preserve">variances from </w:t>
      </w:r>
      <w:r w:rsidR="00DE0DB7" w:rsidRPr="003B4AEE">
        <w:t xml:space="preserve">technology </w:t>
      </w:r>
      <w:r w:rsidR="00223D44" w:rsidRPr="003B4AEE">
        <w:t>standards</w:t>
      </w:r>
      <w:r w:rsidRPr="003B4AEE">
        <w:t>, improved information technology does not appear to provide opportunities to minimize respondents’ burden because of the unique nature of the information that respondents must submit as needed.</w:t>
      </w:r>
    </w:p>
    <w:p w14:paraId="52A8E60A" w14:textId="338F205C" w:rsidR="00D72AF4" w:rsidRPr="003B4AEE" w:rsidRDefault="00D72AF4" w:rsidP="004E05CF">
      <w:pPr>
        <w:pStyle w:val="BodyText"/>
      </w:pPr>
      <w:r w:rsidRPr="003B4AEE">
        <w:t xml:space="preserve">For </w:t>
      </w:r>
      <w:r w:rsidR="00345F8F" w:rsidRPr="003B4AEE">
        <w:t>compliance</w:t>
      </w:r>
      <w:r w:rsidRPr="003B4AEE">
        <w:t xml:space="preserve"> reports, EPA and states are moving toward greater automation—for example, </w:t>
      </w:r>
      <w:r w:rsidR="00B8666E" w:rsidRPr="003B4AEE">
        <w:t>system</w:t>
      </w:r>
      <w:r w:rsidRPr="003B4AEE">
        <w:t xml:space="preserve">-generated </w:t>
      </w:r>
      <w:r w:rsidR="00B8666E" w:rsidRPr="003B4AEE">
        <w:t xml:space="preserve">noncompliance reports in place of the existing </w:t>
      </w:r>
      <w:r w:rsidR="004E57D0" w:rsidRPr="003B4AEE">
        <w:t>Quarterly Noncompliance Reports</w:t>
      </w:r>
      <w:r w:rsidRPr="003B4AEE">
        <w:t>.</w:t>
      </w:r>
      <w:r w:rsidR="00A36F66" w:rsidRPr="003B4AEE">
        <w:t xml:space="preserve"> This advancement in information technology allows for states to efficiently provide a consistent and accurate set of data while using fewer resources and time.</w:t>
      </w:r>
    </w:p>
    <w:p w14:paraId="348DEA3F" w14:textId="1BA3CEA0" w:rsidR="007F2877" w:rsidRPr="003B4AEE" w:rsidRDefault="007F2877" w:rsidP="00305558">
      <w:pPr>
        <w:pStyle w:val="Heading2"/>
      </w:pPr>
      <w:bookmarkStart w:id="182" w:name="_Toc61334210"/>
      <w:bookmarkStart w:id="183" w:name="_Toc71729993"/>
      <w:r w:rsidRPr="003B4AEE">
        <w:t>Describe the efforts to identify duplication</w:t>
      </w:r>
      <w:bookmarkEnd w:id="182"/>
      <w:bookmarkEnd w:id="183"/>
    </w:p>
    <w:p w14:paraId="09ABC6AD" w14:textId="0EFC5FAB" w:rsidR="0048073A" w:rsidRPr="003B4AEE" w:rsidRDefault="00CF13B2" w:rsidP="004E05CF">
      <w:pPr>
        <w:pStyle w:val="BodyText"/>
      </w:pPr>
      <w:r w:rsidRPr="003B4AEE">
        <w:t xml:space="preserve">All information </w:t>
      </w:r>
      <w:r w:rsidR="004919F0" w:rsidRPr="003B4AEE">
        <w:t>collection is authorized by the CWA and its implementing regulations</w:t>
      </w:r>
      <w:r w:rsidR="00D208EF">
        <w:t>.</w:t>
      </w:r>
      <w:r w:rsidR="00075BFB">
        <w:t xml:space="preserve"> </w:t>
      </w:r>
      <w:r w:rsidRPr="003B4AEE">
        <w:t xml:space="preserve">EPA has examined all other reporting and recordkeeping requirements in the CWA and 40 CFR Parts 122, 123, 124, 125, 403, 501, and 503. </w:t>
      </w:r>
      <w:r w:rsidR="003716C2" w:rsidRPr="003B4AEE">
        <w:t xml:space="preserve">In prior versions of this ICR, </w:t>
      </w:r>
      <w:r w:rsidRPr="003B4AEE">
        <w:t>EPA also consulted the following sources of information to determine if similar or duplicate information is available elsewhere:</w:t>
      </w:r>
    </w:p>
    <w:p w14:paraId="5D97EDD5" w14:textId="5B0F9216" w:rsidR="00CF13B2" w:rsidRPr="003B4AEE" w:rsidRDefault="00CF13B2" w:rsidP="00411267">
      <w:pPr>
        <w:pStyle w:val="ListBulletsingle"/>
        <w:numPr>
          <w:ilvl w:val="0"/>
          <w:numId w:val="44"/>
        </w:numPr>
      </w:pPr>
      <w:r w:rsidRPr="003B4AEE">
        <w:t xml:space="preserve">The EPA </w:t>
      </w:r>
      <w:r w:rsidR="008568B8" w:rsidRPr="003B4AEE">
        <w:t>i</w:t>
      </w:r>
      <w:r w:rsidRPr="003B4AEE">
        <w:t xml:space="preserve">nventory of </w:t>
      </w:r>
      <w:proofErr w:type="gramStart"/>
      <w:r w:rsidRPr="003B4AEE">
        <w:t>ICRs;</w:t>
      </w:r>
      <w:proofErr w:type="gramEnd"/>
    </w:p>
    <w:p w14:paraId="288BE078" w14:textId="3CB8EC01" w:rsidR="00CF13B2" w:rsidRPr="003B4AEE" w:rsidRDefault="00CF13B2" w:rsidP="00411267">
      <w:pPr>
        <w:pStyle w:val="ListBulletsingle"/>
        <w:numPr>
          <w:ilvl w:val="0"/>
          <w:numId w:val="44"/>
        </w:numPr>
      </w:pPr>
      <w:r w:rsidRPr="003B4AEE">
        <w:t xml:space="preserve">The Government Information Locator </w:t>
      </w:r>
      <w:proofErr w:type="gramStart"/>
      <w:r w:rsidRPr="003B4AEE">
        <w:t>Service;</w:t>
      </w:r>
      <w:proofErr w:type="gramEnd"/>
      <w:r w:rsidRPr="003B4AEE">
        <w:t xml:space="preserve"> </w:t>
      </w:r>
    </w:p>
    <w:p w14:paraId="20D25493" w14:textId="77777777" w:rsidR="00EC0B23" w:rsidRPr="003B4AEE" w:rsidRDefault="00CF13B2" w:rsidP="00411267">
      <w:pPr>
        <w:pStyle w:val="ListBulletsingle"/>
        <w:numPr>
          <w:ilvl w:val="0"/>
          <w:numId w:val="44"/>
        </w:numPr>
      </w:pPr>
      <w:r w:rsidRPr="003B4AEE">
        <w:t xml:space="preserve">The Toxics Release </w:t>
      </w:r>
      <w:proofErr w:type="gramStart"/>
      <w:r w:rsidRPr="003B4AEE">
        <w:t>Inventory</w:t>
      </w:r>
      <w:r w:rsidR="00EC0B23" w:rsidRPr="003B4AEE">
        <w:t>;</w:t>
      </w:r>
      <w:proofErr w:type="gramEnd"/>
    </w:p>
    <w:p w14:paraId="192F1823" w14:textId="17B02D34" w:rsidR="00CF13B2" w:rsidRPr="003B4AEE" w:rsidRDefault="00EC0B23" w:rsidP="00411267">
      <w:pPr>
        <w:pStyle w:val="ListBulletsingle"/>
        <w:numPr>
          <w:ilvl w:val="0"/>
          <w:numId w:val="44"/>
        </w:numPr>
      </w:pPr>
      <w:r w:rsidRPr="003B4AEE">
        <w:t>Resource Conservation and Recovery Act (RCRA); and</w:t>
      </w:r>
    </w:p>
    <w:p w14:paraId="0D1673D3" w14:textId="23B1B21C" w:rsidR="00EC0B23" w:rsidRPr="003B4AEE" w:rsidRDefault="00EC0B23" w:rsidP="00411267">
      <w:pPr>
        <w:pStyle w:val="ListBulletlast"/>
        <w:numPr>
          <w:ilvl w:val="0"/>
          <w:numId w:val="44"/>
        </w:numPr>
      </w:pPr>
      <w:r w:rsidRPr="003B4AEE">
        <w:t>Federal Insecticide, Fungicide, and Rodenticide Act (FIFRA)</w:t>
      </w:r>
    </w:p>
    <w:p w14:paraId="16D1DFDA" w14:textId="07365318" w:rsidR="004F4B0A" w:rsidRPr="003B4AEE" w:rsidRDefault="004F4B0A" w:rsidP="004E05CF">
      <w:pPr>
        <w:pStyle w:val="BodyText"/>
      </w:pPr>
      <w:r w:rsidRPr="003B4AEE">
        <w:t>Examination of these databases and discussions with other federal Agencies did not identify any application requirements that were duplicative with existing requirements.</w:t>
      </w:r>
    </w:p>
    <w:p w14:paraId="6AC67F7C" w14:textId="16702332" w:rsidR="007F2877" w:rsidRPr="003B4AEE" w:rsidRDefault="007F2877" w:rsidP="00305558">
      <w:pPr>
        <w:pStyle w:val="Heading2"/>
      </w:pPr>
      <w:bookmarkStart w:id="184" w:name="_Toc61334211"/>
      <w:bookmarkStart w:id="185" w:name="_Toc71729994"/>
      <w:r w:rsidRPr="003B4AEE">
        <w:t>Explain whether or not the collection impacts small entities</w:t>
      </w:r>
      <w:bookmarkEnd w:id="184"/>
      <w:bookmarkEnd w:id="185"/>
    </w:p>
    <w:p w14:paraId="7CD39B68" w14:textId="567586B6" w:rsidR="00694CDF" w:rsidRPr="003B4AEE" w:rsidRDefault="00694CDF" w:rsidP="004E05CF">
      <w:pPr>
        <w:pStyle w:val="BodyText"/>
      </w:pPr>
      <w:r w:rsidRPr="003B4AEE">
        <w:t>Of the small businesses that discharge</w:t>
      </w:r>
      <w:r w:rsidR="00F67CCD" w:rsidRPr="003B4AEE">
        <w:t xml:space="preserve"> pollutants</w:t>
      </w:r>
      <w:r w:rsidRPr="003B4AEE">
        <w:t xml:space="preserve">, many </w:t>
      </w:r>
      <w:r w:rsidR="000E2DEF" w:rsidRPr="003B4AEE">
        <w:t xml:space="preserve">discharge indirectly to POTWs rather than directly </w:t>
      </w:r>
      <w:r w:rsidR="00FB12B2" w:rsidRPr="003B4AEE">
        <w:t>to waters of the U.S</w:t>
      </w:r>
      <w:r w:rsidRPr="003B4AEE">
        <w:t xml:space="preserve">. </w:t>
      </w:r>
      <w:r w:rsidR="0082654C" w:rsidRPr="003B4AEE">
        <w:t xml:space="preserve">Indirect dischargers </w:t>
      </w:r>
      <w:r w:rsidRPr="003B4AEE">
        <w:t xml:space="preserve">are not required to have NPDES permits and thus are subject </w:t>
      </w:r>
      <w:r w:rsidR="00374D0E" w:rsidRPr="003B4AEE">
        <w:t xml:space="preserve">only </w:t>
      </w:r>
      <w:r w:rsidRPr="003B4AEE">
        <w:t xml:space="preserve">to the </w:t>
      </w:r>
      <w:r w:rsidR="00FB12B2" w:rsidRPr="003B4AEE">
        <w:t xml:space="preserve">pollution control and </w:t>
      </w:r>
      <w:r w:rsidRPr="003B4AEE">
        <w:t xml:space="preserve">reporting requirements </w:t>
      </w:r>
      <w:r w:rsidR="00374D0E" w:rsidRPr="003B4AEE">
        <w:t xml:space="preserve">associated with the </w:t>
      </w:r>
      <w:r w:rsidR="008568B8" w:rsidRPr="003B4AEE">
        <w:t>P</w:t>
      </w:r>
      <w:r w:rsidR="00374D0E" w:rsidRPr="003B4AEE">
        <w:t xml:space="preserve">retreatment </w:t>
      </w:r>
      <w:r w:rsidR="008568B8" w:rsidRPr="003B4AEE">
        <w:t>P</w:t>
      </w:r>
      <w:r w:rsidR="00374D0E" w:rsidRPr="003B4AEE">
        <w:t>rogram</w:t>
      </w:r>
      <w:r w:rsidRPr="003B4AEE">
        <w:t>. Although small business</w:t>
      </w:r>
      <w:r w:rsidR="00F67CCD" w:rsidRPr="003B4AEE">
        <w:t>es that are</w:t>
      </w:r>
      <w:r w:rsidRPr="003B4AEE">
        <w:t xml:space="preserve"> direct dischargers are not treated as a separate class under the NPDES program, efforts to minimize the burdens imposed on them by NPDES information collection activities are implicit in the existing monitoring/reporting framework. </w:t>
      </w:r>
      <w:r w:rsidR="00806791">
        <w:t>M</w:t>
      </w:r>
      <w:r w:rsidRPr="003B4AEE">
        <w:t xml:space="preserve">onitoring and reporting requirements are based on many factors, </w:t>
      </w:r>
      <w:r w:rsidR="001A2C55">
        <w:t xml:space="preserve"> including </w:t>
      </w:r>
      <w:r w:rsidRPr="003B4AEE">
        <w:t xml:space="preserve">volume and environmental significance </w:t>
      </w:r>
      <w:r w:rsidRPr="003B4AEE">
        <w:lastRenderedPageBreak/>
        <w:t xml:space="preserve">of </w:t>
      </w:r>
      <w:r w:rsidR="004239F4" w:rsidRPr="003B4AEE">
        <w:t xml:space="preserve">a </w:t>
      </w:r>
      <w:r w:rsidRPr="003B4AEE">
        <w:t xml:space="preserve">wastewater discharge. Because small permittees usually discharge small volumes of wastewater, their monitoring and reporting burdens tend to be </w:t>
      </w:r>
      <w:r w:rsidR="00EF1990" w:rsidRPr="003B4AEE">
        <w:t>smaller as well</w:t>
      </w:r>
      <w:r w:rsidRPr="003B4AEE">
        <w:t>.</w:t>
      </w:r>
    </w:p>
    <w:p w14:paraId="2D524E0F" w14:textId="1E712302" w:rsidR="00E179F6" w:rsidRPr="003B4AEE" w:rsidRDefault="00960B12" w:rsidP="004E05CF">
      <w:pPr>
        <w:pStyle w:val="BodyText"/>
      </w:pPr>
      <w:r w:rsidRPr="003B4AEE">
        <w:t>This ICR consolidates information collection activities fr</w:t>
      </w:r>
      <w:r w:rsidR="00916F1D" w:rsidRPr="003B4AEE">
        <w:t>o</w:t>
      </w:r>
      <w:r w:rsidRPr="003B4AEE">
        <w:t xml:space="preserve">m </w:t>
      </w:r>
      <w:r w:rsidR="000E2DEF" w:rsidRPr="003B4AEE">
        <w:t xml:space="preserve">several </w:t>
      </w:r>
      <w:r w:rsidRPr="003B4AEE">
        <w:t>other efforts</w:t>
      </w:r>
      <w:r w:rsidR="009D57FA" w:rsidRPr="003B4AEE">
        <w:t>,</w:t>
      </w:r>
      <w:r w:rsidR="001A368D" w:rsidRPr="003B4AEE">
        <w:t xml:space="preserve"> </w:t>
      </w:r>
      <w:r w:rsidR="009D57FA" w:rsidRPr="003B4AEE">
        <w:t xml:space="preserve">each of which </w:t>
      </w:r>
      <w:r w:rsidR="001A368D" w:rsidRPr="003B4AEE">
        <w:t xml:space="preserve">sought </w:t>
      </w:r>
      <w:r w:rsidRPr="003B4AEE">
        <w:t>to reduce impacts to small entities</w:t>
      </w:r>
      <w:r w:rsidR="009D57FA" w:rsidRPr="003B4AEE">
        <w:t xml:space="preserve">. </w:t>
      </w:r>
      <w:r w:rsidR="00975AE6" w:rsidRPr="003B4AEE">
        <w:t>EPA developed several application forms, and promulgated different application requirements to tailor the information collection demands considering, among other factors, the size and complexity of the facility</w:t>
      </w:r>
      <w:r w:rsidR="00292047" w:rsidRPr="003B4AEE">
        <w:t>,</w:t>
      </w:r>
      <w:r w:rsidR="00FB12B2" w:rsidRPr="003B4AEE">
        <w:t xml:space="preserve"> its discharge</w:t>
      </w:r>
      <w:r w:rsidR="00292047" w:rsidRPr="003B4AEE">
        <w:t xml:space="preserve">, and </w:t>
      </w:r>
      <w:r w:rsidR="0082654C" w:rsidRPr="003B4AEE">
        <w:t xml:space="preserve">(where applicable) </w:t>
      </w:r>
      <w:r w:rsidR="00292047" w:rsidRPr="003B4AEE">
        <w:t>its intake structure</w:t>
      </w:r>
      <w:r w:rsidR="00975AE6" w:rsidRPr="003B4AEE">
        <w:t>.</w:t>
      </w:r>
    </w:p>
    <w:p w14:paraId="5F75E560" w14:textId="0F27EC15" w:rsidR="00975AE6" w:rsidRPr="003B4AEE" w:rsidRDefault="00975AE6" w:rsidP="004E05CF">
      <w:pPr>
        <w:pStyle w:val="BodyText"/>
      </w:pPr>
      <w:r w:rsidRPr="003B4AEE">
        <w:t>Generally, as the size of a facility increases, the amount of required information increases correspondingly.</w:t>
      </w:r>
      <w:r w:rsidR="00694CDF" w:rsidRPr="003B4AEE">
        <w:t xml:space="preserve"> EPA has regularly looked for ways to reduce reporting burdens on businesses of all sizes</w:t>
      </w:r>
      <w:r w:rsidR="008D6167" w:rsidRPr="003B4AEE">
        <w:t>;</w:t>
      </w:r>
      <w:r w:rsidR="00694CDF" w:rsidRPr="003B4AEE">
        <w:t xml:space="preserve"> approaches </w:t>
      </w:r>
      <w:r w:rsidR="001710DA" w:rsidRPr="003B4AEE">
        <w:t xml:space="preserve">used </w:t>
      </w:r>
      <w:r w:rsidR="00694CDF" w:rsidRPr="003B4AEE">
        <w:t>to minimize the burden to small entities</w:t>
      </w:r>
      <w:r w:rsidR="001710DA" w:rsidRPr="003B4AEE">
        <w:t xml:space="preserve"> </w:t>
      </w:r>
      <w:r w:rsidR="0082654C" w:rsidRPr="003B4AEE">
        <w:t>include the following</w:t>
      </w:r>
      <w:r w:rsidR="00694CDF" w:rsidRPr="003B4AEE">
        <w:t>:</w:t>
      </w:r>
    </w:p>
    <w:p w14:paraId="59ECBC40" w14:textId="75BDD7B2" w:rsidR="00975AE6" w:rsidRPr="003B4AEE" w:rsidRDefault="00975AE6" w:rsidP="00290A17">
      <w:pPr>
        <w:pStyle w:val="ListBullet"/>
        <w:numPr>
          <w:ilvl w:val="0"/>
          <w:numId w:val="21"/>
        </w:numPr>
      </w:pPr>
      <w:r w:rsidRPr="003B4AEE">
        <w:t xml:space="preserve">Several of the applications (e.g., Form 1 and NOIs) request minimal information, such as the name and location of the facility, or merely direct the applicant to complete specific sections of the application (e.g., Forms 2A and 2S). </w:t>
      </w:r>
      <w:r w:rsidR="00F7357A">
        <w:t>F</w:t>
      </w:r>
      <w:r w:rsidRPr="003B4AEE">
        <w:t xml:space="preserve">acilities submit applications once every </w:t>
      </w:r>
      <w:r w:rsidR="008D6167" w:rsidRPr="003B4AEE">
        <w:t xml:space="preserve">five </w:t>
      </w:r>
      <w:r w:rsidRPr="003B4AEE">
        <w:t>years. The burden represented by these applications cannot be further reduced for small businesses</w:t>
      </w:r>
      <w:r w:rsidR="00C94008">
        <w:t xml:space="preserve"> because p</w:t>
      </w:r>
      <w:r w:rsidRPr="003B4AEE">
        <w:t>ermitting authorities need certain basic information to make permitting decisions.</w:t>
      </w:r>
    </w:p>
    <w:p w14:paraId="51529260" w14:textId="3EFDE43D" w:rsidR="00F46507" w:rsidRPr="003B4AEE" w:rsidRDefault="00975AE6" w:rsidP="00017F9B">
      <w:pPr>
        <w:pStyle w:val="ListBullet"/>
        <w:numPr>
          <w:ilvl w:val="0"/>
          <w:numId w:val="21"/>
        </w:numPr>
      </w:pPr>
      <w:r w:rsidRPr="003B4AEE">
        <w:t xml:space="preserve">EPA developed general permit procedures to reduce burdens associated with the application </w:t>
      </w:r>
      <w:r w:rsidR="00B8666E" w:rsidRPr="003B4AEE">
        <w:t>for coverage and administration of large numbers of dischargers,</w:t>
      </w:r>
      <w:r w:rsidRPr="003B4AEE">
        <w:t xml:space="preserve"> especially the burden associated with stormwater discharges</w:t>
      </w:r>
      <w:r w:rsidR="00F46507" w:rsidRPr="003B4AEE">
        <w:t xml:space="preserve"> and pesticide discharges</w:t>
      </w:r>
      <w:r w:rsidRPr="003B4AEE">
        <w:t>.</w:t>
      </w:r>
      <w:r w:rsidR="000B0D81" w:rsidRPr="000B0D81">
        <w:t xml:space="preserve"> </w:t>
      </w:r>
      <w:r w:rsidR="000B0D81" w:rsidRPr="003B4AEE">
        <w:t xml:space="preserve">EPA and states also have made extensive use of general permits, which tend to have less burdensome monitoring and reporting requirements than individual permits. In fact, </w:t>
      </w:r>
      <w:proofErr w:type="gramStart"/>
      <w:r w:rsidR="000B0D81" w:rsidRPr="003B4AEE">
        <w:t>the majority of</w:t>
      </w:r>
      <w:proofErr w:type="gramEnd"/>
      <w:r w:rsidR="000B0D81" w:rsidRPr="003B4AEE">
        <w:t xml:space="preserve"> stormwater permittees, which compose more than 90 percent of all NPDES permittees, are covered under general permits.</w:t>
      </w:r>
    </w:p>
    <w:p w14:paraId="1A35480A" w14:textId="0F08B0DE" w:rsidR="00975AE6" w:rsidRPr="003B4AEE" w:rsidRDefault="00975AE6" w:rsidP="00290A17">
      <w:pPr>
        <w:pStyle w:val="ListBullet"/>
        <w:numPr>
          <w:ilvl w:val="0"/>
          <w:numId w:val="21"/>
        </w:numPr>
      </w:pPr>
      <w:r w:rsidRPr="003B4AEE">
        <w:t xml:space="preserve">NOIs for permit coverage for construction sites </w:t>
      </w:r>
      <w:r w:rsidR="00F46507" w:rsidRPr="003B4AEE">
        <w:t xml:space="preserve">and pesticide discharge activities </w:t>
      </w:r>
      <w:r w:rsidRPr="003B4AEE">
        <w:t xml:space="preserve">contain minimal information required to characterize the site and activity. NOIs are typically </w:t>
      </w:r>
      <w:r w:rsidR="008D6167" w:rsidRPr="003B4AEE">
        <w:t xml:space="preserve">submitted </w:t>
      </w:r>
      <w:r w:rsidRPr="003B4AEE">
        <w:t xml:space="preserve">once </w:t>
      </w:r>
      <w:r w:rsidR="00F46507" w:rsidRPr="003B4AEE">
        <w:t>every five year</w:t>
      </w:r>
      <w:r w:rsidR="00923A0E" w:rsidRPr="003B4AEE">
        <w:t>s</w:t>
      </w:r>
      <w:r w:rsidR="00F46507" w:rsidRPr="003B4AEE">
        <w:t>. Construction site</w:t>
      </w:r>
      <w:r w:rsidR="00923A0E" w:rsidRPr="003B4AEE">
        <w:t>s</w:t>
      </w:r>
      <w:r w:rsidR="00F46507" w:rsidRPr="003B4AEE">
        <w:t xml:space="preserve"> typically submit </w:t>
      </w:r>
      <w:r w:rsidR="00923A0E" w:rsidRPr="003B4AEE">
        <w:t xml:space="preserve">an </w:t>
      </w:r>
      <w:r w:rsidR="00F46507" w:rsidRPr="003B4AEE">
        <w:t xml:space="preserve">NOI once </w:t>
      </w:r>
      <w:r w:rsidRPr="003B4AEE">
        <w:t>for each construction activity</w:t>
      </w:r>
      <w:r w:rsidR="008D6167" w:rsidRPr="003B4AEE">
        <w:t>,</w:t>
      </w:r>
      <w:r w:rsidRPr="003B4AEE">
        <w:t xml:space="preserve"> or twice if the construction activity continues beyond the expiration date of the general permit</w:t>
      </w:r>
      <w:r w:rsidR="004B5CBF">
        <w:t>, and a Notice of Termination (NOT)</w:t>
      </w:r>
      <w:r w:rsidR="004B5CBF" w:rsidRPr="003B4AEE">
        <w:t>.</w:t>
      </w:r>
      <w:r w:rsidRPr="003B4AEE">
        <w:t xml:space="preserve"> Most site-related information is contained in the SWPPP</w:t>
      </w:r>
      <w:r w:rsidR="00F46507" w:rsidRPr="003B4AEE">
        <w:t xml:space="preserve"> or PDMP if required</w:t>
      </w:r>
      <w:r w:rsidRPr="003B4AEE">
        <w:t xml:space="preserve">, which </w:t>
      </w:r>
      <w:r w:rsidR="008D6167" w:rsidRPr="003B4AEE">
        <w:t xml:space="preserve">need not </w:t>
      </w:r>
      <w:r w:rsidRPr="003B4AEE">
        <w:t xml:space="preserve">be submitted to EPA. The CGP NOI (EPA </w:t>
      </w:r>
      <w:r w:rsidR="00916F1D" w:rsidRPr="003B4AEE">
        <w:t>F</w:t>
      </w:r>
      <w:r w:rsidRPr="003B4AEE">
        <w:t>orm 3510-9) was developed specifically to reduce the burden for construction activities. The current NOI is simplified and requests only relevant information for construction activities.</w:t>
      </w:r>
    </w:p>
    <w:p w14:paraId="2FC89051" w14:textId="2962C376" w:rsidR="00975AE6" w:rsidRPr="003B4AEE" w:rsidRDefault="00975AE6" w:rsidP="00290A17">
      <w:pPr>
        <w:pStyle w:val="ListBullet"/>
        <w:numPr>
          <w:ilvl w:val="0"/>
          <w:numId w:val="21"/>
        </w:numPr>
      </w:pPr>
      <w:r w:rsidRPr="003B4AEE">
        <w:t xml:space="preserve">With regard to small MS4s regulated under the Phase II Rule, EPA believes that the application requirements provide the minimum information required to adequately assess the current and future effects of the small MS4 discharges on waters of the United States. The NOI requirements for regulated small MS4s </w:t>
      </w:r>
      <w:r w:rsidR="00B96675" w:rsidRPr="003B4AEE">
        <w:t xml:space="preserve">are substantially less than </w:t>
      </w:r>
      <w:r w:rsidRPr="003B4AEE">
        <w:t xml:space="preserve">those </w:t>
      </w:r>
      <w:r w:rsidR="00B96675" w:rsidRPr="003B4AEE">
        <w:t xml:space="preserve">under </w:t>
      </w:r>
      <w:r w:rsidRPr="003B4AEE">
        <w:t>the Phase I stormwater regulation for medium and large MS4s.</w:t>
      </w:r>
      <w:r w:rsidR="00557FE5" w:rsidRPr="003B4AEE">
        <w:t xml:space="preserve"> The application requirements for the small subset requiring an individual permit are substantially reduced as well.</w:t>
      </w:r>
    </w:p>
    <w:p w14:paraId="316513E1" w14:textId="1512CF2F" w:rsidR="00B8666E" w:rsidRPr="003B4AEE" w:rsidRDefault="00477FD7" w:rsidP="00290A17">
      <w:pPr>
        <w:pStyle w:val="ListBullet"/>
        <w:numPr>
          <w:ilvl w:val="0"/>
          <w:numId w:val="21"/>
        </w:numPr>
      </w:pPr>
      <w:r>
        <w:lastRenderedPageBreak/>
        <w:t>T</w:t>
      </w:r>
      <w:r w:rsidR="00975AE6" w:rsidRPr="003B4AEE">
        <w:t xml:space="preserve">he no-exposure provision of the Stormwater Phase II Rule allows regulatory relief for small industrial entities </w:t>
      </w:r>
      <w:r w:rsidR="00FB12B2" w:rsidRPr="003B4AEE">
        <w:t>that submit “no exposure” certifications.</w:t>
      </w:r>
      <w:r w:rsidR="00975AE6" w:rsidRPr="003B4AEE">
        <w:t xml:space="preserve"> </w:t>
      </w:r>
      <w:r w:rsidR="00B8666E" w:rsidRPr="003B4AEE">
        <w:t xml:space="preserve">Small entities that take advantage of this provision </w:t>
      </w:r>
      <w:r w:rsidR="00B96675" w:rsidRPr="003B4AEE">
        <w:t xml:space="preserve">to switch </w:t>
      </w:r>
      <w:r w:rsidR="00B8666E" w:rsidRPr="003B4AEE">
        <w:t>from a permitted facility to “no exposure” status experience a substantial reduction in burden.</w:t>
      </w:r>
    </w:p>
    <w:p w14:paraId="746DA5F1" w14:textId="1DDDC70F" w:rsidR="00975AE6" w:rsidRPr="003B4AEE" w:rsidRDefault="00975AE6" w:rsidP="00290A17">
      <w:pPr>
        <w:pStyle w:val="ListBullet"/>
        <w:numPr>
          <w:ilvl w:val="0"/>
          <w:numId w:val="21"/>
        </w:numPr>
      </w:pPr>
      <w:r w:rsidRPr="003B4AEE">
        <w:t xml:space="preserve">Some </w:t>
      </w:r>
      <w:r w:rsidR="00FB12B2" w:rsidRPr="003B4AEE">
        <w:t xml:space="preserve">industrial </w:t>
      </w:r>
      <w:r w:rsidRPr="003B4AEE">
        <w:t>facilities that do not have toxic pollutants in their effluent are not required to provide as much monitoring information on Form 2C as those with toxic discharges. Under 40 CFR 122.21(g)(8), coal mines with a probable total annual production less than 100,000 tons per year and other applicants with gross total annual sales averaging less than $100,000 per year (in second quarter 1980 dollars) might qualify as a small business and be exempt from the reporting requirements for toxic pollutants.</w:t>
      </w:r>
    </w:p>
    <w:p w14:paraId="3F7BA52C" w14:textId="04C32B5A" w:rsidR="00975AE6" w:rsidRPr="003B4AEE" w:rsidRDefault="00975AE6" w:rsidP="00290A17">
      <w:pPr>
        <w:pStyle w:val="ListBullet"/>
        <w:numPr>
          <w:ilvl w:val="0"/>
          <w:numId w:val="21"/>
        </w:numPr>
      </w:pPr>
      <w:r w:rsidRPr="003B4AEE">
        <w:t xml:space="preserve">EPA </w:t>
      </w:r>
      <w:r w:rsidR="002A2B5D" w:rsidRPr="003B4AEE">
        <w:t>d</w:t>
      </w:r>
      <w:r w:rsidRPr="003B4AEE">
        <w:t>eveloped Form 2E specifically to reduce the reporting burden for certain small businesses. These businesses are new or existing manufacturing, commercial, mining, and silvicultur</w:t>
      </w:r>
      <w:r w:rsidR="00D56550" w:rsidRPr="003B4AEE">
        <w:t>e</w:t>
      </w:r>
      <w:r w:rsidRPr="003B4AEE">
        <w:t xml:space="preserve"> NPDES permit applicants that do not discharge process wastewater. This form is easier to complete and requires the submission of existing sampling data</w:t>
      </w:r>
      <w:r w:rsidR="00017F9B">
        <w:t>.</w:t>
      </w:r>
    </w:p>
    <w:p w14:paraId="41BE46B3" w14:textId="1E50A786" w:rsidR="00975AE6" w:rsidRPr="003B4AEE" w:rsidRDefault="00975AE6" w:rsidP="00290A17">
      <w:pPr>
        <w:pStyle w:val="ListBullet"/>
        <w:numPr>
          <w:ilvl w:val="0"/>
          <w:numId w:val="21"/>
        </w:numPr>
      </w:pPr>
      <w:r w:rsidRPr="003B4AEE">
        <w:t>All permittees</w:t>
      </w:r>
      <w:r w:rsidR="00075BFB">
        <w:t xml:space="preserve"> </w:t>
      </w:r>
      <w:r w:rsidRPr="003B4AEE">
        <w:t>are required to report instances of noncompliance and keep records of monitoring data. In most cases, these requirements do not impose a large burden on small businesses because the information required is simple and straightforward.</w:t>
      </w:r>
    </w:p>
    <w:p w14:paraId="3BE4B2F6" w14:textId="09ADBD0B" w:rsidR="002A2B5D" w:rsidRPr="003B4AEE" w:rsidRDefault="00975AE6" w:rsidP="00290A17">
      <w:pPr>
        <w:pStyle w:val="ListBullet"/>
        <w:numPr>
          <w:ilvl w:val="0"/>
          <w:numId w:val="21"/>
        </w:numPr>
      </w:pPr>
      <w:r w:rsidRPr="003B4AEE">
        <w:t xml:space="preserve">The burden incurred as a result of variance requests is voluntary. A small business that decides to request a variance from effluent limitations does so on the basis of its assessment that the benefits of receiving such a variance outweigh the burdens associated with preparing the request. The time and effort required to prepare a small facility’s variance request might be less than that required </w:t>
      </w:r>
      <w:r w:rsidR="001445CD" w:rsidRPr="003B4AEE">
        <w:t xml:space="preserve">for a larger, more complex facility </w:t>
      </w:r>
      <w:r w:rsidRPr="003B4AEE">
        <w:t>to prepare a similar request.</w:t>
      </w:r>
    </w:p>
    <w:p w14:paraId="7EFA662A" w14:textId="53B9A593" w:rsidR="000F134A" w:rsidRPr="003B4AEE" w:rsidRDefault="00975AE6" w:rsidP="00290A17">
      <w:pPr>
        <w:pStyle w:val="ListBullet"/>
        <w:numPr>
          <w:ilvl w:val="0"/>
          <w:numId w:val="21"/>
        </w:numPr>
      </w:pPr>
      <w:r w:rsidRPr="003B4AEE">
        <w:t xml:space="preserve">To </w:t>
      </w:r>
      <w:r w:rsidR="009D57FA" w:rsidRPr="003B4AEE">
        <w:t xml:space="preserve">help </w:t>
      </w:r>
      <w:r w:rsidRPr="003B4AEE">
        <w:t xml:space="preserve">communities with combined sewer systems that serve populations of fewer than 75,000, the CSO Control Policy recommends that NPDES permitting authorities use flexibility when requiring these communities to develop an LTCP. In the </w:t>
      </w:r>
      <w:r w:rsidR="001445CD" w:rsidRPr="003B4AEE">
        <w:t>P</w:t>
      </w:r>
      <w:r w:rsidRPr="003B4AEE">
        <w:t xml:space="preserve">olicy, EPA recommends that small systems be required to document implementation of the </w:t>
      </w:r>
      <w:r w:rsidR="00916F1D" w:rsidRPr="003B4AEE">
        <w:t>Nine Minimum Controls (</w:t>
      </w:r>
      <w:r w:rsidRPr="003B4AEE">
        <w:t>NMC</w:t>
      </w:r>
      <w:r w:rsidR="00916F1D" w:rsidRPr="003B4AEE">
        <w:t>)</w:t>
      </w:r>
      <w:r w:rsidRPr="003B4AEE">
        <w:t xml:space="preserve">, prepare LTCPs that give high priority to controlling overflows to sensitive areas, and </w:t>
      </w:r>
      <w:r w:rsidR="009D57FA" w:rsidRPr="003B4AEE">
        <w:t xml:space="preserve">involve the </w:t>
      </w:r>
      <w:r w:rsidRPr="003B4AEE">
        <w:t xml:space="preserve">public in their decision-making. The intent of this recommendation is to focus the limited resources of smaller communities on controlling CSOs. </w:t>
      </w:r>
      <w:r w:rsidR="001445CD" w:rsidRPr="003B4AEE">
        <w:t xml:space="preserve">Compliance monitoring should be less extensive for small entities than large entities </w:t>
      </w:r>
      <w:r w:rsidRPr="003B4AEE">
        <w:t xml:space="preserve">because the small systems have fewer CSOs. EPA developed an LTCP Template (LTCP EZ) to help small communities develop LTCPs. LTCP EZ builds on NMC implementation and provides step-by-step instructions for </w:t>
      </w:r>
      <w:r w:rsidR="001445CD" w:rsidRPr="003B4AEE">
        <w:t>completing the simple forms</w:t>
      </w:r>
      <w:r w:rsidRPr="003B4AEE">
        <w:t xml:space="preserve"> in hard copy format or electronically.</w:t>
      </w:r>
    </w:p>
    <w:p w14:paraId="5B9C9B42" w14:textId="5B75E906" w:rsidR="000F134A" w:rsidRPr="003B4AEE" w:rsidRDefault="000F134A" w:rsidP="004E05CF">
      <w:pPr>
        <w:pStyle w:val="BodyText"/>
      </w:pPr>
      <w:r w:rsidRPr="003B4AEE">
        <w:t xml:space="preserve">The reporting requirements for pretreatment program development affect state governments and municipal governments (i.e., POTWs). Requirements for pretreatment program implementation and program/categorical determinations involve some small business </w:t>
      </w:r>
      <w:r w:rsidR="00746B42" w:rsidRPr="003B4AEE">
        <w:t>industrial users (</w:t>
      </w:r>
      <w:r w:rsidRPr="003B4AEE">
        <w:t>IUs</w:t>
      </w:r>
      <w:r w:rsidR="00C46059" w:rsidRPr="003B4AEE">
        <w:t>)</w:t>
      </w:r>
      <w:r w:rsidRPr="003B4AEE">
        <w:t>. The information requested</w:t>
      </w:r>
      <w:r w:rsidR="00034D67" w:rsidRPr="003B4AEE">
        <w:t xml:space="preserve"> </w:t>
      </w:r>
      <w:r w:rsidRPr="003B4AEE">
        <w:t>is not available from other sources and is essential for implementing the pretreatment program.</w:t>
      </w:r>
    </w:p>
    <w:p w14:paraId="2056A463" w14:textId="557963BE" w:rsidR="008C4F7B" w:rsidRPr="003B4AEE" w:rsidRDefault="00442974" w:rsidP="004E05CF">
      <w:pPr>
        <w:pStyle w:val="BodyText"/>
      </w:pPr>
      <w:r w:rsidRPr="003B4AEE">
        <w:lastRenderedPageBreak/>
        <w:t xml:space="preserve">In 2001, EPA estimated that over the next 20 years </w:t>
      </w:r>
      <w:r w:rsidR="008A7827" w:rsidRPr="003B4AEE">
        <w:t xml:space="preserve">11 </w:t>
      </w:r>
      <w:r w:rsidRPr="003B4AEE">
        <w:t xml:space="preserve">new CWIS facilities owned by small entities </w:t>
      </w:r>
      <w:r w:rsidR="00C93049">
        <w:t>were</w:t>
      </w:r>
      <w:r w:rsidR="00C93049" w:rsidRPr="003B4AEE">
        <w:t xml:space="preserve"> </w:t>
      </w:r>
      <w:r w:rsidRPr="003B4AEE">
        <w:t>projected to be subject to the final 316(b) regulation. The exact number of facilities owned by small entities that would be subject to the rule annually is difficult to quantify. If any small entities would be affected, it is estimated</w:t>
      </w:r>
      <w:r w:rsidR="008A7827" w:rsidRPr="003B4AEE">
        <w:t>,</w:t>
      </w:r>
      <w:r w:rsidRPr="003B4AEE">
        <w:t xml:space="preserve"> one to two new respondents that are small entities will be added for this three</w:t>
      </w:r>
      <w:r w:rsidR="00034D67" w:rsidRPr="003B4AEE">
        <w:t>-</w:t>
      </w:r>
      <w:r w:rsidRPr="003B4AEE">
        <w:t>year ICR renewal period</w:t>
      </w:r>
      <w:r w:rsidR="00034D67" w:rsidRPr="003B4AEE">
        <w:t>,</w:t>
      </w:r>
      <w:r w:rsidRPr="003B4AEE">
        <w:t xml:space="preserve"> resulting in an estimated total of </w:t>
      </w:r>
      <w:r w:rsidR="008A7827" w:rsidRPr="003B4AEE">
        <w:t xml:space="preserve">10 </w:t>
      </w:r>
      <w:r w:rsidRPr="003B4AEE">
        <w:t>respondents that are small entities.</w:t>
      </w:r>
    </w:p>
    <w:p w14:paraId="7E9B099C" w14:textId="1FC9E1F9" w:rsidR="004B06E2" w:rsidRPr="003B4AEE" w:rsidRDefault="00442974" w:rsidP="004E05CF">
      <w:pPr>
        <w:pStyle w:val="BodyText"/>
      </w:pPr>
      <w:r w:rsidRPr="003B4AEE">
        <w:t>The 316(b) existing CWIS</w:t>
      </w:r>
      <w:r w:rsidR="00717BB1" w:rsidRPr="003B4AEE">
        <w:t xml:space="preserve"> rule</w:t>
      </w:r>
      <w:r w:rsidRPr="003B4AEE">
        <w:t xml:space="preserve"> facility applicability requirements in </w:t>
      </w:r>
      <w:r w:rsidR="007A0EFC" w:rsidRPr="003B4AEE">
        <w:t xml:space="preserve">40 CFR </w:t>
      </w:r>
      <w:r w:rsidR="008A7827" w:rsidRPr="003B4AEE">
        <w:t xml:space="preserve">section </w:t>
      </w:r>
      <w:r w:rsidRPr="003B4AEE">
        <w:t xml:space="preserve">125.91 exclude most existing small entities from the rule. As a result, the rule affects only a small absolute number of facilities owned by small entities, representing a very small percentage of all facilities owned by small entities in the electric power </w:t>
      </w:r>
      <w:r w:rsidR="004B06E2" w:rsidRPr="003B4AEE">
        <w:t xml:space="preserve">and manufacturing </w:t>
      </w:r>
      <w:r w:rsidRPr="003B4AEE">
        <w:t>industr</w:t>
      </w:r>
      <w:r w:rsidR="004B06E2" w:rsidRPr="003B4AEE">
        <w:t>ies</w:t>
      </w:r>
      <w:r w:rsidRPr="003B4AEE">
        <w:t xml:space="preserve">. EPA estimates that between 37 and 91 small entities </w:t>
      </w:r>
      <w:r w:rsidR="000C48DC" w:rsidRPr="003B4AEE">
        <w:t xml:space="preserve">in the electric power industry and six primary manufacturing industries </w:t>
      </w:r>
      <w:r w:rsidRPr="003B4AEE">
        <w:t xml:space="preserve">own </w:t>
      </w:r>
      <w:r w:rsidR="008D4628" w:rsidRPr="003B4AEE">
        <w:t>facilities subject</w:t>
      </w:r>
      <w:r w:rsidR="000C48DC" w:rsidRPr="003B4AEE">
        <w:t xml:space="preserve"> to this rule</w:t>
      </w:r>
      <w:r w:rsidRPr="003B4AEE">
        <w:t xml:space="preserve">. In addition, EPA estimates that </w:t>
      </w:r>
      <w:r w:rsidR="008A7827" w:rsidRPr="003B4AEE">
        <w:t xml:space="preserve">five </w:t>
      </w:r>
      <w:r w:rsidRPr="003B4AEE">
        <w:t>small entities own complying facilities in other industries.</w:t>
      </w:r>
      <w:r w:rsidR="004B06E2" w:rsidRPr="003B4AEE">
        <w:t xml:space="preserve"> </w:t>
      </w:r>
    </w:p>
    <w:p w14:paraId="52F17227" w14:textId="6C7244BA" w:rsidR="00442974" w:rsidRPr="003B4AEE" w:rsidRDefault="004B06E2" w:rsidP="004E05CF">
      <w:pPr>
        <w:pStyle w:val="BodyText"/>
      </w:pPr>
      <w:r w:rsidRPr="003B4AEE">
        <w:t xml:space="preserve">The 316(b) Phase III Rule applies to new offshore </w:t>
      </w:r>
      <w:r w:rsidR="007358A3" w:rsidRPr="003B4AEE">
        <w:t>o</w:t>
      </w:r>
      <w:r w:rsidRPr="003B4AEE">
        <w:t xml:space="preserve">il and </w:t>
      </w:r>
      <w:r w:rsidR="007358A3" w:rsidRPr="003B4AEE">
        <w:t>g</w:t>
      </w:r>
      <w:r w:rsidRPr="003B4AEE">
        <w:t>as facilities</w:t>
      </w:r>
      <w:r w:rsidR="008A7827" w:rsidRPr="003B4AEE">
        <w:t>,</w:t>
      </w:r>
      <w:r w:rsidRPr="003B4AEE">
        <w:t xml:space="preserve"> and the minimum design intake flow requirements exclude all but one small entity from the compliance requirements. </w:t>
      </w:r>
    </w:p>
    <w:p w14:paraId="3E8B2015" w14:textId="7A313ABE" w:rsidR="006732C5" w:rsidRPr="003B4AEE" w:rsidRDefault="002A2B5D" w:rsidP="004E05CF">
      <w:pPr>
        <w:pStyle w:val="BodyText"/>
      </w:pPr>
      <w:r w:rsidRPr="003B4AEE">
        <w:t>The information reported in this ICR related to state NPDES and sewage sludge programs is limited to state efforts, including EPA review of state information; it does not reflect the burden on the permittee. Therefore, these activities do not affect small businesses.</w:t>
      </w:r>
    </w:p>
    <w:p w14:paraId="5048C5DD" w14:textId="66A74A64" w:rsidR="009A1B1E" w:rsidRDefault="00EA7AF0" w:rsidP="004E05CF">
      <w:pPr>
        <w:pStyle w:val="BodyText"/>
      </w:pPr>
      <w:r w:rsidRPr="003B4AEE">
        <w:t>T</w:t>
      </w:r>
      <w:r w:rsidR="00C73AE0" w:rsidRPr="003B4AEE">
        <w:t xml:space="preserve">he </w:t>
      </w:r>
      <w:r w:rsidR="00E0697C" w:rsidRPr="003B4AEE">
        <w:t xml:space="preserve">Dental Office Category (40 CFR Part 441) </w:t>
      </w:r>
      <w:r w:rsidR="00C73AE0" w:rsidRPr="003B4AEE">
        <w:t>regulation significantly reduces and streamlines the reporting requirements in EPA’s General Pretreatment Regulations that would otherwise apply</w:t>
      </w:r>
      <w:r w:rsidR="000616D2" w:rsidRPr="003B4AEE">
        <w:t xml:space="preserve"> to dental offices </w:t>
      </w:r>
      <w:r w:rsidR="00451E6A" w:rsidRPr="003B4AEE">
        <w:t>treated as CIUs</w:t>
      </w:r>
      <w:r w:rsidR="00C73AE0" w:rsidRPr="003B4AEE">
        <w:t>. Most significantly, it requires dental dischargers to submit a One-Time Compliance Report rather than biannual reporting and wastewater sampling required of Categorical Industrial Users.</w:t>
      </w:r>
    </w:p>
    <w:p w14:paraId="6E1FFB88" w14:textId="01884BB1" w:rsidR="00002688" w:rsidRPr="003B4AEE" w:rsidRDefault="00002688" w:rsidP="00002688">
      <w:pPr>
        <w:pStyle w:val="BodyText"/>
      </w:pPr>
      <w:r>
        <w:t>The public notification requirements for CSOs to the Great Lakes Basin apply to a</w:t>
      </w:r>
      <w:r w:rsidRPr="00173FB2">
        <w:t xml:space="preserve">n estimated 122 </w:t>
      </w:r>
      <w:r w:rsidR="004874EC">
        <w:t xml:space="preserve">small </w:t>
      </w:r>
      <w:r>
        <w:t xml:space="preserve">municipalities, which </w:t>
      </w:r>
      <w:r w:rsidRPr="00173FB2">
        <w:t>have aggregate populations of less than 50,000 and are classified as small governmental jurisdictions and thus are small entities. EPA</w:t>
      </w:r>
      <w:r>
        <w:t xml:space="preserve"> </w:t>
      </w:r>
      <w:r w:rsidRPr="00173FB2">
        <w:t>evaluated the impact of this regulation on these small entities in relation to available financial data and concluded that this information collection will not have a significant impact on a substantial number of small entities.</w:t>
      </w:r>
    </w:p>
    <w:p w14:paraId="5C15A60A" w14:textId="16F72583" w:rsidR="007F2877" w:rsidRPr="003B4AEE" w:rsidRDefault="007F2877" w:rsidP="00305558">
      <w:pPr>
        <w:pStyle w:val="Heading2"/>
      </w:pPr>
      <w:bookmarkStart w:id="186" w:name="_Toc61334212"/>
      <w:bookmarkStart w:id="187" w:name="_Toc71729995"/>
      <w:r w:rsidRPr="003B4AEE">
        <w:t>Describe the consequences to the program if the collection is not conducted or is conducted less frequently</w:t>
      </w:r>
      <w:bookmarkEnd w:id="186"/>
      <w:bookmarkEnd w:id="187"/>
    </w:p>
    <w:p w14:paraId="3966C6D0" w14:textId="4F9FE4E8" w:rsidR="002A2B5D" w:rsidRPr="003B4AEE" w:rsidRDefault="00633264" w:rsidP="004E05CF">
      <w:pPr>
        <w:pStyle w:val="BodyText"/>
      </w:pPr>
      <w:r w:rsidRPr="003B4AEE">
        <w:t>Failure to</w:t>
      </w:r>
      <w:r w:rsidR="00B77B36" w:rsidRPr="003B4AEE">
        <w:t xml:space="preserve"> collect the necessary data to</w:t>
      </w:r>
      <w:r w:rsidRPr="003B4AEE">
        <w:t xml:space="preserve"> implement th</w:t>
      </w:r>
      <w:r w:rsidR="00147818" w:rsidRPr="003B4AEE">
        <w:t>ese</w:t>
      </w:r>
      <w:r w:rsidRPr="003B4AEE">
        <w:t xml:space="preserve"> regulation</w:t>
      </w:r>
      <w:r w:rsidR="00EF646C" w:rsidRPr="003B4AEE">
        <w:t>s</w:t>
      </w:r>
      <w:r w:rsidRPr="003B4AEE">
        <w:t xml:space="preserve"> would result in significant adverse </w:t>
      </w:r>
      <w:r w:rsidR="00147818" w:rsidRPr="003B4AEE">
        <w:t xml:space="preserve">impacts to the </w:t>
      </w:r>
      <w:r w:rsidRPr="003B4AEE">
        <w:t>environment</w:t>
      </w:r>
      <w:r w:rsidR="00147818" w:rsidRPr="003B4AEE">
        <w:t xml:space="preserve"> and to public health</w:t>
      </w:r>
      <w:r w:rsidRPr="003B4AEE">
        <w:t xml:space="preserve">. </w:t>
      </w:r>
      <w:r w:rsidR="00F024EF">
        <w:t>R</w:t>
      </w:r>
      <w:r w:rsidR="002A2B5D" w:rsidRPr="003B4AEE">
        <w:t xml:space="preserve">egulated facilities and/or control authorities </w:t>
      </w:r>
      <w:r w:rsidR="00BA080B" w:rsidRPr="003B4AEE">
        <w:t xml:space="preserve">that do not collect the data would be failing </w:t>
      </w:r>
      <w:r w:rsidR="002A2B5D" w:rsidRPr="003B4AEE">
        <w:t>to comply with the NPDES regulations</w:t>
      </w:r>
      <w:r w:rsidR="00F024EF">
        <w:t xml:space="preserve">, which could </w:t>
      </w:r>
      <w:r w:rsidR="002A2B5D" w:rsidRPr="003B4AEE">
        <w:t>result in enforcement actions including civil or criminal penalties.</w:t>
      </w:r>
    </w:p>
    <w:p w14:paraId="48D63B56" w14:textId="2CF464B0" w:rsidR="00242325" w:rsidRPr="003B4AEE" w:rsidRDefault="00975AE6" w:rsidP="00242325">
      <w:pPr>
        <w:pStyle w:val="BodyText"/>
      </w:pPr>
      <w:r w:rsidRPr="003B4AEE">
        <w:t xml:space="preserve">EPA recognizes the importance of balancing the need for data collection efforts against respondent burden and costs. From the inception of the NPDES program, cost has been </w:t>
      </w:r>
      <w:r w:rsidR="00BA080B" w:rsidRPr="003B4AEE">
        <w:t xml:space="preserve">a </w:t>
      </w:r>
      <w:r w:rsidRPr="003B4AEE">
        <w:lastRenderedPageBreak/>
        <w:t>major factor considered in establishing application requirements, monitoring conditions, report content</w:t>
      </w:r>
      <w:r w:rsidR="000C48DC" w:rsidRPr="003B4AEE">
        <w:t>,</w:t>
      </w:r>
      <w:r w:rsidRPr="003B4AEE">
        <w:t xml:space="preserve"> and </w:t>
      </w:r>
      <w:r w:rsidR="000C48DC" w:rsidRPr="003B4AEE">
        <w:t xml:space="preserve">reporting </w:t>
      </w:r>
      <w:r w:rsidRPr="003B4AEE">
        <w:t>frequencies.</w:t>
      </w:r>
      <w:r w:rsidR="00242325" w:rsidRPr="00242325">
        <w:t xml:space="preserve"> </w:t>
      </w:r>
      <w:r w:rsidR="00242325" w:rsidRPr="003B4AEE">
        <w:t xml:space="preserve">The information needed to meet permitting, monitoring, reporting, and information collection requirements related to the NPDES program is submitted either once, regularly, or as needed. EPA and authorized states need current information about permittees, discharge characteristics, enforcement actions, and program performance to fulfill oversight responsibilities. </w:t>
      </w:r>
    </w:p>
    <w:p w14:paraId="5A6B0A00" w14:textId="6F54BFB0" w:rsidR="00975AE6" w:rsidRPr="003B4AEE" w:rsidRDefault="00975AE6" w:rsidP="004E05CF">
      <w:pPr>
        <w:pStyle w:val="BodyText"/>
      </w:pPr>
      <w:r w:rsidRPr="003B4AEE">
        <w:t xml:space="preserve">EPA must track permits, compliance activities, and enforcement actions to ensure that state programs are carrying out the provisions of the CWA in a timely manner. </w:t>
      </w:r>
      <w:r w:rsidR="00EF646C" w:rsidRPr="003B4AEE">
        <w:t xml:space="preserve">EPA has determined that the </w:t>
      </w:r>
      <w:r w:rsidRPr="003B4AEE">
        <w:t xml:space="preserve">NPDES burden described in this ICR </w:t>
      </w:r>
      <w:r w:rsidR="00EF646C" w:rsidRPr="003B4AEE">
        <w:t xml:space="preserve">is </w:t>
      </w:r>
      <w:r w:rsidRPr="003B4AEE">
        <w:t xml:space="preserve">necessary </w:t>
      </w:r>
      <w:r w:rsidR="00AC064E" w:rsidRPr="003B4AEE">
        <w:t>t</w:t>
      </w:r>
      <w:r w:rsidR="00777F7F" w:rsidRPr="003B4AEE">
        <w:t xml:space="preserve">o </w:t>
      </w:r>
      <w:r w:rsidRPr="003B4AEE">
        <w:t xml:space="preserve">provide </w:t>
      </w:r>
      <w:r w:rsidR="00AC064E" w:rsidRPr="003B4AEE">
        <w:t>sufficient</w:t>
      </w:r>
      <w:r w:rsidRPr="003B4AEE">
        <w:t xml:space="preserve"> data for EPA to effectively provide guidance for state programs, to review or comment on state actions, or to intervene in compliance or enforcement cases.</w:t>
      </w:r>
    </w:p>
    <w:p w14:paraId="1B1460DF" w14:textId="06367A4B" w:rsidR="00975AE6" w:rsidRPr="003B4AEE" w:rsidRDefault="00975AE6" w:rsidP="004E05CF">
      <w:pPr>
        <w:pStyle w:val="BodyText"/>
      </w:pPr>
      <w:r w:rsidRPr="003B4AEE">
        <w:t>Permitted facilities must reapply for NPDES and sewage sludge management permits before their existing permits expire</w:t>
      </w:r>
      <w:r w:rsidR="00EA1FE0">
        <w:t>.</w:t>
      </w:r>
      <w:r w:rsidR="00075BFB">
        <w:t xml:space="preserve"> </w:t>
      </w:r>
      <w:r w:rsidRPr="003B4AEE">
        <w:t xml:space="preserve">The CWA prohibits NPDES permits from having terms longer than </w:t>
      </w:r>
      <w:r w:rsidR="00C2425A" w:rsidRPr="003B4AEE">
        <w:t xml:space="preserve">five </w:t>
      </w:r>
      <w:r w:rsidRPr="003B4AEE">
        <w:t xml:space="preserve">years. Less frequent permit applications would not </w:t>
      </w:r>
      <w:r w:rsidR="00C2425A" w:rsidRPr="003B4AEE">
        <w:t xml:space="preserve">give </w:t>
      </w:r>
      <w:r w:rsidRPr="003B4AEE">
        <w:t xml:space="preserve">the permitting authority current </w:t>
      </w:r>
      <w:r w:rsidR="00C2425A" w:rsidRPr="003B4AEE">
        <w:t xml:space="preserve">enough </w:t>
      </w:r>
      <w:r w:rsidRPr="003B4AEE">
        <w:t>data to establish effective limitations or conditions when reissuing permits. Less frequent permit issuance would also hinder the ability of EPA and the regulated community to take advantage of technological improvements as they occur. Permits must contain conditions that reflect, for example, the following criteria:</w:t>
      </w:r>
    </w:p>
    <w:p w14:paraId="77D512DD" w14:textId="22504B82" w:rsidR="00975AE6" w:rsidRPr="003B4AEE" w:rsidRDefault="00E0458C" w:rsidP="00290A17">
      <w:pPr>
        <w:pStyle w:val="ListBulletsingle"/>
        <w:numPr>
          <w:ilvl w:val="0"/>
          <w:numId w:val="22"/>
        </w:numPr>
      </w:pPr>
      <w:r w:rsidRPr="003B4AEE">
        <w:t>N</w:t>
      </w:r>
      <w:r w:rsidR="00717BB1" w:rsidRPr="003B4AEE">
        <w:t xml:space="preserve">ew industrial processes and waste treatment </w:t>
      </w:r>
      <w:proofErr w:type="gramStart"/>
      <w:r w:rsidR="00717BB1" w:rsidRPr="003B4AEE">
        <w:t>technologies;</w:t>
      </w:r>
      <w:proofErr w:type="gramEnd"/>
    </w:p>
    <w:p w14:paraId="4441AFE8" w14:textId="7D6D6BFA" w:rsidR="00975AE6" w:rsidRPr="003B4AEE" w:rsidRDefault="00E0458C" w:rsidP="00290A17">
      <w:pPr>
        <w:pStyle w:val="ListBulletsingle"/>
        <w:numPr>
          <w:ilvl w:val="0"/>
          <w:numId w:val="22"/>
        </w:numPr>
      </w:pPr>
      <w:r w:rsidRPr="003B4AEE">
        <w:t>N</w:t>
      </w:r>
      <w:r w:rsidR="00717BB1" w:rsidRPr="003B4AEE">
        <w:t>ew kinds of discharges (such as toxic chemicals</w:t>
      </w:r>
      <w:proofErr w:type="gramStart"/>
      <w:r w:rsidR="00717BB1" w:rsidRPr="003B4AEE">
        <w:t>);</w:t>
      </w:r>
      <w:proofErr w:type="gramEnd"/>
    </w:p>
    <w:p w14:paraId="2706286E" w14:textId="69D45289" w:rsidR="00975AE6" w:rsidRPr="003B4AEE" w:rsidRDefault="00E0458C" w:rsidP="00290A17">
      <w:pPr>
        <w:pStyle w:val="ListBulletsingle"/>
        <w:numPr>
          <w:ilvl w:val="0"/>
          <w:numId w:val="22"/>
        </w:numPr>
      </w:pPr>
      <w:r w:rsidRPr="003B4AEE">
        <w:t>N</w:t>
      </w:r>
      <w:r w:rsidR="00717BB1" w:rsidRPr="003B4AEE">
        <w:t>ew detection methods; and</w:t>
      </w:r>
    </w:p>
    <w:p w14:paraId="3249D2F0" w14:textId="116F4BFB" w:rsidR="00975AE6" w:rsidRPr="003B4AEE" w:rsidRDefault="00E0458C" w:rsidP="00290A17">
      <w:pPr>
        <w:pStyle w:val="ListBulletlast"/>
        <w:numPr>
          <w:ilvl w:val="0"/>
          <w:numId w:val="22"/>
        </w:numPr>
      </w:pPr>
      <w:r w:rsidRPr="003B4AEE">
        <w:t>C</w:t>
      </w:r>
      <w:r w:rsidR="00717BB1" w:rsidRPr="003B4AEE">
        <w:t xml:space="preserve">hanges </w:t>
      </w:r>
      <w:r w:rsidR="00975AE6" w:rsidRPr="003B4AEE">
        <w:t>in the quality of receiving waters.</w:t>
      </w:r>
    </w:p>
    <w:p w14:paraId="4A20AFFF" w14:textId="7C06B73C" w:rsidR="00174FBC" w:rsidRPr="003B4AEE" w:rsidRDefault="00174FBC" w:rsidP="004E05CF">
      <w:pPr>
        <w:pStyle w:val="BodyText"/>
      </w:pPr>
      <w:r w:rsidRPr="003B4AEE">
        <w:t xml:space="preserve">EPA considers the reporting requirements associated with the pretreatment program </w:t>
      </w:r>
      <w:r w:rsidR="00814F01" w:rsidRPr="003B4AEE">
        <w:t xml:space="preserve">to be </w:t>
      </w:r>
      <w:r w:rsidRPr="003B4AEE">
        <w:t xml:space="preserve">the minimum necessary for effective administration of the </w:t>
      </w:r>
      <w:r w:rsidR="00EF646C" w:rsidRPr="003B4AEE">
        <w:t xml:space="preserve">pretreatment </w:t>
      </w:r>
      <w:r w:rsidRPr="003B4AEE">
        <w:t>program</w:t>
      </w:r>
      <w:r w:rsidR="00EF646C" w:rsidRPr="003B4AEE">
        <w:t xml:space="preserve"> as well as </w:t>
      </w:r>
      <w:r w:rsidRPr="003B4AEE">
        <w:t xml:space="preserve">to ensure effective control of hazardous wastes and to implement RCRA section 3018(b). EPA considers the specific requirements for </w:t>
      </w:r>
      <w:r w:rsidR="004367D7" w:rsidRPr="003B4AEE">
        <w:t>significant industrial users</w:t>
      </w:r>
      <w:r w:rsidRPr="003B4AEE">
        <w:t xml:space="preserve"> </w:t>
      </w:r>
      <w:r w:rsidR="00C46059" w:rsidRPr="003B4AEE">
        <w:t>(</w:t>
      </w:r>
      <w:r w:rsidRPr="003B4AEE">
        <w:t>SIUs</w:t>
      </w:r>
      <w:r w:rsidR="00C46059" w:rsidRPr="003B4AEE">
        <w:t>)</w:t>
      </w:r>
      <w:r w:rsidRPr="003B4AEE">
        <w:t xml:space="preserve"> and for reporting the discharge of RCRA hazardous substances preferable to repealing the domestic sewage exclusion. The domestic sewage exclusion is a RCRA provision that excludes domestic sewage and any mixture of domestic sewage and other wastes that pass through a sewer system to a POTW for treatment from being classified as a RCRA hazardous waste.</w:t>
      </w:r>
    </w:p>
    <w:p w14:paraId="7DE5E18E" w14:textId="22CC7107" w:rsidR="00975AE6" w:rsidRPr="003B4AEE" w:rsidRDefault="00975AE6" w:rsidP="004E05CF">
      <w:pPr>
        <w:pStyle w:val="BodyText"/>
      </w:pPr>
      <w:r w:rsidRPr="003B4AEE">
        <w:t xml:space="preserve">Some of the information in this ICR that is required to be submitted is collected only after the permittee violates a permit condition or after a certain condition occurs. For example, noncompliance reports are submitted when the facility experiences a bypass, an upset, or a violation of a </w:t>
      </w:r>
      <w:r w:rsidR="00BD6F42" w:rsidRPr="003B4AEE">
        <w:t>permit</w:t>
      </w:r>
      <w:r w:rsidRPr="003B4AEE">
        <w:t xml:space="preserve"> limit. Responses to section 308(a) letters are submitted only when requested by the Administrator in response to events such as a spill of oil or a hazardous substance, or whenever EPA has reason to believe it needs </w:t>
      </w:r>
      <w:r w:rsidR="007A3058" w:rsidRPr="003B4AEE">
        <w:t xml:space="preserve">more </w:t>
      </w:r>
      <w:r w:rsidRPr="003B4AEE">
        <w:t xml:space="preserve">information to determine compliance. Compliance schedule reports are submitted only when a permit contains a compliance </w:t>
      </w:r>
      <w:r w:rsidR="00587E02" w:rsidRPr="003B4AEE">
        <w:t>schedule,</w:t>
      </w:r>
      <w:r w:rsidRPr="003B4AEE">
        <w:t xml:space="preserve"> and </w:t>
      </w:r>
      <w:r w:rsidR="007F51D2" w:rsidRPr="003B4AEE">
        <w:t>it is necessary to ascertain a permittee</w:t>
      </w:r>
      <w:r w:rsidR="007A3058" w:rsidRPr="003B4AEE">
        <w:t>’</w:t>
      </w:r>
      <w:r w:rsidR="007F51D2" w:rsidRPr="003B4AEE">
        <w:t>s compliance with a milestone in the compliance schedule.</w:t>
      </w:r>
      <w:r w:rsidRPr="003B4AEE">
        <w:t xml:space="preserve"> Also, alternate level reports are submitted only when there is an expected change in the production level at the facility.</w:t>
      </w:r>
    </w:p>
    <w:p w14:paraId="16E952F2" w14:textId="09754146" w:rsidR="00975AE6" w:rsidRPr="003B4AEE" w:rsidRDefault="00975AE6" w:rsidP="004E05CF">
      <w:pPr>
        <w:pStyle w:val="BodyText"/>
      </w:pPr>
      <w:r w:rsidRPr="003B4AEE">
        <w:lastRenderedPageBreak/>
        <w:t xml:space="preserve">In certain instances, </w:t>
      </w:r>
      <w:r w:rsidR="007F51D2" w:rsidRPr="003B4AEE">
        <w:t xml:space="preserve">a permittee </w:t>
      </w:r>
      <w:r w:rsidRPr="003B4AEE">
        <w:t xml:space="preserve">may choose to submit information when requesting a modification or variance from otherwise applicable requirements. The information collection and reporting requirements associated with NPDES permit modifications and variances are specific, would not be supplied in any other report or application, and are submitted as needed. In most cases, the decision to submit information is made by the NPDES permittee or permit applicant. The exceptions are (1) when outside events trigger the need for a permit modification and (2) when the Administrator decides to invoke a reporting requirement, such as a request for permit revocation and reissuance. Because information is submitted only when needed, less frequent data collection would not </w:t>
      </w:r>
      <w:r w:rsidR="007A3058" w:rsidRPr="003B4AEE">
        <w:t xml:space="preserve">give </w:t>
      </w:r>
      <w:r w:rsidRPr="003B4AEE">
        <w:t xml:space="preserve">the permitting authority </w:t>
      </w:r>
      <w:r w:rsidR="007A3058" w:rsidRPr="003B4AEE">
        <w:t xml:space="preserve">enough </w:t>
      </w:r>
      <w:r w:rsidRPr="003B4AEE">
        <w:t xml:space="preserve">information to meet </w:t>
      </w:r>
      <w:r w:rsidR="007A3058" w:rsidRPr="003B4AEE">
        <w:t xml:space="preserve">its </w:t>
      </w:r>
      <w:r w:rsidRPr="003B4AEE">
        <w:t>responsibilities under the CWA.</w:t>
      </w:r>
    </w:p>
    <w:p w14:paraId="458FC059" w14:textId="38D63B79" w:rsidR="007F2877" w:rsidRPr="003B4AEE" w:rsidRDefault="007F2877" w:rsidP="00305558">
      <w:pPr>
        <w:pStyle w:val="Heading2"/>
      </w:pPr>
      <w:bookmarkStart w:id="188" w:name="_Toc61334213"/>
      <w:bookmarkStart w:id="189" w:name="_Toc71729996"/>
      <w:r w:rsidRPr="003B4AEE">
        <w:t>Explain any special circumstances associated with “extraordinary burden” placed on respondents</w:t>
      </w:r>
      <w:bookmarkEnd w:id="188"/>
      <w:bookmarkEnd w:id="189"/>
    </w:p>
    <w:p w14:paraId="79D7EAF4" w14:textId="54113BE7" w:rsidR="009B1FA1" w:rsidRPr="003B4AEE" w:rsidRDefault="007A3058" w:rsidP="004E05CF">
      <w:pPr>
        <w:pStyle w:val="BodyText"/>
      </w:pPr>
      <w:r w:rsidRPr="003B4AEE">
        <w:t>N</w:t>
      </w:r>
      <w:r w:rsidR="009B1FA1" w:rsidRPr="003B4AEE">
        <w:t xml:space="preserve">o special circumstances </w:t>
      </w:r>
      <w:r w:rsidRPr="003B4AEE">
        <w:t xml:space="preserve">place </w:t>
      </w:r>
      <w:r w:rsidR="009B1FA1" w:rsidRPr="003B4AEE">
        <w:t xml:space="preserve">“extraordinary burden” on respondents. </w:t>
      </w:r>
      <w:r w:rsidRPr="003B4AEE">
        <w:t>I</w:t>
      </w:r>
      <w:r w:rsidR="009B1FA1" w:rsidRPr="003B4AEE">
        <w:t xml:space="preserve">nformation is </w:t>
      </w:r>
      <w:r w:rsidRPr="003B4AEE">
        <w:t xml:space="preserve">collected </w:t>
      </w:r>
      <w:r w:rsidR="009B1FA1" w:rsidRPr="003B4AEE">
        <w:t xml:space="preserve">in a manner consistent with the Paperwork Reduction Act </w:t>
      </w:r>
      <w:r w:rsidRPr="003B4AEE">
        <w:t xml:space="preserve">(PRA) </w:t>
      </w:r>
      <w:r w:rsidR="009B1FA1" w:rsidRPr="003B4AEE">
        <w:t xml:space="preserve">guidelines at 5 CFR 1320.5(d)(2). Requests for supplemental information for emergency response or enforcement are exempt from the </w:t>
      </w:r>
      <w:r w:rsidRPr="003B4AEE">
        <w:t>PRA</w:t>
      </w:r>
      <w:r w:rsidR="009B1FA1" w:rsidRPr="003B4AEE">
        <w:t xml:space="preserve"> requirements.</w:t>
      </w:r>
    </w:p>
    <w:p w14:paraId="36D2F3B2" w14:textId="26E7FD3F" w:rsidR="007F2877" w:rsidRPr="003B4AEE" w:rsidRDefault="007F2877" w:rsidP="00305558">
      <w:pPr>
        <w:pStyle w:val="Heading2"/>
      </w:pPr>
      <w:bookmarkStart w:id="190" w:name="_Toc61334214"/>
      <w:bookmarkStart w:id="191" w:name="_Toc71729997"/>
      <w:bookmarkStart w:id="192" w:name="_Hlk75781100"/>
      <w:r w:rsidRPr="003B4AEE">
        <w:t>Provide a copy and identify the date and page number of the notice in the Federal Register</w:t>
      </w:r>
      <w:r w:rsidR="004A2F42" w:rsidRPr="003B4AEE">
        <w:t xml:space="preserve"> and describe efforts to consult with persons outside the agency</w:t>
      </w:r>
      <w:bookmarkEnd w:id="190"/>
      <w:bookmarkEnd w:id="191"/>
    </w:p>
    <w:p w14:paraId="6F183B32" w14:textId="77777777" w:rsidR="00605E12" w:rsidRDefault="00605E12" w:rsidP="00605E12">
      <w:pPr>
        <w:pStyle w:val="BodyText"/>
      </w:pPr>
      <w:bookmarkStart w:id="193" w:name="_Toc61334215"/>
      <w:bookmarkStart w:id="194" w:name="_Toc71729998"/>
      <w:bookmarkEnd w:id="192"/>
      <w:r>
        <w:t xml:space="preserve">In June 2020, EPA initiated a consultation with stakeholders in the National Association of Clean Water Agencies (NACWA), the Association of Clean Water Administrators (ACWA), and the Federal Water Quality Coalition (FWQC), representing municipal, state, and industrial respondents (respectively) for this ICR. With the consultation, EPA requested input on changes to estimated information collection burden due to program changes, incorporation of addition separate ICRs, and the following questions: </w:t>
      </w:r>
    </w:p>
    <w:p w14:paraId="0FA3E4AE" w14:textId="77777777" w:rsidR="00605E12" w:rsidRDefault="00605E12" w:rsidP="00605E12">
      <w:pPr>
        <w:pStyle w:val="BodyText"/>
        <w:numPr>
          <w:ilvl w:val="0"/>
          <w:numId w:val="46"/>
        </w:numPr>
        <w:spacing w:after="0"/>
      </w:pPr>
      <w:r>
        <w:t xml:space="preserve">Has EPA </w:t>
      </w:r>
      <w:r w:rsidRPr="00224DD4">
        <w:t>adequately and reasonably described recordkeeping requirements?</w:t>
      </w:r>
    </w:p>
    <w:p w14:paraId="1D888FE6" w14:textId="77777777" w:rsidR="00605E12" w:rsidRDefault="00605E12" w:rsidP="00605E12">
      <w:pPr>
        <w:pStyle w:val="BodyText"/>
        <w:numPr>
          <w:ilvl w:val="0"/>
          <w:numId w:val="46"/>
        </w:numPr>
        <w:spacing w:after="0"/>
      </w:pPr>
      <w:r>
        <w:t xml:space="preserve">Are the burden hours, as described, accurate? </w:t>
      </w:r>
    </w:p>
    <w:p w14:paraId="1B05363C" w14:textId="77777777" w:rsidR="00605E12" w:rsidRDefault="00605E12" w:rsidP="00017F9B">
      <w:pPr>
        <w:pStyle w:val="BodyText"/>
        <w:numPr>
          <w:ilvl w:val="0"/>
          <w:numId w:val="46"/>
        </w:numPr>
      </w:pPr>
      <w:r>
        <w:t xml:space="preserve">Are the burden costs, as described, accurate? </w:t>
      </w:r>
    </w:p>
    <w:p w14:paraId="06D4A3D8" w14:textId="77777777" w:rsidR="00605E12" w:rsidRDefault="00605E12" w:rsidP="00605E12">
      <w:pPr>
        <w:pStyle w:val="BodyText"/>
      </w:pPr>
      <w:r>
        <w:t>EPA received comments from one agency, the Louisiana Department of Environmental Quality (LADEQ) regarding burden hour estimates used for states to review and/or process NPDES application forms, notifications, certification for exceptions and NOIs</w:t>
      </w:r>
      <w:r w:rsidRPr="001F3FDF">
        <w:t xml:space="preserve">. </w:t>
      </w:r>
    </w:p>
    <w:p w14:paraId="269E4340" w14:textId="12D5F8DB" w:rsidR="00605E12" w:rsidRPr="008B556A" w:rsidRDefault="00605E12" w:rsidP="00605E12">
      <w:pPr>
        <w:pStyle w:val="BodyText"/>
        <w:rPr>
          <w:color w:val="FF0000"/>
        </w:rPr>
      </w:pPr>
      <w:r>
        <w:t>Additionally, i</w:t>
      </w:r>
      <w:r w:rsidRPr="008B556A">
        <w:t xml:space="preserve">n compliance with the 1995 Paperwork Reduction Act, EPA solicited public comments for a 60-day period </w:t>
      </w:r>
      <w:r>
        <w:t xml:space="preserve">in part to </w:t>
      </w:r>
      <w:r w:rsidRPr="008B556A">
        <w:t xml:space="preserve">determine realistic burden estimates for respondents. </w:t>
      </w:r>
      <w:r w:rsidRPr="00605E12">
        <w:t>During this public comment period, EPA received one comment, which pertained to NPDES application Form 2A’s Section 3.7. EPA has considered this comment and in response is making minor edits to this section</w:t>
      </w:r>
      <w:r w:rsidR="004B18E6">
        <w:t>. T</w:t>
      </w:r>
      <w:r w:rsidRPr="00605E12">
        <w:t>hese edits have no impact on the burden hours associated with completing application Form 2A.</w:t>
      </w:r>
    </w:p>
    <w:p w14:paraId="55DBB394" w14:textId="388309E2" w:rsidR="007F2877" w:rsidRPr="003B4AEE" w:rsidRDefault="007F2877" w:rsidP="00305558">
      <w:pPr>
        <w:pStyle w:val="Heading2"/>
      </w:pPr>
      <w:r w:rsidRPr="003B4AEE">
        <w:t>Explain any decision to provide compensation to respondents</w:t>
      </w:r>
      <w:bookmarkEnd w:id="193"/>
      <w:bookmarkEnd w:id="194"/>
    </w:p>
    <w:p w14:paraId="6F07526C" w14:textId="718E932F" w:rsidR="00975AE6" w:rsidRPr="003B4AEE" w:rsidRDefault="009B1FA1" w:rsidP="004E05CF">
      <w:pPr>
        <w:pStyle w:val="BodyText"/>
      </w:pPr>
      <w:r w:rsidRPr="003B4AEE">
        <w:t>No payments or gifts are provided to respondents.</w:t>
      </w:r>
    </w:p>
    <w:p w14:paraId="68850C48" w14:textId="18FEB2A2" w:rsidR="007F2877" w:rsidRPr="003B4AEE" w:rsidRDefault="007F2877" w:rsidP="00305558">
      <w:pPr>
        <w:pStyle w:val="Heading2"/>
      </w:pPr>
      <w:bookmarkStart w:id="195" w:name="_Toc61334216"/>
      <w:bookmarkStart w:id="196" w:name="_Toc71729999"/>
      <w:r w:rsidRPr="003B4AEE">
        <w:lastRenderedPageBreak/>
        <w:t>Describe any assurance of confidentiality provided to respondents</w:t>
      </w:r>
      <w:bookmarkEnd w:id="195"/>
      <w:bookmarkEnd w:id="196"/>
    </w:p>
    <w:p w14:paraId="109901DB" w14:textId="4553D644" w:rsidR="00975AE6" w:rsidRPr="003B4AEE" w:rsidRDefault="00975AE6" w:rsidP="004E05CF">
      <w:pPr>
        <w:pStyle w:val="BodyText"/>
      </w:pPr>
      <w:r w:rsidRPr="003B4AEE">
        <w:t xml:space="preserve">Permit applications and other respondent reports </w:t>
      </w:r>
      <w:r w:rsidR="00691FA7" w:rsidRPr="003B4AEE">
        <w:t>may</w:t>
      </w:r>
      <w:r w:rsidRPr="003B4AEE">
        <w:t xml:space="preserve"> contain confidential business information. If this is the case, the respondent may request that such information be treated as confidential. All confidential data will be handled in accordance with 40 CFR 122.7, 40 CFR Part 2, and EPA’s </w:t>
      </w:r>
      <w:r w:rsidRPr="003B4AEE">
        <w:rPr>
          <w:i/>
        </w:rPr>
        <w:t>Security Manual</w:t>
      </w:r>
      <w:r w:rsidRPr="003B4AEE">
        <w:t xml:space="preserve"> Part III, Chapter 9, dated August 9, 1976. Any claim of confidentiality must be asserted at the time of submission. However, CWA section 308(b) specifically states that effluent data may not be treated as confidential.</w:t>
      </w:r>
    </w:p>
    <w:p w14:paraId="533505FD" w14:textId="795ADE08" w:rsidR="007F2877" w:rsidRPr="003B4AEE" w:rsidRDefault="007F2877" w:rsidP="00305558">
      <w:pPr>
        <w:pStyle w:val="Heading2"/>
      </w:pPr>
      <w:bookmarkStart w:id="197" w:name="_Toc61334217"/>
      <w:bookmarkStart w:id="198" w:name="_Toc71730000"/>
      <w:r w:rsidRPr="003B4AEE">
        <w:t>Provide additional justification for any questions of a sensitive nature</w:t>
      </w:r>
      <w:bookmarkEnd w:id="197"/>
      <w:bookmarkEnd w:id="198"/>
    </w:p>
    <w:p w14:paraId="72D54B4F" w14:textId="7E26B11A" w:rsidR="004F2E4C" w:rsidRPr="003B4AEE" w:rsidRDefault="009B1FA1" w:rsidP="004E05CF">
      <w:pPr>
        <w:pStyle w:val="BodyText"/>
      </w:pPr>
      <w:r w:rsidRPr="003B4AEE">
        <w:t>Questions of a sensitive nature</w:t>
      </w:r>
      <w:r w:rsidR="008B42F9" w:rsidRPr="003B4AEE">
        <w:t xml:space="preserve"> (including personally identifiable information)</w:t>
      </w:r>
      <w:r w:rsidRPr="003B4AEE">
        <w:t xml:space="preserve"> are not found in this information collection.</w:t>
      </w:r>
    </w:p>
    <w:p w14:paraId="3433A0F7" w14:textId="537C0056" w:rsidR="007F2877" w:rsidRPr="003B4AEE" w:rsidRDefault="007F2877" w:rsidP="00305558">
      <w:pPr>
        <w:pStyle w:val="Heading2"/>
      </w:pPr>
      <w:bookmarkStart w:id="199" w:name="_Toc61334218"/>
      <w:bookmarkStart w:id="200" w:name="_Toc71730001"/>
      <w:r w:rsidRPr="003B4AEE">
        <w:t>Provide estimates of the hour burden of the collection of information</w:t>
      </w:r>
      <w:bookmarkEnd w:id="199"/>
      <w:bookmarkEnd w:id="200"/>
    </w:p>
    <w:p w14:paraId="01221CD2" w14:textId="34EFF713" w:rsidR="00B33CEF" w:rsidRPr="003B4AEE" w:rsidRDefault="005F454E" w:rsidP="004E05CF">
      <w:pPr>
        <w:pStyle w:val="BodyText"/>
      </w:pPr>
      <w:r w:rsidRPr="003B4AEE">
        <w:t xml:space="preserve">The estimate of respondent burden hours </w:t>
      </w:r>
      <w:r w:rsidR="001421BC" w:rsidRPr="003B4AEE">
        <w:t>covers</w:t>
      </w:r>
      <w:r w:rsidRPr="003B4AEE">
        <w:t xml:space="preserve"> facilities subject to NPDES program requirements (permittees) and authorized states. </w:t>
      </w:r>
      <w:r w:rsidR="004C4096" w:rsidRPr="003B4AEE">
        <w:t xml:space="preserve">Appendix A </w:t>
      </w:r>
      <w:r w:rsidR="00134A7F" w:rsidRPr="003B4AEE">
        <w:t>describes</w:t>
      </w:r>
      <w:r w:rsidR="004C4096" w:rsidRPr="003B4AEE">
        <w:t xml:space="preserve"> the information collected and </w:t>
      </w:r>
      <w:r w:rsidR="00B33CEF" w:rsidRPr="003B4AEE">
        <w:t xml:space="preserve">the </w:t>
      </w:r>
      <w:r w:rsidR="004C4096" w:rsidRPr="003B4AEE">
        <w:t>methodology for estimating respondent burden and costs. A</w:t>
      </w:r>
      <w:r w:rsidR="004209F1" w:rsidRPr="003B4AEE">
        <w:t xml:space="preserve">ppendix B presents a </w:t>
      </w:r>
      <w:r w:rsidRPr="003B4AEE">
        <w:t>calculated respondent burden estimate grouped by activity type and respondent type.</w:t>
      </w:r>
      <w:r w:rsidR="00F768BA" w:rsidRPr="003B4AEE">
        <w:t xml:space="preserve"> </w:t>
      </w:r>
      <w:r w:rsidR="00D94D14" w:rsidRPr="003B4AEE">
        <w:fldChar w:fldCharType="begin"/>
      </w:r>
      <w:r w:rsidR="00D94D14" w:rsidRPr="003B4AEE">
        <w:instrText xml:space="preserve"> REF _Ref61328201 \h </w:instrText>
      </w:r>
      <w:r w:rsidR="00F8068F" w:rsidRPr="003B4AEE">
        <w:instrText xml:space="preserve"> \* MERGEFORMAT </w:instrText>
      </w:r>
      <w:r w:rsidR="00D94D14" w:rsidRPr="003B4AEE">
        <w:fldChar w:fldCharType="separate"/>
      </w:r>
      <w:r w:rsidR="00B811B7" w:rsidRPr="003B4AEE">
        <w:t xml:space="preserve">Table </w:t>
      </w:r>
      <w:r w:rsidR="00B811B7" w:rsidRPr="003B4AEE">
        <w:rPr>
          <w:noProof/>
        </w:rPr>
        <w:t>12</w:t>
      </w:r>
      <w:r w:rsidR="00B811B7" w:rsidRPr="003B4AEE">
        <w:rPr>
          <w:noProof/>
        </w:rPr>
        <w:noBreakHyphen/>
        <w:t>1</w:t>
      </w:r>
      <w:r w:rsidR="00D94D14" w:rsidRPr="003B4AEE">
        <w:fldChar w:fldCharType="end"/>
      </w:r>
      <w:r w:rsidR="00F768BA" w:rsidRPr="003B4AEE">
        <w:t xml:space="preserve"> summarizes the labor burden and associated </w:t>
      </w:r>
      <w:r w:rsidRPr="003B4AEE">
        <w:t xml:space="preserve">labor </w:t>
      </w:r>
      <w:r w:rsidR="00F768BA" w:rsidRPr="003B4AEE">
        <w:t xml:space="preserve">costs for permittees and states with NPDES </w:t>
      </w:r>
      <w:r w:rsidR="001710DA" w:rsidRPr="003B4AEE">
        <w:t>p</w:t>
      </w:r>
      <w:r w:rsidR="00F768BA" w:rsidRPr="003B4AEE">
        <w:t>rogram authority.</w:t>
      </w:r>
    </w:p>
    <w:p w14:paraId="271F9CF2" w14:textId="365A4443" w:rsidR="004E651D" w:rsidRPr="003B4AEE" w:rsidRDefault="004E651D" w:rsidP="004E05CF">
      <w:pPr>
        <w:pStyle w:val="TableTitle"/>
      </w:pPr>
      <w:bookmarkStart w:id="201" w:name="_Ref61328201"/>
      <w:bookmarkStart w:id="202" w:name="_Toc61521436"/>
      <w:r w:rsidRPr="003B4AEE">
        <w:t xml:space="preserve">Table </w:t>
      </w:r>
      <w:r>
        <w:fldChar w:fldCharType="begin"/>
      </w:r>
      <w:r>
        <w:instrText>STYLEREF 2 \s</w:instrText>
      </w:r>
      <w:r>
        <w:fldChar w:fldCharType="separate"/>
      </w:r>
      <w:r w:rsidR="00B811B7" w:rsidRPr="003B4AEE">
        <w:rPr>
          <w:noProof/>
        </w:rPr>
        <w:t>12</w:t>
      </w:r>
      <w:r>
        <w:fldChar w:fldCharType="end"/>
      </w:r>
      <w:r w:rsidR="007A3DD9" w:rsidRPr="003B4AEE">
        <w:noBreakHyphen/>
      </w:r>
      <w:r>
        <w:fldChar w:fldCharType="begin"/>
      </w:r>
      <w:r>
        <w:instrText>SEQ Table \* ARABIC \s 2</w:instrText>
      </w:r>
      <w:r>
        <w:fldChar w:fldCharType="separate"/>
      </w:r>
      <w:r w:rsidR="00B811B7" w:rsidRPr="003B4AEE">
        <w:rPr>
          <w:noProof/>
        </w:rPr>
        <w:t>1</w:t>
      </w:r>
      <w:r>
        <w:fldChar w:fldCharType="end"/>
      </w:r>
      <w:bookmarkEnd w:id="201"/>
      <w:r w:rsidR="00D030D3" w:rsidRPr="003B4AEE">
        <w:t>.</w:t>
      </w:r>
      <w:r w:rsidRPr="003B4AEE">
        <w:t xml:space="preserve"> Summary of </w:t>
      </w:r>
      <w:r w:rsidR="00AC7E76" w:rsidRPr="003B4AEE">
        <w:t>L</w:t>
      </w:r>
      <w:r w:rsidRPr="003B4AEE">
        <w:t xml:space="preserve">abor </w:t>
      </w:r>
      <w:r w:rsidR="00AC7E76" w:rsidRPr="003B4AEE">
        <w:t>B</w:t>
      </w:r>
      <w:r w:rsidRPr="003B4AEE">
        <w:t xml:space="preserve">urden and </w:t>
      </w:r>
      <w:r w:rsidR="00AC7E76" w:rsidRPr="003B4AEE">
        <w:t>C</w:t>
      </w:r>
      <w:r w:rsidRPr="003B4AEE">
        <w:t>osts</w:t>
      </w:r>
      <w:bookmarkEnd w:id="2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72"/>
        <w:gridCol w:w="1683"/>
        <w:gridCol w:w="2250"/>
        <w:gridCol w:w="2245"/>
      </w:tblGrid>
      <w:tr w:rsidR="00E53E0B" w:rsidRPr="003B4AEE" w14:paraId="20204E39" w14:textId="77777777" w:rsidTr="00424C0E">
        <w:trPr>
          <w:jc w:val="center"/>
        </w:trPr>
        <w:tc>
          <w:tcPr>
            <w:tcW w:w="3172" w:type="dxa"/>
            <w:shd w:val="clear" w:color="auto" w:fill="D9D9D9" w:themeFill="background1" w:themeFillShade="D9"/>
            <w:vAlign w:val="bottom"/>
          </w:tcPr>
          <w:p w14:paraId="74AD519A" w14:textId="77777777" w:rsidR="00E53E0B" w:rsidRPr="003B4AEE" w:rsidRDefault="00E53E0B" w:rsidP="009F1C6B">
            <w:pPr>
              <w:pStyle w:val="TableHeading"/>
            </w:pPr>
          </w:p>
        </w:tc>
        <w:tc>
          <w:tcPr>
            <w:tcW w:w="1683" w:type="dxa"/>
            <w:shd w:val="clear" w:color="auto" w:fill="D9D9D9" w:themeFill="background1" w:themeFillShade="D9"/>
            <w:vAlign w:val="bottom"/>
          </w:tcPr>
          <w:p w14:paraId="38207084" w14:textId="72B9AF8E" w:rsidR="00E53E0B" w:rsidRPr="003B4AEE" w:rsidRDefault="00E53E0B" w:rsidP="009F1C6B">
            <w:pPr>
              <w:pStyle w:val="TableHeading"/>
            </w:pPr>
            <w:r w:rsidRPr="003B4AEE">
              <w:t xml:space="preserve">Average </w:t>
            </w:r>
            <w:r w:rsidR="00AC7E76" w:rsidRPr="003B4AEE">
              <w:t>A</w:t>
            </w:r>
            <w:r w:rsidRPr="003B4AEE">
              <w:t xml:space="preserve">nnual </w:t>
            </w:r>
            <w:r w:rsidR="00AC7E76" w:rsidRPr="003B4AEE">
              <w:t>R</w:t>
            </w:r>
            <w:r w:rsidRPr="003B4AEE">
              <w:t>espondents</w:t>
            </w:r>
          </w:p>
        </w:tc>
        <w:tc>
          <w:tcPr>
            <w:tcW w:w="2250" w:type="dxa"/>
            <w:shd w:val="clear" w:color="auto" w:fill="D9D9D9" w:themeFill="background1" w:themeFillShade="D9"/>
            <w:vAlign w:val="bottom"/>
          </w:tcPr>
          <w:p w14:paraId="4F893D43" w14:textId="0F716D30" w:rsidR="00E53E0B" w:rsidRPr="003B4AEE" w:rsidRDefault="00E53E0B" w:rsidP="009F1C6B">
            <w:pPr>
              <w:pStyle w:val="TableHeading"/>
            </w:pPr>
            <w:r w:rsidRPr="003B4AEE">
              <w:t xml:space="preserve">Average </w:t>
            </w:r>
            <w:r w:rsidR="00AC7E76" w:rsidRPr="003B4AEE">
              <w:t>A</w:t>
            </w:r>
            <w:r w:rsidRPr="003B4AEE">
              <w:t xml:space="preserve">nnual </w:t>
            </w:r>
            <w:r w:rsidR="00AC7E76" w:rsidRPr="003B4AEE">
              <w:t>T</w:t>
            </w:r>
            <w:r w:rsidRPr="003B4AEE">
              <w:t xml:space="preserve">otal </w:t>
            </w:r>
            <w:r w:rsidR="00AC7E76" w:rsidRPr="003B4AEE">
              <w:t>B</w:t>
            </w:r>
            <w:r w:rsidRPr="003B4AEE">
              <w:t>urden (hours)</w:t>
            </w:r>
          </w:p>
        </w:tc>
        <w:tc>
          <w:tcPr>
            <w:tcW w:w="2245" w:type="dxa"/>
            <w:shd w:val="clear" w:color="auto" w:fill="D9D9D9" w:themeFill="background1" w:themeFillShade="D9"/>
            <w:vAlign w:val="bottom"/>
          </w:tcPr>
          <w:p w14:paraId="5F000DDA" w14:textId="6D8862E9" w:rsidR="00E53E0B" w:rsidRPr="003B4AEE" w:rsidRDefault="00E53E0B" w:rsidP="009F1C6B">
            <w:pPr>
              <w:pStyle w:val="TableHeading"/>
            </w:pPr>
            <w:r w:rsidRPr="003B4AEE">
              <w:t xml:space="preserve">Average </w:t>
            </w:r>
            <w:r w:rsidR="00AC7E76" w:rsidRPr="003B4AEE">
              <w:t>A</w:t>
            </w:r>
            <w:r w:rsidRPr="003B4AEE">
              <w:t xml:space="preserve">nnual </w:t>
            </w:r>
            <w:r w:rsidR="00AC7E76" w:rsidRPr="003B4AEE">
              <w:t>T</w:t>
            </w:r>
            <w:r w:rsidRPr="003B4AEE">
              <w:t xml:space="preserve">otal </w:t>
            </w:r>
            <w:r w:rsidR="00AC7E76" w:rsidRPr="003B4AEE">
              <w:t>L</w:t>
            </w:r>
            <w:r w:rsidRPr="003B4AEE">
              <w:t xml:space="preserve">abor </w:t>
            </w:r>
            <w:r w:rsidR="00AC7E76" w:rsidRPr="003B4AEE">
              <w:t>C</w:t>
            </w:r>
            <w:r w:rsidRPr="003B4AEE">
              <w:t>osts (20</w:t>
            </w:r>
            <w:r w:rsidR="00C14369" w:rsidRPr="003B4AEE">
              <w:t>20</w:t>
            </w:r>
            <w:r w:rsidRPr="003B4AEE">
              <w:t>$)</w:t>
            </w:r>
          </w:p>
        </w:tc>
      </w:tr>
      <w:tr w:rsidR="004F0A56" w:rsidRPr="003B4AEE" w14:paraId="522A7334" w14:textId="77777777" w:rsidTr="00424C0E">
        <w:trPr>
          <w:jc w:val="center"/>
        </w:trPr>
        <w:tc>
          <w:tcPr>
            <w:tcW w:w="3172" w:type="dxa"/>
          </w:tcPr>
          <w:p w14:paraId="12659503" w14:textId="13B4E573" w:rsidR="004F0A56" w:rsidRPr="003B4AEE" w:rsidRDefault="004F0A56" w:rsidP="004F0A56">
            <w:pPr>
              <w:pStyle w:val="Tables"/>
              <w:keepNext/>
            </w:pPr>
            <w:r w:rsidRPr="003B4AEE">
              <w:t xml:space="preserve">Permittees </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5E123F52" w14:textId="3786554D" w:rsidR="004F0A56" w:rsidRPr="003B4AEE" w:rsidRDefault="004F0A56" w:rsidP="004F0A56">
            <w:pPr>
              <w:pStyle w:val="Tables"/>
              <w:keepNext/>
              <w:jc w:val="right"/>
            </w:pPr>
            <w:r w:rsidRPr="000B1C1A">
              <w:t xml:space="preserve">826,543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142592" w14:textId="37834A35" w:rsidR="004F0A56" w:rsidRPr="003B4AEE" w:rsidRDefault="004F0A56" w:rsidP="004F0A56">
            <w:pPr>
              <w:pStyle w:val="Tables"/>
              <w:keepNext/>
              <w:jc w:val="right"/>
            </w:pPr>
            <w:r w:rsidRPr="000B1C1A">
              <w:t>28,672,085</w:t>
            </w:r>
          </w:p>
        </w:tc>
        <w:tc>
          <w:tcPr>
            <w:tcW w:w="2245" w:type="dxa"/>
            <w:tcBorders>
              <w:top w:val="single" w:sz="4" w:space="0" w:color="auto"/>
              <w:left w:val="nil"/>
              <w:bottom w:val="single" w:sz="4" w:space="0" w:color="auto"/>
              <w:right w:val="single" w:sz="4" w:space="0" w:color="auto"/>
            </w:tcBorders>
            <w:shd w:val="clear" w:color="auto" w:fill="auto"/>
          </w:tcPr>
          <w:p w14:paraId="08F24AC1" w14:textId="42C2A7EC" w:rsidR="004F0A56" w:rsidRPr="003B4AEE" w:rsidRDefault="004F0A56" w:rsidP="004F0A56">
            <w:pPr>
              <w:pStyle w:val="Tables"/>
              <w:keepNext/>
              <w:jc w:val="right"/>
            </w:pPr>
            <w:r w:rsidRPr="000B1C1A">
              <w:t>$1,579,756,982</w:t>
            </w:r>
          </w:p>
        </w:tc>
      </w:tr>
      <w:tr w:rsidR="004F0A56" w:rsidRPr="003B4AEE" w14:paraId="44D0A3C3" w14:textId="77777777" w:rsidTr="00424C0E">
        <w:trPr>
          <w:jc w:val="center"/>
        </w:trPr>
        <w:tc>
          <w:tcPr>
            <w:tcW w:w="3172" w:type="dxa"/>
          </w:tcPr>
          <w:p w14:paraId="4192685C" w14:textId="18B1D030" w:rsidR="004F0A56" w:rsidRPr="003B4AEE" w:rsidRDefault="004F0A56" w:rsidP="004F0A56">
            <w:pPr>
              <w:pStyle w:val="Tables"/>
              <w:keepNext/>
            </w:pPr>
            <w:r w:rsidRPr="003B4AEE">
              <w:t xml:space="preserve">States, tribes, territories, and </w:t>
            </w:r>
            <w:proofErr w:type="spellStart"/>
            <w:r w:rsidRPr="003B4AEE">
              <w:t>D.C.</w:t>
            </w:r>
            <w:r w:rsidRPr="003B4AEE">
              <w:rPr>
                <w:vertAlign w:val="superscript"/>
              </w:rPr>
              <w:t>a</w:t>
            </w:r>
            <w:proofErr w:type="spellEnd"/>
          </w:p>
        </w:tc>
        <w:tc>
          <w:tcPr>
            <w:tcW w:w="1683" w:type="dxa"/>
            <w:tcBorders>
              <w:top w:val="nil"/>
              <w:left w:val="single" w:sz="4" w:space="0" w:color="auto"/>
              <w:bottom w:val="single" w:sz="4" w:space="0" w:color="auto"/>
              <w:right w:val="single" w:sz="4" w:space="0" w:color="auto"/>
            </w:tcBorders>
            <w:shd w:val="clear" w:color="auto" w:fill="auto"/>
          </w:tcPr>
          <w:p w14:paraId="28BA5C6D" w14:textId="40B0EC50" w:rsidR="004F0A56" w:rsidRPr="003B4AEE" w:rsidRDefault="004F0A56" w:rsidP="004F0A56">
            <w:pPr>
              <w:pStyle w:val="Tables"/>
              <w:keepNext/>
              <w:jc w:val="right"/>
            </w:pPr>
            <w:r w:rsidRPr="000B1C1A">
              <w:t>637</w:t>
            </w:r>
          </w:p>
        </w:tc>
        <w:tc>
          <w:tcPr>
            <w:tcW w:w="2250" w:type="dxa"/>
            <w:tcBorders>
              <w:top w:val="nil"/>
              <w:left w:val="single" w:sz="4" w:space="0" w:color="auto"/>
              <w:bottom w:val="single" w:sz="4" w:space="0" w:color="auto"/>
              <w:right w:val="single" w:sz="4" w:space="0" w:color="auto"/>
            </w:tcBorders>
            <w:shd w:val="clear" w:color="auto" w:fill="auto"/>
          </w:tcPr>
          <w:p w14:paraId="1078949F" w14:textId="5E66A243" w:rsidR="004F0A56" w:rsidRPr="003B4AEE" w:rsidRDefault="004F0A56" w:rsidP="004F0A56">
            <w:pPr>
              <w:pStyle w:val="Tables"/>
              <w:keepNext/>
              <w:jc w:val="right"/>
            </w:pPr>
            <w:r w:rsidRPr="000B1C1A">
              <w:t>2,471,418</w:t>
            </w:r>
          </w:p>
        </w:tc>
        <w:tc>
          <w:tcPr>
            <w:tcW w:w="2245" w:type="dxa"/>
            <w:tcBorders>
              <w:top w:val="nil"/>
              <w:left w:val="nil"/>
              <w:bottom w:val="single" w:sz="4" w:space="0" w:color="auto"/>
              <w:right w:val="single" w:sz="4" w:space="0" w:color="auto"/>
            </w:tcBorders>
            <w:shd w:val="clear" w:color="auto" w:fill="auto"/>
          </w:tcPr>
          <w:p w14:paraId="7CEA5520" w14:textId="226BBF15" w:rsidR="004F0A56" w:rsidRPr="003B4AEE" w:rsidRDefault="004F0A56" w:rsidP="004F0A56">
            <w:pPr>
              <w:pStyle w:val="Tables"/>
              <w:keepNext/>
              <w:jc w:val="right"/>
            </w:pPr>
            <w:r w:rsidRPr="000B1C1A">
              <w:t>$129,530,855</w:t>
            </w:r>
          </w:p>
        </w:tc>
      </w:tr>
      <w:tr w:rsidR="004F0A56" w:rsidRPr="003B4AEE" w14:paraId="727BB453" w14:textId="77777777" w:rsidTr="001F6B4F">
        <w:trPr>
          <w:trHeight w:val="63"/>
          <w:jc w:val="center"/>
        </w:trPr>
        <w:tc>
          <w:tcPr>
            <w:tcW w:w="3172" w:type="dxa"/>
          </w:tcPr>
          <w:p w14:paraId="1327427D" w14:textId="77777777" w:rsidR="004F0A56" w:rsidRPr="003B4AEE" w:rsidRDefault="004F0A56" w:rsidP="004F0A56">
            <w:pPr>
              <w:pStyle w:val="Tables"/>
            </w:pPr>
            <w:r w:rsidRPr="003B4AEE">
              <w:t>Totals</w:t>
            </w:r>
          </w:p>
        </w:tc>
        <w:tc>
          <w:tcPr>
            <w:tcW w:w="1683" w:type="dxa"/>
            <w:tcBorders>
              <w:top w:val="nil"/>
              <w:left w:val="single" w:sz="4" w:space="0" w:color="auto"/>
              <w:bottom w:val="single" w:sz="4" w:space="0" w:color="auto"/>
              <w:right w:val="single" w:sz="4" w:space="0" w:color="auto"/>
            </w:tcBorders>
            <w:shd w:val="clear" w:color="auto" w:fill="auto"/>
          </w:tcPr>
          <w:p w14:paraId="642E764C" w14:textId="1A8E3AD5" w:rsidR="004F0A56" w:rsidRPr="003B4AEE" w:rsidRDefault="004F0A56" w:rsidP="004F0A56">
            <w:pPr>
              <w:pStyle w:val="Tables"/>
              <w:jc w:val="right"/>
              <w:rPr>
                <w:b/>
              </w:rPr>
            </w:pPr>
            <w:r w:rsidRPr="000B1C1A">
              <w:t xml:space="preserve">827,180 </w:t>
            </w:r>
          </w:p>
        </w:tc>
        <w:tc>
          <w:tcPr>
            <w:tcW w:w="2250" w:type="dxa"/>
            <w:tcBorders>
              <w:top w:val="nil"/>
              <w:left w:val="single" w:sz="4" w:space="0" w:color="auto"/>
              <w:bottom w:val="single" w:sz="4" w:space="0" w:color="auto"/>
              <w:right w:val="single" w:sz="4" w:space="0" w:color="auto"/>
            </w:tcBorders>
            <w:shd w:val="clear" w:color="auto" w:fill="auto"/>
          </w:tcPr>
          <w:p w14:paraId="657D26FC" w14:textId="5D73CBAD" w:rsidR="004F0A56" w:rsidRPr="003B4AEE" w:rsidRDefault="004F0A56" w:rsidP="004F0A56">
            <w:pPr>
              <w:pStyle w:val="Tables"/>
              <w:jc w:val="right"/>
              <w:rPr>
                <w:b/>
              </w:rPr>
            </w:pPr>
            <w:r w:rsidRPr="000B1C1A">
              <w:t xml:space="preserve">31,143,503 </w:t>
            </w:r>
          </w:p>
        </w:tc>
        <w:tc>
          <w:tcPr>
            <w:tcW w:w="2245" w:type="dxa"/>
            <w:tcBorders>
              <w:top w:val="nil"/>
              <w:left w:val="nil"/>
              <w:bottom w:val="single" w:sz="4" w:space="0" w:color="auto"/>
              <w:right w:val="single" w:sz="4" w:space="0" w:color="auto"/>
            </w:tcBorders>
            <w:shd w:val="clear" w:color="auto" w:fill="auto"/>
          </w:tcPr>
          <w:p w14:paraId="0D4D8889" w14:textId="3E59A4EF" w:rsidR="004F0A56" w:rsidRPr="003B4AEE" w:rsidRDefault="004F0A56" w:rsidP="004F0A56">
            <w:pPr>
              <w:pStyle w:val="Tables"/>
              <w:jc w:val="right"/>
              <w:rPr>
                <w:b/>
              </w:rPr>
            </w:pPr>
            <w:r w:rsidRPr="000B1C1A">
              <w:t>$1,709,287,837</w:t>
            </w:r>
          </w:p>
        </w:tc>
      </w:tr>
    </w:tbl>
    <w:p w14:paraId="68D45144" w14:textId="7131D49F" w:rsidR="00023967" w:rsidRPr="003B4AEE" w:rsidRDefault="007660FD" w:rsidP="00134A7F">
      <w:pPr>
        <w:pStyle w:val="Tablenote"/>
        <w:ind w:left="180" w:hanging="180"/>
      </w:pPr>
      <w:r w:rsidRPr="003B4AEE">
        <w:rPr>
          <w:vertAlign w:val="superscript"/>
        </w:rPr>
        <w:t xml:space="preserve">a </w:t>
      </w:r>
      <w:r w:rsidR="00134A7F" w:rsidRPr="003B4AEE">
        <w:rPr>
          <w:vertAlign w:val="superscript"/>
        </w:rPr>
        <w:tab/>
      </w:r>
      <w:r w:rsidR="00535F9E" w:rsidRPr="003B4AEE">
        <w:t>59</w:t>
      </w:r>
      <w:r w:rsidR="00C40702" w:rsidRPr="003B4AEE">
        <w:t>1</w:t>
      </w:r>
      <w:r w:rsidR="00535F9E" w:rsidRPr="003B4AEE">
        <w:t xml:space="preserve"> of these 637 are not </w:t>
      </w:r>
      <w:r w:rsidR="00015813" w:rsidRPr="003B4AEE">
        <w:t>authorized to administer the NPDES program</w:t>
      </w:r>
      <w:r w:rsidR="00535F9E" w:rsidRPr="003B4AEE">
        <w:t xml:space="preserve"> and respond to only one information item (certification of EPA-issued permits).</w:t>
      </w:r>
    </w:p>
    <w:p w14:paraId="3BB2E658" w14:textId="47DCE2DB" w:rsidR="007F2877" w:rsidRPr="003B4AEE" w:rsidRDefault="007F2877" w:rsidP="00305558">
      <w:pPr>
        <w:pStyle w:val="Heading2"/>
      </w:pPr>
      <w:bookmarkStart w:id="203" w:name="_Toc61334219"/>
      <w:bookmarkStart w:id="204" w:name="_Toc71730002"/>
      <w:r w:rsidRPr="003B4AEE">
        <w:t>Provide an estimate of the total annual cost burden to respondents</w:t>
      </w:r>
      <w:bookmarkEnd w:id="203"/>
      <w:bookmarkEnd w:id="204"/>
    </w:p>
    <w:p w14:paraId="5BD83C67" w14:textId="50E86C4F" w:rsidR="008B6A5B" w:rsidRPr="003B4AEE" w:rsidRDefault="00291468" w:rsidP="004E05CF">
      <w:pPr>
        <w:pStyle w:val="BodyText"/>
      </w:pPr>
      <w:r w:rsidRPr="003B4AEE">
        <w:t>This section presents a</w:t>
      </w:r>
      <w:r w:rsidR="004366C5" w:rsidRPr="003B4AEE">
        <w:t xml:space="preserve">n estimate </w:t>
      </w:r>
      <w:r w:rsidRPr="003B4AEE">
        <w:t xml:space="preserve">of annual </w:t>
      </w:r>
      <w:r w:rsidR="00FF6B7C" w:rsidRPr="003B4AEE">
        <w:t>operating and maintenance (</w:t>
      </w:r>
      <w:r w:rsidRPr="003B4AEE">
        <w:t>O&amp;M</w:t>
      </w:r>
      <w:r w:rsidR="00FF6B7C" w:rsidRPr="003B4AEE">
        <w:t>)</w:t>
      </w:r>
      <w:r w:rsidRPr="003B4AEE">
        <w:t xml:space="preserve"> and capital and start-up costs. </w:t>
      </w:r>
      <w:r w:rsidR="00FC39BC" w:rsidRPr="003B4AEE">
        <w:t>The majority of the burden and cost calculations in this ICR are the result of labor costs only. The ICR account</w:t>
      </w:r>
      <w:r w:rsidR="00AE720C">
        <w:t>s</w:t>
      </w:r>
      <w:r w:rsidR="00FC39BC" w:rsidRPr="003B4AEE">
        <w:t xml:space="preserve"> for O&amp;M costs for certain testing/analysis </w:t>
      </w:r>
      <w:r w:rsidR="008C7581" w:rsidRPr="003B4AEE">
        <w:t xml:space="preserve">plus certain </w:t>
      </w:r>
      <w:r w:rsidR="00FC39BC" w:rsidRPr="003B4AEE">
        <w:t>capital</w:t>
      </w:r>
      <w:r w:rsidR="008C7581" w:rsidRPr="003B4AEE">
        <w:t xml:space="preserve"> and </w:t>
      </w:r>
      <w:r w:rsidR="00FC39BC" w:rsidRPr="003B4AEE">
        <w:t xml:space="preserve">start-up costs incurred by respondents that perform activities outside the normal operation practices. All costs presented have been adjusted </w:t>
      </w:r>
      <w:r w:rsidR="00F768BA" w:rsidRPr="003B4AEE">
        <w:t>using</w:t>
      </w:r>
      <w:r w:rsidR="00FC39BC" w:rsidRPr="003B4AEE">
        <w:t xml:space="preserve"> the Consumer Price Index to </w:t>
      </w:r>
      <w:r w:rsidR="005C4A31" w:rsidRPr="003B4AEE">
        <w:t>September</w:t>
      </w:r>
      <w:r w:rsidR="002E361C" w:rsidRPr="003B4AEE">
        <w:t xml:space="preserve"> 2020</w:t>
      </w:r>
      <w:r w:rsidR="00FC39BC" w:rsidRPr="003B4AEE">
        <w:t xml:space="preserve"> dollars. </w:t>
      </w:r>
      <w:r w:rsidR="008C7581" w:rsidRPr="003B4AEE">
        <w:t xml:space="preserve">This ICR estimates that there are no O&amp;M or </w:t>
      </w:r>
      <w:r w:rsidR="004E6FA4" w:rsidRPr="003B4AEE">
        <w:t>capital and start-up costs for st</w:t>
      </w:r>
      <w:r w:rsidR="008C7581" w:rsidRPr="003B4AEE">
        <w:t xml:space="preserve">ate </w:t>
      </w:r>
      <w:r w:rsidR="004E6FA4" w:rsidRPr="003B4AEE">
        <w:t>a</w:t>
      </w:r>
      <w:r w:rsidR="008C7581" w:rsidRPr="003B4AEE">
        <w:t xml:space="preserve">gencies or the </w:t>
      </w:r>
      <w:r w:rsidR="00B04107" w:rsidRPr="003B4AEE">
        <w:t>federal government</w:t>
      </w:r>
      <w:r w:rsidR="008C7581" w:rsidRPr="003B4AEE">
        <w:t>.</w:t>
      </w:r>
      <w:r w:rsidR="002A3E05" w:rsidRPr="003B4AEE">
        <w:t xml:space="preserve"> </w:t>
      </w:r>
    </w:p>
    <w:p w14:paraId="70506952" w14:textId="0AA80CF0" w:rsidR="00B33CEF" w:rsidRPr="003B4AEE" w:rsidRDefault="008B6A5B" w:rsidP="004E05CF">
      <w:pPr>
        <w:pStyle w:val="BodyText"/>
      </w:pPr>
      <w:r w:rsidRPr="003B4AEE">
        <w:rPr>
          <w:i/>
        </w:rPr>
        <w:t xml:space="preserve">Permittee O&amp;M costs. </w:t>
      </w:r>
      <w:r w:rsidR="00FC39BC" w:rsidRPr="003B4AEE">
        <w:t>The</w:t>
      </w:r>
      <w:r w:rsidR="008C7581" w:rsidRPr="003B4AEE">
        <w:t xml:space="preserve"> permittee O&amp;M </w:t>
      </w:r>
      <w:r w:rsidR="00FC39BC" w:rsidRPr="003B4AEE">
        <w:t xml:space="preserve">costs are linked to the </w:t>
      </w:r>
      <w:r w:rsidRPr="003B4AEE">
        <w:t xml:space="preserve">following </w:t>
      </w:r>
      <w:r w:rsidR="00FC39BC" w:rsidRPr="003B4AEE">
        <w:t>activities</w:t>
      </w:r>
      <w:r w:rsidR="00B33CEF" w:rsidRPr="003B4AEE">
        <w:t>:</w:t>
      </w:r>
    </w:p>
    <w:p w14:paraId="420E8C8F" w14:textId="28368B08" w:rsidR="008C7581" w:rsidRPr="003B4AEE" w:rsidRDefault="00642035" w:rsidP="00290A17">
      <w:pPr>
        <w:pStyle w:val="ListBulletsingle"/>
        <w:numPr>
          <w:ilvl w:val="0"/>
          <w:numId w:val="14"/>
        </w:numPr>
      </w:pPr>
      <w:r w:rsidRPr="003B4AEE">
        <w:t xml:space="preserve">NPDES </w:t>
      </w:r>
      <w:r w:rsidR="009F0A4F" w:rsidRPr="003B4AEE">
        <w:t xml:space="preserve">permit application and renewal </w:t>
      </w:r>
      <w:proofErr w:type="gramStart"/>
      <w:r w:rsidR="009F0A4F" w:rsidRPr="003B4AEE">
        <w:t>requirements</w:t>
      </w:r>
      <w:r w:rsidR="00A36C97" w:rsidRPr="003B4AEE">
        <w:t>;</w:t>
      </w:r>
      <w:proofErr w:type="gramEnd"/>
    </w:p>
    <w:p w14:paraId="1F91DD63" w14:textId="7E095478" w:rsidR="003942D4" w:rsidRPr="003B4AEE" w:rsidRDefault="003942D4" w:rsidP="00290A17">
      <w:pPr>
        <w:pStyle w:val="ListBulletsingle"/>
        <w:numPr>
          <w:ilvl w:val="0"/>
          <w:numId w:val="14"/>
        </w:numPr>
      </w:pPr>
      <w:r w:rsidRPr="003B4AEE">
        <w:t xml:space="preserve">Monitoring and </w:t>
      </w:r>
      <w:proofErr w:type="gramStart"/>
      <w:r w:rsidRPr="003B4AEE">
        <w:t>reporting</w:t>
      </w:r>
      <w:r w:rsidR="00C4464B">
        <w:t>;</w:t>
      </w:r>
      <w:proofErr w:type="gramEnd"/>
    </w:p>
    <w:p w14:paraId="38D074DE" w14:textId="77777777" w:rsidR="006640D5" w:rsidRPr="003B4AEE" w:rsidRDefault="008C7581" w:rsidP="00290A17">
      <w:pPr>
        <w:pStyle w:val="ListBulletsingle"/>
        <w:numPr>
          <w:ilvl w:val="0"/>
          <w:numId w:val="14"/>
        </w:numPr>
      </w:pPr>
      <w:r w:rsidRPr="003B4AEE">
        <w:t xml:space="preserve">Baseline </w:t>
      </w:r>
      <w:r w:rsidR="009F0A4F" w:rsidRPr="003B4AEE">
        <w:t xml:space="preserve">determination and estimate of the incremental monitoring burden and cost for remining </w:t>
      </w:r>
      <w:proofErr w:type="gramStart"/>
      <w:r w:rsidR="009F0A4F" w:rsidRPr="003B4AEE">
        <w:t>sites</w:t>
      </w:r>
      <w:r w:rsidR="00A36C97" w:rsidRPr="003B4AEE">
        <w:t>;</w:t>
      </w:r>
      <w:proofErr w:type="gramEnd"/>
      <w:r w:rsidR="00A36C97" w:rsidRPr="003B4AEE">
        <w:t xml:space="preserve"> </w:t>
      </w:r>
    </w:p>
    <w:p w14:paraId="62D45646" w14:textId="093F1F07" w:rsidR="008C7581" w:rsidRPr="003B4AEE" w:rsidRDefault="008C7581" w:rsidP="00290A17">
      <w:pPr>
        <w:pStyle w:val="ListBulletsingle"/>
        <w:numPr>
          <w:ilvl w:val="0"/>
          <w:numId w:val="14"/>
        </w:numPr>
      </w:pPr>
      <w:r w:rsidRPr="003B4AEE">
        <w:lastRenderedPageBreak/>
        <w:t xml:space="preserve">Minimum </w:t>
      </w:r>
      <w:r w:rsidR="009F0A4F" w:rsidRPr="003B4AEE">
        <w:t>monitoring requirements for direct discharging mills in the</w:t>
      </w:r>
      <w:r w:rsidRPr="003B4AEE">
        <w:t xml:space="preserve"> </w:t>
      </w:r>
      <w:r w:rsidR="00B04107" w:rsidRPr="003B4AEE">
        <w:t xml:space="preserve">“bleached </w:t>
      </w:r>
      <w:proofErr w:type="spellStart"/>
      <w:r w:rsidR="00B04107" w:rsidRPr="003B4AEE">
        <w:t>papergrade</w:t>
      </w:r>
      <w:proofErr w:type="spellEnd"/>
      <w:r w:rsidR="00B04107" w:rsidRPr="003B4AEE">
        <w:t xml:space="preserve"> kraft </w:t>
      </w:r>
      <w:r w:rsidRPr="003B4AEE">
        <w:t xml:space="preserve">and </w:t>
      </w:r>
      <w:r w:rsidR="00B04107" w:rsidRPr="003B4AEE">
        <w:t xml:space="preserve">soda” </w:t>
      </w:r>
      <w:r w:rsidRPr="003B4AEE">
        <w:t xml:space="preserve">and </w:t>
      </w:r>
      <w:r w:rsidR="00B04107" w:rsidRPr="003B4AEE">
        <w:t>“</w:t>
      </w:r>
      <w:proofErr w:type="spellStart"/>
      <w:r w:rsidR="00B04107" w:rsidRPr="003B4AEE">
        <w:t>papergrade</w:t>
      </w:r>
      <w:proofErr w:type="spellEnd"/>
      <w:r w:rsidR="00B04107" w:rsidRPr="003B4AEE">
        <w:t xml:space="preserve"> sulfite” subcategories </w:t>
      </w:r>
      <w:r w:rsidRPr="003B4AEE">
        <w:t xml:space="preserve">of the </w:t>
      </w:r>
      <w:r w:rsidR="00B04107" w:rsidRPr="003B4AEE">
        <w:t>“pulp</w:t>
      </w:r>
      <w:r w:rsidRPr="003B4AEE">
        <w:t xml:space="preserve">, </w:t>
      </w:r>
      <w:r w:rsidR="00B04107" w:rsidRPr="003B4AEE">
        <w:t>paper</w:t>
      </w:r>
      <w:r w:rsidRPr="003B4AEE">
        <w:t xml:space="preserve">, and </w:t>
      </w:r>
      <w:r w:rsidR="00B04107" w:rsidRPr="003B4AEE">
        <w:t xml:space="preserve">paperboard” point source </w:t>
      </w:r>
      <w:proofErr w:type="gramStart"/>
      <w:r w:rsidR="00B04107" w:rsidRPr="003B4AEE">
        <w:t>category</w:t>
      </w:r>
      <w:r w:rsidR="006640D5" w:rsidRPr="003B4AEE">
        <w:t>;</w:t>
      </w:r>
      <w:proofErr w:type="gramEnd"/>
    </w:p>
    <w:p w14:paraId="0BF1AF90" w14:textId="3B8E97FD" w:rsidR="001A1AAE" w:rsidRPr="003B4AEE" w:rsidRDefault="001A1AAE" w:rsidP="00290A17">
      <w:pPr>
        <w:pStyle w:val="ListBulletsingle"/>
        <w:numPr>
          <w:ilvl w:val="0"/>
          <w:numId w:val="14"/>
        </w:numPr>
      </w:pPr>
      <w:r w:rsidRPr="003B4AEE">
        <w:t xml:space="preserve">Animal </w:t>
      </w:r>
      <w:r w:rsidR="009F0A4F" w:rsidRPr="003B4AEE">
        <w:t xml:space="preserve">sector testing/analysis and public notice </w:t>
      </w:r>
      <w:proofErr w:type="gramStart"/>
      <w:r w:rsidR="009F0A4F" w:rsidRPr="003B4AEE">
        <w:t>costs</w:t>
      </w:r>
      <w:r w:rsidR="006640D5" w:rsidRPr="003B4AEE">
        <w:t>;</w:t>
      </w:r>
      <w:proofErr w:type="gramEnd"/>
    </w:p>
    <w:p w14:paraId="5D11D5F1" w14:textId="68698C64" w:rsidR="001A1AAE" w:rsidRPr="003B4AEE" w:rsidRDefault="00642035" w:rsidP="00290A17">
      <w:pPr>
        <w:pStyle w:val="ListBulletsingle"/>
        <w:numPr>
          <w:ilvl w:val="0"/>
          <w:numId w:val="14"/>
        </w:numPr>
      </w:pPr>
      <w:r w:rsidRPr="003B4AEE">
        <w:t xml:space="preserve">SIU discharge monitoring under the Pretreatment </w:t>
      </w:r>
      <w:proofErr w:type="gramStart"/>
      <w:r w:rsidRPr="003B4AEE">
        <w:t>Program</w:t>
      </w:r>
      <w:r w:rsidR="006640D5" w:rsidRPr="003B4AEE">
        <w:t>;</w:t>
      </w:r>
      <w:proofErr w:type="gramEnd"/>
    </w:p>
    <w:p w14:paraId="7B141413" w14:textId="43492519" w:rsidR="00642035" w:rsidRPr="003B4AEE" w:rsidRDefault="00642035" w:rsidP="00290A17">
      <w:pPr>
        <w:pStyle w:val="ListBulletsingle"/>
        <w:numPr>
          <w:ilvl w:val="0"/>
          <w:numId w:val="14"/>
        </w:numPr>
      </w:pPr>
      <w:r w:rsidRPr="003B4AEE">
        <w:t xml:space="preserve">CWIS Phase I and </w:t>
      </w:r>
      <w:r w:rsidR="00BC53F7" w:rsidRPr="003B4AEE">
        <w:t>e</w:t>
      </w:r>
      <w:r w:rsidRPr="003B4AEE">
        <w:t xml:space="preserve">xisting </w:t>
      </w:r>
      <w:r w:rsidR="00BC53F7" w:rsidRPr="003B4AEE">
        <w:t>f</w:t>
      </w:r>
      <w:r w:rsidRPr="003B4AEE">
        <w:t xml:space="preserve">acility annual activities such as operation and upkeep of capital equipment, </w:t>
      </w:r>
      <w:r w:rsidR="00B04107" w:rsidRPr="003B4AEE">
        <w:t xml:space="preserve">as well as </w:t>
      </w:r>
      <w:r w:rsidRPr="003B4AEE">
        <w:t xml:space="preserve">purchase of contracted services such as laboratory analyses and other </w:t>
      </w:r>
      <w:r w:rsidR="001F6DBB" w:rsidRPr="003B4AEE">
        <w:t>direct costs (</w:t>
      </w:r>
      <w:r w:rsidRPr="003B4AEE">
        <w:t>ODC</w:t>
      </w:r>
      <w:r w:rsidR="008F04BB" w:rsidRPr="003B4AEE">
        <w:t>s</w:t>
      </w:r>
      <w:proofErr w:type="gramStart"/>
      <w:r w:rsidR="001F6DBB" w:rsidRPr="003B4AEE">
        <w:t>)</w:t>
      </w:r>
      <w:r w:rsidR="006640D5" w:rsidRPr="003B4AEE">
        <w:t>;</w:t>
      </w:r>
      <w:proofErr w:type="gramEnd"/>
    </w:p>
    <w:p w14:paraId="25D86403" w14:textId="4A5FDF24" w:rsidR="00642035" w:rsidRPr="003B4AEE" w:rsidRDefault="00642035" w:rsidP="00290A17">
      <w:pPr>
        <w:pStyle w:val="ListBulletsingle"/>
        <w:numPr>
          <w:ilvl w:val="0"/>
          <w:numId w:val="14"/>
        </w:numPr>
      </w:pPr>
      <w:r w:rsidRPr="003B4AEE">
        <w:t xml:space="preserve">CWIS Phase III (offshore </w:t>
      </w:r>
      <w:r w:rsidR="007358A3" w:rsidRPr="003B4AEE">
        <w:t xml:space="preserve">oil </w:t>
      </w:r>
      <w:r w:rsidR="00FF6B7C" w:rsidRPr="003B4AEE">
        <w:t xml:space="preserve">and </w:t>
      </w:r>
      <w:r w:rsidR="007358A3" w:rsidRPr="003B4AEE">
        <w:t>gas</w:t>
      </w:r>
      <w:r w:rsidRPr="003B4AEE">
        <w:t xml:space="preserve">) facility </w:t>
      </w:r>
      <w:r w:rsidR="009F0A4F" w:rsidRPr="003B4AEE">
        <w:t xml:space="preserve">entrainment monitoring sample analysis </w:t>
      </w:r>
      <w:r w:rsidR="00AA2478" w:rsidRPr="003B4AEE">
        <w:t>if</w:t>
      </w:r>
      <w:r w:rsidR="009F0A4F" w:rsidRPr="003B4AEE">
        <w:t xml:space="preserve"> performed by an outside </w:t>
      </w:r>
      <w:proofErr w:type="gramStart"/>
      <w:r w:rsidR="009F0A4F" w:rsidRPr="003B4AEE">
        <w:t>laboratory</w:t>
      </w:r>
      <w:r w:rsidR="00DA350B" w:rsidRPr="003B4AEE">
        <w:t>;</w:t>
      </w:r>
      <w:proofErr w:type="gramEnd"/>
    </w:p>
    <w:p w14:paraId="1024058A" w14:textId="7B63DA51" w:rsidR="00BC5682" w:rsidRPr="003B4AEE" w:rsidRDefault="00DA350B" w:rsidP="00290A17">
      <w:pPr>
        <w:pStyle w:val="ListBulletsingle"/>
        <w:numPr>
          <w:ilvl w:val="0"/>
          <w:numId w:val="14"/>
        </w:numPr>
      </w:pPr>
      <w:r w:rsidRPr="003B4AEE">
        <w:t>CWIS existing facility equipment O&amp;M, contract services</w:t>
      </w:r>
      <w:r w:rsidR="008F04BB" w:rsidRPr="003B4AEE">
        <w:t>,</w:t>
      </w:r>
      <w:r w:rsidRPr="003B4AEE">
        <w:t xml:space="preserve"> and </w:t>
      </w:r>
      <w:proofErr w:type="gramStart"/>
      <w:r w:rsidRPr="003B4AEE">
        <w:t>ODCs;</w:t>
      </w:r>
      <w:proofErr w:type="gramEnd"/>
      <w:r w:rsidRPr="003B4AEE">
        <w:t xml:space="preserve"> </w:t>
      </w:r>
    </w:p>
    <w:p w14:paraId="40BB618B" w14:textId="27EEEB72" w:rsidR="006D4064" w:rsidRPr="003B4AEE" w:rsidRDefault="00585BD0" w:rsidP="00290A17">
      <w:pPr>
        <w:pStyle w:val="ListBulletlast"/>
        <w:numPr>
          <w:ilvl w:val="0"/>
          <w:numId w:val="14"/>
        </w:numPr>
      </w:pPr>
      <w:r w:rsidRPr="003B4AEE">
        <w:t>Postage costs for mailing in permit applications</w:t>
      </w:r>
      <w:r w:rsidR="00D351D1" w:rsidRPr="003B4AEE">
        <w:t xml:space="preserve"> and </w:t>
      </w:r>
      <w:r w:rsidR="00A15224" w:rsidRPr="003B4AEE">
        <w:t xml:space="preserve">dental office </w:t>
      </w:r>
      <w:r w:rsidR="00496FB8" w:rsidRPr="003B4AEE">
        <w:t>reporting</w:t>
      </w:r>
      <w:r w:rsidRPr="003B4AEE">
        <w:t>.</w:t>
      </w:r>
    </w:p>
    <w:p w14:paraId="6D20A80C" w14:textId="160CEAC0" w:rsidR="008B6A5B" w:rsidRPr="003B4AEE" w:rsidRDefault="008C7581" w:rsidP="004E05CF">
      <w:pPr>
        <w:pStyle w:val="BodyText"/>
      </w:pPr>
      <w:r w:rsidRPr="003B4AEE">
        <w:t xml:space="preserve">Details </w:t>
      </w:r>
      <w:r w:rsidR="00FF6B7C" w:rsidRPr="003B4AEE">
        <w:t xml:space="preserve">on </w:t>
      </w:r>
      <w:r w:rsidRPr="003B4AEE">
        <w:t xml:space="preserve">the methodology used to derive these costs are provided in </w:t>
      </w:r>
      <w:r w:rsidR="00FF6B7C" w:rsidRPr="003B4AEE">
        <w:t xml:space="preserve">section </w:t>
      </w:r>
      <w:r w:rsidRPr="003B4AEE">
        <w:t>A.</w:t>
      </w:r>
      <w:r w:rsidR="00F768BA" w:rsidRPr="003B4AEE">
        <w:t>2.2</w:t>
      </w:r>
      <w:r w:rsidRPr="003B4AEE">
        <w:t xml:space="preserve"> of Appendix A.</w:t>
      </w:r>
      <w:r w:rsidR="002A3E05" w:rsidRPr="003B4AEE">
        <w:t xml:space="preserve"> </w:t>
      </w:r>
    </w:p>
    <w:p w14:paraId="481B6E57" w14:textId="5C41273F" w:rsidR="008C7581" w:rsidRPr="003B4AEE" w:rsidRDefault="008B6A5B" w:rsidP="004E05CF">
      <w:pPr>
        <w:pStyle w:val="BodyText"/>
      </w:pPr>
      <w:r w:rsidRPr="003B4AEE">
        <w:rPr>
          <w:i/>
        </w:rPr>
        <w:t xml:space="preserve">Permittee capital and start-up costs. </w:t>
      </w:r>
      <w:r w:rsidR="008C7581" w:rsidRPr="003B4AEE">
        <w:t xml:space="preserve">The permittee capital and start-up costs </w:t>
      </w:r>
      <w:r w:rsidR="00A64284" w:rsidRPr="003B4AEE">
        <w:t>are linked to</w:t>
      </w:r>
      <w:r w:rsidR="006640D5" w:rsidRPr="003B4AEE">
        <w:t xml:space="preserve"> the </w:t>
      </w:r>
      <w:r w:rsidR="00A64284" w:rsidRPr="003B4AEE">
        <w:t>activities listed below</w:t>
      </w:r>
      <w:r w:rsidR="00B33CEF" w:rsidRPr="003B4AEE">
        <w:t>:</w:t>
      </w:r>
    </w:p>
    <w:p w14:paraId="03E405DE" w14:textId="46C4BCBE" w:rsidR="00A64284" w:rsidRPr="003B4AEE" w:rsidRDefault="00A64284" w:rsidP="00290A17">
      <w:pPr>
        <w:pStyle w:val="ListBulletsingle"/>
        <w:numPr>
          <w:ilvl w:val="0"/>
          <w:numId w:val="13"/>
        </w:numPr>
      </w:pPr>
      <w:r w:rsidRPr="003B4AEE">
        <w:t xml:space="preserve">CSO </w:t>
      </w:r>
      <w:proofErr w:type="gramStart"/>
      <w:r w:rsidR="00500C14" w:rsidRPr="003B4AEE">
        <w:t>notification</w:t>
      </w:r>
      <w:r w:rsidR="006640D5" w:rsidRPr="003B4AEE">
        <w:t>;</w:t>
      </w:r>
      <w:proofErr w:type="gramEnd"/>
    </w:p>
    <w:p w14:paraId="24DD97DD" w14:textId="0A6119F6" w:rsidR="00FC39BC" w:rsidRPr="003B4AEE" w:rsidRDefault="00A64284" w:rsidP="00290A17">
      <w:pPr>
        <w:pStyle w:val="ListBulletsingle"/>
        <w:numPr>
          <w:ilvl w:val="0"/>
          <w:numId w:val="13"/>
        </w:numPr>
      </w:pPr>
      <w:r w:rsidRPr="003B4AEE">
        <w:t xml:space="preserve">Baseline </w:t>
      </w:r>
      <w:r w:rsidR="006640D5" w:rsidRPr="003B4AEE">
        <w:t xml:space="preserve">determination and estimate of the incremental monitoring burden and cost for </w:t>
      </w:r>
      <w:r w:rsidR="008B6A5B" w:rsidRPr="003B4AEE">
        <w:t>remining</w:t>
      </w:r>
      <w:r w:rsidR="006640D5" w:rsidRPr="003B4AEE">
        <w:t xml:space="preserve"> </w:t>
      </w:r>
      <w:proofErr w:type="gramStart"/>
      <w:r w:rsidR="006640D5" w:rsidRPr="003B4AEE">
        <w:t>sites;</w:t>
      </w:r>
      <w:proofErr w:type="gramEnd"/>
    </w:p>
    <w:p w14:paraId="4B805CD6" w14:textId="7B8ADC30" w:rsidR="006640D5" w:rsidRPr="003B4AEE" w:rsidRDefault="006640D5" w:rsidP="00290A17">
      <w:pPr>
        <w:pStyle w:val="ListBulletsingle"/>
        <w:numPr>
          <w:ilvl w:val="0"/>
          <w:numId w:val="13"/>
        </w:numPr>
      </w:pPr>
      <w:r w:rsidRPr="003B4AEE">
        <w:t xml:space="preserve">Start-up costs for the </w:t>
      </w:r>
      <w:r w:rsidR="00FF6B7C" w:rsidRPr="003B4AEE">
        <w:t xml:space="preserve">animal </w:t>
      </w:r>
      <w:proofErr w:type="gramStart"/>
      <w:r w:rsidR="00FF6B7C" w:rsidRPr="003B4AEE">
        <w:t>sector</w:t>
      </w:r>
      <w:r w:rsidRPr="003B4AEE">
        <w:t>;</w:t>
      </w:r>
      <w:proofErr w:type="gramEnd"/>
    </w:p>
    <w:p w14:paraId="0206313A" w14:textId="53613FDE" w:rsidR="006640D5" w:rsidRPr="003B4AEE" w:rsidRDefault="006640D5" w:rsidP="00290A17">
      <w:pPr>
        <w:pStyle w:val="ListBulletsingle"/>
        <w:numPr>
          <w:ilvl w:val="0"/>
          <w:numId w:val="13"/>
        </w:numPr>
      </w:pPr>
      <w:r w:rsidRPr="003B4AEE">
        <w:t xml:space="preserve">CWIS Phase I purchase </w:t>
      </w:r>
      <w:r w:rsidR="007358A3" w:rsidRPr="003B4AEE">
        <w:t xml:space="preserve">and </w:t>
      </w:r>
      <w:r w:rsidRPr="003B4AEE">
        <w:t xml:space="preserve">installation of pilot study </w:t>
      </w:r>
      <w:proofErr w:type="gramStart"/>
      <w:r w:rsidRPr="003B4AEE">
        <w:t>technology;</w:t>
      </w:r>
      <w:proofErr w:type="gramEnd"/>
    </w:p>
    <w:p w14:paraId="7D4728D3" w14:textId="5B865146" w:rsidR="006640D5" w:rsidRPr="003B4AEE" w:rsidRDefault="006640D5" w:rsidP="00290A17">
      <w:pPr>
        <w:pStyle w:val="ListBulletlast"/>
        <w:numPr>
          <w:ilvl w:val="0"/>
          <w:numId w:val="13"/>
        </w:numPr>
      </w:pPr>
      <w:r w:rsidRPr="003B4AEE">
        <w:t>CWIS Phase III (</w:t>
      </w:r>
      <w:r w:rsidR="007358A3" w:rsidRPr="003B4AEE">
        <w:t>o</w:t>
      </w:r>
      <w:r w:rsidRPr="003B4AEE">
        <w:t xml:space="preserve">ffshore </w:t>
      </w:r>
      <w:r w:rsidR="007358A3" w:rsidRPr="003B4AEE">
        <w:t>o</w:t>
      </w:r>
      <w:r w:rsidRPr="003B4AEE">
        <w:t xml:space="preserve">il &amp; </w:t>
      </w:r>
      <w:r w:rsidR="007358A3" w:rsidRPr="003B4AEE">
        <w:t>g</w:t>
      </w:r>
      <w:r w:rsidRPr="003B4AEE">
        <w:t>as) cost for installing remote monitoring devi</w:t>
      </w:r>
      <w:r w:rsidR="007358A3" w:rsidRPr="003B4AEE">
        <w:t>c</w:t>
      </w:r>
      <w:r w:rsidRPr="003B4AEE">
        <w:t>es</w:t>
      </w:r>
    </w:p>
    <w:p w14:paraId="6417CC61" w14:textId="722B3A1D" w:rsidR="00FC39BC" w:rsidRPr="003B4AEE" w:rsidRDefault="00A64284" w:rsidP="004E05CF">
      <w:pPr>
        <w:pStyle w:val="BodyText"/>
      </w:pPr>
      <w:r w:rsidRPr="003B4AEE">
        <w:t xml:space="preserve">Details </w:t>
      </w:r>
      <w:r w:rsidR="00FF6B7C" w:rsidRPr="003B4AEE">
        <w:t xml:space="preserve">on </w:t>
      </w:r>
      <w:r w:rsidRPr="003B4AEE">
        <w:t xml:space="preserve">the methodology used to derive these costs are provided in </w:t>
      </w:r>
      <w:r w:rsidR="00FF6B7C" w:rsidRPr="003B4AEE">
        <w:t xml:space="preserve">section </w:t>
      </w:r>
      <w:r w:rsidRPr="003B4AEE">
        <w:t>A.</w:t>
      </w:r>
      <w:r w:rsidR="00F768BA" w:rsidRPr="003B4AEE">
        <w:t>2.3</w:t>
      </w:r>
      <w:r w:rsidRPr="003B4AEE">
        <w:t xml:space="preserve"> of Appendix A.</w:t>
      </w:r>
      <w:r w:rsidR="00291468" w:rsidRPr="003B4AEE">
        <w:t xml:space="preserve"> </w:t>
      </w:r>
      <w:r w:rsidR="00D94D14" w:rsidRPr="003B4AEE">
        <w:fldChar w:fldCharType="begin"/>
      </w:r>
      <w:r w:rsidR="00D94D14" w:rsidRPr="003B4AEE">
        <w:instrText xml:space="preserve"> REF _Ref61328210 \h </w:instrText>
      </w:r>
      <w:r w:rsidR="00FF2225" w:rsidRPr="003B4AEE">
        <w:instrText xml:space="preserve"> \* MERGEFORMAT </w:instrText>
      </w:r>
      <w:r w:rsidR="00D94D14" w:rsidRPr="003B4AEE">
        <w:fldChar w:fldCharType="separate"/>
      </w:r>
      <w:r w:rsidR="00B811B7" w:rsidRPr="003B4AEE">
        <w:t xml:space="preserve">Table </w:t>
      </w:r>
      <w:r w:rsidR="00B811B7" w:rsidRPr="003B4AEE">
        <w:rPr>
          <w:noProof/>
        </w:rPr>
        <w:t>13</w:t>
      </w:r>
      <w:r w:rsidR="00B811B7" w:rsidRPr="003B4AEE">
        <w:rPr>
          <w:noProof/>
        </w:rPr>
        <w:noBreakHyphen/>
        <w:t>1</w:t>
      </w:r>
      <w:r w:rsidR="00D94D14" w:rsidRPr="003B4AEE">
        <w:fldChar w:fldCharType="end"/>
      </w:r>
      <w:r w:rsidR="00291468" w:rsidRPr="003B4AEE">
        <w:t xml:space="preserve"> </w:t>
      </w:r>
      <w:r w:rsidR="00FF6B7C" w:rsidRPr="003B4AEE">
        <w:t>summarizes</w:t>
      </w:r>
      <w:r w:rsidR="00291468" w:rsidRPr="003B4AEE">
        <w:t xml:space="preserve"> annual O&amp;M and capital and start-up costs.</w:t>
      </w:r>
    </w:p>
    <w:p w14:paraId="37D908E9" w14:textId="3CB87CB9" w:rsidR="0076289A" w:rsidRPr="003B4AEE" w:rsidRDefault="0076289A" w:rsidP="009F1C6B">
      <w:pPr>
        <w:pStyle w:val="TableTitle"/>
      </w:pPr>
      <w:bookmarkStart w:id="205" w:name="_Ref61328210"/>
      <w:bookmarkStart w:id="206" w:name="_Toc61521437"/>
      <w:r w:rsidRPr="003B4AEE">
        <w:t xml:space="preserve">Table </w:t>
      </w:r>
      <w:r>
        <w:fldChar w:fldCharType="begin"/>
      </w:r>
      <w:r>
        <w:instrText>STYLEREF 2 \s</w:instrText>
      </w:r>
      <w:r>
        <w:fldChar w:fldCharType="separate"/>
      </w:r>
      <w:r w:rsidR="00B811B7" w:rsidRPr="003B4AEE">
        <w:rPr>
          <w:noProof/>
        </w:rPr>
        <w:t>13</w:t>
      </w:r>
      <w:r>
        <w:fldChar w:fldCharType="end"/>
      </w:r>
      <w:r w:rsidR="007A3DD9" w:rsidRPr="003B4AEE">
        <w:noBreakHyphen/>
      </w:r>
      <w:r>
        <w:fldChar w:fldCharType="begin"/>
      </w:r>
      <w:r>
        <w:instrText>SEQ Table \* ARABIC \s 2</w:instrText>
      </w:r>
      <w:r>
        <w:fldChar w:fldCharType="separate"/>
      </w:r>
      <w:r w:rsidR="00B811B7" w:rsidRPr="003B4AEE">
        <w:rPr>
          <w:noProof/>
        </w:rPr>
        <w:t>1</w:t>
      </w:r>
      <w:r>
        <w:fldChar w:fldCharType="end"/>
      </w:r>
      <w:bookmarkEnd w:id="205"/>
      <w:r w:rsidR="00D030D3" w:rsidRPr="003B4AEE">
        <w:t>.</w:t>
      </w:r>
      <w:r w:rsidRPr="003B4AEE">
        <w:t xml:space="preserve"> Summary of </w:t>
      </w:r>
      <w:r w:rsidR="00AC7E76" w:rsidRPr="003B4AEE">
        <w:t>A</w:t>
      </w:r>
      <w:r w:rsidRPr="003B4AEE">
        <w:t xml:space="preserve">nnual O&amp;M and </w:t>
      </w:r>
      <w:r w:rsidR="00AC7E76" w:rsidRPr="003B4AEE">
        <w:t>C</w:t>
      </w:r>
      <w:r w:rsidRPr="003B4AEE">
        <w:t xml:space="preserve">apital and </w:t>
      </w:r>
      <w:r w:rsidR="00AC7E76" w:rsidRPr="003B4AEE">
        <w:t>S</w:t>
      </w:r>
      <w:r w:rsidRPr="003B4AEE">
        <w:t xml:space="preserve">tart-up </w:t>
      </w:r>
      <w:r w:rsidR="00AC7E76" w:rsidRPr="003B4AEE">
        <w:t>C</w:t>
      </w:r>
      <w:r w:rsidRPr="003B4AEE">
        <w:t>osts</w:t>
      </w:r>
      <w:bookmarkEnd w:id="206"/>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607"/>
        <w:gridCol w:w="2517"/>
      </w:tblGrid>
      <w:tr w:rsidR="00A64284" w:rsidRPr="003B4AEE" w14:paraId="5A2252EA" w14:textId="77777777" w:rsidTr="009F1C6B">
        <w:trPr>
          <w:trHeight w:val="255"/>
          <w:jc w:val="center"/>
        </w:trPr>
        <w:tc>
          <w:tcPr>
            <w:tcW w:w="3124" w:type="dxa"/>
            <w:shd w:val="clear" w:color="auto" w:fill="D9D9D9" w:themeFill="background1" w:themeFillShade="D9"/>
            <w:noWrap/>
            <w:vAlign w:val="bottom"/>
          </w:tcPr>
          <w:p w14:paraId="55A056D2" w14:textId="77777777" w:rsidR="00A64284" w:rsidRPr="003B4AEE" w:rsidRDefault="00A64284" w:rsidP="009F1C6B">
            <w:pPr>
              <w:pStyle w:val="TableHeading"/>
            </w:pPr>
          </w:p>
        </w:tc>
        <w:tc>
          <w:tcPr>
            <w:tcW w:w="1607" w:type="dxa"/>
            <w:shd w:val="clear" w:color="auto" w:fill="D9D9D9" w:themeFill="background1" w:themeFillShade="D9"/>
          </w:tcPr>
          <w:p w14:paraId="032F8724" w14:textId="77777777" w:rsidR="00A64284" w:rsidRPr="003B4AEE" w:rsidRDefault="00A64284" w:rsidP="009F1C6B">
            <w:pPr>
              <w:pStyle w:val="TableHeading"/>
              <w:rPr>
                <w:color w:val="000000"/>
              </w:rPr>
            </w:pPr>
            <w:r w:rsidRPr="003B4AEE">
              <w:rPr>
                <w:color w:val="000000"/>
              </w:rPr>
              <w:t>Permittees</w:t>
            </w:r>
          </w:p>
        </w:tc>
        <w:tc>
          <w:tcPr>
            <w:tcW w:w="2517" w:type="dxa"/>
            <w:shd w:val="clear" w:color="auto" w:fill="D9D9D9" w:themeFill="background1" w:themeFillShade="D9"/>
            <w:vAlign w:val="center"/>
          </w:tcPr>
          <w:p w14:paraId="5160232E" w14:textId="17A8D1B1" w:rsidR="00A64284" w:rsidRPr="003B4AEE" w:rsidRDefault="00A64284" w:rsidP="009F1C6B">
            <w:pPr>
              <w:pStyle w:val="TableHeading"/>
              <w:rPr>
                <w:color w:val="000000"/>
              </w:rPr>
            </w:pPr>
            <w:r w:rsidRPr="003B4AEE">
              <w:rPr>
                <w:color w:val="000000"/>
              </w:rPr>
              <w:t>States/</w:t>
            </w:r>
            <w:r w:rsidR="00FC26CC" w:rsidRPr="003B4AEE">
              <w:rPr>
                <w:color w:val="000000"/>
              </w:rPr>
              <w:t>T</w:t>
            </w:r>
            <w:r w:rsidRPr="003B4AEE">
              <w:rPr>
                <w:color w:val="000000"/>
              </w:rPr>
              <w:t>ribes/</w:t>
            </w:r>
            <w:r w:rsidR="00FC26CC" w:rsidRPr="003B4AEE">
              <w:rPr>
                <w:color w:val="000000"/>
              </w:rPr>
              <w:t>T</w:t>
            </w:r>
            <w:r w:rsidRPr="003B4AEE">
              <w:rPr>
                <w:color w:val="000000"/>
              </w:rPr>
              <w:t>erritories</w:t>
            </w:r>
          </w:p>
        </w:tc>
      </w:tr>
      <w:tr w:rsidR="0016776A" w:rsidRPr="003B4AEE" w14:paraId="0EAE3CEF" w14:textId="77777777" w:rsidTr="009F1C6B">
        <w:trPr>
          <w:trHeight w:val="255"/>
          <w:jc w:val="center"/>
        </w:trPr>
        <w:tc>
          <w:tcPr>
            <w:tcW w:w="3124" w:type="dxa"/>
            <w:shd w:val="clear" w:color="auto" w:fill="auto"/>
            <w:noWrap/>
            <w:vAlign w:val="bottom"/>
          </w:tcPr>
          <w:p w14:paraId="19966756" w14:textId="35BF170A" w:rsidR="0016776A" w:rsidRPr="003B4AEE" w:rsidRDefault="0016776A" w:rsidP="00871F94">
            <w:pPr>
              <w:pStyle w:val="Tables"/>
            </w:pPr>
            <w:r w:rsidRPr="003B4AEE">
              <w:t>Costs (capital and start-up)</w:t>
            </w:r>
          </w:p>
        </w:tc>
        <w:tc>
          <w:tcPr>
            <w:tcW w:w="1607" w:type="dxa"/>
            <w:tcBorders>
              <w:top w:val="single" w:sz="4" w:space="0" w:color="auto"/>
              <w:left w:val="single" w:sz="4" w:space="0" w:color="auto"/>
              <w:bottom w:val="single" w:sz="4" w:space="0" w:color="auto"/>
              <w:right w:val="single" w:sz="4" w:space="0" w:color="auto"/>
            </w:tcBorders>
            <w:shd w:val="clear" w:color="auto" w:fill="auto"/>
            <w:noWrap/>
          </w:tcPr>
          <w:p w14:paraId="3A070ADC" w14:textId="6A201432" w:rsidR="0016776A" w:rsidRPr="003B4AEE" w:rsidRDefault="0011559C" w:rsidP="00110AB2">
            <w:pPr>
              <w:pStyle w:val="Tables"/>
              <w:jc w:val="right"/>
            </w:pPr>
            <w:r w:rsidRPr="003B4AEE">
              <w:t>$840,692</w:t>
            </w:r>
          </w:p>
        </w:tc>
        <w:tc>
          <w:tcPr>
            <w:tcW w:w="2517" w:type="dxa"/>
            <w:tcBorders>
              <w:top w:val="single" w:sz="4" w:space="0" w:color="auto"/>
              <w:left w:val="nil"/>
              <w:bottom w:val="single" w:sz="4" w:space="0" w:color="auto"/>
              <w:right w:val="single" w:sz="4" w:space="0" w:color="auto"/>
            </w:tcBorders>
            <w:shd w:val="clear" w:color="auto" w:fill="auto"/>
            <w:noWrap/>
          </w:tcPr>
          <w:p w14:paraId="3B3871BD" w14:textId="6BB3A19F" w:rsidR="0016776A" w:rsidRPr="003B4AEE" w:rsidRDefault="0011559C" w:rsidP="00110AB2">
            <w:pPr>
              <w:pStyle w:val="Tables"/>
              <w:jc w:val="right"/>
            </w:pPr>
            <w:r w:rsidRPr="003B4AEE">
              <w:t>$0</w:t>
            </w:r>
          </w:p>
        </w:tc>
      </w:tr>
      <w:tr w:rsidR="00C207F0" w:rsidRPr="003B4AEE" w14:paraId="60654B37" w14:textId="77777777" w:rsidTr="009F1C6B">
        <w:trPr>
          <w:trHeight w:val="255"/>
          <w:jc w:val="center"/>
        </w:trPr>
        <w:tc>
          <w:tcPr>
            <w:tcW w:w="3124" w:type="dxa"/>
            <w:tcBorders>
              <w:bottom w:val="single" w:sz="4" w:space="0" w:color="auto"/>
            </w:tcBorders>
            <w:shd w:val="clear" w:color="auto" w:fill="auto"/>
            <w:noWrap/>
            <w:vAlign w:val="bottom"/>
          </w:tcPr>
          <w:p w14:paraId="4D646115" w14:textId="77777777" w:rsidR="00C207F0" w:rsidRPr="003B4AEE" w:rsidRDefault="00C207F0" w:rsidP="00C207F0">
            <w:pPr>
              <w:pStyle w:val="Tables"/>
            </w:pPr>
            <w:r w:rsidRPr="003B4AEE">
              <w:t>Costs (O&amp;M)</w:t>
            </w:r>
          </w:p>
        </w:tc>
        <w:tc>
          <w:tcPr>
            <w:tcW w:w="1607" w:type="dxa"/>
            <w:tcBorders>
              <w:top w:val="nil"/>
              <w:left w:val="single" w:sz="4" w:space="0" w:color="auto"/>
              <w:bottom w:val="single" w:sz="4" w:space="0" w:color="auto"/>
              <w:right w:val="single" w:sz="4" w:space="0" w:color="auto"/>
            </w:tcBorders>
            <w:shd w:val="clear" w:color="auto" w:fill="auto"/>
            <w:noWrap/>
          </w:tcPr>
          <w:p w14:paraId="1EED4EAE" w14:textId="224FB523" w:rsidR="00C207F0" w:rsidRPr="003B4AEE" w:rsidRDefault="00C207F0" w:rsidP="00C207F0">
            <w:pPr>
              <w:pStyle w:val="Tables"/>
              <w:jc w:val="right"/>
            </w:pPr>
            <w:r w:rsidRPr="003B4AEE">
              <w:t>$21,642,469</w:t>
            </w:r>
          </w:p>
        </w:tc>
        <w:tc>
          <w:tcPr>
            <w:tcW w:w="2517" w:type="dxa"/>
            <w:tcBorders>
              <w:top w:val="nil"/>
              <w:left w:val="nil"/>
              <w:bottom w:val="single" w:sz="4" w:space="0" w:color="auto"/>
              <w:right w:val="single" w:sz="4" w:space="0" w:color="auto"/>
            </w:tcBorders>
            <w:shd w:val="clear" w:color="auto" w:fill="auto"/>
            <w:noWrap/>
          </w:tcPr>
          <w:p w14:paraId="10F019D8" w14:textId="3866CC89" w:rsidR="00C207F0" w:rsidRPr="003B4AEE" w:rsidRDefault="00C207F0" w:rsidP="00C207F0">
            <w:pPr>
              <w:pStyle w:val="Tables"/>
              <w:jc w:val="right"/>
            </w:pPr>
            <w:r w:rsidRPr="003B4AEE">
              <w:t>$577,756</w:t>
            </w:r>
          </w:p>
        </w:tc>
      </w:tr>
      <w:tr w:rsidR="00C207F0" w:rsidRPr="003B4AEE" w14:paraId="3A2943C5" w14:textId="77777777" w:rsidTr="009F1C6B">
        <w:trPr>
          <w:trHeight w:val="255"/>
          <w:jc w:val="center"/>
        </w:trPr>
        <w:tc>
          <w:tcPr>
            <w:tcW w:w="3124" w:type="dxa"/>
            <w:tcBorders>
              <w:bottom w:val="single" w:sz="4" w:space="0" w:color="auto"/>
            </w:tcBorders>
            <w:shd w:val="clear" w:color="auto" w:fill="auto"/>
            <w:noWrap/>
            <w:vAlign w:val="bottom"/>
          </w:tcPr>
          <w:p w14:paraId="29036356" w14:textId="2E174DF3" w:rsidR="00C207F0" w:rsidRPr="003B4AEE" w:rsidRDefault="00C207F0" w:rsidP="00C207F0">
            <w:pPr>
              <w:pStyle w:val="Tables"/>
            </w:pPr>
            <w:r w:rsidRPr="003B4AEE">
              <w:t>Total annual costs</w:t>
            </w:r>
          </w:p>
        </w:tc>
        <w:tc>
          <w:tcPr>
            <w:tcW w:w="1607" w:type="dxa"/>
            <w:tcBorders>
              <w:top w:val="nil"/>
              <w:left w:val="single" w:sz="4" w:space="0" w:color="auto"/>
              <w:bottom w:val="single" w:sz="4" w:space="0" w:color="auto"/>
              <w:right w:val="single" w:sz="4" w:space="0" w:color="auto"/>
            </w:tcBorders>
            <w:shd w:val="clear" w:color="auto" w:fill="auto"/>
            <w:noWrap/>
          </w:tcPr>
          <w:p w14:paraId="0206925E" w14:textId="66E4CE76" w:rsidR="00C207F0" w:rsidRPr="003B4AEE" w:rsidRDefault="00C207F0" w:rsidP="00C207F0">
            <w:pPr>
              <w:pStyle w:val="Tables"/>
              <w:jc w:val="right"/>
            </w:pPr>
            <w:r w:rsidRPr="003B4AEE">
              <w:t>$22,421,425</w:t>
            </w:r>
          </w:p>
        </w:tc>
        <w:tc>
          <w:tcPr>
            <w:tcW w:w="2517" w:type="dxa"/>
            <w:tcBorders>
              <w:top w:val="nil"/>
              <w:left w:val="nil"/>
              <w:bottom w:val="single" w:sz="4" w:space="0" w:color="auto"/>
              <w:right w:val="single" w:sz="4" w:space="0" w:color="auto"/>
            </w:tcBorders>
            <w:shd w:val="clear" w:color="auto" w:fill="auto"/>
            <w:noWrap/>
          </w:tcPr>
          <w:p w14:paraId="5129D57F" w14:textId="49C09514" w:rsidR="00C207F0" w:rsidRPr="003B4AEE" w:rsidRDefault="00C207F0" w:rsidP="00C207F0">
            <w:pPr>
              <w:pStyle w:val="Tables"/>
              <w:jc w:val="right"/>
            </w:pPr>
            <w:r w:rsidRPr="003B4AEE">
              <w:t>$577,756</w:t>
            </w:r>
          </w:p>
        </w:tc>
      </w:tr>
    </w:tbl>
    <w:p w14:paraId="593B83CD" w14:textId="7DDB80E0" w:rsidR="007F2877" w:rsidRPr="003B4AEE" w:rsidRDefault="007F2877" w:rsidP="00305558">
      <w:pPr>
        <w:pStyle w:val="Heading2"/>
      </w:pPr>
      <w:bookmarkStart w:id="207" w:name="_Toc61334220"/>
      <w:bookmarkStart w:id="208" w:name="_Toc71730003"/>
      <w:r w:rsidRPr="003B4AEE">
        <w:t xml:space="preserve">Provide an estimate of the annualized cost to the </w:t>
      </w:r>
      <w:r w:rsidR="0030589E" w:rsidRPr="003B4AEE">
        <w:t>federal government</w:t>
      </w:r>
      <w:bookmarkEnd w:id="207"/>
      <w:bookmarkEnd w:id="208"/>
    </w:p>
    <w:p w14:paraId="6CF11A90" w14:textId="7C937023" w:rsidR="00D105F0" w:rsidRPr="003B4AEE" w:rsidRDefault="003C5DAA" w:rsidP="004E05CF">
      <w:pPr>
        <w:pStyle w:val="BodyText"/>
      </w:pPr>
      <w:r w:rsidRPr="003B4AEE">
        <w:t xml:space="preserve">The </w:t>
      </w:r>
      <w:r w:rsidR="00FF6B7C" w:rsidRPr="003B4AEE">
        <w:t xml:space="preserve">federal government </w:t>
      </w:r>
      <w:r w:rsidRPr="003B4AEE">
        <w:t>burden includes activities related to administration of NPDES permits in non-authorized states</w:t>
      </w:r>
      <w:r w:rsidR="00125967" w:rsidRPr="003B4AEE">
        <w:t>,</w:t>
      </w:r>
      <w:r w:rsidRPr="003B4AEE">
        <w:t xml:space="preserve"> territories</w:t>
      </w:r>
      <w:r w:rsidR="00125967" w:rsidRPr="003B4AEE">
        <w:t xml:space="preserve">, and </w:t>
      </w:r>
      <w:r w:rsidR="0030589E" w:rsidRPr="003B4AEE">
        <w:t xml:space="preserve">federal </w:t>
      </w:r>
      <w:r w:rsidR="00125967" w:rsidRPr="003B4AEE">
        <w:t xml:space="preserve">Indian </w:t>
      </w:r>
      <w:r w:rsidR="0030589E" w:rsidRPr="003B4AEE">
        <w:t xml:space="preserve">lands </w:t>
      </w:r>
      <w:r w:rsidRPr="003B4AEE">
        <w:t xml:space="preserve">as well as oversight of NPDES programs. </w:t>
      </w:r>
      <w:r w:rsidR="00112C69" w:rsidRPr="003B4AEE">
        <w:t xml:space="preserve">In states without approved NPDES </w:t>
      </w:r>
      <w:r w:rsidR="001710DA" w:rsidRPr="003B4AEE">
        <w:t>p</w:t>
      </w:r>
      <w:r w:rsidR="00112C69" w:rsidRPr="003B4AEE">
        <w:t xml:space="preserve">rograms, the </w:t>
      </w:r>
      <w:r w:rsidR="0030589E" w:rsidRPr="003B4AEE">
        <w:t xml:space="preserve">federal government </w:t>
      </w:r>
      <w:r w:rsidR="00B0213E" w:rsidRPr="003B4AEE">
        <w:t>issue</w:t>
      </w:r>
      <w:r w:rsidR="007B7E3A" w:rsidRPr="003B4AEE">
        <w:t>s</w:t>
      </w:r>
      <w:r w:rsidR="00B0213E" w:rsidRPr="003B4AEE">
        <w:t xml:space="preserve"> and administer</w:t>
      </w:r>
      <w:r w:rsidR="007B7E3A" w:rsidRPr="003B4AEE">
        <w:t>s</w:t>
      </w:r>
      <w:r w:rsidR="00B0213E" w:rsidRPr="003B4AEE">
        <w:t xml:space="preserve"> NPDES permits. These burdens are similar to those incurred by the states and are calculated using the same methodology and assumptions. </w:t>
      </w:r>
      <w:r w:rsidR="00AA2478" w:rsidRPr="003B4AEE">
        <w:t xml:space="preserve">Appendix A provides program administration </w:t>
      </w:r>
      <w:r w:rsidR="00A24675" w:rsidRPr="003B4AEE">
        <w:t xml:space="preserve">burden estimates for </w:t>
      </w:r>
      <w:r w:rsidR="00AA2478" w:rsidRPr="003B4AEE">
        <w:t>authorized states</w:t>
      </w:r>
      <w:r w:rsidR="0030589E" w:rsidRPr="003B4AEE">
        <w:t xml:space="preserve">; </w:t>
      </w:r>
      <w:r w:rsidRPr="003B4AEE">
        <w:t>in many cases,</w:t>
      </w:r>
      <w:r w:rsidR="00A24675" w:rsidRPr="003B4AEE">
        <w:t xml:space="preserve"> </w:t>
      </w:r>
      <w:r w:rsidR="0030589E" w:rsidRPr="003B4AEE">
        <w:t xml:space="preserve">these </w:t>
      </w:r>
      <w:r w:rsidR="00A24675" w:rsidRPr="003B4AEE">
        <w:t xml:space="preserve">also apply to </w:t>
      </w:r>
      <w:r w:rsidR="00AA2478" w:rsidRPr="003B4AEE">
        <w:t xml:space="preserve">the </w:t>
      </w:r>
      <w:r w:rsidR="0030589E" w:rsidRPr="003B4AEE">
        <w:t xml:space="preserve">federal government </w:t>
      </w:r>
      <w:r w:rsidR="00AA2478" w:rsidRPr="003B4AEE">
        <w:t xml:space="preserve">in non-authorized states. </w:t>
      </w:r>
      <w:r w:rsidR="00261E98" w:rsidRPr="003B4AEE">
        <w:t xml:space="preserve">Appendix </w:t>
      </w:r>
      <w:r w:rsidR="004D0EF3" w:rsidRPr="003B4AEE">
        <w:t>C</w:t>
      </w:r>
      <w:r w:rsidR="00AA2478" w:rsidRPr="003B4AEE">
        <w:t>,</w:t>
      </w:r>
      <w:r w:rsidR="004D0EF3" w:rsidRPr="003B4AEE">
        <w:t xml:space="preserve"> Table C</w:t>
      </w:r>
      <w:r w:rsidR="001A6DA0" w:rsidRPr="003B4AEE">
        <w:t>-</w:t>
      </w:r>
      <w:r w:rsidR="004D0EF3" w:rsidRPr="003B4AEE">
        <w:t>1</w:t>
      </w:r>
      <w:r w:rsidR="0030589E" w:rsidRPr="003B4AEE">
        <w:t>,</w:t>
      </w:r>
      <w:r w:rsidR="00261E98" w:rsidRPr="003B4AEE">
        <w:t xml:space="preserve"> presents calculated respondent burden estimates grouped by activity type</w:t>
      </w:r>
      <w:r w:rsidR="00F27A7C" w:rsidRPr="003B4AEE">
        <w:t xml:space="preserve">. </w:t>
      </w:r>
      <w:r w:rsidR="001D56B6" w:rsidRPr="003B4AEE">
        <w:t>Details of t</w:t>
      </w:r>
      <w:r w:rsidR="00B0213E" w:rsidRPr="003B4AEE">
        <w:t xml:space="preserve">he </w:t>
      </w:r>
      <w:r w:rsidR="0030589E" w:rsidRPr="003B4AEE">
        <w:lastRenderedPageBreak/>
        <w:t xml:space="preserve">federal government </w:t>
      </w:r>
      <w:r w:rsidR="001D56B6" w:rsidRPr="003B4AEE">
        <w:t>burden and costs associated with</w:t>
      </w:r>
      <w:r w:rsidR="00B0213E" w:rsidRPr="003B4AEE">
        <w:t xml:space="preserve"> general oversight </w:t>
      </w:r>
      <w:r w:rsidR="00D60200" w:rsidRPr="003B4AEE">
        <w:t xml:space="preserve">of the NPDES </w:t>
      </w:r>
      <w:r w:rsidR="001710DA" w:rsidRPr="003B4AEE">
        <w:t>p</w:t>
      </w:r>
      <w:r w:rsidR="00D60200" w:rsidRPr="003B4AEE">
        <w:t xml:space="preserve">rogram and the </w:t>
      </w:r>
      <w:r w:rsidR="004E6FA4" w:rsidRPr="003B4AEE">
        <w:t>a</w:t>
      </w:r>
      <w:r w:rsidR="00D60200" w:rsidRPr="003B4AEE">
        <w:t xml:space="preserve">pproved </w:t>
      </w:r>
      <w:r w:rsidR="004E6FA4" w:rsidRPr="003B4AEE">
        <w:t>s</w:t>
      </w:r>
      <w:r w:rsidR="00D60200" w:rsidRPr="003B4AEE">
        <w:t xml:space="preserve">tate </w:t>
      </w:r>
      <w:r w:rsidR="004E6FA4" w:rsidRPr="003B4AEE">
        <w:t>p</w:t>
      </w:r>
      <w:r w:rsidR="00D60200" w:rsidRPr="003B4AEE">
        <w:t xml:space="preserve">rograms are presented in Appendix </w:t>
      </w:r>
      <w:r w:rsidR="00D105F0" w:rsidRPr="003B4AEE">
        <w:t>C</w:t>
      </w:r>
      <w:r w:rsidR="00AA2478" w:rsidRPr="003B4AEE">
        <w:t>,</w:t>
      </w:r>
      <w:r w:rsidR="004D0EF3" w:rsidRPr="003B4AEE">
        <w:t xml:space="preserve"> Table C</w:t>
      </w:r>
      <w:r w:rsidR="001A6DA0" w:rsidRPr="003B4AEE">
        <w:t>-</w:t>
      </w:r>
      <w:r w:rsidR="004D0EF3" w:rsidRPr="003B4AEE">
        <w:t>2</w:t>
      </w:r>
      <w:r w:rsidR="00D3084F" w:rsidRPr="003B4AEE">
        <w:t>.</w:t>
      </w:r>
      <w:r w:rsidR="00A36C97" w:rsidRPr="003B4AEE">
        <w:t xml:space="preserve"> </w:t>
      </w:r>
      <w:r w:rsidR="00D94D14" w:rsidRPr="003B4AEE">
        <w:fldChar w:fldCharType="begin"/>
      </w:r>
      <w:r w:rsidR="00D94D14" w:rsidRPr="003B4AEE">
        <w:instrText xml:space="preserve"> REF _Ref61328231 \h </w:instrText>
      </w:r>
      <w:r w:rsidR="00FF2225" w:rsidRPr="003B4AEE">
        <w:instrText xml:space="preserve"> \* MERGEFORMAT </w:instrText>
      </w:r>
      <w:r w:rsidR="00D94D14" w:rsidRPr="003B4AEE">
        <w:fldChar w:fldCharType="separate"/>
      </w:r>
      <w:r w:rsidR="00B811B7" w:rsidRPr="003B4AEE">
        <w:t xml:space="preserve">Table </w:t>
      </w:r>
      <w:r w:rsidR="00B811B7" w:rsidRPr="003B4AEE">
        <w:rPr>
          <w:noProof/>
        </w:rPr>
        <w:t>14</w:t>
      </w:r>
      <w:r w:rsidR="00B811B7" w:rsidRPr="003B4AEE">
        <w:rPr>
          <w:noProof/>
        </w:rPr>
        <w:noBreakHyphen/>
        <w:t>1</w:t>
      </w:r>
      <w:r w:rsidR="00D94D14" w:rsidRPr="003B4AEE">
        <w:fldChar w:fldCharType="end"/>
      </w:r>
      <w:r w:rsidR="00023967" w:rsidRPr="003B4AEE">
        <w:t xml:space="preserve"> </w:t>
      </w:r>
      <w:r w:rsidR="0030589E" w:rsidRPr="003B4AEE">
        <w:t xml:space="preserve">summarizes </w:t>
      </w:r>
      <w:r w:rsidR="00023967" w:rsidRPr="003B4AEE">
        <w:t xml:space="preserve">the average annual Agency burden hours and costs. </w:t>
      </w:r>
    </w:p>
    <w:p w14:paraId="78DE6B9F" w14:textId="1AB74AFE" w:rsidR="0076289A" w:rsidRPr="003B4AEE" w:rsidRDefault="0076289A" w:rsidP="009F1C6B">
      <w:pPr>
        <w:pStyle w:val="TableTitle"/>
      </w:pPr>
      <w:bookmarkStart w:id="209" w:name="_Ref61328231"/>
      <w:bookmarkStart w:id="210" w:name="_Toc61521438"/>
      <w:r w:rsidRPr="003B4AEE">
        <w:t xml:space="preserve">Table </w:t>
      </w:r>
      <w:r>
        <w:fldChar w:fldCharType="begin"/>
      </w:r>
      <w:r>
        <w:instrText>STYLEREF 2 \s</w:instrText>
      </w:r>
      <w:r>
        <w:fldChar w:fldCharType="separate"/>
      </w:r>
      <w:r w:rsidR="00B811B7" w:rsidRPr="003B4AEE">
        <w:rPr>
          <w:noProof/>
        </w:rPr>
        <w:t>14</w:t>
      </w:r>
      <w:r>
        <w:fldChar w:fldCharType="end"/>
      </w:r>
      <w:r w:rsidR="007A3DD9" w:rsidRPr="003B4AEE">
        <w:noBreakHyphen/>
      </w:r>
      <w:r>
        <w:fldChar w:fldCharType="begin"/>
      </w:r>
      <w:r>
        <w:instrText>SEQ Table \* ARABIC \s 2</w:instrText>
      </w:r>
      <w:r>
        <w:fldChar w:fldCharType="separate"/>
      </w:r>
      <w:r w:rsidR="00B811B7" w:rsidRPr="003B4AEE">
        <w:rPr>
          <w:noProof/>
        </w:rPr>
        <w:t>1</w:t>
      </w:r>
      <w:r>
        <w:fldChar w:fldCharType="end"/>
      </w:r>
      <w:bookmarkEnd w:id="209"/>
      <w:r w:rsidR="00D030D3" w:rsidRPr="003B4AEE">
        <w:t xml:space="preserve">. </w:t>
      </w:r>
      <w:r w:rsidRPr="003B4AEE">
        <w:t xml:space="preserve">Summary of </w:t>
      </w:r>
      <w:r w:rsidR="00AC7E76" w:rsidRPr="003B4AEE">
        <w:t>A</w:t>
      </w:r>
      <w:r w:rsidRPr="003B4AEE">
        <w:t xml:space="preserve">gency </w:t>
      </w:r>
      <w:r w:rsidR="00AC7E76" w:rsidRPr="003B4AEE">
        <w:t>A</w:t>
      </w:r>
      <w:r w:rsidRPr="003B4AEE">
        <w:t xml:space="preserve">nnualized </w:t>
      </w:r>
      <w:r w:rsidR="00AC7E76" w:rsidRPr="003B4AEE">
        <w:t>B</w:t>
      </w:r>
      <w:r w:rsidRPr="003B4AEE">
        <w:t xml:space="preserve">urden and </w:t>
      </w:r>
      <w:r w:rsidR="00AC7E76" w:rsidRPr="003B4AEE">
        <w:t>C</w:t>
      </w:r>
      <w:r w:rsidRPr="003B4AEE">
        <w:t>osts</w:t>
      </w:r>
      <w:bookmarkEnd w:id="210"/>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2615"/>
        <w:gridCol w:w="2213"/>
        <w:gridCol w:w="2139"/>
      </w:tblGrid>
      <w:tr w:rsidR="00301D0A" w:rsidRPr="003B4AEE" w14:paraId="370BC24B" w14:textId="77777777" w:rsidTr="000372E1">
        <w:trPr>
          <w:trHeight w:val="218"/>
          <w:tblHeader/>
        </w:trPr>
        <w:tc>
          <w:tcPr>
            <w:tcW w:w="2735" w:type="dxa"/>
            <w:shd w:val="clear" w:color="auto" w:fill="D9D9D9" w:themeFill="background1" w:themeFillShade="D9"/>
            <w:noWrap/>
            <w:vAlign w:val="bottom"/>
          </w:tcPr>
          <w:p w14:paraId="27603033" w14:textId="77777777" w:rsidR="00301D0A" w:rsidRPr="003B4AEE" w:rsidRDefault="00301D0A" w:rsidP="009F1C6B">
            <w:pPr>
              <w:pStyle w:val="TableHeading"/>
            </w:pPr>
          </w:p>
        </w:tc>
        <w:tc>
          <w:tcPr>
            <w:tcW w:w="2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7F6763" w14:textId="15E7087B" w:rsidR="00FC26CC" w:rsidRPr="003B4AEE" w:rsidRDefault="002A3E05" w:rsidP="009F1C6B">
            <w:pPr>
              <w:pStyle w:val="TableHeading"/>
            </w:pPr>
            <w:r w:rsidRPr="003B4AEE">
              <w:t xml:space="preserve">NPDES </w:t>
            </w:r>
            <w:r w:rsidR="00301D0A" w:rsidRPr="003B4AEE">
              <w:t xml:space="preserve">Program </w:t>
            </w:r>
            <w:r w:rsidR="00AC7E76" w:rsidRPr="003B4AEE">
              <w:t>A</w:t>
            </w:r>
            <w:r w:rsidR="00301D0A" w:rsidRPr="003B4AEE">
              <w:t xml:space="preserve">dministration in </w:t>
            </w:r>
            <w:r w:rsidR="00521AC0" w:rsidRPr="003B4AEE">
              <w:t>N</w:t>
            </w:r>
            <w:r w:rsidR="00301D0A" w:rsidRPr="003B4AEE">
              <w:t>on-</w:t>
            </w:r>
            <w:r w:rsidR="00E82C20" w:rsidRPr="003B4AEE">
              <w:t>a</w:t>
            </w:r>
            <w:r w:rsidR="00AA2478" w:rsidRPr="003B4AEE">
              <w:t xml:space="preserve">uthorized </w:t>
            </w:r>
            <w:r w:rsidR="00521AC0" w:rsidRPr="003B4AEE">
              <w:t>S</w:t>
            </w:r>
            <w:r w:rsidR="00301D0A" w:rsidRPr="003B4AEE">
              <w:t>tates</w:t>
            </w:r>
          </w:p>
          <w:p w14:paraId="65D0B16B" w14:textId="12B98507" w:rsidR="00301D0A" w:rsidRPr="003B4AEE" w:rsidRDefault="00301D0A" w:rsidP="009F1C6B">
            <w:pPr>
              <w:pStyle w:val="TableHeading"/>
            </w:pPr>
            <w:r w:rsidRPr="003B4AEE">
              <w:t xml:space="preserve">(Appendix </w:t>
            </w:r>
            <w:r w:rsidR="004D0EF3" w:rsidRPr="003B4AEE">
              <w:t>C</w:t>
            </w:r>
            <w:r w:rsidR="0030589E" w:rsidRPr="003B4AEE">
              <w:t>,</w:t>
            </w:r>
            <w:r w:rsidR="004D0EF3" w:rsidRPr="003B4AEE">
              <w:t xml:space="preserve"> Table C</w:t>
            </w:r>
            <w:r w:rsidR="001A6DA0" w:rsidRPr="003B4AEE">
              <w:t>-</w:t>
            </w:r>
            <w:r w:rsidR="004D0EF3" w:rsidRPr="003B4AEE">
              <w:t>1</w:t>
            </w:r>
            <w:r w:rsidRPr="003B4AEE">
              <w:t>)</w:t>
            </w:r>
          </w:p>
        </w:tc>
        <w:tc>
          <w:tcPr>
            <w:tcW w:w="221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9A8F27C" w14:textId="7029F6B9" w:rsidR="0030589E" w:rsidRPr="003B4AEE" w:rsidRDefault="00301D0A" w:rsidP="009F1C6B">
            <w:pPr>
              <w:pStyle w:val="TableHeading"/>
            </w:pPr>
            <w:r w:rsidRPr="003B4AEE">
              <w:t xml:space="preserve">NPDES </w:t>
            </w:r>
            <w:r w:rsidR="00521AC0" w:rsidRPr="003B4AEE">
              <w:t>P</w:t>
            </w:r>
            <w:r w:rsidRPr="003B4AEE">
              <w:t xml:space="preserve">rogram </w:t>
            </w:r>
            <w:r w:rsidR="00521AC0" w:rsidRPr="003B4AEE">
              <w:t>O</w:t>
            </w:r>
            <w:r w:rsidRPr="003B4AEE">
              <w:t>versight</w:t>
            </w:r>
          </w:p>
          <w:p w14:paraId="418F935B" w14:textId="748C80DE" w:rsidR="00301D0A" w:rsidRPr="003B4AEE" w:rsidRDefault="00301D0A" w:rsidP="009F1C6B">
            <w:pPr>
              <w:pStyle w:val="TableHeading"/>
            </w:pPr>
            <w:r w:rsidRPr="003B4AEE">
              <w:t>(Appendix C</w:t>
            </w:r>
            <w:r w:rsidR="0030589E" w:rsidRPr="003B4AEE">
              <w:t>,</w:t>
            </w:r>
            <w:r w:rsidR="004D0EF3" w:rsidRPr="003B4AEE">
              <w:t xml:space="preserve"> Table C</w:t>
            </w:r>
            <w:r w:rsidR="001A6DA0" w:rsidRPr="003B4AEE">
              <w:t>-</w:t>
            </w:r>
            <w:r w:rsidR="004D0EF3" w:rsidRPr="003B4AEE">
              <w:t>2</w:t>
            </w:r>
            <w:r w:rsidRPr="003B4AEE">
              <w:t>)</w:t>
            </w:r>
          </w:p>
        </w:tc>
        <w:tc>
          <w:tcPr>
            <w:tcW w:w="2139" w:type="dxa"/>
            <w:shd w:val="clear" w:color="auto" w:fill="D9D9D9" w:themeFill="background1" w:themeFillShade="D9"/>
            <w:noWrap/>
            <w:vAlign w:val="bottom"/>
          </w:tcPr>
          <w:p w14:paraId="3025D93D" w14:textId="31C4ED22" w:rsidR="00301D0A" w:rsidRPr="003B4AEE" w:rsidRDefault="00301D0A" w:rsidP="009F1C6B">
            <w:pPr>
              <w:pStyle w:val="TableHeading"/>
            </w:pPr>
            <w:r w:rsidRPr="003B4AEE">
              <w:t>Total</w:t>
            </w:r>
          </w:p>
        </w:tc>
      </w:tr>
      <w:tr w:rsidR="000372E1" w:rsidRPr="003B4AEE" w14:paraId="3C6FCABE" w14:textId="77777777" w:rsidTr="000372E1">
        <w:trPr>
          <w:trHeight w:val="218"/>
        </w:trPr>
        <w:tc>
          <w:tcPr>
            <w:tcW w:w="2735" w:type="dxa"/>
            <w:shd w:val="clear" w:color="auto" w:fill="auto"/>
            <w:noWrap/>
            <w:vAlign w:val="bottom"/>
          </w:tcPr>
          <w:p w14:paraId="64F4CA8E" w14:textId="77777777" w:rsidR="000372E1" w:rsidRPr="003B4AEE" w:rsidRDefault="000372E1" w:rsidP="000372E1">
            <w:pPr>
              <w:pStyle w:val="Tables"/>
            </w:pPr>
            <w:r w:rsidRPr="003B4AEE">
              <w:t>Responses (number)</w:t>
            </w:r>
          </w:p>
        </w:tc>
        <w:tc>
          <w:tcPr>
            <w:tcW w:w="2615" w:type="dxa"/>
            <w:tcBorders>
              <w:top w:val="single" w:sz="4" w:space="0" w:color="auto"/>
              <w:left w:val="single" w:sz="4" w:space="0" w:color="auto"/>
              <w:bottom w:val="single" w:sz="4" w:space="0" w:color="auto"/>
              <w:right w:val="single" w:sz="4" w:space="0" w:color="auto"/>
            </w:tcBorders>
            <w:shd w:val="clear" w:color="auto" w:fill="auto"/>
          </w:tcPr>
          <w:p w14:paraId="566009BD" w14:textId="3F41DD4F" w:rsidR="000372E1" w:rsidRPr="003B4AEE" w:rsidRDefault="000372E1" w:rsidP="000372E1">
            <w:pPr>
              <w:pStyle w:val="Tables"/>
              <w:jc w:val="right"/>
            </w:pPr>
            <w:r w:rsidRPr="002442A6">
              <w:t>171,627</w:t>
            </w:r>
          </w:p>
        </w:tc>
        <w:tc>
          <w:tcPr>
            <w:tcW w:w="2213" w:type="dxa"/>
            <w:tcBorders>
              <w:top w:val="single" w:sz="4" w:space="0" w:color="auto"/>
              <w:left w:val="nil"/>
              <w:bottom w:val="single" w:sz="4" w:space="0" w:color="auto"/>
              <w:right w:val="single" w:sz="4" w:space="0" w:color="auto"/>
            </w:tcBorders>
            <w:shd w:val="clear" w:color="auto" w:fill="auto"/>
          </w:tcPr>
          <w:p w14:paraId="055E63ED" w14:textId="52720B43" w:rsidR="000372E1" w:rsidRPr="003B4AEE" w:rsidRDefault="000372E1" w:rsidP="000372E1">
            <w:pPr>
              <w:pStyle w:val="Tables"/>
              <w:jc w:val="right"/>
            </w:pPr>
            <w:r w:rsidRPr="003B4AEE">
              <w:t>5,761</w:t>
            </w:r>
          </w:p>
        </w:tc>
        <w:tc>
          <w:tcPr>
            <w:tcW w:w="2139" w:type="dxa"/>
            <w:tcBorders>
              <w:top w:val="single" w:sz="4" w:space="0" w:color="auto"/>
              <w:left w:val="nil"/>
              <w:bottom w:val="single" w:sz="4" w:space="0" w:color="auto"/>
              <w:right w:val="single" w:sz="4" w:space="0" w:color="auto"/>
            </w:tcBorders>
            <w:shd w:val="clear" w:color="auto" w:fill="auto"/>
            <w:noWrap/>
          </w:tcPr>
          <w:p w14:paraId="1E0B8EBE" w14:textId="5CD3FD6F" w:rsidR="000372E1" w:rsidRPr="003B4AEE" w:rsidRDefault="000372E1" w:rsidP="000372E1">
            <w:pPr>
              <w:pStyle w:val="Tables"/>
              <w:jc w:val="right"/>
            </w:pPr>
            <w:r w:rsidRPr="006B1B62">
              <w:t>177,388</w:t>
            </w:r>
          </w:p>
        </w:tc>
      </w:tr>
      <w:tr w:rsidR="000372E1" w:rsidRPr="003B4AEE" w14:paraId="0E9A7E68" w14:textId="77777777" w:rsidTr="000372E1">
        <w:trPr>
          <w:trHeight w:val="218"/>
        </w:trPr>
        <w:tc>
          <w:tcPr>
            <w:tcW w:w="2735" w:type="dxa"/>
            <w:shd w:val="clear" w:color="auto" w:fill="auto"/>
            <w:noWrap/>
            <w:vAlign w:val="bottom"/>
          </w:tcPr>
          <w:p w14:paraId="27C1ABF3" w14:textId="77777777" w:rsidR="000372E1" w:rsidRPr="003B4AEE" w:rsidRDefault="000372E1" w:rsidP="000372E1">
            <w:pPr>
              <w:pStyle w:val="Tables"/>
            </w:pPr>
            <w:r w:rsidRPr="003B4AEE">
              <w:t>Burden (hours)</w:t>
            </w:r>
          </w:p>
        </w:tc>
        <w:tc>
          <w:tcPr>
            <w:tcW w:w="2615" w:type="dxa"/>
            <w:tcBorders>
              <w:top w:val="nil"/>
              <w:left w:val="single" w:sz="4" w:space="0" w:color="auto"/>
              <w:bottom w:val="single" w:sz="4" w:space="0" w:color="auto"/>
              <w:right w:val="single" w:sz="4" w:space="0" w:color="auto"/>
            </w:tcBorders>
            <w:shd w:val="clear" w:color="auto" w:fill="auto"/>
          </w:tcPr>
          <w:p w14:paraId="0466F026" w14:textId="4BAE6E14" w:rsidR="000372E1" w:rsidRPr="003B4AEE" w:rsidRDefault="000372E1" w:rsidP="000372E1">
            <w:pPr>
              <w:pStyle w:val="Tables"/>
              <w:jc w:val="right"/>
            </w:pPr>
            <w:r w:rsidRPr="002442A6">
              <w:t>142,732</w:t>
            </w:r>
          </w:p>
        </w:tc>
        <w:tc>
          <w:tcPr>
            <w:tcW w:w="2213" w:type="dxa"/>
            <w:tcBorders>
              <w:top w:val="nil"/>
              <w:left w:val="nil"/>
              <w:bottom w:val="single" w:sz="4" w:space="0" w:color="auto"/>
              <w:right w:val="single" w:sz="4" w:space="0" w:color="auto"/>
            </w:tcBorders>
            <w:shd w:val="clear" w:color="auto" w:fill="auto"/>
          </w:tcPr>
          <w:p w14:paraId="64ECE720" w14:textId="4E06B95C" w:rsidR="000372E1" w:rsidRPr="003B4AEE" w:rsidRDefault="000372E1" w:rsidP="000372E1">
            <w:pPr>
              <w:pStyle w:val="Tables"/>
              <w:jc w:val="right"/>
            </w:pPr>
            <w:r w:rsidRPr="003B4AEE">
              <w:t>27,342</w:t>
            </w:r>
          </w:p>
        </w:tc>
        <w:tc>
          <w:tcPr>
            <w:tcW w:w="2139" w:type="dxa"/>
            <w:tcBorders>
              <w:top w:val="nil"/>
              <w:left w:val="nil"/>
              <w:bottom w:val="single" w:sz="4" w:space="0" w:color="auto"/>
              <w:right w:val="single" w:sz="4" w:space="0" w:color="auto"/>
            </w:tcBorders>
            <w:shd w:val="clear" w:color="auto" w:fill="auto"/>
            <w:noWrap/>
          </w:tcPr>
          <w:p w14:paraId="4BEE4359" w14:textId="7DC1DE89" w:rsidR="000372E1" w:rsidRPr="003B4AEE" w:rsidRDefault="000372E1" w:rsidP="000372E1">
            <w:pPr>
              <w:pStyle w:val="Tables"/>
              <w:jc w:val="right"/>
            </w:pPr>
            <w:r w:rsidRPr="006B1B62">
              <w:t>170,073</w:t>
            </w:r>
          </w:p>
        </w:tc>
      </w:tr>
      <w:tr w:rsidR="000372E1" w:rsidRPr="003B4AEE" w14:paraId="502F97BC" w14:textId="77777777" w:rsidTr="000372E1">
        <w:trPr>
          <w:trHeight w:val="218"/>
        </w:trPr>
        <w:tc>
          <w:tcPr>
            <w:tcW w:w="2735" w:type="dxa"/>
            <w:shd w:val="clear" w:color="auto" w:fill="auto"/>
            <w:noWrap/>
            <w:vAlign w:val="bottom"/>
          </w:tcPr>
          <w:p w14:paraId="57F023C9" w14:textId="539A9DFA" w:rsidR="000372E1" w:rsidRPr="003B4AEE" w:rsidRDefault="000372E1" w:rsidP="000372E1">
            <w:pPr>
              <w:pStyle w:val="Tables"/>
            </w:pPr>
            <w:r w:rsidRPr="003B4AEE">
              <w:t>Costs (labor)</w:t>
            </w:r>
          </w:p>
        </w:tc>
        <w:tc>
          <w:tcPr>
            <w:tcW w:w="2615" w:type="dxa"/>
            <w:tcBorders>
              <w:top w:val="nil"/>
              <w:left w:val="single" w:sz="4" w:space="0" w:color="auto"/>
              <w:bottom w:val="single" w:sz="4" w:space="0" w:color="auto"/>
              <w:right w:val="single" w:sz="4" w:space="0" w:color="auto"/>
            </w:tcBorders>
            <w:shd w:val="clear" w:color="auto" w:fill="auto"/>
          </w:tcPr>
          <w:p w14:paraId="326A3E70" w14:textId="118335D8" w:rsidR="000372E1" w:rsidRPr="003B4AEE" w:rsidRDefault="000372E1" w:rsidP="000372E1">
            <w:pPr>
              <w:pStyle w:val="Tables"/>
              <w:jc w:val="right"/>
            </w:pPr>
            <w:r w:rsidRPr="002442A6">
              <w:t>$6,545,937</w:t>
            </w:r>
          </w:p>
        </w:tc>
        <w:tc>
          <w:tcPr>
            <w:tcW w:w="2213" w:type="dxa"/>
            <w:tcBorders>
              <w:top w:val="nil"/>
              <w:left w:val="nil"/>
              <w:bottom w:val="single" w:sz="4" w:space="0" w:color="auto"/>
              <w:right w:val="single" w:sz="4" w:space="0" w:color="auto"/>
            </w:tcBorders>
            <w:shd w:val="clear" w:color="auto" w:fill="auto"/>
          </w:tcPr>
          <w:p w14:paraId="1223B6C3" w14:textId="5B1491A3" w:rsidR="000372E1" w:rsidRPr="003B4AEE" w:rsidRDefault="000372E1" w:rsidP="000372E1">
            <w:pPr>
              <w:pStyle w:val="Tables"/>
              <w:jc w:val="right"/>
            </w:pPr>
            <w:r w:rsidRPr="003B4AEE">
              <w:t>$1,247,535</w:t>
            </w:r>
          </w:p>
        </w:tc>
        <w:tc>
          <w:tcPr>
            <w:tcW w:w="2139" w:type="dxa"/>
            <w:tcBorders>
              <w:top w:val="nil"/>
              <w:left w:val="nil"/>
              <w:bottom w:val="single" w:sz="4" w:space="0" w:color="auto"/>
              <w:right w:val="single" w:sz="4" w:space="0" w:color="auto"/>
            </w:tcBorders>
            <w:shd w:val="clear" w:color="auto" w:fill="auto"/>
            <w:noWrap/>
          </w:tcPr>
          <w:p w14:paraId="3299C537" w14:textId="71B54D8C" w:rsidR="000372E1" w:rsidRPr="003B4AEE" w:rsidRDefault="000372E1" w:rsidP="000372E1">
            <w:pPr>
              <w:pStyle w:val="Tables"/>
              <w:jc w:val="right"/>
            </w:pPr>
            <w:r w:rsidRPr="006B1B62">
              <w:t>$7,793,472</w:t>
            </w:r>
          </w:p>
        </w:tc>
      </w:tr>
      <w:tr w:rsidR="000372E1" w:rsidRPr="003B4AEE" w14:paraId="301E2979" w14:textId="77777777" w:rsidTr="000372E1">
        <w:trPr>
          <w:trHeight w:val="218"/>
        </w:trPr>
        <w:tc>
          <w:tcPr>
            <w:tcW w:w="2735" w:type="dxa"/>
            <w:shd w:val="clear" w:color="auto" w:fill="auto"/>
            <w:noWrap/>
            <w:vAlign w:val="bottom"/>
          </w:tcPr>
          <w:p w14:paraId="4CDCEF72" w14:textId="77777777" w:rsidR="000372E1" w:rsidRPr="003B4AEE" w:rsidRDefault="000372E1" w:rsidP="000372E1">
            <w:pPr>
              <w:pStyle w:val="Tables"/>
            </w:pPr>
            <w:r w:rsidRPr="003B4AEE">
              <w:t>Costs (capital)</w:t>
            </w:r>
          </w:p>
        </w:tc>
        <w:tc>
          <w:tcPr>
            <w:tcW w:w="2615" w:type="dxa"/>
            <w:tcBorders>
              <w:top w:val="nil"/>
              <w:left w:val="single" w:sz="4" w:space="0" w:color="auto"/>
              <w:bottom w:val="single" w:sz="4" w:space="0" w:color="auto"/>
              <w:right w:val="single" w:sz="4" w:space="0" w:color="auto"/>
            </w:tcBorders>
            <w:shd w:val="clear" w:color="auto" w:fill="auto"/>
          </w:tcPr>
          <w:p w14:paraId="20ABE588" w14:textId="536CE8E6" w:rsidR="000372E1" w:rsidRPr="003B4AEE" w:rsidRDefault="000372E1" w:rsidP="000372E1">
            <w:pPr>
              <w:pStyle w:val="Tables"/>
              <w:jc w:val="right"/>
            </w:pPr>
            <w:r w:rsidRPr="002442A6">
              <w:t>$0</w:t>
            </w:r>
          </w:p>
        </w:tc>
        <w:tc>
          <w:tcPr>
            <w:tcW w:w="2213" w:type="dxa"/>
            <w:tcBorders>
              <w:top w:val="nil"/>
              <w:left w:val="nil"/>
              <w:bottom w:val="single" w:sz="4" w:space="0" w:color="auto"/>
              <w:right w:val="single" w:sz="4" w:space="0" w:color="auto"/>
            </w:tcBorders>
            <w:shd w:val="clear" w:color="auto" w:fill="auto"/>
          </w:tcPr>
          <w:p w14:paraId="161A2A3E" w14:textId="0BCF2A9A" w:rsidR="000372E1" w:rsidRPr="003B4AEE" w:rsidRDefault="000372E1" w:rsidP="000372E1">
            <w:pPr>
              <w:pStyle w:val="Tables"/>
              <w:jc w:val="right"/>
            </w:pPr>
            <w:r w:rsidRPr="003B4AEE">
              <w:t>$0</w:t>
            </w:r>
          </w:p>
        </w:tc>
        <w:tc>
          <w:tcPr>
            <w:tcW w:w="2139" w:type="dxa"/>
            <w:tcBorders>
              <w:top w:val="nil"/>
              <w:left w:val="nil"/>
              <w:bottom w:val="single" w:sz="4" w:space="0" w:color="auto"/>
              <w:right w:val="single" w:sz="4" w:space="0" w:color="auto"/>
            </w:tcBorders>
            <w:shd w:val="clear" w:color="auto" w:fill="auto"/>
            <w:noWrap/>
          </w:tcPr>
          <w:p w14:paraId="52DAD4AF" w14:textId="142F8EE8" w:rsidR="000372E1" w:rsidRPr="003B4AEE" w:rsidRDefault="000372E1" w:rsidP="000372E1">
            <w:pPr>
              <w:pStyle w:val="Tables"/>
              <w:jc w:val="right"/>
            </w:pPr>
            <w:r w:rsidRPr="006B1B62">
              <w:t>$0</w:t>
            </w:r>
          </w:p>
        </w:tc>
      </w:tr>
      <w:tr w:rsidR="000372E1" w:rsidRPr="003B4AEE" w14:paraId="2844018A" w14:textId="77777777" w:rsidTr="000372E1">
        <w:trPr>
          <w:trHeight w:val="218"/>
        </w:trPr>
        <w:tc>
          <w:tcPr>
            <w:tcW w:w="2735" w:type="dxa"/>
            <w:shd w:val="clear" w:color="auto" w:fill="auto"/>
            <w:noWrap/>
            <w:vAlign w:val="bottom"/>
          </w:tcPr>
          <w:p w14:paraId="1029D004" w14:textId="77777777" w:rsidR="000372E1" w:rsidRPr="003B4AEE" w:rsidRDefault="000372E1" w:rsidP="000372E1">
            <w:pPr>
              <w:pStyle w:val="Tables"/>
            </w:pPr>
            <w:r w:rsidRPr="003B4AEE">
              <w:t>Costs (O&amp;M)</w:t>
            </w:r>
          </w:p>
        </w:tc>
        <w:tc>
          <w:tcPr>
            <w:tcW w:w="2615" w:type="dxa"/>
            <w:tcBorders>
              <w:top w:val="nil"/>
              <w:left w:val="single" w:sz="4" w:space="0" w:color="auto"/>
              <w:bottom w:val="single" w:sz="4" w:space="0" w:color="auto"/>
              <w:right w:val="single" w:sz="4" w:space="0" w:color="auto"/>
            </w:tcBorders>
            <w:shd w:val="clear" w:color="auto" w:fill="auto"/>
          </w:tcPr>
          <w:p w14:paraId="48EDC3E1" w14:textId="7F8A1B77" w:rsidR="000372E1" w:rsidRPr="003B4AEE" w:rsidRDefault="000372E1" w:rsidP="000372E1">
            <w:pPr>
              <w:pStyle w:val="Tables"/>
              <w:jc w:val="right"/>
            </w:pPr>
            <w:r w:rsidRPr="002442A6">
              <w:t>$316,458</w:t>
            </w:r>
          </w:p>
        </w:tc>
        <w:tc>
          <w:tcPr>
            <w:tcW w:w="2213" w:type="dxa"/>
            <w:tcBorders>
              <w:top w:val="nil"/>
              <w:left w:val="nil"/>
              <w:bottom w:val="single" w:sz="4" w:space="0" w:color="auto"/>
              <w:right w:val="single" w:sz="4" w:space="0" w:color="auto"/>
            </w:tcBorders>
            <w:shd w:val="clear" w:color="auto" w:fill="auto"/>
          </w:tcPr>
          <w:p w14:paraId="36AA18EA" w14:textId="1666A54F" w:rsidR="000372E1" w:rsidRPr="003B4AEE" w:rsidRDefault="000372E1" w:rsidP="000372E1">
            <w:pPr>
              <w:pStyle w:val="Tables"/>
              <w:jc w:val="right"/>
            </w:pPr>
            <w:r w:rsidRPr="003B4AEE">
              <w:t>$312</w:t>
            </w:r>
          </w:p>
        </w:tc>
        <w:tc>
          <w:tcPr>
            <w:tcW w:w="2139" w:type="dxa"/>
            <w:tcBorders>
              <w:top w:val="nil"/>
              <w:left w:val="nil"/>
              <w:bottom w:val="single" w:sz="4" w:space="0" w:color="auto"/>
              <w:right w:val="single" w:sz="4" w:space="0" w:color="auto"/>
            </w:tcBorders>
            <w:shd w:val="clear" w:color="auto" w:fill="auto"/>
            <w:noWrap/>
          </w:tcPr>
          <w:p w14:paraId="2F1DE0C0" w14:textId="704CA57B" w:rsidR="000372E1" w:rsidRPr="003B4AEE" w:rsidRDefault="000372E1" w:rsidP="000372E1">
            <w:pPr>
              <w:pStyle w:val="Tables"/>
              <w:jc w:val="right"/>
            </w:pPr>
            <w:r w:rsidRPr="006B1B62">
              <w:t>$316,770</w:t>
            </w:r>
          </w:p>
        </w:tc>
      </w:tr>
      <w:tr w:rsidR="000372E1" w:rsidRPr="003B4AEE" w14:paraId="526456D2" w14:textId="77777777" w:rsidTr="000372E1">
        <w:trPr>
          <w:trHeight w:val="218"/>
        </w:trPr>
        <w:tc>
          <w:tcPr>
            <w:tcW w:w="2735" w:type="dxa"/>
            <w:shd w:val="clear" w:color="auto" w:fill="auto"/>
            <w:noWrap/>
            <w:vAlign w:val="bottom"/>
          </w:tcPr>
          <w:p w14:paraId="53FBD22A" w14:textId="77777777" w:rsidR="000372E1" w:rsidRPr="003B4AEE" w:rsidRDefault="000372E1" w:rsidP="000372E1">
            <w:pPr>
              <w:pStyle w:val="Tables"/>
            </w:pPr>
            <w:r w:rsidRPr="003B4AEE">
              <w:t>Total costs</w:t>
            </w:r>
          </w:p>
        </w:tc>
        <w:tc>
          <w:tcPr>
            <w:tcW w:w="2615" w:type="dxa"/>
            <w:tcBorders>
              <w:top w:val="nil"/>
              <w:left w:val="single" w:sz="4" w:space="0" w:color="auto"/>
              <w:bottom w:val="single" w:sz="4" w:space="0" w:color="auto"/>
              <w:right w:val="single" w:sz="4" w:space="0" w:color="auto"/>
            </w:tcBorders>
            <w:shd w:val="clear" w:color="auto" w:fill="auto"/>
          </w:tcPr>
          <w:p w14:paraId="2AC063E4" w14:textId="47754643" w:rsidR="000372E1" w:rsidRPr="003B4AEE" w:rsidRDefault="000372E1" w:rsidP="000372E1">
            <w:pPr>
              <w:pStyle w:val="Tables"/>
              <w:jc w:val="right"/>
            </w:pPr>
            <w:r w:rsidRPr="002442A6">
              <w:t>$6,862,395</w:t>
            </w:r>
          </w:p>
        </w:tc>
        <w:tc>
          <w:tcPr>
            <w:tcW w:w="2213" w:type="dxa"/>
            <w:tcBorders>
              <w:top w:val="nil"/>
              <w:left w:val="nil"/>
              <w:bottom w:val="single" w:sz="4" w:space="0" w:color="auto"/>
              <w:right w:val="single" w:sz="4" w:space="0" w:color="auto"/>
            </w:tcBorders>
            <w:shd w:val="clear" w:color="auto" w:fill="auto"/>
          </w:tcPr>
          <w:p w14:paraId="7F9BF03E" w14:textId="235EA05C" w:rsidR="000372E1" w:rsidRPr="003B4AEE" w:rsidRDefault="000372E1" w:rsidP="000372E1">
            <w:pPr>
              <w:pStyle w:val="Tables"/>
              <w:jc w:val="right"/>
            </w:pPr>
            <w:r w:rsidRPr="003B4AEE">
              <w:t>$1,247,846</w:t>
            </w:r>
          </w:p>
        </w:tc>
        <w:tc>
          <w:tcPr>
            <w:tcW w:w="2139" w:type="dxa"/>
            <w:tcBorders>
              <w:top w:val="nil"/>
              <w:left w:val="nil"/>
              <w:bottom w:val="single" w:sz="4" w:space="0" w:color="auto"/>
              <w:right w:val="single" w:sz="4" w:space="0" w:color="auto"/>
            </w:tcBorders>
            <w:shd w:val="clear" w:color="auto" w:fill="auto"/>
            <w:noWrap/>
          </w:tcPr>
          <w:p w14:paraId="7EBA7696" w14:textId="79154570" w:rsidR="000372E1" w:rsidRPr="003B4AEE" w:rsidRDefault="000372E1" w:rsidP="000372E1">
            <w:pPr>
              <w:pStyle w:val="Tables"/>
              <w:jc w:val="right"/>
            </w:pPr>
            <w:r w:rsidRPr="006B1B62">
              <w:t>$8,110,242</w:t>
            </w:r>
          </w:p>
        </w:tc>
      </w:tr>
    </w:tbl>
    <w:p w14:paraId="5B3C3466" w14:textId="3D109EF8" w:rsidR="007F2877" w:rsidRPr="003B4AEE" w:rsidRDefault="007F2877" w:rsidP="00305558">
      <w:pPr>
        <w:pStyle w:val="Heading2"/>
      </w:pPr>
      <w:bookmarkStart w:id="211" w:name="_Toc61334221"/>
      <w:bookmarkStart w:id="212" w:name="_Toc71730004"/>
      <w:r w:rsidRPr="003B4AEE">
        <w:t>Explain the reasons for adjustments reported in items 13 or 14 of OMB Form 83-I</w:t>
      </w:r>
      <w:bookmarkEnd w:id="211"/>
      <w:bookmarkEnd w:id="212"/>
    </w:p>
    <w:p w14:paraId="24099EEC" w14:textId="306D16D8" w:rsidR="00546588" w:rsidRDefault="00546588" w:rsidP="00546588">
      <w:pPr>
        <w:pStyle w:val="BodyText"/>
      </w:pPr>
      <w:bookmarkStart w:id="213" w:name="_Hlk76529648"/>
      <w:r>
        <w:t xml:space="preserve">The current OMB-approved burden for the existing NPDES ICR (OMB control no. 2040-0004, EPA ICR no. 0229.24) is 28,221,350 hours. The current combined OMB-approved burden for the existing NPDES ICR and the </w:t>
      </w:r>
      <w:r w:rsidR="00586294">
        <w:t>four</w:t>
      </w:r>
      <w:r>
        <w:t xml:space="preserve"> ICRs being consolidated into today’s ICR is 28,</w:t>
      </w:r>
      <w:r w:rsidR="00945B81">
        <w:t>6</w:t>
      </w:r>
      <w:r w:rsidR="004F0A56">
        <w:t>72</w:t>
      </w:r>
      <w:r w:rsidR="00945B81">
        <w:t>,</w:t>
      </w:r>
      <w:r w:rsidR="004F0A56">
        <w:t>085</w:t>
      </w:r>
      <w:r>
        <w:t xml:space="preserve"> hours. The combined burden requested in this ICR renewal is </w:t>
      </w:r>
      <w:r w:rsidR="00C316A5">
        <w:t>31,14</w:t>
      </w:r>
      <w:r w:rsidR="004F0A56">
        <w:t>3</w:t>
      </w:r>
      <w:r w:rsidR="00C316A5">
        <w:t>,</w:t>
      </w:r>
      <w:r w:rsidR="004F0A56">
        <w:t>503</w:t>
      </w:r>
      <w:r>
        <w:t xml:space="preserve"> hours. Overall, the burden requested in this ICR is </w:t>
      </w:r>
      <w:r w:rsidR="00C316A5">
        <w:t>2,4</w:t>
      </w:r>
      <w:r w:rsidR="004F0A56">
        <w:t xml:space="preserve">82,185 </w:t>
      </w:r>
      <w:r>
        <w:t>hours (</w:t>
      </w:r>
      <w:r w:rsidR="00297645">
        <w:t>9</w:t>
      </w:r>
      <w:r>
        <w:t xml:space="preserve"> percent) more than the combined previously approved burdens of the component ICRs. No adjustments to the burden estimates occurred within </w:t>
      </w:r>
      <w:r w:rsidR="00945B81">
        <w:t>the four</w:t>
      </w:r>
      <w:r>
        <w:t xml:space="preserve"> new component ICRs. The approved burden was consolidated into the NPDES ICR with no changes except to update, as appropriate, the numbers of respondents. </w:t>
      </w:r>
    </w:p>
    <w:p w14:paraId="670BCDF8" w14:textId="6FCBD47A" w:rsidR="007E3351" w:rsidRDefault="007E3351" w:rsidP="00546588">
      <w:pPr>
        <w:pStyle w:val="BodyText"/>
      </w:pPr>
      <w:bookmarkStart w:id="214" w:name="_Hlk76529941"/>
      <w:r w:rsidRPr="00845E12">
        <w:t xml:space="preserve">The majority of this burden hour increase occurred as a result of an increase in EPA’s estimates of permittee respondents. The increases in EPA’s estimates of the number of permittee respondents is largely attributed to </w:t>
      </w:r>
      <w:r w:rsidR="00260F80">
        <w:t xml:space="preserve">greater accuracy in the number of permittee respondents as a result of increased electronic data collection </w:t>
      </w:r>
      <w:r w:rsidRPr="00845E12">
        <w:t>improvements in the NPDES Integrated Compliance Information System (ICIS-NPDES) database</w:t>
      </w:r>
      <w:r>
        <w:t>, implementation of the Electronic Reporting Rule Phase 1,</w:t>
      </w:r>
      <w:r w:rsidRPr="00845E12">
        <w:t xml:space="preserve"> and refined estimates</w:t>
      </w:r>
      <w:r>
        <w:t>.</w:t>
      </w:r>
      <w:r w:rsidRPr="00845E12">
        <w:t xml:space="preserve"> </w:t>
      </w:r>
      <w:r>
        <w:t>O</w:t>
      </w:r>
      <w:r w:rsidRPr="00845E12">
        <w:t>ther</w:t>
      </w:r>
      <w:r>
        <w:t xml:space="preserve"> significant</w:t>
      </w:r>
      <w:r w:rsidRPr="00845E12">
        <w:t xml:space="preserve"> changes in estimates of burden hours are the result of the following adjustments</w:t>
      </w:r>
      <w:r>
        <w:t>:</w:t>
      </w:r>
    </w:p>
    <w:bookmarkEnd w:id="214"/>
    <w:p w14:paraId="29CE6BE8" w14:textId="77777777" w:rsidR="00546588" w:rsidRPr="00EE545C" w:rsidRDefault="00546588" w:rsidP="00546588">
      <w:pPr>
        <w:pStyle w:val="ListParagraph"/>
        <w:widowControl w:val="0"/>
        <w:numPr>
          <w:ilvl w:val="0"/>
          <w:numId w:val="50"/>
        </w:numPr>
        <w:spacing w:after="0"/>
      </w:pPr>
      <w:r>
        <w:t xml:space="preserve">This </w:t>
      </w:r>
      <w:r w:rsidRPr="00EE545C">
        <w:t xml:space="preserve">ICR eliminates the initial permit application and compliance activities for existing </w:t>
      </w:r>
      <w:r>
        <w:t>Cooling Water Intake Structure (</w:t>
      </w:r>
      <w:r w:rsidRPr="00EE545C">
        <w:t>CWIS</w:t>
      </w:r>
      <w:r>
        <w:t>)</w:t>
      </w:r>
      <w:r w:rsidRPr="00EE545C">
        <w:t xml:space="preserve"> facilities as these activities have been completed by all existing CWIS facilities</w:t>
      </w:r>
      <w:r>
        <w:t>, resulting in a decrease in estimated burden hours for CWIS facilities.</w:t>
      </w:r>
    </w:p>
    <w:p w14:paraId="6F0E6943" w14:textId="77777777" w:rsidR="00546588" w:rsidRPr="00EE545C" w:rsidRDefault="00546588" w:rsidP="00546588">
      <w:pPr>
        <w:pStyle w:val="ListParagraph"/>
        <w:widowControl w:val="0"/>
        <w:numPr>
          <w:ilvl w:val="0"/>
          <w:numId w:val="50"/>
        </w:numPr>
        <w:spacing w:after="0"/>
      </w:pPr>
      <w:r w:rsidRPr="00EE545C">
        <w:t xml:space="preserve">The collection burden associated with compliance with and administration of </w:t>
      </w:r>
      <w:r>
        <w:t>small vessels general permit (</w:t>
      </w:r>
      <w:proofErr w:type="spellStart"/>
      <w:r w:rsidRPr="00EE545C">
        <w:t>sVGP</w:t>
      </w:r>
      <w:proofErr w:type="spellEnd"/>
      <w:r>
        <w:t>)</w:t>
      </w:r>
      <w:r w:rsidRPr="00EE545C">
        <w:t xml:space="preserve"> has been removed. Eliminating the </w:t>
      </w:r>
      <w:proofErr w:type="spellStart"/>
      <w:r w:rsidRPr="00EE545C">
        <w:t>sVGP</w:t>
      </w:r>
      <w:proofErr w:type="spellEnd"/>
      <w:r w:rsidRPr="00EE545C">
        <w:t xml:space="preserve"> also decreased the number of vessel respondents significantly.</w:t>
      </w:r>
    </w:p>
    <w:p w14:paraId="16E92235" w14:textId="77777777" w:rsidR="00546588" w:rsidRPr="00EE545C" w:rsidRDefault="00546588" w:rsidP="00546588">
      <w:pPr>
        <w:pStyle w:val="ListParagraph"/>
        <w:widowControl w:val="0"/>
        <w:numPr>
          <w:ilvl w:val="0"/>
          <w:numId w:val="50"/>
        </w:numPr>
        <w:spacing w:after="0"/>
      </w:pPr>
      <w:r w:rsidRPr="00EE545C">
        <w:t xml:space="preserve">The estimated number of respondents in some of the categories </w:t>
      </w:r>
      <w:r>
        <w:t>(</w:t>
      </w:r>
      <w:r w:rsidRPr="00EE545C">
        <w:t xml:space="preserve">shown in Appendix D </w:t>
      </w:r>
      <w:r>
        <w:t xml:space="preserve">of the ICR Supporting Statement) </w:t>
      </w:r>
      <w:r w:rsidRPr="00EE545C">
        <w:t xml:space="preserve">both increased and decreased per the current </w:t>
      </w:r>
      <w:r>
        <w:t>NPDES Integrated Compliance Information System (</w:t>
      </w:r>
      <w:r w:rsidRPr="00EE545C">
        <w:t>ICIS-NPDES</w:t>
      </w:r>
      <w:r>
        <w:t>)</w:t>
      </w:r>
      <w:r w:rsidRPr="00EE545C">
        <w:t xml:space="preserve"> database and </w:t>
      </w:r>
      <w:r w:rsidRPr="00EE545C">
        <w:lastRenderedPageBreak/>
        <w:t xml:space="preserve">based on refined EPA estimates. </w:t>
      </w:r>
    </w:p>
    <w:p w14:paraId="08D21044" w14:textId="77777777" w:rsidR="00546588" w:rsidRPr="00EE545C" w:rsidRDefault="00546588" w:rsidP="00546588">
      <w:pPr>
        <w:pStyle w:val="ListParagraph"/>
        <w:widowControl w:val="0"/>
        <w:numPr>
          <w:ilvl w:val="0"/>
          <w:numId w:val="50"/>
        </w:numPr>
        <w:spacing w:after="0"/>
      </w:pPr>
      <w:r>
        <w:t>This</w:t>
      </w:r>
      <w:r w:rsidRPr="00EE545C">
        <w:t xml:space="preserve"> ICR accounts for adjustments to inflation to September 2021 dollars that updated the presumed capital and O&amp;M cost burden. </w:t>
      </w:r>
    </w:p>
    <w:p w14:paraId="0DFCCC15" w14:textId="76B02145" w:rsidR="0012302E" w:rsidRDefault="00546588" w:rsidP="004E05CF">
      <w:pPr>
        <w:pStyle w:val="ListParagraph"/>
        <w:widowControl w:val="0"/>
        <w:numPr>
          <w:ilvl w:val="0"/>
          <w:numId w:val="50"/>
        </w:numPr>
        <w:spacing w:after="0"/>
      </w:pPr>
      <w:r w:rsidRPr="00EE545C">
        <w:t xml:space="preserve">The burden associated with </w:t>
      </w:r>
      <w:r>
        <w:t>Electronic Reporting Rule</w:t>
      </w:r>
      <w:r w:rsidRPr="00EE545C">
        <w:t xml:space="preserve"> Phase I implementation activities has been removed. This includes the burden associated with </w:t>
      </w:r>
      <w:r>
        <w:t>Discharge Monitoring Report (</w:t>
      </w:r>
      <w:r w:rsidRPr="00EE545C">
        <w:t>DMR</w:t>
      </w:r>
      <w:r>
        <w:t>)</w:t>
      </w:r>
      <w:r w:rsidRPr="00EE545C">
        <w:t xml:space="preserve"> mailing by permittees, and all state and federal DMR processing previously included in the ICR. </w:t>
      </w:r>
      <w:bookmarkEnd w:id="213"/>
    </w:p>
    <w:p w14:paraId="5DF9438F" w14:textId="77777777" w:rsidR="005C1D3E" w:rsidRDefault="005C1D3E" w:rsidP="005C1D3E">
      <w:pPr>
        <w:pStyle w:val="ListParagraph"/>
        <w:widowControl w:val="0"/>
        <w:spacing w:after="0"/>
      </w:pPr>
    </w:p>
    <w:p w14:paraId="5BF66F8F" w14:textId="14C6AA84" w:rsidR="00007CFD" w:rsidRPr="003B4AEE" w:rsidRDefault="00F713BF" w:rsidP="004E05CF">
      <w:pPr>
        <w:pStyle w:val="BodyText"/>
      </w:pPr>
      <w:r w:rsidRPr="003B4AEE">
        <w:fldChar w:fldCharType="begin"/>
      </w:r>
      <w:r w:rsidRPr="003B4AEE">
        <w:instrText xml:space="preserve"> REF _Ref61521342 \h </w:instrText>
      </w:r>
      <w:r w:rsidR="003B4AEE">
        <w:instrText xml:space="preserve"> \* MERGEFORMAT </w:instrText>
      </w:r>
      <w:r w:rsidRPr="003B4AEE">
        <w:fldChar w:fldCharType="separate"/>
      </w:r>
      <w:r w:rsidRPr="003B4AEE">
        <w:t xml:space="preserve">Table </w:t>
      </w:r>
      <w:r w:rsidRPr="003B4AEE">
        <w:rPr>
          <w:noProof/>
        </w:rPr>
        <w:t>15</w:t>
      </w:r>
      <w:r w:rsidRPr="003B4AEE">
        <w:noBreakHyphen/>
      </w:r>
      <w:r w:rsidRPr="003B4AEE">
        <w:rPr>
          <w:noProof/>
        </w:rPr>
        <w:t>1</w:t>
      </w:r>
      <w:r w:rsidRPr="003B4AEE">
        <w:fldChar w:fldCharType="end"/>
      </w:r>
      <w:r w:rsidR="00085324" w:rsidRPr="003B4AEE">
        <w:t xml:space="preserve">, </w:t>
      </w:r>
      <w:r w:rsidR="00D94D14" w:rsidRPr="003B4AEE">
        <w:fldChar w:fldCharType="begin"/>
      </w:r>
      <w:r w:rsidR="00D94D14" w:rsidRPr="003B4AEE">
        <w:instrText xml:space="preserve"> REF _Ref61328264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15</w:t>
      </w:r>
      <w:r w:rsidR="00B811B7" w:rsidRPr="003B4AEE">
        <w:noBreakHyphen/>
      </w:r>
      <w:r w:rsidR="00B811B7" w:rsidRPr="003B4AEE">
        <w:rPr>
          <w:noProof/>
        </w:rPr>
        <w:t>2</w:t>
      </w:r>
      <w:r w:rsidR="00D94D14" w:rsidRPr="003B4AEE">
        <w:fldChar w:fldCharType="end"/>
      </w:r>
      <w:r w:rsidR="00085324" w:rsidRPr="003B4AEE">
        <w:t xml:space="preserve">, and </w:t>
      </w:r>
      <w:r w:rsidR="00D94D14" w:rsidRPr="003B4AEE">
        <w:fldChar w:fldCharType="begin"/>
      </w:r>
      <w:r w:rsidR="00D94D14" w:rsidRPr="003B4AEE">
        <w:instrText xml:space="preserve"> REF _Ref61328246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15</w:t>
      </w:r>
      <w:r w:rsidR="00B811B7" w:rsidRPr="003B4AEE">
        <w:noBreakHyphen/>
      </w:r>
      <w:r w:rsidR="00B811B7" w:rsidRPr="003B4AEE">
        <w:rPr>
          <w:noProof/>
        </w:rPr>
        <w:t>3</w:t>
      </w:r>
      <w:r w:rsidR="00D94D14" w:rsidRPr="003B4AEE">
        <w:fldChar w:fldCharType="end"/>
      </w:r>
      <w:r w:rsidR="00085324" w:rsidRPr="003B4AEE">
        <w:t xml:space="preserve"> </w:t>
      </w:r>
      <w:r w:rsidR="007D1F75" w:rsidRPr="003B4AEE">
        <w:t xml:space="preserve">summarize </w:t>
      </w:r>
      <w:r w:rsidR="00085324" w:rsidRPr="003B4AEE">
        <w:t xml:space="preserve">adjustments in the number of </w:t>
      </w:r>
      <w:r w:rsidR="00E14662" w:rsidRPr="003B4AEE">
        <w:t>responses</w:t>
      </w:r>
      <w:r w:rsidR="00085324" w:rsidRPr="003B4AEE">
        <w:t>, burden hours, and cost burden. For greater clarity, burden estimates</w:t>
      </w:r>
      <w:r w:rsidR="001709A1" w:rsidRPr="003B4AEE">
        <w:t xml:space="preserve"> and the adjustments relative to the source ICR </w:t>
      </w:r>
      <w:r w:rsidR="00085324" w:rsidRPr="003B4AEE">
        <w:t xml:space="preserve">for each contributing ICR listed above are presented separately. </w:t>
      </w:r>
    </w:p>
    <w:p w14:paraId="0832B75B" w14:textId="3E94B356" w:rsidR="00085324" w:rsidRPr="003B4AEE" w:rsidRDefault="007A3DD9" w:rsidP="007A3DD9">
      <w:pPr>
        <w:pStyle w:val="TableTitle"/>
      </w:pPr>
      <w:bookmarkStart w:id="215" w:name="_Ref61521342"/>
      <w:bookmarkStart w:id="216" w:name="_Toc61521439"/>
      <w:r w:rsidRPr="003B4AEE">
        <w:t xml:space="preserve">Table </w:t>
      </w:r>
      <w:r>
        <w:fldChar w:fldCharType="begin"/>
      </w:r>
      <w:r>
        <w:instrText>STYLEREF 2 \s</w:instrText>
      </w:r>
      <w:r>
        <w:fldChar w:fldCharType="separate"/>
      </w:r>
      <w:r w:rsidR="00B811B7" w:rsidRPr="003B4AEE">
        <w:rPr>
          <w:noProof/>
        </w:rPr>
        <w:t>15</w:t>
      </w:r>
      <w:r>
        <w:fldChar w:fldCharType="end"/>
      </w:r>
      <w:r w:rsidRPr="003B4AEE">
        <w:noBreakHyphen/>
      </w:r>
      <w:r>
        <w:fldChar w:fldCharType="begin"/>
      </w:r>
      <w:r>
        <w:instrText>SEQ Table \* ARABIC \s 2</w:instrText>
      </w:r>
      <w:r>
        <w:fldChar w:fldCharType="separate"/>
      </w:r>
      <w:r w:rsidR="00B811B7" w:rsidRPr="003B4AEE">
        <w:rPr>
          <w:noProof/>
        </w:rPr>
        <w:t>1</w:t>
      </w:r>
      <w:r>
        <w:fldChar w:fldCharType="end"/>
      </w:r>
      <w:bookmarkEnd w:id="215"/>
      <w:r w:rsidR="00D030D3" w:rsidRPr="003B4AEE">
        <w:t>.</w:t>
      </w:r>
      <w:r w:rsidR="00085324" w:rsidRPr="003B4AEE">
        <w:t xml:space="preserve"> Summary of </w:t>
      </w:r>
      <w:r w:rsidR="000C5B2E" w:rsidRPr="003B4AEE">
        <w:t>A</w:t>
      </w:r>
      <w:r w:rsidR="00085324" w:rsidRPr="003B4AEE">
        <w:t xml:space="preserve">djustment in </w:t>
      </w:r>
      <w:r w:rsidR="000C5B2E" w:rsidRPr="003B4AEE">
        <w:t>N</w:t>
      </w:r>
      <w:r w:rsidR="00085324" w:rsidRPr="003B4AEE">
        <w:t xml:space="preserve">umber of </w:t>
      </w:r>
      <w:r w:rsidR="000C5B2E" w:rsidRPr="003B4AEE">
        <w:t>R</w:t>
      </w:r>
      <w:r w:rsidR="00085324" w:rsidRPr="003B4AEE">
        <w:t>esponses</w:t>
      </w:r>
      <w:bookmarkEnd w:id="216"/>
      <w:r w:rsidR="00085324" w:rsidRPr="003B4AEE">
        <w:t xml:space="preserve"> </w:t>
      </w:r>
    </w:p>
    <w:tbl>
      <w:tblPr>
        <w:tblStyle w:val="TableGrid"/>
        <w:tblW w:w="5000" w:type="pct"/>
        <w:jc w:val="center"/>
        <w:tblLayout w:type="fixed"/>
        <w:tblCellMar>
          <w:left w:w="58" w:type="dxa"/>
          <w:right w:w="58" w:type="dxa"/>
        </w:tblCellMar>
        <w:tblLook w:val="04A0" w:firstRow="1" w:lastRow="0" w:firstColumn="1" w:lastColumn="0" w:noHBand="0" w:noVBand="1"/>
      </w:tblPr>
      <w:tblGrid>
        <w:gridCol w:w="1886"/>
        <w:gridCol w:w="1529"/>
        <w:gridCol w:w="1620"/>
        <w:gridCol w:w="810"/>
        <w:gridCol w:w="1530"/>
        <w:gridCol w:w="990"/>
        <w:gridCol w:w="985"/>
      </w:tblGrid>
      <w:tr w:rsidR="0099291C" w:rsidRPr="003B4AEE" w14:paraId="65F41BE4" w14:textId="77777777" w:rsidTr="0099291C">
        <w:trPr>
          <w:trHeight w:val="288"/>
          <w:tblHeader/>
          <w:jc w:val="center"/>
        </w:trPr>
        <w:tc>
          <w:tcPr>
            <w:tcW w:w="1886" w:type="dxa"/>
            <w:vMerge w:val="restart"/>
            <w:shd w:val="clear" w:color="auto" w:fill="D9D9D9" w:themeFill="background1" w:themeFillShade="D9"/>
            <w:noWrap/>
            <w:vAlign w:val="bottom"/>
            <w:hideMark/>
          </w:tcPr>
          <w:p w14:paraId="1CB0C313" w14:textId="77777777" w:rsidR="00ED0CE0" w:rsidRPr="003B4AEE" w:rsidRDefault="00ED0CE0" w:rsidP="009F1C6B">
            <w:pPr>
              <w:pStyle w:val="TableHeading"/>
            </w:pPr>
            <w:r w:rsidRPr="003B4AEE">
              <w:t>Source ICR</w:t>
            </w:r>
          </w:p>
        </w:tc>
        <w:tc>
          <w:tcPr>
            <w:tcW w:w="1529" w:type="dxa"/>
            <w:vMerge w:val="restart"/>
            <w:shd w:val="clear" w:color="auto" w:fill="D9D9D9" w:themeFill="background1" w:themeFillShade="D9"/>
            <w:vAlign w:val="center"/>
          </w:tcPr>
          <w:p w14:paraId="537FFE08" w14:textId="5ADE0F34" w:rsidR="00ED0CE0" w:rsidRPr="003B4AEE" w:rsidRDefault="001E1ADB" w:rsidP="009F1C6B">
            <w:pPr>
              <w:pStyle w:val="TableHeading"/>
            </w:pPr>
            <w:r w:rsidRPr="003B4AEE">
              <w:t>Previously A</w:t>
            </w:r>
            <w:r w:rsidR="00ED0CE0" w:rsidRPr="003B4AEE">
              <w:t>pproved</w:t>
            </w:r>
          </w:p>
        </w:tc>
        <w:tc>
          <w:tcPr>
            <w:tcW w:w="1620" w:type="dxa"/>
            <w:vMerge w:val="restart"/>
            <w:shd w:val="clear" w:color="auto" w:fill="D9D9D9" w:themeFill="background1" w:themeFillShade="D9"/>
            <w:vAlign w:val="center"/>
            <w:hideMark/>
          </w:tcPr>
          <w:p w14:paraId="44387F67" w14:textId="23720234" w:rsidR="00ED0CE0" w:rsidRPr="003B4AEE" w:rsidRDefault="00ED0CE0" w:rsidP="009F1C6B">
            <w:pPr>
              <w:pStyle w:val="TableHeading"/>
            </w:pPr>
            <w:r w:rsidRPr="003B4AEE">
              <w:t xml:space="preserve">Total </w:t>
            </w:r>
            <w:r w:rsidR="001E1ADB" w:rsidRPr="003B4AEE">
              <w:t>R</w:t>
            </w:r>
            <w:r w:rsidRPr="003B4AEE">
              <w:t xml:space="preserve">esponses </w:t>
            </w:r>
            <w:r w:rsidR="001E1ADB" w:rsidRPr="003B4AEE">
              <w:t>R</w:t>
            </w:r>
            <w:r w:rsidRPr="003B4AEE">
              <w:t>equested</w:t>
            </w:r>
          </w:p>
        </w:tc>
        <w:tc>
          <w:tcPr>
            <w:tcW w:w="3330" w:type="dxa"/>
            <w:gridSpan w:val="3"/>
            <w:shd w:val="clear" w:color="auto" w:fill="D9D9D9" w:themeFill="background1" w:themeFillShade="D9"/>
            <w:noWrap/>
            <w:vAlign w:val="center"/>
            <w:hideMark/>
          </w:tcPr>
          <w:p w14:paraId="467C618B" w14:textId="6929AB67" w:rsidR="00ED0CE0" w:rsidRPr="003B4AEE" w:rsidRDefault="00ED0CE0" w:rsidP="009F1C6B">
            <w:pPr>
              <w:pStyle w:val="TableHeading"/>
            </w:pPr>
            <w:r w:rsidRPr="003B4AEE">
              <w:t xml:space="preserve">Change </w:t>
            </w:r>
            <w:r w:rsidR="001E1ADB" w:rsidRPr="003B4AEE">
              <w:t>D</w:t>
            </w:r>
            <w:r w:rsidRPr="003B4AEE">
              <w:t>ue to:</w:t>
            </w:r>
          </w:p>
        </w:tc>
        <w:tc>
          <w:tcPr>
            <w:tcW w:w="985" w:type="dxa"/>
            <w:vMerge w:val="restart"/>
            <w:shd w:val="clear" w:color="auto" w:fill="D9D9D9" w:themeFill="background1" w:themeFillShade="D9"/>
            <w:vAlign w:val="center"/>
          </w:tcPr>
          <w:p w14:paraId="7F5B2053" w14:textId="23B63314" w:rsidR="00ED0CE0" w:rsidRPr="003B4AEE" w:rsidRDefault="00397D44" w:rsidP="009F1C6B">
            <w:pPr>
              <w:pStyle w:val="TableHeading"/>
            </w:pPr>
            <w:r w:rsidRPr="003B4AEE">
              <w:t>Total Change (Percent)</w:t>
            </w:r>
          </w:p>
        </w:tc>
      </w:tr>
      <w:tr w:rsidR="0099291C" w:rsidRPr="003B4AEE" w14:paraId="21EABF72" w14:textId="77777777" w:rsidTr="0099291C">
        <w:trPr>
          <w:trHeight w:val="576"/>
          <w:tblHeader/>
          <w:jc w:val="center"/>
        </w:trPr>
        <w:tc>
          <w:tcPr>
            <w:tcW w:w="1886" w:type="dxa"/>
            <w:vMerge/>
            <w:hideMark/>
          </w:tcPr>
          <w:p w14:paraId="60DEF0E3" w14:textId="77777777" w:rsidR="00ED0CE0" w:rsidRPr="003B4AEE" w:rsidRDefault="00ED0CE0" w:rsidP="00871F94">
            <w:pPr>
              <w:pStyle w:val="TableTitle"/>
            </w:pPr>
          </w:p>
        </w:tc>
        <w:tc>
          <w:tcPr>
            <w:tcW w:w="1529" w:type="dxa"/>
            <w:vMerge/>
            <w:vAlign w:val="center"/>
          </w:tcPr>
          <w:p w14:paraId="14A0201B" w14:textId="77777777" w:rsidR="00ED0CE0" w:rsidRPr="003B4AEE" w:rsidRDefault="00ED0CE0" w:rsidP="00871F94">
            <w:pPr>
              <w:pStyle w:val="TableTitle"/>
            </w:pPr>
          </w:p>
        </w:tc>
        <w:tc>
          <w:tcPr>
            <w:tcW w:w="1620" w:type="dxa"/>
            <w:vMerge/>
            <w:vAlign w:val="center"/>
            <w:hideMark/>
          </w:tcPr>
          <w:p w14:paraId="63CC265B" w14:textId="70414FD2" w:rsidR="00ED0CE0" w:rsidRPr="003B4AEE" w:rsidRDefault="00ED0CE0" w:rsidP="00871F94">
            <w:pPr>
              <w:pStyle w:val="TableTitle"/>
            </w:pPr>
          </w:p>
        </w:tc>
        <w:tc>
          <w:tcPr>
            <w:tcW w:w="810" w:type="dxa"/>
            <w:shd w:val="clear" w:color="auto" w:fill="D9D9D9" w:themeFill="background1" w:themeFillShade="D9"/>
            <w:vAlign w:val="center"/>
            <w:hideMark/>
          </w:tcPr>
          <w:p w14:paraId="29E84E7F" w14:textId="60085A70" w:rsidR="00ED0CE0" w:rsidRPr="003B4AEE" w:rsidRDefault="00ED0CE0" w:rsidP="009F1C6B">
            <w:pPr>
              <w:pStyle w:val="TableHeading"/>
            </w:pPr>
            <w:r w:rsidRPr="003B4AEE">
              <w:t xml:space="preserve">New </w:t>
            </w:r>
            <w:r w:rsidR="001E1ADB" w:rsidRPr="003B4AEE">
              <w:t>S</w:t>
            </w:r>
            <w:r w:rsidRPr="003B4AEE">
              <w:t>tatute</w:t>
            </w:r>
          </w:p>
        </w:tc>
        <w:tc>
          <w:tcPr>
            <w:tcW w:w="1530" w:type="dxa"/>
            <w:shd w:val="clear" w:color="auto" w:fill="D9D9D9" w:themeFill="background1" w:themeFillShade="D9"/>
            <w:vAlign w:val="center"/>
            <w:hideMark/>
          </w:tcPr>
          <w:p w14:paraId="50182505" w14:textId="53D06A02" w:rsidR="00ED0CE0" w:rsidRPr="003B4AEE" w:rsidRDefault="00ED0CE0" w:rsidP="009F1C6B">
            <w:pPr>
              <w:pStyle w:val="TableHeading"/>
            </w:pPr>
            <w:r w:rsidRPr="003B4AEE">
              <w:t xml:space="preserve">Agency </w:t>
            </w:r>
            <w:r w:rsidR="001E1ADB" w:rsidRPr="003B4AEE">
              <w:t>A</w:t>
            </w:r>
            <w:r w:rsidRPr="003B4AEE">
              <w:t>ctions (</w:t>
            </w:r>
            <w:r w:rsidR="007D1F75" w:rsidRPr="003B4AEE">
              <w:t>New Rules</w:t>
            </w:r>
            <w:r w:rsidRPr="003B4AEE">
              <w:t xml:space="preserve">, </w:t>
            </w:r>
            <w:r w:rsidR="007D1F75" w:rsidRPr="003B4AEE">
              <w:t>Etc</w:t>
            </w:r>
            <w:r w:rsidRPr="003B4AEE">
              <w:t>.)</w:t>
            </w:r>
          </w:p>
        </w:tc>
        <w:tc>
          <w:tcPr>
            <w:tcW w:w="990" w:type="dxa"/>
            <w:shd w:val="clear" w:color="auto" w:fill="D9D9D9" w:themeFill="background1" w:themeFillShade="D9"/>
            <w:vAlign w:val="center"/>
            <w:hideMark/>
          </w:tcPr>
          <w:p w14:paraId="49510436" w14:textId="2F319CA4" w:rsidR="00ED0CE0" w:rsidRPr="003B4AEE" w:rsidRDefault="00ED0CE0" w:rsidP="009F1C6B">
            <w:pPr>
              <w:pStyle w:val="TableHeading"/>
            </w:pPr>
            <w:r w:rsidRPr="003B4AEE">
              <w:t xml:space="preserve">Revised </w:t>
            </w:r>
            <w:r w:rsidR="001E1ADB" w:rsidRPr="003B4AEE">
              <w:t>E</w:t>
            </w:r>
            <w:r w:rsidRPr="003B4AEE">
              <w:t>stimates</w:t>
            </w:r>
          </w:p>
        </w:tc>
        <w:tc>
          <w:tcPr>
            <w:tcW w:w="985" w:type="dxa"/>
            <w:vMerge/>
            <w:vAlign w:val="center"/>
          </w:tcPr>
          <w:p w14:paraId="6B04602E" w14:textId="77777777" w:rsidR="00ED0CE0" w:rsidRPr="003B4AEE" w:rsidRDefault="00ED0CE0" w:rsidP="00871F94">
            <w:pPr>
              <w:pStyle w:val="TableTitle"/>
            </w:pPr>
          </w:p>
        </w:tc>
      </w:tr>
      <w:tr w:rsidR="0099291C" w:rsidRPr="003B4AEE" w14:paraId="25BE4C9B" w14:textId="77777777" w:rsidTr="0099291C">
        <w:trPr>
          <w:trHeight w:val="288"/>
          <w:jc w:val="center"/>
        </w:trPr>
        <w:tc>
          <w:tcPr>
            <w:tcW w:w="1886" w:type="dxa"/>
          </w:tcPr>
          <w:p w14:paraId="4C36B4D4" w14:textId="031E7421" w:rsidR="0099291C" w:rsidRPr="003B4AEE" w:rsidRDefault="0099291C" w:rsidP="0099291C">
            <w:pPr>
              <w:pStyle w:val="Tables"/>
            </w:pPr>
            <w:r w:rsidRPr="003B4AEE">
              <w:t>Consolidated NPDES 2018 Component (Specific Provisions Affecting Applications and Program Updates)</w:t>
            </w:r>
          </w:p>
        </w:tc>
        <w:tc>
          <w:tcPr>
            <w:tcW w:w="1529" w:type="dxa"/>
            <w:vAlign w:val="center"/>
          </w:tcPr>
          <w:p w14:paraId="69C418BB" w14:textId="1F0F95A0" w:rsidR="0099291C" w:rsidRPr="003B4AEE" w:rsidRDefault="0099291C" w:rsidP="0099291C">
            <w:pPr>
              <w:pStyle w:val="Tables"/>
              <w:jc w:val="right"/>
            </w:pPr>
            <w:r w:rsidRPr="003B4AEE">
              <w:t>10,297,857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5B778" w14:textId="05DFA6EE" w:rsidR="0099291C" w:rsidRPr="003B4AEE" w:rsidRDefault="0099291C" w:rsidP="0099291C">
            <w:pPr>
              <w:pStyle w:val="Tables"/>
              <w:jc w:val="right"/>
            </w:pPr>
            <w:r w:rsidRPr="00550F02">
              <w:t>9,1</w:t>
            </w:r>
            <w:r w:rsidR="00282AE7">
              <w:t>57,677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78C41E6" w14:textId="1BF2B7C0" w:rsidR="0099291C" w:rsidRPr="003B4AEE" w:rsidRDefault="0099291C" w:rsidP="0099291C">
            <w:pPr>
              <w:pStyle w:val="Tables"/>
              <w:jc w:val="right"/>
            </w:pPr>
            <w:r w:rsidRPr="00550F02">
              <w:t>0 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AC8DD15" w14:textId="497FF978" w:rsidR="0099291C" w:rsidRPr="003B4AEE" w:rsidRDefault="0099291C" w:rsidP="0099291C">
            <w:pPr>
              <w:pStyle w:val="Tables"/>
              <w:jc w:val="right"/>
            </w:pPr>
            <w:r w:rsidRPr="00550F02">
              <w:t>0 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D6683D" w14:textId="4D925DB0" w:rsidR="0099291C" w:rsidRPr="003B4AEE" w:rsidRDefault="0099291C" w:rsidP="0099291C">
            <w:pPr>
              <w:pStyle w:val="Tables"/>
              <w:jc w:val="right"/>
            </w:pPr>
            <w:r w:rsidRPr="00550F02">
              <w:t>-1,103,735</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5A69BE81" w14:textId="032114C3" w:rsidR="0099291C" w:rsidRPr="003B4AEE" w:rsidDel="00F66FE3" w:rsidRDefault="0099291C" w:rsidP="0099291C">
            <w:pPr>
              <w:pStyle w:val="Tables"/>
              <w:jc w:val="right"/>
            </w:pPr>
            <w:r w:rsidRPr="00550F02">
              <w:t>-11%</w:t>
            </w:r>
          </w:p>
        </w:tc>
      </w:tr>
      <w:tr w:rsidR="0099291C" w:rsidRPr="003B4AEE" w14:paraId="32FB47B5" w14:textId="77777777" w:rsidTr="0099291C">
        <w:trPr>
          <w:trHeight w:val="288"/>
          <w:jc w:val="center"/>
        </w:trPr>
        <w:tc>
          <w:tcPr>
            <w:tcW w:w="1886" w:type="dxa"/>
          </w:tcPr>
          <w:p w14:paraId="4BC1DDB3" w14:textId="0822BC76" w:rsidR="00AD2B99" w:rsidRPr="003B4AEE" w:rsidRDefault="00300259" w:rsidP="00871F94">
            <w:pPr>
              <w:pStyle w:val="Tables"/>
            </w:pPr>
            <w:r w:rsidRPr="003B4AEE">
              <w:t>CSOs in the Great Lake Basin</w:t>
            </w:r>
          </w:p>
        </w:tc>
        <w:tc>
          <w:tcPr>
            <w:tcW w:w="1529" w:type="dxa"/>
            <w:vAlign w:val="center"/>
          </w:tcPr>
          <w:p w14:paraId="6762F45E" w14:textId="37A4BB4E" w:rsidR="00AD2B99" w:rsidRPr="003B4AEE" w:rsidRDefault="00300259" w:rsidP="0099291C">
            <w:pPr>
              <w:pStyle w:val="Tables"/>
              <w:jc w:val="right"/>
            </w:pPr>
            <w:r w:rsidRPr="003B4AEE">
              <w:t>10,</w:t>
            </w:r>
            <w:r w:rsidR="006D5D0D" w:rsidRPr="003B4AEE">
              <w:t>941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599E8" w14:textId="29C5B34C" w:rsidR="00AD2B99" w:rsidRPr="003B4AEE" w:rsidRDefault="00300259" w:rsidP="0099291C">
            <w:pPr>
              <w:pStyle w:val="Tables"/>
              <w:jc w:val="right"/>
            </w:pPr>
            <w:r w:rsidRPr="003B4AEE">
              <w:t>10,941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B2E385E" w14:textId="21A4C6E4" w:rsidR="00AD2B99" w:rsidRPr="003B4AEE" w:rsidRDefault="00300259" w:rsidP="0099291C">
            <w:pPr>
              <w:pStyle w:val="Tables"/>
              <w:jc w:val="right"/>
            </w:pPr>
            <w:r w:rsidRPr="003B4AEE">
              <w:t>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73534E1" w14:textId="496ED84B" w:rsidR="00AD2B99" w:rsidRPr="003B4AEE" w:rsidRDefault="00300259" w:rsidP="0099291C">
            <w:pPr>
              <w:pStyle w:val="Tables"/>
              <w:jc w:val="right"/>
            </w:pPr>
            <w:r w:rsidRPr="003B4AEE">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F3A878F" w14:textId="39E4564C" w:rsidR="00AD2B99" w:rsidRPr="003B4AEE" w:rsidRDefault="00300259" w:rsidP="0099291C">
            <w:pPr>
              <w:pStyle w:val="Tables"/>
              <w:jc w:val="right"/>
            </w:pPr>
            <w:r w:rsidRPr="003B4AEE">
              <w:t>0</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36F617A" w14:textId="3BC5D336" w:rsidR="00AD2B99" w:rsidRPr="003B4AEE" w:rsidDel="00F66FE3" w:rsidRDefault="00300259" w:rsidP="0099291C">
            <w:pPr>
              <w:pStyle w:val="Tables"/>
              <w:jc w:val="right"/>
            </w:pPr>
            <w:r w:rsidRPr="003B4AEE">
              <w:t>0%</w:t>
            </w:r>
          </w:p>
        </w:tc>
      </w:tr>
      <w:tr w:rsidR="0099291C" w:rsidRPr="003B4AEE" w14:paraId="4DEBA6B3" w14:textId="77777777" w:rsidTr="0099291C">
        <w:trPr>
          <w:trHeight w:val="288"/>
          <w:jc w:val="center"/>
        </w:trPr>
        <w:tc>
          <w:tcPr>
            <w:tcW w:w="1886" w:type="dxa"/>
          </w:tcPr>
          <w:p w14:paraId="5C5D84E1" w14:textId="6C15F70D" w:rsidR="00AD2B99" w:rsidRPr="003B4AEE" w:rsidRDefault="00300259" w:rsidP="00871F94">
            <w:pPr>
              <w:pStyle w:val="Tables"/>
            </w:pPr>
            <w:r w:rsidRPr="003B4AEE">
              <w:t>Dental Amalgam ELG</w:t>
            </w:r>
          </w:p>
        </w:tc>
        <w:tc>
          <w:tcPr>
            <w:tcW w:w="1529" w:type="dxa"/>
            <w:vAlign w:val="center"/>
          </w:tcPr>
          <w:p w14:paraId="0ABF8ECC" w14:textId="21B39666" w:rsidR="00AD2B99" w:rsidRPr="003B4AEE" w:rsidRDefault="00300259" w:rsidP="0099291C">
            <w:pPr>
              <w:pStyle w:val="Tables"/>
              <w:jc w:val="right"/>
            </w:pPr>
            <w:r w:rsidRPr="003B4AEE">
              <w:t>124,</w:t>
            </w:r>
            <w:r w:rsidR="006D5D0D" w:rsidRPr="003B4AEE">
              <w:t>378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5E087" w14:textId="7D0D5243" w:rsidR="00AD2B99" w:rsidRPr="003B4AEE" w:rsidRDefault="00300259" w:rsidP="0099291C">
            <w:pPr>
              <w:pStyle w:val="Tables"/>
              <w:jc w:val="right"/>
            </w:pPr>
            <w:r w:rsidRPr="003B4AEE">
              <w:t>124,378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51392A1" w14:textId="3C6C8951" w:rsidR="00AD2B99" w:rsidRPr="003B4AEE" w:rsidRDefault="00300259" w:rsidP="0099291C">
            <w:pPr>
              <w:pStyle w:val="Tables"/>
              <w:jc w:val="right"/>
            </w:pPr>
            <w:r w:rsidRPr="003B4AEE">
              <w:t>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AED006E" w14:textId="2ADCBAA0" w:rsidR="00AD2B99" w:rsidRPr="003B4AEE" w:rsidRDefault="00300259" w:rsidP="0099291C">
            <w:pPr>
              <w:pStyle w:val="Tables"/>
              <w:jc w:val="right"/>
            </w:pPr>
            <w:r w:rsidRPr="003B4AEE">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3662EB" w14:textId="0199765D" w:rsidR="00AD2B99" w:rsidRPr="003B4AEE" w:rsidRDefault="00300259" w:rsidP="0099291C">
            <w:pPr>
              <w:pStyle w:val="Tables"/>
              <w:jc w:val="right"/>
            </w:pPr>
            <w:r w:rsidRPr="003B4AEE">
              <w:t>0</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E7D7484" w14:textId="0021728D" w:rsidR="00AD2B99" w:rsidRPr="003B4AEE" w:rsidDel="00F66FE3" w:rsidRDefault="00300259" w:rsidP="0099291C">
            <w:pPr>
              <w:pStyle w:val="Tables"/>
              <w:jc w:val="right"/>
            </w:pPr>
            <w:r w:rsidRPr="003B4AEE">
              <w:t>0%</w:t>
            </w:r>
          </w:p>
        </w:tc>
      </w:tr>
      <w:tr w:rsidR="0099291C" w:rsidRPr="003B4AEE" w14:paraId="3618483C" w14:textId="77777777" w:rsidTr="0099291C">
        <w:trPr>
          <w:trHeight w:val="288"/>
          <w:jc w:val="center"/>
        </w:trPr>
        <w:tc>
          <w:tcPr>
            <w:tcW w:w="1886" w:type="dxa"/>
            <w:hideMark/>
          </w:tcPr>
          <w:p w14:paraId="45BF4045" w14:textId="3793D374" w:rsidR="00ED0CE0" w:rsidRPr="003B4AEE" w:rsidRDefault="00300259" w:rsidP="00871F94">
            <w:pPr>
              <w:pStyle w:val="Tables"/>
            </w:pPr>
            <w:r w:rsidRPr="003B4AEE">
              <w:t xml:space="preserve"> 2020 MSGP</w:t>
            </w:r>
          </w:p>
        </w:tc>
        <w:tc>
          <w:tcPr>
            <w:tcW w:w="1529" w:type="dxa"/>
            <w:vAlign w:val="center"/>
          </w:tcPr>
          <w:p w14:paraId="36E8B94B" w14:textId="64819958" w:rsidR="00ED0CE0" w:rsidRPr="003B4AEE" w:rsidRDefault="00300259" w:rsidP="0099291C">
            <w:pPr>
              <w:pStyle w:val="Tables"/>
              <w:jc w:val="right"/>
            </w:pPr>
            <w:r w:rsidRPr="003B4AEE">
              <w:t>17,060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17853" w14:textId="10179817" w:rsidR="00ED0CE0" w:rsidRPr="003B4AEE" w:rsidRDefault="00300259" w:rsidP="0099291C">
            <w:pPr>
              <w:pStyle w:val="Tables"/>
              <w:jc w:val="right"/>
            </w:pPr>
            <w:r w:rsidRPr="003B4AEE">
              <w:t>17,060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A41D927" w14:textId="70F04990" w:rsidR="00ED0CE0" w:rsidRPr="003B4AEE" w:rsidRDefault="00300259" w:rsidP="0099291C">
            <w:pPr>
              <w:pStyle w:val="Tables"/>
              <w:jc w:val="right"/>
            </w:pPr>
            <w:r w:rsidRPr="003B4AEE">
              <w:t>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B346E34" w14:textId="4D43176B" w:rsidR="00ED0CE0" w:rsidRPr="003B4AEE" w:rsidRDefault="00300259" w:rsidP="0099291C">
            <w:pPr>
              <w:pStyle w:val="Tables"/>
              <w:jc w:val="right"/>
            </w:pPr>
            <w:r w:rsidRPr="003B4AEE">
              <w:t>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574B434" w14:textId="46C363BE" w:rsidR="00ED0CE0" w:rsidRPr="003B4AEE" w:rsidRDefault="00300259" w:rsidP="0099291C">
            <w:pPr>
              <w:pStyle w:val="Tables"/>
              <w:jc w:val="right"/>
            </w:pPr>
            <w:r w:rsidRPr="003B4AEE">
              <w:t>0</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2AA9B66" w14:textId="4A6057FD" w:rsidR="00ED0CE0" w:rsidRPr="003B4AEE" w:rsidRDefault="00300259" w:rsidP="0099291C">
            <w:pPr>
              <w:pStyle w:val="Tables"/>
              <w:jc w:val="right"/>
            </w:pPr>
            <w:r w:rsidRPr="003B4AEE">
              <w:t>0%</w:t>
            </w:r>
          </w:p>
        </w:tc>
      </w:tr>
      <w:tr w:rsidR="0099291C" w:rsidRPr="003B4AEE" w14:paraId="421848D8" w14:textId="77777777" w:rsidTr="0099291C">
        <w:trPr>
          <w:trHeight w:val="288"/>
          <w:jc w:val="center"/>
        </w:trPr>
        <w:tc>
          <w:tcPr>
            <w:tcW w:w="1886" w:type="dxa"/>
          </w:tcPr>
          <w:p w14:paraId="11B81417" w14:textId="68362C3E" w:rsidR="00945B81" w:rsidRPr="003B4AEE" w:rsidRDefault="00945B81" w:rsidP="00945B81">
            <w:pPr>
              <w:pStyle w:val="Tables"/>
            </w:pPr>
            <w:proofErr w:type="spellStart"/>
            <w:r w:rsidRPr="00C813C7">
              <w:t>eRule</w:t>
            </w:r>
            <w:proofErr w:type="spellEnd"/>
            <w:r w:rsidRPr="00C813C7">
              <w:t xml:space="preserve"> Phase 2 Extension</w:t>
            </w:r>
          </w:p>
        </w:tc>
        <w:tc>
          <w:tcPr>
            <w:tcW w:w="1529" w:type="dxa"/>
            <w:vAlign w:val="center"/>
          </w:tcPr>
          <w:p w14:paraId="5DE776CB" w14:textId="014C3E6A" w:rsidR="00945B81" w:rsidRPr="003B4AEE" w:rsidRDefault="00945B81" w:rsidP="0099291C">
            <w:pPr>
              <w:pStyle w:val="Tables"/>
              <w:jc w:val="right"/>
            </w:pPr>
            <w:r w:rsidRPr="00C813C7">
              <w:t>221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52BAE" w14:textId="65030D98" w:rsidR="00945B81" w:rsidRPr="003B4AEE" w:rsidRDefault="00945B81" w:rsidP="0099291C">
            <w:pPr>
              <w:pStyle w:val="Tables"/>
              <w:jc w:val="right"/>
            </w:pPr>
            <w:r w:rsidRPr="00C813C7">
              <w:t>221</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E297533" w14:textId="412D7D0D" w:rsidR="00945B81" w:rsidRPr="003B4AEE" w:rsidRDefault="00945B81" w:rsidP="0099291C">
            <w:pPr>
              <w:pStyle w:val="Tables"/>
              <w:jc w:val="right"/>
            </w:pPr>
            <w:r w:rsidRPr="00C813C7">
              <w:t>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781E7D6" w14:textId="09233232" w:rsidR="00945B81" w:rsidRPr="003B4AEE" w:rsidRDefault="00945B81" w:rsidP="0099291C">
            <w:pPr>
              <w:pStyle w:val="Tables"/>
              <w:jc w:val="right"/>
            </w:pPr>
            <w:r w:rsidRPr="00C813C7">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DA7F36D" w14:textId="26494CCE" w:rsidR="00945B81" w:rsidRPr="003B4AEE" w:rsidRDefault="00945B81" w:rsidP="0099291C">
            <w:pPr>
              <w:pStyle w:val="Tables"/>
              <w:jc w:val="right"/>
            </w:pPr>
            <w:r w:rsidRPr="00C813C7">
              <w:t>0</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2F329203" w14:textId="65144DDB" w:rsidR="00945B81" w:rsidRPr="003B4AEE" w:rsidRDefault="00945B81" w:rsidP="0099291C">
            <w:pPr>
              <w:pStyle w:val="Tables"/>
              <w:jc w:val="right"/>
            </w:pPr>
            <w:r w:rsidRPr="00C813C7">
              <w:t>0%</w:t>
            </w:r>
          </w:p>
        </w:tc>
      </w:tr>
      <w:tr w:rsidR="0099291C" w:rsidRPr="003B4AEE" w14:paraId="18BC1C81" w14:textId="77777777" w:rsidTr="0099291C">
        <w:trPr>
          <w:trHeight w:val="264"/>
          <w:jc w:val="center"/>
        </w:trPr>
        <w:tc>
          <w:tcPr>
            <w:tcW w:w="1886" w:type="dxa"/>
            <w:hideMark/>
          </w:tcPr>
          <w:p w14:paraId="718DDC3C" w14:textId="23700846" w:rsidR="0099291C" w:rsidRPr="003B4AEE" w:rsidRDefault="0099291C" w:rsidP="0099291C">
            <w:pPr>
              <w:pStyle w:val="Tables"/>
            </w:pPr>
            <w:r w:rsidRPr="003B4AEE">
              <w:t>Total</w:t>
            </w:r>
          </w:p>
        </w:tc>
        <w:tc>
          <w:tcPr>
            <w:tcW w:w="1529" w:type="dxa"/>
            <w:vAlign w:val="center"/>
          </w:tcPr>
          <w:p w14:paraId="48626972" w14:textId="27263EEE" w:rsidR="0099291C" w:rsidRPr="003B4AEE" w:rsidRDefault="0099291C" w:rsidP="0099291C">
            <w:pPr>
              <w:pStyle w:val="Tables"/>
              <w:jc w:val="right"/>
            </w:pPr>
            <w:r w:rsidRPr="00CF71A4">
              <w:t>10,450,457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E5CD" w14:textId="566EBDB6" w:rsidR="0099291C" w:rsidRPr="003B4AEE" w:rsidRDefault="0099291C" w:rsidP="0099291C">
            <w:pPr>
              <w:pStyle w:val="Tables"/>
              <w:jc w:val="right"/>
            </w:pPr>
            <w:r w:rsidRPr="00CF71A4">
              <w:t>9,</w:t>
            </w:r>
            <w:r w:rsidR="00282AE7">
              <w:t>310,277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EADAFD" w14:textId="658E0927" w:rsidR="0099291C" w:rsidRPr="003B4AEE" w:rsidRDefault="0099291C" w:rsidP="0099291C">
            <w:pPr>
              <w:pStyle w:val="Tables"/>
              <w:jc w:val="right"/>
            </w:pPr>
            <w:r w:rsidRPr="00CF71A4">
              <w:t>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8DFFCDF" w14:textId="15020506" w:rsidR="0099291C" w:rsidRPr="003B4AEE" w:rsidRDefault="0099291C" w:rsidP="0099291C">
            <w:pPr>
              <w:pStyle w:val="Tables"/>
              <w:jc w:val="right"/>
            </w:pPr>
            <w:r w:rsidRPr="00CF71A4">
              <w:t>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3F4AC22" w14:textId="09876CAF" w:rsidR="0099291C" w:rsidRPr="003B4AEE" w:rsidRDefault="0099291C" w:rsidP="0099291C">
            <w:pPr>
              <w:pStyle w:val="Tables"/>
              <w:jc w:val="right"/>
            </w:pPr>
            <w:r w:rsidRPr="00CF71A4">
              <w:t>-1,103,735</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11CCB9E" w14:textId="2B611D36" w:rsidR="0099291C" w:rsidRPr="003B4AEE" w:rsidRDefault="0099291C" w:rsidP="0099291C">
            <w:pPr>
              <w:pStyle w:val="Tables"/>
              <w:jc w:val="right"/>
            </w:pPr>
            <w:r w:rsidRPr="00CF71A4">
              <w:t>-11%</w:t>
            </w:r>
          </w:p>
        </w:tc>
      </w:tr>
    </w:tbl>
    <w:p w14:paraId="2D550135" w14:textId="77777777" w:rsidR="00820480" w:rsidRPr="003B4AEE" w:rsidRDefault="00820480" w:rsidP="00820480">
      <w:pPr>
        <w:pStyle w:val="Tablenote"/>
        <w:tabs>
          <w:tab w:val="left" w:pos="2930"/>
        </w:tabs>
        <w:ind w:left="180" w:hanging="180"/>
      </w:pPr>
      <w:r w:rsidRPr="003B4AEE">
        <w:tab/>
      </w:r>
    </w:p>
    <w:p w14:paraId="7BF6C1D9" w14:textId="2D87D9F4" w:rsidR="00085324" w:rsidRPr="003B4AEE" w:rsidRDefault="00085324" w:rsidP="00E86F4D">
      <w:pPr>
        <w:pStyle w:val="TableTitle"/>
      </w:pPr>
      <w:bookmarkStart w:id="217" w:name="_Ref61328264"/>
      <w:bookmarkStart w:id="218" w:name="_Toc61521440"/>
      <w:r w:rsidRPr="003B4AEE">
        <w:t xml:space="preserve">Table </w:t>
      </w:r>
      <w:r>
        <w:fldChar w:fldCharType="begin"/>
      </w:r>
      <w:r>
        <w:instrText>STYLEREF 2 \s</w:instrText>
      </w:r>
      <w:r>
        <w:fldChar w:fldCharType="separate"/>
      </w:r>
      <w:r w:rsidR="00B811B7" w:rsidRPr="003B4AEE">
        <w:rPr>
          <w:noProof/>
        </w:rPr>
        <w:t>15</w:t>
      </w:r>
      <w:r>
        <w:fldChar w:fldCharType="end"/>
      </w:r>
      <w:r w:rsidR="007A3DD9" w:rsidRPr="003B4AEE">
        <w:noBreakHyphen/>
      </w:r>
      <w:r>
        <w:fldChar w:fldCharType="begin"/>
      </w:r>
      <w:r>
        <w:instrText>SEQ Table \* ARABIC \s 2</w:instrText>
      </w:r>
      <w:r>
        <w:fldChar w:fldCharType="separate"/>
      </w:r>
      <w:r w:rsidR="00B811B7" w:rsidRPr="003B4AEE">
        <w:rPr>
          <w:noProof/>
        </w:rPr>
        <w:t>2</w:t>
      </w:r>
      <w:r>
        <w:fldChar w:fldCharType="end"/>
      </w:r>
      <w:bookmarkEnd w:id="217"/>
      <w:r w:rsidR="00D94D14" w:rsidRPr="003B4AEE">
        <w:t>.</w:t>
      </w:r>
      <w:r w:rsidRPr="003B4AEE">
        <w:t xml:space="preserve"> Summary of </w:t>
      </w:r>
      <w:r w:rsidR="00F707B1" w:rsidRPr="003B4AEE">
        <w:t>A</w:t>
      </w:r>
      <w:r w:rsidRPr="003B4AEE">
        <w:t xml:space="preserve">djustment in </w:t>
      </w:r>
      <w:r w:rsidR="00F707B1" w:rsidRPr="003B4AEE">
        <w:t>N</w:t>
      </w:r>
      <w:r w:rsidRPr="003B4AEE">
        <w:t xml:space="preserve">umber of </w:t>
      </w:r>
      <w:r w:rsidR="00F707B1" w:rsidRPr="003B4AEE">
        <w:t>B</w:t>
      </w:r>
      <w:r w:rsidRPr="003B4AEE">
        <w:t xml:space="preserve">urden </w:t>
      </w:r>
      <w:r w:rsidR="00F707B1" w:rsidRPr="003B4AEE">
        <w:t>H</w:t>
      </w:r>
      <w:r w:rsidRPr="003B4AEE">
        <w:t>ours</w:t>
      </w:r>
      <w:bookmarkEnd w:id="218"/>
      <w:r w:rsidRPr="003B4AEE">
        <w:t xml:space="preserve"> </w:t>
      </w:r>
    </w:p>
    <w:tbl>
      <w:tblPr>
        <w:tblStyle w:val="TableGrid"/>
        <w:tblW w:w="5000" w:type="pct"/>
        <w:jc w:val="center"/>
        <w:tblCellMar>
          <w:left w:w="58" w:type="dxa"/>
          <w:right w:w="58" w:type="dxa"/>
        </w:tblCellMar>
        <w:tblLook w:val="04A0" w:firstRow="1" w:lastRow="0" w:firstColumn="1" w:lastColumn="0" w:noHBand="0" w:noVBand="1"/>
      </w:tblPr>
      <w:tblGrid>
        <w:gridCol w:w="1726"/>
        <w:gridCol w:w="1098"/>
        <w:gridCol w:w="2121"/>
        <w:gridCol w:w="827"/>
        <w:gridCol w:w="1194"/>
        <w:gridCol w:w="1049"/>
        <w:gridCol w:w="1335"/>
      </w:tblGrid>
      <w:tr w:rsidR="00284A43" w:rsidRPr="003B4AEE" w14:paraId="2FB3E10F" w14:textId="77777777" w:rsidTr="005D6354">
        <w:trPr>
          <w:trHeight w:val="288"/>
          <w:tblHeader/>
          <w:jc w:val="center"/>
        </w:trPr>
        <w:tc>
          <w:tcPr>
            <w:tcW w:w="1726" w:type="dxa"/>
            <w:vMerge w:val="restart"/>
            <w:shd w:val="clear" w:color="auto" w:fill="D9D9D9" w:themeFill="background1" w:themeFillShade="D9"/>
            <w:noWrap/>
            <w:vAlign w:val="bottom"/>
            <w:hideMark/>
          </w:tcPr>
          <w:p w14:paraId="5D6AAB0B" w14:textId="77777777" w:rsidR="00284A43" w:rsidRPr="003B4AEE" w:rsidRDefault="00284A43" w:rsidP="00946B97">
            <w:pPr>
              <w:pStyle w:val="TableHeading"/>
            </w:pPr>
            <w:r w:rsidRPr="003B4AEE">
              <w:t>Source ICR</w:t>
            </w:r>
          </w:p>
        </w:tc>
        <w:tc>
          <w:tcPr>
            <w:tcW w:w="1098" w:type="dxa"/>
            <w:vMerge w:val="restart"/>
            <w:shd w:val="clear" w:color="auto" w:fill="D9D9D9" w:themeFill="background1" w:themeFillShade="D9"/>
            <w:vAlign w:val="center"/>
          </w:tcPr>
          <w:p w14:paraId="6030A7E6" w14:textId="77777777" w:rsidR="00284A43" w:rsidRPr="003B4AEE" w:rsidRDefault="00284A43" w:rsidP="00946B97">
            <w:pPr>
              <w:pStyle w:val="TableHeading"/>
            </w:pPr>
            <w:r w:rsidRPr="003B4AEE">
              <w:t>Previously Approved</w:t>
            </w:r>
          </w:p>
        </w:tc>
        <w:tc>
          <w:tcPr>
            <w:tcW w:w="2121" w:type="dxa"/>
            <w:vMerge w:val="restart"/>
            <w:shd w:val="clear" w:color="auto" w:fill="D9D9D9" w:themeFill="background1" w:themeFillShade="D9"/>
            <w:vAlign w:val="center"/>
            <w:hideMark/>
          </w:tcPr>
          <w:p w14:paraId="45A619C4" w14:textId="68D31D53" w:rsidR="00284A43" w:rsidRPr="003B4AEE" w:rsidRDefault="00284A43" w:rsidP="00946B97">
            <w:pPr>
              <w:pStyle w:val="TableHeading"/>
            </w:pPr>
            <w:r w:rsidRPr="003B4AEE">
              <w:t xml:space="preserve">Total </w:t>
            </w:r>
            <w:r w:rsidR="00E14662" w:rsidRPr="003B4AEE">
              <w:t xml:space="preserve">Hours </w:t>
            </w:r>
            <w:r w:rsidRPr="003B4AEE">
              <w:t>Requested</w:t>
            </w:r>
          </w:p>
        </w:tc>
        <w:tc>
          <w:tcPr>
            <w:tcW w:w="3070" w:type="dxa"/>
            <w:gridSpan w:val="3"/>
            <w:shd w:val="clear" w:color="auto" w:fill="D9D9D9" w:themeFill="background1" w:themeFillShade="D9"/>
            <w:noWrap/>
            <w:vAlign w:val="center"/>
            <w:hideMark/>
          </w:tcPr>
          <w:p w14:paraId="10374DAC" w14:textId="77777777" w:rsidR="00284A43" w:rsidRPr="003B4AEE" w:rsidRDefault="00284A43" w:rsidP="00946B97">
            <w:pPr>
              <w:pStyle w:val="TableHeading"/>
            </w:pPr>
            <w:r w:rsidRPr="003B4AEE">
              <w:t>Change Due to:</w:t>
            </w:r>
          </w:p>
        </w:tc>
        <w:tc>
          <w:tcPr>
            <w:tcW w:w="1335" w:type="dxa"/>
            <w:vMerge w:val="restart"/>
            <w:shd w:val="clear" w:color="auto" w:fill="D9D9D9" w:themeFill="background1" w:themeFillShade="D9"/>
            <w:vAlign w:val="center"/>
          </w:tcPr>
          <w:p w14:paraId="34AB6E51" w14:textId="40C1952D" w:rsidR="00284A43" w:rsidRPr="003B4AEE" w:rsidRDefault="00397D44" w:rsidP="00946B97">
            <w:pPr>
              <w:pStyle w:val="TableHeading"/>
            </w:pPr>
            <w:r w:rsidRPr="003B4AEE">
              <w:t>Total Change (Percent)</w:t>
            </w:r>
          </w:p>
        </w:tc>
      </w:tr>
      <w:tr w:rsidR="00284A43" w:rsidRPr="003B4AEE" w14:paraId="71EE0151" w14:textId="77777777" w:rsidTr="005D6354">
        <w:trPr>
          <w:trHeight w:val="576"/>
          <w:tblHeader/>
          <w:jc w:val="center"/>
        </w:trPr>
        <w:tc>
          <w:tcPr>
            <w:tcW w:w="1726" w:type="dxa"/>
            <w:vMerge/>
            <w:hideMark/>
          </w:tcPr>
          <w:p w14:paraId="22CDC8CE" w14:textId="77777777" w:rsidR="00284A43" w:rsidRPr="003B4AEE" w:rsidRDefault="00284A43" w:rsidP="00DD6D01">
            <w:pPr>
              <w:pStyle w:val="TableTitle"/>
            </w:pPr>
          </w:p>
        </w:tc>
        <w:tc>
          <w:tcPr>
            <w:tcW w:w="1098" w:type="dxa"/>
            <w:vMerge/>
            <w:vAlign w:val="center"/>
          </w:tcPr>
          <w:p w14:paraId="4B9D3DD5" w14:textId="77777777" w:rsidR="00284A43" w:rsidRPr="003B4AEE" w:rsidRDefault="00284A43" w:rsidP="00DD6D01">
            <w:pPr>
              <w:pStyle w:val="TableTitle"/>
            </w:pPr>
          </w:p>
        </w:tc>
        <w:tc>
          <w:tcPr>
            <w:tcW w:w="2121" w:type="dxa"/>
            <w:vMerge/>
            <w:vAlign w:val="center"/>
            <w:hideMark/>
          </w:tcPr>
          <w:p w14:paraId="6A59FAA7" w14:textId="77777777" w:rsidR="00284A43" w:rsidRPr="003B4AEE" w:rsidRDefault="00284A43" w:rsidP="00DD6D01">
            <w:pPr>
              <w:pStyle w:val="TableTitle"/>
            </w:pPr>
          </w:p>
        </w:tc>
        <w:tc>
          <w:tcPr>
            <w:tcW w:w="827" w:type="dxa"/>
            <w:shd w:val="clear" w:color="auto" w:fill="D9D9D9" w:themeFill="background1" w:themeFillShade="D9"/>
            <w:vAlign w:val="center"/>
            <w:hideMark/>
          </w:tcPr>
          <w:p w14:paraId="18F1D68D" w14:textId="77777777" w:rsidR="00284A43" w:rsidRPr="003B4AEE" w:rsidRDefault="00284A43" w:rsidP="00946B97">
            <w:pPr>
              <w:pStyle w:val="TableHeading"/>
            </w:pPr>
            <w:r w:rsidRPr="003B4AEE">
              <w:t>New Statute</w:t>
            </w:r>
          </w:p>
        </w:tc>
        <w:tc>
          <w:tcPr>
            <w:tcW w:w="1194" w:type="dxa"/>
            <w:shd w:val="clear" w:color="auto" w:fill="D9D9D9" w:themeFill="background1" w:themeFillShade="D9"/>
            <w:vAlign w:val="center"/>
            <w:hideMark/>
          </w:tcPr>
          <w:p w14:paraId="10C098B2" w14:textId="77777777" w:rsidR="00284A43" w:rsidRPr="003B4AEE" w:rsidRDefault="00284A43" w:rsidP="00946B97">
            <w:pPr>
              <w:pStyle w:val="TableHeading"/>
            </w:pPr>
            <w:r w:rsidRPr="003B4AEE">
              <w:t>Agency Actions (New Rules, Etc.)</w:t>
            </w:r>
          </w:p>
        </w:tc>
        <w:tc>
          <w:tcPr>
            <w:tcW w:w="1049" w:type="dxa"/>
            <w:shd w:val="clear" w:color="auto" w:fill="D9D9D9" w:themeFill="background1" w:themeFillShade="D9"/>
            <w:vAlign w:val="center"/>
            <w:hideMark/>
          </w:tcPr>
          <w:p w14:paraId="47AEA45A" w14:textId="77777777" w:rsidR="00284A43" w:rsidRPr="003B4AEE" w:rsidRDefault="00284A43" w:rsidP="00946B97">
            <w:pPr>
              <w:pStyle w:val="TableHeading"/>
            </w:pPr>
            <w:r w:rsidRPr="003B4AEE">
              <w:t>Revised Estimates</w:t>
            </w:r>
          </w:p>
        </w:tc>
        <w:tc>
          <w:tcPr>
            <w:tcW w:w="1335" w:type="dxa"/>
            <w:vMerge/>
            <w:vAlign w:val="center"/>
          </w:tcPr>
          <w:p w14:paraId="11E3F9AC" w14:textId="77777777" w:rsidR="00284A43" w:rsidRPr="003B4AEE" w:rsidRDefault="00284A43" w:rsidP="00DD6D01">
            <w:pPr>
              <w:pStyle w:val="TableTitle"/>
            </w:pPr>
          </w:p>
        </w:tc>
      </w:tr>
      <w:tr w:rsidR="002017BC" w:rsidRPr="003B4AEE" w14:paraId="7FD049C1" w14:textId="77777777" w:rsidTr="005D6354">
        <w:trPr>
          <w:trHeight w:val="288"/>
          <w:jc w:val="center"/>
        </w:trPr>
        <w:tc>
          <w:tcPr>
            <w:tcW w:w="1726" w:type="dxa"/>
          </w:tcPr>
          <w:p w14:paraId="52B5655A" w14:textId="0DC9D5A8" w:rsidR="002017BC" w:rsidRPr="003B4AEE" w:rsidRDefault="002017BC" w:rsidP="002017BC">
            <w:pPr>
              <w:pStyle w:val="Tables"/>
            </w:pPr>
            <w:r w:rsidRPr="003B4AEE">
              <w:t>Consolidated NPDES 2018 Component (Specific Provisions Affecting Applications and Program Updates)</w:t>
            </w:r>
          </w:p>
        </w:tc>
        <w:tc>
          <w:tcPr>
            <w:tcW w:w="1098" w:type="dxa"/>
            <w:vAlign w:val="center"/>
          </w:tcPr>
          <w:p w14:paraId="13FE2150" w14:textId="4473FD04" w:rsidR="002017BC" w:rsidRPr="003B4AEE" w:rsidRDefault="002017BC" w:rsidP="002017BC">
            <w:pPr>
              <w:pStyle w:val="Tables"/>
              <w:jc w:val="right"/>
            </w:pPr>
            <w:r w:rsidRPr="003B4AEE">
              <w:t>28,221,350</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0B7F5" w14:textId="6845EB16" w:rsidR="002017BC" w:rsidRPr="003B4AEE" w:rsidRDefault="005D6354" w:rsidP="002017BC">
            <w:pPr>
              <w:pStyle w:val="Tables"/>
              <w:jc w:val="right"/>
            </w:pPr>
            <w:r w:rsidRPr="005D6354">
              <w:t>30,703,535</w:t>
            </w:r>
          </w:p>
        </w:tc>
        <w:tc>
          <w:tcPr>
            <w:tcW w:w="827" w:type="dxa"/>
            <w:tcBorders>
              <w:top w:val="single" w:sz="4" w:space="0" w:color="auto"/>
              <w:left w:val="nil"/>
              <w:bottom w:val="single" w:sz="4" w:space="0" w:color="auto"/>
              <w:right w:val="single" w:sz="4" w:space="0" w:color="auto"/>
            </w:tcBorders>
            <w:shd w:val="clear" w:color="auto" w:fill="auto"/>
            <w:noWrap/>
            <w:vAlign w:val="center"/>
          </w:tcPr>
          <w:p w14:paraId="0EADE6D5" w14:textId="60598EEC" w:rsidR="002017BC" w:rsidRPr="003B4AEE" w:rsidRDefault="002017BC" w:rsidP="002017BC">
            <w:pPr>
              <w:pStyle w:val="Tables"/>
              <w:jc w:val="right"/>
            </w:pPr>
            <w:r w:rsidRPr="003B4AEE">
              <w:t>0</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407D2F07" w14:textId="66CCED44" w:rsidR="002017BC" w:rsidRPr="003B4AEE" w:rsidRDefault="002017BC" w:rsidP="002017BC">
            <w:pPr>
              <w:pStyle w:val="Tables"/>
              <w:jc w:val="right"/>
            </w:pPr>
            <w:r w:rsidRPr="003B4AEE">
              <w:t>0</w:t>
            </w:r>
          </w:p>
        </w:tc>
        <w:tc>
          <w:tcPr>
            <w:tcW w:w="1049" w:type="dxa"/>
            <w:tcBorders>
              <w:top w:val="single" w:sz="4" w:space="0" w:color="auto"/>
              <w:left w:val="nil"/>
              <w:bottom w:val="single" w:sz="4" w:space="0" w:color="auto"/>
              <w:right w:val="single" w:sz="4" w:space="0" w:color="auto"/>
            </w:tcBorders>
            <w:shd w:val="clear" w:color="auto" w:fill="auto"/>
            <w:noWrap/>
            <w:vAlign w:val="center"/>
          </w:tcPr>
          <w:p w14:paraId="1D81FB7B" w14:textId="5D58A3DA" w:rsidR="002017BC" w:rsidRPr="003B4AEE" w:rsidRDefault="005D6354" w:rsidP="005D6354">
            <w:pPr>
              <w:pStyle w:val="Tables"/>
              <w:jc w:val="right"/>
            </w:pPr>
            <w:r w:rsidRPr="005D6354">
              <w:t>2,482,185</w:t>
            </w:r>
          </w:p>
        </w:tc>
        <w:tc>
          <w:tcPr>
            <w:tcW w:w="1335" w:type="dxa"/>
            <w:tcBorders>
              <w:top w:val="single" w:sz="4" w:space="0" w:color="auto"/>
              <w:left w:val="nil"/>
              <w:bottom w:val="single" w:sz="4" w:space="0" w:color="auto"/>
              <w:right w:val="single" w:sz="4" w:space="0" w:color="auto"/>
            </w:tcBorders>
            <w:shd w:val="clear" w:color="auto" w:fill="auto"/>
            <w:noWrap/>
            <w:vAlign w:val="center"/>
          </w:tcPr>
          <w:p w14:paraId="1E9972A8" w14:textId="7FC2B0D0" w:rsidR="002017BC" w:rsidRPr="003B4AEE" w:rsidDel="00F66FE3" w:rsidRDefault="002017BC" w:rsidP="005D6354">
            <w:pPr>
              <w:pStyle w:val="Tables"/>
              <w:jc w:val="right"/>
            </w:pPr>
            <w:r w:rsidRPr="00B1637F">
              <w:t>9%</w:t>
            </w:r>
          </w:p>
        </w:tc>
      </w:tr>
      <w:tr w:rsidR="00284A43" w:rsidRPr="003B4AEE" w14:paraId="0F773985" w14:textId="77777777" w:rsidTr="005D6354">
        <w:trPr>
          <w:trHeight w:val="288"/>
          <w:jc w:val="center"/>
        </w:trPr>
        <w:tc>
          <w:tcPr>
            <w:tcW w:w="1726" w:type="dxa"/>
          </w:tcPr>
          <w:p w14:paraId="74AA7030" w14:textId="6FE6A487" w:rsidR="00284A43" w:rsidRPr="003B4AEE" w:rsidRDefault="001E134F" w:rsidP="00DD6D01">
            <w:pPr>
              <w:pStyle w:val="Tables"/>
            </w:pPr>
            <w:r w:rsidRPr="003B4AEE">
              <w:t>CSOs in the Great Lake Basin</w:t>
            </w:r>
          </w:p>
        </w:tc>
        <w:tc>
          <w:tcPr>
            <w:tcW w:w="1098" w:type="dxa"/>
            <w:vAlign w:val="center"/>
          </w:tcPr>
          <w:p w14:paraId="499EE40A" w14:textId="7E42D0AA" w:rsidR="00284A43" w:rsidRPr="003B4AEE" w:rsidRDefault="001E134F" w:rsidP="0099291C">
            <w:pPr>
              <w:pStyle w:val="Tables"/>
              <w:jc w:val="right"/>
            </w:pPr>
            <w:r w:rsidRPr="003B4AEE">
              <w:t xml:space="preserve">8,694 </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F1E2F" w14:textId="1DD0C785" w:rsidR="00284A43" w:rsidRPr="003B4AEE" w:rsidRDefault="001E134F" w:rsidP="0099291C">
            <w:pPr>
              <w:pStyle w:val="Tables"/>
              <w:jc w:val="right"/>
            </w:pPr>
            <w:r w:rsidRPr="003B4AEE">
              <w:t>8,694</w:t>
            </w:r>
          </w:p>
        </w:tc>
        <w:tc>
          <w:tcPr>
            <w:tcW w:w="827" w:type="dxa"/>
            <w:tcBorders>
              <w:top w:val="single" w:sz="4" w:space="0" w:color="auto"/>
              <w:left w:val="nil"/>
              <w:bottom w:val="single" w:sz="4" w:space="0" w:color="auto"/>
              <w:right w:val="single" w:sz="4" w:space="0" w:color="auto"/>
            </w:tcBorders>
            <w:shd w:val="clear" w:color="auto" w:fill="auto"/>
            <w:noWrap/>
            <w:vAlign w:val="center"/>
          </w:tcPr>
          <w:p w14:paraId="4655E703" w14:textId="6D830CEF" w:rsidR="00284A43" w:rsidRPr="003B4AEE" w:rsidRDefault="001E134F" w:rsidP="0099291C">
            <w:pPr>
              <w:pStyle w:val="Tables"/>
              <w:jc w:val="right"/>
            </w:pPr>
            <w:r w:rsidRPr="003B4AEE">
              <w:t>0</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688C3455" w14:textId="579421F0" w:rsidR="00284A43" w:rsidRPr="003B4AEE" w:rsidRDefault="001E134F" w:rsidP="0099291C">
            <w:pPr>
              <w:pStyle w:val="Tables"/>
              <w:jc w:val="right"/>
            </w:pPr>
            <w:r w:rsidRPr="003B4AEE">
              <w:t>0</w:t>
            </w:r>
          </w:p>
        </w:tc>
        <w:tc>
          <w:tcPr>
            <w:tcW w:w="1049" w:type="dxa"/>
            <w:tcBorders>
              <w:top w:val="single" w:sz="4" w:space="0" w:color="auto"/>
              <w:left w:val="nil"/>
              <w:bottom w:val="single" w:sz="4" w:space="0" w:color="auto"/>
              <w:right w:val="single" w:sz="4" w:space="0" w:color="auto"/>
            </w:tcBorders>
            <w:shd w:val="clear" w:color="auto" w:fill="auto"/>
            <w:noWrap/>
            <w:vAlign w:val="center"/>
          </w:tcPr>
          <w:p w14:paraId="65C07D57" w14:textId="63974290" w:rsidR="00284A43" w:rsidRPr="003B4AEE" w:rsidRDefault="001E134F" w:rsidP="0099291C">
            <w:pPr>
              <w:pStyle w:val="Tables"/>
              <w:jc w:val="right"/>
            </w:pPr>
            <w:r w:rsidRPr="003B4AEE">
              <w:t>0</w:t>
            </w:r>
          </w:p>
        </w:tc>
        <w:tc>
          <w:tcPr>
            <w:tcW w:w="1335" w:type="dxa"/>
            <w:tcBorders>
              <w:top w:val="single" w:sz="4" w:space="0" w:color="auto"/>
              <w:left w:val="nil"/>
              <w:bottom w:val="single" w:sz="4" w:space="0" w:color="auto"/>
              <w:right w:val="single" w:sz="4" w:space="0" w:color="auto"/>
            </w:tcBorders>
            <w:shd w:val="clear" w:color="auto" w:fill="auto"/>
            <w:noWrap/>
            <w:vAlign w:val="center"/>
          </w:tcPr>
          <w:p w14:paraId="249551FE" w14:textId="2F84E4E9" w:rsidR="00284A43" w:rsidRPr="003B4AEE" w:rsidDel="00F66FE3" w:rsidRDefault="001E134F" w:rsidP="0099291C">
            <w:pPr>
              <w:pStyle w:val="Tables"/>
              <w:jc w:val="right"/>
            </w:pPr>
            <w:r w:rsidRPr="003B4AEE">
              <w:t>0%</w:t>
            </w:r>
          </w:p>
        </w:tc>
      </w:tr>
      <w:tr w:rsidR="00284A43" w:rsidRPr="003B4AEE" w14:paraId="291120E8" w14:textId="77777777" w:rsidTr="005D6354">
        <w:trPr>
          <w:trHeight w:val="288"/>
          <w:jc w:val="center"/>
        </w:trPr>
        <w:tc>
          <w:tcPr>
            <w:tcW w:w="1726" w:type="dxa"/>
          </w:tcPr>
          <w:p w14:paraId="6BE6584A" w14:textId="5F8B2755" w:rsidR="00284A43" w:rsidRPr="003B4AEE" w:rsidRDefault="001E134F" w:rsidP="00DD6D01">
            <w:pPr>
              <w:pStyle w:val="Tables"/>
            </w:pPr>
            <w:r w:rsidRPr="003B4AEE">
              <w:lastRenderedPageBreak/>
              <w:t>Dental Amalgam ELG</w:t>
            </w:r>
          </w:p>
        </w:tc>
        <w:tc>
          <w:tcPr>
            <w:tcW w:w="1098" w:type="dxa"/>
          </w:tcPr>
          <w:p w14:paraId="7ED5F8D4" w14:textId="7870E06F" w:rsidR="00284A43" w:rsidRPr="003B4AEE" w:rsidRDefault="001E134F" w:rsidP="00DD6D01">
            <w:pPr>
              <w:pStyle w:val="Tables"/>
              <w:jc w:val="right"/>
            </w:pPr>
            <w:r w:rsidRPr="003B4AEE">
              <w:t xml:space="preserve"> 392,646 </w:t>
            </w:r>
          </w:p>
        </w:tc>
        <w:tc>
          <w:tcPr>
            <w:tcW w:w="2121" w:type="dxa"/>
            <w:tcBorders>
              <w:top w:val="single" w:sz="4" w:space="0" w:color="auto"/>
              <w:left w:val="single" w:sz="4" w:space="0" w:color="auto"/>
              <w:bottom w:val="single" w:sz="4" w:space="0" w:color="auto"/>
              <w:right w:val="single" w:sz="4" w:space="0" w:color="auto"/>
            </w:tcBorders>
            <w:shd w:val="clear" w:color="auto" w:fill="auto"/>
            <w:noWrap/>
          </w:tcPr>
          <w:p w14:paraId="71B7D739" w14:textId="0C314DEB" w:rsidR="00284A43" w:rsidRPr="003B4AEE" w:rsidRDefault="001E134F" w:rsidP="00DD6D01">
            <w:pPr>
              <w:pStyle w:val="Tables"/>
              <w:jc w:val="right"/>
            </w:pPr>
            <w:r w:rsidRPr="003B4AEE">
              <w:t xml:space="preserve"> 392,646 </w:t>
            </w:r>
          </w:p>
        </w:tc>
        <w:tc>
          <w:tcPr>
            <w:tcW w:w="827" w:type="dxa"/>
            <w:tcBorders>
              <w:top w:val="single" w:sz="4" w:space="0" w:color="auto"/>
              <w:left w:val="nil"/>
              <w:bottom w:val="single" w:sz="4" w:space="0" w:color="auto"/>
              <w:right w:val="single" w:sz="4" w:space="0" w:color="auto"/>
            </w:tcBorders>
            <w:shd w:val="clear" w:color="auto" w:fill="auto"/>
            <w:noWrap/>
          </w:tcPr>
          <w:p w14:paraId="34C88970" w14:textId="05CE3744" w:rsidR="00284A43" w:rsidRPr="003B4AEE" w:rsidRDefault="001E134F" w:rsidP="00DD6D01">
            <w:pPr>
              <w:pStyle w:val="Tables"/>
              <w:jc w:val="right"/>
            </w:pPr>
            <w:r w:rsidRPr="003B4AEE">
              <w:t>0 </w:t>
            </w:r>
          </w:p>
        </w:tc>
        <w:tc>
          <w:tcPr>
            <w:tcW w:w="1194" w:type="dxa"/>
            <w:tcBorders>
              <w:top w:val="single" w:sz="4" w:space="0" w:color="auto"/>
              <w:left w:val="nil"/>
              <w:bottom w:val="single" w:sz="4" w:space="0" w:color="auto"/>
              <w:right w:val="single" w:sz="4" w:space="0" w:color="auto"/>
            </w:tcBorders>
            <w:shd w:val="clear" w:color="auto" w:fill="auto"/>
            <w:noWrap/>
          </w:tcPr>
          <w:p w14:paraId="0C4D5E8A" w14:textId="2BF219B7" w:rsidR="00284A43" w:rsidRPr="003B4AEE" w:rsidRDefault="001E134F" w:rsidP="00DD6D01">
            <w:pPr>
              <w:pStyle w:val="Tables"/>
              <w:jc w:val="right"/>
            </w:pPr>
            <w:r w:rsidRPr="003B4AEE">
              <w:t>0 </w:t>
            </w:r>
          </w:p>
        </w:tc>
        <w:tc>
          <w:tcPr>
            <w:tcW w:w="1049" w:type="dxa"/>
            <w:tcBorders>
              <w:top w:val="single" w:sz="4" w:space="0" w:color="auto"/>
              <w:left w:val="nil"/>
              <w:bottom w:val="single" w:sz="4" w:space="0" w:color="auto"/>
              <w:right w:val="single" w:sz="4" w:space="0" w:color="auto"/>
            </w:tcBorders>
            <w:shd w:val="clear" w:color="auto" w:fill="auto"/>
            <w:noWrap/>
          </w:tcPr>
          <w:p w14:paraId="0F30873D" w14:textId="56C334CE" w:rsidR="00284A43" w:rsidRPr="003B4AEE" w:rsidRDefault="001E134F" w:rsidP="00DD6D01">
            <w:pPr>
              <w:pStyle w:val="Tables"/>
              <w:jc w:val="right"/>
            </w:pPr>
            <w:r w:rsidRPr="003B4AEE">
              <w:t>0</w:t>
            </w:r>
          </w:p>
        </w:tc>
        <w:tc>
          <w:tcPr>
            <w:tcW w:w="1335" w:type="dxa"/>
            <w:tcBorders>
              <w:top w:val="single" w:sz="4" w:space="0" w:color="auto"/>
              <w:left w:val="nil"/>
              <w:bottom w:val="single" w:sz="4" w:space="0" w:color="auto"/>
              <w:right w:val="single" w:sz="4" w:space="0" w:color="auto"/>
            </w:tcBorders>
            <w:shd w:val="clear" w:color="auto" w:fill="auto"/>
            <w:noWrap/>
          </w:tcPr>
          <w:p w14:paraId="53C0DDFD" w14:textId="03591AFD" w:rsidR="00284A43" w:rsidRPr="003B4AEE" w:rsidDel="00F66FE3" w:rsidRDefault="001E134F" w:rsidP="00DD6D01">
            <w:pPr>
              <w:pStyle w:val="Tables"/>
              <w:jc w:val="right"/>
            </w:pPr>
            <w:r w:rsidRPr="003B4AEE">
              <w:t>0%</w:t>
            </w:r>
          </w:p>
        </w:tc>
      </w:tr>
      <w:tr w:rsidR="00284A43" w:rsidRPr="003B4AEE" w14:paraId="5B29AAD4" w14:textId="77777777" w:rsidTr="005D6354">
        <w:trPr>
          <w:trHeight w:val="288"/>
          <w:jc w:val="center"/>
        </w:trPr>
        <w:tc>
          <w:tcPr>
            <w:tcW w:w="1726" w:type="dxa"/>
            <w:hideMark/>
          </w:tcPr>
          <w:p w14:paraId="112830A3" w14:textId="5A993754" w:rsidR="00284A43" w:rsidRPr="003B4AEE" w:rsidRDefault="001E134F" w:rsidP="00DD6D01">
            <w:pPr>
              <w:pStyle w:val="Tables"/>
            </w:pPr>
            <w:r w:rsidRPr="003B4AEE">
              <w:t xml:space="preserve"> 2020 MSGP</w:t>
            </w:r>
          </w:p>
        </w:tc>
        <w:tc>
          <w:tcPr>
            <w:tcW w:w="1098" w:type="dxa"/>
          </w:tcPr>
          <w:p w14:paraId="4DDE9436" w14:textId="1ADECF73" w:rsidR="00284A43" w:rsidRPr="003B4AEE" w:rsidRDefault="001E134F" w:rsidP="00DD6D01">
            <w:pPr>
              <w:pStyle w:val="Tables"/>
              <w:jc w:val="right"/>
            </w:pPr>
            <w:r w:rsidRPr="003B4AEE">
              <w:t xml:space="preserve"> 38,210 </w:t>
            </w:r>
          </w:p>
        </w:tc>
        <w:tc>
          <w:tcPr>
            <w:tcW w:w="2121" w:type="dxa"/>
            <w:tcBorders>
              <w:top w:val="single" w:sz="4" w:space="0" w:color="auto"/>
              <w:left w:val="single" w:sz="4" w:space="0" w:color="auto"/>
              <w:bottom w:val="single" w:sz="4" w:space="0" w:color="auto"/>
              <w:right w:val="single" w:sz="4" w:space="0" w:color="auto"/>
            </w:tcBorders>
            <w:shd w:val="clear" w:color="auto" w:fill="auto"/>
            <w:noWrap/>
          </w:tcPr>
          <w:p w14:paraId="6EE8C1E4" w14:textId="6FA1245E" w:rsidR="00284A43" w:rsidRPr="003B4AEE" w:rsidRDefault="001E134F" w:rsidP="00DD6D01">
            <w:pPr>
              <w:pStyle w:val="Tables"/>
              <w:jc w:val="right"/>
            </w:pPr>
            <w:r w:rsidRPr="003B4AEE">
              <w:t xml:space="preserve"> 38,210 </w:t>
            </w:r>
          </w:p>
        </w:tc>
        <w:tc>
          <w:tcPr>
            <w:tcW w:w="827" w:type="dxa"/>
            <w:tcBorders>
              <w:top w:val="single" w:sz="4" w:space="0" w:color="auto"/>
              <w:left w:val="nil"/>
              <w:bottom w:val="single" w:sz="4" w:space="0" w:color="auto"/>
              <w:right w:val="single" w:sz="4" w:space="0" w:color="auto"/>
            </w:tcBorders>
            <w:shd w:val="clear" w:color="auto" w:fill="auto"/>
            <w:noWrap/>
            <w:hideMark/>
          </w:tcPr>
          <w:p w14:paraId="726345B4" w14:textId="25211E1D" w:rsidR="00284A43" w:rsidRPr="003B4AEE" w:rsidRDefault="001E134F" w:rsidP="00DD6D01">
            <w:pPr>
              <w:pStyle w:val="Tables"/>
              <w:jc w:val="right"/>
            </w:pPr>
            <w:r w:rsidRPr="003B4AEE">
              <w:t>0</w:t>
            </w:r>
          </w:p>
        </w:tc>
        <w:tc>
          <w:tcPr>
            <w:tcW w:w="1194" w:type="dxa"/>
            <w:tcBorders>
              <w:top w:val="single" w:sz="4" w:space="0" w:color="auto"/>
              <w:left w:val="nil"/>
              <w:bottom w:val="single" w:sz="4" w:space="0" w:color="auto"/>
              <w:right w:val="single" w:sz="4" w:space="0" w:color="auto"/>
            </w:tcBorders>
            <w:shd w:val="clear" w:color="auto" w:fill="auto"/>
            <w:noWrap/>
            <w:hideMark/>
          </w:tcPr>
          <w:p w14:paraId="65761096" w14:textId="028D0100" w:rsidR="00284A43" w:rsidRPr="003B4AEE" w:rsidRDefault="001E134F" w:rsidP="00DD6D01">
            <w:pPr>
              <w:pStyle w:val="Tables"/>
              <w:jc w:val="right"/>
            </w:pPr>
            <w:r w:rsidRPr="003B4AEE">
              <w:t>0</w:t>
            </w:r>
          </w:p>
        </w:tc>
        <w:tc>
          <w:tcPr>
            <w:tcW w:w="1049" w:type="dxa"/>
            <w:tcBorders>
              <w:top w:val="single" w:sz="4" w:space="0" w:color="auto"/>
              <w:left w:val="nil"/>
              <w:bottom w:val="single" w:sz="4" w:space="0" w:color="auto"/>
              <w:right w:val="single" w:sz="4" w:space="0" w:color="auto"/>
            </w:tcBorders>
            <w:shd w:val="clear" w:color="auto" w:fill="auto"/>
            <w:noWrap/>
            <w:hideMark/>
          </w:tcPr>
          <w:p w14:paraId="7D67309E" w14:textId="3D03621E" w:rsidR="00284A43" w:rsidRPr="003B4AEE" w:rsidRDefault="001E134F" w:rsidP="00DD6D01">
            <w:pPr>
              <w:pStyle w:val="Tables"/>
              <w:jc w:val="right"/>
            </w:pPr>
            <w:r w:rsidRPr="003B4AEE">
              <w:t>0</w:t>
            </w:r>
          </w:p>
        </w:tc>
        <w:tc>
          <w:tcPr>
            <w:tcW w:w="1335" w:type="dxa"/>
            <w:tcBorders>
              <w:top w:val="single" w:sz="4" w:space="0" w:color="auto"/>
              <w:left w:val="nil"/>
              <w:bottom w:val="single" w:sz="4" w:space="0" w:color="auto"/>
              <w:right w:val="single" w:sz="4" w:space="0" w:color="auto"/>
            </w:tcBorders>
            <w:shd w:val="clear" w:color="auto" w:fill="auto"/>
            <w:noWrap/>
          </w:tcPr>
          <w:p w14:paraId="7AC10D57" w14:textId="06BC2307" w:rsidR="00284A43" w:rsidRPr="003B4AEE" w:rsidRDefault="001E134F" w:rsidP="00DD6D01">
            <w:pPr>
              <w:pStyle w:val="Tables"/>
              <w:jc w:val="right"/>
            </w:pPr>
            <w:r w:rsidRPr="003B4AEE">
              <w:t>0%</w:t>
            </w:r>
          </w:p>
        </w:tc>
      </w:tr>
      <w:tr w:rsidR="0099291C" w:rsidRPr="003B4AEE" w14:paraId="0987010F" w14:textId="77777777" w:rsidTr="005D6354">
        <w:trPr>
          <w:trHeight w:val="288"/>
          <w:jc w:val="center"/>
        </w:trPr>
        <w:tc>
          <w:tcPr>
            <w:tcW w:w="1726" w:type="dxa"/>
          </w:tcPr>
          <w:p w14:paraId="08FE49C9" w14:textId="3B3DDA06" w:rsidR="0099291C" w:rsidRPr="003B4AEE" w:rsidRDefault="0099291C" w:rsidP="0099291C">
            <w:pPr>
              <w:pStyle w:val="Tables"/>
            </w:pPr>
            <w:proofErr w:type="spellStart"/>
            <w:r w:rsidRPr="00835ECD">
              <w:t>eRule</w:t>
            </w:r>
            <w:proofErr w:type="spellEnd"/>
            <w:r w:rsidRPr="00835ECD">
              <w:t xml:space="preserve"> Phase 2 Extension</w:t>
            </w:r>
          </w:p>
        </w:tc>
        <w:tc>
          <w:tcPr>
            <w:tcW w:w="1098" w:type="dxa"/>
          </w:tcPr>
          <w:p w14:paraId="1E616510" w14:textId="4EE1F64A" w:rsidR="0099291C" w:rsidRPr="003B4AEE" w:rsidRDefault="0099291C" w:rsidP="0099291C">
            <w:pPr>
              <w:pStyle w:val="Tables"/>
              <w:jc w:val="right"/>
            </w:pPr>
            <w:r w:rsidRPr="00835ECD">
              <w:t xml:space="preserve"> 418 </w:t>
            </w:r>
          </w:p>
        </w:tc>
        <w:tc>
          <w:tcPr>
            <w:tcW w:w="2121" w:type="dxa"/>
            <w:tcBorders>
              <w:top w:val="single" w:sz="4" w:space="0" w:color="auto"/>
              <w:left w:val="single" w:sz="4" w:space="0" w:color="auto"/>
              <w:bottom w:val="single" w:sz="4" w:space="0" w:color="auto"/>
              <w:right w:val="single" w:sz="4" w:space="0" w:color="auto"/>
            </w:tcBorders>
            <w:shd w:val="clear" w:color="auto" w:fill="auto"/>
            <w:noWrap/>
          </w:tcPr>
          <w:p w14:paraId="196EC8E8" w14:textId="4DB2541E" w:rsidR="0099291C" w:rsidRPr="003B4AEE" w:rsidRDefault="0099291C" w:rsidP="0099291C">
            <w:pPr>
              <w:pStyle w:val="Tables"/>
              <w:jc w:val="right"/>
            </w:pPr>
            <w:r w:rsidRPr="00835ECD">
              <w:t xml:space="preserve"> 418 </w:t>
            </w:r>
          </w:p>
        </w:tc>
        <w:tc>
          <w:tcPr>
            <w:tcW w:w="827" w:type="dxa"/>
            <w:tcBorders>
              <w:top w:val="single" w:sz="4" w:space="0" w:color="auto"/>
              <w:left w:val="nil"/>
              <w:bottom w:val="single" w:sz="4" w:space="0" w:color="auto"/>
              <w:right w:val="single" w:sz="4" w:space="0" w:color="auto"/>
            </w:tcBorders>
            <w:shd w:val="clear" w:color="auto" w:fill="auto"/>
            <w:noWrap/>
          </w:tcPr>
          <w:p w14:paraId="4A1E1CF2" w14:textId="4D51D791" w:rsidR="0099291C" w:rsidRPr="003B4AEE" w:rsidRDefault="0099291C" w:rsidP="0099291C">
            <w:pPr>
              <w:pStyle w:val="Tables"/>
              <w:jc w:val="right"/>
            </w:pPr>
            <w:r w:rsidRPr="00835ECD">
              <w:t>0</w:t>
            </w:r>
          </w:p>
        </w:tc>
        <w:tc>
          <w:tcPr>
            <w:tcW w:w="1194" w:type="dxa"/>
            <w:tcBorders>
              <w:top w:val="single" w:sz="4" w:space="0" w:color="auto"/>
              <w:left w:val="nil"/>
              <w:bottom w:val="single" w:sz="4" w:space="0" w:color="auto"/>
              <w:right w:val="single" w:sz="4" w:space="0" w:color="auto"/>
            </w:tcBorders>
            <w:shd w:val="clear" w:color="auto" w:fill="auto"/>
            <w:noWrap/>
          </w:tcPr>
          <w:p w14:paraId="00495C01" w14:textId="57C7B941" w:rsidR="0099291C" w:rsidRPr="003B4AEE" w:rsidRDefault="0099291C" w:rsidP="0099291C">
            <w:pPr>
              <w:pStyle w:val="Tables"/>
              <w:jc w:val="right"/>
            </w:pPr>
            <w:r w:rsidRPr="00835ECD">
              <w:t>0</w:t>
            </w:r>
          </w:p>
        </w:tc>
        <w:tc>
          <w:tcPr>
            <w:tcW w:w="1049" w:type="dxa"/>
            <w:tcBorders>
              <w:top w:val="single" w:sz="4" w:space="0" w:color="auto"/>
              <w:left w:val="nil"/>
              <w:bottom w:val="single" w:sz="4" w:space="0" w:color="auto"/>
              <w:right w:val="single" w:sz="4" w:space="0" w:color="auto"/>
            </w:tcBorders>
            <w:shd w:val="clear" w:color="auto" w:fill="auto"/>
            <w:noWrap/>
          </w:tcPr>
          <w:p w14:paraId="195B3356" w14:textId="241ADBD1" w:rsidR="0099291C" w:rsidRPr="003B4AEE" w:rsidRDefault="0099291C" w:rsidP="0099291C">
            <w:pPr>
              <w:pStyle w:val="Tables"/>
              <w:jc w:val="right"/>
            </w:pPr>
            <w:r w:rsidRPr="00835ECD">
              <w:t>0</w:t>
            </w:r>
          </w:p>
        </w:tc>
        <w:tc>
          <w:tcPr>
            <w:tcW w:w="1335" w:type="dxa"/>
            <w:tcBorders>
              <w:top w:val="single" w:sz="4" w:space="0" w:color="auto"/>
              <w:left w:val="nil"/>
              <w:bottom w:val="single" w:sz="4" w:space="0" w:color="auto"/>
              <w:right w:val="single" w:sz="4" w:space="0" w:color="auto"/>
            </w:tcBorders>
            <w:shd w:val="clear" w:color="auto" w:fill="auto"/>
            <w:noWrap/>
          </w:tcPr>
          <w:p w14:paraId="5ACD1AB9" w14:textId="356F954D" w:rsidR="0099291C" w:rsidRPr="003B4AEE" w:rsidRDefault="0099291C" w:rsidP="0099291C">
            <w:pPr>
              <w:pStyle w:val="Tables"/>
              <w:jc w:val="right"/>
            </w:pPr>
            <w:r w:rsidRPr="00835ECD">
              <w:t>0%</w:t>
            </w:r>
          </w:p>
        </w:tc>
      </w:tr>
      <w:tr w:rsidR="004D43E9" w:rsidRPr="003B4AEE" w14:paraId="219A1DF8" w14:textId="77777777" w:rsidTr="005D6354">
        <w:trPr>
          <w:trHeight w:val="264"/>
          <w:jc w:val="center"/>
        </w:trPr>
        <w:tc>
          <w:tcPr>
            <w:tcW w:w="1726" w:type="dxa"/>
            <w:hideMark/>
          </w:tcPr>
          <w:p w14:paraId="688B7A54" w14:textId="02D993FE" w:rsidR="004D43E9" w:rsidRPr="003B4AEE" w:rsidRDefault="004D43E9" w:rsidP="004D43E9">
            <w:pPr>
              <w:pStyle w:val="Tables"/>
            </w:pPr>
            <w:r w:rsidRPr="003B4AEE">
              <w:t>Total</w:t>
            </w:r>
          </w:p>
        </w:tc>
        <w:tc>
          <w:tcPr>
            <w:tcW w:w="1098" w:type="dxa"/>
          </w:tcPr>
          <w:p w14:paraId="49E0D742" w14:textId="6B062128" w:rsidR="004D43E9" w:rsidRPr="003B4AEE" w:rsidRDefault="004D43E9" w:rsidP="004D43E9">
            <w:pPr>
              <w:pStyle w:val="Tables"/>
              <w:jc w:val="right"/>
            </w:pPr>
            <w:r w:rsidRPr="00594BA0">
              <w:t xml:space="preserve"> 28,661,318 </w:t>
            </w:r>
          </w:p>
        </w:tc>
        <w:tc>
          <w:tcPr>
            <w:tcW w:w="2121" w:type="dxa"/>
            <w:tcBorders>
              <w:top w:val="single" w:sz="4" w:space="0" w:color="auto"/>
              <w:left w:val="single" w:sz="4" w:space="0" w:color="auto"/>
              <w:bottom w:val="single" w:sz="4" w:space="0" w:color="auto"/>
              <w:right w:val="single" w:sz="4" w:space="0" w:color="auto"/>
            </w:tcBorders>
            <w:shd w:val="clear" w:color="auto" w:fill="auto"/>
            <w:noWrap/>
            <w:hideMark/>
          </w:tcPr>
          <w:p w14:paraId="51AEEAA6" w14:textId="2C92BB83" w:rsidR="004D43E9" w:rsidRPr="003B4AEE" w:rsidRDefault="005D6354" w:rsidP="004D43E9">
            <w:pPr>
              <w:pStyle w:val="Tables"/>
              <w:jc w:val="right"/>
            </w:pPr>
            <w:r w:rsidRPr="005D6354">
              <w:t>31,143,503</w:t>
            </w:r>
          </w:p>
        </w:tc>
        <w:tc>
          <w:tcPr>
            <w:tcW w:w="827" w:type="dxa"/>
            <w:tcBorders>
              <w:top w:val="single" w:sz="4" w:space="0" w:color="auto"/>
              <w:left w:val="nil"/>
              <w:bottom w:val="single" w:sz="4" w:space="0" w:color="auto"/>
              <w:right w:val="single" w:sz="4" w:space="0" w:color="auto"/>
            </w:tcBorders>
            <w:shd w:val="clear" w:color="auto" w:fill="auto"/>
            <w:noWrap/>
            <w:hideMark/>
          </w:tcPr>
          <w:p w14:paraId="3E6CBCD2" w14:textId="766C14E5" w:rsidR="004D43E9" w:rsidRPr="003B4AEE" w:rsidRDefault="004D43E9" w:rsidP="004D43E9">
            <w:pPr>
              <w:pStyle w:val="Tables"/>
              <w:jc w:val="right"/>
            </w:pPr>
            <w:r w:rsidRPr="00594BA0">
              <w:t>0</w:t>
            </w:r>
          </w:p>
        </w:tc>
        <w:tc>
          <w:tcPr>
            <w:tcW w:w="1194" w:type="dxa"/>
            <w:tcBorders>
              <w:top w:val="single" w:sz="4" w:space="0" w:color="auto"/>
              <w:left w:val="nil"/>
              <w:bottom w:val="single" w:sz="4" w:space="0" w:color="auto"/>
              <w:right w:val="single" w:sz="4" w:space="0" w:color="auto"/>
            </w:tcBorders>
            <w:shd w:val="clear" w:color="auto" w:fill="auto"/>
            <w:noWrap/>
            <w:hideMark/>
          </w:tcPr>
          <w:p w14:paraId="6C9487F2" w14:textId="2B6A825E" w:rsidR="004D43E9" w:rsidRPr="003B4AEE" w:rsidRDefault="004D43E9" w:rsidP="004D43E9">
            <w:pPr>
              <w:pStyle w:val="Tables"/>
              <w:jc w:val="right"/>
            </w:pPr>
            <w:r w:rsidRPr="00594BA0">
              <w:t>0</w:t>
            </w:r>
          </w:p>
        </w:tc>
        <w:tc>
          <w:tcPr>
            <w:tcW w:w="1049" w:type="dxa"/>
            <w:tcBorders>
              <w:top w:val="single" w:sz="4" w:space="0" w:color="auto"/>
              <w:left w:val="nil"/>
              <w:bottom w:val="single" w:sz="4" w:space="0" w:color="auto"/>
              <w:right w:val="single" w:sz="4" w:space="0" w:color="auto"/>
            </w:tcBorders>
            <w:shd w:val="clear" w:color="auto" w:fill="auto"/>
            <w:noWrap/>
            <w:hideMark/>
          </w:tcPr>
          <w:p w14:paraId="19304FF1" w14:textId="143057DA" w:rsidR="004D43E9" w:rsidRPr="003B4AEE" w:rsidRDefault="005D6354" w:rsidP="004D43E9">
            <w:pPr>
              <w:pStyle w:val="Tables"/>
              <w:jc w:val="right"/>
            </w:pPr>
            <w:r w:rsidRPr="005D6354">
              <w:t>2,482,185</w:t>
            </w:r>
          </w:p>
        </w:tc>
        <w:tc>
          <w:tcPr>
            <w:tcW w:w="1335" w:type="dxa"/>
            <w:tcBorders>
              <w:top w:val="single" w:sz="4" w:space="0" w:color="auto"/>
              <w:left w:val="nil"/>
              <w:bottom w:val="single" w:sz="4" w:space="0" w:color="auto"/>
              <w:right w:val="single" w:sz="4" w:space="0" w:color="auto"/>
            </w:tcBorders>
            <w:shd w:val="clear" w:color="auto" w:fill="auto"/>
            <w:noWrap/>
          </w:tcPr>
          <w:p w14:paraId="6D77A24C" w14:textId="2148BECA" w:rsidR="004D43E9" w:rsidRPr="003B4AEE" w:rsidRDefault="004D43E9" w:rsidP="004D43E9">
            <w:pPr>
              <w:pStyle w:val="Tables"/>
              <w:jc w:val="right"/>
            </w:pPr>
            <w:r w:rsidRPr="00637BFA">
              <w:t>9%</w:t>
            </w:r>
          </w:p>
        </w:tc>
      </w:tr>
    </w:tbl>
    <w:p w14:paraId="530881E2" w14:textId="77777777" w:rsidR="00CF3C88" w:rsidRPr="003B4AEE" w:rsidRDefault="00CF3C88" w:rsidP="007D1F75">
      <w:pPr>
        <w:pStyle w:val="Tablenote"/>
        <w:ind w:left="180" w:hanging="180"/>
      </w:pPr>
    </w:p>
    <w:p w14:paraId="36E680E8" w14:textId="0EFE3B88" w:rsidR="00085324" w:rsidRPr="003B4AEE" w:rsidRDefault="00085324" w:rsidP="00A554A5">
      <w:pPr>
        <w:pStyle w:val="TableTitle"/>
      </w:pPr>
      <w:bookmarkStart w:id="219" w:name="_Ref61328246"/>
      <w:bookmarkStart w:id="220" w:name="_Toc61521441"/>
      <w:r w:rsidRPr="003B4AEE">
        <w:t xml:space="preserve">Table </w:t>
      </w:r>
      <w:r>
        <w:fldChar w:fldCharType="begin"/>
      </w:r>
      <w:r>
        <w:instrText>STYLEREF 2 \s</w:instrText>
      </w:r>
      <w:r>
        <w:fldChar w:fldCharType="separate"/>
      </w:r>
      <w:r w:rsidR="00B811B7" w:rsidRPr="003B4AEE">
        <w:rPr>
          <w:noProof/>
        </w:rPr>
        <w:t>15</w:t>
      </w:r>
      <w:r>
        <w:fldChar w:fldCharType="end"/>
      </w:r>
      <w:r w:rsidR="007A3DD9" w:rsidRPr="003B4AEE">
        <w:noBreakHyphen/>
      </w:r>
      <w:r>
        <w:fldChar w:fldCharType="begin"/>
      </w:r>
      <w:r>
        <w:instrText>SEQ Table \* ARABIC \s 2</w:instrText>
      </w:r>
      <w:r>
        <w:fldChar w:fldCharType="separate"/>
      </w:r>
      <w:r w:rsidR="00B811B7" w:rsidRPr="003B4AEE">
        <w:rPr>
          <w:noProof/>
        </w:rPr>
        <w:t>3</w:t>
      </w:r>
      <w:r>
        <w:fldChar w:fldCharType="end"/>
      </w:r>
      <w:bookmarkEnd w:id="219"/>
      <w:r w:rsidR="00D94D14" w:rsidRPr="003B4AEE">
        <w:t xml:space="preserve">. </w:t>
      </w:r>
      <w:r w:rsidRPr="003B4AEE">
        <w:t xml:space="preserve">Summary of </w:t>
      </w:r>
      <w:r w:rsidR="00F707B1" w:rsidRPr="003B4AEE">
        <w:t>A</w:t>
      </w:r>
      <w:r w:rsidRPr="003B4AEE">
        <w:t xml:space="preserve">djustment in the </w:t>
      </w:r>
      <w:r w:rsidR="00F707B1" w:rsidRPr="003B4AEE">
        <w:t>C</w:t>
      </w:r>
      <w:r w:rsidR="0083691D" w:rsidRPr="003B4AEE">
        <w:t>apital/</w:t>
      </w:r>
      <w:r w:rsidR="00F707B1" w:rsidRPr="003B4AEE">
        <w:t>S</w:t>
      </w:r>
      <w:r w:rsidR="0083691D" w:rsidRPr="003B4AEE">
        <w:t xml:space="preserve">tartup and O&amp;M </w:t>
      </w:r>
      <w:r w:rsidR="00F707B1" w:rsidRPr="003B4AEE">
        <w:t>C</w:t>
      </w:r>
      <w:r w:rsidRPr="003B4AEE">
        <w:t xml:space="preserve">ost </w:t>
      </w:r>
      <w:r w:rsidR="00F707B1" w:rsidRPr="003B4AEE">
        <w:t>B</w:t>
      </w:r>
      <w:r w:rsidRPr="003B4AEE">
        <w:t>urden</w:t>
      </w:r>
      <w:bookmarkEnd w:id="220"/>
    </w:p>
    <w:tbl>
      <w:tblPr>
        <w:tblStyle w:val="TableGrid"/>
        <w:tblW w:w="5147" w:type="pct"/>
        <w:tblLayout w:type="fixed"/>
        <w:tblCellMar>
          <w:left w:w="58" w:type="dxa"/>
          <w:right w:w="58" w:type="dxa"/>
        </w:tblCellMar>
        <w:tblLook w:val="04A0" w:firstRow="1" w:lastRow="0" w:firstColumn="1" w:lastColumn="0" w:noHBand="0" w:noVBand="1"/>
      </w:tblPr>
      <w:tblGrid>
        <w:gridCol w:w="1974"/>
        <w:gridCol w:w="1157"/>
        <w:gridCol w:w="1186"/>
        <w:gridCol w:w="810"/>
        <w:gridCol w:w="1261"/>
        <w:gridCol w:w="1170"/>
        <w:gridCol w:w="899"/>
        <w:gridCol w:w="1168"/>
      </w:tblGrid>
      <w:tr w:rsidR="0099291C" w:rsidRPr="003B4AEE" w14:paraId="1C636161" w14:textId="5A7A6766" w:rsidTr="0099291C">
        <w:trPr>
          <w:trHeight w:val="288"/>
          <w:tblHeader/>
        </w:trPr>
        <w:tc>
          <w:tcPr>
            <w:tcW w:w="1025" w:type="pct"/>
            <w:vMerge w:val="restart"/>
            <w:shd w:val="clear" w:color="auto" w:fill="D9D9D9" w:themeFill="background1" w:themeFillShade="D9"/>
            <w:noWrap/>
            <w:vAlign w:val="bottom"/>
            <w:hideMark/>
          </w:tcPr>
          <w:p w14:paraId="43EC1AF9" w14:textId="77777777" w:rsidR="005B268F" w:rsidRPr="003B4AEE" w:rsidRDefault="005B268F" w:rsidP="00946B97">
            <w:pPr>
              <w:pStyle w:val="TableHeading"/>
            </w:pPr>
            <w:r w:rsidRPr="003B4AEE">
              <w:t>Source ICR</w:t>
            </w:r>
          </w:p>
        </w:tc>
        <w:tc>
          <w:tcPr>
            <w:tcW w:w="601" w:type="pct"/>
            <w:vMerge w:val="restart"/>
            <w:shd w:val="clear" w:color="auto" w:fill="D9D9D9" w:themeFill="background1" w:themeFillShade="D9"/>
            <w:vAlign w:val="center"/>
          </w:tcPr>
          <w:p w14:paraId="0D1242E0" w14:textId="473ADA9B" w:rsidR="005B268F" w:rsidRPr="003B4AEE" w:rsidRDefault="005B268F" w:rsidP="00946B97">
            <w:pPr>
              <w:pStyle w:val="TableHeading"/>
            </w:pPr>
            <w:r w:rsidRPr="003B4AEE">
              <w:t xml:space="preserve">Previously </w:t>
            </w:r>
            <w:r w:rsidR="001E1ADB" w:rsidRPr="003B4AEE">
              <w:t>A</w:t>
            </w:r>
            <w:r w:rsidRPr="003B4AEE">
              <w:t>pproved</w:t>
            </w:r>
          </w:p>
        </w:tc>
        <w:tc>
          <w:tcPr>
            <w:tcW w:w="616" w:type="pct"/>
            <w:vMerge w:val="restart"/>
            <w:shd w:val="clear" w:color="auto" w:fill="D9D9D9" w:themeFill="background1" w:themeFillShade="D9"/>
            <w:vAlign w:val="center"/>
            <w:hideMark/>
          </w:tcPr>
          <w:p w14:paraId="53D3A25D" w14:textId="1A1DAC85" w:rsidR="005B268F" w:rsidRPr="003B4AEE" w:rsidRDefault="005B268F" w:rsidP="00946B97">
            <w:pPr>
              <w:pStyle w:val="TableHeading"/>
            </w:pPr>
            <w:r w:rsidRPr="003B4AEE">
              <w:t xml:space="preserve">Total </w:t>
            </w:r>
            <w:r w:rsidR="001E1ADB" w:rsidRPr="003B4AEE">
              <w:t>C</w:t>
            </w:r>
            <w:r w:rsidRPr="003B4AEE">
              <w:t xml:space="preserve">ost </w:t>
            </w:r>
            <w:r w:rsidR="001E1ADB" w:rsidRPr="003B4AEE">
              <w:t>B</w:t>
            </w:r>
            <w:r w:rsidRPr="003B4AEE">
              <w:t xml:space="preserve">urden </w:t>
            </w:r>
            <w:r w:rsidR="001E1ADB" w:rsidRPr="003B4AEE">
              <w:t>R</w:t>
            </w:r>
            <w:r w:rsidRPr="003B4AEE">
              <w:t>equested</w:t>
            </w:r>
          </w:p>
        </w:tc>
        <w:tc>
          <w:tcPr>
            <w:tcW w:w="1684" w:type="pct"/>
            <w:gridSpan w:val="3"/>
            <w:shd w:val="clear" w:color="auto" w:fill="D9D9D9" w:themeFill="background1" w:themeFillShade="D9"/>
            <w:noWrap/>
            <w:vAlign w:val="center"/>
            <w:hideMark/>
          </w:tcPr>
          <w:p w14:paraId="7908B6CD" w14:textId="77777777" w:rsidR="005B268F" w:rsidRPr="003B4AEE" w:rsidRDefault="005B268F" w:rsidP="00946B97">
            <w:pPr>
              <w:pStyle w:val="TableHeading"/>
            </w:pPr>
            <w:r w:rsidRPr="003B4AEE">
              <w:t>Change due to:</w:t>
            </w:r>
          </w:p>
        </w:tc>
        <w:tc>
          <w:tcPr>
            <w:tcW w:w="467" w:type="pct"/>
            <w:vMerge w:val="restart"/>
            <w:shd w:val="clear" w:color="auto" w:fill="D9D9D9" w:themeFill="background1" w:themeFillShade="D9"/>
            <w:vAlign w:val="center"/>
          </w:tcPr>
          <w:p w14:paraId="393409A9" w14:textId="75BDBADB" w:rsidR="005B268F" w:rsidRPr="003B4AEE" w:rsidRDefault="00397D44" w:rsidP="00946B97">
            <w:pPr>
              <w:pStyle w:val="TableHeading"/>
            </w:pPr>
            <w:r w:rsidRPr="003B4AEE">
              <w:t>Total Change (Percent)</w:t>
            </w:r>
          </w:p>
        </w:tc>
        <w:tc>
          <w:tcPr>
            <w:tcW w:w="607" w:type="pct"/>
            <w:vMerge w:val="restart"/>
            <w:shd w:val="clear" w:color="auto" w:fill="D9D9D9" w:themeFill="background1" w:themeFillShade="D9"/>
            <w:vAlign w:val="center"/>
          </w:tcPr>
          <w:p w14:paraId="24DD9025" w14:textId="282A0F45" w:rsidR="005B268F" w:rsidRPr="003B4AEE" w:rsidRDefault="005B268F" w:rsidP="00946B97">
            <w:pPr>
              <w:pStyle w:val="TableHeading"/>
            </w:pPr>
            <w:r w:rsidRPr="003B4AEE">
              <w:t xml:space="preserve">Previous ICR </w:t>
            </w:r>
            <w:r w:rsidR="001E1ADB" w:rsidRPr="003B4AEE">
              <w:t>C</w:t>
            </w:r>
            <w:r w:rsidRPr="003B4AEE">
              <w:t xml:space="preserve">ost </w:t>
            </w:r>
            <w:r w:rsidR="001E1ADB" w:rsidRPr="003B4AEE">
              <w:t>B</w:t>
            </w:r>
            <w:r w:rsidRPr="003B4AEE">
              <w:t>asis</w:t>
            </w:r>
          </w:p>
        </w:tc>
      </w:tr>
      <w:tr w:rsidR="0099291C" w:rsidRPr="003B4AEE" w14:paraId="45A39BD1" w14:textId="62EF97FB" w:rsidTr="0099291C">
        <w:trPr>
          <w:trHeight w:val="576"/>
          <w:tblHeader/>
        </w:trPr>
        <w:tc>
          <w:tcPr>
            <w:tcW w:w="1025" w:type="pct"/>
            <w:vMerge/>
            <w:hideMark/>
          </w:tcPr>
          <w:p w14:paraId="2B9B7692" w14:textId="77777777" w:rsidR="005B268F" w:rsidRPr="003B4AEE" w:rsidRDefault="005B268F" w:rsidP="00871F94">
            <w:pPr>
              <w:pStyle w:val="TableTitle"/>
            </w:pPr>
          </w:p>
        </w:tc>
        <w:tc>
          <w:tcPr>
            <w:tcW w:w="601" w:type="pct"/>
            <w:vMerge/>
            <w:vAlign w:val="center"/>
          </w:tcPr>
          <w:p w14:paraId="54DC2619" w14:textId="77777777" w:rsidR="005B268F" w:rsidRPr="003B4AEE" w:rsidRDefault="005B268F" w:rsidP="00871F94">
            <w:pPr>
              <w:pStyle w:val="TableTitle"/>
            </w:pPr>
          </w:p>
        </w:tc>
        <w:tc>
          <w:tcPr>
            <w:tcW w:w="616" w:type="pct"/>
            <w:vMerge/>
            <w:vAlign w:val="center"/>
            <w:hideMark/>
          </w:tcPr>
          <w:p w14:paraId="06207896" w14:textId="247C02BE" w:rsidR="005B268F" w:rsidRPr="003B4AEE" w:rsidRDefault="005B268F" w:rsidP="00871F94">
            <w:pPr>
              <w:pStyle w:val="TableTitle"/>
            </w:pPr>
          </w:p>
        </w:tc>
        <w:tc>
          <w:tcPr>
            <w:tcW w:w="421" w:type="pct"/>
            <w:shd w:val="clear" w:color="auto" w:fill="D9D9D9" w:themeFill="background1" w:themeFillShade="D9"/>
            <w:vAlign w:val="center"/>
            <w:hideMark/>
          </w:tcPr>
          <w:p w14:paraId="26BED927" w14:textId="0A90ED7C" w:rsidR="005B268F" w:rsidRPr="003B4AEE" w:rsidRDefault="005B268F" w:rsidP="00946B97">
            <w:pPr>
              <w:pStyle w:val="TableHeading"/>
            </w:pPr>
            <w:r w:rsidRPr="003B4AEE">
              <w:t xml:space="preserve">New </w:t>
            </w:r>
            <w:r w:rsidR="001E1ADB" w:rsidRPr="003B4AEE">
              <w:t>S</w:t>
            </w:r>
            <w:r w:rsidRPr="003B4AEE">
              <w:t>tatute</w:t>
            </w:r>
          </w:p>
        </w:tc>
        <w:tc>
          <w:tcPr>
            <w:tcW w:w="655" w:type="pct"/>
            <w:shd w:val="clear" w:color="auto" w:fill="D9D9D9" w:themeFill="background1" w:themeFillShade="D9"/>
            <w:vAlign w:val="center"/>
            <w:hideMark/>
          </w:tcPr>
          <w:p w14:paraId="029D6BAA" w14:textId="72A5C674" w:rsidR="005B268F" w:rsidRPr="003B4AEE" w:rsidRDefault="005B268F" w:rsidP="00946B97">
            <w:pPr>
              <w:pStyle w:val="TableHeading"/>
            </w:pPr>
            <w:r w:rsidRPr="003B4AEE">
              <w:t xml:space="preserve">Agency </w:t>
            </w:r>
            <w:r w:rsidR="001E1ADB" w:rsidRPr="003B4AEE">
              <w:t>A</w:t>
            </w:r>
            <w:r w:rsidRPr="003B4AEE">
              <w:t>ctions (</w:t>
            </w:r>
            <w:r w:rsidR="007D1F75" w:rsidRPr="003B4AEE">
              <w:t>N</w:t>
            </w:r>
            <w:r w:rsidRPr="003B4AEE">
              <w:t xml:space="preserve">ew </w:t>
            </w:r>
            <w:r w:rsidR="007D1F75" w:rsidRPr="003B4AEE">
              <w:t>Rules</w:t>
            </w:r>
            <w:r w:rsidRPr="003B4AEE">
              <w:t xml:space="preserve">, </w:t>
            </w:r>
            <w:r w:rsidR="007D1F75" w:rsidRPr="003B4AEE">
              <w:t>Etc</w:t>
            </w:r>
            <w:r w:rsidRPr="003B4AEE">
              <w:t>.)</w:t>
            </w:r>
          </w:p>
        </w:tc>
        <w:tc>
          <w:tcPr>
            <w:tcW w:w="608" w:type="pct"/>
            <w:shd w:val="clear" w:color="auto" w:fill="D9D9D9" w:themeFill="background1" w:themeFillShade="D9"/>
            <w:vAlign w:val="center"/>
            <w:hideMark/>
          </w:tcPr>
          <w:p w14:paraId="6C37F89A" w14:textId="2F856B72" w:rsidR="005B268F" w:rsidRPr="003B4AEE" w:rsidRDefault="005B268F" w:rsidP="00946B97">
            <w:pPr>
              <w:pStyle w:val="TableHeading"/>
            </w:pPr>
            <w:r w:rsidRPr="003B4AEE">
              <w:t xml:space="preserve">Revised </w:t>
            </w:r>
            <w:r w:rsidR="001E1ADB" w:rsidRPr="003B4AEE">
              <w:t>E</w:t>
            </w:r>
            <w:r w:rsidRPr="003B4AEE">
              <w:t>stimates</w:t>
            </w:r>
          </w:p>
        </w:tc>
        <w:tc>
          <w:tcPr>
            <w:tcW w:w="467" w:type="pct"/>
            <w:vMerge/>
            <w:vAlign w:val="center"/>
          </w:tcPr>
          <w:p w14:paraId="1F922BB6" w14:textId="77777777" w:rsidR="005B268F" w:rsidRPr="003B4AEE" w:rsidRDefault="005B268F" w:rsidP="00871F94">
            <w:pPr>
              <w:pStyle w:val="TableTitle"/>
            </w:pPr>
          </w:p>
        </w:tc>
        <w:tc>
          <w:tcPr>
            <w:tcW w:w="607" w:type="pct"/>
            <w:vMerge/>
            <w:vAlign w:val="center"/>
          </w:tcPr>
          <w:p w14:paraId="1CA66F66" w14:textId="77777777" w:rsidR="005B268F" w:rsidRPr="003B4AEE" w:rsidRDefault="005B268F" w:rsidP="00871F94">
            <w:pPr>
              <w:pStyle w:val="TableTitle"/>
            </w:pPr>
          </w:p>
        </w:tc>
      </w:tr>
      <w:tr w:rsidR="004213AB" w:rsidRPr="003B4AEE" w14:paraId="09E31EEF" w14:textId="77777777" w:rsidTr="0099291C">
        <w:trPr>
          <w:trHeight w:val="264"/>
        </w:trPr>
        <w:tc>
          <w:tcPr>
            <w:tcW w:w="1025" w:type="pct"/>
          </w:tcPr>
          <w:p w14:paraId="65791052" w14:textId="1212CBFA" w:rsidR="004213AB" w:rsidRPr="003B4AEE" w:rsidRDefault="004213AB" w:rsidP="004213AB">
            <w:pPr>
              <w:pStyle w:val="Tables"/>
            </w:pPr>
            <w:r w:rsidRPr="003B4AEE">
              <w:t>Consolidated NPDES 2018 Component (Specific Provisions Affecting Applications and Program Updates)</w:t>
            </w:r>
          </w:p>
        </w:tc>
        <w:tc>
          <w:tcPr>
            <w:tcW w:w="601" w:type="pct"/>
          </w:tcPr>
          <w:p w14:paraId="70741678" w14:textId="70ADEE06" w:rsidR="004213AB" w:rsidRPr="003B4AEE" w:rsidRDefault="004213AB" w:rsidP="004213AB">
            <w:pPr>
              <w:pStyle w:val="Tables"/>
              <w:jc w:val="right"/>
            </w:pPr>
            <w:r w:rsidRPr="003B4AEE">
              <w:t xml:space="preserve">$43,158,437 </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308EDD06" w14:textId="7ECC2285" w:rsidR="004213AB" w:rsidRPr="003B4AEE" w:rsidRDefault="004213AB" w:rsidP="004213AB">
            <w:pPr>
              <w:pStyle w:val="Tables"/>
              <w:jc w:val="right"/>
            </w:pPr>
            <w:r w:rsidRPr="002524CB">
              <w:t>$22,958,862</w:t>
            </w:r>
          </w:p>
        </w:tc>
        <w:tc>
          <w:tcPr>
            <w:tcW w:w="421" w:type="pct"/>
            <w:tcBorders>
              <w:top w:val="single" w:sz="4" w:space="0" w:color="auto"/>
              <w:left w:val="nil"/>
              <w:bottom w:val="single" w:sz="4" w:space="0" w:color="auto"/>
              <w:right w:val="single" w:sz="4" w:space="0" w:color="auto"/>
            </w:tcBorders>
            <w:shd w:val="clear" w:color="auto" w:fill="auto"/>
            <w:noWrap/>
          </w:tcPr>
          <w:p w14:paraId="73C20A84" w14:textId="6B109D0D" w:rsidR="004213AB" w:rsidRPr="003B4AEE" w:rsidRDefault="004213AB" w:rsidP="004213AB">
            <w:pPr>
              <w:pStyle w:val="Tables"/>
              <w:jc w:val="right"/>
            </w:pPr>
            <w:r w:rsidRPr="003B4AEE">
              <w:t>0 </w:t>
            </w:r>
          </w:p>
        </w:tc>
        <w:tc>
          <w:tcPr>
            <w:tcW w:w="655" w:type="pct"/>
            <w:tcBorders>
              <w:top w:val="single" w:sz="4" w:space="0" w:color="auto"/>
              <w:left w:val="nil"/>
              <w:bottom w:val="single" w:sz="4" w:space="0" w:color="auto"/>
              <w:right w:val="single" w:sz="4" w:space="0" w:color="auto"/>
            </w:tcBorders>
            <w:shd w:val="clear" w:color="auto" w:fill="auto"/>
            <w:noWrap/>
          </w:tcPr>
          <w:p w14:paraId="761A53E6" w14:textId="1CE09778" w:rsidR="004213AB" w:rsidRPr="003B4AEE" w:rsidRDefault="004213AB" w:rsidP="004213AB">
            <w:pPr>
              <w:pStyle w:val="Tables"/>
              <w:jc w:val="right"/>
            </w:pPr>
            <w:r w:rsidRPr="003B4AEE">
              <w:t>0 </w:t>
            </w:r>
          </w:p>
        </w:tc>
        <w:tc>
          <w:tcPr>
            <w:tcW w:w="608" w:type="pct"/>
            <w:tcBorders>
              <w:top w:val="single" w:sz="4" w:space="0" w:color="auto"/>
              <w:left w:val="nil"/>
              <w:bottom w:val="single" w:sz="4" w:space="0" w:color="auto"/>
              <w:right w:val="single" w:sz="4" w:space="0" w:color="auto"/>
            </w:tcBorders>
            <w:shd w:val="clear" w:color="auto" w:fill="auto"/>
            <w:noWrap/>
          </w:tcPr>
          <w:p w14:paraId="6B1198C3" w14:textId="78555208" w:rsidR="004213AB" w:rsidRPr="003B4AEE" w:rsidRDefault="004213AB" w:rsidP="004213AB">
            <w:pPr>
              <w:pStyle w:val="Tables"/>
              <w:jc w:val="right"/>
            </w:pPr>
            <w:r w:rsidRPr="00583C86">
              <w:t>-20,199,575</w:t>
            </w:r>
          </w:p>
        </w:tc>
        <w:tc>
          <w:tcPr>
            <w:tcW w:w="467" w:type="pct"/>
            <w:tcBorders>
              <w:top w:val="single" w:sz="4" w:space="0" w:color="auto"/>
              <w:left w:val="nil"/>
              <w:bottom w:val="single" w:sz="4" w:space="0" w:color="auto"/>
              <w:right w:val="single" w:sz="4" w:space="0" w:color="auto"/>
            </w:tcBorders>
            <w:shd w:val="clear" w:color="auto" w:fill="auto"/>
            <w:noWrap/>
          </w:tcPr>
          <w:p w14:paraId="1D1E5492" w14:textId="7C38F7B6" w:rsidR="004213AB" w:rsidRPr="003B4AEE" w:rsidDel="00D35427" w:rsidRDefault="004213AB" w:rsidP="004213AB">
            <w:pPr>
              <w:pStyle w:val="Tables"/>
              <w:jc w:val="right"/>
            </w:pPr>
            <w:r w:rsidRPr="00583C86">
              <w:t>-47%</w:t>
            </w:r>
          </w:p>
        </w:tc>
        <w:tc>
          <w:tcPr>
            <w:tcW w:w="607" w:type="pct"/>
            <w:tcBorders>
              <w:top w:val="single" w:sz="4" w:space="0" w:color="auto"/>
              <w:left w:val="nil"/>
              <w:bottom w:val="single" w:sz="4" w:space="0" w:color="auto"/>
              <w:right w:val="single" w:sz="4" w:space="0" w:color="auto"/>
            </w:tcBorders>
            <w:shd w:val="clear" w:color="auto" w:fill="auto"/>
          </w:tcPr>
          <w:p w14:paraId="2F9F35E3" w14:textId="1ACE5964" w:rsidR="004213AB" w:rsidRPr="003B4AEE" w:rsidRDefault="004213AB" w:rsidP="004213AB">
            <w:pPr>
              <w:pStyle w:val="Tables"/>
            </w:pPr>
            <w:r w:rsidRPr="003B4AEE">
              <w:t>June 2018</w:t>
            </w:r>
          </w:p>
        </w:tc>
      </w:tr>
      <w:tr w:rsidR="0099291C" w:rsidRPr="003B4AEE" w14:paraId="4076EEEE" w14:textId="77777777" w:rsidTr="0099291C">
        <w:trPr>
          <w:trHeight w:val="264"/>
        </w:trPr>
        <w:tc>
          <w:tcPr>
            <w:tcW w:w="1025" w:type="pct"/>
          </w:tcPr>
          <w:p w14:paraId="3D812C17" w14:textId="7694FE9A" w:rsidR="00284A43" w:rsidRPr="003B4AEE" w:rsidRDefault="00BA307A" w:rsidP="00284A43">
            <w:pPr>
              <w:pStyle w:val="Tables"/>
            </w:pPr>
            <w:r w:rsidRPr="003B4AEE">
              <w:t>CSOs in the Great Lake Basin</w:t>
            </w:r>
          </w:p>
        </w:tc>
        <w:tc>
          <w:tcPr>
            <w:tcW w:w="601" w:type="pct"/>
          </w:tcPr>
          <w:p w14:paraId="1F85371D" w14:textId="4CF85A26" w:rsidR="00284A43" w:rsidRPr="003B4AEE" w:rsidRDefault="00BA307A" w:rsidP="00284A43">
            <w:pPr>
              <w:pStyle w:val="Tables"/>
              <w:jc w:val="right"/>
            </w:pPr>
            <w:r w:rsidRPr="003B4AEE">
              <w:t xml:space="preserve"> $5,412 </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54A01552" w14:textId="3E32ACB0" w:rsidR="00284A43" w:rsidRPr="003B4AEE" w:rsidRDefault="00BA307A" w:rsidP="00284A43">
            <w:pPr>
              <w:pStyle w:val="Tables"/>
              <w:jc w:val="right"/>
            </w:pPr>
            <w:r w:rsidRPr="003B4AEE">
              <w:t xml:space="preserve"> $5,412 </w:t>
            </w:r>
          </w:p>
        </w:tc>
        <w:tc>
          <w:tcPr>
            <w:tcW w:w="421" w:type="pct"/>
            <w:tcBorders>
              <w:top w:val="single" w:sz="4" w:space="0" w:color="auto"/>
              <w:left w:val="nil"/>
              <w:bottom w:val="single" w:sz="4" w:space="0" w:color="auto"/>
              <w:right w:val="single" w:sz="4" w:space="0" w:color="auto"/>
            </w:tcBorders>
            <w:shd w:val="clear" w:color="auto" w:fill="auto"/>
            <w:noWrap/>
          </w:tcPr>
          <w:p w14:paraId="1C5ED710" w14:textId="71739975" w:rsidR="00284A43" w:rsidRPr="003B4AEE" w:rsidRDefault="00BA307A" w:rsidP="00284A43">
            <w:pPr>
              <w:pStyle w:val="Tables"/>
              <w:jc w:val="right"/>
            </w:pPr>
            <w:r w:rsidRPr="003B4AEE">
              <w:t>0 </w:t>
            </w:r>
          </w:p>
        </w:tc>
        <w:tc>
          <w:tcPr>
            <w:tcW w:w="655" w:type="pct"/>
            <w:tcBorders>
              <w:top w:val="single" w:sz="4" w:space="0" w:color="auto"/>
              <w:left w:val="nil"/>
              <w:bottom w:val="single" w:sz="4" w:space="0" w:color="auto"/>
              <w:right w:val="single" w:sz="4" w:space="0" w:color="auto"/>
            </w:tcBorders>
            <w:shd w:val="clear" w:color="auto" w:fill="auto"/>
            <w:noWrap/>
          </w:tcPr>
          <w:p w14:paraId="7D6D4658" w14:textId="0F2A85E2" w:rsidR="00284A43" w:rsidRPr="003B4AEE" w:rsidRDefault="00BA307A" w:rsidP="00284A43">
            <w:pPr>
              <w:pStyle w:val="Tables"/>
              <w:jc w:val="right"/>
            </w:pPr>
            <w:r w:rsidRPr="003B4AEE">
              <w:t>0 </w:t>
            </w:r>
          </w:p>
        </w:tc>
        <w:tc>
          <w:tcPr>
            <w:tcW w:w="608" w:type="pct"/>
            <w:tcBorders>
              <w:top w:val="single" w:sz="4" w:space="0" w:color="auto"/>
              <w:left w:val="nil"/>
              <w:bottom w:val="single" w:sz="4" w:space="0" w:color="auto"/>
              <w:right w:val="single" w:sz="4" w:space="0" w:color="auto"/>
            </w:tcBorders>
            <w:shd w:val="clear" w:color="auto" w:fill="auto"/>
            <w:noWrap/>
          </w:tcPr>
          <w:p w14:paraId="64308D63" w14:textId="6FBEF00D" w:rsidR="00284A43" w:rsidRPr="003B4AEE" w:rsidRDefault="00BA307A" w:rsidP="00284A43">
            <w:pPr>
              <w:pStyle w:val="Tables"/>
              <w:jc w:val="right"/>
            </w:pPr>
            <w:r w:rsidRPr="003B4AEE">
              <w:t>0</w:t>
            </w:r>
          </w:p>
        </w:tc>
        <w:tc>
          <w:tcPr>
            <w:tcW w:w="467" w:type="pct"/>
            <w:tcBorders>
              <w:top w:val="single" w:sz="4" w:space="0" w:color="auto"/>
              <w:left w:val="nil"/>
              <w:bottom w:val="single" w:sz="4" w:space="0" w:color="auto"/>
              <w:right w:val="single" w:sz="4" w:space="0" w:color="auto"/>
            </w:tcBorders>
            <w:shd w:val="clear" w:color="auto" w:fill="auto"/>
            <w:noWrap/>
          </w:tcPr>
          <w:p w14:paraId="35ACECB3" w14:textId="69714931" w:rsidR="00284A43" w:rsidRPr="003B4AEE" w:rsidDel="00D35427" w:rsidRDefault="00BA307A" w:rsidP="00284A43">
            <w:pPr>
              <w:pStyle w:val="Tables"/>
              <w:jc w:val="right"/>
            </w:pPr>
            <w:r w:rsidRPr="003B4AEE">
              <w:t>0%</w:t>
            </w:r>
          </w:p>
        </w:tc>
        <w:tc>
          <w:tcPr>
            <w:tcW w:w="607" w:type="pct"/>
            <w:tcBorders>
              <w:top w:val="single" w:sz="4" w:space="0" w:color="auto"/>
              <w:left w:val="nil"/>
              <w:bottom w:val="single" w:sz="4" w:space="0" w:color="auto"/>
              <w:right w:val="single" w:sz="4" w:space="0" w:color="auto"/>
            </w:tcBorders>
            <w:shd w:val="clear" w:color="auto" w:fill="auto"/>
          </w:tcPr>
          <w:p w14:paraId="460171C8" w14:textId="610D1862" w:rsidR="00284A43" w:rsidRPr="003B4AEE" w:rsidRDefault="00BA307A" w:rsidP="00284A43">
            <w:pPr>
              <w:pStyle w:val="Tables"/>
            </w:pPr>
            <w:r w:rsidRPr="003B4AEE">
              <w:t>March 2020</w:t>
            </w:r>
          </w:p>
        </w:tc>
      </w:tr>
      <w:tr w:rsidR="0099291C" w:rsidRPr="003B4AEE" w14:paraId="4A4334E3" w14:textId="77777777" w:rsidTr="0099291C">
        <w:trPr>
          <w:trHeight w:val="264"/>
        </w:trPr>
        <w:tc>
          <w:tcPr>
            <w:tcW w:w="1025" w:type="pct"/>
          </w:tcPr>
          <w:p w14:paraId="43F09563" w14:textId="507CFD55" w:rsidR="00284A43" w:rsidRPr="003B4AEE" w:rsidRDefault="00BA307A" w:rsidP="00284A43">
            <w:pPr>
              <w:pStyle w:val="Tables"/>
            </w:pPr>
            <w:r w:rsidRPr="003B4AEE">
              <w:t>Dental Amalgam ELG</w:t>
            </w:r>
          </w:p>
        </w:tc>
        <w:tc>
          <w:tcPr>
            <w:tcW w:w="601" w:type="pct"/>
          </w:tcPr>
          <w:p w14:paraId="7F9FD200" w14:textId="17E1210F" w:rsidR="00284A43" w:rsidRPr="003B4AEE" w:rsidRDefault="0099291C" w:rsidP="00284A43">
            <w:pPr>
              <w:pStyle w:val="Tables"/>
              <w:jc w:val="right"/>
            </w:pPr>
            <w:r>
              <w:t>$</w:t>
            </w:r>
            <w:r w:rsidR="00E06F67" w:rsidRPr="003B4AEE">
              <w:t>9</w:t>
            </w:r>
            <w:r>
              <w:t>,</w:t>
            </w:r>
            <w:r w:rsidR="00E06F67" w:rsidRPr="003B4AEE">
              <w:t>489</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31483E71" w14:textId="3D8D130B" w:rsidR="00284A43" w:rsidRPr="003B4AEE" w:rsidRDefault="0099291C" w:rsidP="00284A43">
            <w:pPr>
              <w:pStyle w:val="Tables"/>
              <w:jc w:val="right"/>
            </w:pPr>
            <w:r>
              <w:t>$</w:t>
            </w:r>
            <w:r w:rsidR="00E06F67" w:rsidRPr="003B4AEE">
              <w:t>9</w:t>
            </w:r>
            <w:r>
              <w:t>,</w:t>
            </w:r>
            <w:r w:rsidR="00E06F67" w:rsidRPr="003B4AEE">
              <w:t>489</w:t>
            </w:r>
          </w:p>
        </w:tc>
        <w:tc>
          <w:tcPr>
            <w:tcW w:w="421" w:type="pct"/>
            <w:tcBorders>
              <w:top w:val="single" w:sz="4" w:space="0" w:color="auto"/>
              <w:left w:val="nil"/>
              <w:bottom w:val="single" w:sz="4" w:space="0" w:color="auto"/>
              <w:right w:val="single" w:sz="4" w:space="0" w:color="auto"/>
            </w:tcBorders>
            <w:shd w:val="clear" w:color="auto" w:fill="auto"/>
            <w:noWrap/>
          </w:tcPr>
          <w:p w14:paraId="3B903304" w14:textId="26BE6C8B" w:rsidR="00284A43" w:rsidRPr="003B4AEE" w:rsidRDefault="00BA307A" w:rsidP="00284A43">
            <w:pPr>
              <w:pStyle w:val="Tables"/>
              <w:jc w:val="right"/>
            </w:pPr>
            <w:r w:rsidRPr="003B4AEE">
              <w:t>0 </w:t>
            </w:r>
          </w:p>
        </w:tc>
        <w:tc>
          <w:tcPr>
            <w:tcW w:w="655" w:type="pct"/>
            <w:tcBorders>
              <w:top w:val="single" w:sz="4" w:space="0" w:color="auto"/>
              <w:left w:val="nil"/>
              <w:bottom w:val="single" w:sz="4" w:space="0" w:color="auto"/>
              <w:right w:val="single" w:sz="4" w:space="0" w:color="auto"/>
            </w:tcBorders>
            <w:shd w:val="clear" w:color="auto" w:fill="auto"/>
            <w:noWrap/>
          </w:tcPr>
          <w:p w14:paraId="2602029C" w14:textId="0843DB21" w:rsidR="00284A43" w:rsidRPr="003B4AEE" w:rsidRDefault="00BA307A" w:rsidP="00284A43">
            <w:pPr>
              <w:pStyle w:val="Tables"/>
              <w:jc w:val="right"/>
            </w:pPr>
            <w:r w:rsidRPr="003B4AEE">
              <w:t>0 </w:t>
            </w:r>
          </w:p>
        </w:tc>
        <w:tc>
          <w:tcPr>
            <w:tcW w:w="608" w:type="pct"/>
            <w:tcBorders>
              <w:top w:val="single" w:sz="4" w:space="0" w:color="auto"/>
              <w:left w:val="nil"/>
              <w:bottom w:val="single" w:sz="4" w:space="0" w:color="auto"/>
              <w:right w:val="single" w:sz="4" w:space="0" w:color="auto"/>
            </w:tcBorders>
            <w:shd w:val="clear" w:color="auto" w:fill="auto"/>
            <w:noWrap/>
          </w:tcPr>
          <w:p w14:paraId="362AF290" w14:textId="0A630640" w:rsidR="00284A43" w:rsidRPr="003B4AEE" w:rsidRDefault="00BA307A" w:rsidP="00284A43">
            <w:pPr>
              <w:pStyle w:val="Tables"/>
              <w:jc w:val="right"/>
            </w:pPr>
            <w:r w:rsidRPr="003B4AEE">
              <w:t>0</w:t>
            </w:r>
          </w:p>
        </w:tc>
        <w:tc>
          <w:tcPr>
            <w:tcW w:w="467" w:type="pct"/>
            <w:tcBorders>
              <w:top w:val="single" w:sz="4" w:space="0" w:color="auto"/>
              <w:left w:val="nil"/>
              <w:bottom w:val="single" w:sz="4" w:space="0" w:color="auto"/>
              <w:right w:val="single" w:sz="4" w:space="0" w:color="auto"/>
            </w:tcBorders>
            <w:shd w:val="clear" w:color="auto" w:fill="auto"/>
            <w:noWrap/>
          </w:tcPr>
          <w:p w14:paraId="28A85AA0" w14:textId="7F1D8138" w:rsidR="00284A43" w:rsidRPr="003B4AEE" w:rsidDel="00D35427" w:rsidRDefault="00BA307A" w:rsidP="00284A43">
            <w:pPr>
              <w:pStyle w:val="Tables"/>
              <w:jc w:val="right"/>
            </w:pPr>
            <w:r w:rsidRPr="003B4AEE">
              <w:t>0%</w:t>
            </w:r>
          </w:p>
        </w:tc>
        <w:tc>
          <w:tcPr>
            <w:tcW w:w="607" w:type="pct"/>
            <w:tcBorders>
              <w:top w:val="single" w:sz="4" w:space="0" w:color="auto"/>
              <w:left w:val="nil"/>
              <w:bottom w:val="single" w:sz="4" w:space="0" w:color="auto"/>
              <w:right w:val="single" w:sz="4" w:space="0" w:color="auto"/>
            </w:tcBorders>
            <w:shd w:val="clear" w:color="auto" w:fill="auto"/>
          </w:tcPr>
          <w:p w14:paraId="5DA97D92" w14:textId="7F77BB69" w:rsidR="00284A43" w:rsidRPr="003B4AEE" w:rsidRDefault="00BA307A" w:rsidP="00284A43">
            <w:pPr>
              <w:pStyle w:val="Tables"/>
            </w:pPr>
            <w:r w:rsidRPr="003B4AEE">
              <w:t>May 2018</w:t>
            </w:r>
          </w:p>
        </w:tc>
      </w:tr>
      <w:tr w:rsidR="0099291C" w:rsidRPr="003B4AEE" w14:paraId="55BEF58C" w14:textId="380C4F28" w:rsidTr="0099291C">
        <w:trPr>
          <w:trHeight w:val="264"/>
        </w:trPr>
        <w:tc>
          <w:tcPr>
            <w:tcW w:w="1025" w:type="pct"/>
            <w:hideMark/>
          </w:tcPr>
          <w:p w14:paraId="309D6B55" w14:textId="16A33C7D" w:rsidR="00284A43" w:rsidRPr="003B4AEE" w:rsidRDefault="00BA307A" w:rsidP="00284A43">
            <w:pPr>
              <w:pStyle w:val="Tables"/>
            </w:pPr>
            <w:r w:rsidRPr="003B4AEE">
              <w:t xml:space="preserve"> 2020 MSGP</w:t>
            </w:r>
          </w:p>
        </w:tc>
        <w:tc>
          <w:tcPr>
            <w:tcW w:w="601" w:type="pct"/>
          </w:tcPr>
          <w:p w14:paraId="6D8EF0C9" w14:textId="16D86ACF" w:rsidR="00284A43" w:rsidRPr="003B4AEE" w:rsidRDefault="00BA307A" w:rsidP="00284A43">
            <w:pPr>
              <w:pStyle w:val="Tables"/>
              <w:jc w:val="right"/>
            </w:pPr>
            <w:r w:rsidRPr="003B4AEE">
              <w:t>0</w:t>
            </w:r>
            <w:r w:rsidR="008251A7" w:rsidRPr="003B4AEE">
              <w:t> </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222B5D85" w14:textId="47DE3E78" w:rsidR="00284A43" w:rsidRPr="003B4AEE" w:rsidRDefault="00BA307A" w:rsidP="001F6B4F">
            <w:pPr>
              <w:pStyle w:val="Tables"/>
              <w:jc w:val="right"/>
              <w:rPr>
                <w:sz w:val="18"/>
                <w:szCs w:val="18"/>
              </w:rPr>
            </w:pPr>
            <w:r w:rsidRPr="003B4AEE">
              <w:t>0</w:t>
            </w:r>
            <w:r w:rsidR="008251A7" w:rsidRPr="003B4AEE">
              <w:t> </w:t>
            </w:r>
          </w:p>
        </w:tc>
        <w:tc>
          <w:tcPr>
            <w:tcW w:w="421" w:type="pct"/>
            <w:tcBorders>
              <w:top w:val="single" w:sz="4" w:space="0" w:color="auto"/>
              <w:left w:val="nil"/>
              <w:bottom w:val="single" w:sz="4" w:space="0" w:color="auto"/>
              <w:right w:val="single" w:sz="4" w:space="0" w:color="auto"/>
            </w:tcBorders>
            <w:shd w:val="clear" w:color="auto" w:fill="auto"/>
            <w:noWrap/>
          </w:tcPr>
          <w:p w14:paraId="74AF6F49" w14:textId="55990C03" w:rsidR="00284A43" w:rsidRPr="003B4AEE" w:rsidRDefault="00BA307A" w:rsidP="00284A43">
            <w:pPr>
              <w:pStyle w:val="Tables"/>
              <w:jc w:val="right"/>
              <w:rPr>
                <w:sz w:val="18"/>
                <w:szCs w:val="18"/>
              </w:rPr>
            </w:pPr>
            <w:r w:rsidRPr="003B4AEE">
              <w:t>0 </w:t>
            </w:r>
          </w:p>
        </w:tc>
        <w:tc>
          <w:tcPr>
            <w:tcW w:w="655" w:type="pct"/>
            <w:tcBorders>
              <w:top w:val="single" w:sz="4" w:space="0" w:color="auto"/>
              <w:left w:val="nil"/>
              <w:bottom w:val="single" w:sz="4" w:space="0" w:color="auto"/>
              <w:right w:val="single" w:sz="4" w:space="0" w:color="auto"/>
            </w:tcBorders>
            <w:shd w:val="clear" w:color="auto" w:fill="auto"/>
            <w:noWrap/>
          </w:tcPr>
          <w:p w14:paraId="094D37A9" w14:textId="0E14727E" w:rsidR="00284A43" w:rsidRPr="003B4AEE" w:rsidRDefault="00BA307A" w:rsidP="00284A43">
            <w:pPr>
              <w:pStyle w:val="Tables"/>
              <w:jc w:val="right"/>
              <w:rPr>
                <w:sz w:val="18"/>
                <w:szCs w:val="18"/>
              </w:rPr>
            </w:pPr>
            <w:r w:rsidRPr="003B4AEE">
              <w:t>0 </w:t>
            </w:r>
          </w:p>
        </w:tc>
        <w:tc>
          <w:tcPr>
            <w:tcW w:w="608" w:type="pct"/>
            <w:tcBorders>
              <w:top w:val="single" w:sz="4" w:space="0" w:color="auto"/>
              <w:left w:val="nil"/>
              <w:bottom w:val="single" w:sz="4" w:space="0" w:color="auto"/>
              <w:right w:val="single" w:sz="4" w:space="0" w:color="auto"/>
            </w:tcBorders>
            <w:shd w:val="clear" w:color="auto" w:fill="auto"/>
            <w:noWrap/>
          </w:tcPr>
          <w:p w14:paraId="725D16D9" w14:textId="5966919C" w:rsidR="00284A43" w:rsidRPr="003B4AEE" w:rsidRDefault="00BA307A" w:rsidP="00284A43">
            <w:pPr>
              <w:pStyle w:val="Tables"/>
              <w:jc w:val="right"/>
              <w:rPr>
                <w:sz w:val="18"/>
                <w:szCs w:val="18"/>
              </w:rPr>
            </w:pPr>
            <w:r w:rsidRPr="003B4AEE">
              <w:t>0</w:t>
            </w:r>
          </w:p>
        </w:tc>
        <w:tc>
          <w:tcPr>
            <w:tcW w:w="467" w:type="pct"/>
            <w:tcBorders>
              <w:top w:val="single" w:sz="4" w:space="0" w:color="auto"/>
              <w:left w:val="nil"/>
              <w:bottom w:val="single" w:sz="4" w:space="0" w:color="auto"/>
              <w:right w:val="single" w:sz="4" w:space="0" w:color="auto"/>
            </w:tcBorders>
            <w:shd w:val="clear" w:color="auto" w:fill="auto"/>
            <w:noWrap/>
          </w:tcPr>
          <w:p w14:paraId="28A17980" w14:textId="75966EED" w:rsidR="00284A43" w:rsidRPr="003B4AEE" w:rsidRDefault="00BA307A" w:rsidP="00284A43">
            <w:pPr>
              <w:pStyle w:val="Tables"/>
              <w:jc w:val="right"/>
              <w:rPr>
                <w:sz w:val="18"/>
                <w:szCs w:val="18"/>
              </w:rPr>
            </w:pPr>
            <w:r w:rsidRPr="003B4AEE">
              <w:t>0%</w:t>
            </w:r>
          </w:p>
        </w:tc>
        <w:tc>
          <w:tcPr>
            <w:tcW w:w="607" w:type="pct"/>
            <w:tcBorders>
              <w:top w:val="single" w:sz="4" w:space="0" w:color="auto"/>
              <w:left w:val="nil"/>
              <w:bottom w:val="single" w:sz="4" w:space="0" w:color="auto"/>
              <w:right w:val="single" w:sz="4" w:space="0" w:color="auto"/>
            </w:tcBorders>
            <w:shd w:val="clear" w:color="auto" w:fill="auto"/>
          </w:tcPr>
          <w:p w14:paraId="4B4586B9" w14:textId="54B9CE92" w:rsidR="00284A43" w:rsidRPr="003B4AEE" w:rsidRDefault="00BA307A" w:rsidP="00284A43">
            <w:pPr>
              <w:pStyle w:val="Tables"/>
            </w:pPr>
            <w:r w:rsidRPr="003B4AEE">
              <w:t>November 2020</w:t>
            </w:r>
          </w:p>
        </w:tc>
      </w:tr>
      <w:tr w:rsidR="0099291C" w:rsidRPr="003B4AEE" w14:paraId="1C1C92A2" w14:textId="77777777" w:rsidTr="0099291C">
        <w:trPr>
          <w:trHeight w:val="264"/>
        </w:trPr>
        <w:tc>
          <w:tcPr>
            <w:tcW w:w="1025" w:type="pct"/>
          </w:tcPr>
          <w:p w14:paraId="5EFEA99A" w14:textId="24733BDC" w:rsidR="0099291C" w:rsidRPr="003B4AEE" w:rsidRDefault="0099291C" w:rsidP="0099291C">
            <w:pPr>
              <w:pStyle w:val="Tables"/>
            </w:pPr>
            <w:proofErr w:type="spellStart"/>
            <w:r w:rsidRPr="00506CBC">
              <w:t>eRule</w:t>
            </w:r>
            <w:proofErr w:type="spellEnd"/>
            <w:r w:rsidRPr="00506CBC">
              <w:t xml:space="preserve"> Phase 2 Extension</w:t>
            </w:r>
          </w:p>
        </w:tc>
        <w:tc>
          <w:tcPr>
            <w:tcW w:w="601" w:type="pct"/>
          </w:tcPr>
          <w:p w14:paraId="6ABD6E22" w14:textId="73CC21F6" w:rsidR="0099291C" w:rsidRPr="003B4AEE" w:rsidRDefault="0099291C" w:rsidP="0099291C">
            <w:pPr>
              <w:pStyle w:val="Tables"/>
              <w:jc w:val="right"/>
            </w:pPr>
            <w:r w:rsidRPr="00506CBC">
              <w:t xml:space="preserve"> $25,418 </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0036EB7E" w14:textId="793FDFA9" w:rsidR="0099291C" w:rsidRPr="003B4AEE" w:rsidRDefault="0099291C" w:rsidP="0099291C">
            <w:pPr>
              <w:pStyle w:val="Tables"/>
              <w:jc w:val="right"/>
            </w:pPr>
            <w:r w:rsidRPr="00506CBC">
              <w:t xml:space="preserve"> $25,418 </w:t>
            </w:r>
          </w:p>
        </w:tc>
        <w:tc>
          <w:tcPr>
            <w:tcW w:w="421" w:type="pct"/>
            <w:tcBorders>
              <w:top w:val="single" w:sz="4" w:space="0" w:color="auto"/>
              <w:left w:val="nil"/>
              <w:bottom w:val="single" w:sz="4" w:space="0" w:color="auto"/>
              <w:right w:val="single" w:sz="4" w:space="0" w:color="auto"/>
            </w:tcBorders>
            <w:shd w:val="clear" w:color="auto" w:fill="auto"/>
            <w:noWrap/>
          </w:tcPr>
          <w:p w14:paraId="55F4EBC8" w14:textId="22745BFE" w:rsidR="0099291C" w:rsidRPr="003B4AEE" w:rsidRDefault="0099291C" w:rsidP="0099291C">
            <w:pPr>
              <w:pStyle w:val="Tables"/>
              <w:jc w:val="right"/>
            </w:pPr>
            <w:r w:rsidRPr="00506CBC">
              <w:t>0</w:t>
            </w:r>
          </w:p>
        </w:tc>
        <w:tc>
          <w:tcPr>
            <w:tcW w:w="655" w:type="pct"/>
            <w:tcBorders>
              <w:top w:val="single" w:sz="4" w:space="0" w:color="auto"/>
              <w:left w:val="nil"/>
              <w:bottom w:val="single" w:sz="4" w:space="0" w:color="auto"/>
              <w:right w:val="single" w:sz="4" w:space="0" w:color="auto"/>
            </w:tcBorders>
            <w:shd w:val="clear" w:color="auto" w:fill="auto"/>
            <w:noWrap/>
          </w:tcPr>
          <w:p w14:paraId="30063B8A" w14:textId="64F9F404" w:rsidR="0099291C" w:rsidRPr="003B4AEE" w:rsidRDefault="0099291C" w:rsidP="0099291C">
            <w:pPr>
              <w:pStyle w:val="Tables"/>
              <w:jc w:val="right"/>
            </w:pPr>
            <w:r w:rsidRPr="00506CBC">
              <w:t>0</w:t>
            </w:r>
          </w:p>
        </w:tc>
        <w:tc>
          <w:tcPr>
            <w:tcW w:w="608" w:type="pct"/>
            <w:tcBorders>
              <w:top w:val="single" w:sz="4" w:space="0" w:color="auto"/>
              <w:left w:val="nil"/>
              <w:bottom w:val="single" w:sz="4" w:space="0" w:color="auto"/>
              <w:right w:val="single" w:sz="4" w:space="0" w:color="auto"/>
            </w:tcBorders>
            <w:shd w:val="clear" w:color="auto" w:fill="auto"/>
            <w:noWrap/>
          </w:tcPr>
          <w:p w14:paraId="7A26E3DD" w14:textId="64132800" w:rsidR="0099291C" w:rsidRPr="003B4AEE" w:rsidRDefault="0099291C" w:rsidP="0099291C">
            <w:pPr>
              <w:pStyle w:val="Tables"/>
              <w:jc w:val="right"/>
            </w:pPr>
            <w:r w:rsidRPr="00506CBC">
              <w:t>0</w:t>
            </w:r>
          </w:p>
        </w:tc>
        <w:tc>
          <w:tcPr>
            <w:tcW w:w="467" w:type="pct"/>
            <w:tcBorders>
              <w:top w:val="single" w:sz="4" w:space="0" w:color="auto"/>
              <w:left w:val="nil"/>
              <w:bottom w:val="single" w:sz="4" w:space="0" w:color="auto"/>
              <w:right w:val="single" w:sz="4" w:space="0" w:color="auto"/>
            </w:tcBorders>
            <w:shd w:val="clear" w:color="auto" w:fill="auto"/>
            <w:noWrap/>
          </w:tcPr>
          <w:p w14:paraId="4100811B" w14:textId="4DF26D14" w:rsidR="0099291C" w:rsidRPr="003B4AEE" w:rsidRDefault="0099291C" w:rsidP="0099291C">
            <w:pPr>
              <w:pStyle w:val="Tables"/>
              <w:jc w:val="right"/>
            </w:pPr>
            <w:r w:rsidRPr="00506CBC">
              <w:t>0%</w:t>
            </w:r>
          </w:p>
        </w:tc>
        <w:tc>
          <w:tcPr>
            <w:tcW w:w="607" w:type="pct"/>
            <w:tcBorders>
              <w:top w:val="single" w:sz="4" w:space="0" w:color="auto"/>
              <w:left w:val="nil"/>
              <w:bottom w:val="single" w:sz="4" w:space="0" w:color="auto"/>
              <w:right w:val="single" w:sz="4" w:space="0" w:color="auto"/>
            </w:tcBorders>
            <w:shd w:val="clear" w:color="auto" w:fill="auto"/>
          </w:tcPr>
          <w:p w14:paraId="4B65D155" w14:textId="38536D87" w:rsidR="0099291C" w:rsidRPr="003B4AEE" w:rsidRDefault="0099291C" w:rsidP="0099291C">
            <w:pPr>
              <w:pStyle w:val="Tables"/>
            </w:pPr>
            <w:r>
              <w:t>June 2019</w:t>
            </w:r>
          </w:p>
        </w:tc>
      </w:tr>
      <w:tr w:rsidR="004213AB" w:rsidRPr="003B4AEE" w14:paraId="4217A989" w14:textId="5556B122" w:rsidTr="0099291C">
        <w:trPr>
          <w:trHeight w:val="264"/>
        </w:trPr>
        <w:tc>
          <w:tcPr>
            <w:tcW w:w="1025" w:type="pct"/>
            <w:hideMark/>
          </w:tcPr>
          <w:p w14:paraId="536D9CD7" w14:textId="0F54453B" w:rsidR="004213AB" w:rsidRPr="003B4AEE" w:rsidRDefault="004213AB" w:rsidP="004213AB">
            <w:pPr>
              <w:pStyle w:val="Tables"/>
            </w:pPr>
            <w:r w:rsidRPr="003B4AEE">
              <w:t>Total</w:t>
            </w:r>
          </w:p>
        </w:tc>
        <w:tc>
          <w:tcPr>
            <w:tcW w:w="601" w:type="pct"/>
          </w:tcPr>
          <w:p w14:paraId="0B16812B" w14:textId="3083F63B" w:rsidR="004213AB" w:rsidRPr="003B4AEE" w:rsidRDefault="004213AB" w:rsidP="004213AB">
            <w:pPr>
              <w:pStyle w:val="Tables"/>
              <w:jc w:val="right"/>
            </w:pPr>
            <w:r w:rsidRPr="0099291C">
              <w:t>$43,198,756</w:t>
            </w:r>
          </w:p>
        </w:tc>
        <w:tc>
          <w:tcPr>
            <w:tcW w:w="616" w:type="pct"/>
            <w:tcBorders>
              <w:top w:val="nil"/>
              <w:left w:val="single" w:sz="4" w:space="0" w:color="auto"/>
              <w:bottom w:val="single" w:sz="4" w:space="0" w:color="auto"/>
              <w:right w:val="single" w:sz="4" w:space="0" w:color="auto"/>
            </w:tcBorders>
            <w:shd w:val="clear" w:color="auto" w:fill="auto"/>
            <w:noWrap/>
          </w:tcPr>
          <w:p w14:paraId="2F26CFA1" w14:textId="518A0BAD" w:rsidR="004213AB" w:rsidRPr="003B4AEE" w:rsidRDefault="004213AB" w:rsidP="004213AB">
            <w:pPr>
              <w:pStyle w:val="Tables"/>
              <w:jc w:val="right"/>
              <w:rPr>
                <w:sz w:val="18"/>
                <w:szCs w:val="18"/>
              </w:rPr>
            </w:pPr>
            <w:r w:rsidRPr="007225CC">
              <w:t>$22,999,181</w:t>
            </w:r>
          </w:p>
        </w:tc>
        <w:tc>
          <w:tcPr>
            <w:tcW w:w="421" w:type="pct"/>
            <w:tcBorders>
              <w:top w:val="nil"/>
              <w:left w:val="nil"/>
              <w:bottom w:val="single" w:sz="4" w:space="0" w:color="auto"/>
              <w:right w:val="single" w:sz="4" w:space="0" w:color="auto"/>
            </w:tcBorders>
            <w:shd w:val="clear" w:color="auto" w:fill="auto"/>
            <w:noWrap/>
          </w:tcPr>
          <w:p w14:paraId="7EF82010" w14:textId="650FF603" w:rsidR="004213AB" w:rsidRPr="003B4AEE" w:rsidRDefault="004213AB" w:rsidP="004213AB">
            <w:pPr>
              <w:pStyle w:val="Tables"/>
              <w:jc w:val="right"/>
              <w:rPr>
                <w:sz w:val="18"/>
                <w:szCs w:val="18"/>
              </w:rPr>
            </w:pPr>
            <w:r w:rsidRPr="003B4AEE">
              <w:t>0 </w:t>
            </w:r>
          </w:p>
        </w:tc>
        <w:tc>
          <w:tcPr>
            <w:tcW w:w="655" w:type="pct"/>
            <w:tcBorders>
              <w:top w:val="nil"/>
              <w:left w:val="nil"/>
              <w:bottom w:val="single" w:sz="4" w:space="0" w:color="auto"/>
              <w:right w:val="single" w:sz="4" w:space="0" w:color="auto"/>
            </w:tcBorders>
            <w:shd w:val="clear" w:color="auto" w:fill="auto"/>
            <w:noWrap/>
          </w:tcPr>
          <w:p w14:paraId="0FF2F815" w14:textId="305DCFF2" w:rsidR="004213AB" w:rsidRPr="003B4AEE" w:rsidRDefault="004213AB" w:rsidP="004213AB">
            <w:pPr>
              <w:pStyle w:val="Tables"/>
              <w:jc w:val="right"/>
              <w:rPr>
                <w:sz w:val="18"/>
                <w:szCs w:val="18"/>
              </w:rPr>
            </w:pPr>
            <w:r w:rsidRPr="003B4AEE">
              <w:t>0 </w:t>
            </w:r>
          </w:p>
        </w:tc>
        <w:tc>
          <w:tcPr>
            <w:tcW w:w="608" w:type="pct"/>
            <w:tcBorders>
              <w:top w:val="nil"/>
              <w:left w:val="nil"/>
              <w:bottom w:val="single" w:sz="4" w:space="0" w:color="auto"/>
              <w:right w:val="single" w:sz="4" w:space="0" w:color="auto"/>
            </w:tcBorders>
            <w:shd w:val="clear" w:color="auto" w:fill="auto"/>
            <w:noWrap/>
          </w:tcPr>
          <w:p w14:paraId="7723F140" w14:textId="37EEC84F" w:rsidR="004213AB" w:rsidRPr="003B4AEE" w:rsidRDefault="004213AB" w:rsidP="004213AB">
            <w:pPr>
              <w:pStyle w:val="Tables"/>
              <w:jc w:val="right"/>
              <w:rPr>
                <w:sz w:val="18"/>
                <w:szCs w:val="18"/>
              </w:rPr>
            </w:pPr>
            <w:r w:rsidRPr="0038509B">
              <w:t>-20,199,575</w:t>
            </w:r>
          </w:p>
        </w:tc>
        <w:tc>
          <w:tcPr>
            <w:tcW w:w="467" w:type="pct"/>
            <w:tcBorders>
              <w:top w:val="nil"/>
              <w:left w:val="nil"/>
              <w:bottom w:val="single" w:sz="4" w:space="0" w:color="auto"/>
              <w:right w:val="single" w:sz="4" w:space="0" w:color="auto"/>
            </w:tcBorders>
            <w:shd w:val="clear" w:color="auto" w:fill="auto"/>
            <w:noWrap/>
          </w:tcPr>
          <w:p w14:paraId="30BF9DDB" w14:textId="5E875E15" w:rsidR="004213AB" w:rsidRPr="003B4AEE" w:rsidRDefault="004213AB" w:rsidP="004213AB">
            <w:pPr>
              <w:pStyle w:val="Tables"/>
              <w:jc w:val="right"/>
              <w:rPr>
                <w:sz w:val="18"/>
                <w:szCs w:val="18"/>
              </w:rPr>
            </w:pPr>
            <w:r w:rsidRPr="0038509B">
              <w:t>-47%</w:t>
            </w:r>
          </w:p>
        </w:tc>
        <w:tc>
          <w:tcPr>
            <w:tcW w:w="607" w:type="pct"/>
            <w:tcBorders>
              <w:top w:val="nil"/>
              <w:left w:val="nil"/>
              <w:bottom w:val="single" w:sz="4" w:space="0" w:color="auto"/>
              <w:right w:val="single" w:sz="4" w:space="0" w:color="auto"/>
            </w:tcBorders>
            <w:shd w:val="clear" w:color="auto" w:fill="auto"/>
          </w:tcPr>
          <w:p w14:paraId="79D63D04" w14:textId="7003CDBA" w:rsidR="004213AB" w:rsidRPr="003B4AEE" w:rsidRDefault="004213AB" w:rsidP="004213AB">
            <w:pPr>
              <w:pStyle w:val="Tables"/>
            </w:pPr>
            <w:r w:rsidRPr="003B4AEE">
              <w:t>NA</w:t>
            </w:r>
          </w:p>
        </w:tc>
      </w:tr>
    </w:tbl>
    <w:p w14:paraId="2FB32098" w14:textId="1464C69E" w:rsidR="007F2877" w:rsidRPr="003B4AEE" w:rsidRDefault="007F2877" w:rsidP="00305558">
      <w:pPr>
        <w:pStyle w:val="Heading2"/>
      </w:pPr>
      <w:bookmarkStart w:id="221" w:name="_Toc61289832"/>
      <w:bookmarkStart w:id="222" w:name="_Toc61294092"/>
      <w:bookmarkStart w:id="223" w:name="_Toc61294228"/>
      <w:bookmarkStart w:id="224" w:name="_Toc61333789"/>
      <w:bookmarkStart w:id="225" w:name="_Toc61334222"/>
      <w:bookmarkStart w:id="226" w:name="_Toc61334425"/>
      <w:bookmarkStart w:id="227" w:name="_Toc61334560"/>
      <w:bookmarkStart w:id="228" w:name="_Toc61334695"/>
      <w:bookmarkStart w:id="229" w:name="_Toc61334830"/>
      <w:bookmarkStart w:id="230" w:name="_Toc61335581"/>
      <w:bookmarkStart w:id="231" w:name="_Toc61512055"/>
      <w:bookmarkStart w:id="232" w:name="_Toc61512190"/>
      <w:bookmarkStart w:id="233" w:name="_Toc61289833"/>
      <w:bookmarkStart w:id="234" w:name="_Toc61294093"/>
      <w:bookmarkStart w:id="235" w:name="_Toc61294229"/>
      <w:bookmarkStart w:id="236" w:name="_Toc61333790"/>
      <w:bookmarkStart w:id="237" w:name="_Toc61334223"/>
      <w:bookmarkStart w:id="238" w:name="_Toc61334426"/>
      <w:bookmarkStart w:id="239" w:name="_Toc61334561"/>
      <w:bookmarkStart w:id="240" w:name="_Toc61334696"/>
      <w:bookmarkStart w:id="241" w:name="_Toc61334831"/>
      <w:bookmarkStart w:id="242" w:name="_Toc61335582"/>
      <w:bookmarkStart w:id="243" w:name="_Toc61512056"/>
      <w:bookmarkStart w:id="244" w:name="_Toc61512191"/>
      <w:bookmarkStart w:id="245" w:name="_Toc61289834"/>
      <w:bookmarkStart w:id="246" w:name="_Toc61294094"/>
      <w:bookmarkStart w:id="247" w:name="_Toc61294230"/>
      <w:bookmarkStart w:id="248" w:name="_Toc61333791"/>
      <w:bookmarkStart w:id="249" w:name="_Toc61334224"/>
      <w:bookmarkStart w:id="250" w:name="_Toc61334427"/>
      <w:bookmarkStart w:id="251" w:name="_Toc61334562"/>
      <w:bookmarkStart w:id="252" w:name="_Toc61334697"/>
      <w:bookmarkStart w:id="253" w:name="_Toc61334832"/>
      <w:bookmarkStart w:id="254" w:name="_Toc61335583"/>
      <w:bookmarkStart w:id="255" w:name="_Toc61512057"/>
      <w:bookmarkStart w:id="256" w:name="_Toc61512192"/>
      <w:bookmarkStart w:id="257" w:name="_Toc61289927"/>
      <w:bookmarkStart w:id="258" w:name="_Toc61294187"/>
      <w:bookmarkStart w:id="259" w:name="_Toc61294323"/>
      <w:bookmarkStart w:id="260" w:name="_Toc61333884"/>
      <w:bookmarkStart w:id="261" w:name="_Toc61334317"/>
      <w:bookmarkStart w:id="262" w:name="_Toc61334520"/>
      <w:bookmarkStart w:id="263" w:name="_Toc61334655"/>
      <w:bookmarkStart w:id="264" w:name="_Toc61334790"/>
      <w:bookmarkStart w:id="265" w:name="_Toc61334925"/>
      <w:bookmarkStart w:id="266" w:name="_Toc61335676"/>
      <w:bookmarkStart w:id="267" w:name="_Toc61512150"/>
      <w:bookmarkStart w:id="268" w:name="_Toc61512285"/>
      <w:bookmarkStart w:id="269" w:name="_Toc61289928"/>
      <w:bookmarkStart w:id="270" w:name="_Toc61294188"/>
      <w:bookmarkStart w:id="271" w:name="_Toc61294324"/>
      <w:bookmarkStart w:id="272" w:name="_Toc61333885"/>
      <w:bookmarkStart w:id="273" w:name="_Toc61334318"/>
      <w:bookmarkStart w:id="274" w:name="_Toc61334521"/>
      <w:bookmarkStart w:id="275" w:name="_Toc61334656"/>
      <w:bookmarkStart w:id="276" w:name="_Toc61334791"/>
      <w:bookmarkStart w:id="277" w:name="_Toc61334926"/>
      <w:bookmarkStart w:id="278" w:name="_Toc61335677"/>
      <w:bookmarkStart w:id="279" w:name="_Toc61512151"/>
      <w:bookmarkStart w:id="280" w:name="_Toc61512286"/>
      <w:bookmarkStart w:id="281" w:name="_Toc61289929"/>
      <w:bookmarkStart w:id="282" w:name="_Toc61294189"/>
      <w:bookmarkStart w:id="283" w:name="_Toc61294325"/>
      <w:bookmarkStart w:id="284" w:name="_Toc61333886"/>
      <w:bookmarkStart w:id="285" w:name="_Toc61334319"/>
      <w:bookmarkStart w:id="286" w:name="_Toc61334522"/>
      <w:bookmarkStart w:id="287" w:name="_Toc61334657"/>
      <w:bookmarkStart w:id="288" w:name="_Toc61334792"/>
      <w:bookmarkStart w:id="289" w:name="_Toc61334927"/>
      <w:bookmarkStart w:id="290" w:name="_Toc61335678"/>
      <w:bookmarkStart w:id="291" w:name="_Toc61512152"/>
      <w:bookmarkStart w:id="292" w:name="_Toc61512287"/>
      <w:bookmarkStart w:id="293" w:name="_Toc61289931"/>
      <w:bookmarkStart w:id="294" w:name="_Toc61294191"/>
      <w:bookmarkStart w:id="295" w:name="_Toc61294327"/>
      <w:bookmarkStart w:id="296" w:name="_Toc61333888"/>
      <w:bookmarkStart w:id="297" w:name="_Toc61334321"/>
      <w:bookmarkStart w:id="298" w:name="_Toc61334524"/>
      <w:bookmarkStart w:id="299" w:name="_Toc61334659"/>
      <w:bookmarkStart w:id="300" w:name="_Toc61334794"/>
      <w:bookmarkStart w:id="301" w:name="_Toc61334929"/>
      <w:bookmarkStart w:id="302" w:name="_Toc61335680"/>
      <w:bookmarkStart w:id="303" w:name="_Toc61512154"/>
      <w:bookmarkStart w:id="304" w:name="_Toc61512289"/>
      <w:bookmarkStart w:id="305" w:name="_Toc71730005"/>
      <w:bookmarkStart w:id="306" w:name="_Toc6133432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3B4AEE">
        <w:t>Outline any plans for tabulation and publication of the information</w:t>
      </w:r>
      <w:bookmarkEnd w:id="305"/>
      <w:bookmarkEnd w:id="306"/>
    </w:p>
    <w:p w14:paraId="68A3F442" w14:textId="0641EA14" w:rsidR="00D3634A" w:rsidRPr="003B4AEE" w:rsidRDefault="00D3634A" w:rsidP="004E05CF">
      <w:pPr>
        <w:pStyle w:val="BodyText"/>
      </w:pPr>
      <w:r w:rsidRPr="003B4AEE">
        <w:t>ICIS is the national computerized management information system that automates entry</w:t>
      </w:r>
      <w:r w:rsidR="00324DCF" w:rsidRPr="003B4AEE">
        <w:t xml:space="preserve"> of</w:t>
      </w:r>
      <w:r w:rsidRPr="003B4AEE">
        <w:t xml:space="preserve">, updates, and facilitates retrieval of NPDES data and tracks permit issuance, permit limits and monitoring data, and other data </w:t>
      </w:r>
      <w:r w:rsidR="00F747CB" w:rsidRPr="003B4AEE">
        <w:t xml:space="preserve">on </w:t>
      </w:r>
      <w:r w:rsidRPr="003B4AEE">
        <w:t xml:space="preserve">facilities regulated under NPDES. </w:t>
      </w:r>
      <w:r w:rsidR="00F747CB" w:rsidRPr="003B4AEE">
        <w:t>The public can access p</w:t>
      </w:r>
      <w:r w:rsidRPr="003B4AEE">
        <w:t xml:space="preserve">ermit data </w:t>
      </w:r>
      <w:r w:rsidR="001A79F6">
        <w:t>by:</w:t>
      </w:r>
    </w:p>
    <w:p w14:paraId="28710142" w14:textId="70C723AF" w:rsidR="00B73D5D" w:rsidRPr="003B4AEE" w:rsidRDefault="00F747CB" w:rsidP="00290A17">
      <w:pPr>
        <w:pStyle w:val="ListBulletsingle"/>
        <w:numPr>
          <w:ilvl w:val="0"/>
          <w:numId w:val="12"/>
        </w:numPr>
      </w:pPr>
      <w:r w:rsidRPr="003B4AEE">
        <w:t>U</w:t>
      </w:r>
      <w:r w:rsidR="00EF7DEC" w:rsidRPr="003B4AEE">
        <w:t xml:space="preserve">sing EPA’s </w:t>
      </w:r>
      <w:proofErr w:type="spellStart"/>
      <w:r w:rsidR="00EF7DEC" w:rsidRPr="003B4AEE">
        <w:t>Envirofacts</w:t>
      </w:r>
      <w:proofErr w:type="spellEnd"/>
      <w:r w:rsidR="00EF7DEC" w:rsidRPr="003B4AEE">
        <w:t xml:space="preserve"> Data Warehouse and Applications website at </w:t>
      </w:r>
      <w:hyperlink r:id="rId16" w:history="1">
        <w:r w:rsidR="004B18E6" w:rsidRPr="00A80374">
          <w:rPr>
            <w:rStyle w:val="Hyperlink"/>
          </w:rPr>
          <w:t>https://enviro.epa.gov/</w:t>
        </w:r>
      </w:hyperlink>
      <w:r w:rsidR="00EF7DEC" w:rsidRPr="003B4AEE">
        <w:t xml:space="preserve">. </w:t>
      </w:r>
      <w:proofErr w:type="spellStart"/>
      <w:r w:rsidR="00EF7DEC" w:rsidRPr="003B4AEE">
        <w:t>Envirofacts</w:t>
      </w:r>
      <w:proofErr w:type="spellEnd"/>
      <w:r w:rsidR="00EF7DEC" w:rsidRPr="003B4AEE">
        <w:t xml:space="preserve"> </w:t>
      </w:r>
      <w:r w:rsidRPr="003B4AEE">
        <w:t xml:space="preserve">lets users </w:t>
      </w:r>
      <w:r w:rsidR="00EF7DEC" w:rsidRPr="003B4AEE">
        <w:t>combine ICIS</w:t>
      </w:r>
      <w:r w:rsidR="00AD2141" w:rsidRPr="003B4AEE">
        <w:t>-NPDES</w:t>
      </w:r>
      <w:r w:rsidR="00EF7DEC" w:rsidRPr="003B4AEE">
        <w:t xml:space="preserve"> data with other EPA databases and mapping tools</w:t>
      </w:r>
      <w:r w:rsidRPr="003B4AEE">
        <w:t>.</w:t>
      </w:r>
      <w:r w:rsidR="004B18E6">
        <w:t xml:space="preserve"> </w:t>
      </w:r>
    </w:p>
    <w:p w14:paraId="03203FC8" w14:textId="3E144327" w:rsidR="001E521D" w:rsidRPr="003B4AEE" w:rsidRDefault="00F747CB" w:rsidP="00290A17">
      <w:pPr>
        <w:pStyle w:val="ListBulletsingle"/>
        <w:numPr>
          <w:ilvl w:val="0"/>
          <w:numId w:val="12"/>
        </w:numPr>
      </w:pPr>
      <w:r w:rsidRPr="003B4AEE">
        <w:t>U</w:t>
      </w:r>
      <w:r w:rsidR="00B73D5D" w:rsidRPr="003B4AEE">
        <w:t xml:space="preserve">sing EPA’s Enforcement and Compliance History Online (ECHO) website at </w:t>
      </w:r>
      <w:hyperlink r:id="rId17" w:history="1">
        <w:r w:rsidR="00B73D5D" w:rsidRPr="003B4AEE">
          <w:rPr>
            <w:rStyle w:val="Hyperlink"/>
          </w:rPr>
          <w:t>https://echo.epa.gov/</w:t>
        </w:r>
      </w:hyperlink>
      <w:r w:rsidR="00B73D5D" w:rsidRPr="003B4AEE">
        <w:t xml:space="preserve">. ECHO </w:t>
      </w:r>
      <w:r w:rsidRPr="003B4AEE">
        <w:t xml:space="preserve">gives </w:t>
      </w:r>
      <w:r w:rsidR="00B73D5D" w:rsidRPr="003B4AEE">
        <w:t xml:space="preserve">the public </w:t>
      </w:r>
      <w:r w:rsidR="00485DBB" w:rsidRPr="003B4AEE">
        <w:t xml:space="preserve">access </w:t>
      </w:r>
      <w:r w:rsidRPr="003B4AEE">
        <w:t xml:space="preserve">to </w:t>
      </w:r>
      <w:r w:rsidR="00B73D5D" w:rsidRPr="003B4AEE">
        <w:t>compliance</w:t>
      </w:r>
      <w:r w:rsidRPr="003B4AEE">
        <w:t>-</w:t>
      </w:r>
      <w:r w:rsidR="00B73D5D" w:rsidRPr="003B4AEE">
        <w:t>history</w:t>
      </w:r>
      <w:r w:rsidR="00E22EAF" w:rsidRPr="003B4AEE">
        <w:t>-</w:t>
      </w:r>
      <w:r w:rsidR="00485DBB" w:rsidRPr="003B4AEE">
        <w:t xml:space="preserve">related data for </w:t>
      </w:r>
      <w:r w:rsidR="00B73D5D" w:rsidRPr="003B4AEE">
        <w:t>permittees by geographic area</w:t>
      </w:r>
      <w:r w:rsidRPr="003B4AEE">
        <w:t>.</w:t>
      </w:r>
    </w:p>
    <w:p w14:paraId="05F64482" w14:textId="5F629D5C" w:rsidR="007F2877" w:rsidRPr="003B4AEE" w:rsidRDefault="007F2877" w:rsidP="00305558">
      <w:pPr>
        <w:pStyle w:val="Heading2"/>
      </w:pPr>
      <w:bookmarkStart w:id="307" w:name="_Toc61334323"/>
      <w:bookmarkStart w:id="308" w:name="_Toc71730006"/>
      <w:r w:rsidRPr="003B4AEE">
        <w:t>Explain any requests to not display the expiration date of OMB approval</w:t>
      </w:r>
      <w:bookmarkEnd w:id="307"/>
      <w:bookmarkEnd w:id="308"/>
    </w:p>
    <w:p w14:paraId="1A176340" w14:textId="2F44B49F" w:rsidR="009B1FA1" w:rsidRPr="003B4AEE" w:rsidRDefault="009B1FA1" w:rsidP="004E05CF">
      <w:pPr>
        <w:pStyle w:val="BodyText"/>
      </w:pPr>
      <w:r w:rsidRPr="003B4AEE">
        <w:t>EPA has not made a request regarding display of the expiration date.</w:t>
      </w:r>
    </w:p>
    <w:p w14:paraId="53AEE82C" w14:textId="08CCC053" w:rsidR="007F2877" w:rsidRPr="003B4AEE" w:rsidRDefault="007F2877" w:rsidP="00305558">
      <w:pPr>
        <w:pStyle w:val="Heading2"/>
      </w:pPr>
      <w:bookmarkStart w:id="309" w:name="_Toc61334324"/>
      <w:bookmarkStart w:id="310" w:name="_Toc71730007"/>
      <w:r w:rsidRPr="003B4AEE">
        <w:lastRenderedPageBreak/>
        <w:t>Explain any exceptions to the certification statement 5 CFR 1320.9, “Agency Certifications for Proposed Collections of Information.”</w:t>
      </w:r>
      <w:bookmarkEnd w:id="309"/>
      <w:bookmarkEnd w:id="310"/>
    </w:p>
    <w:p w14:paraId="03404F40" w14:textId="3CA45BD3" w:rsidR="009B1FA1" w:rsidRPr="003B4AEE" w:rsidRDefault="00D63FAC" w:rsidP="004E05CF">
      <w:pPr>
        <w:pStyle w:val="BodyText"/>
      </w:pPr>
      <w:r w:rsidRPr="003B4AEE">
        <w:t>EPA</w:t>
      </w:r>
      <w:r w:rsidR="009B1FA1" w:rsidRPr="003B4AEE">
        <w:t xml:space="preserve"> is able to certify compliance with all provisions under </w:t>
      </w:r>
      <w:r w:rsidR="00F747CB" w:rsidRPr="003B4AEE">
        <w:t xml:space="preserve">item </w:t>
      </w:r>
      <w:r w:rsidR="009B1FA1" w:rsidRPr="003B4AEE">
        <w:t>19 of OMB Form 83-I.B.</w:t>
      </w:r>
    </w:p>
    <w:p w14:paraId="780DBB9E" w14:textId="1039A1FC" w:rsidR="007F2877" w:rsidRPr="003B4AEE" w:rsidRDefault="006A489B" w:rsidP="00A43E4B">
      <w:pPr>
        <w:pStyle w:val="Heading1"/>
      </w:pPr>
      <w:bookmarkStart w:id="311" w:name="_Toc61334325"/>
      <w:bookmarkStart w:id="312" w:name="_Toc71730008"/>
      <w:r w:rsidRPr="003B4AEE">
        <w:t>S</w:t>
      </w:r>
      <w:r w:rsidR="007F2877" w:rsidRPr="003B4AEE">
        <w:t>tatistical Methods (</w:t>
      </w:r>
      <w:r w:rsidR="00F747CB" w:rsidRPr="003B4AEE">
        <w:t xml:space="preserve">Used </w:t>
      </w:r>
      <w:r w:rsidR="007F2877" w:rsidRPr="003B4AEE">
        <w:t xml:space="preserve">for </w:t>
      </w:r>
      <w:r w:rsidR="00F747CB" w:rsidRPr="003B4AEE">
        <w:t xml:space="preserve">Collection </w:t>
      </w:r>
      <w:r w:rsidR="007F2877" w:rsidRPr="003B4AEE">
        <w:t xml:space="preserve">of </w:t>
      </w:r>
      <w:r w:rsidR="00F747CB" w:rsidRPr="003B4AEE">
        <w:t>Information Employing Statistical Methods</w:t>
      </w:r>
      <w:r w:rsidR="007F2877" w:rsidRPr="003B4AEE">
        <w:t>)</w:t>
      </w:r>
      <w:bookmarkEnd w:id="311"/>
      <w:bookmarkEnd w:id="312"/>
    </w:p>
    <w:p w14:paraId="62CBA221" w14:textId="3D21636B" w:rsidR="00A64B9D" w:rsidRPr="003B4AEE" w:rsidRDefault="009B1FA1" w:rsidP="004E05CF">
      <w:pPr>
        <w:pStyle w:val="BodyText"/>
      </w:pPr>
      <w:r w:rsidRPr="003B4AEE">
        <w:t>Statistical methods are not used with this collection.</w:t>
      </w:r>
    </w:p>
    <w:p w14:paraId="25EDD669" w14:textId="77777777" w:rsidR="00E86F4D" w:rsidRPr="003B4AEE" w:rsidRDefault="00E86F4D">
      <w:pPr>
        <w:autoSpaceDE/>
        <w:autoSpaceDN/>
        <w:adjustRightInd/>
        <w:spacing w:after="160" w:line="259" w:lineRule="auto"/>
        <w:sectPr w:rsidR="00E86F4D" w:rsidRPr="003B4AEE" w:rsidSect="006A489B">
          <w:pgSz w:w="12240" w:h="15840" w:code="1"/>
          <w:pgMar w:top="1440" w:right="1440" w:bottom="1440" w:left="1440" w:header="720" w:footer="720" w:gutter="0"/>
          <w:pgNumType w:start="1"/>
          <w:cols w:space="720"/>
          <w:docGrid w:linePitch="360"/>
        </w:sectPr>
      </w:pPr>
    </w:p>
    <w:p w14:paraId="773D0BFA" w14:textId="63608608" w:rsidR="00FC010B" w:rsidRPr="003B4AEE" w:rsidRDefault="00FC010B" w:rsidP="00FC010B">
      <w:pPr>
        <w:spacing w:after="240"/>
        <w:jc w:val="center"/>
        <w:rPr>
          <w:b/>
          <w:bCs/>
        </w:rPr>
      </w:pPr>
      <w:r w:rsidRPr="003B4AEE">
        <w:rPr>
          <w:b/>
          <w:bCs/>
        </w:rPr>
        <w:lastRenderedPageBreak/>
        <w:t>Appendix A</w:t>
      </w:r>
      <w:r w:rsidRPr="003B4AEE">
        <w:rPr>
          <w:b/>
          <w:bCs/>
        </w:rPr>
        <w:br/>
        <w:t>Table of Contents</w:t>
      </w:r>
    </w:p>
    <w:p w14:paraId="5D08ADB9" w14:textId="7573D8BC" w:rsidR="00FC010B" w:rsidRPr="003B4AEE" w:rsidRDefault="00FC010B" w:rsidP="00FC010B">
      <w:pPr>
        <w:jc w:val="right"/>
        <w:rPr>
          <w:b/>
          <w:bCs/>
          <w:sz w:val="22"/>
          <w:szCs w:val="22"/>
        </w:rPr>
      </w:pPr>
      <w:r w:rsidRPr="003B4AEE">
        <w:rPr>
          <w:b/>
          <w:bCs/>
          <w:sz w:val="22"/>
          <w:szCs w:val="22"/>
        </w:rPr>
        <w:t>Page</w:t>
      </w:r>
    </w:p>
    <w:p w14:paraId="46EF906C" w14:textId="09F398DD" w:rsidR="00B9302A" w:rsidRPr="003B4AEE" w:rsidRDefault="00816C06">
      <w:pPr>
        <w:pStyle w:val="TOC2"/>
        <w:tabs>
          <w:tab w:val="right" w:leader="dot" w:pos="9350"/>
        </w:tabs>
        <w:rPr>
          <w:rFonts w:asciiTheme="minorHAnsi" w:eastAsiaTheme="minorEastAsia" w:hAnsiTheme="minorHAnsi" w:cstheme="minorBidi"/>
          <w:noProof/>
          <w:sz w:val="22"/>
          <w:szCs w:val="22"/>
        </w:rPr>
      </w:pPr>
      <w:r w:rsidRPr="003B4AEE">
        <w:rPr>
          <w:sz w:val="22"/>
          <w:szCs w:val="22"/>
        </w:rPr>
        <w:fldChar w:fldCharType="begin"/>
      </w:r>
      <w:r w:rsidRPr="003B4AEE">
        <w:rPr>
          <w:sz w:val="22"/>
          <w:szCs w:val="22"/>
        </w:rPr>
        <w:instrText xml:space="preserve"> TOC \h \z \u \t "Heading 6,1,Heading 7,2,Heading 8,3,Heading 9,4" </w:instrText>
      </w:r>
      <w:r w:rsidRPr="003B4AEE">
        <w:rPr>
          <w:sz w:val="22"/>
          <w:szCs w:val="22"/>
        </w:rPr>
        <w:fldChar w:fldCharType="separate"/>
      </w:r>
      <w:hyperlink w:anchor="_Toc71729148" w:history="1">
        <w:r w:rsidR="00B9302A" w:rsidRPr="003B4AEE">
          <w:rPr>
            <w:rStyle w:val="Hyperlink"/>
            <w:noProof/>
          </w:rPr>
          <w:t>Appendix A — Description of the Information Collected and Methodology for Estimating Respondent Burden and Cost of Collection</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_Toc71729148 \h </w:instrText>
        </w:r>
        <w:r w:rsidR="00B9302A" w:rsidRPr="003B4AEE">
          <w:rPr>
            <w:noProof/>
            <w:webHidden/>
          </w:rPr>
        </w:r>
        <w:r w:rsidR="00B9302A" w:rsidRPr="003B4AEE">
          <w:rPr>
            <w:noProof/>
            <w:webHidden/>
          </w:rPr>
          <w:fldChar w:fldCharType="separate"/>
        </w:r>
        <w:r w:rsidR="00B9302A" w:rsidRPr="003B4AEE">
          <w:rPr>
            <w:noProof/>
            <w:webHidden/>
          </w:rPr>
          <w:t>A-3</w:t>
        </w:r>
        <w:r w:rsidR="00B9302A" w:rsidRPr="003B4AEE">
          <w:rPr>
            <w:noProof/>
            <w:webHidden/>
          </w:rPr>
          <w:fldChar w:fldCharType="end"/>
        </w:r>
      </w:hyperlink>
    </w:p>
    <w:p w14:paraId="6F84600A" w14:textId="39CDFDB2" w:rsidR="00B9302A" w:rsidRPr="003B4AEE" w:rsidRDefault="00D403C0">
      <w:pPr>
        <w:pStyle w:val="TOC3"/>
        <w:tabs>
          <w:tab w:val="left" w:pos="1980"/>
        </w:tabs>
        <w:rPr>
          <w:rFonts w:asciiTheme="minorHAnsi" w:eastAsiaTheme="minorEastAsia" w:hAnsiTheme="minorHAnsi" w:cstheme="minorBidi"/>
          <w:sz w:val="22"/>
          <w:szCs w:val="22"/>
        </w:rPr>
      </w:pPr>
      <w:hyperlink w:anchor="_Toc71729149" w:history="1">
        <w:r w:rsidR="00B9302A" w:rsidRPr="003B4AEE">
          <w:rPr>
            <w:rStyle w:val="Hyperlink"/>
          </w:rPr>
          <w:t>A.1</w:t>
        </w:r>
        <w:r w:rsidR="00B9302A" w:rsidRPr="003B4AEE">
          <w:rPr>
            <w:rFonts w:asciiTheme="minorHAnsi" w:eastAsiaTheme="minorEastAsia" w:hAnsiTheme="minorHAnsi" w:cstheme="minorBidi"/>
            <w:sz w:val="22"/>
            <w:szCs w:val="22"/>
          </w:rPr>
          <w:tab/>
        </w:r>
        <w:r w:rsidR="00B9302A" w:rsidRPr="003B4AEE">
          <w:rPr>
            <w:rStyle w:val="Hyperlink"/>
          </w:rPr>
          <w:t>Estimating Respondent Burden</w:t>
        </w:r>
        <w:r w:rsidR="00B9302A" w:rsidRPr="003B4AEE">
          <w:rPr>
            <w:webHidden/>
          </w:rPr>
          <w:tab/>
        </w:r>
        <w:r w:rsidR="00B9302A" w:rsidRPr="003B4AEE">
          <w:rPr>
            <w:webHidden/>
          </w:rPr>
          <w:fldChar w:fldCharType="begin"/>
        </w:r>
        <w:r w:rsidR="00B9302A" w:rsidRPr="003B4AEE">
          <w:rPr>
            <w:webHidden/>
          </w:rPr>
          <w:instrText xml:space="preserve"> PAGEREF _Toc71729149 \h </w:instrText>
        </w:r>
        <w:r w:rsidR="00B9302A" w:rsidRPr="003B4AEE">
          <w:rPr>
            <w:webHidden/>
          </w:rPr>
        </w:r>
        <w:r w:rsidR="00B9302A" w:rsidRPr="003B4AEE">
          <w:rPr>
            <w:webHidden/>
          </w:rPr>
          <w:fldChar w:fldCharType="separate"/>
        </w:r>
        <w:r w:rsidR="00B9302A" w:rsidRPr="003B4AEE">
          <w:rPr>
            <w:webHidden/>
          </w:rPr>
          <w:t>A-3</w:t>
        </w:r>
        <w:r w:rsidR="00B9302A" w:rsidRPr="003B4AEE">
          <w:rPr>
            <w:webHidden/>
          </w:rPr>
          <w:fldChar w:fldCharType="end"/>
        </w:r>
      </w:hyperlink>
    </w:p>
    <w:p w14:paraId="4465538C" w14:textId="7A939FF8" w:rsidR="00B9302A" w:rsidRPr="003B4AEE" w:rsidRDefault="00D403C0">
      <w:pPr>
        <w:pStyle w:val="TOC4"/>
        <w:rPr>
          <w:rFonts w:asciiTheme="minorHAnsi" w:eastAsiaTheme="minorEastAsia" w:hAnsiTheme="minorHAnsi" w:cstheme="minorBidi"/>
          <w:noProof/>
          <w:sz w:val="22"/>
          <w:szCs w:val="22"/>
        </w:rPr>
      </w:pPr>
      <w:hyperlink w:anchor="_Toc71729150" w:history="1">
        <w:r w:rsidR="00B9302A" w:rsidRPr="003B4AEE">
          <w:rPr>
            <w:rStyle w:val="Hyperlink"/>
            <w:noProof/>
          </w:rPr>
          <w:t>A.1.1</w:t>
        </w:r>
        <w:r w:rsidR="00B9302A" w:rsidRPr="003B4AEE">
          <w:rPr>
            <w:rFonts w:asciiTheme="minorHAnsi" w:eastAsiaTheme="minorEastAsia" w:hAnsiTheme="minorHAnsi" w:cstheme="minorBidi"/>
            <w:noProof/>
            <w:sz w:val="22"/>
            <w:szCs w:val="22"/>
          </w:rPr>
          <w:tab/>
        </w:r>
        <w:r w:rsidR="00B9302A" w:rsidRPr="003B4AEE">
          <w:rPr>
            <w:rStyle w:val="Hyperlink"/>
            <w:noProof/>
          </w:rPr>
          <w:t>Recordkeeping</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_Toc71729150 \h </w:instrText>
        </w:r>
        <w:r w:rsidR="00B9302A" w:rsidRPr="003B4AEE">
          <w:rPr>
            <w:noProof/>
            <w:webHidden/>
          </w:rPr>
        </w:r>
        <w:r w:rsidR="00B9302A" w:rsidRPr="003B4AEE">
          <w:rPr>
            <w:noProof/>
            <w:webHidden/>
          </w:rPr>
          <w:fldChar w:fldCharType="separate"/>
        </w:r>
        <w:r w:rsidR="00B9302A" w:rsidRPr="003B4AEE">
          <w:rPr>
            <w:noProof/>
            <w:webHidden/>
          </w:rPr>
          <w:t>A-4</w:t>
        </w:r>
        <w:r w:rsidR="00B9302A" w:rsidRPr="003B4AEE">
          <w:rPr>
            <w:noProof/>
            <w:webHidden/>
          </w:rPr>
          <w:fldChar w:fldCharType="end"/>
        </w:r>
      </w:hyperlink>
    </w:p>
    <w:p w14:paraId="7E42FBB2" w14:textId="4DD057A3" w:rsidR="00B9302A" w:rsidRPr="003B4AEE" w:rsidRDefault="00D403C0">
      <w:pPr>
        <w:pStyle w:val="TOC4"/>
        <w:rPr>
          <w:rFonts w:asciiTheme="minorHAnsi" w:eastAsiaTheme="minorEastAsia" w:hAnsiTheme="minorHAnsi" w:cstheme="minorBidi"/>
          <w:noProof/>
          <w:sz w:val="22"/>
          <w:szCs w:val="22"/>
        </w:rPr>
      </w:pPr>
      <w:hyperlink w:anchor="_Toc71729151" w:history="1">
        <w:r w:rsidR="00B9302A" w:rsidRPr="003B4AEE">
          <w:rPr>
            <w:rStyle w:val="Hyperlink"/>
            <w:noProof/>
          </w:rPr>
          <w:t>A.1.2</w:t>
        </w:r>
        <w:r w:rsidR="00B9302A" w:rsidRPr="003B4AEE">
          <w:rPr>
            <w:rFonts w:asciiTheme="minorHAnsi" w:eastAsiaTheme="minorEastAsia" w:hAnsiTheme="minorHAnsi" w:cstheme="minorBidi"/>
            <w:noProof/>
            <w:sz w:val="22"/>
            <w:szCs w:val="22"/>
          </w:rPr>
          <w:tab/>
        </w:r>
        <w:r w:rsidR="00B9302A" w:rsidRPr="003B4AEE">
          <w:rPr>
            <w:rStyle w:val="Hyperlink"/>
            <w:noProof/>
          </w:rPr>
          <w:t>Individual Permits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_Toc71729151 \h </w:instrText>
        </w:r>
        <w:r w:rsidR="00B9302A" w:rsidRPr="003B4AEE">
          <w:rPr>
            <w:noProof/>
            <w:webHidden/>
          </w:rPr>
        </w:r>
        <w:r w:rsidR="00B9302A" w:rsidRPr="003B4AEE">
          <w:rPr>
            <w:noProof/>
            <w:webHidden/>
          </w:rPr>
          <w:fldChar w:fldCharType="separate"/>
        </w:r>
        <w:r w:rsidR="00B9302A" w:rsidRPr="003B4AEE">
          <w:rPr>
            <w:noProof/>
            <w:webHidden/>
          </w:rPr>
          <w:t>A-4</w:t>
        </w:r>
        <w:r w:rsidR="00B9302A" w:rsidRPr="003B4AEE">
          <w:rPr>
            <w:noProof/>
            <w:webHidden/>
          </w:rPr>
          <w:fldChar w:fldCharType="end"/>
        </w:r>
      </w:hyperlink>
    </w:p>
    <w:p w14:paraId="6ABED3B2" w14:textId="026A3557" w:rsidR="00B9302A" w:rsidRPr="003B4AEE" w:rsidRDefault="00D403C0">
      <w:pPr>
        <w:pStyle w:val="TOC4"/>
        <w:rPr>
          <w:rFonts w:asciiTheme="minorHAnsi" w:eastAsiaTheme="minorEastAsia" w:hAnsiTheme="minorHAnsi" w:cstheme="minorBidi"/>
          <w:noProof/>
          <w:sz w:val="22"/>
          <w:szCs w:val="22"/>
        </w:rPr>
      </w:pPr>
      <w:hyperlink w:anchor="_Toc71729152" w:history="1">
        <w:r w:rsidR="00B9302A" w:rsidRPr="003B4AEE">
          <w:rPr>
            <w:rStyle w:val="Hyperlink"/>
            <w:noProof/>
          </w:rPr>
          <w:t>A.1.3</w:t>
        </w:r>
        <w:r w:rsidR="00B9302A" w:rsidRPr="003B4AEE">
          <w:rPr>
            <w:rFonts w:asciiTheme="minorHAnsi" w:eastAsiaTheme="minorEastAsia" w:hAnsiTheme="minorHAnsi" w:cstheme="minorBidi"/>
            <w:noProof/>
            <w:sz w:val="22"/>
            <w:szCs w:val="22"/>
          </w:rPr>
          <w:tab/>
        </w:r>
        <w:r w:rsidR="00B9302A" w:rsidRPr="003B4AEE">
          <w:rPr>
            <w:rStyle w:val="Hyperlink"/>
            <w:noProof/>
          </w:rPr>
          <w:t>National Pretreatment Program</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_Toc71729152 \h </w:instrText>
        </w:r>
        <w:r w:rsidR="00B9302A" w:rsidRPr="003B4AEE">
          <w:rPr>
            <w:noProof/>
            <w:webHidden/>
          </w:rPr>
        </w:r>
        <w:r w:rsidR="00B9302A" w:rsidRPr="003B4AEE">
          <w:rPr>
            <w:noProof/>
            <w:webHidden/>
          </w:rPr>
          <w:fldChar w:fldCharType="separate"/>
        </w:r>
        <w:r w:rsidR="00B9302A" w:rsidRPr="003B4AEE">
          <w:rPr>
            <w:noProof/>
            <w:webHidden/>
          </w:rPr>
          <w:t>A-12</w:t>
        </w:r>
        <w:r w:rsidR="00B9302A" w:rsidRPr="003B4AEE">
          <w:rPr>
            <w:noProof/>
            <w:webHidden/>
          </w:rPr>
          <w:fldChar w:fldCharType="end"/>
        </w:r>
      </w:hyperlink>
    </w:p>
    <w:p w14:paraId="35CC5391" w14:textId="365BE4BC" w:rsidR="00B9302A" w:rsidRPr="003B4AEE" w:rsidRDefault="00D403C0">
      <w:pPr>
        <w:pStyle w:val="TOC4"/>
        <w:rPr>
          <w:rFonts w:asciiTheme="minorHAnsi" w:eastAsiaTheme="minorEastAsia" w:hAnsiTheme="minorHAnsi" w:cstheme="minorBidi"/>
          <w:noProof/>
          <w:sz w:val="22"/>
          <w:szCs w:val="22"/>
        </w:rPr>
      </w:pPr>
      <w:hyperlink w:anchor="_Toc71729153" w:history="1">
        <w:r w:rsidR="00B9302A" w:rsidRPr="003B4AEE">
          <w:rPr>
            <w:rStyle w:val="Hyperlink"/>
            <w:noProof/>
          </w:rPr>
          <w:t>A.1.4</w:t>
        </w:r>
        <w:r w:rsidR="00B9302A" w:rsidRPr="003B4AEE">
          <w:rPr>
            <w:rFonts w:asciiTheme="minorHAnsi" w:eastAsiaTheme="minorEastAsia" w:hAnsiTheme="minorHAnsi" w:cstheme="minorBidi"/>
            <w:noProof/>
            <w:sz w:val="22"/>
            <w:szCs w:val="22"/>
          </w:rPr>
          <w:tab/>
        </w:r>
        <w:r w:rsidR="00B9302A" w:rsidRPr="003B4AEE">
          <w:rPr>
            <w:rStyle w:val="Hyperlink"/>
            <w:noProof/>
          </w:rPr>
          <w:t>Stormwater</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_Toc71729153 \h </w:instrText>
        </w:r>
        <w:r w:rsidR="00B9302A" w:rsidRPr="003B4AEE">
          <w:rPr>
            <w:noProof/>
            <w:webHidden/>
          </w:rPr>
        </w:r>
        <w:r w:rsidR="00B9302A" w:rsidRPr="003B4AEE">
          <w:rPr>
            <w:noProof/>
            <w:webHidden/>
          </w:rPr>
          <w:fldChar w:fldCharType="separate"/>
        </w:r>
        <w:r w:rsidR="00B9302A" w:rsidRPr="003B4AEE">
          <w:rPr>
            <w:noProof/>
            <w:webHidden/>
          </w:rPr>
          <w:t>A-16</w:t>
        </w:r>
        <w:r w:rsidR="00B9302A" w:rsidRPr="003B4AEE">
          <w:rPr>
            <w:noProof/>
            <w:webHidden/>
          </w:rPr>
          <w:fldChar w:fldCharType="end"/>
        </w:r>
      </w:hyperlink>
    </w:p>
    <w:p w14:paraId="7AAEBDD6" w14:textId="74E9DAF3" w:rsidR="00B9302A" w:rsidRPr="003B4AEE" w:rsidRDefault="00D403C0">
      <w:pPr>
        <w:pStyle w:val="TOC4"/>
        <w:rPr>
          <w:rFonts w:asciiTheme="minorHAnsi" w:eastAsiaTheme="minorEastAsia" w:hAnsiTheme="minorHAnsi" w:cstheme="minorBidi"/>
          <w:noProof/>
          <w:sz w:val="22"/>
          <w:szCs w:val="22"/>
        </w:rPr>
      </w:pPr>
      <w:hyperlink w:anchor="_Toc71729154" w:history="1">
        <w:r w:rsidR="00B9302A" w:rsidRPr="003B4AEE">
          <w:rPr>
            <w:rStyle w:val="Hyperlink"/>
            <w:noProof/>
          </w:rPr>
          <w:t>A.1.5</w:t>
        </w:r>
        <w:r w:rsidR="00B9302A" w:rsidRPr="003B4AEE">
          <w:rPr>
            <w:rFonts w:asciiTheme="minorHAnsi" w:eastAsiaTheme="minorEastAsia" w:hAnsiTheme="minorHAnsi" w:cstheme="minorBidi"/>
            <w:noProof/>
            <w:sz w:val="22"/>
            <w:szCs w:val="22"/>
          </w:rPr>
          <w:tab/>
        </w:r>
        <w:r w:rsidR="00B9302A" w:rsidRPr="003B4AEE">
          <w:rPr>
            <w:rStyle w:val="Hyperlink"/>
            <w:noProof/>
          </w:rPr>
          <w:t>General Permits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_Toc71729154 \h </w:instrText>
        </w:r>
        <w:r w:rsidR="00B9302A" w:rsidRPr="003B4AEE">
          <w:rPr>
            <w:noProof/>
            <w:webHidden/>
          </w:rPr>
        </w:r>
        <w:r w:rsidR="00B9302A" w:rsidRPr="003B4AEE">
          <w:rPr>
            <w:noProof/>
            <w:webHidden/>
          </w:rPr>
          <w:fldChar w:fldCharType="separate"/>
        </w:r>
        <w:r w:rsidR="00B9302A" w:rsidRPr="003B4AEE">
          <w:rPr>
            <w:noProof/>
            <w:webHidden/>
          </w:rPr>
          <w:t>A-17</w:t>
        </w:r>
        <w:r w:rsidR="00B9302A" w:rsidRPr="003B4AEE">
          <w:rPr>
            <w:noProof/>
            <w:webHidden/>
          </w:rPr>
          <w:fldChar w:fldCharType="end"/>
        </w:r>
      </w:hyperlink>
    </w:p>
    <w:p w14:paraId="1CB5A49E" w14:textId="5F7CAD7B" w:rsidR="00B9302A" w:rsidRPr="003B4AEE" w:rsidRDefault="00D403C0">
      <w:pPr>
        <w:pStyle w:val="TOC4"/>
        <w:rPr>
          <w:rFonts w:asciiTheme="minorHAnsi" w:eastAsiaTheme="minorEastAsia" w:hAnsiTheme="minorHAnsi" w:cstheme="minorBidi"/>
          <w:noProof/>
          <w:sz w:val="22"/>
          <w:szCs w:val="22"/>
        </w:rPr>
      </w:pPr>
      <w:hyperlink w:anchor="_Toc71729155" w:history="1">
        <w:r w:rsidR="00B9302A" w:rsidRPr="003B4AEE">
          <w:rPr>
            <w:rStyle w:val="Hyperlink"/>
            <w:noProof/>
          </w:rPr>
          <w:t>A.1.6</w:t>
        </w:r>
        <w:r w:rsidR="00B9302A" w:rsidRPr="003B4AEE">
          <w:rPr>
            <w:rFonts w:asciiTheme="minorHAnsi" w:eastAsiaTheme="minorEastAsia" w:hAnsiTheme="minorHAnsi" w:cstheme="minorBidi"/>
            <w:noProof/>
            <w:sz w:val="22"/>
            <w:szCs w:val="22"/>
          </w:rPr>
          <w:tab/>
        </w:r>
        <w:r w:rsidR="00B9302A" w:rsidRPr="003B4AEE">
          <w:rPr>
            <w:rStyle w:val="Hyperlink"/>
            <w:noProof/>
          </w:rPr>
          <w:t>Animal Sector</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_Toc71729155 \h </w:instrText>
        </w:r>
        <w:r w:rsidR="00B9302A" w:rsidRPr="003B4AEE">
          <w:rPr>
            <w:noProof/>
            <w:webHidden/>
          </w:rPr>
        </w:r>
        <w:r w:rsidR="00B9302A" w:rsidRPr="003B4AEE">
          <w:rPr>
            <w:noProof/>
            <w:webHidden/>
          </w:rPr>
          <w:fldChar w:fldCharType="separate"/>
        </w:r>
        <w:r w:rsidR="00B9302A" w:rsidRPr="003B4AEE">
          <w:rPr>
            <w:noProof/>
            <w:webHidden/>
          </w:rPr>
          <w:t>A-23</w:t>
        </w:r>
        <w:r w:rsidR="00B9302A" w:rsidRPr="003B4AEE">
          <w:rPr>
            <w:noProof/>
            <w:webHidden/>
          </w:rPr>
          <w:fldChar w:fldCharType="end"/>
        </w:r>
      </w:hyperlink>
    </w:p>
    <w:p w14:paraId="7F790E32" w14:textId="6B68CC04" w:rsidR="00B9302A" w:rsidRPr="003B4AEE" w:rsidRDefault="00D403C0">
      <w:pPr>
        <w:pStyle w:val="TOC4"/>
        <w:rPr>
          <w:rFonts w:asciiTheme="minorHAnsi" w:eastAsiaTheme="minorEastAsia" w:hAnsiTheme="minorHAnsi" w:cstheme="minorBidi"/>
          <w:noProof/>
          <w:sz w:val="22"/>
          <w:szCs w:val="22"/>
        </w:rPr>
      </w:pPr>
      <w:hyperlink w:anchor="_Toc71729156" w:history="1">
        <w:r w:rsidR="00B9302A" w:rsidRPr="003B4AEE">
          <w:rPr>
            <w:rStyle w:val="Hyperlink"/>
            <w:noProof/>
          </w:rPr>
          <w:t>A.1.7</w:t>
        </w:r>
        <w:r w:rsidR="00B9302A" w:rsidRPr="003B4AEE">
          <w:rPr>
            <w:rFonts w:asciiTheme="minorHAnsi" w:eastAsiaTheme="minorEastAsia" w:hAnsiTheme="minorHAnsi" w:cstheme="minorBidi"/>
            <w:noProof/>
            <w:sz w:val="22"/>
            <w:szCs w:val="22"/>
          </w:rPr>
          <w:tab/>
        </w:r>
        <w:r w:rsidR="00B9302A" w:rsidRPr="003B4AEE">
          <w:rPr>
            <w:rStyle w:val="Hyperlink"/>
            <w:noProof/>
          </w:rPr>
          <w:t>Cooling Water Intake Structures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_Toc71729156 \h </w:instrText>
        </w:r>
        <w:r w:rsidR="00B9302A" w:rsidRPr="003B4AEE">
          <w:rPr>
            <w:noProof/>
            <w:webHidden/>
          </w:rPr>
        </w:r>
        <w:r w:rsidR="00B9302A" w:rsidRPr="003B4AEE">
          <w:rPr>
            <w:noProof/>
            <w:webHidden/>
          </w:rPr>
          <w:fldChar w:fldCharType="separate"/>
        </w:r>
        <w:r w:rsidR="00B9302A" w:rsidRPr="003B4AEE">
          <w:rPr>
            <w:noProof/>
            <w:webHidden/>
          </w:rPr>
          <w:t>A-26</w:t>
        </w:r>
        <w:r w:rsidR="00B9302A" w:rsidRPr="003B4AEE">
          <w:rPr>
            <w:noProof/>
            <w:webHidden/>
          </w:rPr>
          <w:fldChar w:fldCharType="end"/>
        </w:r>
      </w:hyperlink>
    </w:p>
    <w:p w14:paraId="62229B55" w14:textId="0DC18464" w:rsidR="00B9302A" w:rsidRPr="003B4AEE" w:rsidRDefault="00D403C0">
      <w:pPr>
        <w:pStyle w:val="TOC4"/>
        <w:rPr>
          <w:rFonts w:asciiTheme="minorHAnsi" w:eastAsiaTheme="minorEastAsia" w:hAnsiTheme="minorHAnsi" w:cstheme="minorBidi"/>
          <w:noProof/>
          <w:sz w:val="22"/>
          <w:szCs w:val="22"/>
        </w:rPr>
      </w:pPr>
      <w:hyperlink w:anchor="_Toc71729157" w:history="1">
        <w:r w:rsidR="00B9302A" w:rsidRPr="003B4AEE">
          <w:rPr>
            <w:rStyle w:val="Hyperlink"/>
            <w:noProof/>
          </w:rPr>
          <w:t>A.1.8</w:t>
        </w:r>
        <w:r w:rsidR="00B9302A" w:rsidRPr="003B4AEE">
          <w:rPr>
            <w:rFonts w:asciiTheme="minorHAnsi" w:eastAsiaTheme="minorEastAsia" w:hAnsiTheme="minorHAnsi" w:cstheme="minorBidi"/>
            <w:noProof/>
            <w:sz w:val="22"/>
            <w:szCs w:val="22"/>
          </w:rPr>
          <w:tab/>
        </w:r>
        <w:r w:rsidR="00B9302A" w:rsidRPr="003B4AEE">
          <w:rPr>
            <w:rStyle w:val="Hyperlink"/>
            <w:noProof/>
          </w:rPr>
          <w:t>Other</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_Toc71729157 \h </w:instrText>
        </w:r>
        <w:r w:rsidR="00B9302A" w:rsidRPr="003B4AEE">
          <w:rPr>
            <w:noProof/>
            <w:webHidden/>
          </w:rPr>
        </w:r>
        <w:r w:rsidR="00B9302A" w:rsidRPr="003B4AEE">
          <w:rPr>
            <w:noProof/>
            <w:webHidden/>
          </w:rPr>
          <w:fldChar w:fldCharType="separate"/>
        </w:r>
        <w:r w:rsidR="00B9302A" w:rsidRPr="003B4AEE">
          <w:rPr>
            <w:noProof/>
            <w:webHidden/>
          </w:rPr>
          <w:t>A-31</w:t>
        </w:r>
        <w:r w:rsidR="00B9302A" w:rsidRPr="003B4AEE">
          <w:rPr>
            <w:noProof/>
            <w:webHidden/>
          </w:rPr>
          <w:fldChar w:fldCharType="end"/>
        </w:r>
      </w:hyperlink>
    </w:p>
    <w:p w14:paraId="64ADFFCB" w14:textId="517AF11A" w:rsidR="00B9302A" w:rsidRPr="003B4AEE" w:rsidRDefault="00D403C0">
      <w:pPr>
        <w:pStyle w:val="TOC4"/>
        <w:rPr>
          <w:rFonts w:asciiTheme="minorHAnsi" w:eastAsiaTheme="minorEastAsia" w:hAnsiTheme="minorHAnsi" w:cstheme="minorBidi"/>
          <w:noProof/>
          <w:sz w:val="22"/>
          <w:szCs w:val="22"/>
        </w:rPr>
      </w:pPr>
      <w:hyperlink w:anchor="_Toc71729158" w:history="1">
        <w:r w:rsidR="00B9302A" w:rsidRPr="003B4AEE">
          <w:rPr>
            <w:rStyle w:val="Hyperlink"/>
            <w:noProof/>
          </w:rPr>
          <w:t>A.1.9</w:t>
        </w:r>
        <w:r w:rsidR="00B9302A" w:rsidRPr="003B4AEE">
          <w:rPr>
            <w:rFonts w:asciiTheme="minorHAnsi" w:eastAsiaTheme="minorEastAsia" w:hAnsiTheme="minorHAnsi" w:cstheme="minorBidi"/>
            <w:noProof/>
            <w:sz w:val="22"/>
            <w:szCs w:val="22"/>
          </w:rPr>
          <w:tab/>
        </w:r>
        <w:r w:rsidR="00B9302A" w:rsidRPr="003B4AEE">
          <w:rPr>
            <w:rStyle w:val="Hyperlink"/>
            <w:noProof/>
          </w:rPr>
          <w:t>General State Activities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_Toc71729158 \h </w:instrText>
        </w:r>
        <w:r w:rsidR="00B9302A" w:rsidRPr="003B4AEE">
          <w:rPr>
            <w:noProof/>
            <w:webHidden/>
          </w:rPr>
        </w:r>
        <w:r w:rsidR="00B9302A" w:rsidRPr="003B4AEE">
          <w:rPr>
            <w:noProof/>
            <w:webHidden/>
          </w:rPr>
          <w:fldChar w:fldCharType="separate"/>
        </w:r>
        <w:r w:rsidR="00B9302A" w:rsidRPr="003B4AEE">
          <w:rPr>
            <w:noProof/>
            <w:webHidden/>
          </w:rPr>
          <w:t>A-33</w:t>
        </w:r>
        <w:r w:rsidR="00B9302A" w:rsidRPr="003B4AEE">
          <w:rPr>
            <w:noProof/>
            <w:webHidden/>
          </w:rPr>
          <w:fldChar w:fldCharType="end"/>
        </w:r>
      </w:hyperlink>
    </w:p>
    <w:p w14:paraId="023AE884" w14:textId="4F94530C" w:rsidR="00B9302A" w:rsidRPr="003B4AEE" w:rsidRDefault="00D403C0">
      <w:pPr>
        <w:pStyle w:val="TOC3"/>
        <w:tabs>
          <w:tab w:val="left" w:pos="1980"/>
        </w:tabs>
        <w:rPr>
          <w:rFonts w:asciiTheme="minorHAnsi" w:eastAsiaTheme="minorEastAsia" w:hAnsiTheme="minorHAnsi" w:cstheme="minorBidi"/>
          <w:sz w:val="22"/>
          <w:szCs w:val="22"/>
        </w:rPr>
      </w:pPr>
      <w:hyperlink w:anchor="_Toc71729159" w:history="1">
        <w:r w:rsidR="00B9302A" w:rsidRPr="003B4AEE">
          <w:rPr>
            <w:rStyle w:val="Hyperlink"/>
          </w:rPr>
          <w:t>A.2</w:t>
        </w:r>
        <w:r w:rsidR="00B9302A" w:rsidRPr="003B4AEE">
          <w:rPr>
            <w:rFonts w:asciiTheme="minorHAnsi" w:eastAsiaTheme="minorEastAsia" w:hAnsiTheme="minorHAnsi" w:cstheme="minorBidi"/>
            <w:sz w:val="22"/>
            <w:szCs w:val="22"/>
          </w:rPr>
          <w:tab/>
        </w:r>
        <w:r w:rsidR="00B9302A" w:rsidRPr="003B4AEE">
          <w:rPr>
            <w:rStyle w:val="Hyperlink"/>
          </w:rPr>
          <w:t>Estimating Respondent Costs</w:t>
        </w:r>
        <w:r w:rsidR="00B9302A" w:rsidRPr="003B4AEE">
          <w:rPr>
            <w:webHidden/>
          </w:rPr>
          <w:tab/>
        </w:r>
        <w:r w:rsidR="00B9302A" w:rsidRPr="003B4AEE">
          <w:rPr>
            <w:webHidden/>
          </w:rPr>
          <w:fldChar w:fldCharType="begin"/>
        </w:r>
        <w:r w:rsidR="00B9302A" w:rsidRPr="003B4AEE">
          <w:rPr>
            <w:webHidden/>
          </w:rPr>
          <w:instrText xml:space="preserve"> PAGEREF _Toc71729159 \h </w:instrText>
        </w:r>
        <w:r w:rsidR="00B9302A" w:rsidRPr="003B4AEE">
          <w:rPr>
            <w:webHidden/>
          </w:rPr>
        </w:r>
        <w:r w:rsidR="00B9302A" w:rsidRPr="003B4AEE">
          <w:rPr>
            <w:webHidden/>
          </w:rPr>
          <w:fldChar w:fldCharType="separate"/>
        </w:r>
        <w:r w:rsidR="00B9302A" w:rsidRPr="003B4AEE">
          <w:rPr>
            <w:webHidden/>
          </w:rPr>
          <w:t>A-35</w:t>
        </w:r>
        <w:r w:rsidR="00B9302A" w:rsidRPr="003B4AEE">
          <w:rPr>
            <w:webHidden/>
          </w:rPr>
          <w:fldChar w:fldCharType="end"/>
        </w:r>
      </w:hyperlink>
    </w:p>
    <w:p w14:paraId="28F6B44C" w14:textId="63231A04" w:rsidR="00B9302A" w:rsidRPr="003B4AEE" w:rsidRDefault="00D403C0">
      <w:pPr>
        <w:pStyle w:val="TOC4"/>
        <w:rPr>
          <w:rFonts w:asciiTheme="minorHAnsi" w:eastAsiaTheme="minorEastAsia" w:hAnsiTheme="minorHAnsi" w:cstheme="minorBidi"/>
          <w:noProof/>
          <w:sz w:val="22"/>
          <w:szCs w:val="22"/>
        </w:rPr>
      </w:pPr>
      <w:hyperlink w:anchor="_Toc71729160" w:history="1">
        <w:r w:rsidR="00B9302A" w:rsidRPr="003B4AEE">
          <w:rPr>
            <w:rStyle w:val="Hyperlink"/>
            <w:noProof/>
          </w:rPr>
          <w:t>A.2.1</w:t>
        </w:r>
        <w:r w:rsidR="00B9302A" w:rsidRPr="003B4AEE">
          <w:rPr>
            <w:rFonts w:asciiTheme="minorHAnsi" w:eastAsiaTheme="minorEastAsia" w:hAnsiTheme="minorHAnsi" w:cstheme="minorBidi"/>
            <w:noProof/>
            <w:sz w:val="22"/>
            <w:szCs w:val="22"/>
          </w:rPr>
          <w:tab/>
        </w:r>
        <w:r w:rsidR="00B9302A" w:rsidRPr="003B4AEE">
          <w:rPr>
            <w:rStyle w:val="Hyperlink"/>
            <w:noProof/>
          </w:rPr>
          <w:t>Estimating Labor Costs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_Toc71729160 \h </w:instrText>
        </w:r>
        <w:r w:rsidR="00B9302A" w:rsidRPr="003B4AEE">
          <w:rPr>
            <w:noProof/>
            <w:webHidden/>
          </w:rPr>
        </w:r>
        <w:r w:rsidR="00B9302A" w:rsidRPr="003B4AEE">
          <w:rPr>
            <w:noProof/>
            <w:webHidden/>
          </w:rPr>
          <w:fldChar w:fldCharType="separate"/>
        </w:r>
        <w:r w:rsidR="00B9302A" w:rsidRPr="003B4AEE">
          <w:rPr>
            <w:noProof/>
            <w:webHidden/>
          </w:rPr>
          <w:t>A-35</w:t>
        </w:r>
        <w:r w:rsidR="00B9302A" w:rsidRPr="003B4AEE">
          <w:rPr>
            <w:noProof/>
            <w:webHidden/>
          </w:rPr>
          <w:fldChar w:fldCharType="end"/>
        </w:r>
      </w:hyperlink>
    </w:p>
    <w:p w14:paraId="1B6F7EC3" w14:textId="6878D291" w:rsidR="00B9302A" w:rsidRPr="003B4AEE" w:rsidRDefault="00D403C0">
      <w:pPr>
        <w:pStyle w:val="TOC4"/>
        <w:rPr>
          <w:rFonts w:asciiTheme="minorHAnsi" w:eastAsiaTheme="minorEastAsia" w:hAnsiTheme="minorHAnsi" w:cstheme="minorBidi"/>
          <w:noProof/>
          <w:sz w:val="22"/>
          <w:szCs w:val="22"/>
        </w:rPr>
      </w:pPr>
      <w:hyperlink w:anchor="_Toc71729161" w:history="1">
        <w:r w:rsidR="00B9302A" w:rsidRPr="003B4AEE">
          <w:rPr>
            <w:rStyle w:val="Hyperlink"/>
            <w:noProof/>
          </w:rPr>
          <w:t>A.2.2</w:t>
        </w:r>
        <w:r w:rsidR="00B9302A" w:rsidRPr="003B4AEE">
          <w:rPr>
            <w:rFonts w:asciiTheme="minorHAnsi" w:eastAsiaTheme="minorEastAsia" w:hAnsiTheme="minorHAnsi" w:cstheme="minorBidi"/>
            <w:noProof/>
            <w:sz w:val="22"/>
            <w:szCs w:val="22"/>
          </w:rPr>
          <w:tab/>
        </w:r>
        <w:r w:rsidR="00B9302A" w:rsidRPr="003B4AEE">
          <w:rPr>
            <w:rStyle w:val="Hyperlink"/>
            <w:noProof/>
          </w:rPr>
          <w:t>O&amp;M Costs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_Toc71729161 \h </w:instrText>
        </w:r>
        <w:r w:rsidR="00B9302A" w:rsidRPr="003B4AEE">
          <w:rPr>
            <w:noProof/>
            <w:webHidden/>
          </w:rPr>
        </w:r>
        <w:r w:rsidR="00B9302A" w:rsidRPr="003B4AEE">
          <w:rPr>
            <w:noProof/>
            <w:webHidden/>
          </w:rPr>
          <w:fldChar w:fldCharType="separate"/>
        </w:r>
        <w:r w:rsidR="00B9302A" w:rsidRPr="003B4AEE">
          <w:rPr>
            <w:noProof/>
            <w:webHidden/>
          </w:rPr>
          <w:t>A-36</w:t>
        </w:r>
        <w:r w:rsidR="00B9302A" w:rsidRPr="003B4AEE">
          <w:rPr>
            <w:noProof/>
            <w:webHidden/>
          </w:rPr>
          <w:fldChar w:fldCharType="end"/>
        </w:r>
      </w:hyperlink>
    </w:p>
    <w:p w14:paraId="1F5EBD55" w14:textId="76C60A38" w:rsidR="00B9302A" w:rsidRPr="003B4AEE" w:rsidRDefault="00D403C0">
      <w:pPr>
        <w:pStyle w:val="TOC4"/>
        <w:rPr>
          <w:rFonts w:asciiTheme="minorHAnsi" w:eastAsiaTheme="minorEastAsia" w:hAnsiTheme="minorHAnsi" w:cstheme="minorBidi"/>
          <w:noProof/>
          <w:sz w:val="22"/>
          <w:szCs w:val="22"/>
        </w:rPr>
      </w:pPr>
      <w:hyperlink w:anchor="_Toc71729162" w:history="1">
        <w:r w:rsidR="00B9302A" w:rsidRPr="003B4AEE">
          <w:rPr>
            <w:rStyle w:val="Hyperlink"/>
            <w:noProof/>
          </w:rPr>
          <w:t>A.2.3</w:t>
        </w:r>
        <w:r w:rsidR="00B9302A" w:rsidRPr="003B4AEE">
          <w:rPr>
            <w:rFonts w:asciiTheme="minorHAnsi" w:eastAsiaTheme="minorEastAsia" w:hAnsiTheme="minorHAnsi" w:cstheme="minorBidi"/>
            <w:noProof/>
            <w:sz w:val="22"/>
            <w:szCs w:val="22"/>
          </w:rPr>
          <w:tab/>
        </w:r>
        <w:r w:rsidR="00B9302A" w:rsidRPr="003B4AEE">
          <w:rPr>
            <w:rStyle w:val="Hyperlink"/>
            <w:noProof/>
          </w:rPr>
          <w:t>Capital/Start-up Costs</w:t>
        </w:r>
        <w:r w:rsidR="00B9302A" w:rsidRPr="003B4AEE">
          <w:rPr>
            <w:noProof/>
            <w:webHidden/>
          </w:rPr>
          <w:tab/>
        </w:r>
        <w:r w:rsidR="00B9302A" w:rsidRPr="003B4AEE">
          <w:rPr>
            <w:noProof/>
            <w:webHidden/>
          </w:rPr>
          <w:fldChar w:fldCharType="begin"/>
        </w:r>
        <w:r w:rsidR="00B9302A" w:rsidRPr="003B4AEE">
          <w:rPr>
            <w:noProof/>
            <w:webHidden/>
          </w:rPr>
          <w:instrText xml:space="preserve"> PAGEREF _Toc71729162 \h </w:instrText>
        </w:r>
        <w:r w:rsidR="00B9302A" w:rsidRPr="003B4AEE">
          <w:rPr>
            <w:noProof/>
            <w:webHidden/>
          </w:rPr>
        </w:r>
        <w:r w:rsidR="00B9302A" w:rsidRPr="003B4AEE">
          <w:rPr>
            <w:noProof/>
            <w:webHidden/>
          </w:rPr>
          <w:fldChar w:fldCharType="separate"/>
        </w:r>
        <w:r w:rsidR="00B9302A" w:rsidRPr="003B4AEE">
          <w:rPr>
            <w:noProof/>
            <w:webHidden/>
          </w:rPr>
          <w:t>A-40</w:t>
        </w:r>
        <w:r w:rsidR="00B9302A" w:rsidRPr="003B4AEE">
          <w:rPr>
            <w:noProof/>
            <w:webHidden/>
          </w:rPr>
          <w:fldChar w:fldCharType="end"/>
        </w:r>
      </w:hyperlink>
    </w:p>
    <w:p w14:paraId="0933315C" w14:textId="6DC6F3E1" w:rsidR="00FC010B" w:rsidRPr="003B4AEE" w:rsidRDefault="00816C06" w:rsidP="00816C06">
      <w:r w:rsidRPr="003B4AEE">
        <w:rPr>
          <w:sz w:val="22"/>
          <w:szCs w:val="22"/>
        </w:rPr>
        <w:fldChar w:fldCharType="end"/>
      </w:r>
    </w:p>
    <w:p w14:paraId="5DDB6ABF" w14:textId="77777777" w:rsidR="008E08D5" w:rsidRPr="003B4AEE" w:rsidRDefault="008E08D5">
      <w:pPr>
        <w:autoSpaceDE/>
        <w:autoSpaceDN/>
        <w:adjustRightInd/>
        <w:spacing w:after="160" w:line="259" w:lineRule="auto"/>
      </w:pPr>
      <w:r w:rsidRPr="003B4AEE">
        <w:br w:type="page"/>
      </w:r>
    </w:p>
    <w:p w14:paraId="51EB9007" w14:textId="77777777" w:rsidR="00293174" w:rsidRPr="003B4AEE" w:rsidRDefault="008E08D5" w:rsidP="00293174">
      <w:pPr>
        <w:spacing w:after="240"/>
        <w:jc w:val="center"/>
        <w:rPr>
          <w:rFonts w:eastAsiaTheme="majorEastAsia"/>
          <w:b/>
          <w:bCs/>
        </w:rPr>
      </w:pPr>
      <w:r w:rsidRPr="003B4AEE">
        <w:rPr>
          <w:rFonts w:cstheme="minorHAnsi"/>
          <w:b/>
          <w:bCs/>
        </w:rPr>
        <w:lastRenderedPageBreak/>
        <w:t>Appendix A</w:t>
      </w:r>
      <w:r w:rsidRPr="003B4AEE">
        <w:rPr>
          <w:rFonts w:cstheme="minorHAnsi"/>
          <w:b/>
          <w:bCs/>
        </w:rPr>
        <w:br/>
        <w:t>List of Table</w:t>
      </w:r>
    </w:p>
    <w:p w14:paraId="64A4E3BB" w14:textId="4E0ABD04" w:rsidR="00E7284C" w:rsidRPr="003B4AEE" w:rsidRDefault="00293174" w:rsidP="00E7284C">
      <w:pPr>
        <w:spacing w:after="0"/>
        <w:jc w:val="right"/>
        <w:rPr>
          <w:rFonts w:eastAsiaTheme="majorEastAsia"/>
          <w:b/>
          <w:bCs/>
        </w:rPr>
      </w:pPr>
      <w:r w:rsidRPr="003B4AEE">
        <w:rPr>
          <w:rFonts w:eastAsiaTheme="majorEastAsia"/>
          <w:b/>
          <w:bCs/>
        </w:rPr>
        <w:t>Page</w:t>
      </w:r>
    </w:p>
    <w:p w14:paraId="1AB9A561" w14:textId="77777777" w:rsidR="00F713BF" w:rsidRPr="003B4AEE" w:rsidRDefault="00F713BF" w:rsidP="00E7284C">
      <w:pPr>
        <w:spacing w:after="0"/>
        <w:jc w:val="right"/>
      </w:pPr>
    </w:p>
    <w:p w14:paraId="1A31014C" w14:textId="00C22E6A" w:rsidR="00F713BF" w:rsidRPr="003B4AEE" w:rsidRDefault="008E08D5">
      <w:pPr>
        <w:pStyle w:val="TableofFigures"/>
        <w:tabs>
          <w:tab w:val="right" w:leader="dot" w:pos="9350"/>
        </w:tabs>
        <w:rPr>
          <w:rFonts w:asciiTheme="minorHAnsi" w:eastAsiaTheme="minorEastAsia" w:hAnsiTheme="minorHAnsi" w:cstheme="minorBidi"/>
          <w:noProof/>
          <w:szCs w:val="22"/>
        </w:rPr>
      </w:pPr>
      <w:r w:rsidRPr="003B4AEE">
        <w:rPr>
          <w:rFonts w:cstheme="minorHAnsi"/>
          <w:b/>
          <w:bCs/>
          <w:sz w:val="28"/>
          <w:szCs w:val="28"/>
        </w:rPr>
        <w:fldChar w:fldCharType="begin"/>
      </w:r>
      <w:r w:rsidRPr="003B4AEE">
        <w:rPr>
          <w:rFonts w:cstheme="minorHAnsi"/>
          <w:b/>
          <w:bCs/>
          <w:sz w:val="28"/>
          <w:szCs w:val="28"/>
        </w:rPr>
        <w:instrText xml:space="preserve"> TOC \h \z \t "Table Title_Appendix" \c </w:instrText>
      </w:r>
      <w:r w:rsidRPr="003B4AEE">
        <w:rPr>
          <w:rFonts w:cstheme="minorHAnsi"/>
          <w:b/>
          <w:bCs/>
          <w:sz w:val="28"/>
          <w:szCs w:val="28"/>
        </w:rPr>
        <w:fldChar w:fldCharType="separate"/>
      </w:r>
      <w:hyperlink w:anchor="_Toc61521412" w:history="1">
        <w:r w:rsidR="00F713BF" w:rsidRPr="003B4AEE">
          <w:rPr>
            <w:rStyle w:val="Hyperlink"/>
            <w:noProof/>
          </w:rPr>
          <w:t>Table A-1. Summary of Burden Assumptions Related to IUs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_Toc61521412 \h </w:instrText>
        </w:r>
        <w:r w:rsidR="00F713BF" w:rsidRPr="003B4AEE">
          <w:rPr>
            <w:noProof/>
            <w:webHidden/>
          </w:rPr>
        </w:r>
        <w:r w:rsidR="00F713BF" w:rsidRPr="003B4AEE">
          <w:rPr>
            <w:noProof/>
            <w:webHidden/>
          </w:rPr>
          <w:fldChar w:fldCharType="separate"/>
        </w:r>
        <w:r w:rsidR="00F713BF" w:rsidRPr="003B4AEE">
          <w:rPr>
            <w:noProof/>
            <w:webHidden/>
          </w:rPr>
          <w:t>A-13</w:t>
        </w:r>
        <w:r w:rsidR="00F713BF" w:rsidRPr="003B4AEE">
          <w:rPr>
            <w:noProof/>
            <w:webHidden/>
          </w:rPr>
          <w:fldChar w:fldCharType="end"/>
        </w:r>
      </w:hyperlink>
    </w:p>
    <w:p w14:paraId="650B80F9" w14:textId="4B6953DF"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3" w:history="1">
        <w:r w:rsidR="00F713BF" w:rsidRPr="003B4AEE">
          <w:rPr>
            <w:rStyle w:val="Hyperlink"/>
            <w:noProof/>
          </w:rPr>
          <w:t>Table A-2. Summary of Burden Assumptions Related to POTWs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_Toc61521413 \h </w:instrText>
        </w:r>
        <w:r w:rsidR="00F713BF" w:rsidRPr="003B4AEE">
          <w:rPr>
            <w:noProof/>
            <w:webHidden/>
          </w:rPr>
        </w:r>
        <w:r w:rsidR="00F713BF" w:rsidRPr="003B4AEE">
          <w:rPr>
            <w:noProof/>
            <w:webHidden/>
          </w:rPr>
          <w:fldChar w:fldCharType="separate"/>
        </w:r>
        <w:r w:rsidR="00F713BF" w:rsidRPr="003B4AEE">
          <w:rPr>
            <w:noProof/>
            <w:webHidden/>
          </w:rPr>
          <w:t>A-14</w:t>
        </w:r>
        <w:r w:rsidR="00F713BF" w:rsidRPr="003B4AEE">
          <w:rPr>
            <w:noProof/>
            <w:webHidden/>
          </w:rPr>
          <w:fldChar w:fldCharType="end"/>
        </w:r>
      </w:hyperlink>
    </w:p>
    <w:p w14:paraId="055FAB6D" w14:textId="2E386A6C"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4" w:history="1">
        <w:r w:rsidR="00F713BF" w:rsidRPr="003B4AEE">
          <w:rPr>
            <w:rStyle w:val="Hyperlink"/>
            <w:noProof/>
          </w:rPr>
          <w:t>Table A-3. Summary of Burden Assumption Related to States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_Toc61521414 \h </w:instrText>
        </w:r>
        <w:r w:rsidR="00F713BF" w:rsidRPr="003B4AEE">
          <w:rPr>
            <w:noProof/>
            <w:webHidden/>
          </w:rPr>
        </w:r>
        <w:r w:rsidR="00F713BF" w:rsidRPr="003B4AEE">
          <w:rPr>
            <w:noProof/>
            <w:webHidden/>
          </w:rPr>
          <w:fldChar w:fldCharType="separate"/>
        </w:r>
        <w:r w:rsidR="00F713BF" w:rsidRPr="003B4AEE">
          <w:rPr>
            <w:noProof/>
            <w:webHidden/>
          </w:rPr>
          <w:t>A-14</w:t>
        </w:r>
        <w:r w:rsidR="00F713BF" w:rsidRPr="003B4AEE">
          <w:rPr>
            <w:noProof/>
            <w:webHidden/>
          </w:rPr>
          <w:fldChar w:fldCharType="end"/>
        </w:r>
      </w:hyperlink>
    </w:p>
    <w:p w14:paraId="42401557" w14:textId="7EEAD733"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5" w:history="1">
        <w:r w:rsidR="00F713BF" w:rsidRPr="003B4AEE">
          <w:rPr>
            <w:rStyle w:val="Hyperlink"/>
            <w:noProof/>
          </w:rPr>
          <w:t>Table A-4. Summary of Burden Assumption Related to EPA Program Oversight</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_Toc61521415 \h </w:instrText>
        </w:r>
        <w:r w:rsidR="00F713BF" w:rsidRPr="003B4AEE">
          <w:rPr>
            <w:noProof/>
            <w:webHidden/>
          </w:rPr>
        </w:r>
        <w:r w:rsidR="00F713BF" w:rsidRPr="003B4AEE">
          <w:rPr>
            <w:noProof/>
            <w:webHidden/>
          </w:rPr>
          <w:fldChar w:fldCharType="separate"/>
        </w:r>
        <w:r w:rsidR="00F713BF" w:rsidRPr="003B4AEE">
          <w:rPr>
            <w:noProof/>
            <w:webHidden/>
          </w:rPr>
          <w:t>A-15</w:t>
        </w:r>
        <w:r w:rsidR="00F713BF" w:rsidRPr="003B4AEE">
          <w:rPr>
            <w:noProof/>
            <w:webHidden/>
          </w:rPr>
          <w:fldChar w:fldCharType="end"/>
        </w:r>
      </w:hyperlink>
    </w:p>
    <w:p w14:paraId="2F7F92E8" w14:textId="1D645002"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6" w:history="1">
        <w:r w:rsidR="00F713BF" w:rsidRPr="003B4AEE">
          <w:rPr>
            <w:rStyle w:val="Hyperlink"/>
            <w:noProof/>
          </w:rPr>
          <w:t>Table A-5. Assumptions for Pesticide Applicator Reports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_Toc61521416 \h </w:instrText>
        </w:r>
        <w:r w:rsidR="00F713BF" w:rsidRPr="003B4AEE">
          <w:rPr>
            <w:noProof/>
            <w:webHidden/>
          </w:rPr>
        </w:r>
        <w:r w:rsidR="00F713BF" w:rsidRPr="003B4AEE">
          <w:rPr>
            <w:noProof/>
            <w:webHidden/>
          </w:rPr>
          <w:fldChar w:fldCharType="separate"/>
        </w:r>
        <w:r w:rsidR="00F713BF" w:rsidRPr="003B4AEE">
          <w:rPr>
            <w:noProof/>
            <w:webHidden/>
          </w:rPr>
          <w:t>A-24</w:t>
        </w:r>
        <w:r w:rsidR="00F713BF" w:rsidRPr="003B4AEE">
          <w:rPr>
            <w:noProof/>
            <w:webHidden/>
          </w:rPr>
          <w:fldChar w:fldCharType="end"/>
        </w:r>
      </w:hyperlink>
    </w:p>
    <w:p w14:paraId="4C33A220" w14:textId="1672AA7E"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7" w:history="1">
        <w:r w:rsidR="00F713BF" w:rsidRPr="003B4AEE">
          <w:rPr>
            <w:rStyle w:val="Hyperlink"/>
            <w:noProof/>
          </w:rPr>
          <w:t>Table A-6. Underlying Assumptions for Animal Sector Permittees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_Toc61521417 \h </w:instrText>
        </w:r>
        <w:r w:rsidR="00F713BF" w:rsidRPr="003B4AEE">
          <w:rPr>
            <w:noProof/>
            <w:webHidden/>
          </w:rPr>
        </w:r>
        <w:r w:rsidR="00F713BF" w:rsidRPr="003B4AEE">
          <w:rPr>
            <w:noProof/>
            <w:webHidden/>
          </w:rPr>
          <w:fldChar w:fldCharType="separate"/>
        </w:r>
        <w:r w:rsidR="00F713BF" w:rsidRPr="003B4AEE">
          <w:rPr>
            <w:noProof/>
            <w:webHidden/>
          </w:rPr>
          <w:t>A-25</w:t>
        </w:r>
        <w:r w:rsidR="00F713BF" w:rsidRPr="003B4AEE">
          <w:rPr>
            <w:noProof/>
            <w:webHidden/>
          </w:rPr>
          <w:fldChar w:fldCharType="end"/>
        </w:r>
      </w:hyperlink>
    </w:p>
    <w:p w14:paraId="73DF8947" w14:textId="7860C058"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8" w:history="1">
        <w:r w:rsidR="00F713BF" w:rsidRPr="003B4AEE">
          <w:rPr>
            <w:rStyle w:val="Hyperlink"/>
            <w:noProof/>
          </w:rPr>
          <w:t>Table A-7. Summary of Burden Assumption for CAFO and CAAP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_Toc61521418 \h </w:instrText>
        </w:r>
        <w:r w:rsidR="00F713BF" w:rsidRPr="003B4AEE">
          <w:rPr>
            <w:noProof/>
            <w:webHidden/>
          </w:rPr>
        </w:r>
        <w:r w:rsidR="00F713BF" w:rsidRPr="003B4AEE">
          <w:rPr>
            <w:noProof/>
            <w:webHidden/>
          </w:rPr>
          <w:fldChar w:fldCharType="separate"/>
        </w:r>
        <w:r w:rsidR="00F713BF" w:rsidRPr="003B4AEE">
          <w:rPr>
            <w:noProof/>
            <w:webHidden/>
          </w:rPr>
          <w:t>A-26</w:t>
        </w:r>
        <w:r w:rsidR="00F713BF" w:rsidRPr="003B4AEE">
          <w:rPr>
            <w:noProof/>
            <w:webHidden/>
          </w:rPr>
          <w:fldChar w:fldCharType="end"/>
        </w:r>
      </w:hyperlink>
    </w:p>
    <w:p w14:paraId="61A258F5" w14:textId="27395A70"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19" w:history="1">
        <w:r w:rsidR="00F713BF" w:rsidRPr="003B4AEE">
          <w:rPr>
            <w:rStyle w:val="Hyperlink"/>
            <w:noProof/>
          </w:rPr>
          <w:t>Table A-8. Summary of State/Federal Burden Assumption for Animal Sector</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_Toc61521419 \h </w:instrText>
        </w:r>
        <w:r w:rsidR="00F713BF" w:rsidRPr="003B4AEE">
          <w:rPr>
            <w:noProof/>
            <w:webHidden/>
          </w:rPr>
        </w:r>
        <w:r w:rsidR="00F713BF" w:rsidRPr="003B4AEE">
          <w:rPr>
            <w:noProof/>
            <w:webHidden/>
          </w:rPr>
          <w:fldChar w:fldCharType="separate"/>
        </w:r>
        <w:r w:rsidR="00F713BF" w:rsidRPr="003B4AEE">
          <w:rPr>
            <w:noProof/>
            <w:webHidden/>
          </w:rPr>
          <w:t>A-26</w:t>
        </w:r>
        <w:r w:rsidR="00F713BF" w:rsidRPr="003B4AEE">
          <w:rPr>
            <w:noProof/>
            <w:webHidden/>
          </w:rPr>
          <w:fldChar w:fldCharType="end"/>
        </w:r>
      </w:hyperlink>
    </w:p>
    <w:p w14:paraId="2C3BAC10" w14:textId="6D01BC9A"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0" w:history="1">
        <w:r w:rsidR="00F713BF" w:rsidRPr="003B4AEE">
          <w:rPr>
            <w:rStyle w:val="Hyperlink"/>
            <w:noProof/>
          </w:rPr>
          <w:t>Table A-9. Estimated Facility Burden Hours for Initial Application  and Compliance Activities for New CWIS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_Toc61521420 \h </w:instrText>
        </w:r>
        <w:r w:rsidR="00F713BF" w:rsidRPr="003B4AEE">
          <w:rPr>
            <w:noProof/>
            <w:webHidden/>
          </w:rPr>
        </w:r>
        <w:r w:rsidR="00F713BF" w:rsidRPr="003B4AEE">
          <w:rPr>
            <w:noProof/>
            <w:webHidden/>
          </w:rPr>
          <w:fldChar w:fldCharType="separate"/>
        </w:r>
        <w:r w:rsidR="00F713BF" w:rsidRPr="003B4AEE">
          <w:rPr>
            <w:noProof/>
            <w:webHidden/>
          </w:rPr>
          <w:t>A-27</w:t>
        </w:r>
        <w:r w:rsidR="00F713BF" w:rsidRPr="003B4AEE">
          <w:rPr>
            <w:noProof/>
            <w:webHidden/>
          </w:rPr>
          <w:fldChar w:fldCharType="end"/>
        </w:r>
      </w:hyperlink>
    </w:p>
    <w:p w14:paraId="08449B5C" w14:textId="1F53D7C7"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1" w:history="1">
        <w:r w:rsidR="00F713BF" w:rsidRPr="003B4AEE">
          <w:rPr>
            <w:rStyle w:val="Hyperlink"/>
            <w:noProof/>
          </w:rPr>
          <w:t>Table A-10. Estimated Facility Burden for Recurring Activities for New CWIS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_Toc61521421 \h </w:instrText>
        </w:r>
        <w:r w:rsidR="00F713BF" w:rsidRPr="003B4AEE">
          <w:rPr>
            <w:noProof/>
            <w:webHidden/>
          </w:rPr>
        </w:r>
        <w:r w:rsidR="00F713BF" w:rsidRPr="003B4AEE">
          <w:rPr>
            <w:noProof/>
            <w:webHidden/>
          </w:rPr>
          <w:fldChar w:fldCharType="separate"/>
        </w:r>
        <w:r w:rsidR="00F713BF" w:rsidRPr="003B4AEE">
          <w:rPr>
            <w:noProof/>
            <w:webHidden/>
          </w:rPr>
          <w:t>A-28</w:t>
        </w:r>
        <w:r w:rsidR="00F713BF" w:rsidRPr="003B4AEE">
          <w:rPr>
            <w:noProof/>
            <w:webHidden/>
          </w:rPr>
          <w:fldChar w:fldCharType="end"/>
        </w:r>
      </w:hyperlink>
    </w:p>
    <w:p w14:paraId="4B08DF14" w14:textId="6E2CF0D2"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2" w:history="1">
        <w:r w:rsidR="00F713BF" w:rsidRPr="003B4AEE">
          <w:rPr>
            <w:rStyle w:val="Hyperlink"/>
            <w:noProof/>
          </w:rPr>
          <w:t>Table A-11. Estimated State Agency and EPA Activity Burden Associated with New CWIS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_Toc61521422 \h </w:instrText>
        </w:r>
        <w:r w:rsidR="00F713BF" w:rsidRPr="003B4AEE">
          <w:rPr>
            <w:noProof/>
            <w:webHidden/>
          </w:rPr>
        </w:r>
        <w:r w:rsidR="00F713BF" w:rsidRPr="003B4AEE">
          <w:rPr>
            <w:noProof/>
            <w:webHidden/>
          </w:rPr>
          <w:fldChar w:fldCharType="separate"/>
        </w:r>
        <w:r w:rsidR="00F713BF" w:rsidRPr="003B4AEE">
          <w:rPr>
            <w:noProof/>
            <w:webHidden/>
          </w:rPr>
          <w:t>A-28</w:t>
        </w:r>
        <w:r w:rsidR="00F713BF" w:rsidRPr="003B4AEE">
          <w:rPr>
            <w:noProof/>
            <w:webHidden/>
          </w:rPr>
          <w:fldChar w:fldCharType="end"/>
        </w:r>
      </w:hyperlink>
    </w:p>
    <w:p w14:paraId="2E62E71F" w14:textId="1A03996B"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3" w:history="1">
        <w:r w:rsidR="00F713BF" w:rsidRPr="003B4AEE">
          <w:rPr>
            <w:rStyle w:val="Hyperlink"/>
            <w:noProof/>
          </w:rPr>
          <w:t>Table A-12. Estimated Facility Burden for Initial Permit Renewal Applications and Compliance Activities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_Toc61521423 \h </w:instrText>
        </w:r>
        <w:r w:rsidR="00F713BF" w:rsidRPr="003B4AEE">
          <w:rPr>
            <w:noProof/>
            <w:webHidden/>
          </w:rPr>
        </w:r>
        <w:r w:rsidR="00F713BF" w:rsidRPr="003B4AEE">
          <w:rPr>
            <w:noProof/>
            <w:webHidden/>
          </w:rPr>
          <w:fldChar w:fldCharType="separate"/>
        </w:r>
        <w:r w:rsidR="00F713BF" w:rsidRPr="003B4AEE">
          <w:rPr>
            <w:noProof/>
            <w:webHidden/>
          </w:rPr>
          <w:t>A-29</w:t>
        </w:r>
        <w:r w:rsidR="00F713BF" w:rsidRPr="003B4AEE">
          <w:rPr>
            <w:noProof/>
            <w:webHidden/>
          </w:rPr>
          <w:fldChar w:fldCharType="end"/>
        </w:r>
      </w:hyperlink>
    </w:p>
    <w:p w14:paraId="23495679" w14:textId="10C3C079"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4" w:history="1">
        <w:r w:rsidR="00F713BF" w:rsidRPr="003B4AEE">
          <w:rPr>
            <w:rStyle w:val="Hyperlink"/>
            <w:noProof/>
          </w:rPr>
          <w:t>Table A-13. Estimated Facility Burden for Recurring Activities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_Toc61521424 \h </w:instrText>
        </w:r>
        <w:r w:rsidR="00F713BF" w:rsidRPr="003B4AEE">
          <w:rPr>
            <w:noProof/>
            <w:webHidden/>
          </w:rPr>
        </w:r>
        <w:r w:rsidR="00F713BF" w:rsidRPr="003B4AEE">
          <w:rPr>
            <w:noProof/>
            <w:webHidden/>
          </w:rPr>
          <w:fldChar w:fldCharType="separate"/>
        </w:r>
        <w:r w:rsidR="00F713BF" w:rsidRPr="003B4AEE">
          <w:rPr>
            <w:noProof/>
            <w:webHidden/>
          </w:rPr>
          <w:t>A-29</w:t>
        </w:r>
        <w:r w:rsidR="00F713BF" w:rsidRPr="003B4AEE">
          <w:rPr>
            <w:noProof/>
            <w:webHidden/>
          </w:rPr>
          <w:fldChar w:fldCharType="end"/>
        </w:r>
      </w:hyperlink>
    </w:p>
    <w:p w14:paraId="4F871B00" w14:textId="75029223"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5" w:history="1">
        <w:r w:rsidR="00F713BF" w:rsidRPr="003B4AEE">
          <w:rPr>
            <w:rStyle w:val="Hyperlink"/>
            <w:noProof/>
          </w:rPr>
          <w:t>Table A-14. Estimated Facility Burden for Federal Oversight</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_Toc61521425 \h </w:instrText>
        </w:r>
        <w:r w:rsidR="00F713BF" w:rsidRPr="003B4AEE">
          <w:rPr>
            <w:noProof/>
            <w:webHidden/>
          </w:rPr>
        </w:r>
        <w:r w:rsidR="00F713BF" w:rsidRPr="003B4AEE">
          <w:rPr>
            <w:noProof/>
            <w:webHidden/>
          </w:rPr>
          <w:fldChar w:fldCharType="separate"/>
        </w:r>
        <w:r w:rsidR="00F713BF" w:rsidRPr="003B4AEE">
          <w:rPr>
            <w:noProof/>
            <w:webHidden/>
          </w:rPr>
          <w:t>A-30</w:t>
        </w:r>
        <w:r w:rsidR="00F713BF" w:rsidRPr="003B4AEE">
          <w:rPr>
            <w:noProof/>
            <w:webHidden/>
          </w:rPr>
          <w:fldChar w:fldCharType="end"/>
        </w:r>
      </w:hyperlink>
    </w:p>
    <w:p w14:paraId="0D23ADF0" w14:textId="6BFB11ED"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6" w:history="1">
        <w:r w:rsidR="00F713BF" w:rsidRPr="003B4AEE">
          <w:rPr>
            <w:rStyle w:val="Hyperlink"/>
            <w:noProof/>
          </w:rPr>
          <w:t>Table A-15. Estimated per facility burden hours and frequency for recurring  activities that apply to all existing CWIS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_Toc61521426 \h </w:instrText>
        </w:r>
        <w:r w:rsidR="00F713BF" w:rsidRPr="003B4AEE">
          <w:rPr>
            <w:noProof/>
            <w:webHidden/>
          </w:rPr>
        </w:r>
        <w:r w:rsidR="00F713BF" w:rsidRPr="003B4AEE">
          <w:rPr>
            <w:noProof/>
            <w:webHidden/>
          </w:rPr>
          <w:fldChar w:fldCharType="separate"/>
        </w:r>
        <w:r w:rsidR="00F713BF" w:rsidRPr="003B4AEE">
          <w:rPr>
            <w:noProof/>
            <w:webHidden/>
          </w:rPr>
          <w:t>A-31</w:t>
        </w:r>
        <w:r w:rsidR="00F713BF" w:rsidRPr="003B4AEE">
          <w:rPr>
            <w:noProof/>
            <w:webHidden/>
          </w:rPr>
          <w:fldChar w:fldCharType="end"/>
        </w:r>
      </w:hyperlink>
    </w:p>
    <w:p w14:paraId="2CD488FC" w14:textId="43D9A2EF"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7" w:history="1">
        <w:r w:rsidR="00F713BF" w:rsidRPr="003B4AEE">
          <w:rPr>
            <w:rStyle w:val="Hyperlink"/>
            <w:noProof/>
          </w:rPr>
          <w:t>Table A-16. Estimated annual number of responses and burden  by facility type for state agencies and EPA</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_Toc61521427 \h </w:instrText>
        </w:r>
        <w:r w:rsidR="00F713BF" w:rsidRPr="003B4AEE">
          <w:rPr>
            <w:noProof/>
            <w:webHidden/>
          </w:rPr>
        </w:r>
        <w:r w:rsidR="00F713BF" w:rsidRPr="003B4AEE">
          <w:rPr>
            <w:noProof/>
            <w:webHidden/>
          </w:rPr>
          <w:fldChar w:fldCharType="separate"/>
        </w:r>
        <w:r w:rsidR="00F713BF" w:rsidRPr="003B4AEE">
          <w:rPr>
            <w:noProof/>
            <w:webHidden/>
          </w:rPr>
          <w:t>A-31</w:t>
        </w:r>
        <w:r w:rsidR="00F713BF" w:rsidRPr="003B4AEE">
          <w:rPr>
            <w:noProof/>
            <w:webHidden/>
          </w:rPr>
          <w:fldChar w:fldCharType="end"/>
        </w:r>
      </w:hyperlink>
    </w:p>
    <w:p w14:paraId="7097F93F" w14:textId="2F9A815F"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8" w:history="1">
        <w:r w:rsidR="00F713BF" w:rsidRPr="003B4AEE">
          <w:rPr>
            <w:rStyle w:val="Hyperlink"/>
            <w:noProof/>
          </w:rPr>
          <w:t>Table A-17. Estimated Percent of POTWs that Perform Form 2A Pollutant Testing In-House</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_Toc61521428 \h </w:instrText>
        </w:r>
        <w:r w:rsidR="00F713BF" w:rsidRPr="003B4AEE">
          <w:rPr>
            <w:noProof/>
            <w:webHidden/>
          </w:rPr>
        </w:r>
        <w:r w:rsidR="00F713BF" w:rsidRPr="003B4AEE">
          <w:rPr>
            <w:noProof/>
            <w:webHidden/>
          </w:rPr>
          <w:fldChar w:fldCharType="separate"/>
        </w:r>
        <w:r w:rsidR="00F713BF" w:rsidRPr="003B4AEE">
          <w:rPr>
            <w:noProof/>
            <w:webHidden/>
          </w:rPr>
          <w:t>A-37</w:t>
        </w:r>
        <w:r w:rsidR="00F713BF" w:rsidRPr="003B4AEE">
          <w:rPr>
            <w:noProof/>
            <w:webHidden/>
          </w:rPr>
          <w:fldChar w:fldCharType="end"/>
        </w:r>
      </w:hyperlink>
    </w:p>
    <w:p w14:paraId="1141CD97" w14:textId="13CB5099"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29" w:history="1">
        <w:r w:rsidR="00F713BF" w:rsidRPr="003B4AEE">
          <w:rPr>
            <w:rStyle w:val="Hyperlink"/>
            <w:noProof/>
          </w:rPr>
          <w:t>Table A-18. Estimated Percent of POTWs that Perform Form 2S pollutant Testing In-House</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_Toc61521429 \h </w:instrText>
        </w:r>
        <w:r w:rsidR="00F713BF" w:rsidRPr="003B4AEE">
          <w:rPr>
            <w:noProof/>
            <w:webHidden/>
          </w:rPr>
        </w:r>
        <w:r w:rsidR="00F713BF" w:rsidRPr="003B4AEE">
          <w:rPr>
            <w:noProof/>
            <w:webHidden/>
          </w:rPr>
          <w:fldChar w:fldCharType="separate"/>
        </w:r>
        <w:r w:rsidR="00F713BF" w:rsidRPr="003B4AEE">
          <w:rPr>
            <w:noProof/>
            <w:webHidden/>
          </w:rPr>
          <w:t>A-38</w:t>
        </w:r>
        <w:r w:rsidR="00F713BF" w:rsidRPr="003B4AEE">
          <w:rPr>
            <w:noProof/>
            <w:webHidden/>
          </w:rPr>
          <w:fldChar w:fldCharType="end"/>
        </w:r>
      </w:hyperlink>
    </w:p>
    <w:p w14:paraId="2478DC52" w14:textId="0763F55A"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0" w:history="1">
        <w:r w:rsidR="00F713BF" w:rsidRPr="003B4AEE">
          <w:rPr>
            <w:rStyle w:val="Hyperlink"/>
            <w:noProof/>
          </w:rPr>
          <w:t>Table A-19. Testing/Contractor Costs (O&amp;M costs)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_Toc61521430 \h </w:instrText>
        </w:r>
        <w:r w:rsidR="00F713BF" w:rsidRPr="003B4AEE">
          <w:rPr>
            <w:noProof/>
            <w:webHidden/>
          </w:rPr>
        </w:r>
        <w:r w:rsidR="00F713BF" w:rsidRPr="003B4AEE">
          <w:rPr>
            <w:noProof/>
            <w:webHidden/>
          </w:rPr>
          <w:fldChar w:fldCharType="separate"/>
        </w:r>
        <w:r w:rsidR="00F713BF" w:rsidRPr="003B4AEE">
          <w:rPr>
            <w:noProof/>
            <w:webHidden/>
          </w:rPr>
          <w:t>A-38</w:t>
        </w:r>
        <w:r w:rsidR="00F713BF" w:rsidRPr="003B4AEE">
          <w:rPr>
            <w:noProof/>
            <w:webHidden/>
          </w:rPr>
          <w:fldChar w:fldCharType="end"/>
        </w:r>
      </w:hyperlink>
    </w:p>
    <w:p w14:paraId="4BA8EDAF" w14:textId="51ADFEFD"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1" w:history="1">
        <w:r w:rsidR="00F713BF" w:rsidRPr="003B4AEE">
          <w:rPr>
            <w:rStyle w:val="Hyperlink"/>
            <w:noProof/>
          </w:rPr>
          <w:t>Table A-20. Summary of CWIS Phase I O&amp;M and ODC Average Annual Costs per Permit</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_Toc61521431 \h </w:instrText>
        </w:r>
        <w:r w:rsidR="00F713BF" w:rsidRPr="003B4AEE">
          <w:rPr>
            <w:noProof/>
            <w:webHidden/>
          </w:rPr>
        </w:r>
        <w:r w:rsidR="00F713BF" w:rsidRPr="003B4AEE">
          <w:rPr>
            <w:noProof/>
            <w:webHidden/>
          </w:rPr>
          <w:fldChar w:fldCharType="separate"/>
        </w:r>
        <w:r w:rsidR="00F713BF" w:rsidRPr="003B4AEE">
          <w:rPr>
            <w:noProof/>
            <w:webHidden/>
          </w:rPr>
          <w:t>A-40</w:t>
        </w:r>
        <w:r w:rsidR="00F713BF" w:rsidRPr="003B4AEE">
          <w:rPr>
            <w:noProof/>
            <w:webHidden/>
          </w:rPr>
          <w:fldChar w:fldCharType="end"/>
        </w:r>
      </w:hyperlink>
    </w:p>
    <w:p w14:paraId="2AB33FBF" w14:textId="7AD043A2"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2" w:history="1">
        <w:r w:rsidR="00F713BF" w:rsidRPr="003B4AEE">
          <w:rPr>
            <w:rStyle w:val="Hyperlink"/>
            <w:noProof/>
          </w:rPr>
          <w:t>Table A-21. Summary of Estimated Annual Total O&amp;M Costs for All CWIS Phase III Facilities</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_Toc61521432 \h </w:instrText>
        </w:r>
        <w:r w:rsidR="00F713BF" w:rsidRPr="003B4AEE">
          <w:rPr>
            <w:noProof/>
            <w:webHidden/>
          </w:rPr>
        </w:r>
        <w:r w:rsidR="00F713BF" w:rsidRPr="003B4AEE">
          <w:rPr>
            <w:noProof/>
            <w:webHidden/>
          </w:rPr>
          <w:fldChar w:fldCharType="separate"/>
        </w:r>
        <w:r w:rsidR="00F713BF" w:rsidRPr="003B4AEE">
          <w:rPr>
            <w:noProof/>
            <w:webHidden/>
          </w:rPr>
          <w:t>A-40</w:t>
        </w:r>
        <w:r w:rsidR="00F713BF" w:rsidRPr="003B4AEE">
          <w:rPr>
            <w:noProof/>
            <w:webHidden/>
          </w:rPr>
          <w:fldChar w:fldCharType="end"/>
        </w:r>
      </w:hyperlink>
    </w:p>
    <w:p w14:paraId="39A14ED0" w14:textId="5E6BC7B8" w:rsidR="00F713BF" w:rsidRPr="003B4AEE" w:rsidRDefault="00D403C0">
      <w:pPr>
        <w:pStyle w:val="TableofFigures"/>
        <w:tabs>
          <w:tab w:val="right" w:leader="dot" w:pos="9350"/>
        </w:tabs>
        <w:rPr>
          <w:rFonts w:asciiTheme="minorHAnsi" w:eastAsiaTheme="minorEastAsia" w:hAnsiTheme="minorHAnsi" w:cstheme="minorBidi"/>
          <w:noProof/>
          <w:szCs w:val="22"/>
        </w:rPr>
      </w:pPr>
      <w:hyperlink w:anchor="_Toc61521433" w:history="1">
        <w:r w:rsidR="00F713BF" w:rsidRPr="003B4AEE">
          <w:rPr>
            <w:rStyle w:val="Hyperlink"/>
            <w:noProof/>
          </w:rPr>
          <w:t>Table A-22. Estimated Annual O&amp;M Costs for Existing Facility</w:t>
        </w:r>
        <w:r w:rsidR="00F713BF" w:rsidRPr="003B4AEE">
          <w:rPr>
            <w:noProof/>
            <w:webHidden/>
          </w:rPr>
          <w:tab/>
        </w:r>
        <w:r w:rsidR="00F713BF" w:rsidRPr="003B4AEE">
          <w:rPr>
            <w:noProof/>
            <w:webHidden/>
          </w:rPr>
          <w:fldChar w:fldCharType="begin"/>
        </w:r>
        <w:r w:rsidR="00F713BF" w:rsidRPr="003B4AEE">
          <w:rPr>
            <w:noProof/>
            <w:webHidden/>
          </w:rPr>
          <w:instrText xml:space="preserve"> PAGEREF _Toc61521433 \h </w:instrText>
        </w:r>
        <w:r w:rsidR="00F713BF" w:rsidRPr="003B4AEE">
          <w:rPr>
            <w:noProof/>
            <w:webHidden/>
          </w:rPr>
        </w:r>
        <w:r w:rsidR="00F713BF" w:rsidRPr="003B4AEE">
          <w:rPr>
            <w:noProof/>
            <w:webHidden/>
          </w:rPr>
          <w:fldChar w:fldCharType="separate"/>
        </w:r>
        <w:r w:rsidR="00F713BF" w:rsidRPr="003B4AEE">
          <w:rPr>
            <w:noProof/>
            <w:webHidden/>
          </w:rPr>
          <w:t>A-40</w:t>
        </w:r>
        <w:r w:rsidR="00F713BF" w:rsidRPr="003B4AEE">
          <w:rPr>
            <w:noProof/>
            <w:webHidden/>
          </w:rPr>
          <w:fldChar w:fldCharType="end"/>
        </w:r>
      </w:hyperlink>
    </w:p>
    <w:p w14:paraId="738C85A2" w14:textId="7C5965E3" w:rsidR="00FC010B" w:rsidRPr="003B4AEE" w:rsidRDefault="008E08D5" w:rsidP="00816C06">
      <w:r w:rsidRPr="003B4AEE">
        <w:rPr>
          <w:rFonts w:cstheme="minorHAnsi"/>
          <w:b/>
          <w:bCs/>
          <w:sz w:val="28"/>
          <w:szCs w:val="28"/>
        </w:rPr>
        <w:fldChar w:fldCharType="end"/>
      </w:r>
    </w:p>
    <w:p w14:paraId="04CADE2C" w14:textId="77777777" w:rsidR="00FC010B" w:rsidRPr="003B4AEE" w:rsidRDefault="00FC010B" w:rsidP="00FC010B"/>
    <w:p w14:paraId="4F6EF574" w14:textId="30FD69A6" w:rsidR="00FC010B" w:rsidRPr="003B4AEE" w:rsidRDefault="00FC010B" w:rsidP="00FC010B">
      <w:pPr>
        <w:sectPr w:rsidR="00FC010B" w:rsidRPr="003B4AEE" w:rsidSect="00C1544E">
          <w:headerReference w:type="default" r:id="rId18"/>
          <w:footerReference w:type="default" r:id="rId19"/>
          <w:pgSz w:w="12240" w:h="15840" w:code="1"/>
          <w:pgMar w:top="1440" w:right="1440" w:bottom="1440" w:left="1440" w:header="720" w:footer="720" w:gutter="0"/>
          <w:pgNumType w:start="1" w:chapStyle="7"/>
          <w:cols w:space="720"/>
          <w:docGrid w:linePitch="360"/>
        </w:sectPr>
      </w:pPr>
    </w:p>
    <w:p w14:paraId="3917C2AD" w14:textId="25808B5B" w:rsidR="00A64B9D" w:rsidRPr="003B4AEE" w:rsidRDefault="00AE2509" w:rsidP="00DD1AC0">
      <w:pPr>
        <w:pStyle w:val="Heading7"/>
      </w:pPr>
      <w:r w:rsidRPr="003B4AEE">
        <w:lastRenderedPageBreak/>
        <w:t xml:space="preserve"> </w:t>
      </w:r>
      <w:bookmarkStart w:id="313" w:name="_Toc61348511"/>
      <w:bookmarkStart w:id="314" w:name="_Toc61348663"/>
      <w:bookmarkStart w:id="315" w:name="_Toc61512294"/>
      <w:bookmarkStart w:id="316" w:name="_Toc61518142"/>
      <w:bookmarkStart w:id="317" w:name="_Toc71729148"/>
      <w:r w:rsidR="00BB2406" w:rsidRPr="003B4AEE">
        <w:t>—</w:t>
      </w:r>
      <w:r w:rsidR="00DD1AC0" w:rsidRPr="003B4AEE">
        <w:t xml:space="preserve"> </w:t>
      </w:r>
      <w:r w:rsidR="00A64B9D" w:rsidRPr="003B4AEE">
        <w:t>Description of the Information Collected and Methodology for Estimating Respondent Burden and Cost of Collection</w:t>
      </w:r>
      <w:bookmarkEnd w:id="313"/>
      <w:bookmarkEnd w:id="314"/>
      <w:bookmarkEnd w:id="315"/>
      <w:bookmarkEnd w:id="316"/>
      <w:bookmarkEnd w:id="317"/>
    </w:p>
    <w:p w14:paraId="261C6BD3" w14:textId="3A5DE5D1" w:rsidR="00A42E82" w:rsidRPr="003B4AEE" w:rsidRDefault="00D7286A" w:rsidP="00361E01">
      <w:pPr>
        <w:pStyle w:val="BodyText"/>
      </w:pPr>
      <w:r w:rsidRPr="003B4AEE">
        <w:t xml:space="preserve">This appendix provides </w:t>
      </w:r>
      <w:r w:rsidR="006C18EA" w:rsidRPr="003B4AEE">
        <w:t>detail</w:t>
      </w:r>
      <w:r w:rsidR="00E62DDB" w:rsidRPr="003B4AEE">
        <w:t>ed information</w:t>
      </w:r>
      <w:r w:rsidR="006C18EA" w:rsidRPr="003B4AEE">
        <w:t xml:space="preserve"> regarding the methodology for estimating respondent burden and costs. Section A.1 provides the methodology for deriving respondent burden and breakdown of capital/start-up cost</w:t>
      </w:r>
      <w:r w:rsidR="000772BC" w:rsidRPr="003B4AEE">
        <w:t xml:space="preserve">, while the </w:t>
      </w:r>
      <w:r w:rsidR="006C18EA" w:rsidRPr="003B4AEE">
        <w:t xml:space="preserve">derivation of costs is provided in </w:t>
      </w:r>
      <w:r w:rsidR="000772BC" w:rsidRPr="003B4AEE">
        <w:t xml:space="preserve">section </w:t>
      </w:r>
      <w:r w:rsidR="006C18EA" w:rsidRPr="003B4AEE">
        <w:t>A.2</w:t>
      </w:r>
      <w:r w:rsidR="000772BC" w:rsidRPr="003B4AEE">
        <w:t>.</w:t>
      </w:r>
    </w:p>
    <w:p w14:paraId="624A6F21" w14:textId="1B3CB83C" w:rsidR="00A42E82" w:rsidRPr="003B4AEE" w:rsidRDefault="00A42E82" w:rsidP="006A489B">
      <w:pPr>
        <w:pStyle w:val="Heading8"/>
      </w:pPr>
      <w:bookmarkStart w:id="318" w:name="_Toc137695359"/>
      <w:bookmarkStart w:id="319" w:name="_Toc137695826"/>
      <w:bookmarkStart w:id="320" w:name="_Toc198342252"/>
      <w:bookmarkStart w:id="321" w:name="_Toc300908848"/>
      <w:bookmarkStart w:id="322" w:name="_Toc61348664"/>
      <w:bookmarkStart w:id="323" w:name="_Toc61518143"/>
      <w:bookmarkStart w:id="324" w:name="_Toc71729149"/>
      <w:r w:rsidRPr="003B4AEE">
        <w:t>Estimating Respondent Burden</w:t>
      </w:r>
      <w:bookmarkEnd w:id="318"/>
      <w:bookmarkEnd w:id="319"/>
      <w:bookmarkEnd w:id="320"/>
      <w:bookmarkEnd w:id="321"/>
      <w:bookmarkEnd w:id="322"/>
      <w:bookmarkEnd w:id="323"/>
      <w:bookmarkEnd w:id="324"/>
    </w:p>
    <w:p w14:paraId="5C962711" w14:textId="4C64D863" w:rsidR="00A42E82" w:rsidRPr="003B4AEE" w:rsidRDefault="00A42E82" w:rsidP="00361E01">
      <w:pPr>
        <w:pStyle w:val="BodyText"/>
      </w:pPr>
      <w:r w:rsidRPr="003B4AEE">
        <w:t xml:space="preserve">This section </w:t>
      </w:r>
      <w:r w:rsidR="00B9255F" w:rsidRPr="003B4AEE">
        <w:t>describes</w:t>
      </w:r>
      <w:r w:rsidR="00D7286A" w:rsidRPr="003B4AEE">
        <w:t xml:space="preserve"> </w:t>
      </w:r>
      <w:r w:rsidRPr="003B4AEE">
        <w:t xml:space="preserve">the </w:t>
      </w:r>
      <w:r w:rsidR="003B787D" w:rsidRPr="003B4AEE">
        <w:t xml:space="preserve">methodology for </w:t>
      </w:r>
      <w:r w:rsidRPr="003B4AEE">
        <w:t>estimat</w:t>
      </w:r>
      <w:r w:rsidR="003B787D" w:rsidRPr="003B4AEE">
        <w:t>ing</w:t>
      </w:r>
      <w:r w:rsidRPr="003B4AEE">
        <w:t xml:space="preserve"> respondent burden for </w:t>
      </w:r>
      <w:r w:rsidR="00D7286A" w:rsidRPr="003B4AEE">
        <w:t>the</w:t>
      </w:r>
      <w:r w:rsidRPr="003B4AEE">
        <w:t xml:space="preserve"> information request</w:t>
      </w:r>
      <w:r w:rsidR="00D7286A" w:rsidRPr="003B4AEE">
        <w:t>s</w:t>
      </w:r>
      <w:r w:rsidRPr="003B4AEE">
        <w:t xml:space="preserve">. Facilities subject to NPDES program requirements </w:t>
      </w:r>
      <w:r w:rsidR="006C18EA" w:rsidRPr="003B4AEE">
        <w:t>(</w:t>
      </w:r>
      <w:r w:rsidR="000772BC" w:rsidRPr="003B4AEE">
        <w:t xml:space="preserve">also referred to as </w:t>
      </w:r>
      <w:r w:rsidR="009B0DBF" w:rsidRPr="003B4AEE">
        <w:t>permit holder</w:t>
      </w:r>
      <w:r w:rsidR="000772BC" w:rsidRPr="003B4AEE">
        <w:t>s</w:t>
      </w:r>
      <w:r w:rsidR="009B0DBF" w:rsidRPr="003B4AEE">
        <w:t xml:space="preserve"> or </w:t>
      </w:r>
      <w:r w:rsidR="006C18EA" w:rsidRPr="003B4AEE">
        <w:t xml:space="preserve">permittees) </w:t>
      </w:r>
      <w:r w:rsidRPr="003B4AEE">
        <w:t xml:space="preserve">and authorized states are included as respondents in this section. </w:t>
      </w:r>
      <w:r w:rsidR="00D7286A" w:rsidRPr="003B4AEE">
        <w:t xml:space="preserve">Methodologies that apply to </w:t>
      </w:r>
      <w:r w:rsidR="00B9255F" w:rsidRPr="003B4AEE">
        <w:t>NPDES-</w:t>
      </w:r>
      <w:r w:rsidR="00D7286A" w:rsidRPr="003B4AEE">
        <w:t xml:space="preserve">authorized states also apply to </w:t>
      </w:r>
      <w:r w:rsidR="00F07E08" w:rsidRPr="003B4AEE">
        <w:t xml:space="preserve">federal burden associated with </w:t>
      </w:r>
      <w:r w:rsidR="00D7286A" w:rsidRPr="003B4AEE">
        <w:t>EPA Regions acting as permitting authority in non-</w:t>
      </w:r>
      <w:r w:rsidR="00B9255F" w:rsidRPr="003B4AEE">
        <w:t>NPDES-</w:t>
      </w:r>
      <w:r w:rsidR="00D7286A" w:rsidRPr="003B4AEE">
        <w:t>authorized st</w:t>
      </w:r>
      <w:r w:rsidR="006C18EA" w:rsidRPr="003B4AEE">
        <w:t xml:space="preserve">ates. </w:t>
      </w:r>
      <w:r w:rsidR="000772BC" w:rsidRPr="003B4AEE">
        <w:t>However, t</w:t>
      </w:r>
      <w:r w:rsidR="006C18EA" w:rsidRPr="003B4AEE">
        <w:t>he EPA permitting authority burden and costs are not included in the respondent burden and cost estimates.</w:t>
      </w:r>
    </w:p>
    <w:p w14:paraId="1AE7505E" w14:textId="07A9D7DC" w:rsidR="00A42E82" w:rsidRPr="003B4AEE" w:rsidRDefault="00A42E82" w:rsidP="00361E01">
      <w:pPr>
        <w:pStyle w:val="BodyText"/>
      </w:pPr>
      <w:r w:rsidRPr="003B4AEE">
        <w:t xml:space="preserve">This ICR calculates annual burden and costs to respondents. These calculations are complicated because there are two types of permittee respondents discussed in this section: </w:t>
      </w:r>
      <w:r w:rsidR="00B9255F" w:rsidRPr="003B4AEE">
        <w:t xml:space="preserve">permittees </w:t>
      </w:r>
      <w:r w:rsidRPr="003B4AEE">
        <w:t xml:space="preserve">renewing existing permits and applicants for new permits. Applications for </w:t>
      </w:r>
      <w:r w:rsidR="0082689C" w:rsidRPr="003B4AEE">
        <w:t xml:space="preserve">NPDES </w:t>
      </w:r>
      <w:r w:rsidRPr="003B4AEE">
        <w:t xml:space="preserve">permit renewal must be submitted every </w:t>
      </w:r>
      <w:r w:rsidR="00730FB4" w:rsidRPr="003B4AEE">
        <w:t>five</w:t>
      </w:r>
      <w:r w:rsidRPr="003B4AEE">
        <w:t xml:space="preserve"> years. For these respondents, the ICR assumes that the number of applicants renewing per year equals one-fifth of the total number of existing permitted facilities.</w:t>
      </w:r>
      <w:r w:rsidR="000E18C6" w:rsidRPr="003B4AEE">
        <w:t xml:space="preserve"> </w:t>
      </w:r>
      <w:r w:rsidR="00E62DDB" w:rsidRPr="003B4AEE">
        <w:t>For new permits, r</w:t>
      </w:r>
      <w:r w:rsidR="000E18C6" w:rsidRPr="003B4AEE">
        <w:t>espondents will apply for each type of new permit only once and the annual number is estimated based on the expected average number of new permit applications that will be submitted over the three</w:t>
      </w:r>
      <w:r w:rsidR="00EE08A4" w:rsidRPr="003B4AEE">
        <w:t>-</w:t>
      </w:r>
      <w:r w:rsidR="000E18C6" w:rsidRPr="003B4AEE">
        <w:t>year period covered by this ICR.</w:t>
      </w:r>
      <w:r w:rsidR="00E62DDB" w:rsidRPr="003B4AEE">
        <w:t xml:space="preserve"> In subsequent ICRs, new permits will transition to renewal permits.</w:t>
      </w:r>
    </w:p>
    <w:p w14:paraId="080DAD2A" w14:textId="1A639700" w:rsidR="003E71A0" w:rsidRPr="003B4AEE" w:rsidRDefault="003E71A0" w:rsidP="00361E01">
      <w:pPr>
        <w:pStyle w:val="BodyText"/>
      </w:pPr>
      <w:r w:rsidRPr="003B4AEE">
        <w:t>Th</w:t>
      </w:r>
      <w:r w:rsidR="00506C9B" w:rsidRPr="003B4AEE">
        <w:t>is</w:t>
      </w:r>
      <w:r w:rsidRPr="003B4AEE">
        <w:t xml:space="preserve"> section summarizes the input data </w:t>
      </w:r>
      <w:r w:rsidR="009B0DBF" w:rsidRPr="003B4AEE">
        <w:t xml:space="preserve">and assumptions </w:t>
      </w:r>
      <w:r w:rsidRPr="003B4AEE">
        <w:t xml:space="preserve">for each </w:t>
      </w:r>
      <w:r w:rsidR="00FF2166" w:rsidRPr="003B4AEE">
        <w:t>category of respondent activity</w:t>
      </w:r>
      <w:r w:rsidRPr="003B4AEE">
        <w:t xml:space="preserve"> shown in Appendix B. In some cases, </w:t>
      </w:r>
      <w:r w:rsidR="00A17927" w:rsidRPr="003B4AEE">
        <w:t xml:space="preserve">the “total number of respondents” </w:t>
      </w:r>
      <w:r w:rsidR="00747AEF" w:rsidRPr="003B4AEE">
        <w:t xml:space="preserve">and “annual number of respondents” </w:t>
      </w:r>
      <w:r w:rsidR="00A17927" w:rsidRPr="003B4AEE">
        <w:t xml:space="preserve">shown in Appendix B may </w:t>
      </w:r>
      <w:r w:rsidR="00FF2166" w:rsidRPr="003B4AEE">
        <w:t xml:space="preserve">reflect </w:t>
      </w:r>
      <w:r w:rsidR="00A17927" w:rsidRPr="003B4AEE">
        <w:t>double</w:t>
      </w:r>
      <w:r w:rsidR="00FF2166" w:rsidRPr="003B4AEE">
        <w:t>-</w:t>
      </w:r>
      <w:r w:rsidR="00A17927" w:rsidRPr="003B4AEE">
        <w:t xml:space="preserve">counting of individual respondents because </w:t>
      </w:r>
      <w:r w:rsidR="003F019B" w:rsidRPr="003B4AEE">
        <w:t xml:space="preserve">the respondent values are summed values within </w:t>
      </w:r>
      <w:r w:rsidR="00A17927" w:rsidRPr="003B4AEE">
        <w:t xml:space="preserve">the category </w:t>
      </w:r>
      <w:r w:rsidR="003F019B" w:rsidRPr="003B4AEE">
        <w:t xml:space="preserve">which </w:t>
      </w:r>
      <w:r w:rsidR="00A17927" w:rsidRPr="003B4AEE">
        <w:t>may include multiple activities</w:t>
      </w:r>
      <w:r w:rsidR="009153E0" w:rsidRPr="003B4AEE">
        <w:t xml:space="preserve"> for the same respondent</w:t>
      </w:r>
      <w:r w:rsidR="00A17927" w:rsidRPr="003B4AEE">
        <w:t>. For example, a permittee may be required to submit different types of notices</w:t>
      </w:r>
      <w:r w:rsidR="00E97CE4" w:rsidRPr="003B4AEE">
        <w:t xml:space="preserve"> to the permitting authority</w:t>
      </w:r>
      <w:r w:rsidR="00A17927" w:rsidRPr="003B4AEE">
        <w:t>. This is particularly true for recordkeeping</w:t>
      </w:r>
      <w:r w:rsidR="00AE0F1F" w:rsidRPr="003B4AEE">
        <w:t>,</w:t>
      </w:r>
      <w:r w:rsidR="00A17927" w:rsidRPr="003B4AEE">
        <w:t xml:space="preserve"> which can involve multiple </w:t>
      </w:r>
      <w:r w:rsidR="00E97CE4" w:rsidRPr="003B4AEE">
        <w:t xml:space="preserve">types </w:t>
      </w:r>
      <w:r w:rsidR="00AE0F1F" w:rsidRPr="003B4AEE">
        <w:t xml:space="preserve">of </w:t>
      </w:r>
      <w:r w:rsidR="00A17927" w:rsidRPr="003B4AEE">
        <w:t>recordkeeping activities.</w:t>
      </w:r>
    </w:p>
    <w:p w14:paraId="2828F1F9" w14:textId="495F363D" w:rsidR="009665CE" w:rsidRPr="003B4AEE" w:rsidRDefault="0069551A" w:rsidP="00361E01">
      <w:pPr>
        <w:pStyle w:val="BodyText"/>
      </w:pPr>
      <w:r w:rsidRPr="003B4AEE">
        <w:t>T</w:t>
      </w:r>
      <w:r w:rsidR="009665CE" w:rsidRPr="003B4AEE">
        <w:t>o simplif</w:t>
      </w:r>
      <w:r w:rsidR="00374959" w:rsidRPr="003B4AEE">
        <w:t>y the burden estimati</w:t>
      </w:r>
      <w:r w:rsidR="00E62DDB" w:rsidRPr="003B4AEE">
        <w:t>o</w:t>
      </w:r>
      <w:r w:rsidR="00374959" w:rsidRPr="003B4AEE">
        <w:t xml:space="preserve">n process, </w:t>
      </w:r>
      <w:r w:rsidR="00FF2166" w:rsidRPr="003B4AEE">
        <w:t xml:space="preserve">Appendix A identifies </w:t>
      </w:r>
      <w:r w:rsidR="00EA3BDE" w:rsidRPr="003B4AEE">
        <w:t>respondent categories that c</w:t>
      </w:r>
      <w:r w:rsidRPr="003B4AEE">
        <w:t>an</w:t>
      </w:r>
      <w:r w:rsidR="00EA3BDE" w:rsidRPr="003B4AEE">
        <w:t xml:space="preserve"> be used as input values to adjust the burden estimates during each ICR cycle. For each respondent input category, estimates for number of responses, labor hours, O&amp;M costs, and capital/start-up costs </w:t>
      </w:r>
      <w:r w:rsidRPr="003B4AEE">
        <w:t>are</w:t>
      </w:r>
      <w:r w:rsidR="00EA3BDE" w:rsidRPr="003B4AEE">
        <w:t xml:space="preserve"> derived from previous ICR estimates. </w:t>
      </w:r>
      <w:r w:rsidR="00D44A92" w:rsidRPr="003B4AEE">
        <w:t xml:space="preserve">These </w:t>
      </w:r>
      <w:r w:rsidRPr="003B4AEE">
        <w:t>previous ICR estimates</w:t>
      </w:r>
      <w:r w:rsidR="00D44A92" w:rsidRPr="003B4AEE">
        <w:t xml:space="preserve"> </w:t>
      </w:r>
      <w:r w:rsidRPr="003B4AEE">
        <w:t xml:space="preserve">are </w:t>
      </w:r>
      <w:r w:rsidR="00D44A92" w:rsidRPr="003B4AEE">
        <w:t xml:space="preserve">then </w:t>
      </w:r>
      <w:r w:rsidRPr="003B4AEE">
        <w:t xml:space="preserve">adjusted based </w:t>
      </w:r>
      <w:r w:rsidR="00506C9B" w:rsidRPr="003B4AEE">
        <w:t xml:space="preserve">on </w:t>
      </w:r>
      <w:r w:rsidR="00C061D7" w:rsidRPr="003B4AEE">
        <w:t>revisions to the</w:t>
      </w:r>
      <w:r w:rsidRPr="003B4AEE">
        <w:t xml:space="preserve"> </w:t>
      </w:r>
      <w:r w:rsidR="00D44A92" w:rsidRPr="003B4AEE">
        <w:t>number of respondents in each respondent input category</w:t>
      </w:r>
      <w:r w:rsidR="0082689C" w:rsidRPr="003B4AEE">
        <w:t xml:space="preserve"> and wherever underlying assumptions change</w:t>
      </w:r>
      <w:r w:rsidR="00D44A92" w:rsidRPr="003B4AEE">
        <w:t>. The revised number</w:t>
      </w:r>
      <w:r w:rsidR="00EA3BDE" w:rsidRPr="003B4AEE">
        <w:t xml:space="preserve"> of respondents in each </w:t>
      </w:r>
      <w:r w:rsidR="00D44A92" w:rsidRPr="003B4AEE">
        <w:t xml:space="preserve">input category are listed in Appendix D and represent </w:t>
      </w:r>
      <w:r w:rsidRPr="003B4AEE">
        <w:t xml:space="preserve">various </w:t>
      </w:r>
      <w:r w:rsidR="00D44A92" w:rsidRPr="003B4AEE">
        <w:t xml:space="preserve">subsets of </w:t>
      </w:r>
      <w:r w:rsidR="00EA3BDE" w:rsidRPr="003B4AEE">
        <w:t xml:space="preserve">the unique </w:t>
      </w:r>
      <w:r w:rsidR="00D44A92" w:rsidRPr="003B4AEE">
        <w:t xml:space="preserve">respondents listed in Appendix E. </w:t>
      </w:r>
      <w:r w:rsidR="0082689C" w:rsidRPr="003B4AEE">
        <w:t>T</w:t>
      </w:r>
      <w:r w:rsidRPr="003B4AEE">
        <w:t>he basic assumptions used to derive the ICR estimates are described below.</w:t>
      </w:r>
    </w:p>
    <w:p w14:paraId="68216823" w14:textId="6CB73F65" w:rsidR="003E71A0" w:rsidRPr="003B4AEE" w:rsidRDefault="003E71A0" w:rsidP="006A489B">
      <w:pPr>
        <w:pStyle w:val="Heading9"/>
      </w:pPr>
      <w:bookmarkStart w:id="325" w:name="_Toc71729150"/>
      <w:r w:rsidRPr="003B4AEE">
        <w:lastRenderedPageBreak/>
        <w:t>Recordkeeping</w:t>
      </w:r>
      <w:bookmarkEnd w:id="325"/>
    </w:p>
    <w:p w14:paraId="7E974896" w14:textId="2D196310" w:rsidR="00747AEF" w:rsidRPr="003B4AEE" w:rsidRDefault="00B61CF2" w:rsidP="00361E01">
      <w:pPr>
        <w:pStyle w:val="BodyText"/>
      </w:pPr>
      <w:r w:rsidRPr="003B4AEE">
        <w:rPr>
          <w:i/>
        </w:rPr>
        <w:t>Permittees.</w:t>
      </w:r>
      <w:r w:rsidRPr="003B4AEE">
        <w:t xml:space="preserve"> </w:t>
      </w:r>
      <w:r w:rsidR="00747AEF" w:rsidRPr="003B4AEE">
        <w:t xml:space="preserve">Recordkeeping activities include those associated with data collected, DMRs, permit documents, notices, and correspondence. </w:t>
      </w:r>
      <w:r w:rsidR="001547DA" w:rsidRPr="003B4AEE">
        <w:t xml:space="preserve">NPDES regulations require permittees to maintain records and periodically report on monitoring activities. NPDES permits, in accordance with 40 CFR 122.41(j), require permittees to retain permit records for at least three years. Recordkeeping requirements for sewage sludge and CAFOs require records must be kept for five years. </w:t>
      </w:r>
      <w:r w:rsidR="001A0437" w:rsidRPr="003B4AEE">
        <w:t>NPDES regulations at 40 CFR 122.41(l)(4)(</w:t>
      </w:r>
      <w:proofErr w:type="spellStart"/>
      <w:r w:rsidR="001A0437" w:rsidRPr="003B4AEE">
        <w:t>i</w:t>
      </w:r>
      <w:proofErr w:type="spellEnd"/>
      <w:r w:rsidR="001A0437" w:rsidRPr="003B4AEE">
        <w:t>) require that monitoring results must be reported on a DMR. In addition, regulations at 40 CFR 122.44(</w:t>
      </w:r>
      <w:proofErr w:type="spellStart"/>
      <w:r w:rsidR="001A0437" w:rsidRPr="003B4AEE">
        <w:t>i</w:t>
      </w:r>
      <w:proofErr w:type="spellEnd"/>
      <w:r w:rsidR="001A0437" w:rsidRPr="003B4AEE">
        <w:t xml:space="preserve">)(2) require permittees to submit reports </w:t>
      </w:r>
      <w:r w:rsidR="007318B5" w:rsidRPr="003B4AEE">
        <w:t xml:space="preserve">(on discharges and sludge use or disposal) </w:t>
      </w:r>
      <w:r w:rsidR="001A0437" w:rsidRPr="003B4AEE">
        <w:t xml:space="preserve">at least annually; however, because NPDES regulations state that monitoring and reporting frequencies should be dependent on the nature of the discharge, reporting may be more frequent than annually. </w:t>
      </w:r>
      <w:r w:rsidR="00AE4D70" w:rsidRPr="003B4AEE">
        <w:t xml:space="preserve">NPDES permits may require the submittal of </w:t>
      </w:r>
      <w:r w:rsidR="00AF3A2A" w:rsidRPr="003B4AEE">
        <w:t xml:space="preserve">other required </w:t>
      </w:r>
      <w:r w:rsidR="00AE4D70" w:rsidRPr="003B4AEE">
        <w:t>information</w:t>
      </w:r>
      <w:r w:rsidR="00AF3A2A" w:rsidRPr="003B4AEE">
        <w:t>, e.g., notices and permit documents</w:t>
      </w:r>
      <w:r w:rsidR="00AE4D70" w:rsidRPr="003B4AEE">
        <w:t xml:space="preserve"> (aside from </w:t>
      </w:r>
      <w:r w:rsidR="00AF3A2A" w:rsidRPr="003B4AEE">
        <w:t xml:space="preserve">reports on </w:t>
      </w:r>
      <w:r w:rsidR="00AE4D70" w:rsidRPr="003B4AEE">
        <w:t>discharge and sludge use/disposal)</w:t>
      </w:r>
      <w:r w:rsidR="00AF3A2A" w:rsidRPr="003B4AEE">
        <w:t>,</w:t>
      </w:r>
      <w:r w:rsidR="00AE4D70" w:rsidRPr="003B4AEE">
        <w:t xml:space="preserve"> on other frequencies. </w:t>
      </w:r>
      <w:r w:rsidR="00747AEF" w:rsidRPr="003B4AEE">
        <w:t xml:space="preserve">Frequency may range from ongoing to once every five years. </w:t>
      </w:r>
      <w:r w:rsidR="00F1524A" w:rsidRPr="003B4AEE">
        <w:t>The</w:t>
      </w:r>
      <w:r w:rsidR="00B347FB" w:rsidRPr="003B4AEE">
        <w:t xml:space="preserve"> </w:t>
      </w:r>
      <w:r w:rsidR="00FF43AB" w:rsidRPr="003B4AEE">
        <w:t>estimated time required</w:t>
      </w:r>
      <w:r w:rsidR="00661542" w:rsidRPr="003B4AEE">
        <w:t xml:space="preserve"> per response range</w:t>
      </w:r>
      <w:r w:rsidR="00B347FB" w:rsidRPr="003B4AEE">
        <w:t>s</w:t>
      </w:r>
      <w:r w:rsidR="00661542" w:rsidRPr="003B4AEE">
        <w:t xml:space="preserve"> from </w:t>
      </w:r>
      <w:r w:rsidR="009153E0" w:rsidRPr="003B4AEE">
        <w:t>10 minutes (</w:t>
      </w:r>
      <w:r w:rsidR="00661542" w:rsidRPr="003B4AEE">
        <w:t>0.17</w:t>
      </w:r>
      <w:r w:rsidR="009153E0" w:rsidRPr="003B4AEE">
        <w:t xml:space="preserve"> hours)</w:t>
      </w:r>
      <w:r w:rsidR="00661542" w:rsidRPr="003B4AEE">
        <w:t xml:space="preserve"> for sludge permits to 6-7 hours for general stormwater and major industrial NPDES permits. </w:t>
      </w:r>
    </w:p>
    <w:p w14:paraId="37701558" w14:textId="645B0280" w:rsidR="00661542" w:rsidRPr="003B4AEE" w:rsidRDefault="00B61CF2" w:rsidP="00361E01">
      <w:pPr>
        <w:pStyle w:val="BodyText"/>
      </w:pPr>
      <w:r w:rsidRPr="003B4AEE">
        <w:rPr>
          <w:i/>
        </w:rPr>
        <w:t>States.</w:t>
      </w:r>
      <w:r w:rsidRPr="003B4AEE">
        <w:t xml:space="preserve"> </w:t>
      </w:r>
      <w:r w:rsidR="000F5166" w:rsidRPr="003B4AEE">
        <w:t xml:space="preserve">The </w:t>
      </w:r>
      <w:r w:rsidR="00FF43AB" w:rsidRPr="003B4AEE">
        <w:t>estimated time required</w:t>
      </w:r>
      <w:r w:rsidR="00D80F07" w:rsidRPr="003B4AEE">
        <w:t xml:space="preserve"> </w:t>
      </w:r>
      <w:r w:rsidR="00654B8B" w:rsidRPr="003B4AEE">
        <w:t>for</w:t>
      </w:r>
      <w:r w:rsidR="00D80F07" w:rsidRPr="003B4AEE">
        <w:t xml:space="preserve"> state respondent</w:t>
      </w:r>
      <w:r w:rsidR="00654B8B" w:rsidRPr="003B4AEE">
        <w:t>s</w:t>
      </w:r>
      <w:r w:rsidR="00D80F07" w:rsidRPr="003B4AEE">
        <w:t xml:space="preserve"> for permit oversight recordkeeping ranges from a</w:t>
      </w:r>
      <w:r w:rsidR="00654B8B" w:rsidRPr="003B4AEE">
        <w:t xml:space="preserve"> per</w:t>
      </w:r>
      <w:r w:rsidR="00FF2166" w:rsidRPr="003B4AEE">
        <w:t>-</w:t>
      </w:r>
      <w:r w:rsidR="00654B8B" w:rsidRPr="003B4AEE">
        <w:t>state</w:t>
      </w:r>
      <w:r w:rsidR="00D80F07" w:rsidRPr="003B4AEE">
        <w:t xml:space="preserve"> aggregate of 0.33 hours for </w:t>
      </w:r>
      <w:r w:rsidR="009153E0" w:rsidRPr="003B4AEE">
        <w:t xml:space="preserve">the </w:t>
      </w:r>
      <w:r w:rsidR="00D80F07" w:rsidRPr="003B4AEE">
        <w:t>CSO program to 50 hours for sludge programs to 300 hours for the NPDES program</w:t>
      </w:r>
      <w:r w:rsidR="00FF2166" w:rsidRPr="003B4AEE">
        <w:t>.</w:t>
      </w:r>
    </w:p>
    <w:p w14:paraId="632B7B23" w14:textId="3A1E09DE" w:rsidR="00FA0F58" w:rsidRPr="003B4AEE" w:rsidRDefault="00FA0F58" w:rsidP="00D96BAD">
      <w:pPr>
        <w:pStyle w:val="Heading9"/>
      </w:pPr>
      <w:bookmarkStart w:id="326" w:name="_Toc71729151"/>
      <w:r w:rsidRPr="003B4AEE">
        <w:t>Individual Permits</w:t>
      </w:r>
      <w:bookmarkEnd w:id="326"/>
    </w:p>
    <w:p w14:paraId="2A3DD496" w14:textId="2A6B3704" w:rsidR="003E71A0" w:rsidRPr="003B4AEE" w:rsidRDefault="00D96BAD" w:rsidP="00D96BAD">
      <w:pPr>
        <w:pStyle w:val="Heading4"/>
      </w:pPr>
      <w:r w:rsidRPr="003B4AEE">
        <w:t>A.1.2.3</w:t>
      </w:r>
      <w:r w:rsidRPr="003B4AEE">
        <w:tab/>
      </w:r>
      <w:r w:rsidR="003E71A0" w:rsidRPr="003B4AEE">
        <w:t>Application Forms</w:t>
      </w:r>
    </w:p>
    <w:p w14:paraId="2F613D99" w14:textId="24884C91" w:rsidR="00FA0F58" w:rsidRPr="003B4AEE" w:rsidRDefault="00D600D2" w:rsidP="00946B97">
      <w:pPr>
        <w:pStyle w:val="BodyText"/>
      </w:pPr>
      <w:r w:rsidRPr="003B4AEE">
        <w:t xml:space="preserve">Below </w:t>
      </w:r>
      <w:r w:rsidR="002D1079" w:rsidRPr="003B4AEE">
        <w:t xml:space="preserve">are NPDES application forms that are submitted </w:t>
      </w:r>
      <w:r w:rsidR="009153E0" w:rsidRPr="003B4AEE">
        <w:t xml:space="preserve">initially </w:t>
      </w:r>
      <w:r w:rsidR="002D1079" w:rsidRPr="003B4AEE">
        <w:t xml:space="preserve">for new permits and resubmitted upon permit renewal every five years. </w:t>
      </w:r>
      <w:r w:rsidR="00481DE1" w:rsidRPr="003B4AEE">
        <w:t xml:space="preserve">NPDES regulations </w:t>
      </w:r>
      <w:r w:rsidR="00DF53EF" w:rsidRPr="003B4AEE">
        <w:t xml:space="preserve">at 40 CFR 122.21(a) </w:t>
      </w:r>
      <w:r w:rsidR="00481DE1" w:rsidRPr="003B4AEE">
        <w:t xml:space="preserve">require </w:t>
      </w:r>
      <w:r w:rsidR="00DF53EF" w:rsidRPr="003B4AEE">
        <w:t xml:space="preserve">that any person, except those covered by general permits, who discharges pollutants or proposes to discharge pollutants to waters of the United States must apply for a permit. Further, 40 CFR 122.21(e) prohibits the permitting authority from issuing an individual permit until and unless a prospective discharger provided a complete application. </w:t>
      </w:r>
      <w:r w:rsidR="009153E0" w:rsidRPr="003B4AEE">
        <w:t xml:space="preserve">These forms and the facilities </w:t>
      </w:r>
      <w:r w:rsidR="00915217" w:rsidRPr="003B4AEE">
        <w:t xml:space="preserve">that submit them </w:t>
      </w:r>
      <w:r w:rsidR="009153E0" w:rsidRPr="003B4AEE">
        <w:t xml:space="preserve">are included in </w:t>
      </w:r>
      <w:r w:rsidR="00D94D14" w:rsidRPr="003B4AEE">
        <w:fldChar w:fldCharType="begin"/>
      </w:r>
      <w:r w:rsidR="00D94D14" w:rsidRPr="003B4AEE">
        <w:instrText xml:space="preserve"> REF _Ref61328182 \h </w:instrText>
      </w:r>
      <w:r w:rsidR="003B4AEE">
        <w:instrText xml:space="preserve"> \* MERGEFORMAT </w:instrText>
      </w:r>
      <w:r w:rsidR="00D94D14" w:rsidRPr="003B4AEE">
        <w:fldChar w:fldCharType="separate"/>
      </w:r>
      <w:r w:rsidR="00B811B7" w:rsidRPr="003B4AEE">
        <w:t xml:space="preserve">Table </w:t>
      </w:r>
      <w:r w:rsidR="00B811B7" w:rsidRPr="003B4AEE">
        <w:rPr>
          <w:noProof/>
        </w:rPr>
        <w:t>2</w:t>
      </w:r>
      <w:r w:rsidR="00B811B7" w:rsidRPr="003B4AEE">
        <w:noBreakHyphen/>
      </w:r>
      <w:r w:rsidR="00B811B7" w:rsidRPr="003B4AEE">
        <w:rPr>
          <w:noProof/>
        </w:rPr>
        <w:t>1</w:t>
      </w:r>
      <w:r w:rsidR="00D94D14" w:rsidRPr="003B4AEE">
        <w:fldChar w:fldCharType="end"/>
      </w:r>
      <w:r w:rsidR="00E2670A" w:rsidRPr="003B4AEE">
        <w:t xml:space="preserve"> in </w:t>
      </w:r>
      <w:r w:rsidR="00E16FA4" w:rsidRPr="003B4AEE">
        <w:t xml:space="preserve">Item 2 of </w:t>
      </w:r>
      <w:r w:rsidR="00792F8F" w:rsidRPr="003B4AEE">
        <w:t>S</w:t>
      </w:r>
      <w:r w:rsidR="00E2670A" w:rsidRPr="003B4AEE">
        <w:t>ection A</w:t>
      </w:r>
      <w:r w:rsidR="00E16FA4" w:rsidRPr="003B4AEE">
        <w:t xml:space="preserve"> (Justification)</w:t>
      </w:r>
      <w:r w:rsidR="00E2670A" w:rsidRPr="003B4AEE">
        <w:t xml:space="preserve"> </w:t>
      </w:r>
      <w:r w:rsidR="00915217" w:rsidRPr="003B4AEE">
        <w:t>above</w:t>
      </w:r>
      <w:r w:rsidR="009153E0" w:rsidRPr="003B4AEE">
        <w:t xml:space="preserve">. </w:t>
      </w:r>
      <w:r w:rsidR="00086457" w:rsidRPr="003B4AEE">
        <w:t>40 CFR 122</w:t>
      </w:r>
      <w:r w:rsidR="00E55075" w:rsidRPr="003B4AEE">
        <w:t>, Subpart B</w:t>
      </w:r>
      <w:r w:rsidR="00086457" w:rsidRPr="003B4AEE">
        <w:t xml:space="preserve"> </w:t>
      </w:r>
      <w:r w:rsidR="00175205" w:rsidRPr="003B4AEE">
        <w:t xml:space="preserve">establishes </w:t>
      </w:r>
      <w:r w:rsidR="00E447A5" w:rsidRPr="003B4AEE">
        <w:t xml:space="preserve">NPDES permit </w:t>
      </w:r>
      <w:r w:rsidR="00175205" w:rsidRPr="003B4AEE">
        <w:t xml:space="preserve">application </w:t>
      </w:r>
      <w:r w:rsidR="00E447A5" w:rsidRPr="003B4AEE">
        <w:t>requirements</w:t>
      </w:r>
      <w:r w:rsidR="00E55075" w:rsidRPr="003B4AEE">
        <w:t>. A</w:t>
      </w:r>
      <w:r w:rsidR="002057FE" w:rsidRPr="003B4AEE">
        <w:t xml:space="preserve">pplication </w:t>
      </w:r>
      <w:r w:rsidR="00E447A5" w:rsidRPr="003B4AEE">
        <w:t xml:space="preserve">requirements </w:t>
      </w:r>
      <w:r w:rsidR="002057FE" w:rsidRPr="003B4AEE">
        <w:t>are specific to the type of facility and discharge</w:t>
      </w:r>
      <w:r w:rsidR="00175205" w:rsidRPr="003B4AEE">
        <w:t xml:space="preserve">. </w:t>
      </w:r>
    </w:p>
    <w:p w14:paraId="67DBF376" w14:textId="1F391793" w:rsidR="00180641" w:rsidRPr="003B4AEE" w:rsidRDefault="00AA0A03" w:rsidP="00946B97">
      <w:pPr>
        <w:pStyle w:val="BodyText"/>
      </w:pPr>
      <w:r w:rsidRPr="003B4AEE">
        <w:t xml:space="preserve">Due to the </w:t>
      </w:r>
      <w:r w:rsidR="005F3CF1" w:rsidRPr="003B4AEE">
        <w:t>Specific Provisions Affecting Applications and Program Updates</w:t>
      </w:r>
      <w:r w:rsidR="00E90FCC" w:rsidRPr="003B4AEE">
        <w:t xml:space="preserve"> regulation</w:t>
      </w:r>
      <w:r w:rsidRPr="003B4AEE">
        <w:t xml:space="preserve">, application Forms 1 through 2S and the accompanying instructions for each form have been </w:t>
      </w:r>
      <w:r w:rsidR="00EF63E1" w:rsidRPr="003B4AEE">
        <w:t>updated</w:t>
      </w:r>
      <w:r w:rsidRPr="003B4AEE">
        <w:t xml:space="preserve"> </w:t>
      </w:r>
      <w:r w:rsidR="00EF63E1" w:rsidRPr="003B4AEE">
        <w:t xml:space="preserve">to reflect revised regulations </w:t>
      </w:r>
      <w:r w:rsidRPr="003B4AEE">
        <w:t xml:space="preserve">and enhanced for improved readability and clarity. </w:t>
      </w:r>
      <w:r w:rsidR="00180641" w:rsidRPr="003B4AEE">
        <w:t xml:space="preserve">Due to the wide variety in response times, the </w:t>
      </w:r>
      <w:r w:rsidR="008337A7" w:rsidRPr="003B4AEE">
        <w:t xml:space="preserve">revised </w:t>
      </w:r>
      <w:r w:rsidR="00180641" w:rsidRPr="003B4AEE">
        <w:t>burdens for different types of application forms are discussed separately below.</w:t>
      </w:r>
    </w:p>
    <w:p w14:paraId="611619CC" w14:textId="4084E70E" w:rsidR="00B347FB" w:rsidRPr="003B4AEE" w:rsidRDefault="00B347FB" w:rsidP="00D96BAD">
      <w:pPr>
        <w:pStyle w:val="Heading5"/>
      </w:pPr>
      <w:r w:rsidRPr="003B4AEE">
        <w:lastRenderedPageBreak/>
        <w:t>Form 1</w:t>
      </w:r>
    </w:p>
    <w:p w14:paraId="485E3CDA" w14:textId="66D0AA05" w:rsidR="00B347FB" w:rsidRPr="003B4AEE" w:rsidRDefault="00B61CF2" w:rsidP="00946B97">
      <w:pPr>
        <w:pStyle w:val="BodyText"/>
      </w:pPr>
      <w:r w:rsidRPr="003B4AEE">
        <w:rPr>
          <w:i/>
        </w:rPr>
        <w:t xml:space="preserve">Permittees. </w:t>
      </w:r>
      <w:r w:rsidR="003C0B30" w:rsidRPr="003B4AEE">
        <w:t>Form 1</w:t>
      </w:r>
      <w:r w:rsidR="003C0B30" w:rsidRPr="003B4AEE">
        <w:rPr>
          <w:i/>
        </w:rPr>
        <w:t xml:space="preserve"> </w:t>
      </w:r>
      <w:r w:rsidR="003C0B30" w:rsidRPr="003B4AEE">
        <w:t xml:space="preserve">requirements apply to all nonmunicipal individual permits and individual stormwater permits. </w:t>
      </w:r>
      <w:r w:rsidR="00F1524A" w:rsidRPr="003B4AEE">
        <w:t xml:space="preserve">The </w:t>
      </w:r>
      <w:r w:rsidR="00FF43AB" w:rsidRPr="003B4AEE">
        <w:t>estimated time required</w:t>
      </w:r>
      <w:r w:rsidR="0096057B" w:rsidRPr="003B4AEE">
        <w:t xml:space="preserve"> per </w:t>
      </w:r>
      <w:r w:rsidR="00150883" w:rsidRPr="003B4AEE">
        <w:t>permittee respondent</w:t>
      </w:r>
      <w:r w:rsidR="0096057B" w:rsidRPr="003B4AEE">
        <w:t xml:space="preserve"> for Form 1 ranges from </w:t>
      </w:r>
      <w:r w:rsidR="00325676" w:rsidRPr="003B4AEE">
        <w:t>0.9 to 2.9</w:t>
      </w:r>
      <w:r w:rsidR="0096057B" w:rsidRPr="003B4AEE">
        <w:t xml:space="preserve"> hours.</w:t>
      </w:r>
    </w:p>
    <w:p w14:paraId="2ABA67F8" w14:textId="5C99125E" w:rsidR="00ED6608" w:rsidRPr="003B4AEE" w:rsidRDefault="00E932C0" w:rsidP="00946B97">
      <w:pPr>
        <w:pStyle w:val="BodyText"/>
      </w:pPr>
      <w:r w:rsidRPr="003B4AEE">
        <w:rPr>
          <w:i/>
        </w:rPr>
        <w:t>States/Federal</w:t>
      </w:r>
      <w:r w:rsidR="00B61CF2" w:rsidRPr="003B4AEE">
        <w:rPr>
          <w:i/>
        </w:rPr>
        <w:t>.</w:t>
      </w:r>
      <w:r w:rsidR="00B61CF2" w:rsidRPr="003B4AEE">
        <w:t xml:space="preserve"> </w:t>
      </w:r>
      <w:r w:rsidR="00F1524A" w:rsidRPr="003B4AEE">
        <w:t>The e</w:t>
      </w:r>
      <w:r w:rsidR="00ED6608" w:rsidRPr="003B4AEE">
        <w:t>stimated burden hours for state</w:t>
      </w:r>
      <w:r w:rsidR="00F07E08" w:rsidRPr="003B4AEE">
        <w:t>/federal</w:t>
      </w:r>
      <w:r w:rsidR="00ED6608" w:rsidRPr="003B4AEE">
        <w:t xml:space="preserve"> respondent</w:t>
      </w:r>
      <w:r w:rsidR="00F07E08" w:rsidRPr="003B4AEE">
        <w:t>s</w:t>
      </w:r>
      <w:r w:rsidR="00ED6608" w:rsidRPr="003B4AEE">
        <w:t xml:space="preserve"> </w:t>
      </w:r>
      <w:r w:rsidR="00150883" w:rsidRPr="003B4AEE">
        <w:t>to review</w:t>
      </w:r>
      <w:r w:rsidR="00ED6608" w:rsidRPr="003B4AEE">
        <w:t xml:space="preserve"> Form 1 is 0.</w:t>
      </w:r>
      <w:r w:rsidR="00D64526" w:rsidRPr="003B4AEE">
        <w:t>2</w:t>
      </w:r>
      <w:r w:rsidR="00ED6608" w:rsidRPr="003B4AEE">
        <w:t>5 hours per</w:t>
      </w:r>
      <w:r w:rsidR="00792F8F" w:rsidRPr="003B4AEE">
        <w:t xml:space="preserve"> </w:t>
      </w:r>
      <w:r w:rsidR="0049478E" w:rsidRPr="003B4AEE">
        <w:t>form</w:t>
      </w:r>
      <w:r w:rsidR="00A36C97" w:rsidRPr="003B4AEE">
        <w:t>.</w:t>
      </w:r>
    </w:p>
    <w:p w14:paraId="35F70C18" w14:textId="047B6E4F" w:rsidR="00D64526" w:rsidRPr="003B4AEE" w:rsidRDefault="00D64526" w:rsidP="00D96BAD">
      <w:pPr>
        <w:pStyle w:val="Heading5"/>
      </w:pPr>
      <w:r w:rsidRPr="003B4AEE">
        <w:t>Form 2B</w:t>
      </w:r>
    </w:p>
    <w:p w14:paraId="6197B468" w14:textId="19CAC07B" w:rsidR="00D64526" w:rsidRPr="003B4AEE" w:rsidRDefault="00D64526" w:rsidP="00946B97">
      <w:pPr>
        <w:pStyle w:val="BodyText"/>
      </w:pPr>
      <w:r w:rsidRPr="003B4AEE">
        <w:rPr>
          <w:i/>
        </w:rPr>
        <w:t xml:space="preserve">Permittees. </w:t>
      </w:r>
      <w:r w:rsidRPr="003B4AEE">
        <w:t>Form 2B</w:t>
      </w:r>
      <w:r w:rsidRPr="003B4AEE">
        <w:rPr>
          <w:i/>
        </w:rPr>
        <w:t xml:space="preserve"> </w:t>
      </w:r>
      <w:r w:rsidRPr="003B4AEE">
        <w:t>requirements apply to CAFOs and CAAP facilities covered under individual permits. The estimated time required per permittee respondent for Form 2B is 9.2 hours for CAFOs (8.7 hours to complete and submit the application and 0.5 hours to submit a nutrient management plan)</w:t>
      </w:r>
      <w:r w:rsidR="00A56B7A" w:rsidRPr="003B4AEE">
        <w:t xml:space="preserve"> and 5.5 hours for CAAP facilities.</w:t>
      </w:r>
    </w:p>
    <w:p w14:paraId="13F0E2C2" w14:textId="18C36704" w:rsidR="00D64526" w:rsidRPr="003B4AEE" w:rsidRDefault="00E932C0" w:rsidP="00946B97">
      <w:pPr>
        <w:pStyle w:val="BodyText"/>
      </w:pPr>
      <w:r w:rsidRPr="003B4AEE">
        <w:rPr>
          <w:i/>
        </w:rPr>
        <w:t>States/Federal</w:t>
      </w:r>
      <w:r w:rsidR="00D64526" w:rsidRPr="003B4AEE">
        <w:rPr>
          <w:i/>
        </w:rPr>
        <w:t>.</w:t>
      </w:r>
      <w:r w:rsidR="00D64526" w:rsidRPr="003B4AEE">
        <w:t xml:space="preserve"> The estimated burden hours for state/federal respondents to review Form 2</w:t>
      </w:r>
      <w:r w:rsidR="00A56B7A" w:rsidRPr="003B4AEE">
        <w:t>B</w:t>
      </w:r>
      <w:r w:rsidR="00D64526" w:rsidRPr="003B4AEE">
        <w:t xml:space="preserve"> </w:t>
      </w:r>
      <w:r w:rsidR="00A56B7A" w:rsidRPr="003B4AEE">
        <w:t>is 0.5</w:t>
      </w:r>
      <w:r w:rsidR="00D64526" w:rsidRPr="003B4AEE">
        <w:t xml:space="preserve"> hours per form.</w:t>
      </w:r>
    </w:p>
    <w:p w14:paraId="2F2BCF9A" w14:textId="2FC4E3BB" w:rsidR="00B347FB" w:rsidRPr="003B4AEE" w:rsidRDefault="00B347FB" w:rsidP="004366AF">
      <w:pPr>
        <w:pStyle w:val="Heading5"/>
      </w:pPr>
      <w:r w:rsidRPr="003B4AEE">
        <w:t>Forms 2C-2F</w:t>
      </w:r>
    </w:p>
    <w:p w14:paraId="1CEAA82F" w14:textId="6B2FADD6" w:rsidR="00ED6608" w:rsidRPr="003B4AEE" w:rsidRDefault="00B61CF2" w:rsidP="00946B97">
      <w:pPr>
        <w:pStyle w:val="BodyText"/>
      </w:pPr>
      <w:r w:rsidRPr="003B4AEE">
        <w:rPr>
          <w:i/>
        </w:rPr>
        <w:t xml:space="preserve">Permittees. </w:t>
      </w:r>
      <w:r w:rsidR="00F1524A" w:rsidRPr="003B4AEE">
        <w:t xml:space="preserve">The </w:t>
      </w:r>
      <w:r w:rsidR="00FF43AB" w:rsidRPr="003B4AEE">
        <w:t>estimated time required</w:t>
      </w:r>
      <w:r w:rsidR="0096057B" w:rsidRPr="003B4AEE">
        <w:t xml:space="preserve"> per </w:t>
      </w:r>
      <w:r w:rsidR="00150883" w:rsidRPr="003B4AEE">
        <w:t>permittee respondent</w:t>
      </w:r>
      <w:r w:rsidR="0096057B" w:rsidRPr="003B4AEE">
        <w:t xml:space="preserve"> for Forms 2C-2F ranges from </w:t>
      </w:r>
      <w:r w:rsidR="00325676" w:rsidRPr="003B4AEE">
        <w:t xml:space="preserve">13.5 </w:t>
      </w:r>
      <w:r w:rsidR="0096057B" w:rsidRPr="003B4AEE">
        <w:t xml:space="preserve">hours for Form 2E to </w:t>
      </w:r>
      <w:r w:rsidR="00325676" w:rsidRPr="003B4AEE">
        <w:t xml:space="preserve">45.5 </w:t>
      </w:r>
      <w:r w:rsidR="0096057B" w:rsidRPr="003B4AEE">
        <w:t>hours for Form 2D.</w:t>
      </w:r>
    </w:p>
    <w:p w14:paraId="58DAC103" w14:textId="75FD748B" w:rsidR="00ED6608" w:rsidRPr="003B4AEE" w:rsidRDefault="00E932C0" w:rsidP="00946B97">
      <w:pPr>
        <w:pStyle w:val="BodyText"/>
      </w:pPr>
      <w:r w:rsidRPr="003B4AEE">
        <w:rPr>
          <w:i/>
        </w:rPr>
        <w:t>States/Federal</w:t>
      </w:r>
      <w:r w:rsidR="00B61CF2" w:rsidRPr="003B4AEE">
        <w:rPr>
          <w:i/>
        </w:rPr>
        <w:t>.</w:t>
      </w:r>
      <w:r w:rsidR="00B61CF2" w:rsidRPr="003B4AEE">
        <w:t xml:space="preserve"> </w:t>
      </w:r>
      <w:r w:rsidR="00ED6608" w:rsidRPr="003B4AEE">
        <w:t>Estimated burden hours for state</w:t>
      </w:r>
      <w:r w:rsidR="00F07E08" w:rsidRPr="003B4AEE">
        <w:t>/federal</w:t>
      </w:r>
      <w:r w:rsidR="00ED6608" w:rsidRPr="003B4AEE">
        <w:t xml:space="preserve"> respondent</w:t>
      </w:r>
      <w:r w:rsidR="00F07E08" w:rsidRPr="003B4AEE">
        <w:t>s</w:t>
      </w:r>
      <w:r w:rsidR="00ED6608" w:rsidRPr="003B4AEE">
        <w:t xml:space="preserve"> </w:t>
      </w:r>
      <w:r w:rsidR="00654B8B" w:rsidRPr="003B4AEE">
        <w:t>to</w:t>
      </w:r>
      <w:r w:rsidR="00ED6608" w:rsidRPr="003B4AEE">
        <w:t xml:space="preserve"> review Forms 2C-2F </w:t>
      </w:r>
      <w:r w:rsidR="001E583A" w:rsidRPr="003B4AEE">
        <w:t>ranges from 0.5 hours to 2 hours per form.</w:t>
      </w:r>
    </w:p>
    <w:p w14:paraId="663ED9DB" w14:textId="0116695B" w:rsidR="00ED6608" w:rsidRPr="003B4AEE" w:rsidRDefault="00D64526" w:rsidP="004366AF">
      <w:pPr>
        <w:pStyle w:val="Heading5"/>
      </w:pPr>
      <w:r w:rsidRPr="003B4AEE">
        <w:t>Form 2A</w:t>
      </w:r>
    </w:p>
    <w:p w14:paraId="38F50A47" w14:textId="7BCFB1B1" w:rsidR="00B347FB" w:rsidRPr="003B4AEE" w:rsidRDefault="00B61CF2" w:rsidP="00946B97">
      <w:pPr>
        <w:pStyle w:val="BodyText"/>
      </w:pPr>
      <w:r w:rsidRPr="003B4AEE">
        <w:rPr>
          <w:i/>
        </w:rPr>
        <w:t xml:space="preserve">Permittees. </w:t>
      </w:r>
      <w:r w:rsidR="00F1524A" w:rsidRPr="003B4AEE">
        <w:t xml:space="preserve">The </w:t>
      </w:r>
      <w:r w:rsidR="00FF43AB" w:rsidRPr="003B4AEE">
        <w:t>estimated time required</w:t>
      </w:r>
      <w:r w:rsidR="008E40C4" w:rsidRPr="003B4AEE">
        <w:t xml:space="preserve"> per </w:t>
      </w:r>
      <w:r w:rsidR="0046075E" w:rsidRPr="003B4AEE">
        <w:t>permittee respondent</w:t>
      </w:r>
      <w:r w:rsidR="008E40C4" w:rsidRPr="003B4AEE">
        <w:t xml:space="preserve"> for Forms for POTWs </w:t>
      </w:r>
      <w:r w:rsidR="007358A3" w:rsidRPr="003B4AEE">
        <w:t xml:space="preserve">and </w:t>
      </w:r>
      <w:proofErr w:type="spellStart"/>
      <w:r w:rsidR="008E40C4" w:rsidRPr="003B4AEE">
        <w:t>PrOTWs</w:t>
      </w:r>
      <w:proofErr w:type="spellEnd"/>
      <w:r w:rsidR="008E40C4" w:rsidRPr="003B4AEE">
        <w:t xml:space="preserve"> (Form 2A</w:t>
      </w:r>
      <w:r w:rsidR="00B347FB" w:rsidRPr="003B4AEE">
        <w:t xml:space="preserve"> -</w:t>
      </w:r>
      <w:r w:rsidR="008E40C4" w:rsidRPr="003B4AEE">
        <w:t xml:space="preserve"> Basic, Form 2A</w:t>
      </w:r>
      <w:r w:rsidR="00B347FB" w:rsidRPr="003B4AEE">
        <w:t xml:space="preserve"> -</w:t>
      </w:r>
      <w:r w:rsidR="008E40C4" w:rsidRPr="003B4AEE">
        <w:t xml:space="preserve"> Part D, Form 2A</w:t>
      </w:r>
      <w:r w:rsidR="00B347FB" w:rsidRPr="003B4AEE">
        <w:t xml:space="preserve"> -</w:t>
      </w:r>
      <w:r w:rsidR="008E40C4" w:rsidRPr="003B4AEE">
        <w:t xml:space="preserve"> Part E, Form 2A</w:t>
      </w:r>
      <w:r w:rsidR="00B347FB" w:rsidRPr="003B4AEE">
        <w:t xml:space="preserve"> -</w:t>
      </w:r>
      <w:r w:rsidR="008E40C4" w:rsidRPr="003B4AEE">
        <w:t xml:space="preserve"> Part F, Form 2A</w:t>
      </w:r>
      <w:r w:rsidR="00B347FB" w:rsidRPr="003B4AEE">
        <w:t xml:space="preserve"> -</w:t>
      </w:r>
      <w:r w:rsidR="008E40C4" w:rsidRPr="003B4AEE">
        <w:t xml:space="preserve"> Part G) range</w:t>
      </w:r>
      <w:r w:rsidR="00175B0E" w:rsidRPr="003B4AEE">
        <w:t>s</w:t>
      </w:r>
      <w:r w:rsidR="008E40C4" w:rsidRPr="003B4AEE">
        <w:t xml:space="preserve"> from 4</w:t>
      </w:r>
      <w:r w:rsidR="00325676" w:rsidRPr="003B4AEE">
        <w:t>.7</w:t>
      </w:r>
      <w:r w:rsidR="008E40C4" w:rsidRPr="003B4AEE">
        <w:t xml:space="preserve"> to </w:t>
      </w:r>
      <w:r w:rsidR="00325676" w:rsidRPr="003B4AEE">
        <w:t xml:space="preserve">24.7 </w:t>
      </w:r>
      <w:r w:rsidR="008E40C4" w:rsidRPr="003B4AEE">
        <w:t xml:space="preserve">hours. </w:t>
      </w:r>
      <w:r w:rsidR="0096057B" w:rsidRPr="003B4AEE">
        <w:t>There</w:t>
      </w:r>
      <w:r w:rsidR="002D1079" w:rsidRPr="003B4AEE">
        <w:t xml:space="preserve"> are non-labor </w:t>
      </w:r>
      <w:r w:rsidR="00B347FB" w:rsidRPr="003B4AEE">
        <w:t xml:space="preserve">operating </w:t>
      </w:r>
      <w:r w:rsidR="002D1079" w:rsidRPr="003B4AEE">
        <w:t xml:space="preserve">costs associated with Forms for POTWs </w:t>
      </w:r>
      <w:r w:rsidR="007358A3" w:rsidRPr="003B4AEE">
        <w:t>and</w:t>
      </w:r>
      <w:r w:rsidR="002D1079" w:rsidRPr="003B4AEE">
        <w:t xml:space="preserve"> </w:t>
      </w:r>
      <w:proofErr w:type="spellStart"/>
      <w:r w:rsidR="002D1079" w:rsidRPr="003B4AEE">
        <w:t>PrOTWs</w:t>
      </w:r>
      <w:proofErr w:type="spellEnd"/>
      <w:r w:rsidR="002D1079" w:rsidRPr="003B4AEE">
        <w:t xml:space="preserve"> due to requirements for testing and analysis. See section A.2 for details</w:t>
      </w:r>
      <w:r w:rsidR="0055679E" w:rsidRPr="003B4AEE">
        <w:t>.</w:t>
      </w:r>
    </w:p>
    <w:p w14:paraId="5AF6E6AA" w14:textId="1E204F75" w:rsidR="001E583A" w:rsidRPr="003B4AEE" w:rsidRDefault="00B61CF2" w:rsidP="00946B97">
      <w:pPr>
        <w:pStyle w:val="BodyText"/>
      </w:pPr>
      <w:r w:rsidRPr="003B4AEE">
        <w:rPr>
          <w:i/>
        </w:rPr>
        <w:t>States.</w:t>
      </w:r>
      <w:r w:rsidRPr="003B4AEE">
        <w:t xml:space="preserve"> </w:t>
      </w:r>
      <w:r w:rsidR="001E583A" w:rsidRPr="003B4AEE">
        <w:t xml:space="preserve">Estimated burden hours for </w:t>
      </w:r>
      <w:r w:rsidR="0046075E" w:rsidRPr="003B4AEE">
        <w:t xml:space="preserve">a </w:t>
      </w:r>
      <w:r w:rsidR="001E583A" w:rsidRPr="003B4AEE">
        <w:t>state respondent</w:t>
      </w:r>
      <w:r w:rsidR="00654B8B" w:rsidRPr="003B4AEE">
        <w:t xml:space="preserve"> to</w:t>
      </w:r>
      <w:r w:rsidR="001E583A" w:rsidRPr="003B4AEE">
        <w:t xml:space="preserve"> review Forms for POTWs </w:t>
      </w:r>
      <w:r w:rsidR="007358A3" w:rsidRPr="003B4AEE">
        <w:t>and</w:t>
      </w:r>
      <w:r w:rsidR="001E583A" w:rsidRPr="003B4AEE">
        <w:t xml:space="preserve"> </w:t>
      </w:r>
      <w:proofErr w:type="spellStart"/>
      <w:r w:rsidR="001E583A" w:rsidRPr="003B4AEE">
        <w:t>PrOTWs</w:t>
      </w:r>
      <w:proofErr w:type="spellEnd"/>
      <w:r w:rsidR="001E583A" w:rsidRPr="003B4AEE">
        <w:t xml:space="preserve"> ranges from 0.67 hours to 4 hours per application.</w:t>
      </w:r>
    </w:p>
    <w:p w14:paraId="561D792B" w14:textId="221C9063" w:rsidR="00D64526" w:rsidRPr="003B4AEE" w:rsidRDefault="00D64526" w:rsidP="00D64526">
      <w:pPr>
        <w:pStyle w:val="Heading5"/>
      </w:pPr>
      <w:r w:rsidRPr="003B4AEE">
        <w:t>Form 2S</w:t>
      </w:r>
    </w:p>
    <w:p w14:paraId="43BE57C3" w14:textId="1B9A85BB" w:rsidR="00D64526" w:rsidRPr="003B4AEE" w:rsidRDefault="00D64526" w:rsidP="00946B97">
      <w:pPr>
        <w:pStyle w:val="BodyText"/>
      </w:pPr>
      <w:r w:rsidRPr="003B4AEE">
        <w:rPr>
          <w:i/>
        </w:rPr>
        <w:t xml:space="preserve">Permittees. </w:t>
      </w:r>
      <w:r w:rsidRPr="003B4AEE">
        <w:t>Form 2S</w:t>
      </w:r>
      <w:r w:rsidRPr="003B4AEE">
        <w:rPr>
          <w:i/>
        </w:rPr>
        <w:t xml:space="preserve"> </w:t>
      </w:r>
      <w:r w:rsidRPr="003B4AEE">
        <w:t>requirements apply to POTWs and other treatment works treating domestic sewage. The estimated time required per permittee respondent for Form 2S is 9.1 hours.</w:t>
      </w:r>
    </w:p>
    <w:p w14:paraId="7839B851" w14:textId="49A20761" w:rsidR="00D64526" w:rsidRPr="003B4AEE" w:rsidRDefault="00E932C0" w:rsidP="00946B97">
      <w:pPr>
        <w:pStyle w:val="BodyText"/>
      </w:pPr>
      <w:r w:rsidRPr="003B4AEE">
        <w:rPr>
          <w:i/>
        </w:rPr>
        <w:t>States/Federal</w:t>
      </w:r>
      <w:r w:rsidR="00D64526" w:rsidRPr="003B4AEE">
        <w:rPr>
          <w:i/>
        </w:rPr>
        <w:t>.</w:t>
      </w:r>
      <w:r w:rsidR="00D64526" w:rsidRPr="003B4AEE">
        <w:t xml:space="preserve"> The estimated burden hours for state/federal respondents to review Form 2S ranges from </w:t>
      </w:r>
      <w:r w:rsidR="00C603AE" w:rsidRPr="003B4AEE">
        <w:t>0.42 to 1.</w:t>
      </w:r>
      <w:r w:rsidR="00ED65C5" w:rsidRPr="003B4AEE">
        <w:t>17</w:t>
      </w:r>
      <w:r w:rsidR="00D64526" w:rsidRPr="003B4AEE">
        <w:t xml:space="preserve"> hours per form.</w:t>
      </w:r>
    </w:p>
    <w:p w14:paraId="4F8F821B" w14:textId="486B52EF" w:rsidR="00ED6608" w:rsidRPr="003B4AEE" w:rsidRDefault="00ED6608" w:rsidP="004366AF">
      <w:pPr>
        <w:pStyle w:val="Heading5"/>
      </w:pPr>
      <w:r w:rsidRPr="003B4AEE">
        <w:lastRenderedPageBreak/>
        <w:t>Ocean Discharge Application</w:t>
      </w:r>
    </w:p>
    <w:p w14:paraId="7D6C174A" w14:textId="5F0A917C" w:rsidR="0055679E" w:rsidRPr="003B4AEE" w:rsidRDefault="00B61CF2" w:rsidP="00946B97">
      <w:pPr>
        <w:pStyle w:val="BodyText"/>
      </w:pPr>
      <w:r w:rsidRPr="003B4AEE">
        <w:rPr>
          <w:i/>
        </w:rPr>
        <w:t xml:space="preserve">Permittees. </w:t>
      </w:r>
      <w:r w:rsidR="0055679E" w:rsidRPr="003B4AEE">
        <w:t xml:space="preserve">The </w:t>
      </w:r>
      <w:r w:rsidR="00ED6608" w:rsidRPr="003B4AEE">
        <w:t xml:space="preserve">estimated </w:t>
      </w:r>
      <w:r w:rsidR="0055679E" w:rsidRPr="003B4AEE">
        <w:t xml:space="preserve">total hours per </w:t>
      </w:r>
      <w:r w:rsidR="0046075E" w:rsidRPr="003B4AEE">
        <w:t>permittee respondent</w:t>
      </w:r>
      <w:r w:rsidR="0055679E" w:rsidRPr="003B4AEE">
        <w:t xml:space="preserve"> for applications for ocean discharges </w:t>
      </w:r>
      <w:r w:rsidR="00654B8B" w:rsidRPr="003B4AEE">
        <w:t>is</w:t>
      </w:r>
      <w:r w:rsidR="0096057B" w:rsidRPr="003B4AEE">
        <w:t xml:space="preserve"> </w:t>
      </w:r>
      <w:r w:rsidR="008E40C4" w:rsidRPr="003B4AEE">
        <w:t xml:space="preserve">778 hours </w:t>
      </w:r>
      <w:r w:rsidR="0055679E" w:rsidRPr="003B4AEE">
        <w:t>but no applications are anticipated for the three year</w:t>
      </w:r>
      <w:r w:rsidR="0046075E" w:rsidRPr="003B4AEE">
        <w:t>-</w:t>
      </w:r>
      <w:r w:rsidR="0055679E" w:rsidRPr="003B4AEE">
        <w:t>period for this ICR renewal.</w:t>
      </w:r>
    </w:p>
    <w:p w14:paraId="763EA5DF" w14:textId="2CF7A85D" w:rsidR="0055679E" w:rsidRPr="003B4AEE" w:rsidRDefault="00E932C0" w:rsidP="00946B97">
      <w:pPr>
        <w:pStyle w:val="BodyText"/>
      </w:pPr>
      <w:r w:rsidRPr="003B4AEE">
        <w:rPr>
          <w:i/>
        </w:rPr>
        <w:t>States/Federal</w:t>
      </w:r>
      <w:r w:rsidR="00B61CF2" w:rsidRPr="003B4AEE">
        <w:rPr>
          <w:i/>
        </w:rPr>
        <w:t>.</w:t>
      </w:r>
      <w:r w:rsidR="00B61CF2" w:rsidRPr="003B4AEE">
        <w:t xml:space="preserve"> </w:t>
      </w:r>
      <w:r w:rsidR="001E583A" w:rsidRPr="003B4AEE">
        <w:t>Estimated burden hours for state</w:t>
      </w:r>
      <w:r w:rsidR="00844293" w:rsidRPr="003B4AEE">
        <w:t>/federal</w:t>
      </w:r>
      <w:r w:rsidR="001E583A" w:rsidRPr="003B4AEE">
        <w:t xml:space="preserve"> respondent</w:t>
      </w:r>
      <w:r w:rsidR="00844293" w:rsidRPr="003B4AEE">
        <w:t>s</w:t>
      </w:r>
      <w:r w:rsidR="00654B8B" w:rsidRPr="003B4AEE">
        <w:t xml:space="preserve"> to</w:t>
      </w:r>
      <w:r w:rsidR="001E583A" w:rsidRPr="003B4AEE">
        <w:t xml:space="preserve"> review applications for ocean discharges is 88 hours per application</w:t>
      </w:r>
      <w:r w:rsidR="00654B8B" w:rsidRPr="003B4AEE">
        <w:t>.</w:t>
      </w:r>
      <w:r w:rsidR="00B61CF2" w:rsidRPr="003B4AEE">
        <w:t xml:space="preserve"> As stated above, no applications are anticipated for the three years covered by this ICR renewal.</w:t>
      </w:r>
    </w:p>
    <w:p w14:paraId="6112BCD3" w14:textId="159CADC1" w:rsidR="006A329B" w:rsidRPr="003B4AEE" w:rsidRDefault="00A70CE4" w:rsidP="00B101A0">
      <w:pPr>
        <w:pStyle w:val="Heading4"/>
      </w:pPr>
      <w:r w:rsidRPr="003B4AEE">
        <w:t>A.1.2.2</w:t>
      </w:r>
      <w:r w:rsidR="00D11C94" w:rsidRPr="003B4AEE">
        <w:tab/>
      </w:r>
      <w:r w:rsidR="008A5B46" w:rsidRPr="003B4AEE">
        <w:t>DMRs</w:t>
      </w:r>
    </w:p>
    <w:p w14:paraId="1187F576" w14:textId="22288CB8" w:rsidR="008A5B46" w:rsidRPr="003B4AEE" w:rsidRDefault="008A5B46" w:rsidP="00946B97">
      <w:pPr>
        <w:pStyle w:val="BodyText"/>
      </w:pPr>
      <w:r w:rsidRPr="003B4AEE">
        <w:rPr>
          <w:i/>
        </w:rPr>
        <w:t>Permittees.</w:t>
      </w:r>
      <w:r w:rsidRPr="003B4AEE">
        <w:t xml:space="preserve"> </w:t>
      </w:r>
      <w:r w:rsidR="00066787" w:rsidRPr="003B4AEE">
        <w:t>NPDES regulations at 40 CFR 122.41(l)(4)(</w:t>
      </w:r>
      <w:proofErr w:type="spellStart"/>
      <w:r w:rsidR="00066787" w:rsidRPr="003B4AEE">
        <w:t>i</w:t>
      </w:r>
      <w:proofErr w:type="spellEnd"/>
      <w:r w:rsidR="00066787" w:rsidRPr="003B4AEE">
        <w:t>) require that monitoring results must be reported on a DMR. In addition, regulations at 40 CFR 122.44(</w:t>
      </w:r>
      <w:proofErr w:type="spellStart"/>
      <w:r w:rsidR="00066787" w:rsidRPr="003B4AEE">
        <w:t>i</w:t>
      </w:r>
      <w:proofErr w:type="spellEnd"/>
      <w:r w:rsidR="00066787" w:rsidRPr="003B4AEE">
        <w:t xml:space="preserve">)(2) require permittees to submit reports (on discharges and sludge use or disposal) at least annually; however, because NPDES regulations state that monitoring and reporting frequencies should be dependent on the nature of the discharge, reporting may be more frequent than annually. </w:t>
      </w:r>
      <w:r w:rsidRPr="003B4AEE">
        <w:t xml:space="preserve">DMR preparation is expected to require about 2 hours per outfall. Some permittees, especially industrial facilities, have multiple outfalls. The required frequency of DMR reporting (monthly, bimonthly, quarterly, semi-annually, or yearly) depends on facility type and permit type. The implementation of the Electronic Reporting Rule </w:t>
      </w:r>
      <w:r w:rsidR="007B4E8B" w:rsidRPr="003B4AEE">
        <w:t>did not</w:t>
      </w:r>
      <w:r w:rsidRPr="003B4AEE">
        <w:t xml:space="preserve"> change the time necessary to prepare the DMR</w:t>
      </w:r>
      <w:r w:rsidR="007B4E8B" w:rsidRPr="003B4AEE">
        <w:t>.</w:t>
      </w:r>
    </w:p>
    <w:p w14:paraId="66B1B43E" w14:textId="0EB9B26A" w:rsidR="008A5B46" w:rsidRPr="003B4AEE" w:rsidRDefault="00E932C0" w:rsidP="00946B97">
      <w:pPr>
        <w:pStyle w:val="BodyText"/>
      </w:pPr>
      <w:r w:rsidRPr="003B4AEE">
        <w:rPr>
          <w:i/>
        </w:rPr>
        <w:t>States/Federal</w:t>
      </w:r>
      <w:r w:rsidR="008A5B46" w:rsidRPr="003B4AEE">
        <w:rPr>
          <w:i/>
        </w:rPr>
        <w:t>.</w:t>
      </w:r>
      <w:r w:rsidR="008A5B46" w:rsidRPr="003B4AEE">
        <w:t xml:space="preserve"> </w:t>
      </w:r>
      <w:r w:rsidR="002873E2" w:rsidRPr="003B4AEE">
        <w:t xml:space="preserve">The implementation of the </w:t>
      </w:r>
      <w:proofErr w:type="spellStart"/>
      <w:r w:rsidR="002873E2" w:rsidRPr="003B4AEE">
        <w:t>eRule</w:t>
      </w:r>
      <w:proofErr w:type="spellEnd"/>
      <w:r w:rsidR="002873E2" w:rsidRPr="003B4AEE">
        <w:t xml:space="preserve"> eliminated all DMR processing burden for </w:t>
      </w:r>
      <w:r w:rsidR="00467271" w:rsidRPr="003B4AEE">
        <w:t>state and federal respondents.</w:t>
      </w:r>
      <w:r w:rsidR="00EB2BD7" w:rsidRPr="003B4AEE">
        <w:t xml:space="preserve"> Remaining burden to be phased out is addressed in </w:t>
      </w:r>
      <w:r w:rsidR="00645072" w:rsidRPr="003B4AEE">
        <w:t>A.1.8.4.</w:t>
      </w:r>
    </w:p>
    <w:p w14:paraId="1430E822" w14:textId="1A23041B" w:rsidR="003E71A0" w:rsidRPr="003B4AEE" w:rsidRDefault="008A5B46" w:rsidP="00D11C94">
      <w:pPr>
        <w:pStyle w:val="Heading4"/>
      </w:pPr>
      <w:r w:rsidRPr="003B4AEE">
        <w:t>A.1.2.3</w:t>
      </w:r>
      <w:r w:rsidR="00D11C94" w:rsidRPr="003B4AEE">
        <w:tab/>
      </w:r>
      <w:r w:rsidR="00735449" w:rsidRPr="003B4AEE">
        <w:t>Reports</w:t>
      </w:r>
    </w:p>
    <w:p w14:paraId="33461939" w14:textId="61546CCD" w:rsidR="003E71A0" w:rsidRPr="003B4AEE" w:rsidRDefault="007310B9" w:rsidP="002B4950">
      <w:pPr>
        <w:pStyle w:val="ListBulletsingle"/>
        <w:ind w:left="0" w:firstLine="0"/>
      </w:pPr>
      <w:r w:rsidRPr="003B4AEE">
        <w:t xml:space="preserve">NPDES permits may require the submittal of other reports or required information, e.g., notices and permit documents (aside from reports on discharge and sludge use/disposal). </w:t>
      </w:r>
      <w:r w:rsidR="00735449" w:rsidRPr="003B4AEE">
        <w:t>Report</w:t>
      </w:r>
      <w:r w:rsidR="00455338" w:rsidRPr="003B4AEE">
        <w:t xml:space="preserve"> activities </w:t>
      </w:r>
      <w:r w:rsidR="00C8246E" w:rsidRPr="003B4AEE">
        <w:t xml:space="preserve">in this category </w:t>
      </w:r>
      <w:r w:rsidR="00455338" w:rsidRPr="003B4AEE">
        <w:t>can include submission of notices to the permitting authority concerning the following:</w:t>
      </w:r>
      <w:r w:rsidR="002D1079" w:rsidRPr="003B4AEE">
        <w:t xml:space="preserve"> </w:t>
      </w:r>
    </w:p>
    <w:p w14:paraId="3A81B8FC" w14:textId="4FB8E5AA" w:rsidR="002D1079" w:rsidRPr="003B4AEE" w:rsidRDefault="0055679E" w:rsidP="00290A17">
      <w:pPr>
        <w:pStyle w:val="ListBulletsingle"/>
        <w:numPr>
          <w:ilvl w:val="0"/>
          <w:numId w:val="23"/>
        </w:numPr>
      </w:pPr>
      <w:r w:rsidRPr="003B4AEE">
        <w:t xml:space="preserve">Facility and Permit Transfer </w:t>
      </w:r>
      <w:proofErr w:type="gramStart"/>
      <w:r w:rsidRPr="003B4AEE">
        <w:t>Report</w:t>
      </w:r>
      <w:r w:rsidR="00915217" w:rsidRPr="003B4AEE">
        <w:t>;</w:t>
      </w:r>
      <w:proofErr w:type="gramEnd"/>
    </w:p>
    <w:p w14:paraId="7E366DAE" w14:textId="034F7A1C" w:rsidR="0055679E" w:rsidRPr="003B4AEE" w:rsidRDefault="0055679E" w:rsidP="00290A17">
      <w:pPr>
        <w:pStyle w:val="ListBulletsingle"/>
        <w:numPr>
          <w:ilvl w:val="0"/>
          <w:numId w:val="23"/>
        </w:numPr>
      </w:pPr>
      <w:r w:rsidRPr="003B4AEE">
        <w:t xml:space="preserve">Permittee Report of Inaccurate Previous </w:t>
      </w:r>
      <w:proofErr w:type="gramStart"/>
      <w:r w:rsidRPr="003B4AEE">
        <w:t>Information</w:t>
      </w:r>
      <w:r w:rsidR="00915217" w:rsidRPr="003B4AEE">
        <w:t>;</w:t>
      </w:r>
      <w:proofErr w:type="gramEnd"/>
    </w:p>
    <w:p w14:paraId="0C738006" w14:textId="1B0C455D" w:rsidR="0055679E" w:rsidRPr="003B4AEE" w:rsidRDefault="0055679E" w:rsidP="00290A17">
      <w:pPr>
        <w:pStyle w:val="ListBulletsingle"/>
        <w:numPr>
          <w:ilvl w:val="0"/>
          <w:numId w:val="23"/>
        </w:numPr>
      </w:pPr>
      <w:r w:rsidRPr="003B4AEE">
        <w:t xml:space="preserve">Alternate Level </w:t>
      </w:r>
      <w:proofErr w:type="gramStart"/>
      <w:r w:rsidRPr="003B4AEE">
        <w:t>Reports</w:t>
      </w:r>
      <w:r w:rsidR="00915217" w:rsidRPr="003B4AEE">
        <w:t>;</w:t>
      </w:r>
      <w:proofErr w:type="gramEnd"/>
    </w:p>
    <w:p w14:paraId="67894107" w14:textId="40CDB550" w:rsidR="0055679E" w:rsidRPr="003B4AEE" w:rsidRDefault="0055679E" w:rsidP="00290A17">
      <w:pPr>
        <w:pStyle w:val="ListBulletsingle"/>
        <w:numPr>
          <w:ilvl w:val="0"/>
          <w:numId w:val="23"/>
        </w:numPr>
      </w:pPr>
      <w:r w:rsidRPr="003B4AEE">
        <w:t xml:space="preserve">Permittee Report of Planned Facility </w:t>
      </w:r>
      <w:proofErr w:type="gramStart"/>
      <w:r w:rsidRPr="003B4AEE">
        <w:t>Changes</w:t>
      </w:r>
      <w:r w:rsidR="00915217" w:rsidRPr="003B4AEE">
        <w:t>;</w:t>
      </w:r>
      <w:proofErr w:type="gramEnd"/>
    </w:p>
    <w:p w14:paraId="06D963FE" w14:textId="4923D20D" w:rsidR="0055679E" w:rsidRPr="003B4AEE" w:rsidRDefault="0055679E" w:rsidP="00290A17">
      <w:pPr>
        <w:pStyle w:val="ListBulletsingle"/>
        <w:numPr>
          <w:ilvl w:val="0"/>
          <w:numId w:val="23"/>
        </w:numPr>
      </w:pPr>
      <w:r w:rsidRPr="003B4AEE">
        <w:t>Request for Water Quality</w:t>
      </w:r>
      <w:r w:rsidR="00202584" w:rsidRPr="003B4AEE">
        <w:t>-</w:t>
      </w:r>
      <w:r w:rsidR="00A8376D" w:rsidRPr="003B4AEE">
        <w:t>Based</w:t>
      </w:r>
      <w:r w:rsidRPr="003B4AEE">
        <w:t xml:space="preserve"> Effluent Limitations </w:t>
      </w:r>
      <w:proofErr w:type="gramStart"/>
      <w:r w:rsidRPr="003B4AEE">
        <w:t>Modification</w:t>
      </w:r>
      <w:r w:rsidR="00915217" w:rsidRPr="003B4AEE">
        <w:t>;</w:t>
      </w:r>
      <w:proofErr w:type="gramEnd"/>
    </w:p>
    <w:p w14:paraId="3AAAFFB5" w14:textId="650CFEC7" w:rsidR="00A1055F" w:rsidRPr="003B4AEE" w:rsidRDefault="00A1055F" w:rsidP="00290A17">
      <w:pPr>
        <w:pStyle w:val="ListBulletsingle"/>
        <w:numPr>
          <w:ilvl w:val="0"/>
          <w:numId w:val="23"/>
        </w:numPr>
      </w:pPr>
      <w:r w:rsidRPr="003B4AEE">
        <w:t xml:space="preserve">Non-compliance </w:t>
      </w:r>
      <w:proofErr w:type="gramStart"/>
      <w:r w:rsidRPr="003B4AEE">
        <w:t>Reports</w:t>
      </w:r>
      <w:r w:rsidR="00915217" w:rsidRPr="003B4AEE">
        <w:t>;</w:t>
      </w:r>
      <w:proofErr w:type="gramEnd"/>
    </w:p>
    <w:p w14:paraId="77B6DE4B" w14:textId="0EFB63E4" w:rsidR="00A1055F" w:rsidRPr="003B4AEE" w:rsidRDefault="00A1055F" w:rsidP="00290A17">
      <w:pPr>
        <w:pStyle w:val="ListBulletsingle"/>
        <w:numPr>
          <w:ilvl w:val="0"/>
          <w:numId w:val="23"/>
        </w:numPr>
      </w:pPr>
      <w:r w:rsidRPr="003B4AEE">
        <w:t>Compliance Schedule Reports</w:t>
      </w:r>
      <w:r w:rsidR="00915217" w:rsidRPr="003B4AEE">
        <w:t>; and</w:t>
      </w:r>
    </w:p>
    <w:p w14:paraId="2BA304E9" w14:textId="5D33D9F3" w:rsidR="00A1055F" w:rsidRPr="003B4AEE" w:rsidRDefault="00A1055F" w:rsidP="00290A17">
      <w:pPr>
        <w:pStyle w:val="ListBulletlast"/>
        <w:numPr>
          <w:ilvl w:val="0"/>
          <w:numId w:val="23"/>
        </w:numPr>
      </w:pPr>
      <w:r w:rsidRPr="003B4AEE">
        <w:t>Unanticipated Bypass/Upset Reports</w:t>
      </w:r>
      <w:r w:rsidR="00915217" w:rsidRPr="003B4AEE">
        <w:t>.</w:t>
      </w:r>
    </w:p>
    <w:p w14:paraId="1133FBC0" w14:textId="570F7548" w:rsidR="00455338" w:rsidRPr="003B4AEE" w:rsidRDefault="00B61CF2" w:rsidP="00946B97">
      <w:pPr>
        <w:pStyle w:val="BodyText"/>
      </w:pPr>
      <w:r w:rsidRPr="003B4AEE">
        <w:rPr>
          <w:i/>
        </w:rPr>
        <w:t xml:space="preserve">Permittees. </w:t>
      </w:r>
      <w:r w:rsidR="00C8246E" w:rsidRPr="003B4AEE">
        <w:t>In general, t</w:t>
      </w:r>
      <w:r w:rsidR="00F1524A" w:rsidRPr="003B4AEE">
        <w:t xml:space="preserve">he </w:t>
      </w:r>
      <w:r w:rsidR="00FF43AB" w:rsidRPr="003B4AEE">
        <w:t>estimated time required</w:t>
      </w:r>
      <w:r w:rsidR="00DF7211" w:rsidRPr="003B4AEE">
        <w:t xml:space="preserve"> per response for </w:t>
      </w:r>
      <w:r w:rsidR="00455338" w:rsidRPr="003B4AEE">
        <w:t xml:space="preserve">these activities </w:t>
      </w:r>
      <w:r w:rsidR="00DF7211" w:rsidRPr="003B4AEE">
        <w:t>range</w:t>
      </w:r>
      <w:r w:rsidR="00654B8B" w:rsidRPr="003B4AEE">
        <w:t>s</w:t>
      </w:r>
      <w:r w:rsidR="00DF7211" w:rsidRPr="003B4AEE">
        <w:t xml:space="preserve"> from 1 to </w:t>
      </w:r>
      <w:r w:rsidR="00A1055F" w:rsidRPr="003B4AEE">
        <w:t>5</w:t>
      </w:r>
      <w:r w:rsidR="00DF7211" w:rsidRPr="003B4AEE">
        <w:t xml:space="preserve"> hours.</w:t>
      </w:r>
      <w:r w:rsidR="00455338" w:rsidRPr="003B4AEE">
        <w:t xml:space="preserve"> There is no set frequency because these activities are often triggered by un</w:t>
      </w:r>
      <w:r w:rsidR="00FA1280" w:rsidRPr="003B4AEE">
        <w:t>planned</w:t>
      </w:r>
      <w:r w:rsidR="00455338" w:rsidRPr="003B4AEE">
        <w:t xml:space="preserve"> events. The frequencies use</w:t>
      </w:r>
      <w:r w:rsidR="00FA1280" w:rsidRPr="003B4AEE">
        <w:t>d</w:t>
      </w:r>
      <w:r w:rsidR="00455338" w:rsidRPr="003B4AEE">
        <w:t xml:space="preserve"> to derive the burden estimates are based on experience and assumptions regarding expected occurrence of each.</w:t>
      </w:r>
      <w:r w:rsidR="00C8246E" w:rsidRPr="003B4AEE">
        <w:t xml:space="preserve"> The estimated time required per respondent for preparing and submitting compliance schedule reports is 0.75 hours and occurs on an annual basis.</w:t>
      </w:r>
    </w:p>
    <w:p w14:paraId="167ABBA9" w14:textId="5B2F2D8C" w:rsidR="00DF7211" w:rsidRPr="003B4AEE" w:rsidRDefault="00E932C0" w:rsidP="00946B97">
      <w:pPr>
        <w:pStyle w:val="BodyText"/>
      </w:pPr>
      <w:r w:rsidRPr="003B4AEE">
        <w:rPr>
          <w:i/>
        </w:rPr>
        <w:lastRenderedPageBreak/>
        <w:t>States/Federal</w:t>
      </w:r>
      <w:r w:rsidR="00B61CF2" w:rsidRPr="003B4AEE">
        <w:rPr>
          <w:i/>
        </w:rPr>
        <w:t>.</w:t>
      </w:r>
      <w:r w:rsidR="00B61CF2" w:rsidRPr="003B4AEE">
        <w:t xml:space="preserve"> </w:t>
      </w:r>
      <w:r w:rsidR="000F5166" w:rsidRPr="003B4AEE">
        <w:t xml:space="preserve">The </w:t>
      </w:r>
      <w:r w:rsidR="00FF43AB" w:rsidRPr="003B4AEE">
        <w:t>estimated time required</w:t>
      </w:r>
      <w:r w:rsidR="00DF7211" w:rsidRPr="003B4AEE">
        <w:t xml:space="preserve"> </w:t>
      </w:r>
      <w:r w:rsidR="00A27D46" w:rsidRPr="003B4AEE">
        <w:t xml:space="preserve">for </w:t>
      </w:r>
      <w:r w:rsidR="00DF7211" w:rsidRPr="003B4AEE">
        <w:t>state</w:t>
      </w:r>
      <w:r w:rsidR="00844293" w:rsidRPr="003B4AEE">
        <w:t>/federal</w:t>
      </w:r>
      <w:r w:rsidR="00DF7211" w:rsidRPr="003B4AEE">
        <w:t xml:space="preserve"> respondent</w:t>
      </w:r>
      <w:r w:rsidR="00654B8B" w:rsidRPr="003B4AEE">
        <w:t>s to review and process notifications</w:t>
      </w:r>
      <w:r w:rsidR="00DF7211" w:rsidRPr="003B4AEE">
        <w:t xml:space="preserve"> is typically 4 hours </w:t>
      </w:r>
      <w:r w:rsidR="00A27D46" w:rsidRPr="003B4AEE">
        <w:t xml:space="preserve">per notification </w:t>
      </w:r>
      <w:r w:rsidR="00DF7211" w:rsidRPr="003B4AEE">
        <w:t xml:space="preserve">but can </w:t>
      </w:r>
      <w:r w:rsidR="00CA2398" w:rsidRPr="003B4AEE">
        <w:t>take up</w:t>
      </w:r>
      <w:r w:rsidR="00DF7211" w:rsidRPr="003B4AEE">
        <w:t xml:space="preserve"> to 20 hours for Permittee Report of Planned Facility Changes.</w:t>
      </w:r>
      <w:r w:rsidR="00C8246E" w:rsidRPr="003B4AEE">
        <w:t xml:space="preserve"> The estimated time required for state</w:t>
      </w:r>
      <w:r w:rsidR="00844293" w:rsidRPr="003B4AEE">
        <w:t>/federal</w:t>
      </w:r>
      <w:r w:rsidR="00C8246E" w:rsidRPr="003B4AEE">
        <w:t xml:space="preserve"> respondents to review and process compliance schedule reports is 0.25 hours for municipal and 4 hours for nonmunicipal permits.</w:t>
      </w:r>
    </w:p>
    <w:p w14:paraId="6C749A69" w14:textId="5FB5D42C" w:rsidR="009665CE" w:rsidRPr="003B4AEE" w:rsidRDefault="008A5B46" w:rsidP="00D11C94">
      <w:pPr>
        <w:pStyle w:val="Heading4"/>
      </w:pPr>
      <w:r w:rsidRPr="003B4AEE">
        <w:t>A.1.2.4</w:t>
      </w:r>
      <w:r w:rsidR="00D11C94" w:rsidRPr="003B4AEE">
        <w:tab/>
      </w:r>
      <w:r w:rsidR="00504780" w:rsidRPr="003B4AEE">
        <w:t xml:space="preserve">Permittee </w:t>
      </w:r>
      <w:r w:rsidRPr="003B4AEE">
        <w:t>Monitoring</w:t>
      </w:r>
    </w:p>
    <w:p w14:paraId="411B97F9" w14:textId="629AFD5E" w:rsidR="00A55378" w:rsidRPr="003B4AEE" w:rsidRDefault="001F6782" w:rsidP="004366AF">
      <w:pPr>
        <w:pStyle w:val="Heading5"/>
      </w:pPr>
      <w:r w:rsidRPr="003B4AEE">
        <w:t>Sampling</w:t>
      </w:r>
    </w:p>
    <w:p w14:paraId="23F5F449" w14:textId="0A394C83" w:rsidR="001A3283" w:rsidRPr="003B4AEE" w:rsidRDefault="002742BA" w:rsidP="00946B97">
      <w:pPr>
        <w:pStyle w:val="BodyText"/>
      </w:pPr>
      <w:r w:rsidRPr="003B4AEE">
        <w:rPr>
          <w:i/>
        </w:rPr>
        <w:t>Permittees.</w:t>
      </w:r>
      <w:r w:rsidRPr="003B4AEE">
        <w:t xml:space="preserve"> </w:t>
      </w:r>
      <w:r w:rsidR="007310B9" w:rsidRPr="003B4AEE">
        <w:t xml:space="preserve">NPDES regulations </w:t>
      </w:r>
      <w:r w:rsidR="00FA3B45" w:rsidRPr="003B4AEE">
        <w:t>at 40 CFR 122.44(</w:t>
      </w:r>
      <w:proofErr w:type="spellStart"/>
      <w:r w:rsidR="00FA3B45" w:rsidRPr="003B4AEE">
        <w:t>i</w:t>
      </w:r>
      <w:proofErr w:type="spellEnd"/>
      <w:r w:rsidR="00FA3B45" w:rsidRPr="003B4AEE">
        <w:t xml:space="preserve">) and 122.48 </w:t>
      </w:r>
      <w:r w:rsidR="007310B9" w:rsidRPr="003B4AEE">
        <w:t xml:space="preserve">require facilities discharging pollutants to waters of the United States to periodically evaluate compliance with the effluent limitations established in their permits and provide the results to the permitting authority. </w:t>
      </w:r>
      <w:r w:rsidR="001A3283" w:rsidRPr="003B4AEE">
        <w:t xml:space="preserve">Estimates of the hours per response for DMR sampling are </w:t>
      </w:r>
      <w:r w:rsidR="00141859" w:rsidRPr="003B4AEE">
        <w:t xml:space="preserve">generally </w:t>
      </w:r>
      <w:r w:rsidR="001A3283" w:rsidRPr="003B4AEE">
        <w:t xml:space="preserve">based </w:t>
      </w:r>
      <w:r w:rsidR="00141859" w:rsidRPr="003B4AEE">
        <w:t xml:space="preserve">on number of outfalls, </w:t>
      </w:r>
      <w:r w:rsidR="001A3283" w:rsidRPr="003B4AEE">
        <w:t>reporting frequency</w:t>
      </w:r>
      <w:r w:rsidR="00D5283D" w:rsidRPr="003B4AEE">
        <w:t>, and</w:t>
      </w:r>
      <w:r w:rsidR="001A3283" w:rsidRPr="003B4AEE">
        <w:t xml:space="preserve"> </w:t>
      </w:r>
      <w:r w:rsidR="00141859" w:rsidRPr="003B4AEE">
        <w:t xml:space="preserve">duration and </w:t>
      </w:r>
      <w:r w:rsidR="001A3283" w:rsidRPr="003B4AEE">
        <w:t xml:space="preserve">number </w:t>
      </w:r>
      <w:r w:rsidR="00141859" w:rsidRPr="003B4AEE">
        <w:t>o</w:t>
      </w:r>
      <w:r w:rsidR="001A3283" w:rsidRPr="003B4AEE">
        <w:t xml:space="preserve">f sampling episodes </w:t>
      </w:r>
      <w:r w:rsidR="00141859" w:rsidRPr="003B4AEE">
        <w:t>per reporting period</w:t>
      </w:r>
      <w:r w:rsidR="001A3283" w:rsidRPr="003B4AEE">
        <w:t>.</w:t>
      </w:r>
      <w:r w:rsidR="00141859" w:rsidRPr="003B4AEE">
        <w:t xml:space="preserve"> Typical sampling episodes are estimated to require </w:t>
      </w:r>
      <w:r w:rsidR="006C476D" w:rsidRPr="003B4AEE">
        <w:t xml:space="preserve">about </w:t>
      </w:r>
      <w:r w:rsidR="00141859" w:rsidRPr="003B4AEE">
        <w:t>2 to 2.75 hours</w:t>
      </w:r>
      <w:r w:rsidR="00D5283D" w:rsidRPr="003B4AEE">
        <w:t xml:space="preserve"> each</w:t>
      </w:r>
      <w:r w:rsidR="00141859" w:rsidRPr="003B4AEE">
        <w:t>.</w:t>
      </w:r>
    </w:p>
    <w:p w14:paraId="2E5C4000" w14:textId="7D9416E6" w:rsidR="00141859" w:rsidRPr="003B4AEE" w:rsidRDefault="002742BA" w:rsidP="00946B97">
      <w:pPr>
        <w:pStyle w:val="BodyText"/>
      </w:pPr>
      <w:r w:rsidRPr="003B4AEE">
        <w:rPr>
          <w:i/>
        </w:rPr>
        <w:t>States.</w:t>
      </w:r>
      <w:r w:rsidR="00A8376D" w:rsidRPr="003B4AEE">
        <w:rPr>
          <w:i/>
        </w:rPr>
        <w:t xml:space="preserve"> </w:t>
      </w:r>
      <w:r w:rsidR="009C3D0F" w:rsidRPr="003B4AEE">
        <w:t xml:space="preserve">Any </w:t>
      </w:r>
      <w:r w:rsidR="00646ADE" w:rsidRPr="003B4AEE">
        <w:t xml:space="preserve">state activities related to </w:t>
      </w:r>
      <w:r w:rsidR="009C3D0F" w:rsidRPr="003B4AEE">
        <w:t xml:space="preserve">monitoring </w:t>
      </w:r>
      <w:r w:rsidR="00646ADE" w:rsidRPr="003B4AEE">
        <w:t xml:space="preserve">data </w:t>
      </w:r>
      <w:r w:rsidR="00EE0EE7" w:rsidRPr="003B4AEE">
        <w:t>are</w:t>
      </w:r>
      <w:r w:rsidR="00646ADE" w:rsidRPr="003B4AEE">
        <w:t xml:space="preserve"> </w:t>
      </w:r>
      <w:r w:rsidR="009C3D0F" w:rsidRPr="003B4AEE">
        <w:t xml:space="preserve">covered under </w:t>
      </w:r>
      <w:r w:rsidR="00E01AAC" w:rsidRPr="003B4AEE">
        <w:t xml:space="preserve">the analyses </w:t>
      </w:r>
      <w:r w:rsidR="009C3D0F" w:rsidRPr="003B4AEE">
        <w:t xml:space="preserve">section </w:t>
      </w:r>
      <w:r w:rsidR="00E01AAC" w:rsidRPr="003B4AEE">
        <w:t>below</w:t>
      </w:r>
      <w:r w:rsidR="00646ADE" w:rsidRPr="003B4AEE">
        <w:t>.</w:t>
      </w:r>
    </w:p>
    <w:p w14:paraId="7E2F2405" w14:textId="6965EDE8" w:rsidR="00141859" w:rsidRPr="003B4AEE" w:rsidRDefault="00141859" w:rsidP="004366AF">
      <w:pPr>
        <w:pStyle w:val="Heading5"/>
      </w:pPr>
      <w:r w:rsidRPr="003B4AEE">
        <w:t>Analyses</w:t>
      </w:r>
    </w:p>
    <w:p w14:paraId="76196ABA" w14:textId="77349E7D" w:rsidR="00141859" w:rsidRPr="003B4AEE" w:rsidRDefault="00F22E66" w:rsidP="00946B97">
      <w:pPr>
        <w:pStyle w:val="BodyText"/>
      </w:pPr>
      <w:r w:rsidRPr="003B4AEE">
        <w:rPr>
          <w:i/>
        </w:rPr>
        <w:t xml:space="preserve">Permittees. </w:t>
      </w:r>
      <w:r w:rsidR="006C476D" w:rsidRPr="003B4AEE">
        <w:t xml:space="preserve">This category refers to chemical analyses that are conducted in-house. </w:t>
      </w:r>
      <w:r w:rsidR="00141859" w:rsidRPr="003B4AEE">
        <w:t xml:space="preserve">Estimates of the hours per response for DMR analyses are generally based on </w:t>
      </w:r>
      <w:r w:rsidR="0019709A" w:rsidRPr="003B4AEE">
        <w:t xml:space="preserve">0.5 hours per parameter </w:t>
      </w:r>
      <w:r w:rsidR="004A59C2" w:rsidRPr="003B4AEE">
        <w:t>analyzed</w:t>
      </w:r>
      <w:r w:rsidR="0019709A" w:rsidRPr="003B4AEE">
        <w:t xml:space="preserve"> </w:t>
      </w:r>
      <w:r w:rsidR="00735449" w:rsidRPr="003B4AEE">
        <w:t>multiplied by</w:t>
      </w:r>
      <w:r w:rsidR="0019709A" w:rsidRPr="003B4AEE">
        <w:t xml:space="preserve"> the estimated number of outfalls</w:t>
      </w:r>
      <w:r w:rsidR="00141859" w:rsidRPr="003B4AEE">
        <w:t>, number of samples per response and number of parameters per sample.</w:t>
      </w:r>
    </w:p>
    <w:p w14:paraId="660D743A" w14:textId="7EE472E4" w:rsidR="00141859" w:rsidRPr="003B4AEE" w:rsidRDefault="00E932C0" w:rsidP="00946B97">
      <w:pPr>
        <w:pStyle w:val="BodyText"/>
      </w:pPr>
      <w:r w:rsidRPr="003B4AEE">
        <w:rPr>
          <w:i/>
        </w:rPr>
        <w:t>States/Federal</w:t>
      </w:r>
      <w:r w:rsidR="00F22E66" w:rsidRPr="003B4AEE">
        <w:rPr>
          <w:i/>
        </w:rPr>
        <w:t xml:space="preserve">. </w:t>
      </w:r>
      <w:r w:rsidR="000839CA" w:rsidRPr="003B4AEE">
        <w:t>The estimated time required for state</w:t>
      </w:r>
      <w:r w:rsidR="00F12EF4" w:rsidRPr="003B4AEE">
        <w:t>/federal</w:t>
      </w:r>
      <w:r w:rsidR="000839CA" w:rsidRPr="003B4AEE">
        <w:t xml:space="preserve"> respondent</w:t>
      </w:r>
      <w:r w:rsidR="00F12EF4" w:rsidRPr="003B4AEE">
        <w:t>s</w:t>
      </w:r>
      <w:r w:rsidR="000839CA" w:rsidRPr="003B4AEE">
        <w:t xml:space="preserve"> to review and process monitoring reports is 10 minutes and 0.5 hours for follow-up. </w:t>
      </w:r>
      <w:r w:rsidR="00E94ECE" w:rsidRPr="003B4AEE">
        <w:t>The e</w:t>
      </w:r>
      <w:r w:rsidR="00141859" w:rsidRPr="003B4AEE">
        <w:t xml:space="preserve">stimate of </w:t>
      </w:r>
      <w:r w:rsidR="00E94ECE" w:rsidRPr="003B4AEE">
        <w:t>10</w:t>
      </w:r>
      <w:r w:rsidR="00141859" w:rsidRPr="003B4AEE">
        <w:t xml:space="preserve"> hours </w:t>
      </w:r>
      <w:r w:rsidR="009137B7" w:rsidRPr="003B4AEE">
        <w:t>for</w:t>
      </w:r>
      <w:r w:rsidR="00141859" w:rsidRPr="003B4AEE">
        <w:t xml:space="preserve"> state respondent</w:t>
      </w:r>
      <w:r w:rsidR="009137B7" w:rsidRPr="003B4AEE">
        <w:t>s</w:t>
      </w:r>
      <w:r w:rsidR="00141859" w:rsidRPr="003B4AEE">
        <w:t xml:space="preserve"> appl</w:t>
      </w:r>
      <w:r w:rsidR="00D600D2" w:rsidRPr="003B4AEE">
        <w:t>ies</w:t>
      </w:r>
      <w:r w:rsidR="00141859" w:rsidRPr="003B4AEE">
        <w:t xml:space="preserve"> only to </w:t>
      </w:r>
      <w:r w:rsidR="00951060" w:rsidRPr="003B4AEE">
        <w:t>review of post-baseline monitoring data for coal remining permits</w:t>
      </w:r>
      <w:r w:rsidR="009137B7" w:rsidRPr="003B4AEE">
        <w:t>.</w:t>
      </w:r>
    </w:p>
    <w:p w14:paraId="106EB135" w14:textId="673E798A" w:rsidR="000839CA" w:rsidRPr="003B4AEE" w:rsidRDefault="000839CA" w:rsidP="004366AF">
      <w:pPr>
        <w:pStyle w:val="Heading5"/>
      </w:pPr>
      <w:r w:rsidRPr="003B4AEE">
        <w:t xml:space="preserve">CSO </w:t>
      </w:r>
      <w:r w:rsidR="00504780" w:rsidRPr="003B4AEE">
        <w:t xml:space="preserve">Permittee </w:t>
      </w:r>
      <w:r w:rsidRPr="003B4AEE">
        <w:t>Monitoring</w:t>
      </w:r>
    </w:p>
    <w:p w14:paraId="0190FC60" w14:textId="70D49C28" w:rsidR="000839CA" w:rsidRPr="003B4AEE" w:rsidRDefault="000839CA" w:rsidP="00946B97">
      <w:pPr>
        <w:pStyle w:val="BodyText"/>
      </w:pPr>
      <w:r w:rsidRPr="003B4AEE">
        <w:rPr>
          <w:i/>
        </w:rPr>
        <w:t>Permittees</w:t>
      </w:r>
      <w:r w:rsidRPr="003B4AEE">
        <w:t xml:space="preserve">. </w:t>
      </w:r>
      <w:r w:rsidR="00786F01" w:rsidRPr="003B4AEE">
        <w:t>EPA’s CSO Policy requires monitoring to characterize the combined sewer system</w:t>
      </w:r>
      <w:r w:rsidR="00067F02" w:rsidRPr="003B4AEE">
        <w:t xml:space="preserve">, support development of a long-term control plan, and demonstrate compliance with permit requirements. </w:t>
      </w:r>
      <w:r w:rsidRPr="003B4AEE">
        <w:t>The estimated time required per respondent for CSO monitoring is 27 hours, 18 hours, 20 hours, and 2 hours for sampling, analysis, estimating flow parameters, and reporting, respectively. The frequency is semi-annually.</w:t>
      </w:r>
    </w:p>
    <w:p w14:paraId="363E6522" w14:textId="0EF9937F" w:rsidR="004D50B4" w:rsidRPr="003B4AEE" w:rsidRDefault="004D50B4" w:rsidP="00946B97">
      <w:pPr>
        <w:pStyle w:val="BodyText"/>
      </w:pPr>
      <w:r w:rsidRPr="003B4AEE">
        <w:rPr>
          <w:i/>
        </w:rPr>
        <w:t>States</w:t>
      </w:r>
      <w:r w:rsidRPr="003B4AEE">
        <w:t>.</w:t>
      </w:r>
      <w:r w:rsidR="00646ADE" w:rsidRPr="003B4AEE">
        <w:t xml:space="preserve"> Any state activities related to CSO monitoring data </w:t>
      </w:r>
      <w:r w:rsidR="00EE0EE7" w:rsidRPr="003B4AEE">
        <w:t>are</w:t>
      </w:r>
      <w:r w:rsidR="00646ADE" w:rsidRPr="003B4AEE">
        <w:t xml:space="preserve"> covered under section A.1.2.2 </w:t>
      </w:r>
      <w:r w:rsidR="00A8376D" w:rsidRPr="003B4AEE">
        <w:t>(DMRs)</w:t>
      </w:r>
      <w:r w:rsidRPr="003B4AEE">
        <w:t>.</w:t>
      </w:r>
    </w:p>
    <w:p w14:paraId="723A1038" w14:textId="7EC0338D" w:rsidR="00831C69" w:rsidRPr="003B4AEE" w:rsidRDefault="00831C69" w:rsidP="00B101A0">
      <w:pPr>
        <w:pStyle w:val="Heading4"/>
      </w:pPr>
      <w:r w:rsidRPr="003B4AEE">
        <w:t>A.1.2.5</w:t>
      </w:r>
      <w:r w:rsidR="00D11C94" w:rsidRPr="003B4AEE">
        <w:tab/>
      </w:r>
      <w:r w:rsidRPr="003B4AEE">
        <w:t>CSO Notification</w:t>
      </w:r>
    </w:p>
    <w:p w14:paraId="2B1793C9" w14:textId="2FB22072" w:rsidR="00831C69" w:rsidRPr="003B4AEE" w:rsidRDefault="00831C69" w:rsidP="00946B97">
      <w:pPr>
        <w:pStyle w:val="BodyText"/>
      </w:pPr>
      <w:r w:rsidRPr="003B4AEE">
        <w:rPr>
          <w:i/>
        </w:rPr>
        <w:t xml:space="preserve">Permittees. </w:t>
      </w:r>
      <w:r w:rsidRPr="003B4AEE">
        <w:t xml:space="preserve">The estimated time required per respondent for CSO notification is </w:t>
      </w:r>
      <w:r w:rsidR="00634EDE" w:rsidRPr="003B4AEE">
        <w:t>0.5</w:t>
      </w:r>
      <w:r w:rsidRPr="003B4AEE">
        <w:t xml:space="preserve"> hours </w:t>
      </w:r>
      <w:r w:rsidR="00634EDE" w:rsidRPr="003B4AEE">
        <w:t xml:space="preserve">per sign </w:t>
      </w:r>
      <w:r w:rsidRPr="003B4AEE">
        <w:t xml:space="preserve">for </w:t>
      </w:r>
      <w:r w:rsidR="00634EDE" w:rsidRPr="003B4AEE">
        <w:t xml:space="preserve">inspection and maintenance of notification </w:t>
      </w:r>
      <w:r w:rsidRPr="003B4AEE">
        <w:t xml:space="preserve">signs and 5 hours for public advisories with a frequency of </w:t>
      </w:r>
      <w:r w:rsidR="000F01BF" w:rsidRPr="003B4AEE">
        <w:t>10 times per year for public advisories</w:t>
      </w:r>
      <w:r w:rsidRPr="003B4AEE">
        <w:t xml:space="preserve">. There are capital costs for </w:t>
      </w:r>
      <w:r w:rsidR="00634EDE" w:rsidRPr="003B4AEE">
        <w:t>replacement</w:t>
      </w:r>
      <w:r w:rsidRPr="003B4AEE">
        <w:t xml:space="preserve"> of signs (</w:t>
      </w:r>
      <w:r w:rsidR="00915217" w:rsidRPr="003B4AEE">
        <w:t>s</w:t>
      </w:r>
      <w:r w:rsidRPr="003B4AEE">
        <w:t>ee section A.2 for details).</w:t>
      </w:r>
    </w:p>
    <w:p w14:paraId="414AB322" w14:textId="264DD5A5" w:rsidR="00831C69" w:rsidRPr="003B4AEE" w:rsidRDefault="00831C69" w:rsidP="00946B97">
      <w:pPr>
        <w:pStyle w:val="BodyText"/>
      </w:pPr>
      <w:r w:rsidRPr="003B4AEE">
        <w:rPr>
          <w:i/>
        </w:rPr>
        <w:lastRenderedPageBreak/>
        <w:t>States.</w:t>
      </w:r>
      <w:r w:rsidR="00646ADE" w:rsidRPr="003B4AEE">
        <w:t xml:space="preserve"> </w:t>
      </w:r>
      <w:r w:rsidR="000C32BA" w:rsidRPr="003B4AEE">
        <w:t>The estimated time for s</w:t>
      </w:r>
      <w:r w:rsidR="00646ADE" w:rsidRPr="003B4AEE">
        <w:t xml:space="preserve">tate oversight of CSO notification </w:t>
      </w:r>
      <w:r w:rsidR="000C32BA" w:rsidRPr="003B4AEE">
        <w:t xml:space="preserve">is 4 </w:t>
      </w:r>
      <w:r w:rsidR="00A8376D" w:rsidRPr="003B4AEE">
        <w:t>hours</w:t>
      </w:r>
      <w:r w:rsidR="000C32BA" w:rsidRPr="003B4AEE">
        <w:t xml:space="preserve"> per permit every 5 years</w:t>
      </w:r>
      <w:r w:rsidRPr="003B4AEE">
        <w:t>.</w:t>
      </w:r>
    </w:p>
    <w:p w14:paraId="1309EB6B" w14:textId="6E2A6141" w:rsidR="00CE4840" w:rsidRPr="003B4AEE" w:rsidRDefault="00CE4840" w:rsidP="006117F7">
      <w:pPr>
        <w:pStyle w:val="Heading5"/>
        <w:tabs>
          <w:tab w:val="left" w:pos="1080"/>
        </w:tabs>
      </w:pPr>
      <w:r w:rsidRPr="003B4AEE">
        <w:t>A.</w:t>
      </w:r>
      <w:r w:rsidR="00811A91" w:rsidRPr="003B4AEE">
        <w:t>1.2.5.1</w:t>
      </w:r>
      <w:r w:rsidR="006117F7" w:rsidRPr="003B4AEE">
        <w:tab/>
      </w:r>
      <w:r w:rsidR="00811A91" w:rsidRPr="003B4AEE">
        <w:t>CSO Notification for Overflows to the Great Lakes Basin</w:t>
      </w:r>
    </w:p>
    <w:p w14:paraId="68D156BA" w14:textId="5C3F4E83" w:rsidR="000F7BB4" w:rsidRPr="003B4AEE" w:rsidRDefault="000F7BB4" w:rsidP="00946B97">
      <w:pPr>
        <w:pStyle w:val="BodyText"/>
      </w:pPr>
      <w:r w:rsidRPr="003B4AEE">
        <w:rPr>
          <w:i/>
        </w:rPr>
        <w:t xml:space="preserve">Permittees. </w:t>
      </w:r>
      <w:r w:rsidRPr="003B4AEE">
        <w:t xml:space="preserve">The estimated time required per respondent </w:t>
      </w:r>
      <w:r w:rsidR="00B22F48" w:rsidRPr="003B4AEE">
        <w:t>is</w:t>
      </w:r>
      <w:r w:rsidR="00AA7B62" w:rsidRPr="003B4AEE">
        <w:t xml:space="preserve"> 2 hours for the initial and supplemental notifications through public alerts per event. </w:t>
      </w:r>
      <w:r w:rsidR="00A43759" w:rsidRPr="003B4AEE">
        <w:t xml:space="preserve">Maintenance of the </w:t>
      </w:r>
      <w:r w:rsidR="00AA58AC" w:rsidRPr="003B4AEE">
        <w:t>alert</w:t>
      </w:r>
      <w:r w:rsidR="00A43759" w:rsidRPr="003B4AEE">
        <w:t xml:space="preserve"> system is estimated at 24 hours a year per permittee. </w:t>
      </w:r>
      <w:r w:rsidR="007B5A1D" w:rsidRPr="003B4AEE">
        <w:t>Preparation</w:t>
      </w:r>
      <w:r w:rsidR="00A43759" w:rsidRPr="003B4AEE">
        <w:t xml:space="preserve"> and release of the annual notices is </w:t>
      </w:r>
      <w:r w:rsidR="007B5A1D" w:rsidRPr="003B4AEE">
        <w:t>estimated</w:t>
      </w:r>
      <w:r w:rsidR="00A43759" w:rsidRPr="003B4AEE">
        <w:t xml:space="preserve"> to be 8, 16, and 24 hours </w:t>
      </w:r>
      <w:r w:rsidR="007B5A1D" w:rsidRPr="003B4AEE">
        <w:t>for very</w:t>
      </w:r>
      <w:r w:rsidR="00A43759" w:rsidRPr="003B4AEE">
        <w:t xml:space="preserve"> </w:t>
      </w:r>
      <w:r w:rsidR="00892CD4" w:rsidRPr="003B4AEE">
        <w:t>s</w:t>
      </w:r>
      <w:r w:rsidR="00A43759" w:rsidRPr="003B4AEE">
        <w:t xml:space="preserve">mall, small, and large </w:t>
      </w:r>
      <w:r w:rsidR="007B5A1D" w:rsidRPr="003B4AEE">
        <w:t>facilities,</w:t>
      </w:r>
      <w:r w:rsidR="00A43759" w:rsidRPr="003B4AEE">
        <w:t xml:space="preserve"> </w:t>
      </w:r>
      <w:r w:rsidR="007B5A1D" w:rsidRPr="003B4AEE">
        <w:t>respectively</w:t>
      </w:r>
      <w:r w:rsidR="00A43759" w:rsidRPr="003B4AEE">
        <w:t xml:space="preserve">. </w:t>
      </w:r>
    </w:p>
    <w:p w14:paraId="12A04B0A" w14:textId="53D9FC69" w:rsidR="00811A91" w:rsidRPr="003B4AEE" w:rsidRDefault="000F7BB4" w:rsidP="00946B97">
      <w:pPr>
        <w:pStyle w:val="BodyText"/>
      </w:pPr>
      <w:r w:rsidRPr="003B4AEE">
        <w:rPr>
          <w:i/>
        </w:rPr>
        <w:t>States.</w:t>
      </w:r>
      <w:r w:rsidRPr="003B4AEE">
        <w:t xml:space="preserve"> The estimated time for </w:t>
      </w:r>
      <w:r w:rsidR="00215B30" w:rsidRPr="003B4AEE">
        <w:t xml:space="preserve">state review of the annual notice is </w:t>
      </w:r>
      <w:r w:rsidR="006545CB" w:rsidRPr="003B4AEE">
        <w:t>1</w:t>
      </w:r>
      <w:r w:rsidRPr="003B4AEE">
        <w:t xml:space="preserve"> hours per </w:t>
      </w:r>
      <w:r w:rsidR="00215B30" w:rsidRPr="003B4AEE">
        <w:t>notice.</w:t>
      </w:r>
    </w:p>
    <w:p w14:paraId="6EF6FBD4" w14:textId="65C8E913" w:rsidR="008A5B46" w:rsidRPr="003B4AEE" w:rsidRDefault="008A5B46" w:rsidP="00B101A0">
      <w:pPr>
        <w:pStyle w:val="Heading4"/>
      </w:pPr>
      <w:r w:rsidRPr="003B4AEE">
        <w:t>A.1.2</w:t>
      </w:r>
      <w:r w:rsidR="00831C69" w:rsidRPr="003B4AEE">
        <w:t>.6</w:t>
      </w:r>
      <w:r w:rsidR="00D11C94" w:rsidRPr="003B4AEE">
        <w:tab/>
      </w:r>
      <w:r w:rsidRPr="003B4AEE">
        <w:t>Other</w:t>
      </w:r>
    </w:p>
    <w:p w14:paraId="68E41572" w14:textId="1629BABA" w:rsidR="00D316EF" w:rsidRPr="003B4AEE" w:rsidRDefault="00DB6FCD" w:rsidP="00946B97">
      <w:pPr>
        <w:pStyle w:val="BodyText"/>
      </w:pPr>
      <w:r w:rsidRPr="003B4AEE">
        <w:t xml:space="preserve">Activities in this category include: </w:t>
      </w:r>
    </w:p>
    <w:p w14:paraId="264B7D74" w14:textId="50CFA009" w:rsidR="00DB6FCD" w:rsidRPr="003B4AEE" w:rsidRDefault="00DB6FCD" w:rsidP="00290A17">
      <w:pPr>
        <w:pStyle w:val="ListBulletsingle"/>
        <w:numPr>
          <w:ilvl w:val="0"/>
          <w:numId w:val="24"/>
        </w:numPr>
      </w:pPr>
      <w:r w:rsidRPr="003B4AEE">
        <w:t xml:space="preserve">Request for Modification, Revocation and Reissuance, or </w:t>
      </w:r>
      <w:proofErr w:type="gramStart"/>
      <w:r w:rsidRPr="003B4AEE">
        <w:t>Termination</w:t>
      </w:r>
      <w:r w:rsidR="00915217" w:rsidRPr="003B4AEE">
        <w:t>;</w:t>
      </w:r>
      <w:proofErr w:type="gramEnd"/>
    </w:p>
    <w:p w14:paraId="39189D43" w14:textId="483B61F2" w:rsidR="00DB6FCD" w:rsidRPr="003B4AEE" w:rsidRDefault="00DB6FCD" w:rsidP="00290A17">
      <w:pPr>
        <w:pStyle w:val="ListBulletsingle"/>
        <w:numPr>
          <w:ilvl w:val="0"/>
          <w:numId w:val="24"/>
        </w:numPr>
      </w:pPr>
      <w:r w:rsidRPr="003B4AEE">
        <w:t xml:space="preserve">Section 308(a) </w:t>
      </w:r>
      <w:proofErr w:type="gramStart"/>
      <w:r w:rsidRPr="003B4AEE">
        <w:t>Letters</w:t>
      </w:r>
      <w:r w:rsidR="00915217" w:rsidRPr="003B4AEE">
        <w:t>;</w:t>
      </w:r>
      <w:proofErr w:type="gramEnd"/>
    </w:p>
    <w:p w14:paraId="045E1923" w14:textId="2929513D" w:rsidR="001A3D24" w:rsidRPr="003B4AEE" w:rsidRDefault="001A3D24" w:rsidP="00290A17">
      <w:pPr>
        <w:pStyle w:val="ListBulletsingle"/>
        <w:numPr>
          <w:ilvl w:val="0"/>
          <w:numId w:val="24"/>
        </w:numPr>
      </w:pPr>
      <w:r w:rsidRPr="003B4AEE">
        <w:t xml:space="preserve">New Introduction of Pollutants to </w:t>
      </w:r>
      <w:proofErr w:type="gramStart"/>
      <w:r w:rsidRPr="003B4AEE">
        <w:t>POTWs</w:t>
      </w:r>
      <w:r w:rsidR="00915217" w:rsidRPr="003B4AEE">
        <w:t>;</w:t>
      </w:r>
      <w:proofErr w:type="gramEnd"/>
    </w:p>
    <w:p w14:paraId="14FF66E1" w14:textId="67166888" w:rsidR="001F2C49" w:rsidRPr="003B4AEE" w:rsidRDefault="001A3D24" w:rsidP="00290A17">
      <w:pPr>
        <w:pStyle w:val="ListBulletsingle"/>
        <w:numPr>
          <w:ilvl w:val="0"/>
          <w:numId w:val="24"/>
        </w:numPr>
      </w:pPr>
      <w:r w:rsidRPr="003B4AEE">
        <w:t xml:space="preserve">Notification of New or Increased </w:t>
      </w:r>
      <w:proofErr w:type="gramStart"/>
      <w:r w:rsidRPr="003B4AEE">
        <w:t>Discharge</w:t>
      </w:r>
      <w:r w:rsidR="00915217" w:rsidRPr="003B4AEE">
        <w:t>;</w:t>
      </w:r>
      <w:proofErr w:type="gramEnd"/>
    </w:p>
    <w:p w14:paraId="74FB8BDE" w14:textId="755DC34B" w:rsidR="003C2170" w:rsidRPr="003B4AEE" w:rsidRDefault="001F2C49" w:rsidP="00290A17">
      <w:pPr>
        <w:pStyle w:val="ListBulletsingle"/>
        <w:numPr>
          <w:ilvl w:val="0"/>
          <w:numId w:val="24"/>
        </w:numPr>
      </w:pPr>
      <w:r w:rsidRPr="003B4AEE">
        <w:t xml:space="preserve">Permittee Notice of Regulated Discharge </w:t>
      </w:r>
      <w:proofErr w:type="gramStart"/>
      <w:r w:rsidRPr="003B4AEE">
        <w:t>Cessation</w:t>
      </w:r>
      <w:r w:rsidR="00915217" w:rsidRPr="003B4AEE">
        <w:t>;</w:t>
      </w:r>
      <w:proofErr w:type="gramEnd"/>
    </w:p>
    <w:p w14:paraId="521B1E6F" w14:textId="2919FF9F" w:rsidR="001F2C49" w:rsidRPr="003B4AEE" w:rsidRDefault="001F2C49" w:rsidP="00290A17">
      <w:pPr>
        <w:pStyle w:val="ListBulletsingle"/>
        <w:numPr>
          <w:ilvl w:val="0"/>
          <w:numId w:val="24"/>
        </w:numPr>
      </w:pPr>
      <w:r w:rsidRPr="003B4AEE">
        <w:t xml:space="preserve">Variance </w:t>
      </w:r>
      <w:proofErr w:type="gramStart"/>
      <w:r w:rsidRPr="003B4AEE">
        <w:t>Request</w:t>
      </w:r>
      <w:r w:rsidR="00915217" w:rsidRPr="003B4AEE">
        <w:t>;</w:t>
      </w:r>
      <w:proofErr w:type="gramEnd"/>
      <w:r w:rsidRPr="003B4AEE">
        <w:t xml:space="preserve"> </w:t>
      </w:r>
    </w:p>
    <w:p w14:paraId="582D6588" w14:textId="6570357A" w:rsidR="00DB6FCD" w:rsidRPr="003B4AEE" w:rsidRDefault="00DB6FCD" w:rsidP="00290A17">
      <w:pPr>
        <w:pStyle w:val="ListBulletsingle"/>
        <w:numPr>
          <w:ilvl w:val="0"/>
          <w:numId w:val="24"/>
        </w:numPr>
      </w:pPr>
      <w:proofErr w:type="gramStart"/>
      <w:r w:rsidRPr="003B4AEE">
        <w:t>Certifications</w:t>
      </w:r>
      <w:r w:rsidR="00915217" w:rsidRPr="003B4AEE">
        <w:t>;</w:t>
      </w:r>
      <w:proofErr w:type="gramEnd"/>
    </w:p>
    <w:p w14:paraId="307DDD9B" w14:textId="1CC06470" w:rsidR="00DB6FCD" w:rsidRPr="003B4AEE" w:rsidRDefault="00DB6FCD" w:rsidP="00290A17">
      <w:pPr>
        <w:pStyle w:val="ListBulletsingle"/>
        <w:numPr>
          <w:ilvl w:val="0"/>
          <w:numId w:val="24"/>
        </w:numPr>
      </w:pPr>
      <w:r w:rsidRPr="003B4AEE">
        <w:t xml:space="preserve">Documenting Nine Minimum Control </w:t>
      </w:r>
      <w:proofErr w:type="gramStart"/>
      <w:r w:rsidRPr="003B4AEE">
        <w:t>Measures</w:t>
      </w:r>
      <w:r w:rsidR="00915217" w:rsidRPr="003B4AEE">
        <w:t>;</w:t>
      </w:r>
      <w:proofErr w:type="gramEnd"/>
    </w:p>
    <w:p w14:paraId="2706C711" w14:textId="1BD9CB5F" w:rsidR="00DB6FCD" w:rsidRPr="003B4AEE" w:rsidRDefault="00DB6FCD" w:rsidP="00290A17">
      <w:pPr>
        <w:pStyle w:val="ListBulletsingle"/>
        <w:numPr>
          <w:ilvl w:val="0"/>
          <w:numId w:val="24"/>
        </w:numPr>
      </w:pPr>
      <w:r w:rsidRPr="003B4AEE">
        <w:t xml:space="preserve">Writing Long-term Control </w:t>
      </w:r>
      <w:proofErr w:type="gramStart"/>
      <w:r w:rsidRPr="003B4AEE">
        <w:t>Plans</w:t>
      </w:r>
      <w:r w:rsidR="00915217" w:rsidRPr="003B4AEE">
        <w:t>;</w:t>
      </w:r>
      <w:proofErr w:type="gramEnd"/>
    </w:p>
    <w:p w14:paraId="2C0834A6" w14:textId="0D5BB536" w:rsidR="00DB6FCD" w:rsidRPr="003B4AEE" w:rsidRDefault="00DB6FCD" w:rsidP="00290A17">
      <w:pPr>
        <w:pStyle w:val="ListBulletsingle"/>
        <w:numPr>
          <w:ilvl w:val="0"/>
          <w:numId w:val="24"/>
        </w:numPr>
      </w:pPr>
      <w:r w:rsidRPr="003B4AEE">
        <w:t>Part 435 Certification Oil and Gas Extraction</w:t>
      </w:r>
      <w:r w:rsidR="00915217" w:rsidRPr="003B4AEE">
        <w:t>; and</w:t>
      </w:r>
    </w:p>
    <w:p w14:paraId="50D0EB9A" w14:textId="124386DA" w:rsidR="00F2144A" w:rsidRPr="003B4AEE" w:rsidRDefault="00F2144A" w:rsidP="00290A17">
      <w:pPr>
        <w:pStyle w:val="ListBulletlast"/>
        <w:numPr>
          <w:ilvl w:val="0"/>
          <w:numId w:val="24"/>
        </w:numPr>
      </w:pPr>
      <w:r w:rsidRPr="003B4AEE">
        <w:t>BMP Development</w:t>
      </w:r>
      <w:r w:rsidR="00915217" w:rsidRPr="003B4AEE">
        <w:t>.</w:t>
      </w:r>
    </w:p>
    <w:p w14:paraId="1A78D395" w14:textId="77777777" w:rsidR="001A3D24" w:rsidRPr="003B4AEE" w:rsidRDefault="001A3D24" w:rsidP="004366AF">
      <w:pPr>
        <w:pStyle w:val="Heading5"/>
      </w:pPr>
      <w:r w:rsidRPr="003B4AEE">
        <w:t>Request for Modification, Revocation and Reissuance, or Termination</w:t>
      </w:r>
    </w:p>
    <w:p w14:paraId="2859B619" w14:textId="2BA5A746" w:rsidR="001A3D24" w:rsidRPr="003B4AEE" w:rsidRDefault="001A3D24" w:rsidP="00946B97">
      <w:pPr>
        <w:pStyle w:val="BodyText"/>
      </w:pPr>
      <w:r w:rsidRPr="003B4AEE">
        <w:rPr>
          <w:i/>
        </w:rPr>
        <w:t xml:space="preserve">Permittees. </w:t>
      </w:r>
      <w:r w:rsidR="008B4BAD" w:rsidRPr="003B4AEE">
        <w:t xml:space="preserve">Permittees may make a request for modification, revocation and reissuance, or termination of the NPDES permit. </w:t>
      </w:r>
      <w:r w:rsidRPr="003B4AEE">
        <w:t>The estimated time required per respondent for preparing and submitting a request for modification, revocation and reissuance, or termination is 5 hours and occurs on an as</w:t>
      </w:r>
      <w:r w:rsidR="00506C9B" w:rsidRPr="003B4AEE">
        <w:t>-</w:t>
      </w:r>
      <w:r w:rsidRPr="003B4AEE">
        <w:t>needed basis.</w:t>
      </w:r>
    </w:p>
    <w:p w14:paraId="1A4D70A4" w14:textId="4FD5AB36" w:rsidR="001A3D24" w:rsidRPr="003B4AEE" w:rsidRDefault="00E932C0" w:rsidP="00946B97">
      <w:pPr>
        <w:pStyle w:val="BodyText"/>
      </w:pPr>
      <w:r w:rsidRPr="003B4AEE">
        <w:rPr>
          <w:i/>
        </w:rPr>
        <w:t>States/Federal</w:t>
      </w:r>
      <w:r w:rsidR="001A3D24" w:rsidRPr="003B4AEE">
        <w:rPr>
          <w:i/>
        </w:rPr>
        <w:t>.</w:t>
      </w:r>
      <w:r w:rsidR="001A3D24" w:rsidRPr="003B4AEE">
        <w:t xml:space="preserve"> The estimated time required for state</w:t>
      </w:r>
      <w:r w:rsidR="00F12EF4" w:rsidRPr="003B4AEE">
        <w:t>/federal</w:t>
      </w:r>
      <w:r w:rsidR="001A3D24" w:rsidRPr="003B4AEE">
        <w:t xml:space="preserve"> respondents to review and process request for modification, revocation and reissuance, or termination </w:t>
      </w:r>
      <w:r w:rsidR="00A8376D" w:rsidRPr="003B4AEE">
        <w:t>is</w:t>
      </w:r>
      <w:r w:rsidR="001A3D24" w:rsidRPr="003B4AEE">
        <w:t xml:space="preserve"> 40 hours for each request.</w:t>
      </w:r>
    </w:p>
    <w:p w14:paraId="25C659F6" w14:textId="77777777" w:rsidR="001A3D24" w:rsidRPr="003B4AEE" w:rsidRDefault="001A3D24" w:rsidP="004366AF">
      <w:pPr>
        <w:pStyle w:val="Heading5"/>
      </w:pPr>
      <w:r w:rsidRPr="003B4AEE">
        <w:t>Section 308 Requests</w:t>
      </w:r>
    </w:p>
    <w:p w14:paraId="4575FF2B" w14:textId="07C3BC65" w:rsidR="001A3D24" w:rsidRPr="003B4AEE" w:rsidRDefault="001A3D24" w:rsidP="00946B97">
      <w:pPr>
        <w:pStyle w:val="BodyText"/>
      </w:pPr>
      <w:r w:rsidRPr="003B4AEE">
        <w:rPr>
          <w:i/>
        </w:rPr>
        <w:t xml:space="preserve">Permittees. </w:t>
      </w:r>
      <w:r w:rsidR="0093655F" w:rsidRPr="003B4AEE">
        <w:t>Section 308 of the CWA authorizes EPA to require the owner or operator of any point source to make reports and provide information as may be reasonably r</w:t>
      </w:r>
      <w:r w:rsidR="00652EC9" w:rsidRPr="003B4AEE">
        <w:t xml:space="preserve">equired to carry out the objectives of the CWA, including but not limited to developing effluent limitations, determining compliance with any such effluent limitation or standard. </w:t>
      </w:r>
      <w:r w:rsidRPr="003B4AEE">
        <w:t xml:space="preserve">The time required per respondent for preparing responses to Section 308 requests can vary considerably and is estimated to be 5-8 hours, 50 hours, and 1,000 hours for routine </w:t>
      </w:r>
      <w:r w:rsidRPr="003B4AEE">
        <w:lastRenderedPageBreak/>
        <w:t>requests and letters, medium complexity requests, and complex municipal facility requests, respectively. The frequency is on an as</w:t>
      </w:r>
      <w:r w:rsidR="00506C9B" w:rsidRPr="003B4AEE">
        <w:t>-</w:t>
      </w:r>
      <w:r w:rsidRPr="003B4AEE">
        <w:t>needed basis.</w:t>
      </w:r>
    </w:p>
    <w:p w14:paraId="37364A83" w14:textId="11EF39C1" w:rsidR="001A3D24" w:rsidRPr="003B4AEE" w:rsidRDefault="00E932C0" w:rsidP="00946B97">
      <w:pPr>
        <w:pStyle w:val="BodyText"/>
      </w:pPr>
      <w:r w:rsidRPr="003B4AEE">
        <w:rPr>
          <w:i/>
        </w:rPr>
        <w:t>States/Federal</w:t>
      </w:r>
      <w:r w:rsidR="001A3D24" w:rsidRPr="003B4AEE">
        <w:rPr>
          <w:i/>
        </w:rPr>
        <w:t>.</w:t>
      </w:r>
      <w:r w:rsidR="001A3D24" w:rsidRPr="003B4AEE">
        <w:t xml:space="preserve"> The estimated time required for state</w:t>
      </w:r>
      <w:r w:rsidR="00F12EF4" w:rsidRPr="003B4AEE">
        <w:t>/federal</w:t>
      </w:r>
      <w:r w:rsidR="001A3D24" w:rsidRPr="003B4AEE">
        <w:t xml:space="preserve"> respondents to review and process submitted information ranges from 1 to 20 hours depending on permit type.</w:t>
      </w:r>
    </w:p>
    <w:p w14:paraId="1AE262DA" w14:textId="0218C012" w:rsidR="001A3D24" w:rsidRPr="003B4AEE" w:rsidRDefault="00E046A2" w:rsidP="004366AF">
      <w:pPr>
        <w:pStyle w:val="Heading5"/>
      </w:pPr>
      <w:r w:rsidRPr="003B4AEE">
        <w:t>New Introduction of Pollutants to POTWs</w:t>
      </w:r>
    </w:p>
    <w:p w14:paraId="6451551E" w14:textId="0FC64EB2" w:rsidR="00E046A2" w:rsidRPr="003B4AEE" w:rsidRDefault="00E046A2" w:rsidP="00946B97">
      <w:pPr>
        <w:pStyle w:val="BodyText"/>
      </w:pPr>
      <w:r w:rsidRPr="003B4AEE">
        <w:rPr>
          <w:i/>
        </w:rPr>
        <w:t xml:space="preserve">Permittees. </w:t>
      </w:r>
      <w:r w:rsidR="00FA6EC8" w:rsidRPr="003B4AEE">
        <w:t>NPDES regulations at 40 CFR 122.42(b)</w:t>
      </w:r>
      <w:r w:rsidR="00B22807" w:rsidRPr="003B4AEE">
        <w:t xml:space="preserve">(1) require notification of any new introduction of pollutants into the POTW. </w:t>
      </w:r>
      <w:r w:rsidRPr="003B4AEE">
        <w:t xml:space="preserve">The time required per respondent to prepare and submit </w:t>
      </w:r>
      <w:r w:rsidR="005E2EB2" w:rsidRPr="003B4AEE">
        <w:t xml:space="preserve">to the </w:t>
      </w:r>
      <w:r w:rsidR="00CA2398" w:rsidRPr="003B4AEE">
        <w:t xml:space="preserve">permitting authority </w:t>
      </w:r>
      <w:r w:rsidRPr="003B4AEE">
        <w:t xml:space="preserve">a notice of </w:t>
      </w:r>
      <w:r w:rsidR="005E2EB2" w:rsidRPr="003B4AEE">
        <w:t xml:space="preserve">substantial change in the volume or character of pollutants being introduced into that POTW </w:t>
      </w:r>
      <w:r w:rsidRPr="003B4AEE">
        <w:t>is estimated to be 3 hours and occurs at an approximate frequency of 200 per year.</w:t>
      </w:r>
    </w:p>
    <w:p w14:paraId="1D378E5B" w14:textId="61C1BFA3" w:rsidR="00E046A2" w:rsidRPr="003B4AEE" w:rsidRDefault="00E932C0" w:rsidP="00946B97">
      <w:pPr>
        <w:pStyle w:val="BodyText"/>
      </w:pPr>
      <w:r w:rsidRPr="003B4AEE">
        <w:rPr>
          <w:i/>
        </w:rPr>
        <w:t>States/Federal</w:t>
      </w:r>
      <w:r w:rsidR="00E046A2" w:rsidRPr="003B4AEE">
        <w:rPr>
          <w:i/>
        </w:rPr>
        <w:t xml:space="preserve">. </w:t>
      </w:r>
      <w:r w:rsidR="00E046A2" w:rsidRPr="003B4AEE">
        <w:t xml:space="preserve">The time required to review and process </w:t>
      </w:r>
      <w:r w:rsidR="005E2EB2" w:rsidRPr="003B4AEE">
        <w:t xml:space="preserve">each notice </w:t>
      </w:r>
      <w:r w:rsidR="00E046A2" w:rsidRPr="003B4AEE">
        <w:t xml:space="preserve">is 4 hours. </w:t>
      </w:r>
    </w:p>
    <w:p w14:paraId="7F62709B" w14:textId="714A8EB1" w:rsidR="00E046A2" w:rsidRPr="003B4AEE" w:rsidRDefault="001F2C49" w:rsidP="004366AF">
      <w:pPr>
        <w:pStyle w:val="Heading5"/>
      </w:pPr>
      <w:r w:rsidRPr="003B4AEE">
        <w:t>Notification of New or Increased Discharge</w:t>
      </w:r>
    </w:p>
    <w:p w14:paraId="528DB032" w14:textId="4F4DB813" w:rsidR="001F2C49" w:rsidRPr="003B4AEE" w:rsidRDefault="001F2C49" w:rsidP="00946B97">
      <w:pPr>
        <w:pStyle w:val="BodyText"/>
      </w:pPr>
      <w:r w:rsidRPr="003B4AEE">
        <w:rPr>
          <w:i/>
        </w:rPr>
        <w:t xml:space="preserve">Permittees. </w:t>
      </w:r>
      <w:r w:rsidR="00B22807" w:rsidRPr="003B4AEE">
        <w:t xml:space="preserve">NPDES regulations at 40 CFR 122.41(l) require permittees to provide notification of a new or increased discharge. </w:t>
      </w:r>
      <w:r w:rsidRPr="003B4AEE">
        <w:t xml:space="preserve">The time required per respondent to prepare and submit to the </w:t>
      </w:r>
      <w:r w:rsidR="00CA2398" w:rsidRPr="003B4AEE">
        <w:t xml:space="preserve">permitting authority </w:t>
      </w:r>
      <w:r w:rsidRPr="003B4AEE">
        <w:t>a notice of new or increased discharge is estimated to be 4 hours and occurs for 5 percent of all major and 3 percent of all minor nonmunicipal permits.</w:t>
      </w:r>
    </w:p>
    <w:p w14:paraId="1554D9B8" w14:textId="4C204E70" w:rsidR="001F2C49" w:rsidRPr="003B4AEE" w:rsidRDefault="00E932C0" w:rsidP="00D11C94">
      <w:pPr>
        <w:pStyle w:val="BodyText"/>
      </w:pPr>
      <w:r w:rsidRPr="003B4AEE">
        <w:rPr>
          <w:i/>
        </w:rPr>
        <w:t>States/Federal</w:t>
      </w:r>
      <w:r w:rsidR="001F2C49" w:rsidRPr="003B4AEE">
        <w:rPr>
          <w:i/>
        </w:rPr>
        <w:t xml:space="preserve">. </w:t>
      </w:r>
      <w:r w:rsidR="001F2C49" w:rsidRPr="003B4AEE">
        <w:t xml:space="preserve">The time required to review and process each notice is 4 hours. </w:t>
      </w:r>
    </w:p>
    <w:p w14:paraId="1B156ED7" w14:textId="4E0FAC28" w:rsidR="001F2C49" w:rsidRPr="003B4AEE" w:rsidRDefault="003C2170" w:rsidP="004366AF">
      <w:pPr>
        <w:pStyle w:val="Heading5"/>
      </w:pPr>
      <w:r w:rsidRPr="003B4AEE">
        <w:t>Permittee Notice of Regulated Discharge Cessation</w:t>
      </w:r>
    </w:p>
    <w:p w14:paraId="4EC15BC9" w14:textId="37A1F9D7" w:rsidR="003C2170" w:rsidRPr="003B4AEE" w:rsidRDefault="003C2170" w:rsidP="00946B97">
      <w:pPr>
        <w:pStyle w:val="BodyText"/>
      </w:pPr>
      <w:r w:rsidRPr="003B4AEE">
        <w:rPr>
          <w:i/>
        </w:rPr>
        <w:t>Permittees</w:t>
      </w:r>
      <w:r w:rsidRPr="003B4AEE">
        <w:t xml:space="preserve">. </w:t>
      </w:r>
      <w:r w:rsidR="00BF5653" w:rsidRPr="003B4AEE">
        <w:t xml:space="preserve">Permittees are required to notify the permitting authority when a discharge has ceased. </w:t>
      </w:r>
      <w:r w:rsidRPr="003B4AEE">
        <w:t xml:space="preserve">The time required per respondent to prepare and submit to the </w:t>
      </w:r>
      <w:r w:rsidR="00CA2398" w:rsidRPr="003B4AEE">
        <w:t xml:space="preserve">permitting authority </w:t>
      </w:r>
      <w:r w:rsidRPr="003B4AEE">
        <w:t xml:space="preserve">a notice of </w:t>
      </w:r>
      <w:r w:rsidR="002B20E1" w:rsidRPr="003B4AEE">
        <w:t>cessation of a regulated</w:t>
      </w:r>
      <w:r w:rsidRPr="003B4AEE">
        <w:t xml:space="preserve"> discharge is estimated to be 4 hours and occurs annually for </w:t>
      </w:r>
      <w:r w:rsidR="0015409A" w:rsidRPr="003B4AEE">
        <w:t xml:space="preserve">2 </w:t>
      </w:r>
      <w:r w:rsidRPr="003B4AEE">
        <w:t xml:space="preserve">percent of all major and </w:t>
      </w:r>
      <w:r w:rsidR="0015409A" w:rsidRPr="003B4AEE">
        <w:t xml:space="preserve">0.8 </w:t>
      </w:r>
      <w:r w:rsidRPr="003B4AEE">
        <w:t>percent of all minor nonmunicipal permits.</w:t>
      </w:r>
    </w:p>
    <w:p w14:paraId="6CA6D9AF" w14:textId="2E1A6B3D" w:rsidR="003C2170" w:rsidRPr="003B4AEE" w:rsidRDefault="00E932C0" w:rsidP="00946B97">
      <w:pPr>
        <w:pStyle w:val="BodyText"/>
      </w:pPr>
      <w:r w:rsidRPr="003B4AEE">
        <w:rPr>
          <w:i/>
        </w:rPr>
        <w:t>States/Federal</w:t>
      </w:r>
      <w:r w:rsidR="003C2170" w:rsidRPr="003B4AEE">
        <w:rPr>
          <w:i/>
        </w:rPr>
        <w:t>.</w:t>
      </w:r>
      <w:r w:rsidR="003C2170" w:rsidRPr="003B4AEE">
        <w:t xml:space="preserve"> The time required to review and process each notice is 4 hours</w:t>
      </w:r>
      <w:r w:rsidR="003C2170" w:rsidRPr="003B4AEE">
        <w:rPr>
          <w:b/>
        </w:rPr>
        <w:t>.</w:t>
      </w:r>
    </w:p>
    <w:p w14:paraId="47252F4A" w14:textId="77777777" w:rsidR="00DB6FCD" w:rsidRPr="003B4AEE" w:rsidRDefault="00DB6FCD" w:rsidP="004366AF">
      <w:pPr>
        <w:pStyle w:val="Heading5"/>
      </w:pPr>
      <w:r w:rsidRPr="003B4AEE">
        <w:t>Variance Request</w:t>
      </w:r>
    </w:p>
    <w:p w14:paraId="111792CE" w14:textId="54A8365B" w:rsidR="00D316EF" w:rsidRPr="003B4AEE" w:rsidRDefault="004D50B4" w:rsidP="00946B97">
      <w:pPr>
        <w:pStyle w:val="BodyText"/>
      </w:pPr>
      <w:r w:rsidRPr="003B4AEE">
        <w:rPr>
          <w:i/>
        </w:rPr>
        <w:t>Permittees</w:t>
      </w:r>
      <w:r w:rsidRPr="003B4AEE">
        <w:t xml:space="preserve">. </w:t>
      </w:r>
      <w:r w:rsidR="007D231F" w:rsidRPr="003B4AEE">
        <w:t>NPDES regulations allow p</w:t>
      </w:r>
      <w:r w:rsidR="00BF5653" w:rsidRPr="003B4AEE">
        <w:t xml:space="preserve">ermittees </w:t>
      </w:r>
      <w:r w:rsidR="007D231F" w:rsidRPr="003B4AEE">
        <w:t>to</w:t>
      </w:r>
      <w:r w:rsidR="00BF5653" w:rsidRPr="003B4AEE">
        <w:t xml:space="preserve"> request </w:t>
      </w:r>
      <w:r w:rsidR="007D231F" w:rsidRPr="003B4AEE">
        <w:t xml:space="preserve">variances from </w:t>
      </w:r>
      <w:r w:rsidR="00AF46B4" w:rsidRPr="003B4AEE">
        <w:t>technology or water quality</w:t>
      </w:r>
      <w:r w:rsidR="007D231F" w:rsidRPr="003B4AEE">
        <w:t xml:space="preserve"> standards. </w:t>
      </w:r>
      <w:r w:rsidR="00DB6FCD" w:rsidRPr="003B4AEE">
        <w:t>Variance requests</w:t>
      </w:r>
      <w:r w:rsidRPr="003B4AEE">
        <w:t xml:space="preserve"> for individual permits</w:t>
      </w:r>
      <w:r w:rsidR="00DB6FCD" w:rsidRPr="003B4AEE">
        <w:t xml:space="preserve"> include the following:</w:t>
      </w:r>
    </w:p>
    <w:p w14:paraId="4BFAFDCA" w14:textId="46E2F399" w:rsidR="00DB6FCD" w:rsidRPr="003B4AEE" w:rsidRDefault="00DB6FCD" w:rsidP="00290A17">
      <w:pPr>
        <w:pStyle w:val="ListBulletsingle"/>
        <w:numPr>
          <w:ilvl w:val="0"/>
          <w:numId w:val="25"/>
        </w:numPr>
      </w:pPr>
      <w:r w:rsidRPr="003B4AEE">
        <w:t xml:space="preserve">Great Lakes Modification and </w:t>
      </w:r>
      <w:r w:rsidR="00C771ED" w:rsidRPr="003B4AEE">
        <w:t>V</w:t>
      </w:r>
      <w:r w:rsidRPr="003B4AEE">
        <w:t xml:space="preserve">ariance </w:t>
      </w:r>
      <w:r w:rsidR="00C771ED" w:rsidRPr="003B4AEE">
        <w:t>R</w:t>
      </w:r>
      <w:r w:rsidRPr="003B4AEE">
        <w:t>equest. The estimated burden is 418 hours.</w:t>
      </w:r>
    </w:p>
    <w:p w14:paraId="76E71BED" w14:textId="77777777" w:rsidR="00DB6FCD" w:rsidRPr="003B4AEE" w:rsidRDefault="00DB6FCD" w:rsidP="00290A17">
      <w:pPr>
        <w:pStyle w:val="ListBulletsingle"/>
        <w:numPr>
          <w:ilvl w:val="0"/>
          <w:numId w:val="25"/>
        </w:numPr>
      </w:pPr>
      <w:r w:rsidRPr="003B4AEE">
        <w:t>Variance Request for Fundamentally Different Factors. The estimated burden is 160 hours.</w:t>
      </w:r>
    </w:p>
    <w:p w14:paraId="1B27425E" w14:textId="77777777" w:rsidR="00DB6FCD" w:rsidRPr="003B4AEE" w:rsidRDefault="00DB6FCD" w:rsidP="00290A17">
      <w:pPr>
        <w:pStyle w:val="ListBulletsingle"/>
        <w:numPr>
          <w:ilvl w:val="0"/>
          <w:numId w:val="25"/>
        </w:numPr>
      </w:pPr>
      <w:r w:rsidRPr="003B4AEE">
        <w:t>Variance Request for Nonconventional Pollutants. The estimated burden is 150 hours.</w:t>
      </w:r>
    </w:p>
    <w:p w14:paraId="4C29DFF2" w14:textId="77777777" w:rsidR="00DB6FCD" w:rsidRPr="003B4AEE" w:rsidRDefault="00DB6FCD" w:rsidP="00290A17">
      <w:pPr>
        <w:pStyle w:val="ListBulletsingle"/>
        <w:numPr>
          <w:ilvl w:val="0"/>
          <w:numId w:val="25"/>
        </w:numPr>
      </w:pPr>
      <w:r w:rsidRPr="003B4AEE">
        <w:t>Variance Request for Innovative Pollution Control Technology. The estimated burden is 60 hours.</w:t>
      </w:r>
    </w:p>
    <w:p w14:paraId="7D8131E9" w14:textId="77777777" w:rsidR="00DB6FCD" w:rsidRPr="003B4AEE" w:rsidRDefault="00DB6FCD" w:rsidP="00290A17">
      <w:pPr>
        <w:pStyle w:val="ListBulletsingle"/>
        <w:numPr>
          <w:ilvl w:val="0"/>
          <w:numId w:val="25"/>
        </w:numPr>
      </w:pPr>
      <w:r w:rsidRPr="003B4AEE">
        <w:lastRenderedPageBreak/>
        <w:t>Variance Request Regarding Thermal Discharges (New). The estimated burden is 400 hours.</w:t>
      </w:r>
    </w:p>
    <w:p w14:paraId="6064A02B" w14:textId="77777777" w:rsidR="00DB6FCD" w:rsidRPr="003B4AEE" w:rsidRDefault="00DB6FCD" w:rsidP="00290A17">
      <w:pPr>
        <w:pStyle w:val="ListBulletlast"/>
        <w:numPr>
          <w:ilvl w:val="0"/>
          <w:numId w:val="25"/>
        </w:numPr>
      </w:pPr>
      <w:r w:rsidRPr="003B4AEE">
        <w:t>Variance Request Regarding Thermal Discharges (Renewal). The estimated burden is 4 hours.</w:t>
      </w:r>
    </w:p>
    <w:p w14:paraId="29A345AD" w14:textId="1F3FD0E0" w:rsidR="00DB6FCD" w:rsidRPr="003B4AEE" w:rsidRDefault="00DB6FCD" w:rsidP="00946B97">
      <w:pPr>
        <w:pStyle w:val="BodyText"/>
      </w:pPr>
      <w:r w:rsidRPr="003B4AEE">
        <w:t>The number of respondents for each type is based on assumed percentages of different types of permits. The frequency of occurrence is on an as</w:t>
      </w:r>
      <w:r w:rsidR="00506C9B" w:rsidRPr="003B4AEE">
        <w:t>-</w:t>
      </w:r>
      <w:r w:rsidRPr="003B4AEE">
        <w:t>needed basis.</w:t>
      </w:r>
    </w:p>
    <w:p w14:paraId="6CE92D75" w14:textId="3D7B462F" w:rsidR="00DB6FCD" w:rsidRPr="003B4AEE" w:rsidRDefault="00E932C0" w:rsidP="00946B97">
      <w:pPr>
        <w:pStyle w:val="BodyText"/>
      </w:pPr>
      <w:r w:rsidRPr="003B4AEE">
        <w:rPr>
          <w:i/>
        </w:rPr>
        <w:t>States/Federal</w:t>
      </w:r>
      <w:r w:rsidR="00DB6FCD" w:rsidRPr="003B4AEE">
        <w:rPr>
          <w:i/>
        </w:rPr>
        <w:t>.</w:t>
      </w:r>
      <w:r w:rsidR="00DB6FCD" w:rsidRPr="003B4AEE">
        <w:t xml:space="preserve"> The estimated time required for state</w:t>
      </w:r>
      <w:r w:rsidR="00F12EF4" w:rsidRPr="003B4AEE">
        <w:t>/federal</w:t>
      </w:r>
      <w:r w:rsidR="00DB6FCD" w:rsidRPr="003B4AEE">
        <w:t xml:space="preserve"> respondents to review and process variance requests ranges from 44 to 520 hours for each type of variance request.</w:t>
      </w:r>
      <w:r w:rsidR="00F12EF4" w:rsidRPr="003B4AEE">
        <w:t xml:space="preserve"> Time for </w:t>
      </w:r>
      <w:r w:rsidR="00101E17" w:rsidRPr="003B4AEE">
        <w:t>r</w:t>
      </w:r>
      <w:r w:rsidR="00F12EF4" w:rsidRPr="003B4AEE">
        <w:t>eview and process</w:t>
      </w:r>
      <w:r w:rsidR="00101E17" w:rsidRPr="003B4AEE">
        <w:t>ing</w:t>
      </w:r>
      <w:r w:rsidR="00F12EF4" w:rsidRPr="003B4AEE">
        <w:t xml:space="preserve"> of thermal discharge variance renewals is 1 hour.</w:t>
      </w:r>
    </w:p>
    <w:p w14:paraId="41D49158" w14:textId="45D63A2A" w:rsidR="00DB6FCD" w:rsidRPr="003B4AEE" w:rsidRDefault="00DB6FCD" w:rsidP="004366AF">
      <w:pPr>
        <w:pStyle w:val="Heading5"/>
      </w:pPr>
      <w:r w:rsidRPr="003B4AEE">
        <w:t>Long-term Control Plans (LTCP</w:t>
      </w:r>
      <w:r w:rsidR="00101E17" w:rsidRPr="003B4AEE">
        <w:t>s</w:t>
      </w:r>
      <w:r w:rsidRPr="003B4AEE">
        <w:t>)</w:t>
      </w:r>
    </w:p>
    <w:p w14:paraId="1BC51916" w14:textId="57D5F811" w:rsidR="00DB6FCD" w:rsidRPr="003B4AEE" w:rsidRDefault="00DB6FCD" w:rsidP="00946B97">
      <w:pPr>
        <w:pStyle w:val="BodyText"/>
      </w:pPr>
      <w:r w:rsidRPr="003B4AEE">
        <w:rPr>
          <w:i/>
        </w:rPr>
        <w:t xml:space="preserve">Permittees. </w:t>
      </w:r>
      <w:r w:rsidR="00757EC9" w:rsidRPr="003B4AEE">
        <w:t xml:space="preserve">Consistent with EPA’s CSO Policy, permittees </w:t>
      </w:r>
      <w:r w:rsidR="007B339F" w:rsidRPr="003B4AEE">
        <w:t>are responsible for</w:t>
      </w:r>
      <w:r w:rsidR="00757EC9" w:rsidRPr="003B4AEE">
        <w:t xml:space="preserve"> develop</w:t>
      </w:r>
      <w:r w:rsidR="007B339F" w:rsidRPr="003B4AEE">
        <w:t>ing and implementing</w:t>
      </w:r>
      <w:r w:rsidR="00757EC9" w:rsidRPr="003B4AEE">
        <w:t xml:space="preserve"> LTCPs</w:t>
      </w:r>
      <w:r w:rsidR="007B339F" w:rsidRPr="003B4AEE">
        <w:t xml:space="preserve"> that will ultimately result in compliance with the requirements of the CWA.</w:t>
      </w:r>
      <w:r w:rsidR="00757EC9" w:rsidRPr="003B4AEE">
        <w:t xml:space="preserve"> </w:t>
      </w:r>
      <w:r w:rsidRPr="003B4AEE">
        <w:t xml:space="preserve">The estimated time required per respondent to write an LTCP varies considerably depending </w:t>
      </w:r>
      <w:r w:rsidR="00915217" w:rsidRPr="003B4AEE">
        <w:t xml:space="preserve">on </w:t>
      </w:r>
      <w:r w:rsidRPr="003B4AEE">
        <w:t xml:space="preserve">system size and on whether the system has already conducted studies. Respondent time can range from 300 hours for a small system that has existing studies to 6,000 hours for a large system without existing studies. </w:t>
      </w:r>
    </w:p>
    <w:p w14:paraId="485FCCDE" w14:textId="6521AA8D" w:rsidR="00DB6FCD" w:rsidRPr="003B4AEE" w:rsidRDefault="00E932C0" w:rsidP="00946B97">
      <w:pPr>
        <w:pStyle w:val="BodyText"/>
      </w:pPr>
      <w:r w:rsidRPr="003B4AEE">
        <w:rPr>
          <w:i/>
        </w:rPr>
        <w:t>States/Federal</w:t>
      </w:r>
      <w:r w:rsidR="00DB6FCD" w:rsidRPr="003B4AEE">
        <w:rPr>
          <w:i/>
        </w:rPr>
        <w:t>.</w:t>
      </w:r>
      <w:r w:rsidR="00DB6FCD" w:rsidRPr="003B4AEE">
        <w:t xml:space="preserve"> The estimated time required for state</w:t>
      </w:r>
      <w:r w:rsidR="00464961" w:rsidRPr="003B4AEE">
        <w:t xml:space="preserve">/federal </w:t>
      </w:r>
      <w:r w:rsidR="00DB6FCD" w:rsidRPr="003B4AEE">
        <w:t>respondents to review and process LTCPs is 20, 33, and 53 hours for small, medium, and large combined sewer systems, respectively.</w:t>
      </w:r>
    </w:p>
    <w:p w14:paraId="6DAA6FDE" w14:textId="0BEA72DF" w:rsidR="001A3D24" w:rsidRPr="003B4AEE" w:rsidRDefault="001A3D24" w:rsidP="004366AF">
      <w:pPr>
        <w:pStyle w:val="Heading5"/>
      </w:pPr>
      <w:r w:rsidRPr="003B4AEE">
        <w:t xml:space="preserve">Documenting Nine Minimum Control </w:t>
      </w:r>
      <w:r w:rsidR="00101E17" w:rsidRPr="003B4AEE">
        <w:t xml:space="preserve">(NMC) </w:t>
      </w:r>
      <w:r w:rsidRPr="003B4AEE">
        <w:t>Measures</w:t>
      </w:r>
    </w:p>
    <w:p w14:paraId="60E6A81C" w14:textId="54D9B430" w:rsidR="001A3D24" w:rsidRPr="003B4AEE" w:rsidRDefault="001A3D24" w:rsidP="009F5E74">
      <w:pPr>
        <w:pStyle w:val="BodyText"/>
      </w:pPr>
      <w:r w:rsidRPr="003B4AEE">
        <w:rPr>
          <w:i/>
        </w:rPr>
        <w:t>Permittees</w:t>
      </w:r>
      <w:r w:rsidR="005077DF" w:rsidRPr="003B4AEE">
        <w:rPr>
          <w:i/>
        </w:rPr>
        <w:t>.</w:t>
      </w:r>
      <w:r w:rsidRPr="003B4AEE">
        <w:t xml:space="preserve"> </w:t>
      </w:r>
      <w:r w:rsidR="00AC0B7C" w:rsidRPr="003B4AEE">
        <w:t xml:space="preserve">Consistent with EPA’s CSO Policy, permittees should submit appropriate documentation demonstrating implementation of the NMC measures. </w:t>
      </w:r>
      <w:r w:rsidRPr="003B4AEE">
        <w:t xml:space="preserve">The estimated time required per respondent for collecting necessary information for </w:t>
      </w:r>
      <w:r w:rsidR="004D50B4" w:rsidRPr="003B4AEE">
        <w:t xml:space="preserve">small, </w:t>
      </w:r>
      <w:proofErr w:type="gramStart"/>
      <w:r w:rsidR="004D50B4" w:rsidRPr="003B4AEE">
        <w:t>medium</w:t>
      </w:r>
      <w:proofErr w:type="gramEnd"/>
      <w:r w:rsidR="004D50B4" w:rsidRPr="003B4AEE">
        <w:t xml:space="preserve"> and </w:t>
      </w:r>
      <w:r w:rsidRPr="003B4AEE">
        <w:t xml:space="preserve">large systems is </w:t>
      </w:r>
      <w:r w:rsidR="004D50B4" w:rsidRPr="003B4AEE">
        <w:t xml:space="preserve">29 hours, 43 hours and </w:t>
      </w:r>
      <w:r w:rsidRPr="003B4AEE">
        <w:t>200 hours, respectively. EPA estimates that no municipalities will submit NMC documentation in the next 3 years</w:t>
      </w:r>
      <w:r w:rsidR="00101E17" w:rsidRPr="003B4AEE">
        <w:t>.</w:t>
      </w:r>
    </w:p>
    <w:p w14:paraId="0247841C" w14:textId="37FD3A40" w:rsidR="005077DF" w:rsidRPr="003B4AEE" w:rsidRDefault="005077DF" w:rsidP="009F5E74">
      <w:pPr>
        <w:pStyle w:val="BodyText"/>
      </w:pPr>
      <w:r w:rsidRPr="003B4AEE">
        <w:rPr>
          <w:i/>
        </w:rPr>
        <w:t>States.</w:t>
      </w:r>
      <w:r w:rsidRPr="003B4AEE">
        <w:t xml:space="preserve"> No state respondent burden is anticipated for this activity.</w:t>
      </w:r>
    </w:p>
    <w:p w14:paraId="2DF91805" w14:textId="0E40B0BD" w:rsidR="00CD50D1" w:rsidRPr="003B4AEE" w:rsidRDefault="00CD50D1" w:rsidP="004366AF">
      <w:pPr>
        <w:pStyle w:val="Heading5"/>
      </w:pPr>
      <w:r w:rsidRPr="003B4AEE">
        <w:t>Certification for Exemption from Monitoring and Notification of Process Changes</w:t>
      </w:r>
    </w:p>
    <w:p w14:paraId="1984F177" w14:textId="1320D316" w:rsidR="00903623" w:rsidRPr="003B4AEE" w:rsidRDefault="00903623" w:rsidP="009F5E74">
      <w:pPr>
        <w:pStyle w:val="BodyText"/>
      </w:pPr>
      <w:r w:rsidRPr="003B4AEE">
        <w:t>The effluent limitations guidelines and standards regulations for 14 industrial categories (12 categories and 2 subcategories) allow dischargers to submit a certification to exempt them from monitoring one or more pollutants.</w:t>
      </w:r>
    </w:p>
    <w:p w14:paraId="481B53C1" w14:textId="77777777" w:rsidR="00CD50D1" w:rsidRPr="003B4AEE" w:rsidRDefault="00CD50D1" w:rsidP="009F5E74">
      <w:pPr>
        <w:pStyle w:val="BodyText"/>
      </w:pPr>
      <w:r w:rsidRPr="003B4AEE">
        <w:rPr>
          <w:i/>
        </w:rPr>
        <w:t xml:space="preserve">Permittees. </w:t>
      </w:r>
      <w:r w:rsidRPr="003B4AEE">
        <w:t>The estimated time required per respondent for preparing certification for exemption documents will typically be one hour and with a frequency of once per year.</w:t>
      </w:r>
    </w:p>
    <w:p w14:paraId="629C46B8" w14:textId="1E374B55" w:rsidR="00CD50D1" w:rsidRPr="003B4AEE" w:rsidRDefault="00E932C0" w:rsidP="009F5E74">
      <w:pPr>
        <w:pStyle w:val="BodyText"/>
      </w:pPr>
      <w:r w:rsidRPr="003B4AEE">
        <w:rPr>
          <w:i/>
        </w:rPr>
        <w:t>States/Federal</w:t>
      </w:r>
      <w:r w:rsidR="00CD50D1" w:rsidRPr="003B4AEE">
        <w:rPr>
          <w:i/>
        </w:rPr>
        <w:t>.</w:t>
      </w:r>
      <w:r w:rsidR="00CD50D1" w:rsidRPr="003B4AEE">
        <w:t xml:space="preserve"> The estimated time required for state</w:t>
      </w:r>
      <w:r w:rsidR="00464961" w:rsidRPr="003B4AEE">
        <w:t>/federal</w:t>
      </w:r>
      <w:r w:rsidR="00CD50D1" w:rsidRPr="003B4AEE">
        <w:t xml:space="preserve"> respondents to review and process certification documents is 1 hour for each certification.</w:t>
      </w:r>
    </w:p>
    <w:p w14:paraId="2051D990" w14:textId="03A4BE3D" w:rsidR="00CD50D1" w:rsidRPr="003B4AEE" w:rsidRDefault="00CD50D1" w:rsidP="004366AF">
      <w:pPr>
        <w:pStyle w:val="Heading5"/>
      </w:pPr>
      <w:r w:rsidRPr="003B4AEE">
        <w:lastRenderedPageBreak/>
        <w:t>Part 435 Certification Oil and Gas Extraction</w:t>
      </w:r>
      <w:r w:rsidR="00786C04" w:rsidRPr="003B4AEE">
        <w:t xml:space="preserve"> (Synthetic Based Drilling Fluid)</w:t>
      </w:r>
    </w:p>
    <w:p w14:paraId="7F141F2F" w14:textId="16975D07" w:rsidR="00CD50D1" w:rsidRPr="003B4AEE" w:rsidRDefault="00CD50D1" w:rsidP="009F5E74">
      <w:pPr>
        <w:pStyle w:val="BodyText"/>
      </w:pPr>
      <w:r w:rsidRPr="003B4AEE">
        <w:rPr>
          <w:i/>
        </w:rPr>
        <w:t xml:space="preserve">Permittees. </w:t>
      </w:r>
      <w:r w:rsidR="00321E11" w:rsidRPr="003B4AEE">
        <w:t xml:space="preserve">Under 40 CFR Part 435, operators may elect to use BMPs </w:t>
      </w:r>
      <w:r w:rsidR="00C73667" w:rsidRPr="003B4AEE">
        <w:t>for control of discharges of synthetic-based drilling fluids cuttings</w:t>
      </w:r>
      <w:r w:rsidR="00321E11" w:rsidRPr="003B4AEE">
        <w:t>. Permittees are required to certify that its BMP plan is complete, on-site, and available upon request to EPA or the NPDES permitting authority.</w:t>
      </w:r>
      <w:r w:rsidR="00321E11" w:rsidRPr="003B4AEE">
        <w:rPr>
          <w:i/>
        </w:rPr>
        <w:t xml:space="preserve"> </w:t>
      </w:r>
      <w:r w:rsidRPr="003B4AEE">
        <w:t>The estimated time required per respondent for activities associated with certification of preparation and implementation of BMP plans for control of discharges of synthetic-based drilling fluids cuttings under 40 CFR Part 435 for oil and gas extraction permits is 787 hours and occurs at a frequency of once per year.</w:t>
      </w:r>
    </w:p>
    <w:p w14:paraId="4D00470E" w14:textId="7D90A3E0" w:rsidR="00C95663" w:rsidRPr="003B4AEE" w:rsidRDefault="00C95663" w:rsidP="009F5E74">
      <w:pPr>
        <w:pStyle w:val="BodyText"/>
      </w:pPr>
      <w:r w:rsidRPr="003B4AEE">
        <w:rPr>
          <w:i/>
        </w:rPr>
        <w:t xml:space="preserve">Federal. </w:t>
      </w:r>
      <w:r w:rsidRPr="003B4AEE">
        <w:t>The estimated time required for federal respondents to review and process certification documents is 5.7 hour for each certification.</w:t>
      </w:r>
    </w:p>
    <w:p w14:paraId="02572D67" w14:textId="61B51500" w:rsidR="007F6EA9" w:rsidRPr="003B4AEE" w:rsidRDefault="007F6EA9" w:rsidP="004366AF">
      <w:pPr>
        <w:pStyle w:val="Heading5"/>
      </w:pPr>
      <w:r w:rsidRPr="003B4AEE">
        <w:t xml:space="preserve">Pollution Prevention Alternative Certification (Pesticides Packaging </w:t>
      </w:r>
      <w:r w:rsidR="007358A3" w:rsidRPr="003B4AEE">
        <w:t>and</w:t>
      </w:r>
      <w:r w:rsidRPr="003B4AEE">
        <w:t xml:space="preserve"> Repackaging</w:t>
      </w:r>
      <w:r w:rsidR="005077DF" w:rsidRPr="003B4AEE">
        <w:t>)</w:t>
      </w:r>
    </w:p>
    <w:p w14:paraId="65756809" w14:textId="77D5E6B4" w:rsidR="007F6EA9" w:rsidRPr="003B4AEE" w:rsidRDefault="007F6EA9" w:rsidP="009F5E74">
      <w:pPr>
        <w:pStyle w:val="BodyText"/>
      </w:pPr>
      <w:r w:rsidRPr="003B4AEE">
        <w:rPr>
          <w:i/>
        </w:rPr>
        <w:t xml:space="preserve">Permittees. </w:t>
      </w:r>
      <w:r w:rsidR="00C136B2" w:rsidRPr="003B4AEE">
        <w:t>The ELGs</w:t>
      </w:r>
      <w:r w:rsidR="00C136B2" w:rsidRPr="003B4AEE">
        <w:rPr>
          <w:i/>
        </w:rPr>
        <w:t xml:space="preserve"> </w:t>
      </w:r>
      <w:r w:rsidR="000357C1" w:rsidRPr="003B4AEE">
        <w:t xml:space="preserve">for the </w:t>
      </w:r>
      <w:r w:rsidR="002219C2" w:rsidRPr="003B4AEE">
        <w:t xml:space="preserve">Pesticides Formulating Packaging &amp; Repackaging </w:t>
      </w:r>
      <w:r w:rsidR="0079664D" w:rsidRPr="003B4AEE">
        <w:t>(</w:t>
      </w:r>
      <w:r w:rsidR="000357C1" w:rsidRPr="003B4AEE">
        <w:t>PFPR</w:t>
      </w:r>
      <w:r w:rsidR="0079664D" w:rsidRPr="003B4AEE">
        <w:t>)</w:t>
      </w:r>
      <w:r w:rsidR="000357C1" w:rsidRPr="003B4AEE">
        <w:t xml:space="preserve"> industry includes an option for a pollution prevention alternative discharge allowance. </w:t>
      </w:r>
      <w:r w:rsidR="00ED080E" w:rsidRPr="003B4AEE">
        <w:t>In accordance with 40 CFR 455.41, p</w:t>
      </w:r>
      <w:r w:rsidR="000357C1" w:rsidRPr="003B4AEE">
        <w:t xml:space="preserve">ermittees are required to provide certifications </w:t>
      </w:r>
      <w:r w:rsidR="00ED080E" w:rsidRPr="003B4AEE">
        <w:t>that the pollution prevention alternative is being implemented in the manner set forth in the permit</w:t>
      </w:r>
      <w:r w:rsidR="000357C1" w:rsidRPr="003B4AEE">
        <w:t xml:space="preserve">. </w:t>
      </w:r>
      <w:r w:rsidRPr="003B4AEE">
        <w:t>The estimated time required per respondent for preparing pollution prevention alternative certifications for pesticides formulating, packaging, and repackaging category facilities is 20 hours and occurs annually.</w:t>
      </w:r>
    </w:p>
    <w:p w14:paraId="59309F7E" w14:textId="3F923040" w:rsidR="00D629CD" w:rsidRPr="003B4AEE" w:rsidRDefault="00E932C0" w:rsidP="009F5E74">
      <w:pPr>
        <w:pStyle w:val="BodyText"/>
      </w:pPr>
      <w:r w:rsidRPr="003B4AEE">
        <w:rPr>
          <w:i/>
        </w:rPr>
        <w:t>States/Federal</w:t>
      </w:r>
      <w:r w:rsidR="00D629CD" w:rsidRPr="003B4AEE">
        <w:rPr>
          <w:i/>
        </w:rPr>
        <w:t xml:space="preserve">. </w:t>
      </w:r>
      <w:r w:rsidR="00D629CD" w:rsidRPr="003B4AEE">
        <w:t>The estimated time required for state</w:t>
      </w:r>
      <w:r w:rsidR="00C95663" w:rsidRPr="003B4AEE">
        <w:t>/federal</w:t>
      </w:r>
      <w:r w:rsidR="00D629CD" w:rsidRPr="003B4AEE">
        <w:t xml:space="preserve"> respondents to review and process certification documents is 1 hour for each certification.</w:t>
      </w:r>
    </w:p>
    <w:p w14:paraId="5FC28D00" w14:textId="77777777" w:rsidR="00F2144A" w:rsidRPr="003B4AEE" w:rsidRDefault="00F2144A" w:rsidP="004366AF">
      <w:pPr>
        <w:pStyle w:val="Heading5"/>
      </w:pPr>
      <w:r w:rsidRPr="003B4AEE">
        <w:t>BMP Development</w:t>
      </w:r>
    </w:p>
    <w:p w14:paraId="45A8134A" w14:textId="2C056892" w:rsidR="00F2144A" w:rsidRPr="003B4AEE" w:rsidRDefault="00F2144A" w:rsidP="009F5E74">
      <w:pPr>
        <w:pStyle w:val="BodyText"/>
      </w:pPr>
      <w:r w:rsidRPr="003B4AEE">
        <w:rPr>
          <w:i/>
        </w:rPr>
        <w:t xml:space="preserve">Permittees. </w:t>
      </w:r>
      <w:r w:rsidR="002C724C" w:rsidRPr="003B4AEE">
        <w:t>NPDES permits for certain industrial facilities may require the development and implementation of BMP Plans</w:t>
      </w:r>
      <w:r w:rsidR="00947A64" w:rsidRPr="003B4AEE">
        <w:t>, which may include review and amendment of the BMP Plan as well as refresher training</w:t>
      </w:r>
      <w:r w:rsidR="002C724C" w:rsidRPr="003B4AEE">
        <w:t xml:space="preserve">. </w:t>
      </w:r>
      <w:r w:rsidRPr="003B4AEE">
        <w:t>The estimated time required per respondent is 50 hours for amendment and review of BMP Plans for certain industrial permits and 40 hours for associated refresher training. Recurrence is on an as-needed basis for the BMP plan and semi-annually for the training.</w:t>
      </w:r>
    </w:p>
    <w:p w14:paraId="73C38E06" w14:textId="77777777" w:rsidR="00F2144A" w:rsidRPr="003B4AEE" w:rsidRDefault="00F2144A" w:rsidP="009F5E74">
      <w:pPr>
        <w:pStyle w:val="BodyText"/>
      </w:pPr>
      <w:r w:rsidRPr="003B4AEE">
        <w:rPr>
          <w:i/>
        </w:rPr>
        <w:t>States.</w:t>
      </w:r>
      <w:r w:rsidRPr="003B4AEE">
        <w:t xml:space="preserve"> The estimated time required for state respondents for BMP plan review is 5 hours.</w:t>
      </w:r>
    </w:p>
    <w:p w14:paraId="1DFDA800" w14:textId="4D11D8BC" w:rsidR="009C3AE3" w:rsidRPr="003B4AEE" w:rsidRDefault="009C3AE3" w:rsidP="00B101A0">
      <w:pPr>
        <w:pStyle w:val="Heading4"/>
      </w:pPr>
      <w:r w:rsidRPr="003B4AEE">
        <w:t>A.1.2.7</w:t>
      </w:r>
      <w:r w:rsidR="00D11C94" w:rsidRPr="003B4AEE">
        <w:tab/>
      </w:r>
      <w:r w:rsidRPr="003B4AEE">
        <w:t>Great Lakes</w:t>
      </w:r>
    </w:p>
    <w:p w14:paraId="06573BCA" w14:textId="19FF062E" w:rsidR="009C3AE3" w:rsidRPr="003B4AEE" w:rsidRDefault="009C3AE3" w:rsidP="009F5E74">
      <w:pPr>
        <w:pStyle w:val="BodyText"/>
      </w:pPr>
      <w:r w:rsidRPr="003B4AEE">
        <w:t xml:space="preserve">The activities in this category apply to NPDES </w:t>
      </w:r>
      <w:r w:rsidR="00124354" w:rsidRPr="003B4AEE">
        <w:t>permittees</w:t>
      </w:r>
      <w:r w:rsidRPr="003B4AEE">
        <w:t xml:space="preserve"> that discharge within the Great Lake</w:t>
      </w:r>
      <w:r w:rsidR="00101E17" w:rsidRPr="003B4AEE">
        <w:t>s</w:t>
      </w:r>
      <w:r w:rsidRPr="003B4AEE">
        <w:t xml:space="preserve"> watershed and </w:t>
      </w:r>
      <w:r w:rsidR="00AC6BF6" w:rsidRPr="003B4AEE">
        <w:t>are subject to</w:t>
      </w:r>
      <w:r w:rsidRPr="003B4AEE">
        <w:t xml:space="preserve"> EPA’s Great Lakes Water Quality Guidance. </w:t>
      </w:r>
      <w:r w:rsidR="008974EF" w:rsidRPr="003B4AEE">
        <w:t xml:space="preserve"> </w:t>
      </w:r>
    </w:p>
    <w:p w14:paraId="34C129D4" w14:textId="7879BD20" w:rsidR="009C3AE3" w:rsidRPr="003B4AEE" w:rsidRDefault="009C3AE3" w:rsidP="00946B97">
      <w:pPr>
        <w:pStyle w:val="BodyText"/>
      </w:pPr>
      <w:r w:rsidRPr="003B4AEE">
        <w:rPr>
          <w:i/>
        </w:rPr>
        <w:t>Permittees</w:t>
      </w:r>
      <w:r w:rsidRPr="003B4AEE">
        <w:t>. Activities include:</w:t>
      </w:r>
    </w:p>
    <w:p w14:paraId="716E77DD" w14:textId="60A9011C" w:rsidR="009C3AE3" w:rsidRPr="003B4AEE" w:rsidRDefault="009C3AE3" w:rsidP="00290A17">
      <w:pPr>
        <w:pStyle w:val="ListBullet"/>
        <w:numPr>
          <w:ilvl w:val="0"/>
          <w:numId w:val="26"/>
        </w:numPr>
        <w:spacing w:after="60"/>
      </w:pPr>
      <w:r w:rsidRPr="003B4AEE">
        <w:lastRenderedPageBreak/>
        <w:t xml:space="preserve">Great Lakes Antidegradation Demonstration with </w:t>
      </w:r>
      <w:r w:rsidR="00124354" w:rsidRPr="003B4AEE">
        <w:t>bioaccumulative chemicals of concern (</w:t>
      </w:r>
      <w:r w:rsidRPr="003B4AEE">
        <w:t>BCCs</w:t>
      </w:r>
      <w:r w:rsidR="00124354" w:rsidRPr="003B4AEE">
        <w:t>)</w:t>
      </w:r>
      <w:r w:rsidRPr="003B4AEE">
        <w:t>.</w:t>
      </w:r>
      <w:r w:rsidRPr="003B4AEE">
        <w:rPr>
          <w:rStyle w:val="FootnoteReference"/>
        </w:rPr>
        <w:footnoteReference w:id="2"/>
      </w:r>
      <w:r w:rsidRPr="003B4AEE">
        <w:t xml:space="preserve"> The estimated burden is 22.2 hours and 11.1 hours for municipal and nonmunicipal permits, respectively.</w:t>
      </w:r>
    </w:p>
    <w:p w14:paraId="35F94EEC" w14:textId="77777777" w:rsidR="009C3AE3" w:rsidRPr="003B4AEE" w:rsidRDefault="009C3AE3" w:rsidP="00290A17">
      <w:pPr>
        <w:pStyle w:val="ListBullet"/>
        <w:numPr>
          <w:ilvl w:val="0"/>
          <w:numId w:val="26"/>
        </w:numPr>
        <w:spacing w:after="60"/>
      </w:pPr>
      <w:r w:rsidRPr="003B4AEE">
        <w:t>Great Lakes Antidegradation Demonstration without BCCs. The estimated burden is 14.8 hours and 7.4 hours for municipal and nonmunicipal permits, respectively.</w:t>
      </w:r>
    </w:p>
    <w:p w14:paraId="38559478" w14:textId="2092E02D" w:rsidR="009C3AE3" w:rsidRPr="003B4AEE" w:rsidRDefault="009C3AE3" w:rsidP="00290A17">
      <w:pPr>
        <w:pStyle w:val="ListBullet"/>
        <w:numPr>
          <w:ilvl w:val="0"/>
          <w:numId w:val="26"/>
        </w:numPr>
        <w:spacing w:after="60"/>
      </w:pPr>
      <w:r w:rsidRPr="003B4AEE">
        <w:t xml:space="preserve">Great Lakes </w:t>
      </w:r>
      <w:r w:rsidR="00124354" w:rsidRPr="003B4AEE">
        <w:t>pollutant minimization plan (</w:t>
      </w:r>
      <w:r w:rsidRPr="003B4AEE">
        <w:t>PMP</w:t>
      </w:r>
      <w:r w:rsidR="00124354" w:rsidRPr="003B4AEE">
        <w:t>)</w:t>
      </w:r>
      <w:r w:rsidRPr="003B4AEE">
        <w:t xml:space="preserve"> Implementation. The estimated burden is 1.2 hours and 1.4 hours for municipal and nonmunicipal permits, respectively.</w:t>
      </w:r>
    </w:p>
    <w:p w14:paraId="462D862D" w14:textId="77777777" w:rsidR="009C3AE3" w:rsidRPr="003B4AEE" w:rsidRDefault="009C3AE3" w:rsidP="00290A17">
      <w:pPr>
        <w:pStyle w:val="ListBullet"/>
        <w:numPr>
          <w:ilvl w:val="0"/>
          <w:numId w:val="26"/>
        </w:numPr>
        <w:spacing w:after="60"/>
      </w:pPr>
      <w:r w:rsidRPr="003B4AEE">
        <w:t>Great Lakes Approvable Strategy. The estimated burden is 104 hours and 142 hours for municipal and nonmunicipal permits, respectively.</w:t>
      </w:r>
    </w:p>
    <w:p w14:paraId="5B814A3B" w14:textId="77777777" w:rsidR="009C3AE3" w:rsidRPr="003B4AEE" w:rsidRDefault="009C3AE3" w:rsidP="00290A17">
      <w:pPr>
        <w:pStyle w:val="ListBullet"/>
        <w:numPr>
          <w:ilvl w:val="0"/>
          <w:numId w:val="26"/>
        </w:numPr>
        <w:spacing w:after="60"/>
      </w:pPr>
      <w:r w:rsidRPr="003B4AEE">
        <w:t>Great Lakes Annual Report. The estimated burden is 20.9 hours and 32.4 hours for municipal and nonmunicipal permits, respectively.</w:t>
      </w:r>
    </w:p>
    <w:p w14:paraId="0A09AA21" w14:textId="672BDC30" w:rsidR="009C3AE3" w:rsidRPr="003B4AEE" w:rsidRDefault="009C3AE3" w:rsidP="00290A17">
      <w:pPr>
        <w:pStyle w:val="ListBullet"/>
        <w:numPr>
          <w:ilvl w:val="0"/>
          <w:numId w:val="26"/>
        </w:numPr>
        <w:spacing w:after="60"/>
      </w:pPr>
      <w:r w:rsidRPr="003B4AEE">
        <w:t>Great Lakes Bioconcentration Studies. The estimated burden is 73 hours</w:t>
      </w:r>
      <w:r w:rsidR="00AC6BF6" w:rsidRPr="003B4AEE">
        <w:t>.</w:t>
      </w:r>
    </w:p>
    <w:p w14:paraId="2FD06EA9" w14:textId="77777777" w:rsidR="009C3AE3" w:rsidRPr="003B4AEE" w:rsidRDefault="009C3AE3" w:rsidP="00290A17">
      <w:pPr>
        <w:pStyle w:val="ListBullet"/>
        <w:numPr>
          <w:ilvl w:val="0"/>
          <w:numId w:val="26"/>
        </w:numPr>
        <w:spacing w:after="60"/>
      </w:pPr>
      <w:r w:rsidRPr="003B4AEE">
        <w:t>Great Lakes Collecting Data and Monitoring for WET Limits. The estimated burden is 10,877 hours total and 6,841 hours total for all municipal and nonmunicipal permits, respectively.</w:t>
      </w:r>
    </w:p>
    <w:p w14:paraId="6A32057C" w14:textId="77777777" w:rsidR="009C3AE3" w:rsidRPr="003B4AEE" w:rsidRDefault="009C3AE3" w:rsidP="00290A17">
      <w:pPr>
        <w:pStyle w:val="ListBulletlast"/>
        <w:numPr>
          <w:ilvl w:val="0"/>
          <w:numId w:val="26"/>
        </w:numPr>
      </w:pPr>
      <w:r w:rsidRPr="003B4AEE">
        <w:t>Great Lakes WQBEL Compliance Monitoring. The estimated burden is 0.5 hours.</w:t>
      </w:r>
    </w:p>
    <w:p w14:paraId="2DC74C64" w14:textId="352F882A" w:rsidR="009C3AE3" w:rsidRPr="003B4AEE" w:rsidRDefault="009C3AE3" w:rsidP="00AC1A9B">
      <w:pPr>
        <w:pStyle w:val="BodyText"/>
      </w:pPr>
      <w:r w:rsidRPr="003B4AEE">
        <w:t>Frequency ranges from ongoing for PMP implementation to annually for monitoring and strategies/studies/reports to once every 5 years for antidegradation demonstrations.</w:t>
      </w:r>
    </w:p>
    <w:p w14:paraId="5D823930" w14:textId="77777777" w:rsidR="009C3AE3" w:rsidRPr="003B4AEE" w:rsidRDefault="009C3AE3" w:rsidP="00AC1A9B">
      <w:pPr>
        <w:pStyle w:val="BodyText"/>
      </w:pPr>
      <w:r w:rsidRPr="003B4AEE">
        <w:rPr>
          <w:i/>
        </w:rPr>
        <w:t>States.</w:t>
      </w:r>
      <w:r w:rsidRPr="003B4AEE">
        <w:t xml:space="preserve"> The burden applies only to the 7 Great Lake states and the estimated time required per state respondent ranges from 4 to 8 hours for each item.</w:t>
      </w:r>
    </w:p>
    <w:p w14:paraId="22CDE9D1" w14:textId="11EFCF64" w:rsidR="00C6520E" w:rsidRPr="003B4AEE" w:rsidRDefault="00C6520E" w:rsidP="00D11C94">
      <w:pPr>
        <w:pStyle w:val="Heading9"/>
      </w:pPr>
      <w:bookmarkStart w:id="327" w:name="_Toc71729152"/>
      <w:r w:rsidRPr="003B4AEE">
        <w:t>National Pretreatment Program</w:t>
      </w:r>
      <w:bookmarkEnd w:id="327"/>
    </w:p>
    <w:p w14:paraId="50679AE3" w14:textId="6C58FAFD" w:rsidR="00D316EF" w:rsidRPr="003B4AEE" w:rsidRDefault="00C6520E" w:rsidP="00AC1A9B">
      <w:pPr>
        <w:pStyle w:val="BodyText"/>
      </w:pPr>
      <w:r w:rsidRPr="003B4AEE">
        <w:t xml:space="preserve">The activities in this category </w:t>
      </w:r>
      <w:r w:rsidR="00A60B49" w:rsidRPr="003B4AEE">
        <w:t>are</w:t>
      </w:r>
      <w:r w:rsidRPr="003B4AEE">
        <w:t xml:space="preserve"> related to the administration of the pretreatment program </w:t>
      </w:r>
      <w:r w:rsidR="00E519D1" w:rsidRPr="003B4AEE">
        <w:t>and a</w:t>
      </w:r>
      <w:r w:rsidRPr="003B4AEE">
        <w:t>ll activities were grouped and allocated on the basis of the type of respondent. Below is a list of the possible types of input variables:</w:t>
      </w:r>
    </w:p>
    <w:p w14:paraId="353AE40D" w14:textId="1075F238" w:rsidR="00C6520E" w:rsidRPr="003B4AEE" w:rsidRDefault="00C6520E" w:rsidP="00290A17">
      <w:pPr>
        <w:pStyle w:val="ListBulletsingle"/>
        <w:numPr>
          <w:ilvl w:val="0"/>
          <w:numId w:val="27"/>
        </w:numPr>
      </w:pPr>
      <w:r w:rsidRPr="003B4AEE">
        <w:t xml:space="preserve">Total </w:t>
      </w:r>
      <w:r w:rsidR="00EE120D" w:rsidRPr="003B4AEE">
        <w:t>n</w:t>
      </w:r>
      <w:r w:rsidRPr="003B4AEE">
        <w:t xml:space="preserve">umber of </w:t>
      </w:r>
      <w:proofErr w:type="gramStart"/>
      <w:r w:rsidRPr="003B4AEE">
        <w:t>SIUs</w:t>
      </w:r>
      <w:r w:rsidR="00AC6BF6" w:rsidRPr="003B4AEE">
        <w:t>;</w:t>
      </w:r>
      <w:proofErr w:type="gramEnd"/>
    </w:p>
    <w:p w14:paraId="2F4BA881" w14:textId="72537AA0" w:rsidR="00C6520E" w:rsidRPr="003B4AEE" w:rsidRDefault="00C6520E" w:rsidP="00290A17">
      <w:pPr>
        <w:pStyle w:val="ListBulletsingle"/>
        <w:numPr>
          <w:ilvl w:val="0"/>
          <w:numId w:val="27"/>
        </w:numPr>
      </w:pPr>
      <w:r w:rsidRPr="003B4AEE">
        <w:t xml:space="preserve">Total </w:t>
      </w:r>
      <w:r w:rsidR="00EE120D" w:rsidRPr="003B4AEE">
        <w:t>n</w:t>
      </w:r>
      <w:r w:rsidRPr="003B4AEE">
        <w:t xml:space="preserve">umber of </w:t>
      </w:r>
      <w:proofErr w:type="gramStart"/>
      <w:r w:rsidRPr="003B4AEE">
        <w:t>CIUs</w:t>
      </w:r>
      <w:r w:rsidR="00AC6BF6" w:rsidRPr="003B4AEE">
        <w:t>;</w:t>
      </w:r>
      <w:proofErr w:type="gramEnd"/>
    </w:p>
    <w:p w14:paraId="07943A80" w14:textId="08FA8AA8" w:rsidR="007E16CD" w:rsidRPr="003B4AEE" w:rsidRDefault="007E16CD" w:rsidP="00290A17">
      <w:pPr>
        <w:pStyle w:val="ListBulletsingle"/>
        <w:numPr>
          <w:ilvl w:val="0"/>
          <w:numId w:val="27"/>
        </w:numPr>
      </w:pPr>
      <w:r w:rsidRPr="003B4AEE">
        <w:t xml:space="preserve">Total number of dental </w:t>
      </w:r>
      <w:proofErr w:type="gramStart"/>
      <w:r w:rsidRPr="003B4AEE">
        <w:t>offices;</w:t>
      </w:r>
      <w:proofErr w:type="gramEnd"/>
    </w:p>
    <w:p w14:paraId="048C3848" w14:textId="7637C7C3" w:rsidR="00C6520E" w:rsidRPr="003B4AEE" w:rsidRDefault="00C6520E" w:rsidP="00290A17">
      <w:pPr>
        <w:pStyle w:val="ListBulletsingle"/>
        <w:numPr>
          <w:ilvl w:val="0"/>
          <w:numId w:val="27"/>
        </w:numPr>
      </w:pPr>
      <w:r w:rsidRPr="003B4AEE">
        <w:t xml:space="preserve">Total </w:t>
      </w:r>
      <w:r w:rsidR="00EE120D" w:rsidRPr="003B4AEE">
        <w:t>n</w:t>
      </w:r>
      <w:r w:rsidRPr="003B4AEE">
        <w:t xml:space="preserve">umber of </w:t>
      </w:r>
      <w:r w:rsidR="00EE120D" w:rsidRPr="003B4AEE">
        <w:t>a</w:t>
      </w:r>
      <w:r w:rsidRPr="003B4AEE">
        <w:t xml:space="preserve">pproved </w:t>
      </w:r>
      <w:proofErr w:type="gramStart"/>
      <w:r w:rsidR="00EE120D" w:rsidRPr="003B4AEE">
        <w:t>p</w:t>
      </w:r>
      <w:r w:rsidRPr="003B4AEE">
        <w:t>retreatment</w:t>
      </w:r>
      <w:proofErr w:type="gramEnd"/>
      <w:r w:rsidRPr="003B4AEE">
        <w:t xml:space="preserve"> </w:t>
      </w:r>
      <w:r w:rsidR="00EE120D" w:rsidRPr="003B4AEE">
        <w:t>p</w:t>
      </w:r>
      <w:r w:rsidRPr="003B4AEE">
        <w:t>rograms</w:t>
      </w:r>
      <w:r w:rsidR="00AC6BF6" w:rsidRPr="003B4AEE">
        <w:t>;</w:t>
      </w:r>
    </w:p>
    <w:p w14:paraId="1257C65A" w14:textId="363B2FA0" w:rsidR="00C6520E" w:rsidRPr="003B4AEE" w:rsidRDefault="00C6520E" w:rsidP="00290A17">
      <w:pPr>
        <w:pStyle w:val="ListBulletsingle"/>
        <w:numPr>
          <w:ilvl w:val="0"/>
          <w:numId w:val="27"/>
        </w:numPr>
      </w:pPr>
      <w:r w:rsidRPr="003B4AEE">
        <w:t xml:space="preserve">Number of </w:t>
      </w:r>
      <w:r w:rsidR="00EE120D" w:rsidRPr="003B4AEE">
        <w:t>a</w:t>
      </w:r>
      <w:r w:rsidRPr="003B4AEE">
        <w:t xml:space="preserve">pproved </w:t>
      </w:r>
      <w:r w:rsidR="00EE120D" w:rsidRPr="003B4AEE">
        <w:t>s</w:t>
      </w:r>
      <w:r w:rsidRPr="003B4AEE">
        <w:t>tates</w:t>
      </w:r>
      <w:r w:rsidR="00AC6BF6" w:rsidRPr="003B4AEE">
        <w:t>; and</w:t>
      </w:r>
    </w:p>
    <w:p w14:paraId="4C6113E8" w14:textId="621DD654" w:rsidR="00C6520E" w:rsidRPr="003B4AEE" w:rsidRDefault="00C6520E" w:rsidP="00290A17">
      <w:pPr>
        <w:pStyle w:val="ListBulletlast"/>
        <w:numPr>
          <w:ilvl w:val="0"/>
          <w:numId w:val="27"/>
        </w:numPr>
      </w:pPr>
      <w:r w:rsidRPr="003B4AEE">
        <w:t xml:space="preserve">Estimated </w:t>
      </w:r>
      <w:r w:rsidR="00EE120D" w:rsidRPr="003B4AEE">
        <w:t>n</w:t>
      </w:r>
      <w:r w:rsidRPr="003B4AEE">
        <w:t xml:space="preserve">umber of </w:t>
      </w:r>
      <w:r w:rsidR="00EE120D" w:rsidRPr="003B4AEE">
        <w:t>n</w:t>
      </w:r>
      <w:r w:rsidRPr="003B4AEE">
        <w:t xml:space="preserve">ew </w:t>
      </w:r>
      <w:r w:rsidR="00EE120D" w:rsidRPr="003B4AEE">
        <w:t>p</w:t>
      </w:r>
      <w:r w:rsidRPr="003B4AEE">
        <w:t xml:space="preserve">retreatment </w:t>
      </w:r>
      <w:r w:rsidR="00EE120D" w:rsidRPr="003B4AEE">
        <w:t>p</w:t>
      </w:r>
      <w:r w:rsidRPr="003B4AEE">
        <w:t xml:space="preserve">rograms over the </w:t>
      </w:r>
      <w:r w:rsidR="00EE120D" w:rsidRPr="003B4AEE">
        <w:t>n</w:t>
      </w:r>
      <w:r w:rsidRPr="003B4AEE">
        <w:t xml:space="preserve">ext </w:t>
      </w:r>
      <w:r w:rsidR="00EE120D" w:rsidRPr="003B4AEE">
        <w:t>t</w:t>
      </w:r>
      <w:r w:rsidRPr="003B4AEE">
        <w:t xml:space="preserve">hree </w:t>
      </w:r>
      <w:r w:rsidR="00EE120D" w:rsidRPr="003B4AEE">
        <w:t>y</w:t>
      </w:r>
      <w:r w:rsidRPr="003B4AEE">
        <w:t>ears</w:t>
      </w:r>
      <w:r w:rsidR="00AC6BF6" w:rsidRPr="003B4AEE">
        <w:t>.</w:t>
      </w:r>
    </w:p>
    <w:p w14:paraId="31ADDD31" w14:textId="1CCF177A" w:rsidR="00D316EF" w:rsidRPr="003B4AEE" w:rsidRDefault="00C6520E" w:rsidP="00AC1A9B">
      <w:pPr>
        <w:pStyle w:val="BodyText"/>
      </w:pPr>
      <w:r w:rsidRPr="003B4AEE">
        <w:t xml:space="preserve">Burden estimates for each respondent type in the </w:t>
      </w:r>
      <w:r w:rsidR="00A60B49" w:rsidRPr="003B4AEE">
        <w:t xml:space="preserve">Pretreatment </w:t>
      </w:r>
      <w:r w:rsidRPr="003B4AEE">
        <w:t xml:space="preserve">ICR were updated using the current estimate of the number of each respondent type listed above (see Appendix D). </w:t>
      </w:r>
      <w:r w:rsidR="002934B4">
        <w:t>ICIS currently does not contain information necessary to quantify pretreatment program burden</w:t>
      </w:r>
      <w:r w:rsidR="005C1D3E">
        <w:t>; however, the implementation of</w:t>
      </w:r>
      <w:r w:rsidR="002934B4">
        <w:t xml:space="preserve"> e-reporting Phase II </w:t>
      </w:r>
      <w:r w:rsidR="005C1D3E">
        <w:t xml:space="preserve">may provide the information </w:t>
      </w:r>
      <w:r w:rsidR="005C1D3E">
        <w:lastRenderedPageBreak/>
        <w:t>necessary to quantify pretreatment program burden</w:t>
      </w:r>
      <w:r w:rsidR="002934B4">
        <w:t xml:space="preserve">. </w:t>
      </w:r>
      <w:r w:rsidRPr="003B4AEE">
        <w:t>Burden estimates for POTWs, IUs</w:t>
      </w:r>
      <w:r w:rsidR="00E75860" w:rsidRPr="003B4AEE">
        <w:t>,</w:t>
      </w:r>
      <w:r w:rsidRPr="003B4AEE">
        <w:t xml:space="preserve"> </w:t>
      </w:r>
      <w:r w:rsidR="00E75860" w:rsidRPr="003B4AEE">
        <w:t>s</w:t>
      </w:r>
      <w:r w:rsidRPr="003B4AEE">
        <w:t>tate</w:t>
      </w:r>
      <w:r w:rsidR="00E75860" w:rsidRPr="003B4AEE">
        <w:t>, and federal government</w:t>
      </w:r>
      <w:r w:rsidRPr="003B4AEE">
        <w:t xml:space="preserve"> are associated with</w:t>
      </w:r>
      <w:r w:rsidR="00A60B49" w:rsidRPr="003B4AEE">
        <w:t xml:space="preserve"> </w:t>
      </w:r>
      <w:r w:rsidRPr="003B4AEE">
        <w:t>the following types of activities related to the Pretreatment Program:</w:t>
      </w:r>
    </w:p>
    <w:p w14:paraId="5E1246AE" w14:textId="25148AEF" w:rsidR="00C6520E" w:rsidRPr="003B4AEE" w:rsidRDefault="00C6520E" w:rsidP="00290A17">
      <w:pPr>
        <w:pStyle w:val="ListBulletsingle"/>
        <w:numPr>
          <w:ilvl w:val="0"/>
          <w:numId w:val="28"/>
        </w:numPr>
      </w:pPr>
      <w:r w:rsidRPr="003B4AEE">
        <w:t xml:space="preserve">Program </w:t>
      </w:r>
      <w:r w:rsidR="00EE120D" w:rsidRPr="003B4AEE">
        <w:t>d</w:t>
      </w:r>
      <w:r w:rsidRPr="003B4AEE">
        <w:t>evelopment (POTW</w:t>
      </w:r>
      <w:r w:rsidR="00A60B49" w:rsidRPr="003B4AEE">
        <w:t>s</w:t>
      </w:r>
      <w:r w:rsidRPr="003B4AEE">
        <w:t xml:space="preserve"> and </w:t>
      </w:r>
      <w:r w:rsidR="008A7EBE" w:rsidRPr="003B4AEE">
        <w:t>s</w:t>
      </w:r>
      <w:r w:rsidRPr="003B4AEE">
        <w:t>tate</w:t>
      </w:r>
      <w:r w:rsidR="00E75860" w:rsidRPr="003B4AEE">
        <w:t>/federal</w:t>
      </w:r>
      <w:proofErr w:type="gramStart"/>
      <w:r w:rsidRPr="003B4AEE">
        <w:t>)</w:t>
      </w:r>
      <w:r w:rsidR="00AC6BF6" w:rsidRPr="003B4AEE">
        <w:t>;</w:t>
      </w:r>
      <w:proofErr w:type="gramEnd"/>
    </w:p>
    <w:p w14:paraId="7E2E6310" w14:textId="0165E0AC" w:rsidR="00C6520E" w:rsidRPr="003B4AEE" w:rsidRDefault="00C6520E" w:rsidP="00290A17">
      <w:pPr>
        <w:pStyle w:val="ListBulletsingle"/>
        <w:numPr>
          <w:ilvl w:val="0"/>
          <w:numId w:val="28"/>
        </w:numPr>
      </w:pPr>
      <w:r w:rsidRPr="003B4AEE">
        <w:t xml:space="preserve">Program </w:t>
      </w:r>
      <w:r w:rsidR="00EE120D" w:rsidRPr="003B4AEE">
        <w:t>i</w:t>
      </w:r>
      <w:r w:rsidRPr="003B4AEE">
        <w:t xml:space="preserve">mplementation (POTWs, IUs and </w:t>
      </w:r>
      <w:r w:rsidR="008A7EBE" w:rsidRPr="003B4AEE">
        <w:t>s</w:t>
      </w:r>
      <w:r w:rsidRPr="003B4AEE">
        <w:t>tate</w:t>
      </w:r>
      <w:r w:rsidR="00E75860" w:rsidRPr="003B4AEE">
        <w:t>/federal</w:t>
      </w:r>
      <w:proofErr w:type="gramStart"/>
      <w:r w:rsidRPr="003B4AEE">
        <w:t>)</w:t>
      </w:r>
      <w:r w:rsidR="00AC6BF6" w:rsidRPr="003B4AEE">
        <w:t>;</w:t>
      </w:r>
      <w:proofErr w:type="gramEnd"/>
    </w:p>
    <w:p w14:paraId="549B658E" w14:textId="076300A1" w:rsidR="00C6520E" w:rsidRPr="003B4AEE" w:rsidRDefault="003D04FB" w:rsidP="00290A17">
      <w:pPr>
        <w:pStyle w:val="ListBulletsingle"/>
        <w:numPr>
          <w:ilvl w:val="0"/>
          <w:numId w:val="28"/>
        </w:numPr>
      </w:pPr>
      <w:proofErr w:type="gramStart"/>
      <w:r w:rsidRPr="003B4AEE">
        <w:t>Limits</w:t>
      </w:r>
      <w:proofErr w:type="gramEnd"/>
      <w:r w:rsidRPr="003B4AEE">
        <w:t xml:space="preserve"> m</w:t>
      </w:r>
      <w:r w:rsidR="00D751EF" w:rsidRPr="003B4AEE">
        <w:t xml:space="preserve">odification </w:t>
      </w:r>
      <w:r w:rsidRPr="003B4AEE">
        <w:t>r</w:t>
      </w:r>
      <w:r w:rsidR="00D751EF" w:rsidRPr="003B4AEE">
        <w:t xml:space="preserve">equests and </w:t>
      </w:r>
      <w:r w:rsidRPr="003B4AEE">
        <w:t>r</w:t>
      </w:r>
      <w:r w:rsidR="009C77F7" w:rsidRPr="003B4AEE">
        <w:t>emoval credits</w:t>
      </w:r>
      <w:r w:rsidR="00C6520E" w:rsidRPr="003B4AEE">
        <w:t xml:space="preserve"> (POTWs</w:t>
      </w:r>
      <w:r w:rsidR="00D751EF" w:rsidRPr="003B4AEE">
        <w:t xml:space="preserve"> and</w:t>
      </w:r>
      <w:r w:rsidR="00C6520E" w:rsidRPr="003B4AEE">
        <w:t xml:space="preserve"> IUs)</w:t>
      </w:r>
      <w:r w:rsidR="00AC6BF6" w:rsidRPr="003B4AEE">
        <w:t>;</w:t>
      </w:r>
    </w:p>
    <w:p w14:paraId="6893E574" w14:textId="1EB4A912" w:rsidR="00C6520E" w:rsidRPr="003B4AEE" w:rsidRDefault="00C6520E" w:rsidP="00290A17">
      <w:pPr>
        <w:pStyle w:val="ListBulletsingle"/>
        <w:numPr>
          <w:ilvl w:val="0"/>
          <w:numId w:val="28"/>
        </w:numPr>
      </w:pPr>
      <w:r w:rsidRPr="003B4AEE">
        <w:t xml:space="preserve">POTWs as </w:t>
      </w:r>
      <w:r w:rsidR="008A7EBE" w:rsidRPr="003B4AEE">
        <w:t>u</w:t>
      </w:r>
      <w:r w:rsidRPr="003B4AEE">
        <w:t xml:space="preserve">sers of the </w:t>
      </w:r>
      <w:r w:rsidR="008A7EBE" w:rsidRPr="003B4AEE">
        <w:t>d</w:t>
      </w:r>
      <w:r w:rsidRPr="003B4AEE">
        <w:t>ata (POTWs</w:t>
      </w:r>
      <w:proofErr w:type="gramStart"/>
      <w:r w:rsidRPr="003B4AEE">
        <w:t>)</w:t>
      </w:r>
      <w:r w:rsidR="00AC6BF6" w:rsidRPr="003B4AEE">
        <w:t>;</w:t>
      </w:r>
      <w:proofErr w:type="gramEnd"/>
    </w:p>
    <w:p w14:paraId="1E6F4DB0" w14:textId="1C0BBB8B" w:rsidR="00C6520E" w:rsidRPr="003B4AEE" w:rsidRDefault="00C6520E" w:rsidP="00290A17">
      <w:pPr>
        <w:pStyle w:val="ListBulletsingle"/>
        <w:numPr>
          <w:ilvl w:val="0"/>
          <w:numId w:val="28"/>
        </w:numPr>
      </w:pPr>
      <w:r w:rsidRPr="003B4AEE">
        <w:t>Recordkeeping (</w:t>
      </w:r>
      <w:r w:rsidR="00964A30">
        <w:t xml:space="preserve">EPA, </w:t>
      </w:r>
      <w:r w:rsidRPr="003B4AEE">
        <w:t xml:space="preserve">POTWs, IUs and </w:t>
      </w:r>
      <w:r w:rsidR="008A7EBE" w:rsidRPr="003B4AEE">
        <w:t>s</w:t>
      </w:r>
      <w:r w:rsidRPr="003B4AEE">
        <w:t>tates</w:t>
      </w:r>
      <w:proofErr w:type="gramStart"/>
      <w:r w:rsidRPr="003B4AEE">
        <w:t>)</w:t>
      </w:r>
      <w:r w:rsidR="00AC6BF6" w:rsidRPr="003B4AEE">
        <w:t>;</w:t>
      </w:r>
      <w:proofErr w:type="gramEnd"/>
    </w:p>
    <w:p w14:paraId="2F04133C" w14:textId="72B7694B" w:rsidR="00C6520E" w:rsidRPr="003B4AEE" w:rsidRDefault="00964A30" w:rsidP="00290A17">
      <w:pPr>
        <w:pStyle w:val="ListBulletsingle"/>
        <w:numPr>
          <w:ilvl w:val="0"/>
          <w:numId w:val="28"/>
        </w:numPr>
      </w:pPr>
      <w:r>
        <w:t xml:space="preserve">EPA and </w:t>
      </w:r>
      <w:r w:rsidR="00C6520E" w:rsidRPr="003B4AEE">
        <w:t xml:space="preserve">States as </w:t>
      </w:r>
      <w:r w:rsidR="008A7EBE" w:rsidRPr="003B4AEE">
        <w:t>u</w:t>
      </w:r>
      <w:r w:rsidR="00C6520E" w:rsidRPr="003B4AEE">
        <w:t xml:space="preserve">sers of the </w:t>
      </w:r>
      <w:r w:rsidR="008A7EBE" w:rsidRPr="003B4AEE">
        <w:t>d</w:t>
      </w:r>
      <w:r w:rsidR="00C6520E" w:rsidRPr="003B4AEE">
        <w:t>ata</w:t>
      </w:r>
      <w:r w:rsidR="00AC6BF6" w:rsidRPr="003B4AEE">
        <w:t>; and</w:t>
      </w:r>
    </w:p>
    <w:p w14:paraId="4A62A469" w14:textId="2BD817E8" w:rsidR="00C6520E" w:rsidRPr="003B4AEE" w:rsidRDefault="0077656D" w:rsidP="00290A17">
      <w:pPr>
        <w:pStyle w:val="ListBulletlast"/>
        <w:numPr>
          <w:ilvl w:val="0"/>
          <w:numId w:val="28"/>
        </w:numPr>
      </w:pPr>
      <w:r w:rsidRPr="003B4AEE">
        <w:t>Reporting</w:t>
      </w:r>
      <w:r w:rsidR="007A0F85" w:rsidRPr="003B4AEE">
        <w:t xml:space="preserve"> (</w:t>
      </w:r>
      <w:r w:rsidR="00964A30">
        <w:t xml:space="preserve">States, </w:t>
      </w:r>
      <w:r w:rsidR="007A0F85" w:rsidRPr="003B4AEE">
        <w:t>POTWs</w:t>
      </w:r>
      <w:r w:rsidR="00C75BFF" w:rsidRPr="003B4AEE">
        <w:t xml:space="preserve"> and IUs)</w:t>
      </w:r>
      <w:r w:rsidR="00AC6BF6" w:rsidRPr="003B4AEE">
        <w:t>.</w:t>
      </w:r>
    </w:p>
    <w:p w14:paraId="310DA5D1" w14:textId="56329E70" w:rsidR="00C6520E" w:rsidRPr="003B4AEE" w:rsidRDefault="00A24675" w:rsidP="00AC1A9B">
      <w:pPr>
        <w:pStyle w:val="BodyText"/>
      </w:pPr>
      <w:r w:rsidRPr="003B4AEE">
        <w:rPr>
          <w:i/>
        </w:rPr>
        <w:t xml:space="preserve">Industrial Users. </w:t>
      </w:r>
      <w:r w:rsidR="00D629CD" w:rsidRPr="003B4AEE">
        <w:t xml:space="preserve">The underlying assumptions regarding burden estimates for </w:t>
      </w:r>
      <w:r w:rsidR="00D07F05" w:rsidRPr="003B4AEE">
        <w:t>IUs</w:t>
      </w:r>
      <w:r w:rsidR="00D629CD" w:rsidRPr="003B4AEE">
        <w:t xml:space="preserve"> are summarized in Table A</w:t>
      </w:r>
      <w:r w:rsidR="00EC279B" w:rsidRPr="003B4AEE">
        <w:t>-</w:t>
      </w:r>
      <w:r w:rsidR="00D629CD" w:rsidRPr="003B4AEE">
        <w:t>1</w:t>
      </w:r>
      <w:r w:rsidR="00737190" w:rsidRPr="003B4AEE">
        <w:t>.</w:t>
      </w:r>
      <w:r w:rsidR="00A80F93" w:rsidRPr="003B4AEE">
        <w:t xml:space="preserve"> Certain </w:t>
      </w:r>
      <w:r w:rsidR="00D07F05" w:rsidRPr="003B4AEE">
        <w:t>IU</w:t>
      </w:r>
      <w:r w:rsidR="00A80F93" w:rsidRPr="003B4AEE">
        <w:t xml:space="preserve"> activities are presented as percentages to reflect that they are projections, based on the </w:t>
      </w:r>
      <w:r w:rsidR="00D07F05" w:rsidRPr="003B4AEE">
        <w:t>IU</w:t>
      </w:r>
      <w:r w:rsidR="00A80F93" w:rsidRPr="003B4AEE">
        <w:t xml:space="preserve"> universe. </w:t>
      </w:r>
    </w:p>
    <w:p w14:paraId="6BCFAD62" w14:textId="23FBAAED" w:rsidR="00AC1A9B" w:rsidRPr="003B4AEE" w:rsidRDefault="00AC1A9B" w:rsidP="007A3DD9">
      <w:pPr>
        <w:pStyle w:val="TableTitleAppendix"/>
      </w:pPr>
      <w:bookmarkStart w:id="328" w:name="_Toc61521412"/>
      <w:r w:rsidRPr="003B4AEE">
        <w:t>Table</w:t>
      </w:r>
      <w:r w:rsidR="007A3DD9" w:rsidRPr="003B4AEE">
        <w:t xml:space="preserve"> A-1</w:t>
      </w:r>
      <w:r w:rsidR="00EC279B" w:rsidRPr="003B4AEE">
        <w:t>.</w:t>
      </w:r>
      <w:r w:rsidRPr="003B4AEE">
        <w:t xml:space="preserve"> Summary of Burden Assumptions Related to IUs</w:t>
      </w:r>
      <w:bookmarkEnd w:id="328"/>
    </w:p>
    <w:tbl>
      <w:tblPr>
        <w:tblStyle w:val="TableGrid"/>
        <w:tblW w:w="0" w:type="auto"/>
        <w:tblLook w:val="04A0" w:firstRow="1" w:lastRow="0" w:firstColumn="1" w:lastColumn="0" w:noHBand="0" w:noVBand="1"/>
      </w:tblPr>
      <w:tblGrid>
        <w:gridCol w:w="3865"/>
        <w:gridCol w:w="4343"/>
        <w:gridCol w:w="1142"/>
      </w:tblGrid>
      <w:tr w:rsidR="00C6520E" w:rsidRPr="003B4AEE" w14:paraId="3BA703B2" w14:textId="77777777" w:rsidTr="00946B97">
        <w:trPr>
          <w:tblHeader/>
        </w:trPr>
        <w:tc>
          <w:tcPr>
            <w:tcW w:w="3865" w:type="dxa"/>
            <w:shd w:val="clear" w:color="auto" w:fill="D9D9D9" w:themeFill="background1" w:themeFillShade="D9"/>
            <w:vAlign w:val="bottom"/>
          </w:tcPr>
          <w:p w14:paraId="38C0ACA7" w14:textId="540CB920" w:rsidR="00C6520E" w:rsidRPr="003B4AEE" w:rsidRDefault="00C6520E" w:rsidP="00946B97">
            <w:pPr>
              <w:pStyle w:val="TableHeading"/>
            </w:pPr>
            <w:r w:rsidRPr="003B4AEE">
              <w:t xml:space="preserve">Industrial </w:t>
            </w:r>
            <w:r w:rsidR="00E02336" w:rsidRPr="003B4AEE">
              <w:t>U</w:t>
            </w:r>
            <w:r w:rsidRPr="003B4AEE">
              <w:t xml:space="preserve">ser </w:t>
            </w:r>
            <w:r w:rsidR="00E02336" w:rsidRPr="003B4AEE">
              <w:t>A</w:t>
            </w:r>
            <w:r w:rsidRPr="003B4AEE">
              <w:t>ctivity</w:t>
            </w:r>
          </w:p>
        </w:tc>
        <w:tc>
          <w:tcPr>
            <w:tcW w:w="4343" w:type="dxa"/>
            <w:shd w:val="clear" w:color="auto" w:fill="D9D9D9" w:themeFill="background1" w:themeFillShade="D9"/>
            <w:vAlign w:val="bottom"/>
          </w:tcPr>
          <w:p w14:paraId="52AC601A" w14:textId="77777777" w:rsidR="00C6520E" w:rsidRPr="003B4AEE" w:rsidRDefault="00C6520E" w:rsidP="00946B97">
            <w:pPr>
              <w:pStyle w:val="TableHeading"/>
            </w:pPr>
            <w:r w:rsidRPr="003B4AEE">
              <w:t>Frequency</w:t>
            </w:r>
          </w:p>
        </w:tc>
        <w:tc>
          <w:tcPr>
            <w:tcW w:w="1142" w:type="dxa"/>
            <w:shd w:val="clear" w:color="auto" w:fill="D9D9D9" w:themeFill="background1" w:themeFillShade="D9"/>
            <w:vAlign w:val="bottom"/>
          </w:tcPr>
          <w:p w14:paraId="39EFB2B1" w14:textId="77777777" w:rsidR="00C6520E" w:rsidRPr="003B4AEE" w:rsidRDefault="00C6520E" w:rsidP="00896C79">
            <w:pPr>
              <w:pStyle w:val="TableHeading"/>
            </w:pPr>
            <w:r w:rsidRPr="003B4AEE">
              <w:t>Burden (hours)</w:t>
            </w:r>
          </w:p>
        </w:tc>
      </w:tr>
      <w:tr w:rsidR="00C6520E" w:rsidRPr="003B4AEE" w14:paraId="053FB85C" w14:textId="77777777" w:rsidTr="00F01D91">
        <w:tc>
          <w:tcPr>
            <w:tcW w:w="3865" w:type="dxa"/>
          </w:tcPr>
          <w:p w14:paraId="1145A3E0" w14:textId="0E05A4F4" w:rsidR="00C6520E" w:rsidRPr="003B4AEE" w:rsidRDefault="00C6520E" w:rsidP="00EF1FFC">
            <w:pPr>
              <w:pStyle w:val="Tables"/>
            </w:pPr>
            <w:r w:rsidRPr="003B4AEE">
              <w:t xml:space="preserve">Baseline </w:t>
            </w:r>
            <w:r w:rsidR="00AC6BF6" w:rsidRPr="003B4AEE">
              <w:t>m</w:t>
            </w:r>
            <w:r w:rsidRPr="003B4AEE">
              <w:t xml:space="preserve">onitoring and </w:t>
            </w:r>
            <w:r w:rsidR="00AC6BF6" w:rsidRPr="003B4AEE">
              <w:t>r</w:t>
            </w:r>
            <w:r w:rsidRPr="003B4AEE">
              <w:t>eport</w:t>
            </w:r>
          </w:p>
        </w:tc>
        <w:tc>
          <w:tcPr>
            <w:tcW w:w="4343" w:type="dxa"/>
          </w:tcPr>
          <w:p w14:paraId="37AC848B" w14:textId="77777777" w:rsidR="00C6520E" w:rsidRPr="00FC3F88" w:rsidRDefault="00C6520E" w:rsidP="00EF1FFC">
            <w:pPr>
              <w:pStyle w:val="Tables"/>
            </w:pPr>
            <w:r w:rsidRPr="00FC3F88">
              <w:t>New sources equivalent to 2 percent of CIUs per year</w:t>
            </w:r>
          </w:p>
        </w:tc>
        <w:tc>
          <w:tcPr>
            <w:tcW w:w="1142" w:type="dxa"/>
          </w:tcPr>
          <w:p w14:paraId="70659CDD" w14:textId="77777777" w:rsidR="00C6520E" w:rsidRPr="003B4AEE" w:rsidRDefault="00C6520E" w:rsidP="00896C79">
            <w:pPr>
              <w:pStyle w:val="Tables"/>
              <w:ind w:right="144"/>
              <w:jc w:val="center"/>
            </w:pPr>
            <w:r w:rsidRPr="003B4AEE">
              <w:t>42.3</w:t>
            </w:r>
          </w:p>
        </w:tc>
      </w:tr>
      <w:tr w:rsidR="00C6520E" w:rsidRPr="003B4AEE" w14:paraId="1941A2A8" w14:textId="77777777" w:rsidTr="00F01D91">
        <w:tc>
          <w:tcPr>
            <w:tcW w:w="3865" w:type="dxa"/>
          </w:tcPr>
          <w:p w14:paraId="78904E73" w14:textId="3A0E65CF" w:rsidR="00C6520E" w:rsidRPr="003B4AEE" w:rsidRDefault="00C6520E" w:rsidP="00EF1FFC">
            <w:pPr>
              <w:pStyle w:val="Tables"/>
            </w:pPr>
            <w:r w:rsidRPr="003B4AEE">
              <w:t xml:space="preserve">IU </w:t>
            </w:r>
            <w:r w:rsidR="00AC6BF6" w:rsidRPr="003B4AEE">
              <w:t>c</w:t>
            </w:r>
            <w:r w:rsidRPr="003B4AEE">
              <w:t xml:space="preserve">ompliance </w:t>
            </w:r>
            <w:r w:rsidR="00AC6BF6" w:rsidRPr="003B4AEE">
              <w:t>s</w:t>
            </w:r>
            <w:r w:rsidRPr="003B4AEE">
              <w:t xml:space="preserve">chedule </w:t>
            </w:r>
            <w:r w:rsidR="00AC6BF6" w:rsidRPr="003B4AEE">
              <w:t>p</w:t>
            </w:r>
            <w:r w:rsidRPr="003B4AEE">
              <w:t xml:space="preserve">rogress </w:t>
            </w:r>
            <w:r w:rsidR="00AC6BF6" w:rsidRPr="003B4AEE">
              <w:t>r</w:t>
            </w:r>
            <w:r w:rsidRPr="003B4AEE">
              <w:t>eport</w:t>
            </w:r>
          </w:p>
        </w:tc>
        <w:tc>
          <w:tcPr>
            <w:tcW w:w="4343" w:type="dxa"/>
          </w:tcPr>
          <w:p w14:paraId="531E9859" w14:textId="591861A2" w:rsidR="00C6520E" w:rsidRPr="00FC3F88" w:rsidRDefault="002F0421" w:rsidP="00EF1FFC">
            <w:pPr>
              <w:pStyle w:val="Tables"/>
            </w:pPr>
            <w:r w:rsidRPr="00FC3F88">
              <w:t>25</w:t>
            </w:r>
            <w:r w:rsidR="00C6520E" w:rsidRPr="00FC3F88">
              <w:t xml:space="preserve"> percent of new sources per year</w:t>
            </w:r>
          </w:p>
        </w:tc>
        <w:tc>
          <w:tcPr>
            <w:tcW w:w="1142" w:type="dxa"/>
          </w:tcPr>
          <w:p w14:paraId="57C770DD" w14:textId="77777777" w:rsidR="00C6520E" w:rsidRPr="003B4AEE" w:rsidRDefault="00C6520E" w:rsidP="00896C79">
            <w:pPr>
              <w:pStyle w:val="Tables"/>
              <w:ind w:right="144"/>
              <w:jc w:val="center"/>
            </w:pPr>
            <w:r w:rsidRPr="003B4AEE">
              <w:t>4</w:t>
            </w:r>
          </w:p>
        </w:tc>
      </w:tr>
      <w:tr w:rsidR="00C6520E" w:rsidRPr="003B4AEE" w14:paraId="59B606E3" w14:textId="77777777" w:rsidTr="00F01D91">
        <w:tc>
          <w:tcPr>
            <w:tcW w:w="3865" w:type="dxa"/>
          </w:tcPr>
          <w:p w14:paraId="0609CEBE" w14:textId="16699141" w:rsidR="00C6520E" w:rsidRPr="003B4AEE" w:rsidRDefault="00C6520E" w:rsidP="00EF1FFC">
            <w:pPr>
              <w:pStyle w:val="Tables"/>
            </w:pPr>
            <w:r w:rsidRPr="003B4AEE">
              <w:t xml:space="preserve">IU </w:t>
            </w:r>
            <w:r w:rsidR="00AC6BF6" w:rsidRPr="003B4AEE">
              <w:t>compliance attainment a</w:t>
            </w:r>
            <w:r w:rsidRPr="003B4AEE">
              <w:t xml:space="preserve">nalysis and </w:t>
            </w:r>
            <w:r w:rsidR="00AC6BF6" w:rsidRPr="003B4AEE">
              <w:t>report</w:t>
            </w:r>
          </w:p>
        </w:tc>
        <w:tc>
          <w:tcPr>
            <w:tcW w:w="4343" w:type="dxa"/>
          </w:tcPr>
          <w:p w14:paraId="414CFBFB" w14:textId="77777777" w:rsidR="00C6520E" w:rsidRPr="00FC3F88" w:rsidRDefault="00C6520E" w:rsidP="00EF1FFC">
            <w:pPr>
              <w:pStyle w:val="Tables"/>
            </w:pPr>
            <w:r w:rsidRPr="00FC3F88">
              <w:t>New sources equivalent to 2 percent of CIUs per year</w:t>
            </w:r>
          </w:p>
        </w:tc>
        <w:tc>
          <w:tcPr>
            <w:tcW w:w="1142" w:type="dxa"/>
          </w:tcPr>
          <w:p w14:paraId="416BA56C" w14:textId="77777777" w:rsidR="00C6520E" w:rsidRPr="003B4AEE" w:rsidRDefault="00C6520E" w:rsidP="00896C79">
            <w:pPr>
              <w:pStyle w:val="Tables"/>
              <w:ind w:right="144"/>
              <w:jc w:val="center"/>
            </w:pPr>
            <w:r w:rsidRPr="003B4AEE">
              <w:t>34.3</w:t>
            </w:r>
          </w:p>
        </w:tc>
      </w:tr>
      <w:tr w:rsidR="00C6520E" w:rsidRPr="003B4AEE" w14:paraId="16D2F950" w14:textId="77777777" w:rsidTr="00F01D91">
        <w:tc>
          <w:tcPr>
            <w:tcW w:w="3865" w:type="dxa"/>
          </w:tcPr>
          <w:p w14:paraId="37330676" w14:textId="4379B3F8" w:rsidR="00C6520E" w:rsidRPr="003B4AEE" w:rsidRDefault="00C6520E" w:rsidP="00EF1FFC">
            <w:pPr>
              <w:pStyle w:val="Tables"/>
            </w:pPr>
            <w:r w:rsidRPr="003B4AEE">
              <w:t xml:space="preserve">IU </w:t>
            </w:r>
            <w:r w:rsidR="00AC6BF6" w:rsidRPr="003B4AEE">
              <w:t>resampling c</w:t>
            </w:r>
            <w:r w:rsidRPr="003B4AEE">
              <w:t xml:space="preserve">ompliance </w:t>
            </w:r>
            <w:r w:rsidR="00AC6BF6" w:rsidRPr="003B4AEE">
              <w:t>report</w:t>
            </w:r>
          </w:p>
        </w:tc>
        <w:tc>
          <w:tcPr>
            <w:tcW w:w="4343" w:type="dxa"/>
          </w:tcPr>
          <w:p w14:paraId="3B8BA819" w14:textId="7C0E8388" w:rsidR="00C6520E" w:rsidRPr="00FC3F88" w:rsidRDefault="002F0421" w:rsidP="00EF1FFC">
            <w:pPr>
              <w:pStyle w:val="Tables"/>
            </w:pPr>
            <w:r w:rsidRPr="00FC3F88">
              <w:t xml:space="preserve">10 </w:t>
            </w:r>
            <w:r w:rsidR="00C6520E" w:rsidRPr="00FC3F88">
              <w:t>percent of all IUs per year excluding 1,500 PFP</w:t>
            </w:r>
            <w:r w:rsidR="003E5304" w:rsidRPr="00FC3F88">
              <w:t>R</w:t>
            </w:r>
            <w:r w:rsidR="00C6520E" w:rsidRPr="00FC3F88">
              <w:t xml:space="preserve"> facilities</w:t>
            </w:r>
          </w:p>
        </w:tc>
        <w:tc>
          <w:tcPr>
            <w:tcW w:w="1142" w:type="dxa"/>
          </w:tcPr>
          <w:p w14:paraId="77BC88A4" w14:textId="77777777" w:rsidR="00C6520E" w:rsidRPr="003B4AEE" w:rsidRDefault="00C6520E" w:rsidP="00896C79">
            <w:pPr>
              <w:pStyle w:val="Tables"/>
              <w:ind w:right="144"/>
              <w:jc w:val="center"/>
            </w:pPr>
            <w:r w:rsidRPr="003B4AEE">
              <w:t>17</w:t>
            </w:r>
          </w:p>
        </w:tc>
      </w:tr>
      <w:tr w:rsidR="00C6520E" w:rsidRPr="003B4AEE" w14:paraId="6EBE3235" w14:textId="77777777" w:rsidTr="00F01D91">
        <w:tc>
          <w:tcPr>
            <w:tcW w:w="3865" w:type="dxa"/>
          </w:tcPr>
          <w:p w14:paraId="36B31DBF" w14:textId="13E51A31" w:rsidR="00C6520E" w:rsidRPr="003B4AEE" w:rsidRDefault="00C6520E" w:rsidP="00EF1FFC">
            <w:pPr>
              <w:pStyle w:val="Tables"/>
              <w:rPr>
                <w:vertAlign w:val="superscript"/>
              </w:rPr>
            </w:pPr>
            <w:r w:rsidRPr="003B4AEE">
              <w:t xml:space="preserve">IU </w:t>
            </w:r>
            <w:r w:rsidR="00AC6BF6" w:rsidRPr="003B4AEE">
              <w:t>self</w:t>
            </w:r>
            <w:r w:rsidRPr="003B4AEE">
              <w:t>-</w:t>
            </w:r>
            <w:r w:rsidR="00AC6BF6" w:rsidRPr="003B4AEE">
              <w:t>monitoring c</w:t>
            </w:r>
            <w:r w:rsidRPr="003B4AEE">
              <w:t xml:space="preserve">ompliance </w:t>
            </w:r>
            <w:r w:rsidR="00AC6BF6" w:rsidRPr="003B4AEE">
              <w:t xml:space="preserve">sampling </w:t>
            </w:r>
            <w:r w:rsidRPr="003B4AEE">
              <w:t xml:space="preserve">and </w:t>
            </w:r>
            <w:proofErr w:type="spellStart"/>
            <w:r w:rsidR="004F230D" w:rsidRPr="003B4AEE">
              <w:t>report</w:t>
            </w:r>
            <w:r w:rsidR="004F230D" w:rsidRPr="003B4AEE">
              <w:rPr>
                <w:vertAlign w:val="superscript"/>
              </w:rPr>
              <w:t>a</w:t>
            </w:r>
            <w:proofErr w:type="spellEnd"/>
          </w:p>
        </w:tc>
        <w:tc>
          <w:tcPr>
            <w:tcW w:w="4343" w:type="dxa"/>
          </w:tcPr>
          <w:p w14:paraId="1088FE42" w14:textId="66F466F2" w:rsidR="00C6520E" w:rsidRPr="00FC3F88" w:rsidRDefault="00C6520E" w:rsidP="00EF1FFC">
            <w:pPr>
              <w:pStyle w:val="Tables"/>
            </w:pPr>
            <w:r w:rsidRPr="00FC3F88">
              <w:t>Once every 5 years excluding PFP</w:t>
            </w:r>
            <w:r w:rsidR="003E5304" w:rsidRPr="00FC3F88">
              <w:t>R</w:t>
            </w:r>
            <w:r w:rsidRPr="00FC3F88">
              <w:t xml:space="preserve"> facilities</w:t>
            </w:r>
          </w:p>
        </w:tc>
        <w:tc>
          <w:tcPr>
            <w:tcW w:w="1142" w:type="dxa"/>
          </w:tcPr>
          <w:p w14:paraId="728EE398" w14:textId="125C3D11" w:rsidR="00C6520E" w:rsidRPr="003B4AEE" w:rsidRDefault="00C6520E" w:rsidP="00896C79">
            <w:pPr>
              <w:pStyle w:val="Tables"/>
              <w:ind w:right="144"/>
              <w:jc w:val="center"/>
            </w:pPr>
            <w:r w:rsidRPr="003B4AEE">
              <w:t>14.5–16.6</w:t>
            </w:r>
          </w:p>
        </w:tc>
      </w:tr>
      <w:tr w:rsidR="00C6520E" w:rsidRPr="003B4AEE" w14:paraId="6E20019D" w14:textId="77777777" w:rsidTr="00F01D91">
        <w:tc>
          <w:tcPr>
            <w:tcW w:w="3865" w:type="dxa"/>
          </w:tcPr>
          <w:p w14:paraId="1198FBFD" w14:textId="7F1F74BF" w:rsidR="00C6520E" w:rsidRPr="003B4AEE" w:rsidRDefault="00C6520E" w:rsidP="00EF1FFC">
            <w:pPr>
              <w:pStyle w:val="Tables"/>
            </w:pPr>
            <w:r w:rsidRPr="003B4AEE">
              <w:t xml:space="preserve">Pollution </w:t>
            </w:r>
            <w:r w:rsidR="00AC6BF6" w:rsidRPr="003B4AEE">
              <w:t>prevention plans</w:t>
            </w:r>
          </w:p>
        </w:tc>
        <w:tc>
          <w:tcPr>
            <w:tcW w:w="4343" w:type="dxa"/>
          </w:tcPr>
          <w:p w14:paraId="3507DF92" w14:textId="73405B70" w:rsidR="00C6520E" w:rsidRPr="00FC3F88" w:rsidRDefault="002F0421" w:rsidP="00EF1FFC">
            <w:pPr>
              <w:pStyle w:val="Tables"/>
            </w:pPr>
            <w:r w:rsidRPr="00FC3F88">
              <w:t xml:space="preserve">10 </w:t>
            </w:r>
            <w:r w:rsidR="00C6520E" w:rsidRPr="00FC3F88">
              <w:t>percent of PFP</w:t>
            </w:r>
            <w:r w:rsidR="003E5304" w:rsidRPr="00FC3F88">
              <w:t>R</w:t>
            </w:r>
            <w:r w:rsidR="00C6520E" w:rsidRPr="00FC3F88">
              <w:t xml:space="preserve"> facilities per year</w:t>
            </w:r>
          </w:p>
        </w:tc>
        <w:tc>
          <w:tcPr>
            <w:tcW w:w="1142" w:type="dxa"/>
          </w:tcPr>
          <w:p w14:paraId="0A18A288" w14:textId="77777777" w:rsidR="00C6520E" w:rsidRPr="003B4AEE" w:rsidRDefault="00C6520E" w:rsidP="00896C79">
            <w:pPr>
              <w:pStyle w:val="Tables"/>
              <w:ind w:right="144"/>
              <w:jc w:val="center"/>
            </w:pPr>
            <w:r w:rsidRPr="003B4AEE">
              <w:t>20</w:t>
            </w:r>
          </w:p>
        </w:tc>
      </w:tr>
      <w:tr w:rsidR="00C6520E" w:rsidRPr="003B4AEE" w14:paraId="57D59574" w14:textId="77777777" w:rsidTr="00F01D91">
        <w:tc>
          <w:tcPr>
            <w:tcW w:w="3865" w:type="dxa"/>
          </w:tcPr>
          <w:p w14:paraId="5CEAC571" w14:textId="3CB09854" w:rsidR="00C6520E" w:rsidRPr="003B4AEE" w:rsidRDefault="00C6520E" w:rsidP="00EF1FFC">
            <w:pPr>
              <w:pStyle w:val="Tables"/>
            </w:pPr>
            <w:r w:rsidRPr="003B4AEE">
              <w:t xml:space="preserve">Minimum </w:t>
            </w:r>
            <w:r w:rsidR="00AC6BF6" w:rsidRPr="003B4AEE">
              <w:t xml:space="preserve">monitoring requirements </w:t>
            </w:r>
            <w:r w:rsidRPr="003B4AEE">
              <w:t>for Paper Mills in specific categories</w:t>
            </w:r>
          </w:p>
        </w:tc>
        <w:tc>
          <w:tcPr>
            <w:tcW w:w="4343" w:type="dxa"/>
          </w:tcPr>
          <w:p w14:paraId="35A55EFC" w14:textId="4FDADDA4" w:rsidR="00C6520E" w:rsidRPr="00FC3F88" w:rsidRDefault="002F0421" w:rsidP="00EF1FFC">
            <w:pPr>
              <w:pStyle w:val="Tables"/>
            </w:pPr>
            <w:r w:rsidRPr="00FC3F88">
              <w:t xml:space="preserve">10 </w:t>
            </w:r>
            <w:r w:rsidR="00C6520E" w:rsidRPr="00FC3F88">
              <w:t>mills per year</w:t>
            </w:r>
          </w:p>
        </w:tc>
        <w:tc>
          <w:tcPr>
            <w:tcW w:w="1142" w:type="dxa"/>
          </w:tcPr>
          <w:p w14:paraId="2439C8B5" w14:textId="77777777" w:rsidR="00C6520E" w:rsidRPr="003B4AEE" w:rsidRDefault="00C6520E" w:rsidP="00896C79">
            <w:pPr>
              <w:pStyle w:val="Tables"/>
              <w:ind w:right="144"/>
              <w:jc w:val="center"/>
            </w:pPr>
            <w:r w:rsidRPr="003B4AEE">
              <w:t>826</w:t>
            </w:r>
          </w:p>
        </w:tc>
      </w:tr>
      <w:tr w:rsidR="00C6520E" w:rsidRPr="003B4AEE" w14:paraId="56F91A03" w14:textId="77777777" w:rsidTr="00F01D91">
        <w:tc>
          <w:tcPr>
            <w:tcW w:w="3865" w:type="dxa"/>
          </w:tcPr>
          <w:p w14:paraId="37D36AD8" w14:textId="7F4CEB78" w:rsidR="00C6520E" w:rsidRPr="003B4AEE" w:rsidRDefault="00C6520E" w:rsidP="00EF1FFC">
            <w:pPr>
              <w:pStyle w:val="Tables"/>
            </w:pPr>
            <w:r w:rsidRPr="003B4AEE">
              <w:t xml:space="preserve">Pollution </w:t>
            </w:r>
            <w:r w:rsidR="00AC6BF6" w:rsidRPr="003B4AEE">
              <w:t>prevention c</w:t>
            </w:r>
            <w:r w:rsidRPr="003B4AEE">
              <w:t xml:space="preserve">ompliance </w:t>
            </w:r>
            <w:r w:rsidR="00AC6BF6" w:rsidRPr="003B4AEE">
              <w:t>alternative</w:t>
            </w:r>
            <w:r w:rsidRPr="003B4AEE">
              <w:t xml:space="preserve">; </w:t>
            </w:r>
            <w:r w:rsidR="00927F89" w:rsidRPr="003B4AEE">
              <w:t xml:space="preserve">transportation equipment cleaning </w:t>
            </w:r>
          </w:p>
        </w:tc>
        <w:tc>
          <w:tcPr>
            <w:tcW w:w="4343" w:type="dxa"/>
          </w:tcPr>
          <w:p w14:paraId="44B6A2EE" w14:textId="1A75BD50" w:rsidR="00C6520E" w:rsidRPr="00FC3F88" w:rsidRDefault="002F0421" w:rsidP="00EF1FFC">
            <w:pPr>
              <w:pStyle w:val="Tables"/>
            </w:pPr>
            <w:r w:rsidRPr="00FC3F88">
              <w:t>84</w:t>
            </w:r>
            <w:r w:rsidR="00C6520E" w:rsidRPr="00FC3F88">
              <w:t xml:space="preserve"> facilities per year</w:t>
            </w:r>
          </w:p>
        </w:tc>
        <w:tc>
          <w:tcPr>
            <w:tcW w:w="1142" w:type="dxa"/>
          </w:tcPr>
          <w:p w14:paraId="2D9562B9" w14:textId="77777777" w:rsidR="00C6520E" w:rsidRPr="003B4AEE" w:rsidRDefault="00C6520E" w:rsidP="00896C79">
            <w:pPr>
              <w:pStyle w:val="Tables"/>
              <w:ind w:right="144"/>
              <w:jc w:val="center"/>
            </w:pPr>
            <w:r w:rsidRPr="003B4AEE">
              <w:t>209 - 235</w:t>
            </w:r>
          </w:p>
        </w:tc>
      </w:tr>
      <w:tr w:rsidR="00C6520E" w:rsidRPr="003B4AEE" w14:paraId="16CC39C6" w14:textId="77777777" w:rsidTr="00F01D91">
        <w:tc>
          <w:tcPr>
            <w:tcW w:w="3865" w:type="dxa"/>
          </w:tcPr>
          <w:p w14:paraId="2D67D7E2" w14:textId="1F392561" w:rsidR="00C6520E" w:rsidRPr="003B4AEE" w:rsidRDefault="00C6520E" w:rsidP="00EF1FFC">
            <w:pPr>
              <w:pStyle w:val="Tables"/>
            </w:pPr>
            <w:r w:rsidRPr="003B4AEE">
              <w:t xml:space="preserve">Best </w:t>
            </w:r>
            <w:r w:rsidR="00927F89" w:rsidRPr="003B4AEE">
              <w:t xml:space="preserve">management </w:t>
            </w:r>
            <w:r w:rsidR="00AC6BF6" w:rsidRPr="003B4AEE">
              <w:t xml:space="preserve">practices </w:t>
            </w:r>
            <w:r w:rsidRPr="003B4AEE">
              <w:t xml:space="preserve">for Paper Mills in specific categories </w:t>
            </w:r>
          </w:p>
        </w:tc>
        <w:tc>
          <w:tcPr>
            <w:tcW w:w="4343" w:type="dxa"/>
          </w:tcPr>
          <w:p w14:paraId="03D1B712" w14:textId="31EC6CA5" w:rsidR="00C6520E" w:rsidRPr="00FC3F88" w:rsidRDefault="002F0421" w:rsidP="00EF1FFC">
            <w:pPr>
              <w:pStyle w:val="Tables"/>
            </w:pPr>
            <w:r w:rsidRPr="00FC3F88">
              <w:t xml:space="preserve">10 </w:t>
            </w:r>
            <w:r w:rsidR="00C6520E" w:rsidRPr="00FC3F88">
              <w:t>facilities per year</w:t>
            </w:r>
          </w:p>
        </w:tc>
        <w:tc>
          <w:tcPr>
            <w:tcW w:w="1142" w:type="dxa"/>
          </w:tcPr>
          <w:p w14:paraId="1F68E956" w14:textId="77777777" w:rsidR="00C6520E" w:rsidRPr="003B4AEE" w:rsidRDefault="00C6520E" w:rsidP="00896C79">
            <w:pPr>
              <w:pStyle w:val="Tables"/>
              <w:ind w:right="144"/>
              <w:jc w:val="center"/>
            </w:pPr>
            <w:r w:rsidRPr="003B4AEE">
              <w:t>617</w:t>
            </w:r>
          </w:p>
        </w:tc>
      </w:tr>
      <w:tr w:rsidR="00C6520E" w:rsidRPr="003B4AEE" w14:paraId="4FC23879" w14:textId="77777777" w:rsidTr="00F01D91">
        <w:tc>
          <w:tcPr>
            <w:tcW w:w="3865" w:type="dxa"/>
          </w:tcPr>
          <w:p w14:paraId="33D116E1" w14:textId="1232406F" w:rsidR="00C6520E" w:rsidRPr="003B4AEE" w:rsidRDefault="00C6520E" w:rsidP="00EF1FFC">
            <w:pPr>
              <w:pStyle w:val="Tables"/>
            </w:pPr>
            <w:r w:rsidRPr="003B4AEE">
              <w:t xml:space="preserve">Request for </w:t>
            </w:r>
            <w:r w:rsidR="00927F89" w:rsidRPr="003B4AEE">
              <w:t xml:space="preserve">coverage under </w:t>
            </w:r>
            <w:r w:rsidRPr="003B4AEE">
              <w:t xml:space="preserve">a </w:t>
            </w:r>
            <w:r w:rsidR="00927F89" w:rsidRPr="003B4AEE">
              <w:t>general control mechanism</w:t>
            </w:r>
          </w:p>
        </w:tc>
        <w:tc>
          <w:tcPr>
            <w:tcW w:w="4343" w:type="dxa"/>
          </w:tcPr>
          <w:p w14:paraId="7767872F" w14:textId="77777777" w:rsidR="00C6520E" w:rsidRPr="00FC3F88" w:rsidRDefault="00C6520E" w:rsidP="00EF1FFC">
            <w:pPr>
              <w:pStyle w:val="Tables"/>
            </w:pPr>
            <w:r w:rsidRPr="00FC3F88">
              <w:t>Once every 5 years for two percent of all IUs</w:t>
            </w:r>
          </w:p>
        </w:tc>
        <w:tc>
          <w:tcPr>
            <w:tcW w:w="1142" w:type="dxa"/>
          </w:tcPr>
          <w:p w14:paraId="59BA00EC" w14:textId="77777777" w:rsidR="00C6520E" w:rsidRPr="003B4AEE" w:rsidRDefault="00C6520E" w:rsidP="00896C79">
            <w:pPr>
              <w:pStyle w:val="Tables"/>
              <w:ind w:right="144"/>
              <w:jc w:val="center"/>
            </w:pPr>
            <w:r w:rsidRPr="003B4AEE">
              <w:t>0.5</w:t>
            </w:r>
          </w:p>
        </w:tc>
      </w:tr>
      <w:tr w:rsidR="00C6520E" w:rsidRPr="003B4AEE" w14:paraId="35A9EB23" w14:textId="77777777" w:rsidTr="00F01D91">
        <w:tc>
          <w:tcPr>
            <w:tcW w:w="3865" w:type="dxa"/>
          </w:tcPr>
          <w:p w14:paraId="68FD5285" w14:textId="2CDE95BA" w:rsidR="00C6520E" w:rsidRPr="003B4AEE" w:rsidRDefault="00C6520E" w:rsidP="00EF1FFC">
            <w:pPr>
              <w:pStyle w:val="Tables"/>
            </w:pPr>
            <w:r w:rsidRPr="003B4AEE">
              <w:t xml:space="preserve">Periodic </w:t>
            </w:r>
            <w:r w:rsidR="00927F89" w:rsidRPr="003B4AEE">
              <w:t>certifications</w:t>
            </w:r>
          </w:p>
        </w:tc>
        <w:tc>
          <w:tcPr>
            <w:tcW w:w="4343" w:type="dxa"/>
          </w:tcPr>
          <w:p w14:paraId="5953ACFB" w14:textId="777924C5" w:rsidR="00C6520E" w:rsidRPr="00214F12" w:rsidRDefault="00C6520E" w:rsidP="00EF1FFC">
            <w:pPr>
              <w:pStyle w:val="Tables"/>
              <w:rPr>
                <w:vertAlign w:val="superscript"/>
              </w:rPr>
            </w:pPr>
            <w:r w:rsidRPr="00214F12">
              <w:t xml:space="preserve">7,770 IUs per year in 12 </w:t>
            </w:r>
            <w:proofErr w:type="spellStart"/>
            <w:r w:rsidR="004F230D" w:rsidRPr="00214F12">
              <w:t>categories</w:t>
            </w:r>
            <w:r w:rsidR="004F230D" w:rsidRPr="00214F12">
              <w:rPr>
                <w:vertAlign w:val="superscript"/>
              </w:rPr>
              <w:t>b</w:t>
            </w:r>
            <w:proofErr w:type="spellEnd"/>
          </w:p>
        </w:tc>
        <w:tc>
          <w:tcPr>
            <w:tcW w:w="1142" w:type="dxa"/>
          </w:tcPr>
          <w:p w14:paraId="7A1FEBE7" w14:textId="77777777" w:rsidR="00C6520E" w:rsidRPr="003B4AEE" w:rsidRDefault="00C6520E" w:rsidP="00896C79">
            <w:pPr>
              <w:pStyle w:val="Tables"/>
              <w:ind w:right="144"/>
              <w:jc w:val="center"/>
            </w:pPr>
            <w:r w:rsidRPr="003B4AEE">
              <w:t>1</w:t>
            </w:r>
          </w:p>
        </w:tc>
      </w:tr>
      <w:tr w:rsidR="00C6520E" w:rsidRPr="003B4AEE" w14:paraId="3CD5D5A7" w14:textId="77777777" w:rsidTr="00F01D91">
        <w:tc>
          <w:tcPr>
            <w:tcW w:w="3865" w:type="dxa"/>
          </w:tcPr>
          <w:p w14:paraId="52AE7F0C" w14:textId="3D2280AD" w:rsidR="00C6520E" w:rsidRPr="003B4AEE" w:rsidRDefault="00C6520E" w:rsidP="00EF1FFC">
            <w:pPr>
              <w:pStyle w:val="Tables"/>
            </w:pPr>
            <w:r w:rsidRPr="003B4AEE">
              <w:t xml:space="preserve">IU </w:t>
            </w:r>
            <w:r w:rsidR="00927F89" w:rsidRPr="003B4AEE">
              <w:t>slug load notification</w:t>
            </w:r>
          </w:p>
        </w:tc>
        <w:tc>
          <w:tcPr>
            <w:tcW w:w="4343" w:type="dxa"/>
          </w:tcPr>
          <w:p w14:paraId="0B4CC754" w14:textId="6FAF330E" w:rsidR="00C6520E" w:rsidRPr="00214F12" w:rsidRDefault="00C6520E" w:rsidP="00EF1FFC">
            <w:pPr>
              <w:pStyle w:val="Tables"/>
            </w:pPr>
            <w:r w:rsidRPr="00214F12">
              <w:t>100 SIUs per year</w:t>
            </w:r>
          </w:p>
        </w:tc>
        <w:tc>
          <w:tcPr>
            <w:tcW w:w="1142" w:type="dxa"/>
          </w:tcPr>
          <w:p w14:paraId="1B879E6F" w14:textId="77777777" w:rsidR="00C6520E" w:rsidRPr="003B4AEE" w:rsidRDefault="00C6520E" w:rsidP="00896C79">
            <w:pPr>
              <w:pStyle w:val="Tables"/>
              <w:ind w:right="144"/>
              <w:jc w:val="center"/>
            </w:pPr>
            <w:r w:rsidRPr="003B4AEE">
              <w:t>2</w:t>
            </w:r>
          </w:p>
        </w:tc>
      </w:tr>
      <w:tr w:rsidR="00C6520E" w:rsidRPr="003B4AEE" w14:paraId="504A1A1B" w14:textId="77777777" w:rsidTr="00F01D91">
        <w:tc>
          <w:tcPr>
            <w:tcW w:w="3865" w:type="dxa"/>
          </w:tcPr>
          <w:p w14:paraId="72722C86" w14:textId="1BB2791D" w:rsidR="00C6520E" w:rsidRPr="003B4AEE" w:rsidRDefault="00C6520E" w:rsidP="00EF1FFC">
            <w:pPr>
              <w:pStyle w:val="Tables"/>
            </w:pPr>
            <w:r w:rsidRPr="003B4AEE">
              <w:t xml:space="preserve">Notification of </w:t>
            </w:r>
            <w:r w:rsidR="00927F89" w:rsidRPr="003B4AEE">
              <w:t>changed discharge</w:t>
            </w:r>
          </w:p>
        </w:tc>
        <w:tc>
          <w:tcPr>
            <w:tcW w:w="4343" w:type="dxa"/>
          </w:tcPr>
          <w:p w14:paraId="21230E1D" w14:textId="77777777" w:rsidR="00C6520E" w:rsidRPr="00214F12" w:rsidRDefault="00C6520E" w:rsidP="00EF1FFC">
            <w:pPr>
              <w:pStyle w:val="Tables"/>
            </w:pPr>
            <w:r w:rsidRPr="00214F12">
              <w:t xml:space="preserve">1,000 SIUs per year </w:t>
            </w:r>
          </w:p>
        </w:tc>
        <w:tc>
          <w:tcPr>
            <w:tcW w:w="1142" w:type="dxa"/>
          </w:tcPr>
          <w:p w14:paraId="58E124B5" w14:textId="77777777" w:rsidR="00C6520E" w:rsidRPr="003B4AEE" w:rsidRDefault="00C6520E" w:rsidP="00896C79">
            <w:pPr>
              <w:pStyle w:val="Tables"/>
              <w:ind w:right="144"/>
              <w:jc w:val="center"/>
            </w:pPr>
            <w:r w:rsidRPr="003B4AEE">
              <w:t>4</w:t>
            </w:r>
          </w:p>
        </w:tc>
      </w:tr>
      <w:tr w:rsidR="00C6520E" w:rsidRPr="003B4AEE" w14:paraId="0A2E0E6B" w14:textId="77777777" w:rsidTr="00F01D91">
        <w:tc>
          <w:tcPr>
            <w:tcW w:w="3865" w:type="dxa"/>
          </w:tcPr>
          <w:p w14:paraId="45D85C4B" w14:textId="28DD0D4D" w:rsidR="00C6520E" w:rsidRPr="003B4AEE" w:rsidRDefault="00C6520E" w:rsidP="00EF1FFC">
            <w:pPr>
              <w:pStyle w:val="Tables"/>
            </w:pPr>
            <w:r w:rsidRPr="003B4AEE">
              <w:t xml:space="preserve">Bypass </w:t>
            </w:r>
            <w:r w:rsidR="00927F89" w:rsidRPr="003B4AEE">
              <w:t>notification</w:t>
            </w:r>
          </w:p>
        </w:tc>
        <w:tc>
          <w:tcPr>
            <w:tcW w:w="4343" w:type="dxa"/>
          </w:tcPr>
          <w:p w14:paraId="185984F6" w14:textId="77777777" w:rsidR="00C6520E" w:rsidRPr="00214F12" w:rsidRDefault="00C6520E" w:rsidP="00EF1FFC">
            <w:pPr>
              <w:pStyle w:val="Tables"/>
            </w:pPr>
            <w:r w:rsidRPr="00214F12">
              <w:t>1,427 SIUs per year</w:t>
            </w:r>
          </w:p>
        </w:tc>
        <w:tc>
          <w:tcPr>
            <w:tcW w:w="1142" w:type="dxa"/>
          </w:tcPr>
          <w:p w14:paraId="3D4E916E" w14:textId="77777777" w:rsidR="00C6520E" w:rsidRPr="003B4AEE" w:rsidRDefault="00C6520E" w:rsidP="00896C79">
            <w:pPr>
              <w:pStyle w:val="Tables"/>
              <w:ind w:right="144"/>
              <w:jc w:val="center"/>
            </w:pPr>
            <w:r w:rsidRPr="003B4AEE">
              <w:t>5 - 7</w:t>
            </w:r>
          </w:p>
        </w:tc>
      </w:tr>
      <w:tr w:rsidR="00C6520E" w:rsidRPr="003B4AEE" w14:paraId="6E877941" w14:textId="77777777" w:rsidTr="00F01D91">
        <w:tc>
          <w:tcPr>
            <w:tcW w:w="3865" w:type="dxa"/>
          </w:tcPr>
          <w:p w14:paraId="23EBD01A" w14:textId="61A4F9E9" w:rsidR="00C6520E" w:rsidRPr="003B4AEE" w:rsidRDefault="00C6520E" w:rsidP="00EF1FFC">
            <w:pPr>
              <w:pStyle w:val="Tables"/>
            </w:pPr>
            <w:r w:rsidRPr="003B4AEE">
              <w:t xml:space="preserve">Notification of </w:t>
            </w:r>
            <w:r w:rsidR="00927F89" w:rsidRPr="003B4AEE">
              <w:t>changed monitoring location</w:t>
            </w:r>
          </w:p>
        </w:tc>
        <w:tc>
          <w:tcPr>
            <w:tcW w:w="4343" w:type="dxa"/>
          </w:tcPr>
          <w:p w14:paraId="289B35E3" w14:textId="77777777" w:rsidR="00C6520E" w:rsidRPr="00214F12" w:rsidRDefault="00C6520E" w:rsidP="00EF1FFC">
            <w:pPr>
              <w:pStyle w:val="Tables"/>
            </w:pPr>
            <w:r w:rsidRPr="00214F12">
              <w:t>50 SIUs per year</w:t>
            </w:r>
          </w:p>
        </w:tc>
        <w:tc>
          <w:tcPr>
            <w:tcW w:w="1142" w:type="dxa"/>
          </w:tcPr>
          <w:p w14:paraId="656F0108" w14:textId="77777777" w:rsidR="00C6520E" w:rsidRPr="003B4AEE" w:rsidRDefault="00C6520E" w:rsidP="00896C79">
            <w:pPr>
              <w:pStyle w:val="Tables"/>
              <w:ind w:right="144"/>
              <w:jc w:val="center"/>
            </w:pPr>
            <w:r w:rsidRPr="003B4AEE">
              <w:t>1</w:t>
            </w:r>
          </w:p>
        </w:tc>
      </w:tr>
      <w:tr w:rsidR="00C6520E" w:rsidRPr="003B4AEE" w14:paraId="22220BE8" w14:textId="77777777" w:rsidTr="00F01D91">
        <w:tc>
          <w:tcPr>
            <w:tcW w:w="3865" w:type="dxa"/>
          </w:tcPr>
          <w:p w14:paraId="5E439B49" w14:textId="5340F570" w:rsidR="00C6520E" w:rsidRPr="003B4AEE" w:rsidRDefault="00C6520E" w:rsidP="00EF1FFC">
            <w:pPr>
              <w:pStyle w:val="Tables"/>
            </w:pPr>
            <w:r w:rsidRPr="003B4AEE">
              <w:t xml:space="preserve">Slug </w:t>
            </w:r>
            <w:r w:rsidR="00927F89" w:rsidRPr="003B4AEE">
              <w:t xml:space="preserve">control </w:t>
            </w:r>
            <w:r w:rsidR="00AC6BF6" w:rsidRPr="003B4AEE">
              <w:t>plan</w:t>
            </w:r>
          </w:p>
        </w:tc>
        <w:tc>
          <w:tcPr>
            <w:tcW w:w="4343" w:type="dxa"/>
          </w:tcPr>
          <w:p w14:paraId="62A93647" w14:textId="7E14AADE" w:rsidR="00C6520E" w:rsidRPr="00214F12" w:rsidRDefault="00C6520E" w:rsidP="00EF1FFC">
            <w:pPr>
              <w:pStyle w:val="Tables"/>
            </w:pPr>
            <w:r w:rsidRPr="00214F12">
              <w:t xml:space="preserve">10 percent of all new CIUs and 5 percent of new </w:t>
            </w:r>
            <w:r w:rsidR="00F60221" w:rsidRPr="00214F12">
              <w:t>non</w:t>
            </w:r>
            <w:r w:rsidRPr="00214F12">
              <w:t>-categorical SIUs per year</w:t>
            </w:r>
          </w:p>
        </w:tc>
        <w:tc>
          <w:tcPr>
            <w:tcW w:w="1142" w:type="dxa"/>
          </w:tcPr>
          <w:p w14:paraId="10943E2D" w14:textId="77777777" w:rsidR="00C6520E" w:rsidRPr="003B4AEE" w:rsidRDefault="00C6520E" w:rsidP="00896C79">
            <w:pPr>
              <w:pStyle w:val="Tables"/>
              <w:ind w:right="144"/>
              <w:jc w:val="center"/>
            </w:pPr>
            <w:r w:rsidRPr="003B4AEE">
              <w:t>2</w:t>
            </w:r>
          </w:p>
        </w:tc>
      </w:tr>
      <w:tr w:rsidR="00C6520E" w:rsidRPr="003B4AEE" w14:paraId="4506FDDA" w14:textId="77777777" w:rsidTr="00F01D91">
        <w:tc>
          <w:tcPr>
            <w:tcW w:w="3865" w:type="dxa"/>
          </w:tcPr>
          <w:p w14:paraId="0F2F88AB" w14:textId="67A78CB2" w:rsidR="00C6520E" w:rsidRPr="003B4AEE" w:rsidRDefault="00C6520E" w:rsidP="00EF1FFC">
            <w:pPr>
              <w:pStyle w:val="Tables"/>
            </w:pPr>
            <w:r w:rsidRPr="003B4AEE">
              <w:t xml:space="preserve">Alternative </w:t>
            </w:r>
            <w:r w:rsidR="00927F89" w:rsidRPr="003B4AEE">
              <w:t>limits modification request</w:t>
            </w:r>
          </w:p>
        </w:tc>
        <w:tc>
          <w:tcPr>
            <w:tcW w:w="4343" w:type="dxa"/>
          </w:tcPr>
          <w:p w14:paraId="2D9AC33E" w14:textId="77777777" w:rsidR="00C6520E" w:rsidRPr="003B4AEE" w:rsidRDefault="00C6520E" w:rsidP="00EF1FFC">
            <w:pPr>
              <w:pStyle w:val="Tables"/>
            </w:pPr>
            <w:r w:rsidRPr="003B4AEE">
              <w:t>10 percent of all new CIUs</w:t>
            </w:r>
          </w:p>
        </w:tc>
        <w:tc>
          <w:tcPr>
            <w:tcW w:w="1142" w:type="dxa"/>
          </w:tcPr>
          <w:p w14:paraId="2540E111" w14:textId="77777777" w:rsidR="00C6520E" w:rsidRPr="003B4AEE" w:rsidRDefault="00C6520E" w:rsidP="00896C79">
            <w:pPr>
              <w:pStyle w:val="Tables"/>
              <w:ind w:right="144"/>
              <w:jc w:val="center"/>
            </w:pPr>
            <w:r w:rsidRPr="003B4AEE">
              <w:t>2</w:t>
            </w:r>
          </w:p>
        </w:tc>
      </w:tr>
      <w:tr w:rsidR="00C6520E" w:rsidRPr="003B4AEE" w14:paraId="451D39F1" w14:textId="77777777" w:rsidTr="00F01D91">
        <w:tc>
          <w:tcPr>
            <w:tcW w:w="3865" w:type="dxa"/>
          </w:tcPr>
          <w:p w14:paraId="38456245" w14:textId="5610D3D3" w:rsidR="00C6520E" w:rsidRPr="003B4AEE" w:rsidRDefault="00C6520E" w:rsidP="00EF1FFC">
            <w:pPr>
              <w:pStyle w:val="Tables"/>
            </w:pPr>
            <w:r w:rsidRPr="003B4AEE">
              <w:t>Net/</w:t>
            </w:r>
            <w:r w:rsidR="00927F89" w:rsidRPr="003B4AEE">
              <w:t xml:space="preserve">gross adjustment </w:t>
            </w:r>
            <w:r w:rsidR="002F0421" w:rsidRPr="003B4AEE">
              <w:t>r</w:t>
            </w:r>
            <w:r w:rsidRPr="003B4AEE">
              <w:t>equest</w:t>
            </w:r>
          </w:p>
        </w:tc>
        <w:tc>
          <w:tcPr>
            <w:tcW w:w="4343" w:type="dxa"/>
          </w:tcPr>
          <w:p w14:paraId="58D7D53F" w14:textId="5E9B3658" w:rsidR="00C6520E" w:rsidRPr="003B4AEE" w:rsidRDefault="002F0421" w:rsidP="00EF1FFC">
            <w:pPr>
              <w:pStyle w:val="Tables"/>
            </w:pPr>
            <w:r w:rsidRPr="003B4AEE">
              <w:t xml:space="preserve">2 </w:t>
            </w:r>
            <w:r w:rsidR="00C6520E" w:rsidRPr="003B4AEE">
              <w:t>per year</w:t>
            </w:r>
          </w:p>
        </w:tc>
        <w:tc>
          <w:tcPr>
            <w:tcW w:w="1142" w:type="dxa"/>
          </w:tcPr>
          <w:p w14:paraId="6B1CA61B" w14:textId="77777777" w:rsidR="00C6520E" w:rsidRPr="003B4AEE" w:rsidRDefault="00C6520E" w:rsidP="00896C79">
            <w:pPr>
              <w:pStyle w:val="Tables"/>
              <w:ind w:right="144"/>
              <w:jc w:val="center"/>
            </w:pPr>
            <w:r w:rsidRPr="003B4AEE">
              <w:t>50</w:t>
            </w:r>
          </w:p>
        </w:tc>
      </w:tr>
      <w:tr w:rsidR="00E06EE5" w:rsidRPr="003B4AEE" w14:paraId="13D58B20" w14:textId="77777777" w:rsidTr="006630F2">
        <w:tc>
          <w:tcPr>
            <w:tcW w:w="3865" w:type="dxa"/>
          </w:tcPr>
          <w:p w14:paraId="14114F1E" w14:textId="7AA38E1A" w:rsidR="00E06EE5" w:rsidRPr="003B4AEE" w:rsidRDefault="007375B8" w:rsidP="00EF1FFC">
            <w:pPr>
              <w:pStyle w:val="Tables"/>
            </w:pPr>
            <w:r w:rsidRPr="003B4AEE">
              <w:t>Dental office one-time compliance report</w:t>
            </w:r>
          </w:p>
        </w:tc>
        <w:tc>
          <w:tcPr>
            <w:tcW w:w="4343" w:type="dxa"/>
          </w:tcPr>
          <w:p w14:paraId="7714EAFE" w14:textId="0823A7CC" w:rsidR="00E06EE5" w:rsidRPr="003B4AEE" w:rsidRDefault="00EB30D3" w:rsidP="00EF1FFC">
            <w:pPr>
              <w:pStyle w:val="Tables"/>
            </w:pPr>
            <w:r w:rsidRPr="003B4AEE">
              <w:t xml:space="preserve">Once per </w:t>
            </w:r>
            <w:r w:rsidR="007375B8" w:rsidRPr="003B4AEE">
              <w:t xml:space="preserve">new office and office </w:t>
            </w:r>
            <w:r w:rsidR="005429EB" w:rsidRPr="003B4AEE">
              <w:t>transferring</w:t>
            </w:r>
            <w:r w:rsidR="007375B8" w:rsidRPr="003B4AEE">
              <w:t xml:space="preserve"> ownership</w:t>
            </w:r>
          </w:p>
        </w:tc>
        <w:tc>
          <w:tcPr>
            <w:tcW w:w="1142" w:type="dxa"/>
          </w:tcPr>
          <w:p w14:paraId="7887FBD8" w14:textId="6C5AD034" w:rsidR="00E06EE5" w:rsidRPr="003B4AEE" w:rsidRDefault="00D36A8B" w:rsidP="00896C79">
            <w:pPr>
              <w:pStyle w:val="Tables"/>
              <w:ind w:right="144"/>
              <w:jc w:val="center"/>
            </w:pPr>
            <w:r w:rsidRPr="003B4AEE">
              <w:t>1.</w:t>
            </w:r>
            <w:r w:rsidR="006306F0" w:rsidRPr="003B4AEE">
              <w:t>27</w:t>
            </w:r>
          </w:p>
        </w:tc>
      </w:tr>
    </w:tbl>
    <w:p w14:paraId="1B88C955" w14:textId="73B3EBE2" w:rsidR="003E5304" w:rsidRPr="003B4AEE" w:rsidRDefault="004F230D" w:rsidP="00EF1FFC">
      <w:pPr>
        <w:pStyle w:val="Tablenote"/>
        <w:ind w:left="180" w:hanging="180"/>
      </w:pPr>
      <w:proofErr w:type="spellStart"/>
      <w:r w:rsidRPr="003B4AEE">
        <w:rPr>
          <w:vertAlign w:val="superscript"/>
        </w:rPr>
        <w:lastRenderedPageBreak/>
        <w:t>a</w:t>
      </w:r>
      <w:proofErr w:type="spellEnd"/>
      <w:r w:rsidRPr="003B4AEE">
        <w:rPr>
          <w:vertAlign w:val="superscript"/>
        </w:rPr>
        <w:t xml:space="preserve"> </w:t>
      </w:r>
      <w:r w:rsidR="00EF1FFC" w:rsidRPr="003B4AEE">
        <w:rPr>
          <w:vertAlign w:val="superscript"/>
        </w:rPr>
        <w:tab/>
      </w:r>
      <w:r w:rsidR="003E5304" w:rsidRPr="003B4AEE">
        <w:t>These assumptions are carried forward from the Pretreatment Streamlining ICR.</w:t>
      </w:r>
    </w:p>
    <w:p w14:paraId="0D44AE31" w14:textId="159A3560" w:rsidR="00C6520E" w:rsidRPr="003B4AEE" w:rsidRDefault="004F230D" w:rsidP="00EF1FFC">
      <w:pPr>
        <w:pStyle w:val="Tablenote"/>
        <w:ind w:left="180" w:hanging="180"/>
      </w:pPr>
      <w:r w:rsidRPr="003B4AEE">
        <w:rPr>
          <w:vertAlign w:val="superscript"/>
        </w:rPr>
        <w:t xml:space="preserve">b </w:t>
      </w:r>
      <w:r w:rsidR="00EF1FFC" w:rsidRPr="003B4AEE">
        <w:rPr>
          <w:vertAlign w:val="superscript"/>
        </w:rPr>
        <w:tab/>
      </w:r>
      <w:r w:rsidR="003E5304" w:rsidRPr="003B4AEE">
        <w:t>Industrial categories include but are not limited to, Electroplating and Metal Finishing; Electrical and Electrical Components; Steam Electric Power Generating; Pulp, Paper, and Paperboard; Centralized Waste Treatment; Pharmaceutical Manufacturing; Pesticide Chemicals; Aluminum Forming.</w:t>
      </w:r>
    </w:p>
    <w:p w14:paraId="27B068AC" w14:textId="77777777" w:rsidR="00D11C94" w:rsidRPr="003B4AEE" w:rsidRDefault="00D11C94" w:rsidP="00D11C94">
      <w:pPr>
        <w:spacing w:after="0"/>
      </w:pPr>
    </w:p>
    <w:p w14:paraId="393394FE" w14:textId="1183069D" w:rsidR="00A24675" w:rsidRPr="003B4AEE" w:rsidRDefault="00A24675" w:rsidP="00AC1A9B">
      <w:pPr>
        <w:pStyle w:val="BodyText"/>
      </w:pPr>
      <w:r w:rsidRPr="003B4AEE">
        <w:rPr>
          <w:i/>
        </w:rPr>
        <w:t>POTWs.</w:t>
      </w:r>
      <w:r w:rsidR="00D629CD" w:rsidRPr="003B4AEE">
        <w:t xml:space="preserve"> The underlying assumptions regarding burden estimates for POTWs are summarized in Table A</w:t>
      </w:r>
      <w:r w:rsidR="00EC279B" w:rsidRPr="003B4AEE">
        <w:t>-</w:t>
      </w:r>
      <w:r w:rsidR="00D629CD" w:rsidRPr="003B4AEE">
        <w:t>2</w:t>
      </w:r>
      <w:r w:rsidR="002F0421" w:rsidRPr="003B4AEE">
        <w:t>.</w:t>
      </w:r>
    </w:p>
    <w:p w14:paraId="1EDB46E6" w14:textId="471A5D78" w:rsidR="00C6520E" w:rsidRPr="003B4AEE" w:rsidRDefault="00352E6F" w:rsidP="00AF6693">
      <w:pPr>
        <w:pStyle w:val="TableTitleAppendix"/>
      </w:pPr>
      <w:bookmarkStart w:id="329" w:name="_Toc61521413"/>
      <w:r w:rsidRPr="003B4AEE">
        <w:t xml:space="preserve">Table </w:t>
      </w:r>
      <w:r w:rsidR="007A3DD9" w:rsidRPr="003B4AEE">
        <w:t>A-2</w:t>
      </w:r>
      <w:r w:rsidR="00EC279B" w:rsidRPr="003B4AEE">
        <w:t>.</w:t>
      </w:r>
      <w:r w:rsidR="00C6520E" w:rsidRPr="003B4AEE">
        <w:t xml:space="preserve"> Summary of </w:t>
      </w:r>
      <w:r w:rsidR="00E02336" w:rsidRPr="003B4AEE">
        <w:t>B</w:t>
      </w:r>
      <w:r w:rsidR="00F60221" w:rsidRPr="003B4AEE">
        <w:t xml:space="preserve">urden </w:t>
      </w:r>
      <w:r w:rsidR="00E02336" w:rsidRPr="003B4AEE">
        <w:t>A</w:t>
      </w:r>
      <w:r w:rsidR="00F60221" w:rsidRPr="003B4AEE">
        <w:t xml:space="preserve">ssumptions </w:t>
      </w:r>
      <w:r w:rsidR="00E02336" w:rsidRPr="003B4AEE">
        <w:t>R</w:t>
      </w:r>
      <w:r w:rsidR="00F60221" w:rsidRPr="003B4AEE">
        <w:t xml:space="preserve">elated </w:t>
      </w:r>
      <w:r w:rsidR="00C6520E" w:rsidRPr="003B4AEE">
        <w:t>to POTWs</w:t>
      </w:r>
      <w:bookmarkEnd w:id="329"/>
    </w:p>
    <w:tbl>
      <w:tblPr>
        <w:tblStyle w:val="TableGrid"/>
        <w:tblW w:w="0" w:type="auto"/>
        <w:tblLook w:val="04A0" w:firstRow="1" w:lastRow="0" w:firstColumn="1" w:lastColumn="0" w:noHBand="0" w:noVBand="1"/>
      </w:tblPr>
      <w:tblGrid>
        <w:gridCol w:w="4315"/>
        <w:gridCol w:w="3690"/>
        <w:gridCol w:w="1345"/>
      </w:tblGrid>
      <w:tr w:rsidR="00C6520E" w:rsidRPr="003B4AEE" w14:paraId="6E174356" w14:textId="77777777" w:rsidTr="00AC1A9B">
        <w:trPr>
          <w:tblHeader/>
        </w:trPr>
        <w:tc>
          <w:tcPr>
            <w:tcW w:w="4315" w:type="dxa"/>
            <w:shd w:val="clear" w:color="auto" w:fill="D9D9D9" w:themeFill="background1" w:themeFillShade="D9"/>
            <w:vAlign w:val="bottom"/>
          </w:tcPr>
          <w:p w14:paraId="5D3BA8C4" w14:textId="7F710281" w:rsidR="00C6520E" w:rsidRPr="003B4AEE" w:rsidRDefault="00C6520E" w:rsidP="00AC1A9B">
            <w:pPr>
              <w:pStyle w:val="TableHeading"/>
            </w:pPr>
            <w:r w:rsidRPr="003B4AEE">
              <w:t xml:space="preserve">POTW </w:t>
            </w:r>
            <w:r w:rsidR="00E02336" w:rsidRPr="003B4AEE">
              <w:t>A</w:t>
            </w:r>
            <w:r w:rsidR="00F60221" w:rsidRPr="003B4AEE">
              <w:t>ctivity</w:t>
            </w:r>
          </w:p>
        </w:tc>
        <w:tc>
          <w:tcPr>
            <w:tcW w:w="3690" w:type="dxa"/>
            <w:shd w:val="clear" w:color="auto" w:fill="D9D9D9" w:themeFill="background1" w:themeFillShade="D9"/>
            <w:vAlign w:val="bottom"/>
          </w:tcPr>
          <w:p w14:paraId="54C63E6B" w14:textId="77777777" w:rsidR="00C6520E" w:rsidRPr="003B4AEE" w:rsidRDefault="00C6520E" w:rsidP="00AC1A9B">
            <w:pPr>
              <w:pStyle w:val="TableHeading"/>
            </w:pPr>
            <w:r w:rsidRPr="003B4AEE">
              <w:t>Frequency</w:t>
            </w:r>
          </w:p>
        </w:tc>
        <w:tc>
          <w:tcPr>
            <w:tcW w:w="1345" w:type="dxa"/>
            <w:shd w:val="clear" w:color="auto" w:fill="D9D9D9" w:themeFill="background1" w:themeFillShade="D9"/>
            <w:vAlign w:val="bottom"/>
          </w:tcPr>
          <w:p w14:paraId="54557932" w14:textId="77777777" w:rsidR="00C6520E" w:rsidRPr="003B4AEE" w:rsidRDefault="00C6520E" w:rsidP="00896C79">
            <w:pPr>
              <w:pStyle w:val="TableHeading"/>
            </w:pPr>
            <w:r w:rsidRPr="003B4AEE">
              <w:t>Burden (hours)</w:t>
            </w:r>
          </w:p>
        </w:tc>
      </w:tr>
      <w:tr w:rsidR="00C6520E" w:rsidRPr="003B4AEE" w14:paraId="312F76CE" w14:textId="77777777" w:rsidTr="004B201E">
        <w:tc>
          <w:tcPr>
            <w:tcW w:w="4315" w:type="dxa"/>
          </w:tcPr>
          <w:p w14:paraId="0D7F21B9" w14:textId="5F1BF09A" w:rsidR="00C6520E" w:rsidRPr="003B4AEE" w:rsidRDefault="00C6520E" w:rsidP="00EF1FFC">
            <w:pPr>
              <w:pStyle w:val="Tables"/>
            </w:pPr>
            <w:r w:rsidRPr="003B4AEE">
              <w:t xml:space="preserve">POTW </w:t>
            </w:r>
            <w:r w:rsidR="00F60221" w:rsidRPr="003B4AEE">
              <w:t>pretreatment program approval request</w:t>
            </w:r>
          </w:p>
        </w:tc>
        <w:tc>
          <w:tcPr>
            <w:tcW w:w="3690" w:type="dxa"/>
          </w:tcPr>
          <w:p w14:paraId="613D63D6" w14:textId="11AAB002" w:rsidR="00C6520E" w:rsidRPr="003B4AEE" w:rsidRDefault="00C6520E" w:rsidP="00EF1FFC">
            <w:pPr>
              <w:pStyle w:val="Tables"/>
            </w:pPr>
            <w:r w:rsidRPr="003B4AEE">
              <w:t>Once per request. See Appendix D</w:t>
            </w:r>
            <w:r w:rsidR="002F0421" w:rsidRPr="003B4AEE">
              <w:t>.</w:t>
            </w:r>
          </w:p>
        </w:tc>
        <w:tc>
          <w:tcPr>
            <w:tcW w:w="1345" w:type="dxa"/>
          </w:tcPr>
          <w:p w14:paraId="0B2BFA56" w14:textId="77777777" w:rsidR="00C6520E" w:rsidRPr="003B4AEE" w:rsidRDefault="00C6520E" w:rsidP="00896C79">
            <w:pPr>
              <w:pStyle w:val="Tables"/>
              <w:jc w:val="center"/>
            </w:pPr>
            <w:r w:rsidRPr="003B4AEE">
              <w:t>250</w:t>
            </w:r>
          </w:p>
        </w:tc>
      </w:tr>
      <w:tr w:rsidR="00C6520E" w:rsidRPr="003B4AEE" w14:paraId="6C48FE49" w14:textId="77777777" w:rsidTr="004B201E">
        <w:tc>
          <w:tcPr>
            <w:tcW w:w="4315" w:type="dxa"/>
          </w:tcPr>
          <w:p w14:paraId="04ED9435" w14:textId="44FE4DF1" w:rsidR="00C6520E" w:rsidRPr="003B4AEE" w:rsidRDefault="00C6520E" w:rsidP="00EF1FFC">
            <w:pPr>
              <w:pStyle w:val="Tables"/>
            </w:pPr>
            <w:r w:rsidRPr="003B4AEE">
              <w:t xml:space="preserve">POTW </w:t>
            </w:r>
            <w:r w:rsidR="00F60221" w:rsidRPr="003B4AEE">
              <w:t>pretreatment compliance schedule progress report</w:t>
            </w:r>
          </w:p>
        </w:tc>
        <w:tc>
          <w:tcPr>
            <w:tcW w:w="3690" w:type="dxa"/>
          </w:tcPr>
          <w:p w14:paraId="295B60CA" w14:textId="64B24233" w:rsidR="00C6520E" w:rsidRPr="003B4AEE" w:rsidRDefault="00C6520E" w:rsidP="00EF1FFC">
            <w:pPr>
              <w:pStyle w:val="Tables"/>
            </w:pPr>
            <w:r w:rsidRPr="003B4AEE">
              <w:t>46 per year</w:t>
            </w:r>
          </w:p>
        </w:tc>
        <w:tc>
          <w:tcPr>
            <w:tcW w:w="1345" w:type="dxa"/>
          </w:tcPr>
          <w:p w14:paraId="319CED51" w14:textId="77777777" w:rsidR="00C6520E" w:rsidRPr="003B4AEE" w:rsidRDefault="00C6520E" w:rsidP="00896C79">
            <w:pPr>
              <w:pStyle w:val="Tables"/>
              <w:jc w:val="center"/>
            </w:pPr>
            <w:r w:rsidRPr="003B4AEE">
              <w:t>5</w:t>
            </w:r>
          </w:p>
        </w:tc>
      </w:tr>
      <w:tr w:rsidR="00C6520E" w:rsidRPr="003B4AEE" w14:paraId="4DF475EA" w14:textId="77777777" w:rsidTr="004B201E">
        <w:tc>
          <w:tcPr>
            <w:tcW w:w="4315" w:type="dxa"/>
          </w:tcPr>
          <w:p w14:paraId="475029C2" w14:textId="24C83D80" w:rsidR="00C6520E" w:rsidRPr="003B4AEE" w:rsidRDefault="00C6520E" w:rsidP="00EF1FFC">
            <w:pPr>
              <w:pStyle w:val="Tables"/>
            </w:pPr>
            <w:r w:rsidRPr="003B4AEE">
              <w:t xml:space="preserve">Annual POTW </w:t>
            </w:r>
            <w:r w:rsidR="00F60221" w:rsidRPr="003B4AEE">
              <w:t>report</w:t>
            </w:r>
          </w:p>
        </w:tc>
        <w:tc>
          <w:tcPr>
            <w:tcW w:w="3690" w:type="dxa"/>
          </w:tcPr>
          <w:p w14:paraId="695EDF66" w14:textId="68E17BCB" w:rsidR="00C6520E" w:rsidRPr="003B4AEE" w:rsidRDefault="00C6520E" w:rsidP="00EF1FFC">
            <w:pPr>
              <w:pStyle w:val="Tables"/>
            </w:pPr>
            <w:r w:rsidRPr="003B4AEE">
              <w:t xml:space="preserve">One per year for each </w:t>
            </w:r>
            <w:r w:rsidR="00A60B49" w:rsidRPr="003B4AEE">
              <w:t>POTW</w:t>
            </w:r>
            <w:r w:rsidR="00A50D77">
              <w:t xml:space="preserve"> with an approved pretreatment program</w:t>
            </w:r>
          </w:p>
        </w:tc>
        <w:tc>
          <w:tcPr>
            <w:tcW w:w="1345" w:type="dxa"/>
          </w:tcPr>
          <w:p w14:paraId="77AD49C8" w14:textId="77777777" w:rsidR="00C6520E" w:rsidRPr="003B4AEE" w:rsidRDefault="00C6520E" w:rsidP="00896C79">
            <w:pPr>
              <w:pStyle w:val="Tables"/>
              <w:jc w:val="center"/>
            </w:pPr>
            <w:r w:rsidRPr="003B4AEE">
              <w:t>40</w:t>
            </w:r>
          </w:p>
        </w:tc>
      </w:tr>
      <w:tr w:rsidR="00C6520E" w:rsidRPr="003B4AEE" w14:paraId="31C5B666" w14:textId="77777777" w:rsidTr="004B201E">
        <w:tc>
          <w:tcPr>
            <w:tcW w:w="4315" w:type="dxa"/>
          </w:tcPr>
          <w:p w14:paraId="365C8061" w14:textId="0C7B9830" w:rsidR="00C6520E" w:rsidRPr="003B4AEE" w:rsidRDefault="00C6520E" w:rsidP="00EF1FFC">
            <w:pPr>
              <w:pStyle w:val="Tables"/>
            </w:pPr>
            <w:r w:rsidRPr="003B4AEE">
              <w:t xml:space="preserve">Issuance of </w:t>
            </w:r>
            <w:r w:rsidR="00F60221" w:rsidRPr="003B4AEE">
              <w:t xml:space="preserve">discharge permits </w:t>
            </w:r>
            <w:r w:rsidRPr="003B4AEE">
              <w:t xml:space="preserve">or </w:t>
            </w:r>
            <w:r w:rsidR="00F60221" w:rsidRPr="003B4AEE">
              <w:t xml:space="preserve">other control mechanisms </w:t>
            </w:r>
            <w:r w:rsidRPr="003B4AEE">
              <w:t>for SIUs</w:t>
            </w:r>
          </w:p>
        </w:tc>
        <w:tc>
          <w:tcPr>
            <w:tcW w:w="3690" w:type="dxa"/>
          </w:tcPr>
          <w:p w14:paraId="15B5D212" w14:textId="307F2E38" w:rsidR="00C6520E" w:rsidRPr="003B4AEE" w:rsidRDefault="00C6520E" w:rsidP="00EF1FFC">
            <w:pPr>
              <w:pStyle w:val="Tables"/>
            </w:pPr>
            <w:r w:rsidRPr="003B4AEE">
              <w:t>Once every 5 years for each POTW</w:t>
            </w:r>
            <w:r w:rsidR="00FA0CDC">
              <w:t xml:space="preserve"> (with an approved pretreatment program)</w:t>
            </w:r>
            <w:r w:rsidR="004E01E6" w:rsidRPr="003B4AEE">
              <w:t>-</w:t>
            </w:r>
            <w:r w:rsidRPr="003B4AEE">
              <w:t>regulated IU</w:t>
            </w:r>
          </w:p>
        </w:tc>
        <w:tc>
          <w:tcPr>
            <w:tcW w:w="1345" w:type="dxa"/>
          </w:tcPr>
          <w:p w14:paraId="7B48C54B" w14:textId="77777777" w:rsidR="00C6520E" w:rsidRPr="003B4AEE" w:rsidRDefault="00C6520E" w:rsidP="00896C79">
            <w:pPr>
              <w:pStyle w:val="Tables"/>
              <w:jc w:val="center"/>
            </w:pPr>
            <w:r w:rsidRPr="003B4AEE">
              <w:t>20</w:t>
            </w:r>
          </w:p>
        </w:tc>
      </w:tr>
      <w:tr w:rsidR="00C6520E" w:rsidRPr="003B4AEE" w14:paraId="5FACB29E" w14:textId="77777777" w:rsidTr="004B201E">
        <w:tc>
          <w:tcPr>
            <w:tcW w:w="4315" w:type="dxa"/>
          </w:tcPr>
          <w:p w14:paraId="08F32D1E" w14:textId="59E5CA48" w:rsidR="00C6520E" w:rsidRPr="003B4AEE" w:rsidRDefault="00C6520E" w:rsidP="00EF1FFC">
            <w:pPr>
              <w:pStyle w:val="Tables"/>
            </w:pPr>
            <w:r w:rsidRPr="003B4AEE">
              <w:t xml:space="preserve">Inspection and </w:t>
            </w:r>
            <w:r w:rsidR="00F60221" w:rsidRPr="003B4AEE">
              <w:t xml:space="preserve">sampling </w:t>
            </w:r>
            <w:r w:rsidRPr="003B4AEE">
              <w:t>of CIU and SIUs</w:t>
            </w:r>
          </w:p>
        </w:tc>
        <w:tc>
          <w:tcPr>
            <w:tcW w:w="3690" w:type="dxa"/>
          </w:tcPr>
          <w:p w14:paraId="74168501" w14:textId="25A28076" w:rsidR="00C6520E" w:rsidRPr="003B4AEE" w:rsidRDefault="00C6520E" w:rsidP="00EF1FFC">
            <w:pPr>
              <w:pStyle w:val="Tables"/>
            </w:pPr>
            <w:r w:rsidRPr="003B4AEE">
              <w:t>One per year for SIUs; one per 2 year</w:t>
            </w:r>
            <w:r w:rsidR="004E01E6" w:rsidRPr="003B4AEE">
              <w:t>s</w:t>
            </w:r>
            <w:r w:rsidRPr="003B4AEE">
              <w:t xml:space="preserve"> for </w:t>
            </w:r>
            <w:r w:rsidR="00A60B49" w:rsidRPr="003B4AEE">
              <w:t>CIUs</w:t>
            </w:r>
          </w:p>
        </w:tc>
        <w:tc>
          <w:tcPr>
            <w:tcW w:w="1345" w:type="dxa"/>
          </w:tcPr>
          <w:p w14:paraId="1EF95E8B" w14:textId="77777777" w:rsidR="00C6520E" w:rsidRPr="003B4AEE" w:rsidRDefault="00C6520E" w:rsidP="00896C79">
            <w:pPr>
              <w:pStyle w:val="Tables"/>
              <w:jc w:val="center"/>
            </w:pPr>
            <w:r w:rsidRPr="003B4AEE">
              <w:t>8</w:t>
            </w:r>
          </w:p>
        </w:tc>
      </w:tr>
      <w:tr w:rsidR="00C6520E" w:rsidRPr="003B4AEE" w14:paraId="64E48EBB" w14:textId="77777777" w:rsidTr="004B201E">
        <w:tc>
          <w:tcPr>
            <w:tcW w:w="4315" w:type="dxa"/>
          </w:tcPr>
          <w:p w14:paraId="7F4D331B" w14:textId="4254AA48" w:rsidR="00C6520E" w:rsidRPr="003B4AEE" w:rsidRDefault="00C6520E" w:rsidP="00EF1FFC">
            <w:pPr>
              <w:pStyle w:val="Tables"/>
            </w:pPr>
            <w:r w:rsidRPr="003B4AEE">
              <w:t xml:space="preserve">CIU and SIU </w:t>
            </w:r>
            <w:r w:rsidR="00F60221" w:rsidRPr="003B4AEE">
              <w:t>effluent analysis</w:t>
            </w:r>
          </w:p>
        </w:tc>
        <w:tc>
          <w:tcPr>
            <w:tcW w:w="3690" w:type="dxa"/>
          </w:tcPr>
          <w:p w14:paraId="4FAE9F99" w14:textId="6626F1DA" w:rsidR="00C6520E" w:rsidRPr="003B4AEE" w:rsidRDefault="004E01E6" w:rsidP="00EF1FFC">
            <w:pPr>
              <w:pStyle w:val="Tables"/>
            </w:pPr>
            <w:r w:rsidRPr="003B4AEE">
              <w:t xml:space="preserve">One per year for SIUs; one per 2 years for </w:t>
            </w:r>
            <w:r w:rsidR="00A60B49" w:rsidRPr="003B4AEE">
              <w:t>CIUs</w:t>
            </w:r>
          </w:p>
        </w:tc>
        <w:tc>
          <w:tcPr>
            <w:tcW w:w="1345" w:type="dxa"/>
          </w:tcPr>
          <w:p w14:paraId="792D961B" w14:textId="77777777" w:rsidR="00C6520E" w:rsidRPr="003B4AEE" w:rsidRDefault="00C6520E" w:rsidP="00896C79">
            <w:pPr>
              <w:pStyle w:val="Tables"/>
              <w:jc w:val="center"/>
            </w:pPr>
            <w:r w:rsidRPr="003B4AEE">
              <w:t>15.2</w:t>
            </w:r>
          </w:p>
        </w:tc>
      </w:tr>
      <w:tr w:rsidR="00C6520E" w:rsidRPr="003B4AEE" w14:paraId="247DD0E0" w14:textId="77777777" w:rsidTr="004B201E">
        <w:tc>
          <w:tcPr>
            <w:tcW w:w="4315" w:type="dxa"/>
          </w:tcPr>
          <w:p w14:paraId="2F447EC4" w14:textId="1745B9FD" w:rsidR="00C6520E" w:rsidRPr="003B4AEE" w:rsidRDefault="00C6520E" w:rsidP="00EF1FFC">
            <w:pPr>
              <w:pStyle w:val="Tables"/>
            </w:pPr>
            <w:r w:rsidRPr="003B4AEE">
              <w:t xml:space="preserve">Establish </w:t>
            </w:r>
            <w:r w:rsidR="00F60221" w:rsidRPr="003B4AEE">
              <w:t>mass limits</w:t>
            </w:r>
          </w:p>
        </w:tc>
        <w:tc>
          <w:tcPr>
            <w:tcW w:w="3690" w:type="dxa"/>
          </w:tcPr>
          <w:p w14:paraId="71BFEF14" w14:textId="77777777" w:rsidR="00C6520E" w:rsidRPr="003B4AEE" w:rsidRDefault="00C6520E" w:rsidP="00EF1FFC">
            <w:pPr>
              <w:pStyle w:val="Tables"/>
            </w:pPr>
            <w:r w:rsidRPr="003B4AEE">
              <w:t>One percent of estimated 12,000 facilities in 14 industrial categories with pretreatment standards</w:t>
            </w:r>
          </w:p>
        </w:tc>
        <w:tc>
          <w:tcPr>
            <w:tcW w:w="1345" w:type="dxa"/>
          </w:tcPr>
          <w:p w14:paraId="6B43D636" w14:textId="77777777" w:rsidR="00C6520E" w:rsidRPr="003B4AEE" w:rsidRDefault="00C6520E" w:rsidP="00896C79">
            <w:pPr>
              <w:pStyle w:val="Tables"/>
              <w:jc w:val="center"/>
            </w:pPr>
            <w:r w:rsidRPr="003B4AEE">
              <w:t>8</w:t>
            </w:r>
          </w:p>
        </w:tc>
      </w:tr>
      <w:tr w:rsidR="00C6520E" w:rsidRPr="003B4AEE" w14:paraId="2D2C26FE" w14:textId="77777777" w:rsidTr="004B201E">
        <w:tc>
          <w:tcPr>
            <w:tcW w:w="4315" w:type="dxa"/>
          </w:tcPr>
          <w:p w14:paraId="09C2F393" w14:textId="307D1706" w:rsidR="00C6520E" w:rsidRPr="003B4AEE" w:rsidRDefault="00C6520E" w:rsidP="00EF1FFC">
            <w:pPr>
              <w:pStyle w:val="Tables"/>
            </w:pPr>
            <w:r w:rsidRPr="003B4AEE">
              <w:t xml:space="preserve">Establish </w:t>
            </w:r>
            <w:r w:rsidR="00F60221" w:rsidRPr="003B4AEE">
              <w:t>equivalent concentration limits</w:t>
            </w:r>
          </w:p>
        </w:tc>
        <w:tc>
          <w:tcPr>
            <w:tcW w:w="3690" w:type="dxa"/>
          </w:tcPr>
          <w:p w14:paraId="17070BD9" w14:textId="7AC67574" w:rsidR="00C6520E" w:rsidRPr="003B4AEE" w:rsidRDefault="002F0421" w:rsidP="00EF1FFC">
            <w:pPr>
              <w:pStyle w:val="Tables"/>
            </w:pPr>
            <w:r w:rsidRPr="003B4AEE">
              <w:t xml:space="preserve">4 </w:t>
            </w:r>
            <w:r w:rsidR="00C6520E" w:rsidRPr="003B4AEE">
              <w:t>percent of estimated 420 CIUs in categories eligible for concentration-based limits</w:t>
            </w:r>
          </w:p>
        </w:tc>
        <w:tc>
          <w:tcPr>
            <w:tcW w:w="1345" w:type="dxa"/>
          </w:tcPr>
          <w:p w14:paraId="045E3537" w14:textId="77777777" w:rsidR="00C6520E" w:rsidRPr="003B4AEE" w:rsidRDefault="00C6520E" w:rsidP="00896C79">
            <w:pPr>
              <w:pStyle w:val="Tables"/>
              <w:jc w:val="center"/>
            </w:pPr>
            <w:r w:rsidRPr="003B4AEE">
              <w:t>8</w:t>
            </w:r>
          </w:p>
        </w:tc>
      </w:tr>
      <w:tr w:rsidR="00C6520E" w:rsidRPr="003B4AEE" w14:paraId="54B5DBD6" w14:textId="77777777" w:rsidTr="004B201E">
        <w:tc>
          <w:tcPr>
            <w:tcW w:w="4315" w:type="dxa"/>
          </w:tcPr>
          <w:p w14:paraId="11E0B7F7" w14:textId="233F50C7" w:rsidR="00C6520E" w:rsidRPr="003B4AEE" w:rsidRDefault="00C6520E" w:rsidP="00EF1FFC">
            <w:pPr>
              <w:pStyle w:val="Tables"/>
            </w:pPr>
            <w:r w:rsidRPr="003B4AEE">
              <w:t xml:space="preserve">Public </w:t>
            </w:r>
            <w:r w:rsidR="00F60221" w:rsidRPr="003B4AEE">
              <w:t xml:space="preserve">notification </w:t>
            </w:r>
            <w:r w:rsidRPr="003B4AEE">
              <w:t xml:space="preserve">of </w:t>
            </w:r>
            <w:r w:rsidR="00F60221" w:rsidRPr="003B4AEE">
              <w:t>significant noncompliance</w:t>
            </w:r>
          </w:p>
        </w:tc>
        <w:tc>
          <w:tcPr>
            <w:tcW w:w="3690" w:type="dxa"/>
          </w:tcPr>
          <w:p w14:paraId="74FE4276" w14:textId="632CA9D9" w:rsidR="00C6520E" w:rsidRPr="003B4AEE" w:rsidRDefault="00C6520E" w:rsidP="00EF1FFC">
            <w:pPr>
              <w:pStyle w:val="Tables"/>
            </w:pPr>
            <w:r w:rsidRPr="003B4AEE">
              <w:t>One third of POTWs</w:t>
            </w:r>
            <w:r w:rsidR="00FA0CDC">
              <w:t xml:space="preserve"> with approved pretreatment programs</w:t>
            </w:r>
            <w:r w:rsidRPr="003B4AEE">
              <w:t xml:space="preserve"> per year</w:t>
            </w:r>
          </w:p>
        </w:tc>
        <w:tc>
          <w:tcPr>
            <w:tcW w:w="1345" w:type="dxa"/>
          </w:tcPr>
          <w:p w14:paraId="5948B0DC" w14:textId="77777777" w:rsidR="00C6520E" w:rsidRPr="003B4AEE" w:rsidRDefault="00C6520E" w:rsidP="00896C79">
            <w:pPr>
              <w:pStyle w:val="Tables"/>
              <w:jc w:val="center"/>
            </w:pPr>
            <w:r w:rsidRPr="003B4AEE">
              <w:t>3</w:t>
            </w:r>
          </w:p>
        </w:tc>
      </w:tr>
      <w:tr w:rsidR="00C6520E" w:rsidRPr="003B4AEE" w14:paraId="4E31B84F" w14:textId="77777777" w:rsidTr="004B201E">
        <w:tc>
          <w:tcPr>
            <w:tcW w:w="4315" w:type="dxa"/>
          </w:tcPr>
          <w:p w14:paraId="5FBF7A81" w14:textId="39972A46" w:rsidR="00C6520E" w:rsidRPr="003B4AEE" w:rsidRDefault="00C6520E" w:rsidP="00EF1FFC">
            <w:pPr>
              <w:pStyle w:val="Tables"/>
            </w:pPr>
            <w:r w:rsidRPr="003B4AEE">
              <w:t xml:space="preserve">Evaluation of the </w:t>
            </w:r>
            <w:r w:rsidR="00F60221" w:rsidRPr="003B4AEE">
              <w:t xml:space="preserve">need </w:t>
            </w:r>
            <w:r w:rsidRPr="003B4AEE">
              <w:t xml:space="preserve">to </w:t>
            </w:r>
            <w:r w:rsidR="00F60221" w:rsidRPr="003B4AEE">
              <w:t>revise local limits</w:t>
            </w:r>
          </w:p>
        </w:tc>
        <w:tc>
          <w:tcPr>
            <w:tcW w:w="3690" w:type="dxa"/>
          </w:tcPr>
          <w:p w14:paraId="4FCB97EE" w14:textId="442C179E" w:rsidR="00C6520E" w:rsidRPr="003B4AEE" w:rsidRDefault="00C6520E" w:rsidP="00EF1FFC">
            <w:pPr>
              <w:pStyle w:val="Tables"/>
            </w:pPr>
            <w:r w:rsidRPr="003B4AEE">
              <w:t>Once every 5 years for each POTW</w:t>
            </w:r>
            <w:r w:rsidR="00A50D77">
              <w:t xml:space="preserve"> with an approved pretreatment program</w:t>
            </w:r>
          </w:p>
        </w:tc>
        <w:tc>
          <w:tcPr>
            <w:tcW w:w="1345" w:type="dxa"/>
          </w:tcPr>
          <w:p w14:paraId="509062F9" w14:textId="77777777" w:rsidR="00C6520E" w:rsidRPr="003B4AEE" w:rsidRDefault="00C6520E" w:rsidP="00896C79">
            <w:pPr>
              <w:pStyle w:val="Tables"/>
              <w:jc w:val="center"/>
            </w:pPr>
            <w:r w:rsidRPr="003B4AEE">
              <w:t>50</w:t>
            </w:r>
          </w:p>
        </w:tc>
      </w:tr>
      <w:tr w:rsidR="00C6520E" w:rsidRPr="003B4AEE" w14:paraId="27E989B5" w14:textId="77777777" w:rsidTr="004B201E">
        <w:tc>
          <w:tcPr>
            <w:tcW w:w="4315" w:type="dxa"/>
          </w:tcPr>
          <w:p w14:paraId="64787DF9" w14:textId="5C33A197" w:rsidR="00C6520E" w:rsidRPr="003B4AEE" w:rsidRDefault="00C6520E" w:rsidP="00EF1FFC">
            <w:pPr>
              <w:pStyle w:val="Tables"/>
            </w:pPr>
            <w:r w:rsidRPr="003B4AEE">
              <w:t xml:space="preserve">Removal </w:t>
            </w:r>
            <w:r w:rsidR="00F60221" w:rsidRPr="003B4AEE">
              <w:t>credit app</w:t>
            </w:r>
            <w:r w:rsidR="003E5304" w:rsidRPr="003B4AEE">
              <w:t>lications</w:t>
            </w:r>
          </w:p>
        </w:tc>
        <w:tc>
          <w:tcPr>
            <w:tcW w:w="3690" w:type="dxa"/>
          </w:tcPr>
          <w:p w14:paraId="7D859A09" w14:textId="7F1920DE" w:rsidR="00C6520E" w:rsidRPr="003B4AEE" w:rsidRDefault="0008669A" w:rsidP="00EF1FFC">
            <w:pPr>
              <w:pStyle w:val="Tables"/>
            </w:pPr>
            <w:r w:rsidRPr="003B4AEE">
              <w:t>1.</w:t>
            </w:r>
            <w:r w:rsidR="002F0421" w:rsidRPr="003B4AEE">
              <w:t xml:space="preserve">3 </w:t>
            </w:r>
            <w:r w:rsidR="00C6520E" w:rsidRPr="003B4AEE">
              <w:t>per year</w:t>
            </w:r>
          </w:p>
        </w:tc>
        <w:tc>
          <w:tcPr>
            <w:tcW w:w="1345" w:type="dxa"/>
          </w:tcPr>
          <w:p w14:paraId="097350A5" w14:textId="77777777" w:rsidR="00C6520E" w:rsidRPr="003B4AEE" w:rsidRDefault="00C6520E" w:rsidP="00896C79">
            <w:pPr>
              <w:pStyle w:val="Tables"/>
              <w:jc w:val="center"/>
            </w:pPr>
            <w:r w:rsidRPr="003B4AEE">
              <w:t>125</w:t>
            </w:r>
          </w:p>
        </w:tc>
      </w:tr>
      <w:tr w:rsidR="00C6520E" w:rsidRPr="003B4AEE" w14:paraId="5153B891" w14:textId="77777777" w:rsidTr="004B201E">
        <w:tc>
          <w:tcPr>
            <w:tcW w:w="4315" w:type="dxa"/>
          </w:tcPr>
          <w:p w14:paraId="4554AE55" w14:textId="18CC0E7D" w:rsidR="00C6520E" w:rsidRPr="003B4AEE" w:rsidRDefault="00C6520E" w:rsidP="00EF1FFC">
            <w:pPr>
              <w:pStyle w:val="Tables"/>
            </w:pPr>
            <w:r w:rsidRPr="003B4AEE">
              <w:t xml:space="preserve">Removal </w:t>
            </w:r>
            <w:r w:rsidR="00F60221" w:rsidRPr="003B4AEE">
              <w:t>credit self</w:t>
            </w:r>
            <w:r w:rsidRPr="003B4AEE">
              <w:t>-</w:t>
            </w:r>
            <w:r w:rsidR="00F60221" w:rsidRPr="003B4AEE">
              <w:t>monitoring reports</w:t>
            </w:r>
          </w:p>
        </w:tc>
        <w:tc>
          <w:tcPr>
            <w:tcW w:w="3690" w:type="dxa"/>
          </w:tcPr>
          <w:p w14:paraId="5CB0DAF4" w14:textId="020EDB57" w:rsidR="00C6520E" w:rsidRPr="003B4AEE" w:rsidRDefault="0008669A" w:rsidP="00EF1FFC">
            <w:pPr>
              <w:pStyle w:val="Tables"/>
            </w:pPr>
            <w:r w:rsidRPr="003B4AEE">
              <w:t>1.3</w:t>
            </w:r>
            <w:r w:rsidR="00C6520E" w:rsidRPr="003B4AEE">
              <w:t xml:space="preserve"> per year</w:t>
            </w:r>
          </w:p>
        </w:tc>
        <w:tc>
          <w:tcPr>
            <w:tcW w:w="1345" w:type="dxa"/>
          </w:tcPr>
          <w:p w14:paraId="07CCA7F3" w14:textId="77777777" w:rsidR="00C6520E" w:rsidRPr="003B4AEE" w:rsidRDefault="00C6520E" w:rsidP="00896C79">
            <w:pPr>
              <w:pStyle w:val="Tables"/>
              <w:jc w:val="center"/>
            </w:pPr>
            <w:r w:rsidRPr="003B4AEE">
              <w:t>40</w:t>
            </w:r>
          </w:p>
        </w:tc>
      </w:tr>
      <w:tr w:rsidR="00C6520E" w:rsidRPr="003B4AEE" w14:paraId="346B2390" w14:textId="77777777" w:rsidTr="004B201E">
        <w:tc>
          <w:tcPr>
            <w:tcW w:w="4315" w:type="dxa"/>
          </w:tcPr>
          <w:p w14:paraId="13DC81B9" w14:textId="70F44194" w:rsidR="00C6520E" w:rsidRPr="003B4AEE" w:rsidRDefault="00C6520E" w:rsidP="00EF1FFC">
            <w:pPr>
              <w:pStyle w:val="Tables"/>
            </w:pPr>
            <w:r w:rsidRPr="003B4AEE">
              <w:t>Recordkeeping</w:t>
            </w:r>
          </w:p>
        </w:tc>
        <w:tc>
          <w:tcPr>
            <w:tcW w:w="3690" w:type="dxa"/>
          </w:tcPr>
          <w:p w14:paraId="0D695107" w14:textId="5FAE1080" w:rsidR="00C6520E" w:rsidRPr="003B4AEE" w:rsidRDefault="00C6520E" w:rsidP="00EF1FFC">
            <w:pPr>
              <w:pStyle w:val="Tables"/>
            </w:pPr>
            <w:r w:rsidRPr="003B4AEE">
              <w:t>One per year for each POTW</w:t>
            </w:r>
            <w:r w:rsidR="00FA0CDC">
              <w:t xml:space="preserve"> with an approved pretreatment program</w:t>
            </w:r>
          </w:p>
        </w:tc>
        <w:tc>
          <w:tcPr>
            <w:tcW w:w="1345" w:type="dxa"/>
          </w:tcPr>
          <w:p w14:paraId="1C564393" w14:textId="77777777" w:rsidR="00C6520E" w:rsidRPr="003B4AEE" w:rsidRDefault="00C6520E" w:rsidP="00896C79">
            <w:pPr>
              <w:pStyle w:val="Tables"/>
              <w:jc w:val="center"/>
            </w:pPr>
            <w:r w:rsidRPr="003B4AEE">
              <w:t>100</w:t>
            </w:r>
          </w:p>
        </w:tc>
      </w:tr>
      <w:tr w:rsidR="00C21690" w:rsidRPr="003B4AEE" w14:paraId="797EEE56" w14:textId="77777777" w:rsidTr="004B201E">
        <w:tc>
          <w:tcPr>
            <w:tcW w:w="4315" w:type="dxa"/>
          </w:tcPr>
          <w:p w14:paraId="22EDCC2E" w14:textId="18914010" w:rsidR="00C21690" w:rsidRPr="003B4AEE" w:rsidRDefault="001B7343" w:rsidP="00EF1FFC">
            <w:pPr>
              <w:pStyle w:val="Tables"/>
            </w:pPr>
            <w:r w:rsidRPr="003B4AEE">
              <w:t xml:space="preserve">Review </w:t>
            </w:r>
            <w:r w:rsidR="006C227D" w:rsidRPr="003B4AEE">
              <w:t>de</w:t>
            </w:r>
            <w:r w:rsidRPr="003B4AEE">
              <w:t>ntal</w:t>
            </w:r>
            <w:r w:rsidR="006C227D" w:rsidRPr="003B4AEE">
              <w:t xml:space="preserve"> o</w:t>
            </w:r>
            <w:r w:rsidRPr="003B4AEE">
              <w:t xml:space="preserve">ffice </w:t>
            </w:r>
            <w:r w:rsidR="00FB20C3" w:rsidRPr="003B4AEE">
              <w:t xml:space="preserve">one-time </w:t>
            </w:r>
            <w:r w:rsidR="006C227D" w:rsidRPr="003B4AEE">
              <w:t>co</w:t>
            </w:r>
            <w:r w:rsidRPr="003B4AEE">
              <w:t xml:space="preserve">mpliance </w:t>
            </w:r>
            <w:r w:rsidR="006C227D" w:rsidRPr="003B4AEE">
              <w:t>r</w:t>
            </w:r>
            <w:r w:rsidRPr="003B4AEE">
              <w:t>eports</w:t>
            </w:r>
          </w:p>
        </w:tc>
        <w:tc>
          <w:tcPr>
            <w:tcW w:w="3690" w:type="dxa"/>
          </w:tcPr>
          <w:p w14:paraId="17BECBA4" w14:textId="36374649" w:rsidR="00C21690" w:rsidRPr="003B4AEE" w:rsidRDefault="00FB20C3" w:rsidP="00EF1FFC">
            <w:pPr>
              <w:pStyle w:val="Tables"/>
            </w:pPr>
            <w:r w:rsidRPr="003B4AEE">
              <w:t>Once per new office and office transferring ownership</w:t>
            </w:r>
          </w:p>
        </w:tc>
        <w:tc>
          <w:tcPr>
            <w:tcW w:w="1345" w:type="dxa"/>
          </w:tcPr>
          <w:p w14:paraId="0D971EA2" w14:textId="5547F351" w:rsidR="00C21690" w:rsidRPr="003B4AEE" w:rsidRDefault="00FB20C3" w:rsidP="00896C79">
            <w:pPr>
              <w:pStyle w:val="Tables"/>
              <w:jc w:val="center"/>
            </w:pPr>
            <w:r w:rsidRPr="003B4AEE">
              <w:t>0.75</w:t>
            </w:r>
          </w:p>
        </w:tc>
      </w:tr>
    </w:tbl>
    <w:p w14:paraId="5582ED4D" w14:textId="4153FBA8" w:rsidR="00A24675" w:rsidRPr="003B4AEE" w:rsidRDefault="00A24675" w:rsidP="004366AF">
      <w:pPr>
        <w:spacing w:after="0"/>
        <w:rPr>
          <w:i/>
        </w:rPr>
      </w:pPr>
    </w:p>
    <w:p w14:paraId="4DD54631" w14:textId="6DA8275D" w:rsidR="00282E8F" w:rsidRPr="003B4AEE" w:rsidRDefault="00E932C0" w:rsidP="004B201E">
      <w:pPr>
        <w:pStyle w:val="BodyText"/>
      </w:pPr>
      <w:r w:rsidRPr="003B4AEE">
        <w:rPr>
          <w:i/>
        </w:rPr>
        <w:t>States/Federal</w:t>
      </w:r>
      <w:r w:rsidR="00A24675" w:rsidRPr="003B4AEE">
        <w:rPr>
          <w:i/>
        </w:rPr>
        <w:t>.</w:t>
      </w:r>
      <w:r w:rsidR="004E01E6" w:rsidRPr="003B4AEE">
        <w:t xml:space="preserve"> </w:t>
      </w:r>
      <w:r w:rsidR="00282E8F" w:rsidRPr="003B4AEE">
        <w:t xml:space="preserve">Some activities performed by </w:t>
      </w:r>
      <w:r w:rsidR="00EE120D" w:rsidRPr="003B4AEE">
        <w:t>a</w:t>
      </w:r>
      <w:r w:rsidR="00282E8F" w:rsidRPr="003B4AEE">
        <w:t xml:space="preserve">uthorized </w:t>
      </w:r>
      <w:r w:rsidR="00EE120D" w:rsidRPr="003B4AEE">
        <w:t>s</w:t>
      </w:r>
      <w:r w:rsidR="00282E8F" w:rsidRPr="003B4AEE">
        <w:t xml:space="preserve">tates are performed by EPA Regions where EPA is the Control Authority. </w:t>
      </w:r>
      <w:r w:rsidR="00D629CD" w:rsidRPr="003B4AEE">
        <w:t>T</w:t>
      </w:r>
      <w:r w:rsidR="00282E8F" w:rsidRPr="003B4AEE">
        <w:t xml:space="preserve">able </w:t>
      </w:r>
      <w:r w:rsidR="00D629CD" w:rsidRPr="003B4AEE">
        <w:t>A</w:t>
      </w:r>
      <w:r w:rsidR="00A554A5" w:rsidRPr="003B4AEE">
        <w:t>-</w:t>
      </w:r>
      <w:r w:rsidR="00D629CD" w:rsidRPr="003B4AEE">
        <w:t xml:space="preserve">3 </w:t>
      </w:r>
      <w:r w:rsidR="00282E8F" w:rsidRPr="003B4AEE">
        <w:t>include</w:t>
      </w:r>
      <w:r w:rsidR="00D629CD" w:rsidRPr="003B4AEE">
        <w:t>s</w:t>
      </w:r>
      <w:r w:rsidR="00282E8F" w:rsidRPr="003B4AEE">
        <w:t xml:space="preserve"> assumptions for both.</w:t>
      </w:r>
    </w:p>
    <w:p w14:paraId="6EE151BA" w14:textId="473BE62B" w:rsidR="00C6520E" w:rsidRPr="003B4AEE" w:rsidRDefault="00352E6F" w:rsidP="00AF6693">
      <w:pPr>
        <w:pStyle w:val="TableTitleAppendix"/>
      </w:pPr>
      <w:bookmarkStart w:id="330" w:name="_Toc61521414"/>
      <w:r w:rsidRPr="003B4AEE">
        <w:t>Table</w:t>
      </w:r>
      <w:r w:rsidR="001A6DA0" w:rsidRPr="003B4AEE">
        <w:t xml:space="preserve"> </w:t>
      </w:r>
      <w:r w:rsidR="00ED7594" w:rsidRPr="003B4AEE">
        <w:t>A-3</w:t>
      </w:r>
      <w:r w:rsidR="00A554A5" w:rsidRPr="003B4AEE">
        <w:t>.</w:t>
      </w:r>
      <w:r w:rsidR="00C6520E" w:rsidRPr="003B4AEE">
        <w:t xml:space="preserve"> Summary of </w:t>
      </w:r>
      <w:r w:rsidR="00E02336" w:rsidRPr="003B4AEE">
        <w:t>B</w:t>
      </w:r>
      <w:r w:rsidR="004E01E6" w:rsidRPr="003B4AEE">
        <w:t xml:space="preserve">urden </w:t>
      </w:r>
      <w:r w:rsidR="00E02336" w:rsidRPr="003B4AEE">
        <w:t>A</w:t>
      </w:r>
      <w:r w:rsidR="004E01E6" w:rsidRPr="003B4AEE">
        <w:t xml:space="preserve">ssumption </w:t>
      </w:r>
      <w:r w:rsidR="00E02336" w:rsidRPr="003B4AEE">
        <w:t>R</w:t>
      </w:r>
      <w:r w:rsidR="004E01E6" w:rsidRPr="003B4AEE">
        <w:t xml:space="preserve">elated </w:t>
      </w:r>
      <w:r w:rsidR="00C6520E" w:rsidRPr="003B4AEE">
        <w:t xml:space="preserve">to </w:t>
      </w:r>
      <w:r w:rsidR="00A50D77">
        <w:t>Control Authorities (</w:t>
      </w:r>
      <w:r w:rsidR="00E02336" w:rsidRPr="003B4AEE">
        <w:t>S</w:t>
      </w:r>
      <w:r w:rsidR="004E01E6" w:rsidRPr="003B4AEE">
        <w:t>tates</w:t>
      </w:r>
      <w:bookmarkEnd w:id="330"/>
      <w:r w:rsidR="00A50D77">
        <w:t xml:space="preserve"> and EPA)</w:t>
      </w:r>
    </w:p>
    <w:tbl>
      <w:tblPr>
        <w:tblStyle w:val="TableGrid"/>
        <w:tblW w:w="0" w:type="auto"/>
        <w:tblLook w:val="04A0" w:firstRow="1" w:lastRow="0" w:firstColumn="1" w:lastColumn="0" w:noHBand="0" w:noVBand="1"/>
      </w:tblPr>
      <w:tblGrid>
        <w:gridCol w:w="4127"/>
        <w:gridCol w:w="2696"/>
        <w:gridCol w:w="1591"/>
        <w:gridCol w:w="936"/>
      </w:tblGrid>
      <w:tr w:rsidR="00E40C57" w:rsidRPr="003B4AEE" w14:paraId="55D4BBAB" w14:textId="77777777" w:rsidTr="00D4452C">
        <w:trPr>
          <w:tblHeader/>
        </w:trPr>
        <w:tc>
          <w:tcPr>
            <w:tcW w:w="4135" w:type="dxa"/>
            <w:shd w:val="clear" w:color="auto" w:fill="D9D9D9" w:themeFill="background1" w:themeFillShade="D9"/>
            <w:vAlign w:val="bottom"/>
          </w:tcPr>
          <w:p w14:paraId="55094CD9" w14:textId="3CF327F6" w:rsidR="00E40C57" w:rsidRPr="003B4AEE" w:rsidRDefault="00E40C57" w:rsidP="004B201E">
            <w:pPr>
              <w:pStyle w:val="TableHeading"/>
            </w:pPr>
            <w:r w:rsidRPr="003B4AEE">
              <w:t xml:space="preserve">State </w:t>
            </w:r>
            <w:r w:rsidR="00E02336" w:rsidRPr="003B4AEE">
              <w:t>A</w:t>
            </w:r>
            <w:r w:rsidR="004E01E6" w:rsidRPr="003B4AEE">
              <w:t>ctivity</w:t>
            </w:r>
          </w:p>
        </w:tc>
        <w:tc>
          <w:tcPr>
            <w:tcW w:w="2700" w:type="dxa"/>
            <w:shd w:val="clear" w:color="auto" w:fill="D9D9D9" w:themeFill="background1" w:themeFillShade="D9"/>
            <w:vAlign w:val="bottom"/>
          </w:tcPr>
          <w:p w14:paraId="60D5F978" w14:textId="6D2C3E62" w:rsidR="00E40C57" w:rsidRPr="003B4AEE" w:rsidRDefault="00E40C57" w:rsidP="004B201E">
            <w:pPr>
              <w:pStyle w:val="TableHeading"/>
            </w:pPr>
            <w:r w:rsidRPr="003B4AEE">
              <w:t xml:space="preserve">State </w:t>
            </w:r>
            <w:r w:rsidR="00E02336" w:rsidRPr="003B4AEE">
              <w:t>F</w:t>
            </w:r>
            <w:r w:rsidR="004E01E6" w:rsidRPr="003B4AEE">
              <w:t>requency</w:t>
            </w:r>
          </w:p>
        </w:tc>
        <w:tc>
          <w:tcPr>
            <w:tcW w:w="1592" w:type="dxa"/>
            <w:shd w:val="clear" w:color="auto" w:fill="D9D9D9" w:themeFill="background1" w:themeFillShade="D9"/>
            <w:vAlign w:val="bottom"/>
          </w:tcPr>
          <w:p w14:paraId="66403925" w14:textId="1FB104C0" w:rsidR="00E40C57" w:rsidRPr="003B4AEE" w:rsidRDefault="00E40C57" w:rsidP="004B201E">
            <w:pPr>
              <w:pStyle w:val="TableHeading"/>
            </w:pPr>
            <w:r w:rsidRPr="003B4AEE">
              <w:t xml:space="preserve">EPA </w:t>
            </w:r>
            <w:r w:rsidR="00E02336" w:rsidRPr="003B4AEE">
              <w:t>F</w:t>
            </w:r>
            <w:r w:rsidR="004E01E6" w:rsidRPr="003B4AEE">
              <w:t>requency</w:t>
            </w:r>
          </w:p>
        </w:tc>
        <w:tc>
          <w:tcPr>
            <w:tcW w:w="936" w:type="dxa"/>
            <w:shd w:val="clear" w:color="auto" w:fill="D9D9D9" w:themeFill="background1" w:themeFillShade="D9"/>
            <w:vAlign w:val="bottom"/>
          </w:tcPr>
          <w:p w14:paraId="0BD06C3B" w14:textId="5667C6BE" w:rsidR="00E40C57" w:rsidRPr="003B4AEE" w:rsidRDefault="00E40C57" w:rsidP="008F7E23">
            <w:pPr>
              <w:pStyle w:val="TableHeading"/>
            </w:pPr>
            <w:r w:rsidRPr="003B4AEE">
              <w:t>Burden (hours)</w:t>
            </w:r>
          </w:p>
        </w:tc>
      </w:tr>
      <w:tr w:rsidR="00E40C57" w:rsidRPr="003B4AEE" w14:paraId="16744093" w14:textId="77777777" w:rsidTr="00D4452C">
        <w:tc>
          <w:tcPr>
            <w:tcW w:w="4135" w:type="dxa"/>
          </w:tcPr>
          <w:p w14:paraId="5D307DB7" w14:textId="2336D15A" w:rsidR="00E40C57" w:rsidRPr="003B4AEE" w:rsidRDefault="00E40C57" w:rsidP="00EF1FFC">
            <w:pPr>
              <w:pStyle w:val="Tables"/>
            </w:pPr>
            <w:r w:rsidRPr="003B4AEE">
              <w:t xml:space="preserve">Issuance of SIU </w:t>
            </w:r>
            <w:r w:rsidR="004E01E6" w:rsidRPr="003B4AEE">
              <w:t>discharge permits</w:t>
            </w:r>
          </w:p>
        </w:tc>
        <w:tc>
          <w:tcPr>
            <w:tcW w:w="2700" w:type="dxa"/>
          </w:tcPr>
          <w:p w14:paraId="2853B338" w14:textId="0F01414B" w:rsidR="00E40C57" w:rsidRPr="003B4AEE" w:rsidRDefault="00E40C57" w:rsidP="00EF1FFC">
            <w:pPr>
              <w:pStyle w:val="Tables"/>
            </w:pPr>
            <w:r w:rsidRPr="003B4AEE">
              <w:t>Once every 5 years for each IU with a permit</w:t>
            </w:r>
          </w:p>
        </w:tc>
        <w:tc>
          <w:tcPr>
            <w:tcW w:w="1592" w:type="dxa"/>
          </w:tcPr>
          <w:p w14:paraId="65B908A7" w14:textId="3E32A5ED" w:rsidR="00E40C57" w:rsidRPr="003B4AEE" w:rsidRDefault="00791C1A" w:rsidP="00EF1FFC">
            <w:pPr>
              <w:pStyle w:val="Tables"/>
            </w:pPr>
            <w:r w:rsidRPr="003B4AEE">
              <w:t>Same</w:t>
            </w:r>
          </w:p>
        </w:tc>
        <w:tc>
          <w:tcPr>
            <w:tcW w:w="936" w:type="dxa"/>
          </w:tcPr>
          <w:p w14:paraId="2E0F27BD" w14:textId="48DD1D47" w:rsidR="00E40C57" w:rsidRPr="003B4AEE" w:rsidRDefault="00E40C57" w:rsidP="008F7E23">
            <w:pPr>
              <w:pStyle w:val="Tables"/>
              <w:jc w:val="center"/>
            </w:pPr>
            <w:r w:rsidRPr="003B4AEE">
              <w:t>20</w:t>
            </w:r>
          </w:p>
        </w:tc>
      </w:tr>
      <w:tr w:rsidR="00E40C57" w:rsidRPr="003B4AEE" w14:paraId="0842CF4A" w14:textId="77777777" w:rsidTr="00D4452C">
        <w:tc>
          <w:tcPr>
            <w:tcW w:w="4135" w:type="dxa"/>
          </w:tcPr>
          <w:p w14:paraId="04DE02C0" w14:textId="695AB59D" w:rsidR="00E40C57" w:rsidRPr="003B4AEE" w:rsidRDefault="00E40C57" w:rsidP="00EF1FFC">
            <w:pPr>
              <w:pStyle w:val="Tables"/>
            </w:pPr>
            <w:r w:rsidRPr="003B4AEE">
              <w:t xml:space="preserve">Inspection and </w:t>
            </w:r>
            <w:r w:rsidR="004E01E6" w:rsidRPr="003B4AEE">
              <w:t xml:space="preserve">sampling </w:t>
            </w:r>
            <w:r w:rsidRPr="003B4AEE">
              <w:t>of CIU and SIUs</w:t>
            </w:r>
          </w:p>
        </w:tc>
        <w:tc>
          <w:tcPr>
            <w:tcW w:w="2700" w:type="dxa"/>
          </w:tcPr>
          <w:p w14:paraId="541C2DD4" w14:textId="792B49CE" w:rsidR="00E40C57" w:rsidRPr="003B4AEE" w:rsidRDefault="00E40C57" w:rsidP="00EF1FFC">
            <w:pPr>
              <w:pStyle w:val="Tables"/>
            </w:pPr>
            <w:r w:rsidRPr="003B4AEE">
              <w:t xml:space="preserve">One per year for 8.5 percent </w:t>
            </w:r>
            <w:r w:rsidRPr="003B4AEE">
              <w:lastRenderedPageBreak/>
              <w:t xml:space="preserve">of SIUs; one per 2 year for </w:t>
            </w:r>
            <w:r w:rsidR="00E7220F" w:rsidRPr="003B4AEE">
              <w:t>CIUs</w:t>
            </w:r>
          </w:p>
        </w:tc>
        <w:tc>
          <w:tcPr>
            <w:tcW w:w="1592" w:type="dxa"/>
          </w:tcPr>
          <w:p w14:paraId="0C4B871F" w14:textId="3814511C" w:rsidR="00E40C57" w:rsidRPr="003B4AEE" w:rsidRDefault="008A089A" w:rsidP="00EF1FFC">
            <w:pPr>
              <w:pStyle w:val="Tables"/>
            </w:pPr>
            <w:r w:rsidRPr="003B4AEE">
              <w:lastRenderedPageBreak/>
              <w:t>NA</w:t>
            </w:r>
          </w:p>
        </w:tc>
        <w:tc>
          <w:tcPr>
            <w:tcW w:w="936" w:type="dxa"/>
          </w:tcPr>
          <w:p w14:paraId="5817130D" w14:textId="068DE309" w:rsidR="00E40C57" w:rsidRPr="003B4AEE" w:rsidRDefault="00E40C57" w:rsidP="008F7E23">
            <w:pPr>
              <w:pStyle w:val="Tables"/>
              <w:jc w:val="center"/>
            </w:pPr>
            <w:r w:rsidRPr="003B4AEE">
              <w:t>8</w:t>
            </w:r>
          </w:p>
        </w:tc>
      </w:tr>
      <w:tr w:rsidR="00E40C57" w:rsidRPr="003B4AEE" w14:paraId="037F1DCB" w14:textId="77777777" w:rsidTr="00D4452C">
        <w:tc>
          <w:tcPr>
            <w:tcW w:w="4135" w:type="dxa"/>
          </w:tcPr>
          <w:p w14:paraId="0616FD23" w14:textId="275FE9CA" w:rsidR="00E40C57" w:rsidRPr="003B4AEE" w:rsidRDefault="00E40C57" w:rsidP="00EF1FFC">
            <w:pPr>
              <w:pStyle w:val="Tables"/>
            </w:pPr>
            <w:r w:rsidRPr="003B4AEE">
              <w:t xml:space="preserve">CIU and SIU </w:t>
            </w:r>
            <w:r w:rsidR="004E01E6" w:rsidRPr="003B4AEE">
              <w:t>effluent analysis</w:t>
            </w:r>
          </w:p>
        </w:tc>
        <w:tc>
          <w:tcPr>
            <w:tcW w:w="2700" w:type="dxa"/>
          </w:tcPr>
          <w:p w14:paraId="3AF9E47B" w14:textId="0CBB6923" w:rsidR="00E40C57" w:rsidRPr="003B4AEE" w:rsidRDefault="002F0421" w:rsidP="00EF1FFC">
            <w:pPr>
              <w:pStyle w:val="Tables"/>
            </w:pPr>
            <w:r w:rsidRPr="003B4AEE">
              <w:t xml:space="preserve">One per year for 8.5 percent of SIUs; one per 2 year for </w:t>
            </w:r>
            <w:r w:rsidR="00E7220F" w:rsidRPr="003B4AEE">
              <w:t>CIUs</w:t>
            </w:r>
          </w:p>
        </w:tc>
        <w:tc>
          <w:tcPr>
            <w:tcW w:w="1592" w:type="dxa"/>
          </w:tcPr>
          <w:p w14:paraId="26449DEC" w14:textId="7E787B1B" w:rsidR="00E40C57" w:rsidRPr="003B4AEE" w:rsidRDefault="008A089A" w:rsidP="00EF1FFC">
            <w:pPr>
              <w:pStyle w:val="Tables"/>
            </w:pPr>
            <w:r w:rsidRPr="003B4AEE">
              <w:t>NA</w:t>
            </w:r>
          </w:p>
        </w:tc>
        <w:tc>
          <w:tcPr>
            <w:tcW w:w="936" w:type="dxa"/>
          </w:tcPr>
          <w:p w14:paraId="1FBF2870" w14:textId="488B623D" w:rsidR="00E40C57" w:rsidRPr="003B4AEE" w:rsidRDefault="00E40C57" w:rsidP="008F7E23">
            <w:pPr>
              <w:pStyle w:val="Tables"/>
              <w:jc w:val="center"/>
            </w:pPr>
            <w:r w:rsidRPr="003B4AEE">
              <w:t>15.2</w:t>
            </w:r>
          </w:p>
        </w:tc>
      </w:tr>
      <w:tr w:rsidR="00E40C57" w:rsidRPr="003B4AEE" w14:paraId="7AD3532E" w14:textId="77777777" w:rsidTr="00D4452C">
        <w:tc>
          <w:tcPr>
            <w:tcW w:w="4135" w:type="dxa"/>
          </w:tcPr>
          <w:p w14:paraId="3EA6A4B3" w14:textId="3DABF9B8" w:rsidR="00E40C57" w:rsidRPr="003B4AEE" w:rsidRDefault="00E40C57" w:rsidP="00EF1FFC">
            <w:pPr>
              <w:pStyle w:val="Tables"/>
            </w:pPr>
            <w:r w:rsidRPr="003B4AEE">
              <w:t xml:space="preserve">Public </w:t>
            </w:r>
            <w:r w:rsidR="004E01E6" w:rsidRPr="003B4AEE">
              <w:t xml:space="preserve">notification </w:t>
            </w:r>
            <w:r w:rsidRPr="003B4AEE">
              <w:t xml:space="preserve">of </w:t>
            </w:r>
            <w:r w:rsidR="004E01E6" w:rsidRPr="003B4AEE">
              <w:t>significant noncompliance</w:t>
            </w:r>
          </w:p>
        </w:tc>
        <w:tc>
          <w:tcPr>
            <w:tcW w:w="2700" w:type="dxa"/>
          </w:tcPr>
          <w:p w14:paraId="1A094A76" w14:textId="77777777" w:rsidR="00E40C57" w:rsidRPr="003B4AEE" w:rsidRDefault="00E40C57" w:rsidP="00EF1FFC">
            <w:pPr>
              <w:pStyle w:val="Tables"/>
            </w:pPr>
            <w:r w:rsidRPr="003B4AEE">
              <w:t>One third of 85 POTWs in 5 states per year</w:t>
            </w:r>
          </w:p>
        </w:tc>
        <w:tc>
          <w:tcPr>
            <w:tcW w:w="1592" w:type="dxa"/>
          </w:tcPr>
          <w:p w14:paraId="75A2923C" w14:textId="562EBB10" w:rsidR="00E40C57" w:rsidRPr="003B4AEE" w:rsidRDefault="00791C1A" w:rsidP="00EF1FFC">
            <w:pPr>
              <w:pStyle w:val="Tables"/>
            </w:pPr>
            <w:r w:rsidRPr="003B4AEE">
              <w:t>NA</w:t>
            </w:r>
          </w:p>
        </w:tc>
        <w:tc>
          <w:tcPr>
            <w:tcW w:w="936" w:type="dxa"/>
          </w:tcPr>
          <w:p w14:paraId="717A45C4" w14:textId="316B1F75" w:rsidR="00E40C57" w:rsidRPr="003B4AEE" w:rsidRDefault="00E40C57" w:rsidP="008F7E23">
            <w:pPr>
              <w:pStyle w:val="Tables"/>
              <w:jc w:val="center"/>
            </w:pPr>
            <w:r w:rsidRPr="003B4AEE">
              <w:t>3</w:t>
            </w:r>
          </w:p>
        </w:tc>
      </w:tr>
      <w:tr w:rsidR="00E40C57" w:rsidRPr="003B4AEE" w14:paraId="52B78BCA" w14:textId="77777777" w:rsidTr="00D4452C">
        <w:tc>
          <w:tcPr>
            <w:tcW w:w="4135" w:type="dxa"/>
          </w:tcPr>
          <w:p w14:paraId="182B09F8" w14:textId="75647C75" w:rsidR="00E40C57" w:rsidRPr="003B4AEE" w:rsidRDefault="00E40C57" w:rsidP="00EF1FFC">
            <w:pPr>
              <w:pStyle w:val="Tables"/>
            </w:pPr>
            <w:r w:rsidRPr="003B4AEE">
              <w:t xml:space="preserve">Evaluation of the </w:t>
            </w:r>
            <w:r w:rsidR="004E01E6" w:rsidRPr="003B4AEE">
              <w:t xml:space="preserve">need </w:t>
            </w:r>
            <w:r w:rsidRPr="003B4AEE">
              <w:t xml:space="preserve">to </w:t>
            </w:r>
            <w:r w:rsidR="004E01E6" w:rsidRPr="003B4AEE">
              <w:t>revise local limits</w:t>
            </w:r>
          </w:p>
        </w:tc>
        <w:tc>
          <w:tcPr>
            <w:tcW w:w="2700" w:type="dxa"/>
          </w:tcPr>
          <w:p w14:paraId="462A251E" w14:textId="77777777" w:rsidR="00E40C57" w:rsidRPr="003B4AEE" w:rsidRDefault="00E40C57" w:rsidP="00EF1FFC">
            <w:pPr>
              <w:pStyle w:val="Tables"/>
            </w:pPr>
            <w:r w:rsidRPr="003B4AEE">
              <w:t>Once per 5 years for 85 POTWs in 5 states</w:t>
            </w:r>
          </w:p>
        </w:tc>
        <w:tc>
          <w:tcPr>
            <w:tcW w:w="1592" w:type="dxa"/>
          </w:tcPr>
          <w:p w14:paraId="031EDCED" w14:textId="229F3DAB" w:rsidR="00E40C57" w:rsidRPr="003B4AEE" w:rsidRDefault="00791C1A" w:rsidP="00EF1FFC">
            <w:pPr>
              <w:pStyle w:val="Tables"/>
            </w:pPr>
            <w:r w:rsidRPr="003B4AEE">
              <w:t>NA</w:t>
            </w:r>
          </w:p>
        </w:tc>
        <w:tc>
          <w:tcPr>
            <w:tcW w:w="936" w:type="dxa"/>
          </w:tcPr>
          <w:p w14:paraId="59DEC850" w14:textId="78D0F39E" w:rsidR="00E40C57" w:rsidRPr="003B4AEE" w:rsidRDefault="00E40C57" w:rsidP="008F7E23">
            <w:pPr>
              <w:pStyle w:val="Tables"/>
              <w:jc w:val="center"/>
            </w:pPr>
            <w:r w:rsidRPr="003B4AEE">
              <w:t>50</w:t>
            </w:r>
          </w:p>
        </w:tc>
      </w:tr>
      <w:tr w:rsidR="00E40C57" w:rsidRPr="003B4AEE" w14:paraId="271DBFAD" w14:textId="77777777" w:rsidTr="00D4452C">
        <w:tc>
          <w:tcPr>
            <w:tcW w:w="4135" w:type="dxa"/>
          </w:tcPr>
          <w:p w14:paraId="0085C177" w14:textId="680D128F" w:rsidR="00E40C57" w:rsidRPr="003B4AEE" w:rsidRDefault="00E40C57" w:rsidP="00EF1FFC">
            <w:pPr>
              <w:pStyle w:val="Tables"/>
            </w:pPr>
            <w:r w:rsidRPr="003B4AEE">
              <w:t xml:space="preserve">POTW </w:t>
            </w:r>
            <w:r w:rsidR="004E01E6" w:rsidRPr="003B4AEE">
              <w:t>pretreatment compliance schedule progress report</w:t>
            </w:r>
          </w:p>
        </w:tc>
        <w:tc>
          <w:tcPr>
            <w:tcW w:w="2700" w:type="dxa"/>
          </w:tcPr>
          <w:p w14:paraId="265B9C1E" w14:textId="3C5C1C97" w:rsidR="00E40C57" w:rsidRPr="003B4AEE" w:rsidRDefault="00E40C57" w:rsidP="00EF1FFC">
            <w:pPr>
              <w:pStyle w:val="Tables"/>
            </w:pPr>
            <w:r w:rsidRPr="003B4AEE">
              <w:t>34 per year</w:t>
            </w:r>
          </w:p>
        </w:tc>
        <w:tc>
          <w:tcPr>
            <w:tcW w:w="1592" w:type="dxa"/>
          </w:tcPr>
          <w:p w14:paraId="05B67637" w14:textId="6B074487" w:rsidR="00E40C57" w:rsidRPr="003B4AEE" w:rsidRDefault="00791C1A" w:rsidP="00EF1FFC">
            <w:pPr>
              <w:pStyle w:val="Tables"/>
            </w:pPr>
            <w:r w:rsidRPr="003B4AEE">
              <w:t>NA</w:t>
            </w:r>
          </w:p>
        </w:tc>
        <w:tc>
          <w:tcPr>
            <w:tcW w:w="936" w:type="dxa"/>
          </w:tcPr>
          <w:p w14:paraId="2381015B" w14:textId="520E328F" w:rsidR="00E40C57" w:rsidRPr="003B4AEE" w:rsidRDefault="00E40C57" w:rsidP="008F7E23">
            <w:pPr>
              <w:pStyle w:val="Tables"/>
              <w:jc w:val="center"/>
            </w:pPr>
            <w:r w:rsidRPr="003B4AEE">
              <w:t>2</w:t>
            </w:r>
          </w:p>
        </w:tc>
      </w:tr>
      <w:tr w:rsidR="00E40C57" w:rsidRPr="003B4AEE" w14:paraId="42384A53" w14:textId="77777777" w:rsidTr="00D4452C">
        <w:tc>
          <w:tcPr>
            <w:tcW w:w="4135" w:type="dxa"/>
          </w:tcPr>
          <w:p w14:paraId="3B4F0B7E" w14:textId="7E0C3ACF" w:rsidR="00E40C57" w:rsidRPr="003B4AEE" w:rsidRDefault="00E40C57" w:rsidP="00EF1FFC">
            <w:pPr>
              <w:pStyle w:val="Tables"/>
            </w:pPr>
            <w:r w:rsidRPr="003B4AEE">
              <w:t xml:space="preserve">POTW </w:t>
            </w:r>
            <w:r w:rsidR="004E01E6" w:rsidRPr="003B4AEE">
              <w:t>pretreatment program approval request</w:t>
            </w:r>
          </w:p>
        </w:tc>
        <w:tc>
          <w:tcPr>
            <w:tcW w:w="2700" w:type="dxa"/>
          </w:tcPr>
          <w:p w14:paraId="6278AABA" w14:textId="348314B0" w:rsidR="00E40C57" w:rsidRPr="003B4AEE" w:rsidRDefault="00475756" w:rsidP="00EF1FFC">
            <w:pPr>
              <w:pStyle w:val="Tables"/>
            </w:pPr>
            <w:r w:rsidRPr="003B4AEE">
              <w:t xml:space="preserve">2.3 </w:t>
            </w:r>
            <w:r w:rsidR="00E40C57" w:rsidRPr="003B4AEE">
              <w:t>per year</w:t>
            </w:r>
          </w:p>
        </w:tc>
        <w:tc>
          <w:tcPr>
            <w:tcW w:w="1592" w:type="dxa"/>
          </w:tcPr>
          <w:p w14:paraId="4978E652" w14:textId="1AC735AB" w:rsidR="00E40C57" w:rsidRPr="003B4AEE" w:rsidRDefault="00E40C57" w:rsidP="00EF1FFC">
            <w:pPr>
              <w:pStyle w:val="Tables"/>
            </w:pPr>
            <w:r w:rsidRPr="003B4AEE">
              <w:t>NA</w:t>
            </w:r>
          </w:p>
        </w:tc>
        <w:tc>
          <w:tcPr>
            <w:tcW w:w="936" w:type="dxa"/>
          </w:tcPr>
          <w:p w14:paraId="4A3A8620" w14:textId="43E1D36D" w:rsidR="00E40C57" w:rsidRPr="003B4AEE" w:rsidRDefault="00E40C57" w:rsidP="008F7E23">
            <w:pPr>
              <w:pStyle w:val="Tables"/>
              <w:jc w:val="center"/>
            </w:pPr>
            <w:r w:rsidRPr="003B4AEE">
              <w:t>40</w:t>
            </w:r>
          </w:p>
        </w:tc>
      </w:tr>
      <w:tr w:rsidR="00E40C57" w:rsidRPr="003B4AEE" w14:paraId="6D4F5700" w14:textId="77777777" w:rsidTr="00D4452C">
        <w:tc>
          <w:tcPr>
            <w:tcW w:w="4135" w:type="dxa"/>
          </w:tcPr>
          <w:p w14:paraId="2917693D" w14:textId="67100881" w:rsidR="00E40C57" w:rsidRPr="003B4AEE" w:rsidRDefault="00E40C57" w:rsidP="00EF1FFC">
            <w:pPr>
              <w:pStyle w:val="Tables"/>
            </w:pPr>
            <w:r w:rsidRPr="003B4AEE">
              <w:t xml:space="preserve">POTW </w:t>
            </w:r>
            <w:r w:rsidR="004E01E6" w:rsidRPr="003B4AEE">
              <w:t>pretreatment program modification approval request</w:t>
            </w:r>
          </w:p>
        </w:tc>
        <w:tc>
          <w:tcPr>
            <w:tcW w:w="2700" w:type="dxa"/>
          </w:tcPr>
          <w:p w14:paraId="022D239A" w14:textId="00FFF08D" w:rsidR="00E40C57" w:rsidRPr="003B4AEE" w:rsidRDefault="00E40C57" w:rsidP="00EF1FFC">
            <w:pPr>
              <w:pStyle w:val="Tables"/>
            </w:pPr>
            <w:r w:rsidRPr="003B4AEE">
              <w:t>234 per year</w:t>
            </w:r>
          </w:p>
        </w:tc>
        <w:tc>
          <w:tcPr>
            <w:tcW w:w="1592" w:type="dxa"/>
          </w:tcPr>
          <w:p w14:paraId="3BE54BA2" w14:textId="6762ABAC" w:rsidR="00E40C57" w:rsidRPr="003B4AEE" w:rsidRDefault="00E40C57" w:rsidP="00EF1FFC">
            <w:pPr>
              <w:pStyle w:val="Tables"/>
            </w:pPr>
            <w:r w:rsidRPr="003B4AEE">
              <w:t>NA</w:t>
            </w:r>
          </w:p>
        </w:tc>
        <w:tc>
          <w:tcPr>
            <w:tcW w:w="936" w:type="dxa"/>
          </w:tcPr>
          <w:p w14:paraId="18BB87A4" w14:textId="3E28BCF1" w:rsidR="00E40C57" w:rsidRPr="003B4AEE" w:rsidRDefault="00E40C57" w:rsidP="008F7E23">
            <w:pPr>
              <w:pStyle w:val="Tables"/>
              <w:jc w:val="center"/>
            </w:pPr>
            <w:r w:rsidRPr="003B4AEE">
              <w:t>20</w:t>
            </w:r>
          </w:p>
        </w:tc>
      </w:tr>
      <w:tr w:rsidR="00E40C57" w:rsidRPr="003B4AEE" w14:paraId="791C0C9E" w14:textId="77777777" w:rsidTr="00D4452C">
        <w:tc>
          <w:tcPr>
            <w:tcW w:w="4135" w:type="dxa"/>
          </w:tcPr>
          <w:p w14:paraId="17C9833A" w14:textId="2A2A14DC" w:rsidR="00E40C57" w:rsidRPr="003B4AEE" w:rsidRDefault="00E40C57" w:rsidP="00EF1FFC">
            <w:pPr>
              <w:pStyle w:val="Tables"/>
            </w:pPr>
            <w:r w:rsidRPr="003B4AEE">
              <w:t xml:space="preserve">Baseline </w:t>
            </w:r>
            <w:r w:rsidR="004E01E6" w:rsidRPr="003B4AEE">
              <w:t>m</w:t>
            </w:r>
            <w:r w:rsidRPr="003B4AEE">
              <w:t xml:space="preserve">onitoring </w:t>
            </w:r>
            <w:r w:rsidR="004E01E6" w:rsidRPr="003B4AEE">
              <w:t>r</w:t>
            </w:r>
            <w:r w:rsidRPr="003B4AEE">
              <w:t>eport-</w:t>
            </w:r>
            <w:r w:rsidR="004E01E6" w:rsidRPr="003B4AEE">
              <w:t>new sources</w:t>
            </w:r>
          </w:p>
        </w:tc>
        <w:tc>
          <w:tcPr>
            <w:tcW w:w="2700" w:type="dxa"/>
          </w:tcPr>
          <w:p w14:paraId="28BC1506" w14:textId="3BEB7E13" w:rsidR="00E40C57" w:rsidRPr="003B4AEE" w:rsidRDefault="00E40C57" w:rsidP="00EF1FFC">
            <w:pPr>
              <w:pStyle w:val="Tables"/>
            </w:pPr>
            <w:r w:rsidRPr="003B4AEE">
              <w:t>17 per year</w:t>
            </w:r>
          </w:p>
        </w:tc>
        <w:tc>
          <w:tcPr>
            <w:tcW w:w="1592" w:type="dxa"/>
          </w:tcPr>
          <w:p w14:paraId="3D74CA5D" w14:textId="178F2DDC" w:rsidR="00E40C57" w:rsidRPr="003B4AEE" w:rsidRDefault="00E40C57" w:rsidP="00EF1FFC">
            <w:pPr>
              <w:pStyle w:val="Tables"/>
            </w:pPr>
            <w:r w:rsidRPr="003B4AEE">
              <w:t>5 per year</w:t>
            </w:r>
          </w:p>
        </w:tc>
        <w:tc>
          <w:tcPr>
            <w:tcW w:w="936" w:type="dxa"/>
          </w:tcPr>
          <w:p w14:paraId="527F4F8F" w14:textId="669356C6" w:rsidR="00E40C57" w:rsidRPr="003B4AEE" w:rsidRDefault="00E40C57" w:rsidP="008F7E23">
            <w:pPr>
              <w:pStyle w:val="Tables"/>
              <w:jc w:val="center"/>
            </w:pPr>
            <w:r w:rsidRPr="003B4AEE">
              <w:t>24</w:t>
            </w:r>
          </w:p>
        </w:tc>
      </w:tr>
      <w:tr w:rsidR="00E40C57" w:rsidRPr="003B4AEE" w14:paraId="7DCD17D7" w14:textId="77777777" w:rsidTr="00D4452C">
        <w:tc>
          <w:tcPr>
            <w:tcW w:w="4135" w:type="dxa"/>
          </w:tcPr>
          <w:p w14:paraId="4FAAC8B0" w14:textId="20D1FDD7" w:rsidR="00E40C57" w:rsidRPr="003B4AEE" w:rsidRDefault="009C3DF8" w:rsidP="00EF1FFC">
            <w:pPr>
              <w:pStyle w:val="Tables"/>
            </w:pPr>
            <w:r w:rsidRPr="003B4AEE">
              <w:t xml:space="preserve">IU compliance schedule </w:t>
            </w:r>
            <w:r w:rsidR="00E13024" w:rsidRPr="003B4AEE">
              <w:t>progress report-new sources</w:t>
            </w:r>
          </w:p>
        </w:tc>
        <w:tc>
          <w:tcPr>
            <w:tcW w:w="2700" w:type="dxa"/>
          </w:tcPr>
          <w:p w14:paraId="65E1ED9D" w14:textId="496ED44E" w:rsidR="00E40C57" w:rsidRPr="003B4AEE" w:rsidRDefault="00E40C57" w:rsidP="00EF1FFC">
            <w:pPr>
              <w:pStyle w:val="Tables"/>
            </w:pPr>
            <w:r w:rsidRPr="003B4AEE">
              <w:t>4 per year</w:t>
            </w:r>
          </w:p>
        </w:tc>
        <w:tc>
          <w:tcPr>
            <w:tcW w:w="1592" w:type="dxa"/>
          </w:tcPr>
          <w:p w14:paraId="1C3A19EE" w14:textId="6ADF0BAA" w:rsidR="00E40C57" w:rsidRPr="003B4AEE" w:rsidRDefault="00E40C57" w:rsidP="00EF1FFC">
            <w:pPr>
              <w:pStyle w:val="Tables"/>
            </w:pPr>
            <w:r w:rsidRPr="003B4AEE">
              <w:t>1 per year</w:t>
            </w:r>
          </w:p>
        </w:tc>
        <w:tc>
          <w:tcPr>
            <w:tcW w:w="936" w:type="dxa"/>
          </w:tcPr>
          <w:p w14:paraId="27658C88" w14:textId="448422DC" w:rsidR="00E40C57" w:rsidRPr="003B4AEE" w:rsidRDefault="00E40C57" w:rsidP="008F7E23">
            <w:pPr>
              <w:pStyle w:val="Tables"/>
              <w:jc w:val="center"/>
            </w:pPr>
            <w:r w:rsidRPr="003B4AEE">
              <w:t>1</w:t>
            </w:r>
          </w:p>
        </w:tc>
      </w:tr>
      <w:tr w:rsidR="00791C1A" w:rsidRPr="003B4AEE" w14:paraId="5A1230DD" w14:textId="77777777" w:rsidTr="00D4452C">
        <w:tc>
          <w:tcPr>
            <w:tcW w:w="4135" w:type="dxa"/>
          </w:tcPr>
          <w:p w14:paraId="40189C86" w14:textId="2C019417" w:rsidR="00791C1A" w:rsidRPr="003B4AEE" w:rsidRDefault="00791C1A" w:rsidP="00EF1FFC">
            <w:pPr>
              <w:pStyle w:val="Tables"/>
            </w:pPr>
            <w:r w:rsidRPr="003B4AEE">
              <w:t xml:space="preserve">CIU </w:t>
            </w:r>
            <w:r w:rsidR="004E01E6" w:rsidRPr="003B4AEE">
              <w:t>compliance attainment r</w:t>
            </w:r>
            <w:r w:rsidRPr="003B4AEE">
              <w:t>eport-</w:t>
            </w:r>
            <w:r w:rsidR="004E01E6" w:rsidRPr="003B4AEE">
              <w:t>new sources</w:t>
            </w:r>
          </w:p>
        </w:tc>
        <w:tc>
          <w:tcPr>
            <w:tcW w:w="2700" w:type="dxa"/>
          </w:tcPr>
          <w:p w14:paraId="0B399F9E" w14:textId="14C930F7" w:rsidR="00791C1A" w:rsidRPr="003B4AEE" w:rsidRDefault="00791C1A" w:rsidP="00EF1FFC">
            <w:pPr>
              <w:pStyle w:val="Tables"/>
            </w:pPr>
            <w:r w:rsidRPr="003B4AEE">
              <w:t>17 per year</w:t>
            </w:r>
          </w:p>
        </w:tc>
        <w:tc>
          <w:tcPr>
            <w:tcW w:w="1592" w:type="dxa"/>
          </w:tcPr>
          <w:p w14:paraId="61D66E00" w14:textId="05683B97" w:rsidR="00791C1A" w:rsidRPr="003B4AEE" w:rsidRDefault="00791C1A" w:rsidP="00EF1FFC">
            <w:pPr>
              <w:pStyle w:val="Tables"/>
            </w:pPr>
            <w:r w:rsidRPr="003B4AEE">
              <w:t>5 per year</w:t>
            </w:r>
          </w:p>
        </w:tc>
        <w:tc>
          <w:tcPr>
            <w:tcW w:w="936" w:type="dxa"/>
          </w:tcPr>
          <w:p w14:paraId="3CAD2932" w14:textId="0AC2CAC1" w:rsidR="00791C1A" w:rsidRPr="003B4AEE" w:rsidRDefault="00791C1A" w:rsidP="008F7E23">
            <w:pPr>
              <w:pStyle w:val="Tables"/>
              <w:jc w:val="center"/>
            </w:pPr>
            <w:r w:rsidRPr="003B4AEE">
              <w:t>2</w:t>
            </w:r>
          </w:p>
        </w:tc>
      </w:tr>
      <w:tr w:rsidR="00791C1A" w:rsidRPr="003B4AEE" w14:paraId="50C6A727" w14:textId="77777777" w:rsidTr="00D4452C">
        <w:tc>
          <w:tcPr>
            <w:tcW w:w="4135" w:type="dxa"/>
          </w:tcPr>
          <w:p w14:paraId="4D471666" w14:textId="333436EF" w:rsidR="00791C1A" w:rsidRPr="003B4AEE" w:rsidRDefault="00791C1A" w:rsidP="00EF1FFC">
            <w:pPr>
              <w:pStyle w:val="Tables"/>
            </w:pPr>
            <w:r w:rsidRPr="003B4AEE">
              <w:t xml:space="preserve">IU </w:t>
            </w:r>
            <w:r w:rsidR="004E01E6" w:rsidRPr="003B4AEE">
              <w:t>resampling compliance report</w:t>
            </w:r>
          </w:p>
        </w:tc>
        <w:tc>
          <w:tcPr>
            <w:tcW w:w="2700" w:type="dxa"/>
          </w:tcPr>
          <w:p w14:paraId="3B333054" w14:textId="1D0F14A0" w:rsidR="00791C1A" w:rsidRPr="003B4AEE" w:rsidRDefault="00791C1A" w:rsidP="00EF1FFC">
            <w:pPr>
              <w:pStyle w:val="Tables"/>
            </w:pPr>
            <w:r w:rsidRPr="003B4AEE">
              <w:t>176 per year</w:t>
            </w:r>
          </w:p>
        </w:tc>
        <w:tc>
          <w:tcPr>
            <w:tcW w:w="1592" w:type="dxa"/>
          </w:tcPr>
          <w:p w14:paraId="0BC823F3" w14:textId="6696FC77" w:rsidR="00791C1A" w:rsidRPr="003B4AEE" w:rsidRDefault="00791C1A" w:rsidP="00EF1FFC">
            <w:pPr>
              <w:pStyle w:val="Tables"/>
            </w:pPr>
            <w:r w:rsidRPr="003B4AEE">
              <w:t>56 per year</w:t>
            </w:r>
          </w:p>
        </w:tc>
        <w:tc>
          <w:tcPr>
            <w:tcW w:w="936" w:type="dxa"/>
          </w:tcPr>
          <w:p w14:paraId="35D1E839" w14:textId="4FDAEEFC" w:rsidR="00791C1A" w:rsidRPr="003B4AEE" w:rsidRDefault="00791C1A" w:rsidP="008F7E23">
            <w:pPr>
              <w:pStyle w:val="Tables"/>
              <w:jc w:val="center"/>
            </w:pPr>
            <w:r w:rsidRPr="003B4AEE">
              <w:t>4</w:t>
            </w:r>
          </w:p>
        </w:tc>
      </w:tr>
      <w:tr w:rsidR="00791C1A" w:rsidRPr="003B4AEE" w14:paraId="1C39CE4D" w14:textId="77777777" w:rsidTr="00D4452C">
        <w:tc>
          <w:tcPr>
            <w:tcW w:w="4135" w:type="dxa"/>
          </w:tcPr>
          <w:p w14:paraId="700751D7" w14:textId="32DABD4A" w:rsidR="00791C1A" w:rsidRPr="003B4AEE" w:rsidRDefault="00791C1A" w:rsidP="00EF1FFC">
            <w:pPr>
              <w:pStyle w:val="Tables"/>
            </w:pPr>
            <w:r w:rsidRPr="003B4AEE">
              <w:t xml:space="preserve">IU/SIU </w:t>
            </w:r>
            <w:r w:rsidR="004E01E6" w:rsidRPr="003B4AEE">
              <w:t>self</w:t>
            </w:r>
            <w:r w:rsidRPr="003B4AEE">
              <w:t>-</w:t>
            </w:r>
            <w:r w:rsidR="004E01E6" w:rsidRPr="003B4AEE">
              <w:t>monitoring compliance r</w:t>
            </w:r>
            <w:r w:rsidRPr="003B4AEE">
              <w:t xml:space="preserve">eport </w:t>
            </w:r>
            <w:r w:rsidR="004E01E6" w:rsidRPr="003B4AEE">
              <w:t xml:space="preserve">categorical </w:t>
            </w:r>
            <w:r w:rsidRPr="003B4AEE">
              <w:t>SIUs</w:t>
            </w:r>
          </w:p>
        </w:tc>
        <w:tc>
          <w:tcPr>
            <w:tcW w:w="2700" w:type="dxa"/>
          </w:tcPr>
          <w:p w14:paraId="63DB9AAB" w14:textId="4F0E2523" w:rsidR="00791C1A" w:rsidRPr="003B4AEE" w:rsidRDefault="00791C1A" w:rsidP="00EF1FFC">
            <w:pPr>
              <w:pStyle w:val="Tables"/>
            </w:pPr>
            <w:r w:rsidRPr="003B4AEE">
              <w:t xml:space="preserve">882 </w:t>
            </w:r>
            <w:r w:rsidR="002E54C6" w:rsidRPr="003B4AEE">
              <w:t xml:space="preserve">twice </w:t>
            </w:r>
            <w:r w:rsidRPr="003B4AEE">
              <w:t>per year</w:t>
            </w:r>
          </w:p>
        </w:tc>
        <w:tc>
          <w:tcPr>
            <w:tcW w:w="1592" w:type="dxa"/>
          </w:tcPr>
          <w:p w14:paraId="67662978" w14:textId="51CE9454" w:rsidR="00791C1A" w:rsidRPr="003B4AEE" w:rsidRDefault="00791C1A" w:rsidP="00EF1FFC">
            <w:pPr>
              <w:pStyle w:val="Tables"/>
            </w:pPr>
            <w:r w:rsidRPr="003B4AEE">
              <w:t xml:space="preserve">280 </w:t>
            </w:r>
            <w:r w:rsidR="002E54C6" w:rsidRPr="003B4AEE">
              <w:t xml:space="preserve">twice </w:t>
            </w:r>
            <w:r w:rsidRPr="003B4AEE">
              <w:t>per year</w:t>
            </w:r>
          </w:p>
        </w:tc>
        <w:tc>
          <w:tcPr>
            <w:tcW w:w="936" w:type="dxa"/>
          </w:tcPr>
          <w:p w14:paraId="7AC96BCF" w14:textId="14F7331F" w:rsidR="00791C1A" w:rsidRPr="003B4AEE" w:rsidRDefault="00791C1A" w:rsidP="008F7E23">
            <w:pPr>
              <w:pStyle w:val="Tables"/>
              <w:jc w:val="center"/>
            </w:pPr>
            <w:r w:rsidRPr="003B4AEE">
              <w:t>2</w:t>
            </w:r>
          </w:p>
        </w:tc>
      </w:tr>
      <w:tr w:rsidR="00791C1A" w:rsidRPr="003B4AEE" w14:paraId="63932F1B" w14:textId="77777777" w:rsidTr="00D4452C">
        <w:tc>
          <w:tcPr>
            <w:tcW w:w="4135" w:type="dxa"/>
          </w:tcPr>
          <w:p w14:paraId="5269A483" w14:textId="35F22F2E" w:rsidR="00791C1A" w:rsidRPr="003B4AEE" w:rsidRDefault="00791C1A" w:rsidP="00EF1FFC">
            <w:pPr>
              <w:pStyle w:val="Tables"/>
            </w:pPr>
            <w:r w:rsidRPr="003B4AEE">
              <w:t xml:space="preserve">IU/SIU </w:t>
            </w:r>
            <w:r w:rsidR="004E01E6" w:rsidRPr="003B4AEE">
              <w:t>self</w:t>
            </w:r>
            <w:r w:rsidRPr="003B4AEE">
              <w:t>-</w:t>
            </w:r>
            <w:r w:rsidR="004E01E6" w:rsidRPr="003B4AEE">
              <w:t>monitoring compliance r</w:t>
            </w:r>
            <w:r w:rsidRPr="003B4AEE">
              <w:t xml:space="preserve">eport </w:t>
            </w:r>
            <w:r w:rsidR="004E01E6" w:rsidRPr="003B4AEE">
              <w:t>non</w:t>
            </w:r>
            <w:r w:rsidRPr="003B4AEE">
              <w:t>-</w:t>
            </w:r>
            <w:r w:rsidR="004E01E6" w:rsidRPr="003B4AEE">
              <w:t xml:space="preserve">categorical </w:t>
            </w:r>
            <w:r w:rsidRPr="003B4AEE">
              <w:t>SIUs</w:t>
            </w:r>
          </w:p>
        </w:tc>
        <w:tc>
          <w:tcPr>
            <w:tcW w:w="2700" w:type="dxa"/>
          </w:tcPr>
          <w:p w14:paraId="39D9296E" w14:textId="3B816CC6" w:rsidR="00791C1A" w:rsidRPr="003B4AEE" w:rsidRDefault="00791C1A" w:rsidP="00EF1FFC">
            <w:pPr>
              <w:pStyle w:val="Tables"/>
            </w:pPr>
            <w:r w:rsidRPr="003B4AEE">
              <w:t xml:space="preserve">1,074 </w:t>
            </w:r>
            <w:r w:rsidR="002E54C6" w:rsidRPr="003B4AEE">
              <w:t xml:space="preserve">twice </w:t>
            </w:r>
            <w:r w:rsidRPr="003B4AEE">
              <w:t>per year</w:t>
            </w:r>
          </w:p>
        </w:tc>
        <w:tc>
          <w:tcPr>
            <w:tcW w:w="1592" w:type="dxa"/>
          </w:tcPr>
          <w:p w14:paraId="5B1733C1" w14:textId="6F36C54A" w:rsidR="00791C1A" w:rsidRPr="003B4AEE" w:rsidRDefault="00791C1A" w:rsidP="00EF1FFC">
            <w:pPr>
              <w:pStyle w:val="Tables"/>
            </w:pPr>
            <w:r w:rsidRPr="003B4AEE">
              <w:t xml:space="preserve">341 </w:t>
            </w:r>
            <w:r w:rsidR="002E54C6" w:rsidRPr="003B4AEE">
              <w:t xml:space="preserve">twice </w:t>
            </w:r>
            <w:r w:rsidRPr="003B4AEE">
              <w:t>per year</w:t>
            </w:r>
          </w:p>
        </w:tc>
        <w:tc>
          <w:tcPr>
            <w:tcW w:w="936" w:type="dxa"/>
          </w:tcPr>
          <w:p w14:paraId="2429684E" w14:textId="7B73CD66" w:rsidR="00791C1A" w:rsidRPr="003B4AEE" w:rsidRDefault="00791C1A" w:rsidP="008F7E23">
            <w:pPr>
              <w:pStyle w:val="Tables"/>
              <w:jc w:val="center"/>
            </w:pPr>
            <w:r w:rsidRPr="003B4AEE">
              <w:t>1</w:t>
            </w:r>
          </w:p>
        </w:tc>
      </w:tr>
      <w:tr w:rsidR="00791C1A" w:rsidRPr="003B4AEE" w14:paraId="673B3813" w14:textId="77777777" w:rsidTr="00D4452C">
        <w:tc>
          <w:tcPr>
            <w:tcW w:w="4135" w:type="dxa"/>
          </w:tcPr>
          <w:p w14:paraId="5816A796" w14:textId="18A97C68" w:rsidR="00791C1A" w:rsidRPr="003B4AEE" w:rsidRDefault="00791C1A" w:rsidP="00EF1FFC">
            <w:pPr>
              <w:pStyle w:val="Tables"/>
            </w:pPr>
            <w:r w:rsidRPr="003B4AEE">
              <w:t>PFPR P2 Plan-</w:t>
            </w:r>
            <w:r w:rsidR="004E01E6" w:rsidRPr="003B4AEE">
              <w:t>modifications</w:t>
            </w:r>
          </w:p>
        </w:tc>
        <w:tc>
          <w:tcPr>
            <w:tcW w:w="2700" w:type="dxa"/>
          </w:tcPr>
          <w:p w14:paraId="78280E17" w14:textId="249BB260" w:rsidR="00791C1A" w:rsidRPr="003B4AEE" w:rsidRDefault="00791C1A" w:rsidP="00EF1FFC">
            <w:pPr>
              <w:pStyle w:val="Tables"/>
            </w:pPr>
            <w:r w:rsidRPr="003B4AEE">
              <w:t>13 per year</w:t>
            </w:r>
          </w:p>
        </w:tc>
        <w:tc>
          <w:tcPr>
            <w:tcW w:w="1592" w:type="dxa"/>
          </w:tcPr>
          <w:p w14:paraId="33B17813" w14:textId="0416CB25" w:rsidR="00791C1A" w:rsidRPr="003B4AEE" w:rsidRDefault="00791C1A" w:rsidP="00EF1FFC">
            <w:pPr>
              <w:pStyle w:val="Tables"/>
            </w:pPr>
            <w:r w:rsidRPr="003B4AEE">
              <w:t>4 per year</w:t>
            </w:r>
          </w:p>
        </w:tc>
        <w:tc>
          <w:tcPr>
            <w:tcW w:w="936" w:type="dxa"/>
          </w:tcPr>
          <w:p w14:paraId="3A584426" w14:textId="43DD9FEF" w:rsidR="00791C1A" w:rsidRPr="003B4AEE" w:rsidRDefault="00791C1A" w:rsidP="008F7E23">
            <w:pPr>
              <w:pStyle w:val="Tables"/>
              <w:jc w:val="center"/>
            </w:pPr>
            <w:r w:rsidRPr="003B4AEE">
              <w:t>3</w:t>
            </w:r>
          </w:p>
        </w:tc>
      </w:tr>
      <w:tr w:rsidR="00791C1A" w:rsidRPr="003B4AEE" w14:paraId="08C0A736" w14:textId="77777777" w:rsidTr="00D4452C">
        <w:tc>
          <w:tcPr>
            <w:tcW w:w="4135" w:type="dxa"/>
          </w:tcPr>
          <w:p w14:paraId="65E31BAC" w14:textId="391658A1" w:rsidR="00791C1A" w:rsidRPr="003B4AEE" w:rsidRDefault="00791C1A" w:rsidP="00EF1FFC">
            <w:pPr>
              <w:pStyle w:val="Tables"/>
            </w:pPr>
            <w:r w:rsidRPr="003B4AEE">
              <w:t xml:space="preserve">Periodic </w:t>
            </w:r>
            <w:r w:rsidR="004E01E6" w:rsidRPr="003B4AEE">
              <w:t>certifications</w:t>
            </w:r>
          </w:p>
        </w:tc>
        <w:tc>
          <w:tcPr>
            <w:tcW w:w="2700" w:type="dxa"/>
          </w:tcPr>
          <w:p w14:paraId="54A98F77" w14:textId="2CECB7C4" w:rsidR="00791C1A" w:rsidRPr="003B4AEE" w:rsidRDefault="002E54C6" w:rsidP="00EF1FFC">
            <w:pPr>
              <w:pStyle w:val="Tables"/>
            </w:pPr>
            <w:r w:rsidRPr="003B4AEE">
              <w:t>1,269</w:t>
            </w:r>
            <w:r w:rsidR="00791C1A" w:rsidRPr="003B4AEE">
              <w:t xml:space="preserve"> per year</w:t>
            </w:r>
          </w:p>
        </w:tc>
        <w:tc>
          <w:tcPr>
            <w:tcW w:w="1592" w:type="dxa"/>
          </w:tcPr>
          <w:p w14:paraId="07F1BD59" w14:textId="5F00DFDB" w:rsidR="00791C1A" w:rsidRPr="003B4AEE" w:rsidRDefault="002E54C6" w:rsidP="00EF1FFC">
            <w:pPr>
              <w:pStyle w:val="Tables"/>
            </w:pPr>
            <w:r w:rsidRPr="003B4AEE">
              <w:t>406</w:t>
            </w:r>
            <w:r w:rsidR="00791C1A" w:rsidRPr="003B4AEE">
              <w:t xml:space="preserve"> per year</w:t>
            </w:r>
          </w:p>
        </w:tc>
        <w:tc>
          <w:tcPr>
            <w:tcW w:w="936" w:type="dxa"/>
          </w:tcPr>
          <w:p w14:paraId="5FF9AF22" w14:textId="6661888A" w:rsidR="00791C1A" w:rsidRPr="003B4AEE" w:rsidRDefault="00791C1A" w:rsidP="008F7E23">
            <w:pPr>
              <w:pStyle w:val="Tables"/>
              <w:jc w:val="center"/>
            </w:pPr>
            <w:r w:rsidRPr="003B4AEE">
              <w:t>1</w:t>
            </w:r>
          </w:p>
        </w:tc>
      </w:tr>
      <w:tr w:rsidR="00791C1A" w:rsidRPr="003B4AEE" w14:paraId="29BBC474" w14:textId="77777777" w:rsidTr="00D4452C">
        <w:tc>
          <w:tcPr>
            <w:tcW w:w="4135" w:type="dxa"/>
          </w:tcPr>
          <w:p w14:paraId="2083168C" w14:textId="58088F03" w:rsidR="00791C1A" w:rsidRPr="003B4AEE" w:rsidRDefault="00F3093C" w:rsidP="00EF1FFC">
            <w:pPr>
              <w:pStyle w:val="Tables"/>
            </w:pPr>
            <w:r w:rsidRPr="003B4AEE">
              <w:t xml:space="preserve">IU </w:t>
            </w:r>
            <w:r w:rsidR="004E01E6" w:rsidRPr="003B4AEE">
              <w:t>slug load notification</w:t>
            </w:r>
          </w:p>
        </w:tc>
        <w:tc>
          <w:tcPr>
            <w:tcW w:w="2700" w:type="dxa"/>
          </w:tcPr>
          <w:p w14:paraId="6004B660" w14:textId="3F98C9F9" w:rsidR="00791C1A" w:rsidRPr="003B4AEE" w:rsidRDefault="002E54C6" w:rsidP="00EF1FFC">
            <w:pPr>
              <w:pStyle w:val="Tables"/>
            </w:pPr>
            <w:r w:rsidRPr="003B4AEE">
              <w:t>47 per year</w:t>
            </w:r>
          </w:p>
        </w:tc>
        <w:tc>
          <w:tcPr>
            <w:tcW w:w="1592" w:type="dxa"/>
          </w:tcPr>
          <w:p w14:paraId="2FD55F96" w14:textId="63892122" w:rsidR="00791C1A" w:rsidRPr="003B4AEE" w:rsidRDefault="002E54C6" w:rsidP="00EF1FFC">
            <w:pPr>
              <w:pStyle w:val="Tables"/>
            </w:pPr>
            <w:r w:rsidRPr="003B4AEE">
              <w:t>15 per year</w:t>
            </w:r>
          </w:p>
        </w:tc>
        <w:tc>
          <w:tcPr>
            <w:tcW w:w="936" w:type="dxa"/>
          </w:tcPr>
          <w:p w14:paraId="27C0C7BF" w14:textId="79A521C9" w:rsidR="00791C1A" w:rsidRPr="003B4AEE" w:rsidRDefault="002E54C6" w:rsidP="008F7E23">
            <w:pPr>
              <w:pStyle w:val="Tables"/>
              <w:jc w:val="center"/>
            </w:pPr>
            <w:r w:rsidRPr="003B4AEE">
              <w:t>0.25</w:t>
            </w:r>
          </w:p>
        </w:tc>
      </w:tr>
      <w:tr w:rsidR="002E54C6" w:rsidRPr="003B4AEE" w14:paraId="302D96EF" w14:textId="77777777" w:rsidTr="00D4452C">
        <w:tc>
          <w:tcPr>
            <w:tcW w:w="4135" w:type="dxa"/>
          </w:tcPr>
          <w:p w14:paraId="4041290C" w14:textId="587D2C88" w:rsidR="002E54C6" w:rsidRPr="003B4AEE" w:rsidRDefault="002E54C6" w:rsidP="00EF1FFC">
            <w:pPr>
              <w:pStyle w:val="Tables"/>
            </w:pPr>
            <w:r w:rsidRPr="003B4AEE">
              <w:t xml:space="preserve">Notification of </w:t>
            </w:r>
            <w:r w:rsidR="004E01E6" w:rsidRPr="003B4AEE">
              <w:t>c</w:t>
            </w:r>
            <w:r w:rsidRPr="003B4AEE">
              <w:t xml:space="preserve">hanged </w:t>
            </w:r>
            <w:r w:rsidR="004E01E6" w:rsidRPr="003B4AEE">
              <w:t>discharge</w:t>
            </w:r>
          </w:p>
        </w:tc>
        <w:tc>
          <w:tcPr>
            <w:tcW w:w="2700" w:type="dxa"/>
          </w:tcPr>
          <w:p w14:paraId="1ED0897A" w14:textId="24E86D75" w:rsidR="002E54C6" w:rsidRPr="003B4AEE" w:rsidRDefault="002E54C6" w:rsidP="00EF1FFC">
            <w:pPr>
              <w:pStyle w:val="Tables"/>
            </w:pPr>
            <w:r w:rsidRPr="003B4AEE">
              <w:t>85 per year</w:t>
            </w:r>
          </w:p>
        </w:tc>
        <w:tc>
          <w:tcPr>
            <w:tcW w:w="1592" w:type="dxa"/>
          </w:tcPr>
          <w:p w14:paraId="4136D82D" w14:textId="0697571F" w:rsidR="002E54C6" w:rsidRPr="003B4AEE" w:rsidRDefault="002E54C6" w:rsidP="00EF1FFC">
            <w:pPr>
              <w:pStyle w:val="Tables"/>
            </w:pPr>
            <w:r w:rsidRPr="003B4AEE">
              <w:t>27 per year</w:t>
            </w:r>
          </w:p>
        </w:tc>
        <w:tc>
          <w:tcPr>
            <w:tcW w:w="936" w:type="dxa"/>
          </w:tcPr>
          <w:p w14:paraId="700FFB6E" w14:textId="2D238E42" w:rsidR="002E54C6" w:rsidRPr="003B4AEE" w:rsidRDefault="002E54C6" w:rsidP="008F7E23">
            <w:pPr>
              <w:pStyle w:val="Tables"/>
              <w:jc w:val="center"/>
            </w:pPr>
            <w:r w:rsidRPr="003B4AEE">
              <w:t>2</w:t>
            </w:r>
          </w:p>
        </w:tc>
      </w:tr>
      <w:tr w:rsidR="002E54C6" w:rsidRPr="003B4AEE" w14:paraId="2CA889AB" w14:textId="77777777" w:rsidTr="00D4452C">
        <w:tc>
          <w:tcPr>
            <w:tcW w:w="4135" w:type="dxa"/>
          </w:tcPr>
          <w:p w14:paraId="60041EEC" w14:textId="55223F90" w:rsidR="002E54C6" w:rsidRPr="003B4AEE" w:rsidRDefault="002E54C6" w:rsidP="00EF1FFC">
            <w:pPr>
              <w:pStyle w:val="Tables"/>
            </w:pPr>
            <w:r w:rsidRPr="003B4AEE">
              <w:t xml:space="preserve">Annual POTW </w:t>
            </w:r>
            <w:r w:rsidR="004E01E6" w:rsidRPr="003B4AEE">
              <w:t>reports</w:t>
            </w:r>
          </w:p>
        </w:tc>
        <w:tc>
          <w:tcPr>
            <w:tcW w:w="2700" w:type="dxa"/>
          </w:tcPr>
          <w:p w14:paraId="1923243F" w14:textId="7BBA3674" w:rsidR="002E54C6" w:rsidRPr="003B4AEE" w:rsidRDefault="002E54C6" w:rsidP="00EF1FFC">
            <w:pPr>
              <w:pStyle w:val="Tables"/>
            </w:pPr>
            <w:r w:rsidRPr="003B4AEE">
              <w:t>1,171 per year</w:t>
            </w:r>
          </w:p>
        </w:tc>
        <w:tc>
          <w:tcPr>
            <w:tcW w:w="1592" w:type="dxa"/>
          </w:tcPr>
          <w:p w14:paraId="74323690" w14:textId="7D1D2909" w:rsidR="002E54C6" w:rsidRPr="003B4AEE" w:rsidRDefault="002E54C6" w:rsidP="00EF1FFC">
            <w:pPr>
              <w:pStyle w:val="Tables"/>
            </w:pPr>
            <w:r w:rsidRPr="003B4AEE">
              <w:t>NA</w:t>
            </w:r>
          </w:p>
        </w:tc>
        <w:tc>
          <w:tcPr>
            <w:tcW w:w="936" w:type="dxa"/>
          </w:tcPr>
          <w:p w14:paraId="45641C90" w14:textId="53DB70C6" w:rsidR="002E54C6" w:rsidRPr="003B4AEE" w:rsidRDefault="002E54C6" w:rsidP="008F7E23">
            <w:pPr>
              <w:pStyle w:val="Tables"/>
              <w:jc w:val="center"/>
            </w:pPr>
            <w:r w:rsidRPr="003B4AEE">
              <w:t>20</w:t>
            </w:r>
          </w:p>
        </w:tc>
      </w:tr>
      <w:tr w:rsidR="002E54C6" w:rsidRPr="003B4AEE" w14:paraId="095E05F5" w14:textId="77777777" w:rsidTr="00D4452C">
        <w:tc>
          <w:tcPr>
            <w:tcW w:w="4135" w:type="dxa"/>
          </w:tcPr>
          <w:p w14:paraId="5D246792" w14:textId="4207094D" w:rsidR="002E54C6" w:rsidRPr="003B4AEE" w:rsidRDefault="00407ABD" w:rsidP="00EF1FFC">
            <w:pPr>
              <w:pStyle w:val="Tables"/>
            </w:pPr>
            <w:r w:rsidRPr="003B4AEE">
              <w:t>R</w:t>
            </w:r>
            <w:r w:rsidR="00955AED" w:rsidRPr="003B4AEE">
              <w:t xml:space="preserve">eview </w:t>
            </w:r>
            <w:r w:rsidRPr="003B4AEE">
              <w:t xml:space="preserve">of </w:t>
            </w:r>
            <w:r w:rsidR="002E54C6" w:rsidRPr="003B4AEE">
              <w:t xml:space="preserve">Inspection and </w:t>
            </w:r>
            <w:r w:rsidR="004E01E6" w:rsidRPr="003B4AEE">
              <w:t xml:space="preserve">sampling </w:t>
            </w:r>
            <w:r w:rsidR="002E54C6" w:rsidRPr="003B4AEE">
              <w:t xml:space="preserve">of IU and SIU </w:t>
            </w:r>
            <w:r w:rsidR="004E01E6" w:rsidRPr="003B4AEE">
              <w:t>effluent</w:t>
            </w:r>
            <w:r w:rsidRPr="003B4AEE">
              <w:t xml:space="preserve"> data</w:t>
            </w:r>
          </w:p>
        </w:tc>
        <w:tc>
          <w:tcPr>
            <w:tcW w:w="2700" w:type="dxa"/>
          </w:tcPr>
          <w:p w14:paraId="58A64546" w14:textId="16224879" w:rsidR="002E54C6" w:rsidRPr="003B4AEE" w:rsidRDefault="002E54C6" w:rsidP="00EF1FFC">
            <w:pPr>
              <w:pStyle w:val="Tables"/>
            </w:pPr>
            <w:r w:rsidRPr="003B4AEE">
              <w:t>1</w:t>
            </w:r>
            <w:r w:rsidR="00E45F7F" w:rsidRPr="003B4AEE">
              <w:t>6</w:t>
            </w:r>
            <w:r w:rsidRPr="003B4AEE">
              <w:t>,</w:t>
            </w:r>
            <w:r w:rsidR="00E45F7F" w:rsidRPr="003B4AEE">
              <w:t>449</w:t>
            </w:r>
            <w:r w:rsidRPr="003B4AEE">
              <w:t xml:space="preserve"> per year</w:t>
            </w:r>
          </w:p>
        </w:tc>
        <w:tc>
          <w:tcPr>
            <w:tcW w:w="1592" w:type="dxa"/>
          </w:tcPr>
          <w:p w14:paraId="7DBC6438" w14:textId="74EF6FBB" w:rsidR="002E54C6" w:rsidRPr="003B4AEE" w:rsidRDefault="00E45F7F" w:rsidP="00EF1FFC">
            <w:pPr>
              <w:pStyle w:val="Tables"/>
            </w:pPr>
            <w:r w:rsidRPr="003B4AEE">
              <w:t>599 per year</w:t>
            </w:r>
          </w:p>
        </w:tc>
        <w:tc>
          <w:tcPr>
            <w:tcW w:w="936" w:type="dxa"/>
          </w:tcPr>
          <w:p w14:paraId="3F5DB7B9" w14:textId="209E41C3" w:rsidR="002E54C6" w:rsidRPr="003B4AEE" w:rsidRDefault="00E45F7F" w:rsidP="008F7E23">
            <w:pPr>
              <w:pStyle w:val="Tables"/>
              <w:jc w:val="center"/>
            </w:pPr>
            <w:r w:rsidRPr="003B4AEE">
              <w:t>0.5</w:t>
            </w:r>
          </w:p>
        </w:tc>
      </w:tr>
      <w:tr w:rsidR="00512B7F" w:rsidRPr="003B4AEE" w14:paraId="1E1120AD" w14:textId="35EFB6AF" w:rsidTr="00D4452C">
        <w:tc>
          <w:tcPr>
            <w:tcW w:w="4135" w:type="dxa"/>
          </w:tcPr>
          <w:p w14:paraId="3C7A0CB2" w14:textId="6DE16558" w:rsidR="00512B7F" w:rsidRPr="003B4AEE" w:rsidRDefault="00512B7F" w:rsidP="00EF1FFC">
            <w:pPr>
              <w:pStyle w:val="Tables"/>
            </w:pPr>
            <w:r w:rsidRPr="003B4AEE">
              <w:t>Pretreatment Compliance Inspection (PCI)</w:t>
            </w:r>
          </w:p>
        </w:tc>
        <w:tc>
          <w:tcPr>
            <w:tcW w:w="2700" w:type="dxa"/>
          </w:tcPr>
          <w:p w14:paraId="3145D0F9" w14:textId="5A8E9CCA" w:rsidR="00512B7F" w:rsidRPr="003B4AEE" w:rsidRDefault="00512B7F" w:rsidP="00EF1FFC">
            <w:pPr>
              <w:pStyle w:val="Tables"/>
            </w:pPr>
            <w:r w:rsidRPr="003B4AEE">
              <w:t>937 per year</w:t>
            </w:r>
          </w:p>
        </w:tc>
        <w:tc>
          <w:tcPr>
            <w:tcW w:w="1592" w:type="dxa"/>
          </w:tcPr>
          <w:p w14:paraId="5E6E9ECC" w14:textId="42E9A36B" w:rsidR="00512B7F" w:rsidRPr="003B4AEE" w:rsidRDefault="00512B7F" w:rsidP="00EF1FFC">
            <w:pPr>
              <w:pStyle w:val="Tables"/>
            </w:pPr>
            <w:r w:rsidRPr="003B4AEE">
              <w:t>NA</w:t>
            </w:r>
          </w:p>
        </w:tc>
        <w:tc>
          <w:tcPr>
            <w:tcW w:w="936" w:type="dxa"/>
          </w:tcPr>
          <w:p w14:paraId="54CED6BE" w14:textId="62CEE338" w:rsidR="00512B7F" w:rsidRPr="003B4AEE" w:rsidRDefault="00512B7F" w:rsidP="008F7E23">
            <w:pPr>
              <w:pStyle w:val="Tables"/>
              <w:jc w:val="center"/>
            </w:pPr>
            <w:r w:rsidRPr="003B4AEE">
              <w:t>24</w:t>
            </w:r>
          </w:p>
        </w:tc>
      </w:tr>
      <w:tr w:rsidR="002E54C6" w:rsidRPr="003B4AEE" w14:paraId="1709F61D" w14:textId="77777777" w:rsidTr="00D4452C">
        <w:tc>
          <w:tcPr>
            <w:tcW w:w="4135" w:type="dxa"/>
          </w:tcPr>
          <w:p w14:paraId="771741FF" w14:textId="0EC7EE8C" w:rsidR="002E54C6" w:rsidRPr="003B4AEE" w:rsidRDefault="00E45F7F" w:rsidP="00EF1FFC">
            <w:pPr>
              <w:pStyle w:val="Tables"/>
            </w:pPr>
            <w:r w:rsidRPr="003B4AEE">
              <w:t xml:space="preserve">Evaluation of the </w:t>
            </w:r>
            <w:r w:rsidR="004E01E6" w:rsidRPr="003B4AEE">
              <w:t xml:space="preserve">need </w:t>
            </w:r>
            <w:r w:rsidRPr="003B4AEE">
              <w:t xml:space="preserve">to </w:t>
            </w:r>
            <w:r w:rsidR="004E01E6" w:rsidRPr="003B4AEE">
              <w:t>revise local limits</w:t>
            </w:r>
          </w:p>
        </w:tc>
        <w:tc>
          <w:tcPr>
            <w:tcW w:w="2700" w:type="dxa"/>
          </w:tcPr>
          <w:p w14:paraId="524BC41A" w14:textId="7C5374B4" w:rsidR="002E54C6" w:rsidRPr="003B4AEE" w:rsidRDefault="00E45F7F" w:rsidP="00EF1FFC">
            <w:pPr>
              <w:pStyle w:val="Tables"/>
            </w:pPr>
            <w:r w:rsidRPr="003B4AEE">
              <w:t>234</w:t>
            </w:r>
            <w:r w:rsidR="00282E8F" w:rsidRPr="003B4AEE">
              <w:t xml:space="preserve"> per year</w:t>
            </w:r>
          </w:p>
        </w:tc>
        <w:tc>
          <w:tcPr>
            <w:tcW w:w="1592" w:type="dxa"/>
          </w:tcPr>
          <w:p w14:paraId="3FAF0C03" w14:textId="62BC4C42" w:rsidR="002E54C6" w:rsidRPr="003B4AEE" w:rsidRDefault="00E45F7F" w:rsidP="00EF1FFC">
            <w:pPr>
              <w:pStyle w:val="Tables"/>
            </w:pPr>
            <w:r w:rsidRPr="003B4AEE">
              <w:t>NA</w:t>
            </w:r>
          </w:p>
        </w:tc>
        <w:tc>
          <w:tcPr>
            <w:tcW w:w="936" w:type="dxa"/>
          </w:tcPr>
          <w:p w14:paraId="396C9E84" w14:textId="6B3618E6" w:rsidR="002E54C6" w:rsidRPr="003B4AEE" w:rsidRDefault="00E45F7F" w:rsidP="008F7E23">
            <w:pPr>
              <w:pStyle w:val="Tables"/>
              <w:jc w:val="center"/>
            </w:pPr>
            <w:r w:rsidRPr="003B4AEE">
              <w:t>1</w:t>
            </w:r>
          </w:p>
        </w:tc>
      </w:tr>
      <w:tr w:rsidR="00E45F7F" w:rsidRPr="003B4AEE" w14:paraId="73758E0B" w14:textId="77777777" w:rsidTr="00D4452C">
        <w:tc>
          <w:tcPr>
            <w:tcW w:w="4135" w:type="dxa"/>
          </w:tcPr>
          <w:p w14:paraId="03D5672F" w14:textId="3D5B4E9B" w:rsidR="00E45F7F" w:rsidRPr="003B4AEE" w:rsidRDefault="00E45F7F" w:rsidP="00EF1FFC">
            <w:pPr>
              <w:pStyle w:val="Tables"/>
            </w:pPr>
            <w:r w:rsidRPr="003B4AEE">
              <w:t xml:space="preserve">Net/Gross </w:t>
            </w:r>
            <w:r w:rsidR="004E01E6" w:rsidRPr="003B4AEE">
              <w:t>adjustment request</w:t>
            </w:r>
          </w:p>
        </w:tc>
        <w:tc>
          <w:tcPr>
            <w:tcW w:w="2700" w:type="dxa"/>
          </w:tcPr>
          <w:p w14:paraId="2CE41BC4" w14:textId="2FAEEC09" w:rsidR="00E45F7F" w:rsidRPr="003B4AEE" w:rsidRDefault="00E45F7F" w:rsidP="00EF1FFC">
            <w:pPr>
              <w:pStyle w:val="Tables"/>
            </w:pPr>
            <w:r w:rsidRPr="003B4AEE">
              <w:t>2</w:t>
            </w:r>
            <w:r w:rsidR="00282E8F" w:rsidRPr="003B4AEE">
              <w:t xml:space="preserve"> per year</w:t>
            </w:r>
          </w:p>
        </w:tc>
        <w:tc>
          <w:tcPr>
            <w:tcW w:w="1592" w:type="dxa"/>
          </w:tcPr>
          <w:p w14:paraId="4609EFB1" w14:textId="6CC661E8" w:rsidR="00E45F7F" w:rsidRPr="003B4AEE" w:rsidRDefault="00E45F7F" w:rsidP="00EF1FFC">
            <w:pPr>
              <w:pStyle w:val="Tables"/>
            </w:pPr>
            <w:r w:rsidRPr="003B4AEE">
              <w:t>NA</w:t>
            </w:r>
          </w:p>
        </w:tc>
        <w:tc>
          <w:tcPr>
            <w:tcW w:w="936" w:type="dxa"/>
          </w:tcPr>
          <w:p w14:paraId="063D29B4" w14:textId="17D05C6F" w:rsidR="00E45F7F" w:rsidRPr="003B4AEE" w:rsidRDefault="00E45F7F" w:rsidP="008F7E23">
            <w:pPr>
              <w:pStyle w:val="Tables"/>
              <w:jc w:val="center"/>
            </w:pPr>
            <w:r w:rsidRPr="003B4AEE">
              <w:t>10</w:t>
            </w:r>
          </w:p>
        </w:tc>
      </w:tr>
      <w:tr w:rsidR="00E45F7F" w:rsidRPr="003B4AEE" w14:paraId="206D4D57" w14:textId="77777777" w:rsidTr="00D4452C">
        <w:tc>
          <w:tcPr>
            <w:tcW w:w="4135" w:type="dxa"/>
          </w:tcPr>
          <w:p w14:paraId="7FD729EA" w14:textId="46330FFB" w:rsidR="00E45F7F" w:rsidRPr="003B4AEE" w:rsidRDefault="00E45F7F" w:rsidP="00EF1FFC">
            <w:pPr>
              <w:pStyle w:val="Tables"/>
            </w:pPr>
            <w:r w:rsidRPr="003B4AEE">
              <w:t xml:space="preserve">Removal </w:t>
            </w:r>
            <w:r w:rsidR="004E01E6" w:rsidRPr="003B4AEE">
              <w:t xml:space="preserve">credit approval </w:t>
            </w:r>
          </w:p>
        </w:tc>
        <w:tc>
          <w:tcPr>
            <w:tcW w:w="2700" w:type="dxa"/>
          </w:tcPr>
          <w:p w14:paraId="7C6FE1D4" w14:textId="326A81D6" w:rsidR="00E45F7F" w:rsidRPr="003B4AEE" w:rsidRDefault="00282E8F" w:rsidP="00EF1FFC">
            <w:pPr>
              <w:pStyle w:val="Tables"/>
            </w:pPr>
            <w:r w:rsidRPr="003B4AEE">
              <w:t>2 per year</w:t>
            </w:r>
          </w:p>
        </w:tc>
        <w:tc>
          <w:tcPr>
            <w:tcW w:w="1592" w:type="dxa"/>
          </w:tcPr>
          <w:p w14:paraId="6B376A8A" w14:textId="11A6EAA2" w:rsidR="00E45F7F" w:rsidRPr="003B4AEE" w:rsidRDefault="00E45F7F" w:rsidP="00EF1FFC">
            <w:pPr>
              <w:pStyle w:val="Tables"/>
            </w:pPr>
            <w:r w:rsidRPr="003B4AEE">
              <w:t>NA</w:t>
            </w:r>
          </w:p>
        </w:tc>
        <w:tc>
          <w:tcPr>
            <w:tcW w:w="936" w:type="dxa"/>
          </w:tcPr>
          <w:p w14:paraId="47FF18F5" w14:textId="05C5D5B5" w:rsidR="00E45F7F" w:rsidRPr="003B4AEE" w:rsidRDefault="00E45F7F" w:rsidP="008F7E23">
            <w:pPr>
              <w:pStyle w:val="Tables"/>
              <w:jc w:val="center"/>
            </w:pPr>
            <w:r w:rsidRPr="003B4AEE">
              <w:t>80</w:t>
            </w:r>
          </w:p>
        </w:tc>
      </w:tr>
      <w:tr w:rsidR="00E45F7F" w:rsidRPr="003B4AEE" w14:paraId="02738672" w14:textId="77777777" w:rsidTr="00D4452C">
        <w:tc>
          <w:tcPr>
            <w:tcW w:w="4135" w:type="dxa"/>
          </w:tcPr>
          <w:p w14:paraId="1DA90F56" w14:textId="6978F16A" w:rsidR="00E45F7F" w:rsidRPr="003B4AEE" w:rsidRDefault="00282E8F" w:rsidP="00EF1FFC">
            <w:pPr>
              <w:pStyle w:val="Tables"/>
            </w:pPr>
            <w:r w:rsidRPr="003B4AEE">
              <w:t xml:space="preserve">Removal </w:t>
            </w:r>
            <w:r w:rsidR="004E01E6" w:rsidRPr="003B4AEE">
              <w:t>credit self</w:t>
            </w:r>
            <w:r w:rsidRPr="003B4AEE">
              <w:t>-</w:t>
            </w:r>
            <w:r w:rsidR="004E01E6" w:rsidRPr="003B4AEE">
              <w:t>monitoring report</w:t>
            </w:r>
            <w:r w:rsidR="003E5304" w:rsidRPr="003B4AEE">
              <w:t xml:space="preserve"> review</w:t>
            </w:r>
          </w:p>
        </w:tc>
        <w:tc>
          <w:tcPr>
            <w:tcW w:w="2700" w:type="dxa"/>
          </w:tcPr>
          <w:p w14:paraId="79BE1960" w14:textId="1BE225EA" w:rsidR="00E45F7F" w:rsidRPr="003B4AEE" w:rsidRDefault="00282E8F" w:rsidP="00EF1FFC">
            <w:pPr>
              <w:pStyle w:val="Tables"/>
            </w:pPr>
            <w:r w:rsidRPr="003B4AEE">
              <w:t>19 per year</w:t>
            </w:r>
          </w:p>
        </w:tc>
        <w:tc>
          <w:tcPr>
            <w:tcW w:w="1592" w:type="dxa"/>
          </w:tcPr>
          <w:p w14:paraId="0CE06E7D" w14:textId="4B840B50" w:rsidR="00E45F7F" w:rsidRPr="003B4AEE" w:rsidRDefault="00282E8F" w:rsidP="00EF1FFC">
            <w:pPr>
              <w:pStyle w:val="Tables"/>
            </w:pPr>
            <w:r w:rsidRPr="003B4AEE">
              <w:t>NA</w:t>
            </w:r>
          </w:p>
        </w:tc>
        <w:tc>
          <w:tcPr>
            <w:tcW w:w="936" w:type="dxa"/>
          </w:tcPr>
          <w:p w14:paraId="18FB7992" w14:textId="54963384" w:rsidR="00E45F7F" w:rsidRPr="003B4AEE" w:rsidRDefault="00282E8F" w:rsidP="008F7E23">
            <w:pPr>
              <w:pStyle w:val="Tables"/>
              <w:jc w:val="center"/>
            </w:pPr>
            <w:r w:rsidRPr="003B4AEE">
              <w:t>1</w:t>
            </w:r>
          </w:p>
        </w:tc>
      </w:tr>
      <w:tr w:rsidR="00791C1A" w:rsidRPr="003B4AEE" w14:paraId="68A28DC1" w14:textId="77777777" w:rsidTr="00D4452C">
        <w:tc>
          <w:tcPr>
            <w:tcW w:w="4135" w:type="dxa"/>
          </w:tcPr>
          <w:p w14:paraId="667A9F58" w14:textId="6CA109F3" w:rsidR="00791C1A" w:rsidRPr="003B4AEE" w:rsidRDefault="003E5304" w:rsidP="00EF1FFC">
            <w:pPr>
              <w:pStyle w:val="Tables"/>
            </w:pPr>
            <w:r w:rsidRPr="003B4AEE">
              <w:t xml:space="preserve">Maintenance of </w:t>
            </w:r>
            <w:r w:rsidR="00BB264F" w:rsidRPr="003B4AEE">
              <w:t>records</w:t>
            </w:r>
            <w:r w:rsidRPr="003B4AEE">
              <w:t xml:space="preserve"> by Approval Authority</w:t>
            </w:r>
          </w:p>
        </w:tc>
        <w:tc>
          <w:tcPr>
            <w:tcW w:w="2700" w:type="dxa"/>
          </w:tcPr>
          <w:p w14:paraId="093FE071" w14:textId="23B2DA53" w:rsidR="00791C1A" w:rsidRPr="003B4AEE" w:rsidRDefault="00791C1A" w:rsidP="00EF1FFC">
            <w:pPr>
              <w:pStyle w:val="Tables"/>
            </w:pPr>
            <w:r w:rsidRPr="003B4AEE">
              <w:t>36 approved states per year</w:t>
            </w:r>
          </w:p>
        </w:tc>
        <w:tc>
          <w:tcPr>
            <w:tcW w:w="1592" w:type="dxa"/>
          </w:tcPr>
          <w:p w14:paraId="3FF9117D" w14:textId="1F6E68F6" w:rsidR="00791C1A" w:rsidRPr="003B4AEE" w:rsidRDefault="00825E24" w:rsidP="00EF1FFC">
            <w:pPr>
              <w:pStyle w:val="Tables"/>
            </w:pPr>
            <w:r w:rsidRPr="003B4AEE">
              <w:t>1 per year</w:t>
            </w:r>
          </w:p>
        </w:tc>
        <w:tc>
          <w:tcPr>
            <w:tcW w:w="936" w:type="dxa"/>
          </w:tcPr>
          <w:p w14:paraId="729210FC" w14:textId="5551D8DA" w:rsidR="00791C1A" w:rsidRPr="003B4AEE" w:rsidRDefault="00791C1A" w:rsidP="008F7E23">
            <w:pPr>
              <w:pStyle w:val="Tables"/>
              <w:jc w:val="center"/>
            </w:pPr>
            <w:r w:rsidRPr="003B4AEE">
              <w:t>50</w:t>
            </w:r>
          </w:p>
        </w:tc>
      </w:tr>
      <w:tr w:rsidR="00791C1A" w:rsidRPr="003B4AEE" w14:paraId="3F8A3122" w14:textId="77777777" w:rsidTr="00D4452C">
        <w:tc>
          <w:tcPr>
            <w:tcW w:w="4135" w:type="dxa"/>
          </w:tcPr>
          <w:p w14:paraId="3F2508D8" w14:textId="22836AC0" w:rsidR="00791C1A" w:rsidRPr="003B4AEE" w:rsidRDefault="003E5304" w:rsidP="00EF1FFC">
            <w:pPr>
              <w:pStyle w:val="Tables"/>
            </w:pPr>
            <w:r w:rsidRPr="003B4AEE">
              <w:t>Maintenance of monitoring records by Approval Authority</w:t>
            </w:r>
          </w:p>
        </w:tc>
        <w:tc>
          <w:tcPr>
            <w:tcW w:w="2700" w:type="dxa"/>
          </w:tcPr>
          <w:p w14:paraId="0AD1173F" w14:textId="26878191" w:rsidR="00791C1A" w:rsidRPr="003B4AEE" w:rsidRDefault="00791C1A" w:rsidP="00EF1FFC">
            <w:pPr>
              <w:pStyle w:val="Tables"/>
              <w:rPr>
                <w:vertAlign w:val="superscript"/>
              </w:rPr>
            </w:pPr>
            <w:r w:rsidRPr="003B4AEE">
              <w:t>Once per year for each SIU in non-approved states</w:t>
            </w:r>
            <w:r w:rsidR="003E5304" w:rsidRPr="003B4AEE">
              <w:rPr>
                <w:vertAlign w:val="superscript"/>
              </w:rPr>
              <w:t>1</w:t>
            </w:r>
          </w:p>
        </w:tc>
        <w:tc>
          <w:tcPr>
            <w:tcW w:w="1592" w:type="dxa"/>
          </w:tcPr>
          <w:p w14:paraId="72F0CA17" w14:textId="69BD71CB" w:rsidR="00791C1A" w:rsidRPr="003B4AEE" w:rsidRDefault="00825E24" w:rsidP="00EF1FFC">
            <w:pPr>
              <w:pStyle w:val="Tables"/>
            </w:pPr>
            <w:r w:rsidRPr="003B4AEE">
              <w:t>1 per year</w:t>
            </w:r>
          </w:p>
        </w:tc>
        <w:tc>
          <w:tcPr>
            <w:tcW w:w="936" w:type="dxa"/>
          </w:tcPr>
          <w:p w14:paraId="12757806" w14:textId="5120D0A2" w:rsidR="00791C1A" w:rsidRPr="003B4AEE" w:rsidRDefault="00791C1A" w:rsidP="008F7E23">
            <w:pPr>
              <w:pStyle w:val="Tables"/>
              <w:jc w:val="center"/>
            </w:pPr>
            <w:r w:rsidRPr="003B4AEE">
              <w:t>5</w:t>
            </w:r>
          </w:p>
        </w:tc>
      </w:tr>
      <w:tr w:rsidR="00FC0425" w:rsidRPr="003B4AEE" w14:paraId="1B0415BF" w14:textId="77777777" w:rsidTr="00D4452C">
        <w:tc>
          <w:tcPr>
            <w:tcW w:w="4135" w:type="dxa"/>
          </w:tcPr>
          <w:p w14:paraId="13211E2C" w14:textId="6559ECB8" w:rsidR="00FC0425" w:rsidRPr="003B4AEE" w:rsidRDefault="00FC0425" w:rsidP="00FC0425">
            <w:pPr>
              <w:pStyle w:val="Tables"/>
            </w:pPr>
            <w:r w:rsidRPr="003B4AEE">
              <w:t xml:space="preserve">Dental office </w:t>
            </w:r>
            <w:r w:rsidR="00FB20C3" w:rsidRPr="003B4AEE">
              <w:t xml:space="preserve">one-time </w:t>
            </w:r>
            <w:r w:rsidRPr="003B4AEE">
              <w:t>compliance reports</w:t>
            </w:r>
          </w:p>
        </w:tc>
        <w:tc>
          <w:tcPr>
            <w:tcW w:w="2700" w:type="dxa"/>
          </w:tcPr>
          <w:p w14:paraId="788F4457" w14:textId="43F7808B" w:rsidR="00FC0425" w:rsidRPr="003B4AEE" w:rsidRDefault="005310BC" w:rsidP="00FC0425">
            <w:pPr>
              <w:pStyle w:val="Tables"/>
            </w:pPr>
            <w:r w:rsidRPr="003B4AEE">
              <w:t xml:space="preserve">Once per new office and office transferring ownership </w:t>
            </w:r>
          </w:p>
        </w:tc>
        <w:tc>
          <w:tcPr>
            <w:tcW w:w="1592" w:type="dxa"/>
          </w:tcPr>
          <w:p w14:paraId="2B3DACF3" w14:textId="7CA71E04" w:rsidR="00FC0425" w:rsidRPr="003B4AEE" w:rsidRDefault="005310BC" w:rsidP="00FC0425">
            <w:pPr>
              <w:pStyle w:val="Tables"/>
            </w:pPr>
            <w:r w:rsidRPr="003B4AEE">
              <w:t>Once per new office and office transferring ownership</w:t>
            </w:r>
          </w:p>
        </w:tc>
        <w:tc>
          <w:tcPr>
            <w:tcW w:w="936" w:type="dxa"/>
          </w:tcPr>
          <w:p w14:paraId="7820BD1E" w14:textId="33E7FCC2" w:rsidR="00FC0425" w:rsidRPr="003B4AEE" w:rsidRDefault="00FC0425" w:rsidP="008F7E23">
            <w:pPr>
              <w:pStyle w:val="Tables"/>
              <w:jc w:val="center"/>
            </w:pPr>
            <w:r w:rsidRPr="003B4AEE">
              <w:t>0.75</w:t>
            </w:r>
          </w:p>
        </w:tc>
      </w:tr>
      <w:tr w:rsidR="00DF26A1" w:rsidRPr="003B4AEE" w14:paraId="269C2734" w14:textId="77777777" w:rsidTr="00D4452C">
        <w:tc>
          <w:tcPr>
            <w:tcW w:w="4135" w:type="dxa"/>
          </w:tcPr>
          <w:p w14:paraId="6972DBB9" w14:textId="25A01B45" w:rsidR="00DF26A1" w:rsidRPr="003B4AEE" w:rsidRDefault="00DF26A1" w:rsidP="00DF26A1">
            <w:pPr>
              <w:pStyle w:val="Tables"/>
            </w:pPr>
            <w:r w:rsidRPr="003F19ED">
              <w:t>Alternative Phase 2 Compliance Deadline Request</w:t>
            </w:r>
          </w:p>
        </w:tc>
        <w:tc>
          <w:tcPr>
            <w:tcW w:w="2700" w:type="dxa"/>
          </w:tcPr>
          <w:p w14:paraId="76643A2C" w14:textId="2779D2DA" w:rsidR="00DF26A1" w:rsidRPr="003B4AEE" w:rsidRDefault="00031867" w:rsidP="00DF26A1">
            <w:pPr>
              <w:pStyle w:val="Tables"/>
            </w:pPr>
            <w:r>
              <w:t>Once</w:t>
            </w:r>
            <w:r w:rsidR="003659A4">
              <w:t xml:space="preserve"> for states that build their own electronic reporting tools</w:t>
            </w:r>
          </w:p>
        </w:tc>
        <w:tc>
          <w:tcPr>
            <w:tcW w:w="1592" w:type="dxa"/>
          </w:tcPr>
          <w:p w14:paraId="7E188E63" w14:textId="66235B2E" w:rsidR="00DF26A1" w:rsidRPr="003B4AEE" w:rsidRDefault="00DF26A1" w:rsidP="00DF26A1">
            <w:pPr>
              <w:pStyle w:val="Tables"/>
            </w:pPr>
            <w:r>
              <w:t>On</w:t>
            </w:r>
            <w:r w:rsidR="00031867">
              <w:t>c</w:t>
            </w:r>
            <w:r>
              <w:t>e per received report</w:t>
            </w:r>
          </w:p>
        </w:tc>
        <w:tc>
          <w:tcPr>
            <w:tcW w:w="936" w:type="dxa"/>
          </w:tcPr>
          <w:p w14:paraId="0F1B5518" w14:textId="4CBBE021" w:rsidR="00DF26A1" w:rsidRPr="003B4AEE" w:rsidRDefault="00031867" w:rsidP="00DF26A1">
            <w:pPr>
              <w:pStyle w:val="Tables"/>
              <w:jc w:val="center"/>
            </w:pPr>
            <w:r>
              <w:t>16</w:t>
            </w:r>
          </w:p>
        </w:tc>
      </w:tr>
      <w:tr w:rsidR="00DF26A1" w:rsidRPr="003B4AEE" w14:paraId="072C3010" w14:textId="77777777" w:rsidTr="00D4452C">
        <w:tc>
          <w:tcPr>
            <w:tcW w:w="4135" w:type="dxa"/>
          </w:tcPr>
          <w:p w14:paraId="17299BC8" w14:textId="0A42F69E" w:rsidR="00DF26A1" w:rsidRPr="003B4AEE" w:rsidRDefault="00DF26A1" w:rsidP="00DF26A1">
            <w:pPr>
              <w:pStyle w:val="Tables"/>
            </w:pPr>
            <w:r w:rsidRPr="003F19ED">
              <w:t>General Permit and Program Report Inventory Update</w:t>
            </w:r>
          </w:p>
        </w:tc>
        <w:tc>
          <w:tcPr>
            <w:tcW w:w="2700" w:type="dxa"/>
          </w:tcPr>
          <w:p w14:paraId="324A05C6" w14:textId="72FC616F" w:rsidR="00DF26A1" w:rsidRPr="003B4AEE" w:rsidRDefault="00031867" w:rsidP="00DF26A1">
            <w:pPr>
              <w:pStyle w:val="Tables"/>
            </w:pPr>
            <w:r>
              <w:t>145 per year</w:t>
            </w:r>
            <w:r w:rsidR="003659A4">
              <w:t xml:space="preserve"> for each renewal of a general permit</w:t>
            </w:r>
          </w:p>
        </w:tc>
        <w:tc>
          <w:tcPr>
            <w:tcW w:w="1592" w:type="dxa"/>
          </w:tcPr>
          <w:p w14:paraId="5CCC46A8" w14:textId="3393B592" w:rsidR="00DF26A1" w:rsidRPr="003B4AEE" w:rsidRDefault="00031867" w:rsidP="00DF26A1">
            <w:pPr>
              <w:pStyle w:val="Tables"/>
            </w:pPr>
            <w:r>
              <w:t>12 per month</w:t>
            </w:r>
          </w:p>
        </w:tc>
        <w:tc>
          <w:tcPr>
            <w:tcW w:w="936" w:type="dxa"/>
          </w:tcPr>
          <w:p w14:paraId="23BF910C" w14:textId="398FD74D" w:rsidR="00DF26A1" w:rsidRPr="003B4AEE" w:rsidRDefault="00031867" w:rsidP="00DF26A1">
            <w:pPr>
              <w:pStyle w:val="Tables"/>
              <w:jc w:val="center"/>
            </w:pPr>
            <w:r>
              <w:t>1</w:t>
            </w:r>
          </w:p>
        </w:tc>
      </w:tr>
      <w:tr w:rsidR="00031867" w:rsidRPr="003B4AEE" w14:paraId="5714D24C" w14:textId="77777777" w:rsidTr="00D4452C">
        <w:tc>
          <w:tcPr>
            <w:tcW w:w="4135" w:type="dxa"/>
          </w:tcPr>
          <w:p w14:paraId="44E59EC3" w14:textId="3CD54873" w:rsidR="00031867" w:rsidRPr="003F19ED" w:rsidRDefault="00031867" w:rsidP="00DF26A1">
            <w:pPr>
              <w:pStyle w:val="Tables"/>
            </w:pPr>
            <w:r w:rsidRPr="00031867">
              <w:t>Annual Review of General Permit and Program Report Information</w:t>
            </w:r>
          </w:p>
        </w:tc>
        <w:tc>
          <w:tcPr>
            <w:tcW w:w="2700" w:type="dxa"/>
          </w:tcPr>
          <w:p w14:paraId="38086B1E" w14:textId="3440B993" w:rsidR="00031867" w:rsidRDefault="00031867" w:rsidP="00DF26A1">
            <w:pPr>
              <w:pStyle w:val="Tables"/>
            </w:pPr>
            <w:r>
              <w:t>Once per year</w:t>
            </w:r>
          </w:p>
        </w:tc>
        <w:tc>
          <w:tcPr>
            <w:tcW w:w="1592" w:type="dxa"/>
          </w:tcPr>
          <w:p w14:paraId="3602344B" w14:textId="35BDD683" w:rsidR="00031867" w:rsidRDefault="00031867" w:rsidP="00DF26A1">
            <w:pPr>
              <w:pStyle w:val="Tables"/>
            </w:pPr>
            <w:r>
              <w:t>Once per year</w:t>
            </w:r>
          </w:p>
        </w:tc>
        <w:tc>
          <w:tcPr>
            <w:tcW w:w="936" w:type="dxa"/>
          </w:tcPr>
          <w:p w14:paraId="0D9CE549" w14:textId="2D570676" w:rsidR="00031867" w:rsidRDefault="003659A4" w:rsidP="00DF26A1">
            <w:pPr>
              <w:pStyle w:val="Tables"/>
              <w:jc w:val="center"/>
            </w:pPr>
            <w:r>
              <w:t>4</w:t>
            </w:r>
          </w:p>
        </w:tc>
      </w:tr>
    </w:tbl>
    <w:p w14:paraId="4E8EBDDC" w14:textId="04877DE2" w:rsidR="004E707F" w:rsidRPr="003B4AEE" w:rsidRDefault="004E707F" w:rsidP="00EF1FFC">
      <w:pPr>
        <w:pStyle w:val="Tablenote"/>
      </w:pPr>
      <w:r w:rsidRPr="003B4AEE">
        <w:lastRenderedPageBreak/>
        <w:t>“NA” indicates there is no burden to EPA for the activity.</w:t>
      </w:r>
    </w:p>
    <w:p w14:paraId="39572621" w14:textId="586F91EE" w:rsidR="00C6520E" w:rsidRPr="003B4AEE" w:rsidRDefault="003E5304" w:rsidP="00EF1FFC">
      <w:pPr>
        <w:pStyle w:val="Tablenote"/>
        <w:ind w:left="180" w:hanging="180"/>
      </w:pPr>
      <w:r w:rsidRPr="003B4AEE">
        <w:rPr>
          <w:vertAlign w:val="superscript"/>
        </w:rPr>
        <w:t>1</w:t>
      </w:r>
      <w:r w:rsidR="00EF1FFC" w:rsidRPr="003B4AEE">
        <w:tab/>
      </w:r>
      <w:r w:rsidRPr="003B4AEE">
        <w:t>There is additional burden due to States that act as Control Authorities.</w:t>
      </w:r>
    </w:p>
    <w:p w14:paraId="0B3EC0FD" w14:textId="77777777" w:rsidR="00D11C94" w:rsidRPr="003B4AEE" w:rsidRDefault="00D11C94" w:rsidP="00D11C94"/>
    <w:p w14:paraId="1404AA58" w14:textId="28A54C4D" w:rsidR="00352E6F" w:rsidRPr="003B4AEE" w:rsidRDefault="006B48E0" w:rsidP="004B201E">
      <w:pPr>
        <w:pStyle w:val="BodyText"/>
      </w:pPr>
      <w:r w:rsidRPr="003B4AEE">
        <w:rPr>
          <w:i/>
        </w:rPr>
        <w:t>Federal.</w:t>
      </w:r>
      <w:r w:rsidR="001D56B6" w:rsidRPr="003B4AEE">
        <w:t xml:space="preserve"> </w:t>
      </w:r>
      <w:r w:rsidR="00352E6F" w:rsidRPr="003B4AEE">
        <w:t>Table A</w:t>
      </w:r>
      <w:r w:rsidR="00A554A5" w:rsidRPr="003B4AEE">
        <w:t>-</w:t>
      </w:r>
      <w:r w:rsidR="00352E6F" w:rsidRPr="003B4AEE">
        <w:t xml:space="preserve">4 below presents the assumptions related to EPA </w:t>
      </w:r>
      <w:r w:rsidR="0049037A" w:rsidRPr="003B4AEE">
        <w:t xml:space="preserve">pretreatment </w:t>
      </w:r>
      <w:r w:rsidR="00352E6F" w:rsidRPr="003B4AEE">
        <w:t>program oversight activities.</w:t>
      </w:r>
    </w:p>
    <w:p w14:paraId="280CF76F" w14:textId="4012AEDF" w:rsidR="00E45F7F" w:rsidRPr="003B4AEE" w:rsidRDefault="00352E6F" w:rsidP="00AF6693">
      <w:pPr>
        <w:pStyle w:val="TableTitleAppendix"/>
      </w:pPr>
      <w:bookmarkStart w:id="331" w:name="_Toc61521415"/>
      <w:r w:rsidRPr="003B4AEE">
        <w:t xml:space="preserve">Table </w:t>
      </w:r>
      <w:r w:rsidR="00ED7594" w:rsidRPr="003B4AEE">
        <w:t>A-4.</w:t>
      </w:r>
      <w:r w:rsidR="00E329D2" w:rsidRPr="003B4AEE">
        <w:t xml:space="preserve"> Summary of </w:t>
      </w:r>
      <w:r w:rsidR="00E02336" w:rsidRPr="003B4AEE">
        <w:t>B</w:t>
      </w:r>
      <w:r w:rsidR="00E329D2" w:rsidRPr="003B4AEE">
        <w:t xml:space="preserve">urden </w:t>
      </w:r>
      <w:r w:rsidR="00E02336" w:rsidRPr="003B4AEE">
        <w:t>A</w:t>
      </w:r>
      <w:r w:rsidR="00E329D2" w:rsidRPr="003B4AEE">
        <w:t xml:space="preserve">ssumption </w:t>
      </w:r>
      <w:r w:rsidR="00E02336" w:rsidRPr="003B4AEE">
        <w:t>R</w:t>
      </w:r>
      <w:r w:rsidR="00E329D2" w:rsidRPr="003B4AEE">
        <w:t xml:space="preserve">elated to EPA </w:t>
      </w:r>
      <w:r w:rsidR="00E02336" w:rsidRPr="003B4AEE">
        <w:t>P</w:t>
      </w:r>
      <w:r w:rsidR="00E329D2" w:rsidRPr="003B4AEE">
        <w:t xml:space="preserve">rogram </w:t>
      </w:r>
      <w:r w:rsidR="00E02336" w:rsidRPr="003B4AEE">
        <w:t>O</w:t>
      </w:r>
      <w:r w:rsidR="00E329D2" w:rsidRPr="003B4AEE">
        <w:t>versight</w:t>
      </w:r>
      <w:bookmarkEnd w:id="331"/>
    </w:p>
    <w:tbl>
      <w:tblPr>
        <w:tblStyle w:val="TableGrid10"/>
        <w:tblW w:w="2885" w:type="pct"/>
        <w:tblLayout w:type="fixed"/>
        <w:tblLook w:val="04A0" w:firstRow="1" w:lastRow="0" w:firstColumn="1" w:lastColumn="0" w:noHBand="0" w:noVBand="1"/>
      </w:tblPr>
      <w:tblGrid>
        <w:gridCol w:w="2847"/>
        <w:gridCol w:w="1604"/>
        <w:gridCol w:w="944"/>
      </w:tblGrid>
      <w:tr w:rsidR="00E45F7F" w:rsidRPr="003B4AEE" w14:paraId="324DF9A9" w14:textId="77777777" w:rsidTr="004B18E6">
        <w:trPr>
          <w:trHeight w:val="264"/>
          <w:tblHeader/>
        </w:trPr>
        <w:tc>
          <w:tcPr>
            <w:tcW w:w="2638" w:type="pct"/>
            <w:shd w:val="clear" w:color="auto" w:fill="D9D9D9" w:themeFill="background1" w:themeFillShade="D9"/>
            <w:noWrap/>
          </w:tcPr>
          <w:p w14:paraId="057E214F" w14:textId="24058EB2" w:rsidR="00E45F7F" w:rsidRPr="003B4AEE" w:rsidRDefault="00E45F7F" w:rsidP="004B201E">
            <w:pPr>
              <w:pStyle w:val="TableHeading"/>
              <w:rPr>
                <w:rFonts w:eastAsiaTheme="minorHAnsi"/>
              </w:rPr>
            </w:pPr>
            <w:r w:rsidRPr="003B4AEE">
              <w:rPr>
                <w:rFonts w:eastAsiaTheme="minorHAnsi"/>
              </w:rPr>
              <w:t xml:space="preserve">Federal </w:t>
            </w:r>
            <w:r w:rsidR="00E02336" w:rsidRPr="003B4AEE">
              <w:rPr>
                <w:rFonts w:eastAsiaTheme="minorHAnsi"/>
              </w:rPr>
              <w:t>A</w:t>
            </w:r>
            <w:r w:rsidRPr="003B4AEE">
              <w:rPr>
                <w:rFonts w:eastAsiaTheme="minorHAnsi"/>
              </w:rPr>
              <w:t>ctivity</w:t>
            </w:r>
          </w:p>
        </w:tc>
        <w:tc>
          <w:tcPr>
            <w:tcW w:w="1487" w:type="pct"/>
            <w:shd w:val="clear" w:color="auto" w:fill="D9D9D9" w:themeFill="background1" w:themeFillShade="D9"/>
          </w:tcPr>
          <w:p w14:paraId="52D0878C" w14:textId="77777777" w:rsidR="00E45F7F" w:rsidRPr="003B4AEE" w:rsidRDefault="00E45F7F" w:rsidP="004B201E">
            <w:pPr>
              <w:pStyle w:val="TableHeading"/>
              <w:rPr>
                <w:rFonts w:eastAsiaTheme="minorHAnsi"/>
              </w:rPr>
            </w:pPr>
            <w:r w:rsidRPr="003B4AEE">
              <w:rPr>
                <w:rFonts w:eastAsiaTheme="minorHAnsi"/>
              </w:rPr>
              <w:t>Frequency</w:t>
            </w:r>
          </w:p>
        </w:tc>
        <w:tc>
          <w:tcPr>
            <w:tcW w:w="875" w:type="pct"/>
            <w:shd w:val="clear" w:color="auto" w:fill="D9D9D9" w:themeFill="background1" w:themeFillShade="D9"/>
            <w:noWrap/>
          </w:tcPr>
          <w:p w14:paraId="24ECFA60" w14:textId="77777777" w:rsidR="00E45F7F" w:rsidRPr="003B4AEE" w:rsidRDefault="00E45F7F" w:rsidP="008F7E23">
            <w:pPr>
              <w:pStyle w:val="TableHeading"/>
              <w:rPr>
                <w:rFonts w:eastAsiaTheme="minorHAnsi"/>
              </w:rPr>
            </w:pPr>
            <w:r w:rsidRPr="003B4AEE">
              <w:rPr>
                <w:rFonts w:eastAsiaTheme="minorHAnsi"/>
              </w:rPr>
              <w:t>Burden (hours)</w:t>
            </w:r>
          </w:p>
        </w:tc>
      </w:tr>
      <w:tr w:rsidR="00E45F7F" w:rsidRPr="003B4AEE" w14:paraId="2DCD8C7D" w14:textId="77777777" w:rsidTr="004B18E6">
        <w:trPr>
          <w:trHeight w:val="264"/>
        </w:trPr>
        <w:tc>
          <w:tcPr>
            <w:tcW w:w="2638" w:type="pct"/>
            <w:noWrap/>
            <w:hideMark/>
          </w:tcPr>
          <w:p w14:paraId="746F987D" w14:textId="1D9CE448" w:rsidR="00E45F7F" w:rsidRPr="003B4AEE" w:rsidRDefault="00E45F7F" w:rsidP="00A30867">
            <w:pPr>
              <w:pStyle w:val="Tables"/>
            </w:pPr>
            <w:r w:rsidRPr="003B4AEE">
              <w:t xml:space="preserve">State </w:t>
            </w:r>
            <w:r w:rsidR="00B615BE" w:rsidRPr="003B4AEE">
              <w:t>pretreatment program</w:t>
            </w:r>
            <w:r w:rsidR="00B615BE" w:rsidRPr="003B4AEE">
              <w:rPr>
                <w:rFonts w:eastAsiaTheme="minorHAnsi"/>
              </w:rPr>
              <w:t xml:space="preserve"> </w:t>
            </w:r>
            <w:r w:rsidR="00B615BE" w:rsidRPr="003B4AEE">
              <w:t>approval request</w:t>
            </w:r>
          </w:p>
        </w:tc>
        <w:tc>
          <w:tcPr>
            <w:tcW w:w="1487" w:type="pct"/>
            <w:vAlign w:val="center"/>
          </w:tcPr>
          <w:p w14:paraId="7839FA47" w14:textId="37508D3C" w:rsidR="00E45F7F" w:rsidRPr="003B4AEE" w:rsidRDefault="00E45F7F" w:rsidP="00A30867">
            <w:pPr>
              <w:pStyle w:val="Tables"/>
            </w:pPr>
            <w:r w:rsidRPr="003B4AEE">
              <w:t>Once per request. See Appendix D</w:t>
            </w:r>
            <w:r w:rsidR="002F0421" w:rsidRPr="003B4AEE">
              <w:t>.</w:t>
            </w:r>
          </w:p>
        </w:tc>
        <w:tc>
          <w:tcPr>
            <w:tcW w:w="875" w:type="pct"/>
            <w:noWrap/>
            <w:vAlign w:val="center"/>
            <w:hideMark/>
          </w:tcPr>
          <w:p w14:paraId="63437432" w14:textId="77777777" w:rsidR="00E45F7F" w:rsidRPr="003B4AEE" w:rsidRDefault="00E45F7F" w:rsidP="008F7E23">
            <w:pPr>
              <w:pStyle w:val="Tables"/>
              <w:jc w:val="center"/>
            </w:pPr>
            <w:r w:rsidRPr="003B4AEE">
              <w:t>325</w:t>
            </w:r>
          </w:p>
        </w:tc>
      </w:tr>
      <w:tr w:rsidR="00E45F7F" w:rsidRPr="003B4AEE" w14:paraId="7CD407B1" w14:textId="77777777" w:rsidTr="004B18E6">
        <w:trPr>
          <w:trHeight w:val="264"/>
        </w:trPr>
        <w:tc>
          <w:tcPr>
            <w:tcW w:w="2638" w:type="pct"/>
            <w:noWrap/>
            <w:hideMark/>
          </w:tcPr>
          <w:p w14:paraId="41936795" w14:textId="35F35708" w:rsidR="00E45F7F" w:rsidRPr="003B4AEE" w:rsidRDefault="00E45F7F" w:rsidP="00A30867">
            <w:pPr>
              <w:pStyle w:val="Tables"/>
            </w:pPr>
            <w:r w:rsidRPr="003B4AEE">
              <w:t xml:space="preserve">POTW </w:t>
            </w:r>
            <w:r w:rsidR="00B615BE" w:rsidRPr="003B4AEE">
              <w:t>pretreatment compliance</w:t>
            </w:r>
            <w:r w:rsidR="00B615BE" w:rsidRPr="003B4AEE">
              <w:rPr>
                <w:rFonts w:eastAsiaTheme="minorHAnsi"/>
              </w:rPr>
              <w:t xml:space="preserve"> </w:t>
            </w:r>
            <w:r w:rsidR="00B615BE" w:rsidRPr="003B4AEE">
              <w:t xml:space="preserve">schedule progress </w:t>
            </w:r>
            <w:proofErr w:type="spellStart"/>
            <w:r w:rsidR="00B615BE" w:rsidRPr="003B4AEE">
              <w:t>report</w:t>
            </w:r>
            <w:r w:rsidR="00F45D34" w:rsidRPr="003B4AEE">
              <w:rPr>
                <w:vertAlign w:val="superscript"/>
              </w:rPr>
              <w:t>a</w:t>
            </w:r>
            <w:proofErr w:type="spellEnd"/>
          </w:p>
        </w:tc>
        <w:tc>
          <w:tcPr>
            <w:tcW w:w="1487" w:type="pct"/>
            <w:vAlign w:val="center"/>
          </w:tcPr>
          <w:p w14:paraId="4EF9A69B" w14:textId="77777777" w:rsidR="00E45F7F" w:rsidRPr="003B4AEE" w:rsidRDefault="00E45F7F" w:rsidP="00A30867">
            <w:pPr>
              <w:pStyle w:val="Tables"/>
            </w:pPr>
            <w:r w:rsidRPr="003B4AEE">
              <w:t>12 per year</w:t>
            </w:r>
          </w:p>
        </w:tc>
        <w:tc>
          <w:tcPr>
            <w:tcW w:w="875" w:type="pct"/>
            <w:noWrap/>
            <w:vAlign w:val="center"/>
            <w:hideMark/>
          </w:tcPr>
          <w:p w14:paraId="5A795C3A" w14:textId="77777777" w:rsidR="00E45F7F" w:rsidRPr="003B4AEE" w:rsidRDefault="00E45F7F" w:rsidP="008F7E23">
            <w:pPr>
              <w:pStyle w:val="Tables"/>
              <w:jc w:val="center"/>
            </w:pPr>
            <w:r w:rsidRPr="003B4AEE">
              <w:t>2</w:t>
            </w:r>
          </w:p>
        </w:tc>
      </w:tr>
      <w:tr w:rsidR="00E45F7F" w:rsidRPr="003B4AEE" w14:paraId="24A4C83B" w14:textId="77777777" w:rsidTr="004B18E6">
        <w:trPr>
          <w:trHeight w:val="264"/>
        </w:trPr>
        <w:tc>
          <w:tcPr>
            <w:tcW w:w="2638" w:type="pct"/>
            <w:noWrap/>
            <w:hideMark/>
          </w:tcPr>
          <w:p w14:paraId="6D37FD58" w14:textId="62D5CE42" w:rsidR="00E45F7F" w:rsidRPr="003B4AEE" w:rsidRDefault="00E45F7F" w:rsidP="00A30867">
            <w:pPr>
              <w:pStyle w:val="Tables"/>
            </w:pPr>
            <w:r w:rsidRPr="003B4AEE">
              <w:t xml:space="preserve">POTW </w:t>
            </w:r>
            <w:r w:rsidR="00B615BE" w:rsidRPr="003B4AEE">
              <w:t>pretreatment program</w:t>
            </w:r>
            <w:r w:rsidR="00B615BE" w:rsidRPr="003B4AEE">
              <w:rPr>
                <w:rFonts w:eastAsiaTheme="minorHAnsi"/>
              </w:rPr>
              <w:t xml:space="preserve"> </w:t>
            </w:r>
            <w:r w:rsidR="00B615BE" w:rsidRPr="003B4AEE">
              <w:t xml:space="preserve">approval </w:t>
            </w:r>
            <w:proofErr w:type="spellStart"/>
            <w:r w:rsidR="00B615BE" w:rsidRPr="003B4AEE">
              <w:t>request</w:t>
            </w:r>
            <w:r w:rsidR="00F45D34" w:rsidRPr="003B4AEE">
              <w:rPr>
                <w:vertAlign w:val="superscript"/>
              </w:rPr>
              <w:t>a</w:t>
            </w:r>
            <w:proofErr w:type="spellEnd"/>
          </w:p>
        </w:tc>
        <w:tc>
          <w:tcPr>
            <w:tcW w:w="1487" w:type="pct"/>
            <w:vAlign w:val="center"/>
          </w:tcPr>
          <w:p w14:paraId="17FF167A" w14:textId="23C35D14" w:rsidR="00E45F7F" w:rsidRPr="003B4AEE" w:rsidRDefault="00282E8F" w:rsidP="00A30867">
            <w:pPr>
              <w:pStyle w:val="Tables"/>
            </w:pPr>
            <w:r w:rsidRPr="003B4AEE">
              <w:t>2 per year</w:t>
            </w:r>
          </w:p>
        </w:tc>
        <w:tc>
          <w:tcPr>
            <w:tcW w:w="875" w:type="pct"/>
            <w:noWrap/>
            <w:vAlign w:val="center"/>
            <w:hideMark/>
          </w:tcPr>
          <w:p w14:paraId="300E0363" w14:textId="77777777" w:rsidR="00E45F7F" w:rsidRPr="003B4AEE" w:rsidRDefault="00E45F7F" w:rsidP="008F7E23">
            <w:pPr>
              <w:pStyle w:val="Tables"/>
              <w:jc w:val="center"/>
            </w:pPr>
            <w:r w:rsidRPr="003B4AEE">
              <w:t>40</w:t>
            </w:r>
          </w:p>
        </w:tc>
      </w:tr>
      <w:tr w:rsidR="00E45F7F" w:rsidRPr="003B4AEE" w14:paraId="65877AE3" w14:textId="77777777" w:rsidTr="004B18E6">
        <w:trPr>
          <w:trHeight w:val="264"/>
        </w:trPr>
        <w:tc>
          <w:tcPr>
            <w:tcW w:w="2638" w:type="pct"/>
            <w:noWrap/>
            <w:hideMark/>
          </w:tcPr>
          <w:p w14:paraId="60A23C0D" w14:textId="34DEA1CB" w:rsidR="00E45F7F" w:rsidRPr="003B4AEE" w:rsidRDefault="00E45F7F" w:rsidP="00A30867">
            <w:pPr>
              <w:pStyle w:val="Tables"/>
            </w:pPr>
            <w:r w:rsidRPr="003B4AEE">
              <w:t xml:space="preserve">POTW </w:t>
            </w:r>
            <w:r w:rsidR="00B615BE" w:rsidRPr="003B4AEE">
              <w:t>pretreatment program</w:t>
            </w:r>
            <w:r w:rsidR="00B615BE" w:rsidRPr="003B4AEE">
              <w:rPr>
                <w:rFonts w:eastAsiaTheme="minorHAnsi"/>
              </w:rPr>
              <w:t xml:space="preserve"> </w:t>
            </w:r>
            <w:r w:rsidR="00B615BE" w:rsidRPr="003B4AEE">
              <w:t xml:space="preserve">modification approval </w:t>
            </w:r>
            <w:proofErr w:type="spellStart"/>
            <w:r w:rsidR="00B615BE" w:rsidRPr="003B4AEE">
              <w:t>request</w:t>
            </w:r>
            <w:r w:rsidR="00F45D34" w:rsidRPr="003B4AEE">
              <w:rPr>
                <w:vertAlign w:val="superscript"/>
              </w:rPr>
              <w:t>a</w:t>
            </w:r>
            <w:proofErr w:type="spellEnd"/>
          </w:p>
        </w:tc>
        <w:tc>
          <w:tcPr>
            <w:tcW w:w="1487" w:type="pct"/>
            <w:vAlign w:val="center"/>
          </w:tcPr>
          <w:p w14:paraId="4AE6968A" w14:textId="05BE4F9C" w:rsidR="00E45F7F" w:rsidRPr="003B4AEE" w:rsidRDefault="00282E8F" w:rsidP="00A30867">
            <w:pPr>
              <w:pStyle w:val="Tables"/>
            </w:pPr>
            <w:r w:rsidRPr="003B4AEE">
              <w:t>2 per year</w:t>
            </w:r>
          </w:p>
        </w:tc>
        <w:tc>
          <w:tcPr>
            <w:tcW w:w="875" w:type="pct"/>
            <w:noWrap/>
            <w:vAlign w:val="center"/>
            <w:hideMark/>
          </w:tcPr>
          <w:p w14:paraId="0B2A017B" w14:textId="77777777" w:rsidR="00E45F7F" w:rsidRPr="003B4AEE" w:rsidRDefault="00E45F7F" w:rsidP="008F7E23">
            <w:pPr>
              <w:pStyle w:val="Tables"/>
              <w:jc w:val="center"/>
            </w:pPr>
            <w:r w:rsidRPr="003B4AEE">
              <w:t>20</w:t>
            </w:r>
          </w:p>
        </w:tc>
      </w:tr>
      <w:tr w:rsidR="00E45F7F" w:rsidRPr="003B4AEE" w14:paraId="5FECAA23" w14:textId="77777777" w:rsidTr="004B18E6">
        <w:trPr>
          <w:trHeight w:val="264"/>
        </w:trPr>
        <w:tc>
          <w:tcPr>
            <w:tcW w:w="2638" w:type="pct"/>
            <w:noWrap/>
            <w:hideMark/>
          </w:tcPr>
          <w:p w14:paraId="198240F1" w14:textId="6CF63B38" w:rsidR="00E45F7F" w:rsidRPr="003B4AEE" w:rsidRDefault="00E45F7F" w:rsidP="00A30867">
            <w:pPr>
              <w:pStyle w:val="Tables"/>
            </w:pPr>
            <w:r w:rsidRPr="003B4AEE">
              <w:t xml:space="preserve">Annual POTW </w:t>
            </w:r>
            <w:proofErr w:type="spellStart"/>
            <w:r w:rsidR="00B615BE" w:rsidRPr="003B4AEE">
              <w:t>reports</w:t>
            </w:r>
            <w:r w:rsidR="00F45D34" w:rsidRPr="003B4AEE">
              <w:rPr>
                <w:vertAlign w:val="superscript"/>
              </w:rPr>
              <w:t>a</w:t>
            </w:r>
            <w:proofErr w:type="spellEnd"/>
          </w:p>
        </w:tc>
        <w:tc>
          <w:tcPr>
            <w:tcW w:w="1487" w:type="pct"/>
            <w:vAlign w:val="center"/>
          </w:tcPr>
          <w:p w14:paraId="3502154C" w14:textId="78950B56" w:rsidR="00E45F7F" w:rsidRPr="003B4AEE" w:rsidRDefault="00282E8F" w:rsidP="00A30867">
            <w:pPr>
              <w:pStyle w:val="Tables"/>
            </w:pPr>
            <w:r w:rsidRPr="003B4AEE">
              <w:t>405 per year</w:t>
            </w:r>
          </w:p>
        </w:tc>
        <w:tc>
          <w:tcPr>
            <w:tcW w:w="875" w:type="pct"/>
            <w:noWrap/>
            <w:vAlign w:val="center"/>
            <w:hideMark/>
          </w:tcPr>
          <w:p w14:paraId="2BF7E3D8" w14:textId="77777777" w:rsidR="00E45F7F" w:rsidRPr="003B4AEE" w:rsidRDefault="00E45F7F" w:rsidP="008F7E23">
            <w:pPr>
              <w:pStyle w:val="Tables"/>
              <w:jc w:val="center"/>
            </w:pPr>
            <w:r w:rsidRPr="003B4AEE">
              <w:t>20</w:t>
            </w:r>
          </w:p>
        </w:tc>
      </w:tr>
      <w:tr w:rsidR="00E45F7F" w:rsidRPr="003B4AEE" w14:paraId="5B1E2ABC" w14:textId="3BB45021" w:rsidTr="004B18E6">
        <w:trPr>
          <w:trHeight w:val="264"/>
        </w:trPr>
        <w:tc>
          <w:tcPr>
            <w:tcW w:w="2638" w:type="pct"/>
            <w:noWrap/>
            <w:hideMark/>
          </w:tcPr>
          <w:p w14:paraId="1547E44C" w14:textId="595E258A" w:rsidR="00E45F7F" w:rsidRPr="003B4AEE" w:rsidRDefault="00E45F7F" w:rsidP="00A30867">
            <w:pPr>
              <w:pStyle w:val="Tables"/>
            </w:pPr>
            <w:r w:rsidRPr="003B4AEE">
              <w:t xml:space="preserve">Pretreatment </w:t>
            </w:r>
            <w:r w:rsidR="00B615BE" w:rsidRPr="003B4AEE">
              <w:t xml:space="preserve">compliance inspection </w:t>
            </w:r>
            <w:r w:rsidRPr="003B4AEE">
              <w:t>(PCI)</w:t>
            </w:r>
          </w:p>
        </w:tc>
        <w:tc>
          <w:tcPr>
            <w:tcW w:w="1487" w:type="pct"/>
            <w:vAlign w:val="center"/>
          </w:tcPr>
          <w:p w14:paraId="020DFA73" w14:textId="3A15FE11" w:rsidR="00E45F7F" w:rsidRPr="003B4AEE" w:rsidRDefault="00282E8F" w:rsidP="00A30867">
            <w:pPr>
              <w:pStyle w:val="Tables"/>
            </w:pPr>
            <w:r w:rsidRPr="003B4AEE">
              <w:t>324 per year</w:t>
            </w:r>
          </w:p>
        </w:tc>
        <w:tc>
          <w:tcPr>
            <w:tcW w:w="875" w:type="pct"/>
            <w:noWrap/>
            <w:vAlign w:val="center"/>
            <w:hideMark/>
          </w:tcPr>
          <w:p w14:paraId="6D4DC226" w14:textId="10B99C78" w:rsidR="00E45F7F" w:rsidRPr="003B4AEE" w:rsidRDefault="00E45F7F" w:rsidP="008F7E23">
            <w:pPr>
              <w:pStyle w:val="Tables"/>
              <w:jc w:val="center"/>
            </w:pPr>
            <w:r w:rsidRPr="003B4AEE">
              <w:t>24</w:t>
            </w:r>
          </w:p>
        </w:tc>
      </w:tr>
      <w:tr w:rsidR="00E45F7F" w:rsidRPr="003B4AEE" w14:paraId="46E89DF6" w14:textId="77777777" w:rsidTr="004B18E6">
        <w:trPr>
          <w:trHeight w:val="255"/>
        </w:trPr>
        <w:tc>
          <w:tcPr>
            <w:tcW w:w="2638" w:type="pct"/>
            <w:noWrap/>
            <w:hideMark/>
          </w:tcPr>
          <w:p w14:paraId="3E8A5F50" w14:textId="0E3E6472" w:rsidR="00E45F7F" w:rsidRPr="003B4AEE" w:rsidRDefault="00407ABD" w:rsidP="00A30867">
            <w:pPr>
              <w:pStyle w:val="Tables"/>
            </w:pPr>
            <w:r w:rsidRPr="003B4AEE">
              <w:t>R</w:t>
            </w:r>
            <w:r w:rsidR="00955AED" w:rsidRPr="003B4AEE">
              <w:t xml:space="preserve">eview </w:t>
            </w:r>
            <w:r w:rsidRPr="003B4AEE">
              <w:t>of</w:t>
            </w:r>
            <w:r w:rsidR="00955AED" w:rsidRPr="003B4AEE">
              <w:t xml:space="preserve"> </w:t>
            </w:r>
            <w:r w:rsidR="00E45F7F" w:rsidRPr="003B4AEE">
              <w:t xml:space="preserve">Inspection and </w:t>
            </w:r>
            <w:r w:rsidR="00B615BE" w:rsidRPr="003B4AEE">
              <w:t>sampling</w:t>
            </w:r>
            <w:r w:rsidR="00B615BE" w:rsidRPr="003B4AEE">
              <w:rPr>
                <w:rFonts w:eastAsiaTheme="minorHAnsi"/>
              </w:rPr>
              <w:t xml:space="preserve"> </w:t>
            </w:r>
            <w:r w:rsidR="00E45F7F" w:rsidRPr="003B4AEE">
              <w:t xml:space="preserve">of IU and SIU </w:t>
            </w:r>
            <w:r w:rsidR="00B615BE" w:rsidRPr="003B4AEE">
              <w:t>effluent</w:t>
            </w:r>
            <w:r w:rsidRPr="003B4AEE">
              <w:t xml:space="preserve"> </w:t>
            </w:r>
            <w:proofErr w:type="spellStart"/>
            <w:r w:rsidRPr="003B4AEE">
              <w:t>data</w:t>
            </w:r>
            <w:r w:rsidR="00F45D34" w:rsidRPr="003B4AEE">
              <w:rPr>
                <w:vertAlign w:val="superscript"/>
              </w:rPr>
              <w:t>a</w:t>
            </w:r>
            <w:proofErr w:type="spellEnd"/>
          </w:p>
        </w:tc>
        <w:tc>
          <w:tcPr>
            <w:tcW w:w="1487" w:type="pct"/>
            <w:vAlign w:val="center"/>
          </w:tcPr>
          <w:p w14:paraId="5D77575A" w14:textId="257E5F57" w:rsidR="00E45F7F" w:rsidRPr="003B4AEE" w:rsidRDefault="00AA5E12" w:rsidP="00A30867">
            <w:pPr>
              <w:pStyle w:val="Tables"/>
            </w:pPr>
            <w:r w:rsidRPr="003B4AEE">
              <w:t>5,690</w:t>
            </w:r>
            <w:r w:rsidR="00282E8F" w:rsidRPr="003B4AEE">
              <w:t xml:space="preserve"> per year</w:t>
            </w:r>
          </w:p>
        </w:tc>
        <w:tc>
          <w:tcPr>
            <w:tcW w:w="875" w:type="pct"/>
            <w:noWrap/>
            <w:vAlign w:val="center"/>
            <w:hideMark/>
          </w:tcPr>
          <w:p w14:paraId="465F08FD" w14:textId="77777777" w:rsidR="00E45F7F" w:rsidRPr="003B4AEE" w:rsidRDefault="00E45F7F" w:rsidP="008F7E23">
            <w:pPr>
              <w:pStyle w:val="Tables"/>
              <w:jc w:val="center"/>
            </w:pPr>
            <w:r w:rsidRPr="003B4AEE">
              <w:t>0.5</w:t>
            </w:r>
          </w:p>
        </w:tc>
      </w:tr>
      <w:tr w:rsidR="00E45F7F" w:rsidRPr="003B4AEE" w14:paraId="35C7FA8E" w14:textId="77777777" w:rsidTr="004B18E6">
        <w:trPr>
          <w:trHeight w:val="264"/>
        </w:trPr>
        <w:tc>
          <w:tcPr>
            <w:tcW w:w="2638" w:type="pct"/>
            <w:noWrap/>
            <w:hideMark/>
          </w:tcPr>
          <w:p w14:paraId="6500CE37" w14:textId="2A5E81E6" w:rsidR="00E45F7F" w:rsidRPr="003B4AEE" w:rsidRDefault="00E45F7F" w:rsidP="00A30867">
            <w:pPr>
              <w:pStyle w:val="Tables"/>
            </w:pPr>
            <w:r w:rsidRPr="003B4AEE">
              <w:t xml:space="preserve">Evaluation of the </w:t>
            </w:r>
            <w:r w:rsidR="00B615BE" w:rsidRPr="003B4AEE">
              <w:t xml:space="preserve">need </w:t>
            </w:r>
            <w:r w:rsidRPr="003B4AEE">
              <w:t>to</w:t>
            </w:r>
            <w:r w:rsidRPr="003B4AEE">
              <w:rPr>
                <w:rFonts w:eastAsiaTheme="minorHAnsi"/>
              </w:rPr>
              <w:t xml:space="preserve"> </w:t>
            </w:r>
            <w:r w:rsidR="00B615BE" w:rsidRPr="003B4AEE">
              <w:t xml:space="preserve">revise local </w:t>
            </w:r>
            <w:proofErr w:type="spellStart"/>
            <w:r w:rsidR="00B615BE" w:rsidRPr="003B4AEE">
              <w:t>limits</w:t>
            </w:r>
            <w:r w:rsidR="00F45D34" w:rsidRPr="003B4AEE">
              <w:rPr>
                <w:vertAlign w:val="superscript"/>
              </w:rPr>
              <w:t>a</w:t>
            </w:r>
            <w:proofErr w:type="spellEnd"/>
          </w:p>
        </w:tc>
        <w:tc>
          <w:tcPr>
            <w:tcW w:w="1487" w:type="pct"/>
            <w:vAlign w:val="center"/>
          </w:tcPr>
          <w:p w14:paraId="6AF40ABD" w14:textId="08E0E4EC" w:rsidR="00E45F7F" w:rsidRPr="003B4AEE" w:rsidRDefault="00282E8F" w:rsidP="00A30867">
            <w:pPr>
              <w:pStyle w:val="Tables"/>
            </w:pPr>
            <w:r w:rsidRPr="003B4AEE">
              <w:t>81 per year</w:t>
            </w:r>
          </w:p>
        </w:tc>
        <w:tc>
          <w:tcPr>
            <w:tcW w:w="875" w:type="pct"/>
            <w:noWrap/>
            <w:vAlign w:val="center"/>
            <w:hideMark/>
          </w:tcPr>
          <w:p w14:paraId="2F4CF10B" w14:textId="77777777" w:rsidR="00E45F7F" w:rsidRPr="003B4AEE" w:rsidRDefault="00E45F7F" w:rsidP="008F7E23">
            <w:pPr>
              <w:pStyle w:val="Tables"/>
              <w:jc w:val="center"/>
            </w:pPr>
            <w:r w:rsidRPr="003B4AEE">
              <w:t>1</w:t>
            </w:r>
          </w:p>
        </w:tc>
      </w:tr>
      <w:tr w:rsidR="00E45F7F" w:rsidRPr="003B4AEE" w14:paraId="4A439D60" w14:textId="77777777" w:rsidTr="004B18E6">
        <w:trPr>
          <w:trHeight w:val="264"/>
        </w:trPr>
        <w:tc>
          <w:tcPr>
            <w:tcW w:w="2638" w:type="pct"/>
            <w:noWrap/>
            <w:hideMark/>
          </w:tcPr>
          <w:p w14:paraId="53E3DEF8" w14:textId="027DF6AE" w:rsidR="00E45F7F" w:rsidRPr="003B4AEE" w:rsidRDefault="00E45F7F" w:rsidP="00A30867">
            <w:pPr>
              <w:pStyle w:val="Tables"/>
            </w:pPr>
            <w:r w:rsidRPr="003B4AEE">
              <w:t xml:space="preserve">Categorical </w:t>
            </w:r>
            <w:r w:rsidR="00B615BE" w:rsidRPr="003B4AEE">
              <w:t>determination</w:t>
            </w:r>
            <w:r w:rsidR="00B615BE" w:rsidRPr="003B4AEE">
              <w:rPr>
                <w:rFonts w:eastAsiaTheme="minorHAnsi"/>
              </w:rPr>
              <w:t xml:space="preserve"> </w:t>
            </w:r>
            <w:r w:rsidR="00B615BE" w:rsidRPr="003B4AEE">
              <w:t>request</w:t>
            </w:r>
          </w:p>
        </w:tc>
        <w:tc>
          <w:tcPr>
            <w:tcW w:w="1487" w:type="pct"/>
            <w:vAlign w:val="center"/>
          </w:tcPr>
          <w:p w14:paraId="67EDB193" w14:textId="0516069C" w:rsidR="00E45F7F" w:rsidRPr="003B4AEE" w:rsidRDefault="00282E8F" w:rsidP="00A30867">
            <w:pPr>
              <w:pStyle w:val="Tables"/>
            </w:pPr>
            <w:r w:rsidRPr="003B4AEE">
              <w:t>0 per year</w:t>
            </w:r>
          </w:p>
        </w:tc>
        <w:tc>
          <w:tcPr>
            <w:tcW w:w="875" w:type="pct"/>
            <w:noWrap/>
            <w:vAlign w:val="center"/>
            <w:hideMark/>
          </w:tcPr>
          <w:p w14:paraId="24C23A4F" w14:textId="77777777" w:rsidR="00E45F7F" w:rsidRPr="003B4AEE" w:rsidRDefault="00E45F7F" w:rsidP="008F7E23">
            <w:pPr>
              <w:pStyle w:val="Tables"/>
              <w:jc w:val="center"/>
            </w:pPr>
            <w:r w:rsidRPr="003B4AEE">
              <w:t>20</w:t>
            </w:r>
          </w:p>
        </w:tc>
      </w:tr>
      <w:tr w:rsidR="00E45F7F" w:rsidRPr="003B4AEE" w14:paraId="338A6057" w14:textId="77777777" w:rsidTr="004B18E6">
        <w:trPr>
          <w:trHeight w:val="264"/>
        </w:trPr>
        <w:tc>
          <w:tcPr>
            <w:tcW w:w="2638" w:type="pct"/>
            <w:noWrap/>
            <w:hideMark/>
          </w:tcPr>
          <w:p w14:paraId="1EF939F4" w14:textId="7C681B08" w:rsidR="00E45F7F" w:rsidRPr="003B4AEE" w:rsidRDefault="00E45F7F" w:rsidP="00A30867">
            <w:pPr>
              <w:pStyle w:val="Tables"/>
            </w:pPr>
            <w:r w:rsidRPr="003B4AEE">
              <w:t xml:space="preserve">Fundamentally </w:t>
            </w:r>
            <w:r w:rsidR="00B615BE" w:rsidRPr="003B4AEE">
              <w:t>different factors</w:t>
            </w:r>
            <w:r w:rsidR="00B615BE" w:rsidRPr="003B4AEE">
              <w:rPr>
                <w:rFonts w:eastAsiaTheme="minorHAnsi"/>
              </w:rPr>
              <w:t xml:space="preserve"> </w:t>
            </w:r>
            <w:r w:rsidR="00B615BE" w:rsidRPr="003B4AEE">
              <w:t>variance request</w:t>
            </w:r>
          </w:p>
        </w:tc>
        <w:tc>
          <w:tcPr>
            <w:tcW w:w="1487" w:type="pct"/>
            <w:vAlign w:val="center"/>
          </w:tcPr>
          <w:p w14:paraId="5A310375" w14:textId="390840F3" w:rsidR="00E45F7F" w:rsidRPr="003B4AEE" w:rsidRDefault="00282E8F" w:rsidP="00A30867">
            <w:pPr>
              <w:pStyle w:val="Tables"/>
            </w:pPr>
            <w:r w:rsidRPr="003B4AEE">
              <w:t>0 per year</w:t>
            </w:r>
          </w:p>
        </w:tc>
        <w:tc>
          <w:tcPr>
            <w:tcW w:w="875" w:type="pct"/>
            <w:noWrap/>
            <w:vAlign w:val="center"/>
            <w:hideMark/>
          </w:tcPr>
          <w:p w14:paraId="255E73BA" w14:textId="77777777" w:rsidR="00E45F7F" w:rsidRPr="003B4AEE" w:rsidRDefault="00E45F7F" w:rsidP="008F7E23">
            <w:pPr>
              <w:pStyle w:val="Tables"/>
              <w:jc w:val="center"/>
            </w:pPr>
            <w:r w:rsidRPr="003B4AEE">
              <w:t>400</w:t>
            </w:r>
          </w:p>
        </w:tc>
      </w:tr>
      <w:tr w:rsidR="00E45F7F" w:rsidRPr="003B4AEE" w14:paraId="72C9517D" w14:textId="77777777" w:rsidTr="004B18E6">
        <w:trPr>
          <w:trHeight w:val="264"/>
        </w:trPr>
        <w:tc>
          <w:tcPr>
            <w:tcW w:w="2638" w:type="pct"/>
            <w:noWrap/>
            <w:hideMark/>
          </w:tcPr>
          <w:p w14:paraId="5E9EC52B" w14:textId="4BBB5435" w:rsidR="00E45F7F" w:rsidRPr="003B4AEE" w:rsidRDefault="00E45F7F" w:rsidP="00A30867">
            <w:pPr>
              <w:pStyle w:val="Tables"/>
            </w:pPr>
            <w:r w:rsidRPr="003B4AEE">
              <w:t xml:space="preserve">Removal </w:t>
            </w:r>
            <w:r w:rsidR="00B615BE" w:rsidRPr="003B4AEE">
              <w:t>credit</w:t>
            </w:r>
            <w:r w:rsidR="00B615BE" w:rsidRPr="003B4AEE">
              <w:rPr>
                <w:rFonts w:eastAsiaTheme="minorHAnsi"/>
              </w:rPr>
              <w:t xml:space="preserve"> </w:t>
            </w:r>
            <w:r w:rsidR="00B615BE" w:rsidRPr="003B4AEE">
              <w:t xml:space="preserve">approval </w:t>
            </w:r>
            <w:proofErr w:type="spellStart"/>
            <w:r w:rsidR="00B615BE" w:rsidRPr="003B4AEE">
              <w:t>request</w:t>
            </w:r>
            <w:r w:rsidR="00F45D34" w:rsidRPr="003B4AEE">
              <w:rPr>
                <w:vertAlign w:val="superscript"/>
              </w:rPr>
              <w:t>a</w:t>
            </w:r>
            <w:proofErr w:type="spellEnd"/>
          </w:p>
        </w:tc>
        <w:tc>
          <w:tcPr>
            <w:tcW w:w="1487" w:type="pct"/>
            <w:vAlign w:val="center"/>
          </w:tcPr>
          <w:p w14:paraId="0BFEDB1D" w14:textId="39B628C6" w:rsidR="00E45F7F" w:rsidRPr="003B4AEE" w:rsidRDefault="00282E8F" w:rsidP="00A30867">
            <w:pPr>
              <w:pStyle w:val="Tables"/>
            </w:pPr>
            <w:r w:rsidRPr="003B4AEE">
              <w:t>1 per year</w:t>
            </w:r>
          </w:p>
        </w:tc>
        <w:tc>
          <w:tcPr>
            <w:tcW w:w="875" w:type="pct"/>
            <w:noWrap/>
            <w:vAlign w:val="center"/>
            <w:hideMark/>
          </w:tcPr>
          <w:p w14:paraId="4B28AEDE" w14:textId="77777777" w:rsidR="00E45F7F" w:rsidRPr="003B4AEE" w:rsidRDefault="00E45F7F" w:rsidP="008F7E23">
            <w:pPr>
              <w:pStyle w:val="Tables"/>
              <w:jc w:val="center"/>
            </w:pPr>
            <w:r w:rsidRPr="003B4AEE">
              <w:t>80</w:t>
            </w:r>
          </w:p>
        </w:tc>
      </w:tr>
      <w:tr w:rsidR="00E45F7F" w:rsidRPr="003B4AEE" w14:paraId="313BC0C5" w14:textId="77777777" w:rsidTr="004B18E6">
        <w:trPr>
          <w:trHeight w:val="264"/>
        </w:trPr>
        <w:tc>
          <w:tcPr>
            <w:tcW w:w="2638" w:type="pct"/>
            <w:noWrap/>
            <w:hideMark/>
          </w:tcPr>
          <w:p w14:paraId="30481642" w14:textId="40AB0915" w:rsidR="00E45F7F" w:rsidRPr="003B4AEE" w:rsidRDefault="00E45F7F" w:rsidP="00A30867">
            <w:pPr>
              <w:pStyle w:val="Tables"/>
            </w:pPr>
            <w:r w:rsidRPr="003B4AEE">
              <w:t xml:space="preserve">Removal </w:t>
            </w:r>
            <w:r w:rsidR="00B615BE" w:rsidRPr="003B4AEE">
              <w:t>credit</w:t>
            </w:r>
            <w:r w:rsidR="00B615BE" w:rsidRPr="003B4AEE">
              <w:rPr>
                <w:rFonts w:eastAsiaTheme="minorHAnsi"/>
              </w:rPr>
              <w:t xml:space="preserve"> </w:t>
            </w:r>
            <w:r w:rsidR="00B615BE" w:rsidRPr="003B4AEE">
              <w:t>self</w:t>
            </w:r>
            <w:r w:rsidRPr="003B4AEE">
              <w:t>-</w:t>
            </w:r>
            <w:r w:rsidR="00B615BE" w:rsidRPr="003B4AEE">
              <w:t xml:space="preserve">monitoring </w:t>
            </w:r>
            <w:proofErr w:type="spellStart"/>
            <w:r w:rsidR="00B615BE" w:rsidRPr="003B4AEE">
              <w:t>report</w:t>
            </w:r>
            <w:r w:rsidR="00F45D34" w:rsidRPr="003B4AEE">
              <w:rPr>
                <w:vertAlign w:val="superscript"/>
              </w:rPr>
              <w:t>a</w:t>
            </w:r>
            <w:proofErr w:type="spellEnd"/>
          </w:p>
        </w:tc>
        <w:tc>
          <w:tcPr>
            <w:tcW w:w="1487" w:type="pct"/>
            <w:vAlign w:val="center"/>
          </w:tcPr>
          <w:p w14:paraId="588AA08A" w14:textId="6D04CEF1" w:rsidR="00E45F7F" w:rsidRPr="003B4AEE" w:rsidRDefault="00282E8F" w:rsidP="00A30867">
            <w:pPr>
              <w:pStyle w:val="Tables"/>
            </w:pPr>
            <w:r w:rsidRPr="003B4AEE">
              <w:t>6 per year</w:t>
            </w:r>
          </w:p>
        </w:tc>
        <w:tc>
          <w:tcPr>
            <w:tcW w:w="875" w:type="pct"/>
            <w:noWrap/>
            <w:vAlign w:val="center"/>
            <w:hideMark/>
          </w:tcPr>
          <w:p w14:paraId="593DC1AC" w14:textId="77777777" w:rsidR="00E45F7F" w:rsidRPr="003B4AEE" w:rsidRDefault="00E45F7F" w:rsidP="008F7E23">
            <w:pPr>
              <w:pStyle w:val="Tables"/>
              <w:jc w:val="center"/>
            </w:pPr>
            <w:r w:rsidRPr="003B4AEE">
              <w:t>1</w:t>
            </w:r>
          </w:p>
        </w:tc>
      </w:tr>
    </w:tbl>
    <w:p w14:paraId="2529F7C0" w14:textId="746F7ADD" w:rsidR="000F7D97" w:rsidRPr="004B18E6" w:rsidRDefault="00F45D34" w:rsidP="004B18E6">
      <w:pPr>
        <w:pStyle w:val="Tablenote"/>
        <w:ind w:left="180" w:hanging="180"/>
        <w:rPr>
          <w:rFonts w:eastAsiaTheme="minorHAnsi"/>
        </w:rPr>
      </w:pPr>
      <w:proofErr w:type="spellStart"/>
      <w:r w:rsidRPr="003B4AEE">
        <w:rPr>
          <w:rFonts w:eastAsiaTheme="minorHAnsi"/>
          <w:vertAlign w:val="superscript"/>
        </w:rPr>
        <w:t>a</w:t>
      </w:r>
      <w:proofErr w:type="spellEnd"/>
      <w:r w:rsidR="00A30867" w:rsidRPr="003B4AEE">
        <w:rPr>
          <w:rFonts w:eastAsiaTheme="minorHAnsi"/>
        </w:rPr>
        <w:tab/>
      </w:r>
      <w:proofErr w:type="gramStart"/>
      <w:r w:rsidR="00E45F7F" w:rsidRPr="003B4AEE">
        <w:rPr>
          <w:rFonts w:eastAsiaTheme="minorHAnsi"/>
        </w:rPr>
        <w:t>For</w:t>
      </w:r>
      <w:proofErr w:type="gramEnd"/>
      <w:r w:rsidR="00E45F7F" w:rsidRPr="003B4AEE">
        <w:rPr>
          <w:rFonts w:eastAsiaTheme="minorHAnsi"/>
        </w:rPr>
        <w:t xml:space="preserve"> these activities, burden is apportioned to the Federal Government only where the Federal Government is the Approval Authority.</w:t>
      </w:r>
    </w:p>
    <w:p w14:paraId="2936DC56" w14:textId="0F058D17" w:rsidR="003E71A0" w:rsidRPr="003B4AEE" w:rsidRDefault="003E71A0" w:rsidP="00D11C94">
      <w:pPr>
        <w:pStyle w:val="Heading9"/>
      </w:pPr>
      <w:bookmarkStart w:id="332" w:name="_Toc71729153"/>
      <w:r w:rsidRPr="003B4AEE">
        <w:t>Stormwater</w:t>
      </w:r>
      <w:bookmarkEnd w:id="332"/>
    </w:p>
    <w:p w14:paraId="17FD805E" w14:textId="465D1B4E" w:rsidR="0021647D" w:rsidRPr="003B4AEE" w:rsidRDefault="00951060" w:rsidP="00D11C94">
      <w:pPr>
        <w:pStyle w:val="Heading5"/>
      </w:pPr>
      <w:r w:rsidRPr="003B4AEE">
        <w:t>A.1.</w:t>
      </w:r>
      <w:r w:rsidR="00C6520E" w:rsidRPr="003B4AEE">
        <w:t>4</w:t>
      </w:r>
      <w:r w:rsidRPr="003B4AEE">
        <w:t>.</w:t>
      </w:r>
      <w:r w:rsidR="00D11C94" w:rsidRPr="003B4AEE">
        <w:t>1</w:t>
      </w:r>
      <w:r w:rsidR="00D11C94" w:rsidRPr="003B4AEE">
        <w:tab/>
      </w:r>
      <w:r w:rsidRPr="003B4AEE">
        <w:t xml:space="preserve"> </w:t>
      </w:r>
      <w:r w:rsidR="0021647D" w:rsidRPr="003B4AEE">
        <w:t>Phase I MS4s</w:t>
      </w:r>
    </w:p>
    <w:p w14:paraId="760B7BC3" w14:textId="5BFA76C2" w:rsidR="00D316EF" w:rsidRPr="003B4AEE" w:rsidRDefault="00B13AEB" w:rsidP="00E15A36">
      <w:pPr>
        <w:pStyle w:val="BodyText"/>
      </w:pPr>
      <w:r w:rsidRPr="003B4AEE">
        <w:t xml:space="preserve">NPDES regulations </w:t>
      </w:r>
      <w:r w:rsidR="001554CE" w:rsidRPr="003B4AEE">
        <w:t xml:space="preserve">at 40 CFR 122.26 </w:t>
      </w:r>
      <w:r w:rsidRPr="003B4AEE">
        <w:t>require Phase I MS4s to file applications, submit reports, conduct monitoring</w:t>
      </w:r>
      <w:r w:rsidR="006E75E7" w:rsidRPr="003B4AEE">
        <w:t>, and develop and update stormwater management plans</w:t>
      </w:r>
      <w:r w:rsidRPr="003B4AEE">
        <w:t>. Specific a</w:t>
      </w:r>
      <w:r w:rsidR="0021647D" w:rsidRPr="003B4AEE">
        <w:t>ctivities related to Phase I MS4s include:</w:t>
      </w:r>
    </w:p>
    <w:p w14:paraId="1057228B" w14:textId="395FD5AC" w:rsidR="0021647D" w:rsidRPr="003B4AEE" w:rsidRDefault="0021647D" w:rsidP="00290A17">
      <w:pPr>
        <w:pStyle w:val="ListBulletsingle"/>
        <w:numPr>
          <w:ilvl w:val="0"/>
          <w:numId w:val="29"/>
        </w:numPr>
      </w:pPr>
      <w:proofErr w:type="gramStart"/>
      <w:r w:rsidRPr="003B4AEE">
        <w:t>Applications</w:t>
      </w:r>
      <w:r w:rsidR="00B615BE" w:rsidRPr="003B4AEE">
        <w:t>;</w:t>
      </w:r>
      <w:proofErr w:type="gramEnd"/>
    </w:p>
    <w:p w14:paraId="79D4F7FF" w14:textId="2C95006D" w:rsidR="0021647D" w:rsidRPr="003B4AEE" w:rsidRDefault="0021647D" w:rsidP="00290A17">
      <w:pPr>
        <w:pStyle w:val="ListBulletsingle"/>
        <w:numPr>
          <w:ilvl w:val="0"/>
          <w:numId w:val="29"/>
        </w:numPr>
      </w:pPr>
      <w:proofErr w:type="gramStart"/>
      <w:r w:rsidRPr="003B4AEE">
        <w:t>Reports</w:t>
      </w:r>
      <w:r w:rsidR="00B615BE" w:rsidRPr="003B4AEE">
        <w:t>;</w:t>
      </w:r>
      <w:proofErr w:type="gramEnd"/>
    </w:p>
    <w:p w14:paraId="7A3AF91B" w14:textId="6B3E2060" w:rsidR="0021647D" w:rsidRPr="003B4AEE" w:rsidRDefault="0021647D" w:rsidP="00290A17">
      <w:pPr>
        <w:pStyle w:val="ListBulletsingle"/>
        <w:numPr>
          <w:ilvl w:val="0"/>
          <w:numId w:val="29"/>
        </w:numPr>
      </w:pPr>
      <w:r w:rsidRPr="003B4AEE">
        <w:t>Monitoring</w:t>
      </w:r>
      <w:r w:rsidR="00B615BE" w:rsidRPr="003B4AEE">
        <w:t>; and</w:t>
      </w:r>
    </w:p>
    <w:p w14:paraId="458BE161" w14:textId="2DFDDD6C" w:rsidR="0021647D" w:rsidRPr="003B4AEE" w:rsidRDefault="0021647D" w:rsidP="00290A17">
      <w:pPr>
        <w:pStyle w:val="ListBulletlast"/>
        <w:numPr>
          <w:ilvl w:val="0"/>
          <w:numId w:val="29"/>
        </w:numPr>
      </w:pPr>
      <w:r w:rsidRPr="003B4AEE">
        <w:lastRenderedPageBreak/>
        <w:t>Other</w:t>
      </w:r>
      <w:r w:rsidR="005509DE" w:rsidRPr="003B4AEE">
        <w:t xml:space="preserve"> activities</w:t>
      </w:r>
      <w:r w:rsidR="00B615BE" w:rsidRPr="003B4AEE">
        <w:t>.</w:t>
      </w:r>
    </w:p>
    <w:p w14:paraId="76C6996D" w14:textId="01899459" w:rsidR="0021647D" w:rsidRPr="003B4AEE" w:rsidRDefault="00F17D04" w:rsidP="00D11C94">
      <w:pPr>
        <w:pStyle w:val="BodyText"/>
      </w:pPr>
      <w:r w:rsidRPr="003B4AEE">
        <w:t>Underlying assumptions regarding burden estimates are described below.</w:t>
      </w:r>
    </w:p>
    <w:p w14:paraId="03651C12" w14:textId="5CB0695A" w:rsidR="0021647D" w:rsidRPr="003B4AEE" w:rsidRDefault="0021647D" w:rsidP="0085470C">
      <w:pPr>
        <w:pStyle w:val="Heading5"/>
      </w:pPr>
      <w:r w:rsidRPr="003B4AEE">
        <w:t>Applications</w:t>
      </w:r>
    </w:p>
    <w:p w14:paraId="081FCC2E" w14:textId="05349551" w:rsidR="0021647D" w:rsidRPr="003B4AEE" w:rsidRDefault="0021647D" w:rsidP="00D11C94">
      <w:pPr>
        <w:pStyle w:val="BodyText"/>
      </w:pPr>
      <w:r w:rsidRPr="003B4AEE">
        <w:rPr>
          <w:i/>
        </w:rPr>
        <w:t xml:space="preserve">Permittees. </w:t>
      </w:r>
      <w:r w:rsidRPr="003B4AEE">
        <w:t xml:space="preserve">The estimated time </w:t>
      </w:r>
      <w:r w:rsidR="004A16A8" w:rsidRPr="003B4AEE">
        <w:t xml:space="preserve">per permittee </w:t>
      </w:r>
      <w:r w:rsidRPr="003B4AEE">
        <w:t xml:space="preserve">required </w:t>
      </w:r>
      <w:r w:rsidR="00FC23EF" w:rsidRPr="003B4AEE">
        <w:t>to prepare</w:t>
      </w:r>
      <w:r w:rsidR="00126742" w:rsidRPr="003B4AEE">
        <w:t xml:space="preserve"> and submit</w:t>
      </w:r>
      <w:r w:rsidR="00FC23EF" w:rsidRPr="003B4AEE">
        <w:t xml:space="preserve"> </w:t>
      </w:r>
      <w:r w:rsidR="009F3302" w:rsidRPr="003B4AEE">
        <w:t xml:space="preserve">an </w:t>
      </w:r>
      <w:r w:rsidRPr="003B4AEE">
        <w:t xml:space="preserve">MS4 </w:t>
      </w:r>
      <w:r w:rsidR="009F3302" w:rsidRPr="003B4AEE">
        <w:t>p</w:t>
      </w:r>
      <w:r w:rsidRPr="003B4AEE">
        <w:t xml:space="preserve">ermit </w:t>
      </w:r>
      <w:r w:rsidR="009F3302" w:rsidRPr="003B4AEE">
        <w:t>a</w:t>
      </w:r>
      <w:r w:rsidRPr="003B4AEE">
        <w:t>pplication is 60 hours and 80 hours for small and large MS4 systems, respectively. The frequency is once every 5 years.</w:t>
      </w:r>
    </w:p>
    <w:p w14:paraId="67A60EFF" w14:textId="45FA3F1D" w:rsidR="0021647D" w:rsidRPr="003B4AEE" w:rsidRDefault="00E932C0" w:rsidP="00D11C94">
      <w:pPr>
        <w:pStyle w:val="BodyText"/>
      </w:pPr>
      <w:r w:rsidRPr="003B4AEE">
        <w:rPr>
          <w:i/>
        </w:rPr>
        <w:t>States/Federal</w:t>
      </w:r>
      <w:r w:rsidR="0021647D" w:rsidRPr="003B4AEE">
        <w:rPr>
          <w:i/>
        </w:rPr>
        <w:t>.</w:t>
      </w:r>
      <w:r w:rsidR="0021647D" w:rsidRPr="003B4AEE">
        <w:t xml:space="preserve"> The estimated time required for state</w:t>
      </w:r>
      <w:r w:rsidR="00E75860" w:rsidRPr="003B4AEE">
        <w:t>/federal</w:t>
      </w:r>
      <w:r w:rsidR="0021647D" w:rsidRPr="003B4AEE">
        <w:t xml:space="preserve"> respondents to review and process MS4 permit applications is 20 hours for </w:t>
      </w:r>
      <w:r w:rsidR="009F3302" w:rsidRPr="003B4AEE">
        <w:t xml:space="preserve">both </w:t>
      </w:r>
      <w:r w:rsidR="0021647D" w:rsidRPr="003B4AEE">
        <w:t>small and large MS4 systems.</w:t>
      </w:r>
      <w:r w:rsidR="00C95663" w:rsidRPr="003B4AEE">
        <w:t xml:space="preserve"> </w:t>
      </w:r>
    </w:p>
    <w:p w14:paraId="11875FCE" w14:textId="68BE2493" w:rsidR="0021647D" w:rsidRPr="003B4AEE" w:rsidRDefault="0021647D" w:rsidP="0085470C">
      <w:pPr>
        <w:pStyle w:val="Heading5"/>
      </w:pPr>
      <w:r w:rsidRPr="003B4AEE">
        <w:t>Reports</w:t>
      </w:r>
    </w:p>
    <w:p w14:paraId="117321FA" w14:textId="58AF2625" w:rsidR="0021647D" w:rsidRPr="003B4AEE" w:rsidRDefault="0021647D" w:rsidP="00D11C94">
      <w:pPr>
        <w:pStyle w:val="BodyText"/>
      </w:pPr>
      <w:r w:rsidRPr="003B4AEE">
        <w:rPr>
          <w:i/>
        </w:rPr>
        <w:t>Permittees</w:t>
      </w:r>
      <w:r w:rsidRPr="003B4AEE">
        <w:t>.</w:t>
      </w:r>
      <w:r w:rsidR="00D8370B" w:rsidRPr="003B4AEE">
        <w:t xml:space="preserve"> Reports under this category include compliance schedule reports at 0.75 hours per response, </w:t>
      </w:r>
      <w:proofErr w:type="gramStart"/>
      <w:r w:rsidR="00D8370B" w:rsidRPr="003B4AEE">
        <w:t>facility</w:t>
      </w:r>
      <w:proofErr w:type="gramEnd"/>
      <w:r w:rsidR="00D8370B" w:rsidRPr="003B4AEE">
        <w:t xml:space="preserve"> and permit transfer reports at 3 hours per response</w:t>
      </w:r>
      <w:r w:rsidR="00E7220F" w:rsidRPr="003B4AEE">
        <w:t>,</w:t>
      </w:r>
      <w:r w:rsidR="00D8370B" w:rsidRPr="003B4AEE">
        <w:t xml:space="preserve"> permittee report of inaccurate previous information at 2 hours per response, and permittee </w:t>
      </w:r>
      <w:r w:rsidR="00E7220F" w:rsidRPr="003B4AEE">
        <w:t>report</w:t>
      </w:r>
      <w:r w:rsidR="00D8370B" w:rsidRPr="003B4AEE">
        <w:t xml:space="preserve"> of planned facility changes at 4 hours per response</w:t>
      </w:r>
      <w:r w:rsidRPr="003B4AEE">
        <w:t xml:space="preserve">. The estimated time required per respondent for preparing and submitting annual reports </w:t>
      </w:r>
      <w:r w:rsidR="00D8370B" w:rsidRPr="003B4AEE">
        <w:t>is</w:t>
      </w:r>
      <w:r w:rsidR="00044771" w:rsidRPr="003B4AEE">
        <w:t xml:space="preserve"> </w:t>
      </w:r>
      <w:r w:rsidRPr="003B4AEE">
        <w:t xml:space="preserve">250 </w:t>
      </w:r>
      <w:r w:rsidR="00441DF0" w:rsidRPr="003B4AEE">
        <w:t xml:space="preserve">hours. </w:t>
      </w:r>
    </w:p>
    <w:p w14:paraId="4738FE74" w14:textId="31856CE2" w:rsidR="00047F83" w:rsidRPr="003B4AEE" w:rsidRDefault="00E932C0" w:rsidP="00D11C94">
      <w:pPr>
        <w:pStyle w:val="BodyText"/>
      </w:pPr>
      <w:r w:rsidRPr="003B4AEE">
        <w:rPr>
          <w:i/>
        </w:rPr>
        <w:t>States/Federal</w:t>
      </w:r>
      <w:r w:rsidR="0021647D" w:rsidRPr="003B4AEE">
        <w:t>. The estimated time required for state</w:t>
      </w:r>
      <w:r w:rsidR="00E75860" w:rsidRPr="003B4AEE">
        <w:t>/federal</w:t>
      </w:r>
      <w:r w:rsidR="0021647D" w:rsidRPr="003B4AEE">
        <w:t xml:space="preserve"> respondents to review and process permit reports is 8 hours, 1.6 hours, and 40 hours for petitions, small MS4 reports and Phase I MS4 reports, respectively.</w:t>
      </w:r>
      <w:r w:rsidR="00CD6614" w:rsidRPr="003B4AEE">
        <w:t xml:space="preserve"> </w:t>
      </w:r>
    </w:p>
    <w:p w14:paraId="44932A28" w14:textId="62C99925" w:rsidR="0021647D" w:rsidRPr="003B4AEE" w:rsidRDefault="00504780" w:rsidP="0085470C">
      <w:pPr>
        <w:pStyle w:val="Heading5"/>
      </w:pPr>
      <w:r w:rsidRPr="003B4AEE">
        <w:t xml:space="preserve">Permittee </w:t>
      </w:r>
      <w:r w:rsidR="0021647D" w:rsidRPr="003B4AEE">
        <w:t>Monitoring</w:t>
      </w:r>
    </w:p>
    <w:p w14:paraId="4C70C188" w14:textId="643557F1" w:rsidR="0021647D" w:rsidRPr="003B4AEE" w:rsidRDefault="0021647D" w:rsidP="00D11C94">
      <w:pPr>
        <w:pStyle w:val="BodyText"/>
      </w:pPr>
      <w:r w:rsidRPr="003B4AEE">
        <w:rPr>
          <w:i/>
        </w:rPr>
        <w:t>Permittees</w:t>
      </w:r>
      <w:r w:rsidRPr="003B4AEE">
        <w:t xml:space="preserve">. The estimated time </w:t>
      </w:r>
      <w:r w:rsidR="004A16A8" w:rsidRPr="003B4AEE">
        <w:t xml:space="preserve">per permittee </w:t>
      </w:r>
      <w:r w:rsidR="00047F83" w:rsidRPr="003B4AEE">
        <w:t xml:space="preserve">required for each sampling response is 73 hours. The estimated time </w:t>
      </w:r>
      <w:r w:rsidR="00E7220F" w:rsidRPr="003B4AEE">
        <w:t xml:space="preserve">per </w:t>
      </w:r>
      <w:r w:rsidR="00047F83" w:rsidRPr="003B4AEE">
        <w:t>required sampling analysis is 41 hours. Both are estimated to occur 20 times per year.</w:t>
      </w:r>
    </w:p>
    <w:p w14:paraId="5D7E7E21" w14:textId="73EBA448" w:rsidR="00047F83" w:rsidRPr="003B4AEE" w:rsidRDefault="00E01AAC" w:rsidP="00D11C94">
      <w:pPr>
        <w:pStyle w:val="BodyText"/>
      </w:pPr>
      <w:r w:rsidRPr="003B4AEE">
        <w:rPr>
          <w:i/>
        </w:rPr>
        <w:t xml:space="preserve">States. </w:t>
      </w:r>
      <w:r w:rsidR="004C07D6" w:rsidRPr="003B4AEE">
        <w:t>S</w:t>
      </w:r>
      <w:r w:rsidRPr="003B4AEE">
        <w:t xml:space="preserve">tate activities related to permittee monitoring data </w:t>
      </w:r>
      <w:r w:rsidR="00EE0EE7" w:rsidRPr="003B4AEE">
        <w:t>are</w:t>
      </w:r>
      <w:r w:rsidRPr="003B4AEE">
        <w:t xml:space="preserve"> covered under section</w:t>
      </w:r>
      <w:r w:rsidR="004C07D6" w:rsidRPr="003B4AEE">
        <w:t xml:space="preserve"> A.1.2.3</w:t>
      </w:r>
      <w:r w:rsidR="00C67BBA" w:rsidRPr="003B4AEE">
        <w:t>.</w:t>
      </w:r>
    </w:p>
    <w:p w14:paraId="61C327B2" w14:textId="3FAD5FB9" w:rsidR="00047F83" w:rsidRPr="003B4AEE" w:rsidRDefault="00047F83" w:rsidP="0085470C">
      <w:pPr>
        <w:pStyle w:val="Heading5"/>
      </w:pPr>
      <w:r w:rsidRPr="003B4AEE">
        <w:t>Other</w:t>
      </w:r>
      <w:r w:rsidR="00F47B1E" w:rsidRPr="003B4AEE">
        <w:t xml:space="preserve"> Activities</w:t>
      </w:r>
    </w:p>
    <w:p w14:paraId="3576CA39" w14:textId="08C8525B" w:rsidR="00047F83" w:rsidRPr="003B4AEE" w:rsidRDefault="00047F83" w:rsidP="00D11C94">
      <w:pPr>
        <w:pStyle w:val="BodyText"/>
      </w:pPr>
      <w:r w:rsidRPr="003B4AEE">
        <w:rPr>
          <w:i/>
        </w:rPr>
        <w:t>Permittees</w:t>
      </w:r>
      <w:r w:rsidRPr="003B4AEE">
        <w:t xml:space="preserve">. Activities </w:t>
      </w:r>
      <w:r w:rsidR="00600A52" w:rsidRPr="003B4AEE">
        <w:t xml:space="preserve">and time required </w:t>
      </w:r>
      <w:r w:rsidRPr="003B4AEE">
        <w:t xml:space="preserve">in this category include updating </w:t>
      </w:r>
      <w:r w:rsidR="00E7220F" w:rsidRPr="003B4AEE">
        <w:t>stormwater management plans (</w:t>
      </w:r>
      <w:r w:rsidRPr="003B4AEE">
        <w:t>SWMPs</w:t>
      </w:r>
      <w:r w:rsidR="00E7220F" w:rsidRPr="003B4AEE">
        <w:t>)</w:t>
      </w:r>
      <w:r w:rsidRPr="003B4AEE">
        <w:t xml:space="preserve"> at 200 hours per response and Section 308(a) Letters at 8 hours per response.</w:t>
      </w:r>
      <w:r w:rsidR="00600A52" w:rsidRPr="003B4AEE">
        <w:t xml:space="preserve"> SWMPs are updated once every 5 years and EPA estimates that the</w:t>
      </w:r>
      <w:r w:rsidR="007C494A" w:rsidRPr="003B4AEE">
        <w:t xml:space="preserve"> Agenc</w:t>
      </w:r>
      <w:r w:rsidR="00600A52" w:rsidRPr="003B4AEE">
        <w:t>y will receive 24 petitions</w:t>
      </w:r>
      <w:r w:rsidR="007C494A" w:rsidRPr="003B4AEE">
        <w:t xml:space="preserve"> for EPA to require industrial facilities discharging through the MS4 to obtain individual NPDES permits</w:t>
      </w:r>
      <w:r w:rsidR="00600A52" w:rsidRPr="003B4AEE">
        <w:t xml:space="preserve"> and 31 Section 308(a) Letters per year.</w:t>
      </w:r>
    </w:p>
    <w:p w14:paraId="75F58C2B" w14:textId="5F9DA40F" w:rsidR="00047F83" w:rsidRPr="003B4AEE" w:rsidRDefault="00E932C0" w:rsidP="00D11C94">
      <w:pPr>
        <w:pStyle w:val="BodyText"/>
        <w:rPr>
          <w:b/>
        </w:rPr>
      </w:pPr>
      <w:r w:rsidRPr="003B4AEE">
        <w:rPr>
          <w:i/>
        </w:rPr>
        <w:t>States/Federal</w:t>
      </w:r>
      <w:r w:rsidR="00CD6614" w:rsidRPr="003B4AEE">
        <w:rPr>
          <w:i/>
        </w:rPr>
        <w:t>.</w:t>
      </w:r>
      <w:r w:rsidR="00600A52" w:rsidRPr="003B4AEE">
        <w:rPr>
          <w:i/>
        </w:rPr>
        <w:t xml:space="preserve"> </w:t>
      </w:r>
      <w:r w:rsidR="00600A52" w:rsidRPr="003B4AEE">
        <w:t>The estimated time required for state</w:t>
      </w:r>
      <w:r w:rsidR="00CD6614" w:rsidRPr="003B4AEE">
        <w:t>/federal</w:t>
      </w:r>
      <w:r w:rsidR="00600A52" w:rsidRPr="003B4AEE">
        <w:t xml:space="preserve"> respondents to review and process SWMPs is 20 hours.</w:t>
      </w:r>
    </w:p>
    <w:p w14:paraId="3D99C30B" w14:textId="01F3518D" w:rsidR="00600A52" w:rsidRPr="003B4AEE" w:rsidRDefault="00C6520E" w:rsidP="00B101A0">
      <w:pPr>
        <w:pStyle w:val="Heading4"/>
      </w:pPr>
      <w:r w:rsidRPr="003B4AEE">
        <w:t>A.1.4</w:t>
      </w:r>
      <w:r w:rsidR="00600A52" w:rsidRPr="003B4AEE">
        <w:t>.2</w:t>
      </w:r>
      <w:r w:rsidR="00EB7492" w:rsidRPr="003B4AEE">
        <w:t>.</w:t>
      </w:r>
      <w:r w:rsidR="00600A52" w:rsidRPr="003B4AEE">
        <w:t xml:space="preserve"> </w:t>
      </w:r>
      <w:r w:rsidR="00C4033F" w:rsidRPr="003B4AEE">
        <w:t xml:space="preserve">Non-municipal </w:t>
      </w:r>
      <w:r w:rsidR="00E7220F" w:rsidRPr="003B4AEE">
        <w:t>Stormwater Permits</w:t>
      </w:r>
    </w:p>
    <w:p w14:paraId="4371B06B" w14:textId="3D821CEF" w:rsidR="00C4033F" w:rsidRPr="003B4AEE" w:rsidRDefault="00C4033F" w:rsidP="00E15A36">
      <w:pPr>
        <w:pStyle w:val="BodyText"/>
      </w:pPr>
      <w:r w:rsidRPr="003B4AEE">
        <w:t xml:space="preserve">Activities in this category include only </w:t>
      </w:r>
      <w:r w:rsidR="00E7220F" w:rsidRPr="003B4AEE">
        <w:t>individual permit applications submitted by industrial stormwater dischargers.</w:t>
      </w:r>
    </w:p>
    <w:p w14:paraId="4EDC5676" w14:textId="2134466F" w:rsidR="00600A52" w:rsidRPr="003B4AEE" w:rsidRDefault="00600A52" w:rsidP="00E15A36">
      <w:pPr>
        <w:pStyle w:val="BodyText"/>
      </w:pPr>
      <w:r w:rsidRPr="003B4AEE">
        <w:rPr>
          <w:i/>
        </w:rPr>
        <w:lastRenderedPageBreak/>
        <w:t>Permittees</w:t>
      </w:r>
      <w:r w:rsidRPr="003B4AEE">
        <w:t>.</w:t>
      </w:r>
      <w:r w:rsidR="00C4033F" w:rsidRPr="003B4AEE">
        <w:t xml:space="preserve"> The estimated time </w:t>
      </w:r>
      <w:r w:rsidR="004A16A8" w:rsidRPr="003B4AEE">
        <w:t xml:space="preserve">per permittee </w:t>
      </w:r>
      <w:r w:rsidR="00C4033F" w:rsidRPr="003B4AEE">
        <w:t xml:space="preserve">to complete a Form 1 application is </w:t>
      </w:r>
      <w:r w:rsidR="00E778C4" w:rsidRPr="003B4AEE">
        <w:t xml:space="preserve">2.9 </w:t>
      </w:r>
      <w:r w:rsidR="00C4033F" w:rsidRPr="003B4AEE">
        <w:t>hours for a</w:t>
      </w:r>
      <w:r w:rsidR="009F3302" w:rsidRPr="003B4AEE">
        <w:t xml:space="preserve"> </w:t>
      </w:r>
      <w:r w:rsidR="00C4033F" w:rsidRPr="003B4AEE">
        <w:t xml:space="preserve">new permit and </w:t>
      </w:r>
      <w:r w:rsidR="00E778C4" w:rsidRPr="003B4AEE">
        <w:t>0.9</w:t>
      </w:r>
      <w:r w:rsidR="00C4033F" w:rsidRPr="003B4AEE">
        <w:t xml:space="preserve"> hour for a renewal. The estimated time to complete a Form 2F application is </w:t>
      </w:r>
      <w:r w:rsidR="00325676" w:rsidRPr="003B4AEE">
        <w:t>28.1</w:t>
      </w:r>
      <w:r w:rsidR="00C4033F" w:rsidRPr="003B4AEE">
        <w:t xml:space="preserve"> hours.</w:t>
      </w:r>
    </w:p>
    <w:p w14:paraId="243EF1BC" w14:textId="00E9C19E" w:rsidR="00CD6614" w:rsidRPr="003B4AEE" w:rsidRDefault="00E932C0" w:rsidP="00E15A36">
      <w:pPr>
        <w:pStyle w:val="BodyText"/>
      </w:pPr>
      <w:r w:rsidRPr="003B4AEE">
        <w:rPr>
          <w:i/>
        </w:rPr>
        <w:t>States/Federal</w:t>
      </w:r>
      <w:r w:rsidR="00CD6614" w:rsidRPr="003B4AEE">
        <w:rPr>
          <w:i/>
        </w:rPr>
        <w:t>.</w:t>
      </w:r>
      <w:r w:rsidR="00CD6614" w:rsidRPr="003B4AEE">
        <w:t xml:space="preserve"> The estimated time required for state/federal respondents to review and process</w:t>
      </w:r>
      <w:r w:rsidR="001E6F0B" w:rsidRPr="003B4AEE">
        <w:t xml:space="preserve"> </w:t>
      </w:r>
      <w:r w:rsidR="00E7220F" w:rsidRPr="003B4AEE">
        <w:t xml:space="preserve">a </w:t>
      </w:r>
      <w:r w:rsidR="001E6F0B" w:rsidRPr="003B4AEE">
        <w:t>Form 1 application is 0.5 hours.</w:t>
      </w:r>
    </w:p>
    <w:p w14:paraId="246B8210" w14:textId="2CF3D90E" w:rsidR="00C4033F" w:rsidRPr="003B4AEE" w:rsidRDefault="00C4033F" w:rsidP="00D11C94">
      <w:pPr>
        <w:pStyle w:val="Heading9"/>
      </w:pPr>
      <w:bookmarkStart w:id="333" w:name="_Toc71729154"/>
      <w:r w:rsidRPr="003B4AEE">
        <w:t>General Permits</w:t>
      </w:r>
      <w:bookmarkEnd w:id="333"/>
    </w:p>
    <w:p w14:paraId="6C22397E" w14:textId="1975B97F" w:rsidR="00C4033F" w:rsidRPr="003B4AEE" w:rsidRDefault="00C6520E" w:rsidP="00DE1B27">
      <w:pPr>
        <w:pStyle w:val="Heading4"/>
      </w:pPr>
      <w:r w:rsidRPr="003B4AEE">
        <w:t>A.1.5</w:t>
      </w:r>
      <w:r w:rsidR="00C4033F" w:rsidRPr="003B4AEE">
        <w:t>.1</w:t>
      </w:r>
      <w:r w:rsidR="00EB7492" w:rsidRPr="003B4AEE">
        <w:t>.</w:t>
      </w:r>
      <w:r w:rsidR="00C4033F" w:rsidRPr="003B4AEE">
        <w:t xml:space="preserve"> Phase II MS4s</w:t>
      </w:r>
    </w:p>
    <w:p w14:paraId="28DF2013" w14:textId="3A86550A" w:rsidR="00D316EF" w:rsidRPr="003B4AEE" w:rsidRDefault="00BF1A20" w:rsidP="00E15A36">
      <w:pPr>
        <w:pStyle w:val="BodyText"/>
      </w:pPr>
      <w:r w:rsidRPr="003B4AEE">
        <w:t xml:space="preserve">NPDES regulations at 40 CFR 122.30 through 122.37 establishes requirements for Phase II MS4s. </w:t>
      </w:r>
      <w:r w:rsidR="00B32AB1" w:rsidRPr="003B4AEE">
        <w:t>Permittee a</w:t>
      </w:r>
      <w:r w:rsidR="00C4033F" w:rsidRPr="003B4AEE">
        <w:t>ctivities related to Phase I</w:t>
      </w:r>
      <w:r w:rsidR="00B32AB1" w:rsidRPr="003B4AEE">
        <w:t>I</w:t>
      </w:r>
      <w:r w:rsidR="00C4033F" w:rsidRPr="003B4AEE">
        <w:t xml:space="preserve"> MS4s include:</w:t>
      </w:r>
    </w:p>
    <w:p w14:paraId="58E273ED" w14:textId="63551E35" w:rsidR="00C4033F" w:rsidRPr="003B4AEE" w:rsidRDefault="00C4033F" w:rsidP="00290A17">
      <w:pPr>
        <w:pStyle w:val="ListBulletsingle"/>
        <w:numPr>
          <w:ilvl w:val="0"/>
          <w:numId w:val="30"/>
        </w:numPr>
      </w:pPr>
      <w:r w:rsidRPr="003B4AEE">
        <w:t>NOI</w:t>
      </w:r>
      <w:r w:rsidR="00E7220F" w:rsidRPr="003B4AEE">
        <w:t>s</w:t>
      </w:r>
      <w:r w:rsidR="009F3302" w:rsidRPr="003B4AEE">
        <w:t>; and</w:t>
      </w:r>
    </w:p>
    <w:p w14:paraId="6D48901E" w14:textId="56E77DD0" w:rsidR="00C4033F" w:rsidRPr="003B4AEE" w:rsidRDefault="00C4033F" w:rsidP="00290A17">
      <w:pPr>
        <w:pStyle w:val="ListBulletlast"/>
        <w:numPr>
          <w:ilvl w:val="0"/>
          <w:numId w:val="30"/>
        </w:numPr>
      </w:pPr>
      <w:r w:rsidRPr="003B4AEE">
        <w:t>Reports</w:t>
      </w:r>
      <w:r w:rsidR="009F3302" w:rsidRPr="003B4AEE">
        <w:t>.</w:t>
      </w:r>
    </w:p>
    <w:p w14:paraId="4452AF2F" w14:textId="512581A8" w:rsidR="003E71A0" w:rsidRPr="003B4AEE" w:rsidRDefault="0008544B" w:rsidP="0085470C">
      <w:pPr>
        <w:pStyle w:val="Heading5"/>
      </w:pPr>
      <w:r w:rsidRPr="003B4AEE">
        <w:t>NOI</w:t>
      </w:r>
      <w:r w:rsidR="00653DCE" w:rsidRPr="003B4AEE">
        <w:t>s</w:t>
      </w:r>
    </w:p>
    <w:p w14:paraId="0237C928" w14:textId="26B7FD27" w:rsidR="00C4033F" w:rsidRPr="003B4AEE" w:rsidRDefault="00F22E66" w:rsidP="00E15A36">
      <w:pPr>
        <w:pStyle w:val="BodyText"/>
      </w:pPr>
      <w:r w:rsidRPr="003B4AEE">
        <w:rPr>
          <w:i/>
        </w:rPr>
        <w:t xml:space="preserve">Permittees. </w:t>
      </w:r>
      <w:r w:rsidR="00ED74DF" w:rsidRPr="003B4AEE">
        <w:t xml:space="preserve">The estimated time </w:t>
      </w:r>
      <w:r w:rsidR="004A16A8" w:rsidRPr="003B4AEE">
        <w:t xml:space="preserve">per permittee </w:t>
      </w:r>
      <w:r w:rsidR="00737431" w:rsidRPr="003B4AEE">
        <w:t xml:space="preserve">to </w:t>
      </w:r>
      <w:r w:rsidR="00ED74DF" w:rsidRPr="003B4AEE">
        <w:t>prepare and submit an NOI is 60 hours and occurs once every 5 years.</w:t>
      </w:r>
    </w:p>
    <w:p w14:paraId="6EE45255" w14:textId="2488D022" w:rsidR="00C67BBA" w:rsidRPr="003B4AEE" w:rsidRDefault="00E932C0" w:rsidP="00E15A36">
      <w:pPr>
        <w:pStyle w:val="BodyText"/>
      </w:pPr>
      <w:r w:rsidRPr="003B4AEE">
        <w:rPr>
          <w:i/>
        </w:rPr>
        <w:t>States/Federal</w:t>
      </w:r>
      <w:r w:rsidR="00C67BBA" w:rsidRPr="003B4AEE">
        <w:t xml:space="preserve">. The estimated time required for state/federal respondents to review and process </w:t>
      </w:r>
      <w:r w:rsidR="00E7220F" w:rsidRPr="003B4AEE">
        <w:t xml:space="preserve">each NOI </w:t>
      </w:r>
      <w:r w:rsidR="00C67BBA" w:rsidRPr="003B4AEE">
        <w:t xml:space="preserve">is </w:t>
      </w:r>
      <w:r w:rsidR="00556593" w:rsidRPr="003B4AEE">
        <w:t>4 hours.</w:t>
      </w:r>
    </w:p>
    <w:p w14:paraId="52580AF3" w14:textId="0992A44F" w:rsidR="00C4033F" w:rsidRPr="003B4AEE" w:rsidRDefault="00ED74DF" w:rsidP="0085470C">
      <w:pPr>
        <w:pStyle w:val="Heading5"/>
      </w:pPr>
      <w:r w:rsidRPr="003B4AEE">
        <w:t>Reports</w:t>
      </w:r>
    </w:p>
    <w:p w14:paraId="59B6102A" w14:textId="01903477" w:rsidR="00ED74DF" w:rsidRPr="003B4AEE" w:rsidRDefault="00ED74DF" w:rsidP="00E15A36">
      <w:pPr>
        <w:pStyle w:val="BodyText"/>
      </w:pPr>
      <w:r w:rsidRPr="003B4AEE">
        <w:rPr>
          <w:i/>
        </w:rPr>
        <w:t xml:space="preserve">Permittees. </w:t>
      </w:r>
      <w:r w:rsidRPr="003B4AEE">
        <w:t xml:space="preserve">Reports under this category include compliance schedule reports at 0.75 hours per response, </w:t>
      </w:r>
      <w:proofErr w:type="gramStart"/>
      <w:r w:rsidRPr="003B4AEE">
        <w:t>facility</w:t>
      </w:r>
      <w:proofErr w:type="gramEnd"/>
      <w:r w:rsidRPr="003B4AEE">
        <w:t xml:space="preserve"> and permit transfer report</w:t>
      </w:r>
      <w:r w:rsidR="00335FE5" w:rsidRPr="003B4AEE">
        <w:t>s</w:t>
      </w:r>
      <w:r w:rsidRPr="003B4AEE">
        <w:t xml:space="preserve"> at 3 hours per response, permittee report of inaccurate previous information at 2 hours per response, permittee report of planned facility changes at 4 hours per response, and annual reports at 100 hours per response. </w:t>
      </w:r>
      <w:r w:rsidR="00C34B45" w:rsidRPr="003B4AEE">
        <w:t>EPA estimates that 5</w:t>
      </w:r>
      <w:r w:rsidR="009D7240" w:rsidRPr="003B4AEE">
        <w:t xml:space="preserve"> percent</w:t>
      </w:r>
      <w:r w:rsidR="00C34B45" w:rsidRPr="003B4AEE">
        <w:t xml:space="preserve"> of MS4 permittees will submit compliance schedule reports and all permittees will submit an annual report. Other reports are submitted infrequently.</w:t>
      </w:r>
    </w:p>
    <w:p w14:paraId="6452FE81" w14:textId="773D848C" w:rsidR="00E91ADA" w:rsidRPr="003B4AEE" w:rsidRDefault="00E932C0" w:rsidP="00E15A36">
      <w:pPr>
        <w:pStyle w:val="BodyText"/>
        <w:rPr>
          <w:b/>
        </w:rPr>
      </w:pPr>
      <w:r w:rsidRPr="003B4AEE">
        <w:rPr>
          <w:i/>
        </w:rPr>
        <w:t>States/Federal</w:t>
      </w:r>
      <w:r w:rsidR="00E91ADA" w:rsidRPr="003B4AEE">
        <w:t xml:space="preserve">. The estimated time required for state/federal respondents to review and process permit reports ranges from </w:t>
      </w:r>
      <w:r w:rsidR="00F40A06" w:rsidRPr="003B4AEE">
        <w:t>1</w:t>
      </w:r>
      <w:r w:rsidR="00E91ADA" w:rsidRPr="003B4AEE">
        <w:t xml:space="preserve"> to 20 hours</w:t>
      </w:r>
      <w:r w:rsidR="00D13F7B" w:rsidRPr="003B4AEE">
        <w:t xml:space="preserve"> per report</w:t>
      </w:r>
      <w:r w:rsidR="00E91ADA" w:rsidRPr="003B4AEE">
        <w:t>.</w:t>
      </w:r>
    </w:p>
    <w:p w14:paraId="48D94ECB" w14:textId="5459F22F" w:rsidR="00C34B45" w:rsidRPr="003B4AEE" w:rsidRDefault="00C6520E" w:rsidP="00B101A0">
      <w:pPr>
        <w:pStyle w:val="Heading4"/>
      </w:pPr>
      <w:r w:rsidRPr="003B4AEE">
        <w:t>A.1.5</w:t>
      </w:r>
      <w:r w:rsidR="00C34B45" w:rsidRPr="003B4AEE">
        <w:t>.2</w:t>
      </w:r>
      <w:r w:rsidR="00EB7492" w:rsidRPr="003B4AEE">
        <w:t>.</w:t>
      </w:r>
      <w:r w:rsidR="00C34B45" w:rsidRPr="003B4AEE">
        <w:t xml:space="preserve"> Stormwater Industrial Permits</w:t>
      </w:r>
    </w:p>
    <w:p w14:paraId="7D6FF844" w14:textId="718C2D6A" w:rsidR="00463AAB" w:rsidRPr="003B4AEE" w:rsidRDefault="00F851F2" w:rsidP="00E15A36">
      <w:pPr>
        <w:pStyle w:val="BodyText"/>
      </w:pPr>
      <w:r w:rsidRPr="003B4AEE">
        <w:t>NPDES regulations at 40 CFR 122.44</w:t>
      </w:r>
      <w:r w:rsidR="004874B4" w:rsidRPr="003B4AEE">
        <w:t xml:space="preserve"> and 122.48</w:t>
      </w:r>
      <w:r w:rsidRPr="003B4AEE">
        <w:t xml:space="preserve"> establish certain requirements related to stormwater industrial permits. </w:t>
      </w:r>
      <w:r w:rsidR="00463AAB" w:rsidRPr="003B4AEE">
        <w:t xml:space="preserve">Activities related to Stormwater Industrial </w:t>
      </w:r>
      <w:r w:rsidR="00D13F7B" w:rsidRPr="003B4AEE">
        <w:t xml:space="preserve">General </w:t>
      </w:r>
      <w:r w:rsidR="00463AAB" w:rsidRPr="003B4AEE">
        <w:t>Permits</w:t>
      </w:r>
      <w:r w:rsidR="00303AA6" w:rsidRPr="003B4AEE">
        <w:t xml:space="preserve"> (</w:t>
      </w:r>
      <w:proofErr w:type="gramStart"/>
      <w:r w:rsidR="00FF1297" w:rsidRPr="003B4AEE">
        <w:t>i.e.</w:t>
      </w:r>
      <w:proofErr w:type="gramEnd"/>
      <w:r w:rsidR="00CE6C75" w:rsidRPr="003B4AEE">
        <w:t xml:space="preserve"> </w:t>
      </w:r>
      <w:r w:rsidR="00FD29BB" w:rsidRPr="003B4AEE">
        <w:t xml:space="preserve">the 2021 </w:t>
      </w:r>
      <w:r w:rsidR="00303AA6" w:rsidRPr="003B4AEE">
        <w:t>MSGP</w:t>
      </w:r>
      <w:r w:rsidR="00FF1297" w:rsidRPr="003B4AEE">
        <w:t xml:space="preserve"> and all state-issued stormwater industrial general permits</w:t>
      </w:r>
      <w:r w:rsidR="00303AA6" w:rsidRPr="003B4AEE">
        <w:t>)</w:t>
      </w:r>
      <w:r w:rsidR="00463AAB" w:rsidRPr="003B4AEE">
        <w:t xml:space="preserve"> include:</w:t>
      </w:r>
    </w:p>
    <w:p w14:paraId="280FF7D7" w14:textId="6D24E0BB" w:rsidR="00463AAB" w:rsidRPr="003B4AEE" w:rsidRDefault="00463AAB" w:rsidP="00290A17">
      <w:pPr>
        <w:pStyle w:val="ListBulletsingle"/>
        <w:numPr>
          <w:ilvl w:val="0"/>
          <w:numId w:val="31"/>
        </w:numPr>
      </w:pPr>
      <w:r w:rsidRPr="003B4AEE">
        <w:t>NOI</w:t>
      </w:r>
      <w:r w:rsidR="00D13F7B" w:rsidRPr="003B4AEE">
        <w:t>s</w:t>
      </w:r>
      <w:r w:rsidR="005528E7" w:rsidRPr="003B4AEE">
        <w:t>/</w:t>
      </w:r>
      <w:proofErr w:type="gramStart"/>
      <w:r w:rsidR="005528E7" w:rsidRPr="003B4AEE">
        <w:t>NOTs</w:t>
      </w:r>
      <w:r w:rsidR="009F3302" w:rsidRPr="003B4AEE">
        <w:t>;</w:t>
      </w:r>
      <w:proofErr w:type="gramEnd"/>
    </w:p>
    <w:p w14:paraId="07A3AE87" w14:textId="7E37B1C0" w:rsidR="00463AAB" w:rsidRPr="003B4AEE" w:rsidRDefault="00463AAB" w:rsidP="00290A17">
      <w:pPr>
        <w:pStyle w:val="ListBulletsingle"/>
        <w:numPr>
          <w:ilvl w:val="0"/>
          <w:numId w:val="31"/>
        </w:numPr>
      </w:pPr>
      <w:proofErr w:type="gramStart"/>
      <w:r w:rsidRPr="003B4AEE">
        <w:t>DMRs</w:t>
      </w:r>
      <w:r w:rsidR="009F3302" w:rsidRPr="003B4AEE">
        <w:t>;</w:t>
      </w:r>
      <w:proofErr w:type="gramEnd"/>
    </w:p>
    <w:p w14:paraId="2D6B2618" w14:textId="141ECD02" w:rsidR="00463AAB" w:rsidRPr="003B4AEE" w:rsidRDefault="00463AAB" w:rsidP="00290A17">
      <w:pPr>
        <w:pStyle w:val="ListBulletsingle"/>
        <w:numPr>
          <w:ilvl w:val="0"/>
          <w:numId w:val="31"/>
        </w:numPr>
      </w:pPr>
      <w:r w:rsidRPr="003B4AEE">
        <w:t>Monitoring/</w:t>
      </w:r>
      <w:proofErr w:type="gramStart"/>
      <w:r w:rsidRPr="003B4AEE">
        <w:t>Inspections</w:t>
      </w:r>
      <w:r w:rsidR="009F3302" w:rsidRPr="003B4AEE">
        <w:t>;</w:t>
      </w:r>
      <w:proofErr w:type="gramEnd"/>
    </w:p>
    <w:p w14:paraId="02A13147" w14:textId="6A3D4628" w:rsidR="00463AAB" w:rsidRPr="003B4AEE" w:rsidRDefault="00463AAB" w:rsidP="00290A17">
      <w:pPr>
        <w:pStyle w:val="ListBulletsingle"/>
        <w:numPr>
          <w:ilvl w:val="0"/>
          <w:numId w:val="31"/>
        </w:numPr>
      </w:pPr>
      <w:r w:rsidRPr="003B4AEE">
        <w:t>Reports</w:t>
      </w:r>
      <w:r w:rsidR="009F3302" w:rsidRPr="003B4AEE">
        <w:t>; and</w:t>
      </w:r>
    </w:p>
    <w:p w14:paraId="08F7D4EE" w14:textId="223B6A68" w:rsidR="00463AAB" w:rsidRPr="003B4AEE" w:rsidRDefault="00463AAB" w:rsidP="00290A17">
      <w:pPr>
        <w:pStyle w:val="ListBulletlast"/>
        <w:numPr>
          <w:ilvl w:val="0"/>
          <w:numId w:val="31"/>
        </w:numPr>
      </w:pPr>
      <w:r w:rsidRPr="003B4AEE">
        <w:t>Other</w:t>
      </w:r>
      <w:r w:rsidR="00D11123" w:rsidRPr="003B4AEE">
        <w:t xml:space="preserve"> activities</w:t>
      </w:r>
      <w:r w:rsidR="009F3302" w:rsidRPr="003B4AEE">
        <w:t>.</w:t>
      </w:r>
    </w:p>
    <w:p w14:paraId="4635573C" w14:textId="5564719D" w:rsidR="00463AAB" w:rsidRPr="003B4AEE" w:rsidRDefault="00463AAB" w:rsidP="0085470C">
      <w:pPr>
        <w:pStyle w:val="Heading5"/>
      </w:pPr>
      <w:r w:rsidRPr="003B4AEE">
        <w:lastRenderedPageBreak/>
        <w:t>NOIs</w:t>
      </w:r>
      <w:r w:rsidR="000D134B" w:rsidRPr="003B4AEE">
        <w:t>/NOTs</w:t>
      </w:r>
    </w:p>
    <w:p w14:paraId="1C708DFD" w14:textId="00ECF37C" w:rsidR="00463AAB" w:rsidRPr="003B4AEE" w:rsidRDefault="00D95D25" w:rsidP="00E15A36">
      <w:pPr>
        <w:pStyle w:val="BodyText"/>
      </w:pPr>
      <w:r w:rsidRPr="003B4AEE">
        <w:rPr>
          <w:i/>
        </w:rPr>
        <w:t>Permittees</w:t>
      </w:r>
      <w:r w:rsidRPr="003B4AEE">
        <w:t xml:space="preserve">. The estimated average time </w:t>
      </w:r>
      <w:r w:rsidR="004A16A8" w:rsidRPr="003B4AEE">
        <w:t xml:space="preserve">per permittee </w:t>
      </w:r>
      <w:r w:rsidRPr="003B4AEE">
        <w:t>to prepare and submit an NOI is</w:t>
      </w:r>
      <w:r w:rsidR="00D11123" w:rsidRPr="003B4AEE">
        <w:t xml:space="preserve"> </w:t>
      </w:r>
      <w:r w:rsidR="006101E2" w:rsidRPr="003B4AEE">
        <w:t>3.7</w:t>
      </w:r>
      <w:r w:rsidRPr="003B4AEE">
        <w:t xml:space="preserve"> hours for </w:t>
      </w:r>
      <w:r w:rsidR="009F3302" w:rsidRPr="003B4AEE">
        <w:t>state-</w:t>
      </w:r>
      <w:r w:rsidRPr="003B4AEE">
        <w:t xml:space="preserve">administered permits and </w:t>
      </w:r>
      <w:r w:rsidR="00E66B49" w:rsidRPr="003B4AEE">
        <w:t>4.1 hours</w:t>
      </w:r>
      <w:r w:rsidRPr="003B4AEE">
        <w:t xml:space="preserve"> for </w:t>
      </w:r>
      <w:r w:rsidR="009F3302" w:rsidRPr="003B4AEE">
        <w:t>EPA-</w:t>
      </w:r>
      <w:r w:rsidRPr="003B4AEE">
        <w:t xml:space="preserve">administered permits </w:t>
      </w:r>
      <w:r w:rsidR="000546C5" w:rsidRPr="003B4AEE">
        <w:t xml:space="preserve">that </w:t>
      </w:r>
      <w:r w:rsidRPr="003B4AEE">
        <w:t>includes a</w:t>
      </w:r>
      <w:r w:rsidR="00D11123" w:rsidRPr="003B4AEE">
        <w:t xml:space="preserve">dditional time </w:t>
      </w:r>
      <w:r w:rsidRPr="003B4AEE">
        <w:t xml:space="preserve">for the </w:t>
      </w:r>
      <w:r w:rsidR="005240CF" w:rsidRPr="003B4AEE">
        <w:t>permittees</w:t>
      </w:r>
      <w:r w:rsidRPr="003B4AEE">
        <w:t xml:space="preserve"> </w:t>
      </w:r>
      <w:r w:rsidR="00D11123" w:rsidRPr="003B4AEE">
        <w:t xml:space="preserve">that </w:t>
      </w:r>
      <w:r w:rsidRPr="003B4AEE">
        <w:t>report endangered species</w:t>
      </w:r>
      <w:r w:rsidR="00E40C25" w:rsidRPr="003B4AEE">
        <w:t xml:space="preserve"> and </w:t>
      </w:r>
      <w:r w:rsidR="004C6729" w:rsidRPr="003B4AEE">
        <w:t>new NOI questions present in</w:t>
      </w:r>
      <w:r w:rsidR="00E40C25" w:rsidRPr="003B4AEE">
        <w:t xml:space="preserve"> the 2021 MSGP</w:t>
      </w:r>
      <w:r w:rsidRPr="003B4AEE">
        <w:t>. Frequency is once every 5 years.</w:t>
      </w:r>
      <w:r w:rsidR="00AB2A62" w:rsidRPr="003B4AEE">
        <w:t xml:space="preserve"> </w:t>
      </w:r>
      <w:r w:rsidR="000D134B" w:rsidRPr="003B4AEE">
        <w:t>The estimated time per permittee to prepare and submit an NOT is 0.5 hours</w:t>
      </w:r>
      <w:r w:rsidR="008172C5" w:rsidRPr="003B4AEE">
        <w:t xml:space="preserve"> and it is presumed that 15 percent of permittees submit an NOT every </w:t>
      </w:r>
      <w:r w:rsidR="00154907" w:rsidRPr="003B4AEE">
        <w:t>year</w:t>
      </w:r>
      <w:r w:rsidR="008172C5" w:rsidRPr="003B4AEE">
        <w:t>.</w:t>
      </w:r>
    </w:p>
    <w:p w14:paraId="4F13CD69" w14:textId="7ACDF3FF" w:rsidR="00F40A06" w:rsidRPr="003B4AEE" w:rsidRDefault="00E932C0" w:rsidP="00E15A36">
      <w:pPr>
        <w:pStyle w:val="BodyText"/>
      </w:pPr>
      <w:r w:rsidRPr="003B4AEE">
        <w:rPr>
          <w:i/>
        </w:rPr>
        <w:t>States/Federal</w:t>
      </w:r>
      <w:r w:rsidR="00F40A06" w:rsidRPr="003B4AEE">
        <w:t xml:space="preserve">. The estimated time required for state/federal respondents to process NOIs </w:t>
      </w:r>
      <w:r w:rsidR="00754AED" w:rsidRPr="003B4AEE">
        <w:t xml:space="preserve"> is 0.</w:t>
      </w:r>
      <w:r w:rsidR="00B6087A" w:rsidRPr="003B4AEE">
        <w:t>25</w:t>
      </w:r>
      <w:r w:rsidR="00754AED" w:rsidRPr="003B4AEE">
        <w:t xml:space="preserve"> hours a</w:t>
      </w:r>
      <w:r w:rsidR="00B006D7" w:rsidRPr="003B4AEE">
        <w:t>nd 0.25 hours for NOTs.</w:t>
      </w:r>
    </w:p>
    <w:p w14:paraId="691F5CD1" w14:textId="4F878CCB" w:rsidR="00D95D25" w:rsidRPr="003B4AEE" w:rsidRDefault="00D95D25" w:rsidP="0085470C">
      <w:pPr>
        <w:pStyle w:val="Heading5"/>
      </w:pPr>
      <w:r w:rsidRPr="003B4AEE">
        <w:t>DMRs</w:t>
      </w:r>
    </w:p>
    <w:p w14:paraId="557D262A" w14:textId="7111D786" w:rsidR="0095695C" w:rsidRPr="003B4AEE" w:rsidRDefault="00B36841">
      <w:pPr>
        <w:rPr>
          <w:i/>
        </w:rPr>
      </w:pPr>
      <w:r w:rsidRPr="003B4AEE">
        <w:rPr>
          <w:i/>
        </w:rPr>
        <w:t xml:space="preserve">Permittees. </w:t>
      </w:r>
      <w:r w:rsidRPr="003B4AEE">
        <w:rPr>
          <w:iCs/>
        </w:rPr>
        <w:t>The estimated average time per permittee to prepare and submit a DMR is 2 hours and occurs 4 times every 5 years for 25</w:t>
      </w:r>
      <w:r w:rsidR="001701BC" w:rsidRPr="003B4AEE">
        <w:rPr>
          <w:iCs/>
        </w:rPr>
        <w:t xml:space="preserve"> percent</w:t>
      </w:r>
      <w:r w:rsidRPr="003B4AEE">
        <w:rPr>
          <w:iCs/>
        </w:rPr>
        <w:t xml:space="preserve"> of </w:t>
      </w:r>
      <w:r w:rsidR="0053290E" w:rsidRPr="003B4AEE">
        <w:rPr>
          <w:iCs/>
        </w:rPr>
        <w:t>permitters</w:t>
      </w:r>
      <w:r w:rsidRPr="003B4AEE">
        <w:rPr>
          <w:iCs/>
        </w:rPr>
        <w:t xml:space="preserve"> and 8 times every 5 years for the other 75</w:t>
      </w:r>
      <w:r w:rsidR="001701BC" w:rsidRPr="003B4AEE">
        <w:rPr>
          <w:iCs/>
        </w:rPr>
        <w:t xml:space="preserve"> percent</w:t>
      </w:r>
      <w:r w:rsidRPr="003B4AEE">
        <w:rPr>
          <w:iCs/>
        </w:rPr>
        <w:t xml:space="preserve"> of permi</w:t>
      </w:r>
      <w:r w:rsidR="0053290E" w:rsidRPr="003B4AEE">
        <w:rPr>
          <w:iCs/>
        </w:rPr>
        <w:t>t</w:t>
      </w:r>
      <w:r w:rsidRPr="003B4AEE">
        <w:rPr>
          <w:iCs/>
        </w:rPr>
        <w:t>t</w:t>
      </w:r>
      <w:r w:rsidR="0053290E" w:rsidRPr="003B4AEE">
        <w:rPr>
          <w:iCs/>
        </w:rPr>
        <w:t>ee</w:t>
      </w:r>
      <w:r w:rsidRPr="003B4AEE">
        <w:rPr>
          <w:iCs/>
        </w:rPr>
        <w:t>s.</w:t>
      </w:r>
    </w:p>
    <w:p w14:paraId="5F613166" w14:textId="0371DE44" w:rsidR="00F17D04" w:rsidRPr="003B4AEE" w:rsidRDefault="00E932C0" w:rsidP="00D11C94">
      <w:pPr>
        <w:pStyle w:val="BodyText"/>
      </w:pPr>
      <w:r w:rsidRPr="003B4AEE">
        <w:rPr>
          <w:i/>
        </w:rPr>
        <w:t>States/Federal</w:t>
      </w:r>
      <w:r w:rsidR="00F17D04" w:rsidRPr="003B4AEE">
        <w:t xml:space="preserve">. </w:t>
      </w:r>
      <w:r w:rsidR="00283A06" w:rsidRPr="003B4AEE">
        <w:t xml:space="preserve">The implementation of the </w:t>
      </w:r>
      <w:proofErr w:type="spellStart"/>
      <w:r w:rsidR="00283A06" w:rsidRPr="003B4AEE">
        <w:t>eRule</w:t>
      </w:r>
      <w:proofErr w:type="spellEnd"/>
      <w:r w:rsidR="00283A06" w:rsidRPr="003B4AEE">
        <w:t xml:space="preserve"> eliminated all DMR processing burden for state and federal respondents. Remaining burden to be phased out is addressed in A.1.8.4.</w:t>
      </w:r>
    </w:p>
    <w:p w14:paraId="5FEE4A49" w14:textId="14A05189" w:rsidR="00757D0F" w:rsidRPr="003B4AEE" w:rsidRDefault="00504780" w:rsidP="0085470C">
      <w:pPr>
        <w:pStyle w:val="Heading5"/>
      </w:pPr>
      <w:r w:rsidRPr="003B4AEE">
        <w:t xml:space="preserve">Permittee </w:t>
      </w:r>
      <w:r w:rsidR="00757D0F" w:rsidRPr="003B4AEE">
        <w:t>Monitoring</w:t>
      </w:r>
      <w:r w:rsidRPr="003B4AEE">
        <w:t xml:space="preserve"> and </w:t>
      </w:r>
      <w:r w:rsidR="00757D0F" w:rsidRPr="003B4AEE">
        <w:t>Inspections</w:t>
      </w:r>
      <w:r w:rsidR="00634753" w:rsidRPr="003B4AEE">
        <w:t xml:space="preserve"> </w:t>
      </w:r>
    </w:p>
    <w:p w14:paraId="67402FC9" w14:textId="2E5999FA" w:rsidR="007D7684" w:rsidRPr="003B4AEE" w:rsidRDefault="006D4555" w:rsidP="00D11C94">
      <w:pPr>
        <w:pStyle w:val="BodyText"/>
      </w:pPr>
      <w:r w:rsidRPr="003B4AEE">
        <w:rPr>
          <w:i/>
        </w:rPr>
        <w:t>Permittees.</w:t>
      </w:r>
      <w:r w:rsidRPr="003B4AEE">
        <w:t xml:space="preserve"> The estimated average time </w:t>
      </w:r>
      <w:r w:rsidR="00D13F7B" w:rsidRPr="003B4AEE">
        <w:t xml:space="preserve">per permittee </w:t>
      </w:r>
      <w:r w:rsidRPr="003B4AEE">
        <w:t>to conduct sampling is 2.25 hours</w:t>
      </w:r>
      <w:r w:rsidR="002239C9" w:rsidRPr="003B4AEE">
        <w:t xml:space="preserve"> and another 1.5 hours to conduct the sampling analyses</w:t>
      </w:r>
      <w:r w:rsidRPr="003B4AEE">
        <w:t xml:space="preserve">. </w:t>
      </w:r>
      <w:r w:rsidR="007D7684" w:rsidRPr="003B4AEE">
        <w:t>The f</w:t>
      </w:r>
      <w:r w:rsidRPr="003B4AEE">
        <w:t>requency is the same as for DMRs</w:t>
      </w:r>
      <w:r w:rsidR="00442E18" w:rsidRPr="003B4AEE">
        <w:t xml:space="preserve"> for </w:t>
      </w:r>
      <w:r w:rsidR="000546C5" w:rsidRPr="003B4AEE">
        <w:t xml:space="preserve">permittees covered by </w:t>
      </w:r>
      <w:r w:rsidR="00442E18" w:rsidRPr="003B4AEE">
        <w:t>state-</w:t>
      </w:r>
      <w:r w:rsidR="00946840" w:rsidRPr="003B4AEE">
        <w:t>administered</w:t>
      </w:r>
      <w:r w:rsidR="00442E18" w:rsidRPr="003B4AEE">
        <w:t xml:space="preserve"> </w:t>
      </w:r>
      <w:r w:rsidR="000C4A15" w:rsidRPr="003B4AEE">
        <w:t>permits</w:t>
      </w:r>
      <w:r w:rsidRPr="003B4AEE">
        <w:t xml:space="preserve">. </w:t>
      </w:r>
      <w:r w:rsidR="000C4A15" w:rsidRPr="003B4AEE">
        <w:t xml:space="preserve">However, </w:t>
      </w:r>
      <w:r w:rsidR="002057FF" w:rsidRPr="003B4AEE">
        <w:t xml:space="preserve">due to 2021 MSGP benchmark sampling requirements, </w:t>
      </w:r>
      <w:r w:rsidR="000C4A15" w:rsidRPr="003B4AEE">
        <w:t xml:space="preserve">EPA assumes that permittees covered under EPA-administered permittees will </w:t>
      </w:r>
      <w:r w:rsidR="002057FF" w:rsidRPr="003B4AEE">
        <w:t>conduct some type of sampling</w:t>
      </w:r>
      <w:r w:rsidR="000C4A15" w:rsidRPr="003B4AEE">
        <w:t xml:space="preserve"> quarterly</w:t>
      </w:r>
      <w:r w:rsidR="002057FF" w:rsidRPr="003B4AEE">
        <w:t xml:space="preserve"> every year of the permit term.</w:t>
      </w:r>
    </w:p>
    <w:p w14:paraId="05CE10AA" w14:textId="463A1067" w:rsidR="0083782B" w:rsidRPr="003B4AEE" w:rsidRDefault="001C3C9E" w:rsidP="00D11C94">
      <w:pPr>
        <w:pStyle w:val="BodyText"/>
      </w:pPr>
      <w:r w:rsidRPr="003B4AEE">
        <w:t>The estimated average time to conduct annual site inspections</w:t>
      </w:r>
      <w:r w:rsidR="00384321" w:rsidRPr="003B4AEE">
        <w:t xml:space="preserve"> and visual assessments</w:t>
      </w:r>
      <w:r w:rsidRPr="003B4AEE">
        <w:t xml:space="preserve"> is 4 hours. </w:t>
      </w:r>
    </w:p>
    <w:p w14:paraId="607AA881" w14:textId="3A806036" w:rsidR="00227945" w:rsidRPr="003B4AEE" w:rsidRDefault="00E932C0" w:rsidP="00D11C94">
      <w:pPr>
        <w:pStyle w:val="BodyText"/>
        <w:rPr>
          <w:b/>
        </w:rPr>
      </w:pPr>
      <w:r w:rsidRPr="003B4AEE">
        <w:rPr>
          <w:i/>
        </w:rPr>
        <w:t>States/Federal</w:t>
      </w:r>
      <w:r w:rsidR="00227945" w:rsidRPr="003B4AEE">
        <w:rPr>
          <w:i/>
        </w:rPr>
        <w:t xml:space="preserve">. </w:t>
      </w:r>
      <w:r w:rsidR="00227945" w:rsidRPr="003B4AEE">
        <w:t xml:space="preserve">State/federal activities related to monitoring and inspection data </w:t>
      </w:r>
      <w:r w:rsidR="00E86425" w:rsidRPr="003B4AEE">
        <w:t>are</w:t>
      </w:r>
      <w:r w:rsidR="00227945" w:rsidRPr="003B4AEE">
        <w:t xml:space="preserve"> covered under the DMRs and Reports sections.</w:t>
      </w:r>
    </w:p>
    <w:p w14:paraId="05AA775B" w14:textId="77B18817" w:rsidR="00897148" w:rsidRPr="003B4AEE" w:rsidRDefault="00897148" w:rsidP="0085470C">
      <w:pPr>
        <w:pStyle w:val="Heading5"/>
      </w:pPr>
      <w:r w:rsidRPr="003B4AEE">
        <w:t>Reports</w:t>
      </w:r>
    </w:p>
    <w:p w14:paraId="70BED6BC" w14:textId="3E32E5AC" w:rsidR="00897148" w:rsidRPr="003B4AEE" w:rsidRDefault="00897148" w:rsidP="00D11C94">
      <w:pPr>
        <w:pStyle w:val="BodyText"/>
      </w:pPr>
      <w:r w:rsidRPr="003B4AEE">
        <w:rPr>
          <w:i/>
        </w:rPr>
        <w:t>Permittees:</w:t>
      </w:r>
      <w:r w:rsidRPr="003B4AEE">
        <w:t xml:space="preserve"> Reports under this category include</w:t>
      </w:r>
      <w:r w:rsidR="00924D6F" w:rsidRPr="003B4AEE">
        <w:t xml:space="preserve"> an</w:t>
      </w:r>
      <w:r w:rsidRPr="003B4AEE">
        <w:t xml:space="preserve"> </w:t>
      </w:r>
      <w:r w:rsidR="00922D89" w:rsidRPr="003B4AEE">
        <w:t xml:space="preserve">annual report at </w:t>
      </w:r>
      <w:r w:rsidR="004E068E" w:rsidRPr="003B4AEE">
        <w:t>1</w:t>
      </w:r>
      <w:r w:rsidR="00922D89" w:rsidRPr="003B4AEE">
        <w:t xml:space="preserve"> hour per response, </w:t>
      </w:r>
      <w:r w:rsidRPr="003B4AEE">
        <w:t>permittee report of inaccurate previous information at 2 hours per response, permittee report of planned facility changes at 4 hours per response, permittee report of anticipated noncompliance at 5 hours per response</w:t>
      </w:r>
      <w:r w:rsidR="001F562C" w:rsidRPr="003B4AEE">
        <w:t xml:space="preserve">, </w:t>
      </w:r>
      <w:r w:rsidR="006703A9" w:rsidRPr="003B4AEE">
        <w:t xml:space="preserve">and </w:t>
      </w:r>
      <w:r w:rsidR="00D841C7" w:rsidRPr="003B4AEE">
        <w:t xml:space="preserve">permittee report of numeric effluent limit exceedance at </w:t>
      </w:r>
      <w:r w:rsidR="00DD07C5" w:rsidRPr="003B4AEE">
        <w:t>2</w:t>
      </w:r>
      <w:r w:rsidR="00D841C7" w:rsidRPr="003B4AEE">
        <w:t xml:space="preserve"> hour</w:t>
      </w:r>
      <w:r w:rsidR="00DD07C5" w:rsidRPr="003B4AEE">
        <w:t>s</w:t>
      </w:r>
      <w:r w:rsidR="00D841C7" w:rsidRPr="003B4AEE">
        <w:t xml:space="preserve"> per response</w:t>
      </w:r>
      <w:r w:rsidR="006703A9" w:rsidRPr="003B4AEE">
        <w:t xml:space="preserve">. </w:t>
      </w:r>
    </w:p>
    <w:p w14:paraId="0B605677" w14:textId="64A0F65D" w:rsidR="00791DEB" w:rsidRPr="003B4AEE" w:rsidRDefault="00E932C0" w:rsidP="00D11C94">
      <w:pPr>
        <w:pStyle w:val="BodyText"/>
        <w:rPr>
          <w:b/>
        </w:rPr>
      </w:pPr>
      <w:r w:rsidRPr="003B4AEE">
        <w:rPr>
          <w:i/>
        </w:rPr>
        <w:t>States/Federal</w:t>
      </w:r>
      <w:r w:rsidR="00E91ADA" w:rsidRPr="003B4AEE">
        <w:t>. The estimated time required for state/federal respondents to review and process permit reports ranges from 4 to 20 hours.</w:t>
      </w:r>
      <w:r w:rsidR="00791DEB" w:rsidRPr="003B4AEE">
        <w:t xml:space="preserve"> The estimated time required for state/federal respondents to assist permittees that are required to submit </w:t>
      </w:r>
      <w:r w:rsidR="008162DF" w:rsidRPr="003B4AEE">
        <w:t xml:space="preserve">numeric effluent limit </w:t>
      </w:r>
      <w:r w:rsidR="00791DEB" w:rsidRPr="003B4AEE">
        <w:t xml:space="preserve">exceedance report is 2 hours. </w:t>
      </w:r>
      <w:r w:rsidR="005D3384" w:rsidRPr="003B4AEE">
        <w:t>A</w:t>
      </w:r>
      <w:r w:rsidR="006703A9" w:rsidRPr="003B4AEE">
        <w:t xml:space="preserve">pproximately 5 percent of </w:t>
      </w:r>
      <w:r w:rsidR="003C5280" w:rsidRPr="003B4AEE">
        <w:t>a</w:t>
      </w:r>
      <w:r w:rsidR="006703A9" w:rsidRPr="003B4AEE">
        <w:t xml:space="preserve">nnual </w:t>
      </w:r>
      <w:r w:rsidR="003C5280" w:rsidRPr="003B4AEE">
        <w:t>r</w:t>
      </w:r>
      <w:r w:rsidR="006703A9" w:rsidRPr="003B4AEE">
        <w:t>eports will require 1 hour of EPA follow-up.</w:t>
      </w:r>
    </w:p>
    <w:p w14:paraId="747F6021" w14:textId="00650CEC" w:rsidR="00F4601B" w:rsidRPr="003B4AEE" w:rsidRDefault="00F4601B" w:rsidP="0085470C">
      <w:pPr>
        <w:pStyle w:val="Heading5"/>
      </w:pPr>
      <w:r w:rsidRPr="003B4AEE">
        <w:lastRenderedPageBreak/>
        <w:t>Other</w:t>
      </w:r>
      <w:r w:rsidR="00F47B1E" w:rsidRPr="003B4AEE">
        <w:t xml:space="preserve"> Activities</w:t>
      </w:r>
    </w:p>
    <w:p w14:paraId="4818CA95" w14:textId="0F28AF29" w:rsidR="00601555" w:rsidRPr="003B4AEE" w:rsidRDefault="00A64A1F" w:rsidP="007052FA">
      <w:pPr>
        <w:pStyle w:val="BodyText"/>
      </w:pPr>
      <w:r w:rsidRPr="003B4AEE">
        <w:t xml:space="preserve">Activities in this category include </w:t>
      </w:r>
      <w:r w:rsidR="00BA567F" w:rsidRPr="003B4AEE">
        <w:t xml:space="preserve">developing new SWPPPs, </w:t>
      </w:r>
      <w:r w:rsidRPr="003B4AEE">
        <w:t>updating existing SWPPPs, and Section 308 requests.</w:t>
      </w:r>
    </w:p>
    <w:p w14:paraId="3E5AE0B1" w14:textId="3C87532C" w:rsidR="00A64A1F" w:rsidRPr="003B4AEE" w:rsidRDefault="00A64A1F" w:rsidP="007052FA">
      <w:pPr>
        <w:pStyle w:val="BodyText"/>
      </w:pPr>
      <w:r w:rsidRPr="003B4AEE">
        <w:rPr>
          <w:i/>
        </w:rPr>
        <w:t xml:space="preserve">Permittees. </w:t>
      </w:r>
      <w:r w:rsidRPr="003B4AEE">
        <w:t xml:space="preserve">The estimated average time </w:t>
      </w:r>
      <w:r w:rsidR="00020114" w:rsidRPr="003B4AEE">
        <w:t xml:space="preserve">per permittee to </w:t>
      </w:r>
      <w:r w:rsidR="00F23385" w:rsidRPr="003B4AEE">
        <w:t>update an existing SWPPP</w:t>
      </w:r>
      <w:r w:rsidR="00324954" w:rsidRPr="003B4AEE">
        <w:t xml:space="preserve"> or a Section 302 request is</w:t>
      </w:r>
      <w:r w:rsidR="00467F1B" w:rsidRPr="003B4AEE">
        <w:t xml:space="preserve"> 8 hours each.</w:t>
      </w:r>
      <w:r w:rsidR="0020604F" w:rsidRPr="003B4AEE">
        <w:t xml:space="preserve"> The average time to develop a new SWPPP is estimated at 80 hours.</w:t>
      </w:r>
      <w:r w:rsidR="00360642" w:rsidRPr="003B4AEE">
        <w:t xml:space="preserve"> </w:t>
      </w:r>
    </w:p>
    <w:p w14:paraId="643575E3" w14:textId="4FD7753F" w:rsidR="00467F1B" w:rsidRPr="003B4AEE" w:rsidRDefault="00E932C0" w:rsidP="007052FA">
      <w:pPr>
        <w:pStyle w:val="BodyText"/>
      </w:pPr>
      <w:r w:rsidRPr="003B4AEE">
        <w:rPr>
          <w:i/>
        </w:rPr>
        <w:t>States/Federal</w:t>
      </w:r>
      <w:r w:rsidR="00467F1B" w:rsidRPr="003B4AEE">
        <w:t xml:space="preserve">. </w:t>
      </w:r>
      <w:r w:rsidR="009A508A" w:rsidRPr="003B4AEE">
        <w:t xml:space="preserve">The estimated average time required for state/federal respondents to review </w:t>
      </w:r>
      <w:r w:rsidR="006B0856" w:rsidRPr="003B4AEE">
        <w:t>a</w:t>
      </w:r>
      <w:r w:rsidR="009A508A" w:rsidRPr="003B4AEE">
        <w:t xml:space="preserve"> SWPPP is 1 hour.</w:t>
      </w:r>
    </w:p>
    <w:p w14:paraId="7A208B9E" w14:textId="19ACE5FE" w:rsidR="00601555" w:rsidRPr="003B4AEE" w:rsidRDefault="00C6520E" w:rsidP="00B101A0">
      <w:pPr>
        <w:pStyle w:val="Heading4"/>
      </w:pPr>
      <w:r w:rsidRPr="003B4AEE">
        <w:t>A.1.5</w:t>
      </w:r>
      <w:r w:rsidR="00601555" w:rsidRPr="003B4AEE">
        <w:t>.3</w:t>
      </w:r>
      <w:r w:rsidR="00EB7492" w:rsidRPr="003B4AEE">
        <w:t>.</w:t>
      </w:r>
      <w:r w:rsidR="00601555" w:rsidRPr="003B4AEE">
        <w:t xml:space="preserve"> Stormwater Construction</w:t>
      </w:r>
    </w:p>
    <w:p w14:paraId="3847C390" w14:textId="48840F0F" w:rsidR="000467D4" w:rsidRPr="003B4AEE" w:rsidRDefault="000467D4" w:rsidP="007052FA">
      <w:pPr>
        <w:pStyle w:val="BodyText"/>
      </w:pPr>
      <w:r w:rsidRPr="003B4AEE">
        <w:t xml:space="preserve">Activities related to Stormwater Construction </w:t>
      </w:r>
      <w:r w:rsidR="00D13F7B" w:rsidRPr="003B4AEE">
        <w:t xml:space="preserve">General </w:t>
      </w:r>
      <w:r w:rsidRPr="003B4AEE">
        <w:t>Permits include:</w:t>
      </w:r>
    </w:p>
    <w:p w14:paraId="0B7C5944" w14:textId="6E7BD7A5" w:rsidR="000467D4" w:rsidRPr="003B4AEE" w:rsidRDefault="000467D4" w:rsidP="00290A17">
      <w:pPr>
        <w:pStyle w:val="ListBulletsingle"/>
        <w:numPr>
          <w:ilvl w:val="0"/>
          <w:numId w:val="32"/>
        </w:numPr>
      </w:pPr>
      <w:r w:rsidRPr="003B4AEE">
        <w:t>NOI</w:t>
      </w:r>
      <w:r w:rsidR="00D13F7B" w:rsidRPr="003B4AEE">
        <w:t>s</w:t>
      </w:r>
      <w:r w:rsidRPr="003B4AEE">
        <w:t>/</w:t>
      </w:r>
      <w:proofErr w:type="gramStart"/>
      <w:r w:rsidRPr="003B4AEE">
        <w:t>NOT</w:t>
      </w:r>
      <w:r w:rsidR="00D13F7B" w:rsidRPr="003B4AEE">
        <w:t>s</w:t>
      </w:r>
      <w:r w:rsidR="009F3302" w:rsidRPr="003B4AEE">
        <w:t>;</w:t>
      </w:r>
      <w:proofErr w:type="gramEnd"/>
    </w:p>
    <w:p w14:paraId="3C792A6B" w14:textId="6404ED3A" w:rsidR="000467D4" w:rsidRPr="003B4AEE" w:rsidRDefault="000467D4" w:rsidP="00290A17">
      <w:pPr>
        <w:pStyle w:val="ListBulletsingle"/>
        <w:numPr>
          <w:ilvl w:val="0"/>
          <w:numId w:val="32"/>
        </w:numPr>
      </w:pPr>
      <w:proofErr w:type="gramStart"/>
      <w:r w:rsidRPr="003B4AEE">
        <w:t>Inspections</w:t>
      </w:r>
      <w:r w:rsidR="009F3302" w:rsidRPr="003B4AEE">
        <w:t>;</w:t>
      </w:r>
      <w:proofErr w:type="gramEnd"/>
    </w:p>
    <w:p w14:paraId="0F5D24DD" w14:textId="2C0DB2AC" w:rsidR="000467D4" w:rsidRPr="003B4AEE" w:rsidRDefault="000467D4" w:rsidP="00290A17">
      <w:pPr>
        <w:pStyle w:val="ListBulletsingle"/>
        <w:numPr>
          <w:ilvl w:val="0"/>
          <w:numId w:val="32"/>
        </w:numPr>
      </w:pPr>
      <w:r w:rsidRPr="003B4AEE">
        <w:t>Reports</w:t>
      </w:r>
      <w:r w:rsidR="009F3302" w:rsidRPr="003B4AEE">
        <w:t>; and</w:t>
      </w:r>
    </w:p>
    <w:p w14:paraId="4D993644" w14:textId="0F071C47" w:rsidR="00601555" w:rsidRPr="003B4AEE" w:rsidRDefault="000467D4" w:rsidP="00290A17">
      <w:pPr>
        <w:pStyle w:val="ListBulletlast"/>
        <w:numPr>
          <w:ilvl w:val="0"/>
          <w:numId w:val="32"/>
        </w:numPr>
      </w:pPr>
      <w:r w:rsidRPr="003B4AEE">
        <w:t>Other</w:t>
      </w:r>
      <w:r w:rsidR="00D11123" w:rsidRPr="003B4AEE">
        <w:t xml:space="preserve"> activities</w:t>
      </w:r>
      <w:r w:rsidR="009F3302" w:rsidRPr="003B4AEE">
        <w:t>.</w:t>
      </w:r>
    </w:p>
    <w:p w14:paraId="5E77A6C0" w14:textId="1A5973A5" w:rsidR="00EC1DA1" w:rsidRPr="003B4AEE" w:rsidRDefault="00746F74" w:rsidP="007052FA">
      <w:pPr>
        <w:pStyle w:val="BodyText"/>
      </w:pPr>
      <w:r w:rsidRPr="003B4AEE">
        <w:t xml:space="preserve">NPDES regulations at 40 CFR 122.28(b)(2) require submission of an NOI for permit coverage. Preparation and submission of NOTs are required by general permits. </w:t>
      </w:r>
      <w:r w:rsidR="004909DA" w:rsidRPr="003B4AEE">
        <w:t>Stormwater site inspections and other activities are required by the general permit. Specific reports are required by NPDES regulations at 40 CFR 122.41.</w:t>
      </w:r>
      <w:r w:rsidR="00225716" w:rsidRPr="003B4AEE">
        <w:t xml:space="preserve"> </w:t>
      </w:r>
    </w:p>
    <w:p w14:paraId="717535D0" w14:textId="66A4E1CF" w:rsidR="00D966B6" w:rsidRPr="003B4AEE" w:rsidRDefault="00F17D04" w:rsidP="007052FA">
      <w:pPr>
        <w:pStyle w:val="BodyText"/>
      </w:pPr>
      <w:r w:rsidRPr="003B4AEE">
        <w:t>Underlying assumptions regarding burden estimates are described below.</w:t>
      </w:r>
    </w:p>
    <w:p w14:paraId="2EEF3BC7" w14:textId="42BB657A" w:rsidR="000467D4" w:rsidRPr="003B4AEE" w:rsidRDefault="000467D4" w:rsidP="0085470C">
      <w:pPr>
        <w:pStyle w:val="Heading5"/>
      </w:pPr>
      <w:r w:rsidRPr="003B4AEE">
        <w:t>NOI</w:t>
      </w:r>
      <w:r w:rsidR="00CD6201" w:rsidRPr="003B4AEE">
        <w:t>s</w:t>
      </w:r>
      <w:r w:rsidRPr="003B4AEE">
        <w:t>/NOT</w:t>
      </w:r>
      <w:r w:rsidR="00CD6201" w:rsidRPr="003B4AEE">
        <w:t>s</w:t>
      </w:r>
    </w:p>
    <w:p w14:paraId="0EE98FA7" w14:textId="2061DE48" w:rsidR="000467D4" w:rsidRPr="003B4AEE" w:rsidRDefault="000467D4" w:rsidP="007052FA">
      <w:pPr>
        <w:pStyle w:val="BodyText"/>
      </w:pPr>
      <w:r w:rsidRPr="003B4AEE">
        <w:rPr>
          <w:i/>
        </w:rPr>
        <w:t>Permittees</w:t>
      </w:r>
      <w:r w:rsidRPr="003B4AEE">
        <w:t xml:space="preserve">. The estimated average time </w:t>
      </w:r>
      <w:r w:rsidR="00020114" w:rsidRPr="003B4AEE">
        <w:t xml:space="preserve">per permittee </w:t>
      </w:r>
      <w:r w:rsidRPr="003B4AEE">
        <w:t>to prepare and submit an NOI is 1.5 hours</w:t>
      </w:r>
      <w:r w:rsidR="00D966B6" w:rsidRPr="003B4AEE">
        <w:t xml:space="preserve"> for large sites and 3.7 hours for small sites </w:t>
      </w:r>
      <w:r w:rsidRPr="003B4AEE">
        <w:t>and occurs once. Those requiring an ESA evaluation will require 6 and 20 hours for informal and formal evaluations, respectively. The estimated average time to prepare and submit a NOT is 0.5 hours.</w:t>
      </w:r>
    </w:p>
    <w:p w14:paraId="63183224" w14:textId="4C0EC428" w:rsidR="0085470C" w:rsidRPr="003B4AEE" w:rsidRDefault="00E932C0" w:rsidP="007052FA">
      <w:pPr>
        <w:pStyle w:val="BodyText"/>
      </w:pPr>
      <w:r w:rsidRPr="003B4AEE">
        <w:rPr>
          <w:i/>
        </w:rPr>
        <w:t>States/Federal</w:t>
      </w:r>
      <w:r w:rsidR="00D966B6" w:rsidRPr="003B4AEE">
        <w:t>. The estimated average time to process and review is 1 hour for NOIs and 0.25 hours for NOTs.</w:t>
      </w:r>
    </w:p>
    <w:p w14:paraId="06402508" w14:textId="019242C5" w:rsidR="00D966B6" w:rsidRPr="003B4AEE" w:rsidRDefault="00953758" w:rsidP="00B101A0">
      <w:pPr>
        <w:pStyle w:val="Heading5"/>
      </w:pPr>
      <w:r w:rsidRPr="003B4AEE">
        <w:t xml:space="preserve">Permittee </w:t>
      </w:r>
      <w:r w:rsidR="00D966B6" w:rsidRPr="003B4AEE">
        <w:t>Inspections</w:t>
      </w:r>
    </w:p>
    <w:p w14:paraId="2D1CB7D1" w14:textId="4FC854A9" w:rsidR="0085470C" w:rsidRPr="003B4AEE" w:rsidRDefault="00D966B6" w:rsidP="007052FA">
      <w:pPr>
        <w:pStyle w:val="BodyText"/>
      </w:pPr>
      <w:r w:rsidRPr="003B4AEE">
        <w:rPr>
          <w:i/>
        </w:rPr>
        <w:t>Permittees</w:t>
      </w:r>
      <w:r w:rsidRPr="003B4AEE">
        <w:t xml:space="preserve">. The estimated average time </w:t>
      </w:r>
      <w:r w:rsidR="00020114" w:rsidRPr="003B4AEE">
        <w:t xml:space="preserve">per permittee </w:t>
      </w:r>
      <w:r w:rsidRPr="003B4AEE">
        <w:t>to conduct stormwater site inspections is 0.25 hours for small and 0.5 hours for large construction sites.</w:t>
      </w:r>
    </w:p>
    <w:p w14:paraId="123D0183" w14:textId="1A5D4702" w:rsidR="0085470C" w:rsidRPr="003B4AEE" w:rsidRDefault="00E932C0" w:rsidP="007052FA">
      <w:pPr>
        <w:pStyle w:val="BodyText"/>
      </w:pPr>
      <w:r w:rsidRPr="003B4AEE">
        <w:rPr>
          <w:i/>
        </w:rPr>
        <w:t>States/Federal</w:t>
      </w:r>
      <w:r w:rsidR="00BE2478" w:rsidRPr="003B4AEE">
        <w:t xml:space="preserve">. </w:t>
      </w:r>
      <w:r w:rsidR="00953758" w:rsidRPr="003B4AEE">
        <w:t xml:space="preserve">Site inspection data is normally stored </w:t>
      </w:r>
      <w:r w:rsidR="00D13F7B" w:rsidRPr="003B4AEE">
        <w:t>at the construction site</w:t>
      </w:r>
      <w:r w:rsidR="00597EDE" w:rsidRPr="003B4AEE">
        <w:t xml:space="preserve">. Any </w:t>
      </w:r>
      <w:r w:rsidR="00953758" w:rsidRPr="003B4AEE">
        <w:t>related s</w:t>
      </w:r>
      <w:r w:rsidR="00BE2478" w:rsidRPr="003B4AEE">
        <w:t xml:space="preserve">tate/federal activities </w:t>
      </w:r>
      <w:r w:rsidR="00953758" w:rsidRPr="003B4AEE">
        <w:t>are</w:t>
      </w:r>
      <w:r w:rsidR="00BE2478" w:rsidRPr="003B4AEE">
        <w:t xml:space="preserve"> covered under </w:t>
      </w:r>
      <w:r w:rsidR="00953758" w:rsidRPr="003B4AEE">
        <w:t>the Reports section below</w:t>
      </w:r>
      <w:r w:rsidR="00597EDE" w:rsidRPr="003B4AEE">
        <w:t>.</w:t>
      </w:r>
    </w:p>
    <w:p w14:paraId="77647983" w14:textId="1E7539F4" w:rsidR="00D966B6" w:rsidRPr="003B4AEE" w:rsidRDefault="00D966B6" w:rsidP="00B101A0">
      <w:pPr>
        <w:pStyle w:val="Heading5"/>
      </w:pPr>
      <w:r w:rsidRPr="003B4AEE">
        <w:t>Reports</w:t>
      </w:r>
    </w:p>
    <w:p w14:paraId="69C76786" w14:textId="30A0F626" w:rsidR="0085470C" w:rsidRPr="003B4AEE" w:rsidRDefault="00467F1B" w:rsidP="007052FA">
      <w:pPr>
        <w:pStyle w:val="BodyText"/>
      </w:pPr>
      <w:r w:rsidRPr="003B4AEE">
        <w:rPr>
          <w:i/>
        </w:rPr>
        <w:t>Permittees.</w:t>
      </w:r>
      <w:r w:rsidRPr="003B4AEE">
        <w:t xml:space="preserve"> </w:t>
      </w:r>
      <w:r w:rsidR="00E83202" w:rsidRPr="003B4AEE">
        <w:t xml:space="preserve">Reports in this category include permittee report of planned facility changes, facility and permit transfer report, permittee report of inaccurate previous information, </w:t>
      </w:r>
      <w:r w:rsidR="00E83202" w:rsidRPr="003B4AEE">
        <w:lastRenderedPageBreak/>
        <w:t xml:space="preserve">permittee report of anticipated noncompliance, unanticipated bypass/upset reports, maximum daily violation reports, and other noncompliance reports. </w:t>
      </w:r>
      <w:r w:rsidR="00D966B6" w:rsidRPr="003B4AEE">
        <w:t xml:space="preserve">The estimated average time </w:t>
      </w:r>
      <w:r w:rsidR="00020114" w:rsidRPr="003B4AEE">
        <w:t xml:space="preserve">per permittee </w:t>
      </w:r>
      <w:r w:rsidR="00D966B6" w:rsidRPr="003B4AEE">
        <w:t>to prepare the</w:t>
      </w:r>
      <w:r w:rsidRPr="003B4AEE">
        <w:t>s</w:t>
      </w:r>
      <w:r w:rsidR="00D966B6" w:rsidRPr="003B4AEE">
        <w:t>e reports ranges from 2 to 5 hours.</w:t>
      </w:r>
    </w:p>
    <w:p w14:paraId="7ACB1753" w14:textId="6AE7A859" w:rsidR="0085470C" w:rsidRPr="003B4AEE" w:rsidRDefault="00E932C0" w:rsidP="007052FA">
      <w:pPr>
        <w:pStyle w:val="BodyText"/>
      </w:pPr>
      <w:r w:rsidRPr="003B4AEE">
        <w:rPr>
          <w:i/>
        </w:rPr>
        <w:t>States/Federal</w:t>
      </w:r>
      <w:r w:rsidR="00E91ADA" w:rsidRPr="003B4AEE">
        <w:t>. The estimated time required for state/federal respondents to review and process permit reports ranges from 4 to 20 hours.</w:t>
      </w:r>
    </w:p>
    <w:p w14:paraId="4FA61F93" w14:textId="21CE1A13" w:rsidR="00D966B6" w:rsidRPr="003B4AEE" w:rsidRDefault="00467F1B" w:rsidP="00B101A0">
      <w:pPr>
        <w:pStyle w:val="Heading5"/>
      </w:pPr>
      <w:r w:rsidRPr="003B4AEE">
        <w:t>Other</w:t>
      </w:r>
      <w:r w:rsidR="00D966B6" w:rsidRPr="003B4AEE">
        <w:t xml:space="preserve"> </w:t>
      </w:r>
      <w:r w:rsidR="00D11123" w:rsidRPr="003B4AEE">
        <w:t>Activities</w:t>
      </w:r>
    </w:p>
    <w:p w14:paraId="64A18C67" w14:textId="1F66848E" w:rsidR="0085470C" w:rsidRPr="003B4AEE" w:rsidRDefault="00A350ED" w:rsidP="007052FA">
      <w:pPr>
        <w:pStyle w:val="BodyText"/>
      </w:pPr>
      <w:r w:rsidRPr="003B4AEE">
        <w:t xml:space="preserve">Activities in this category include requesting waiver certification, development of SWPPPs, monitoring, and Section 308(a) </w:t>
      </w:r>
      <w:r w:rsidR="006A195A" w:rsidRPr="003B4AEE">
        <w:t>l</w:t>
      </w:r>
      <w:r w:rsidRPr="003B4AEE">
        <w:t>etters.</w:t>
      </w:r>
      <w:r w:rsidR="003676E8" w:rsidRPr="003B4AEE">
        <w:t xml:space="preserve"> </w:t>
      </w:r>
    </w:p>
    <w:p w14:paraId="4B6DFE1C" w14:textId="77777777" w:rsidR="0085470C" w:rsidRPr="003B4AEE" w:rsidRDefault="00A350ED" w:rsidP="007052FA">
      <w:pPr>
        <w:pStyle w:val="BodyText"/>
      </w:pPr>
      <w:r w:rsidRPr="003B4AEE">
        <w:rPr>
          <w:i/>
        </w:rPr>
        <w:t>Permittees</w:t>
      </w:r>
      <w:r w:rsidRPr="003B4AEE">
        <w:t xml:space="preserve">. The estimated average time </w:t>
      </w:r>
      <w:r w:rsidR="00020114" w:rsidRPr="003B4AEE">
        <w:t xml:space="preserve">per permittee </w:t>
      </w:r>
      <w:r w:rsidRPr="003B4AEE">
        <w:t xml:space="preserve">to prepare a waiver certification request is 1 hour. The estimated average time to prepare </w:t>
      </w:r>
      <w:r w:rsidR="000B253B" w:rsidRPr="003B4AEE">
        <w:t xml:space="preserve">an SWPPP </w:t>
      </w:r>
      <w:r w:rsidRPr="003B4AEE">
        <w:t>is 22.7 and 36.4 hours for small and large construction sites</w:t>
      </w:r>
      <w:r w:rsidR="006A195A" w:rsidRPr="003B4AEE">
        <w:t>,</w:t>
      </w:r>
      <w:r w:rsidRPr="003B4AEE">
        <w:t xml:space="preserve"> respectively.</w:t>
      </w:r>
    </w:p>
    <w:p w14:paraId="48AEAA87" w14:textId="2836E3FD" w:rsidR="00A350ED" w:rsidRPr="003B4AEE" w:rsidRDefault="00E932C0" w:rsidP="007052FA">
      <w:pPr>
        <w:pStyle w:val="BodyText"/>
      </w:pPr>
      <w:r w:rsidRPr="003B4AEE">
        <w:rPr>
          <w:i/>
        </w:rPr>
        <w:t>States/Federal</w:t>
      </w:r>
      <w:r w:rsidR="00A350ED" w:rsidRPr="003B4AEE">
        <w:rPr>
          <w:i/>
        </w:rPr>
        <w:t>.</w:t>
      </w:r>
      <w:r w:rsidR="00A350ED" w:rsidRPr="003B4AEE">
        <w:t xml:space="preserve"> The estimated average time to process and review waver certification requests and SWPPPs is 1 hour each.</w:t>
      </w:r>
    </w:p>
    <w:p w14:paraId="09C3B0F0" w14:textId="190010DA" w:rsidR="00601555" w:rsidRPr="003B4AEE" w:rsidRDefault="00C6520E" w:rsidP="00B101A0">
      <w:pPr>
        <w:pStyle w:val="Heading4"/>
      </w:pPr>
      <w:r w:rsidRPr="003B4AEE">
        <w:t>A.1.5</w:t>
      </w:r>
      <w:r w:rsidR="00601555" w:rsidRPr="003B4AEE">
        <w:t>.4</w:t>
      </w:r>
      <w:r w:rsidR="00EB7492" w:rsidRPr="003B4AEE">
        <w:t>.</w:t>
      </w:r>
      <w:r w:rsidR="00601555" w:rsidRPr="003B4AEE">
        <w:t xml:space="preserve"> Non-Stormwater</w:t>
      </w:r>
    </w:p>
    <w:p w14:paraId="725296BD" w14:textId="3AC8C040" w:rsidR="00A350ED" w:rsidRPr="003B4AEE" w:rsidRDefault="00A350ED" w:rsidP="007052FA">
      <w:pPr>
        <w:pStyle w:val="BodyText"/>
      </w:pPr>
      <w:r w:rsidRPr="003B4AEE">
        <w:t xml:space="preserve">The activities in this category apply </w:t>
      </w:r>
      <w:r w:rsidR="00224DA9" w:rsidRPr="003B4AEE">
        <w:t>to general permits issued to cover classes of facilities with similar type discharges with different permits tailored to the class of facility. Activities related to non-stormwater general permits include:</w:t>
      </w:r>
    </w:p>
    <w:p w14:paraId="4B61993C" w14:textId="453152A6" w:rsidR="00A350ED" w:rsidRPr="003B4AEE" w:rsidRDefault="00A350ED" w:rsidP="00290A17">
      <w:pPr>
        <w:pStyle w:val="ListBulletsingle"/>
        <w:numPr>
          <w:ilvl w:val="0"/>
          <w:numId w:val="33"/>
        </w:numPr>
      </w:pPr>
      <w:proofErr w:type="gramStart"/>
      <w:r w:rsidRPr="003B4AEE">
        <w:t>NOI</w:t>
      </w:r>
      <w:r w:rsidR="006A195A" w:rsidRPr="003B4AEE">
        <w:t>;</w:t>
      </w:r>
      <w:proofErr w:type="gramEnd"/>
    </w:p>
    <w:p w14:paraId="7A406EF5" w14:textId="103C76A9" w:rsidR="00A350ED" w:rsidRPr="003B4AEE" w:rsidRDefault="00A350ED" w:rsidP="00290A17">
      <w:pPr>
        <w:pStyle w:val="ListBulletsingle"/>
        <w:numPr>
          <w:ilvl w:val="0"/>
          <w:numId w:val="33"/>
        </w:numPr>
      </w:pPr>
      <w:proofErr w:type="gramStart"/>
      <w:r w:rsidRPr="003B4AEE">
        <w:t>DMR</w:t>
      </w:r>
      <w:r w:rsidR="006A195A" w:rsidRPr="003B4AEE">
        <w:t>;</w:t>
      </w:r>
      <w:proofErr w:type="gramEnd"/>
    </w:p>
    <w:p w14:paraId="14ED96E1" w14:textId="42689532" w:rsidR="00A350ED" w:rsidRPr="003B4AEE" w:rsidRDefault="00A350ED" w:rsidP="00290A17">
      <w:pPr>
        <w:pStyle w:val="ListBulletsingle"/>
        <w:numPr>
          <w:ilvl w:val="0"/>
          <w:numId w:val="33"/>
        </w:numPr>
      </w:pPr>
      <w:r w:rsidRPr="003B4AEE">
        <w:t>Monitoring</w:t>
      </w:r>
      <w:r w:rsidR="00BC01D3" w:rsidRPr="003B4AEE">
        <w:t xml:space="preserve"> and </w:t>
      </w:r>
      <w:proofErr w:type="gramStart"/>
      <w:r w:rsidR="002B4950" w:rsidRPr="003B4AEE">
        <w:t>i</w:t>
      </w:r>
      <w:r w:rsidR="00BC01D3" w:rsidRPr="003B4AEE">
        <w:t>nspection</w:t>
      </w:r>
      <w:r w:rsidR="006A195A" w:rsidRPr="003B4AEE">
        <w:t>;</w:t>
      </w:r>
      <w:proofErr w:type="gramEnd"/>
    </w:p>
    <w:p w14:paraId="79C20289" w14:textId="0A002A9C" w:rsidR="00A350ED" w:rsidRPr="003B4AEE" w:rsidRDefault="00A350ED" w:rsidP="00290A17">
      <w:pPr>
        <w:pStyle w:val="ListBulletsingle"/>
        <w:numPr>
          <w:ilvl w:val="0"/>
          <w:numId w:val="33"/>
        </w:numPr>
      </w:pPr>
      <w:r w:rsidRPr="003B4AEE">
        <w:t>Reports</w:t>
      </w:r>
      <w:r w:rsidR="006A195A" w:rsidRPr="003B4AEE">
        <w:t>; and</w:t>
      </w:r>
    </w:p>
    <w:p w14:paraId="79971CAC" w14:textId="77777777" w:rsidR="0085470C" w:rsidRPr="003B4AEE" w:rsidRDefault="00A350ED" w:rsidP="00290A17">
      <w:pPr>
        <w:pStyle w:val="ListBulletlast"/>
        <w:numPr>
          <w:ilvl w:val="0"/>
          <w:numId w:val="33"/>
        </w:numPr>
      </w:pPr>
      <w:r w:rsidRPr="003B4AEE">
        <w:t>Other</w:t>
      </w:r>
      <w:r w:rsidR="00D11123" w:rsidRPr="003B4AEE">
        <w:t xml:space="preserve"> activities</w:t>
      </w:r>
      <w:r w:rsidR="006A195A" w:rsidRPr="003B4AEE">
        <w:t>.</w:t>
      </w:r>
    </w:p>
    <w:p w14:paraId="50E0AD8B" w14:textId="0DE3FC5F" w:rsidR="004909DA" w:rsidRPr="003B4AEE" w:rsidRDefault="004909DA" w:rsidP="007052FA">
      <w:pPr>
        <w:pStyle w:val="BodyText"/>
      </w:pPr>
      <w:r w:rsidRPr="003B4AEE">
        <w:t>NPDES regulations at 40 CFR 122.28(b)(2) require submission of an NOI for permit coverage. Preparation and submission of NOTs</w:t>
      </w:r>
      <w:r w:rsidR="00141AEC" w:rsidRPr="003B4AEE">
        <w:t>, DMRs, conducting stormwater site inspections and other activities</w:t>
      </w:r>
      <w:r w:rsidRPr="003B4AEE">
        <w:t xml:space="preserve"> are required by general permits. Specific reports </w:t>
      </w:r>
      <w:r w:rsidR="00CD4B26" w:rsidRPr="003B4AEE">
        <w:t xml:space="preserve">and DMRs </w:t>
      </w:r>
      <w:r w:rsidRPr="003B4AEE">
        <w:t xml:space="preserve">are required by NPDES regulations at 40 CFR 122.41. </w:t>
      </w:r>
    </w:p>
    <w:p w14:paraId="2AB4EB32" w14:textId="544AB3CD" w:rsidR="0085470C" w:rsidRPr="003B4AEE" w:rsidRDefault="00F17D04" w:rsidP="007052FA">
      <w:pPr>
        <w:pStyle w:val="BodyText"/>
      </w:pPr>
      <w:r w:rsidRPr="003B4AEE">
        <w:t>Underlying assumptions regarding burden estimates are described below.</w:t>
      </w:r>
    </w:p>
    <w:p w14:paraId="0D498784" w14:textId="6564A0E6" w:rsidR="00224DA9" w:rsidRPr="003B4AEE" w:rsidRDefault="00224DA9" w:rsidP="00B101A0">
      <w:pPr>
        <w:pStyle w:val="Heading5"/>
      </w:pPr>
      <w:r w:rsidRPr="003B4AEE">
        <w:t>NOI</w:t>
      </w:r>
      <w:r w:rsidR="001706D5" w:rsidRPr="003B4AEE">
        <w:t>s</w:t>
      </w:r>
    </w:p>
    <w:p w14:paraId="2B571EBA" w14:textId="77777777" w:rsidR="0085470C" w:rsidRPr="003B4AEE" w:rsidRDefault="001506FA" w:rsidP="007052FA">
      <w:pPr>
        <w:pStyle w:val="BodyText"/>
      </w:pPr>
      <w:r w:rsidRPr="003B4AEE">
        <w:rPr>
          <w:i/>
        </w:rPr>
        <w:t xml:space="preserve">Permittees. </w:t>
      </w:r>
      <w:r w:rsidRPr="003B4AEE">
        <w:t xml:space="preserve">The estimated average time </w:t>
      </w:r>
      <w:r w:rsidR="00020114" w:rsidRPr="003B4AEE">
        <w:t xml:space="preserve">per permittee </w:t>
      </w:r>
      <w:r w:rsidRPr="003B4AEE">
        <w:t>to prepare and submit an NOI is 1 hour.</w:t>
      </w:r>
    </w:p>
    <w:p w14:paraId="18893B29" w14:textId="78252CFC" w:rsidR="0085470C" w:rsidRPr="003B4AEE" w:rsidRDefault="00E932C0" w:rsidP="007052FA">
      <w:pPr>
        <w:pStyle w:val="BodyText"/>
      </w:pPr>
      <w:r w:rsidRPr="003B4AEE">
        <w:rPr>
          <w:i/>
        </w:rPr>
        <w:t>States/Federal</w:t>
      </w:r>
      <w:r w:rsidR="009059B5" w:rsidRPr="003B4AEE">
        <w:t>. The estimated average time to process and review an NOI is 0.25 hours.</w:t>
      </w:r>
    </w:p>
    <w:p w14:paraId="1D291FF0" w14:textId="607D973B" w:rsidR="00224DA9" w:rsidRPr="003B4AEE" w:rsidRDefault="00224DA9" w:rsidP="00B101A0">
      <w:pPr>
        <w:pStyle w:val="Heading5"/>
      </w:pPr>
      <w:r w:rsidRPr="003B4AEE">
        <w:t>DMR</w:t>
      </w:r>
      <w:r w:rsidR="001706D5" w:rsidRPr="003B4AEE">
        <w:t>s</w:t>
      </w:r>
    </w:p>
    <w:p w14:paraId="1AE92406" w14:textId="77777777" w:rsidR="0085470C" w:rsidRPr="003B4AEE" w:rsidRDefault="001506FA" w:rsidP="007052FA">
      <w:pPr>
        <w:pStyle w:val="BodyText"/>
      </w:pPr>
      <w:r w:rsidRPr="003B4AEE">
        <w:rPr>
          <w:i/>
        </w:rPr>
        <w:t>Permittees.</w:t>
      </w:r>
      <w:r w:rsidR="0058266F" w:rsidRPr="003B4AEE">
        <w:rPr>
          <w:i/>
        </w:rPr>
        <w:t xml:space="preserve"> </w:t>
      </w:r>
      <w:r w:rsidR="009059B5" w:rsidRPr="003B4AEE">
        <w:t xml:space="preserve">The estimated average time </w:t>
      </w:r>
      <w:r w:rsidR="00020114" w:rsidRPr="003B4AEE">
        <w:t xml:space="preserve">per permittee </w:t>
      </w:r>
      <w:r w:rsidR="009059B5" w:rsidRPr="003B4AEE">
        <w:t>to prepare and submit a DMR is 2 hours with frequency ranging from monthly to annually.</w:t>
      </w:r>
    </w:p>
    <w:p w14:paraId="310A4526" w14:textId="3F8E7DC3" w:rsidR="0085470C" w:rsidRPr="003B4AEE" w:rsidRDefault="00E932C0" w:rsidP="007052FA">
      <w:pPr>
        <w:pStyle w:val="BodyText"/>
      </w:pPr>
      <w:r w:rsidRPr="003B4AEE">
        <w:rPr>
          <w:i/>
        </w:rPr>
        <w:lastRenderedPageBreak/>
        <w:t>States/Federal</w:t>
      </w:r>
      <w:r w:rsidR="009059B5" w:rsidRPr="003B4AEE">
        <w:t xml:space="preserve">. </w:t>
      </w:r>
      <w:r w:rsidR="00ED0421" w:rsidRPr="003B4AEE">
        <w:t xml:space="preserve">The implementation of the </w:t>
      </w:r>
      <w:proofErr w:type="spellStart"/>
      <w:r w:rsidR="00ED0421" w:rsidRPr="003B4AEE">
        <w:t>eRule</w:t>
      </w:r>
      <w:proofErr w:type="spellEnd"/>
      <w:r w:rsidR="00ED0421" w:rsidRPr="003B4AEE">
        <w:t xml:space="preserve"> eliminated all DMR processing burden for state and federal respondents. Remaining burden to be phased out is addressed in A.1.8.4.</w:t>
      </w:r>
    </w:p>
    <w:p w14:paraId="4DBAF5C1" w14:textId="4D1FA00E" w:rsidR="00224DA9" w:rsidRPr="003B4AEE" w:rsidRDefault="00504780" w:rsidP="00B101A0">
      <w:pPr>
        <w:pStyle w:val="Heading5"/>
      </w:pPr>
      <w:r w:rsidRPr="003B4AEE">
        <w:t xml:space="preserve">Permittee </w:t>
      </w:r>
      <w:r w:rsidR="00224DA9" w:rsidRPr="003B4AEE">
        <w:t>Monitoring</w:t>
      </w:r>
      <w:r w:rsidR="00BC01D3" w:rsidRPr="003B4AEE">
        <w:t xml:space="preserve"> and Inspection</w:t>
      </w:r>
      <w:r w:rsidR="001706D5" w:rsidRPr="003B4AEE">
        <w:t>s</w:t>
      </w:r>
    </w:p>
    <w:p w14:paraId="6EB32242" w14:textId="77777777" w:rsidR="0085470C" w:rsidRPr="003B4AEE" w:rsidRDefault="001506FA" w:rsidP="007052FA">
      <w:pPr>
        <w:pStyle w:val="BodyText"/>
      </w:pPr>
      <w:r w:rsidRPr="003B4AEE">
        <w:rPr>
          <w:i/>
        </w:rPr>
        <w:t>Permittees.</w:t>
      </w:r>
      <w:r w:rsidR="007157D3" w:rsidRPr="003B4AEE">
        <w:rPr>
          <w:i/>
        </w:rPr>
        <w:t xml:space="preserve"> </w:t>
      </w:r>
      <w:r w:rsidR="007157D3" w:rsidRPr="003B4AEE">
        <w:t xml:space="preserve">The estimated average time </w:t>
      </w:r>
      <w:r w:rsidR="00020114" w:rsidRPr="003B4AEE">
        <w:t xml:space="preserve">per permittee </w:t>
      </w:r>
      <w:r w:rsidR="007157D3" w:rsidRPr="003B4AEE">
        <w:t xml:space="preserve">to conduct sampling </w:t>
      </w:r>
      <w:r w:rsidR="00BC01D3" w:rsidRPr="003B4AEE">
        <w:t xml:space="preserve">and inspection </w:t>
      </w:r>
      <w:r w:rsidR="007157D3" w:rsidRPr="003B4AEE">
        <w:t>is 2.25 hours and analysis is 1.5 hours. Frequency is the same as for DMRs.</w:t>
      </w:r>
    </w:p>
    <w:p w14:paraId="7823239A" w14:textId="2B1B4D44" w:rsidR="0085470C" w:rsidRPr="003B4AEE" w:rsidRDefault="00E932C0" w:rsidP="007052FA">
      <w:pPr>
        <w:pStyle w:val="BodyText"/>
      </w:pPr>
      <w:r w:rsidRPr="003B4AEE">
        <w:rPr>
          <w:i/>
        </w:rPr>
        <w:t>States/Federal</w:t>
      </w:r>
      <w:r w:rsidR="00BE2478" w:rsidRPr="003B4AEE">
        <w:rPr>
          <w:i/>
        </w:rPr>
        <w:t>.</w:t>
      </w:r>
      <w:r w:rsidR="00BE2478" w:rsidRPr="003B4AEE">
        <w:t xml:space="preserve"> </w:t>
      </w:r>
      <w:r w:rsidR="00953758" w:rsidRPr="003B4AEE">
        <w:t xml:space="preserve">State/federal activities related to permittee monitoring </w:t>
      </w:r>
      <w:r w:rsidR="00BC01D3" w:rsidRPr="003B4AEE">
        <w:t xml:space="preserve">and inspection </w:t>
      </w:r>
      <w:r w:rsidR="00953758" w:rsidRPr="003B4AEE">
        <w:t xml:space="preserve">data </w:t>
      </w:r>
      <w:r w:rsidR="00E86425" w:rsidRPr="003B4AEE">
        <w:t>are</w:t>
      </w:r>
      <w:r w:rsidR="00953758" w:rsidRPr="003B4AEE">
        <w:t xml:space="preserve"> covered under </w:t>
      </w:r>
      <w:r w:rsidR="00597EDE" w:rsidRPr="003B4AEE">
        <w:t xml:space="preserve">the </w:t>
      </w:r>
      <w:r w:rsidR="00953758" w:rsidRPr="003B4AEE">
        <w:t>DMR</w:t>
      </w:r>
      <w:r w:rsidR="00597EDE" w:rsidRPr="003B4AEE">
        <w:t xml:space="preserve"> </w:t>
      </w:r>
      <w:r w:rsidR="00953758" w:rsidRPr="003B4AEE">
        <w:t>s</w:t>
      </w:r>
      <w:r w:rsidR="00597EDE" w:rsidRPr="003B4AEE">
        <w:t>ection above</w:t>
      </w:r>
      <w:r w:rsidR="00953758" w:rsidRPr="003B4AEE">
        <w:t>.</w:t>
      </w:r>
    </w:p>
    <w:p w14:paraId="1872D677" w14:textId="33D471EB" w:rsidR="00224DA9" w:rsidRPr="003B4AEE" w:rsidRDefault="00224DA9" w:rsidP="00B101A0">
      <w:pPr>
        <w:pStyle w:val="Heading5"/>
      </w:pPr>
      <w:r w:rsidRPr="003B4AEE">
        <w:t>Reports</w:t>
      </w:r>
    </w:p>
    <w:p w14:paraId="7BC2385F" w14:textId="77777777" w:rsidR="0085470C" w:rsidRPr="003B4AEE" w:rsidRDefault="00DC5D5D" w:rsidP="007052FA">
      <w:pPr>
        <w:pStyle w:val="BodyText"/>
      </w:pPr>
      <w:r w:rsidRPr="003B4AEE">
        <w:t xml:space="preserve">Reports in this category </w:t>
      </w:r>
      <w:proofErr w:type="gramStart"/>
      <w:r w:rsidRPr="003B4AEE">
        <w:t>include:</w:t>
      </w:r>
      <w:proofErr w:type="gramEnd"/>
      <w:r w:rsidRPr="003B4AEE">
        <w:t xml:space="preserve"> permittee report of planned facility changes, facility and permit transfer report, permittee report of inaccurate previous information, permittee report of anticipated noncompliance, unanticipated bypass/upset reports, maximum daily violation reports, and other noncompliance reports. </w:t>
      </w:r>
    </w:p>
    <w:p w14:paraId="5CF0D18F" w14:textId="77777777" w:rsidR="0085470C" w:rsidRPr="003B4AEE" w:rsidRDefault="00DC5D5D" w:rsidP="007052FA">
      <w:pPr>
        <w:pStyle w:val="BodyText"/>
      </w:pPr>
      <w:r w:rsidRPr="003B4AEE">
        <w:rPr>
          <w:i/>
        </w:rPr>
        <w:t>Permittees</w:t>
      </w:r>
      <w:r w:rsidRPr="003B4AEE">
        <w:t xml:space="preserve">. The estimated average time </w:t>
      </w:r>
      <w:r w:rsidR="00020114" w:rsidRPr="003B4AEE">
        <w:t xml:space="preserve">per permittee </w:t>
      </w:r>
      <w:r w:rsidRPr="003B4AEE">
        <w:t>to prepare these reports ranges from 2 to 5 hours.</w:t>
      </w:r>
    </w:p>
    <w:p w14:paraId="45A3700F" w14:textId="4FFA2C0A" w:rsidR="0085470C" w:rsidRPr="003B4AEE" w:rsidRDefault="00E932C0" w:rsidP="007052FA">
      <w:pPr>
        <w:pStyle w:val="BodyText"/>
      </w:pPr>
      <w:r w:rsidRPr="003B4AEE">
        <w:rPr>
          <w:i/>
        </w:rPr>
        <w:t>States/Federal</w:t>
      </w:r>
      <w:r w:rsidR="00DC5D5D" w:rsidRPr="003B4AEE">
        <w:t xml:space="preserve">. The estimated average time to process and review these reports ranges from 1 to </w:t>
      </w:r>
      <w:r w:rsidR="003A6C3A" w:rsidRPr="003B4AEE">
        <w:t>20</w:t>
      </w:r>
      <w:r w:rsidR="00DC5D5D" w:rsidRPr="003B4AEE">
        <w:t xml:space="preserve"> hours.</w:t>
      </w:r>
    </w:p>
    <w:p w14:paraId="136285A7" w14:textId="3A3CB2C8" w:rsidR="00224DA9" w:rsidRPr="003B4AEE" w:rsidRDefault="00224DA9" w:rsidP="00B101A0">
      <w:pPr>
        <w:pStyle w:val="Heading5"/>
      </w:pPr>
      <w:r w:rsidRPr="003B4AEE">
        <w:t>Other</w:t>
      </w:r>
      <w:r w:rsidR="00D11123" w:rsidRPr="003B4AEE">
        <w:t xml:space="preserve"> Activities</w:t>
      </w:r>
    </w:p>
    <w:p w14:paraId="151E0BF4" w14:textId="77777777" w:rsidR="0085470C" w:rsidRPr="003B4AEE" w:rsidRDefault="00CE6263" w:rsidP="007052FA">
      <w:pPr>
        <w:pStyle w:val="BodyText"/>
      </w:pPr>
      <w:r w:rsidRPr="003B4AEE">
        <w:t xml:space="preserve">The only activity in this category is </w:t>
      </w:r>
      <w:r w:rsidR="00DC5D5D" w:rsidRPr="003B4AEE">
        <w:t>Permittee Notice of Regulated Discharge Cessation</w:t>
      </w:r>
      <w:r w:rsidRPr="003B4AEE">
        <w:t>.</w:t>
      </w:r>
    </w:p>
    <w:p w14:paraId="0E9F4510" w14:textId="5E72F5A3" w:rsidR="0085470C" w:rsidRPr="003B4AEE" w:rsidRDefault="00DC5D5D" w:rsidP="007052FA">
      <w:pPr>
        <w:pStyle w:val="BodyText"/>
      </w:pPr>
      <w:r w:rsidRPr="003B4AEE">
        <w:rPr>
          <w:i/>
        </w:rPr>
        <w:t>Permittees</w:t>
      </w:r>
      <w:r w:rsidRPr="003B4AEE">
        <w:t xml:space="preserve">. The time required </w:t>
      </w:r>
      <w:r w:rsidR="00020114" w:rsidRPr="003B4AEE">
        <w:t>per permittee</w:t>
      </w:r>
      <w:r w:rsidR="00020114" w:rsidRPr="003B4AEE" w:rsidDel="00020114">
        <w:t xml:space="preserve"> </w:t>
      </w:r>
      <w:r w:rsidRPr="003B4AEE">
        <w:t xml:space="preserve">to prepare and submit to the </w:t>
      </w:r>
      <w:r w:rsidR="00CA2398" w:rsidRPr="003B4AEE">
        <w:t xml:space="preserve">permitting authority </w:t>
      </w:r>
      <w:r w:rsidRPr="003B4AEE">
        <w:t xml:space="preserve">a notice of </w:t>
      </w:r>
      <w:r w:rsidR="00CE6263" w:rsidRPr="003B4AEE">
        <w:t>cessation</w:t>
      </w:r>
      <w:r w:rsidRPr="003B4AEE">
        <w:t xml:space="preserve"> is estimated to be </w:t>
      </w:r>
      <w:r w:rsidR="00CE6263" w:rsidRPr="003B4AEE">
        <w:t>1</w:t>
      </w:r>
      <w:r w:rsidRPr="003B4AEE">
        <w:t xml:space="preserve"> hour and occurs annually for </w:t>
      </w:r>
      <w:r w:rsidR="00CE6263" w:rsidRPr="003B4AEE">
        <w:t>1</w:t>
      </w:r>
      <w:r w:rsidRPr="003B4AEE">
        <w:t xml:space="preserve"> percent of all </w:t>
      </w:r>
      <w:r w:rsidR="00CE6263" w:rsidRPr="003B4AEE">
        <w:t xml:space="preserve">non-stormwater general </w:t>
      </w:r>
      <w:r w:rsidRPr="003B4AEE">
        <w:t>permits.</w:t>
      </w:r>
    </w:p>
    <w:p w14:paraId="4983CBF9" w14:textId="646ADDFF" w:rsidR="003A6C3A" w:rsidRPr="003B4AEE" w:rsidRDefault="00E932C0" w:rsidP="007052FA">
      <w:pPr>
        <w:pStyle w:val="BodyText"/>
      </w:pPr>
      <w:r w:rsidRPr="003B4AEE">
        <w:rPr>
          <w:i/>
        </w:rPr>
        <w:t>States/Federal</w:t>
      </w:r>
      <w:r w:rsidR="003A6C3A" w:rsidRPr="003B4AEE">
        <w:t>. The estimated average time to process each notice 4 hours.</w:t>
      </w:r>
    </w:p>
    <w:p w14:paraId="2965D4C4" w14:textId="32932AED" w:rsidR="00601555" w:rsidRPr="003B4AEE" w:rsidRDefault="00C6520E" w:rsidP="00B101A0">
      <w:pPr>
        <w:pStyle w:val="Heading4"/>
      </w:pPr>
      <w:r w:rsidRPr="003B4AEE">
        <w:t>A.1.5</w:t>
      </w:r>
      <w:r w:rsidR="00601555" w:rsidRPr="003B4AEE">
        <w:t>.5</w:t>
      </w:r>
      <w:r w:rsidR="00EB7492" w:rsidRPr="003B4AEE">
        <w:t>.</w:t>
      </w:r>
      <w:r w:rsidR="00601555" w:rsidRPr="003B4AEE">
        <w:t xml:space="preserve"> Pesticides Applicators</w:t>
      </w:r>
    </w:p>
    <w:p w14:paraId="118CE499" w14:textId="143F6CED" w:rsidR="00601555" w:rsidRPr="003B4AEE" w:rsidRDefault="00601555" w:rsidP="007052FA">
      <w:pPr>
        <w:pStyle w:val="BodyText"/>
      </w:pPr>
      <w:r w:rsidRPr="003B4AEE">
        <w:t xml:space="preserve">The activities in this category </w:t>
      </w:r>
      <w:r w:rsidR="00D13F7B" w:rsidRPr="003B4AEE">
        <w:t xml:space="preserve">are </w:t>
      </w:r>
      <w:r w:rsidRPr="003B4AEE">
        <w:t xml:space="preserve">related to </w:t>
      </w:r>
      <w:r w:rsidR="006A195A" w:rsidRPr="003B4AEE">
        <w:t>g</w:t>
      </w:r>
      <w:r w:rsidRPr="003B4AEE">
        <w:t xml:space="preserve">eneral </w:t>
      </w:r>
      <w:r w:rsidR="006A195A" w:rsidRPr="003B4AEE">
        <w:t>p</w:t>
      </w:r>
      <w:r w:rsidRPr="003B4AEE">
        <w:t>ermits for discharges from the application of pesticides</w:t>
      </w:r>
      <w:r w:rsidR="00CB1D50" w:rsidRPr="003B4AEE">
        <w:t xml:space="preserve"> A</w:t>
      </w:r>
      <w:r w:rsidRPr="003B4AEE">
        <w:t xml:space="preserve">ctivities related to </w:t>
      </w:r>
      <w:r w:rsidR="0038148C" w:rsidRPr="003B4AEE">
        <w:t>these discharges are</w:t>
      </w:r>
      <w:r w:rsidRPr="003B4AEE">
        <w:t>:</w:t>
      </w:r>
    </w:p>
    <w:p w14:paraId="652A8431" w14:textId="3D250656" w:rsidR="00601555" w:rsidRPr="003B4AEE" w:rsidRDefault="00601555" w:rsidP="00290A17">
      <w:pPr>
        <w:pStyle w:val="ListBulletsingle"/>
        <w:numPr>
          <w:ilvl w:val="0"/>
          <w:numId w:val="34"/>
        </w:numPr>
      </w:pPr>
      <w:r w:rsidRPr="003B4AEE">
        <w:t>Activities directly related to obtaining coverage under a general permit</w:t>
      </w:r>
      <w:r w:rsidR="00410677" w:rsidRPr="003B4AEE">
        <w:t xml:space="preserve"> (e.g., NOI</w:t>
      </w:r>
      <w:proofErr w:type="gramStart"/>
      <w:r w:rsidR="00410677" w:rsidRPr="003B4AEE">
        <w:t>)</w:t>
      </w:r>
      <w:r w:rsidR="006A195A" w:rsidRPr="003B4AEE">
        <w:t>;</w:t>
      </w:r>
      <w:proofErr w:type="gramEnd"/>
    </w:p>
    <w:p w14:paraId="2B1E3800" w14:textId="4FE49CFC" w:rsidR="00601555" w:rsidRPr="003B4AEE" w:rsidRDefault="00601555" w:rsidP="00290A17">
      <w:pPr>
        <w:pStyle w:val="ListBulletsingle"/>
        <w:numPr>
          <w:ilvl w:val="0"/>
          <w:numId w:val="34"/>
        </w:numPr>
      </w:pPr>
      <w:r w:rsidRPr="003B4AEE">
        <w:t>Activities associated with development of a plan (or worksheet</w:t>
      </w:r>
      <w:proofErr w:type="gramStart"/>
      <w:r w:rsidRPr="003B4AEE">
        <w:t>)</w:t>
      </w:r>
      <w:r w:rsidR="006A195A" w:rsidRPr="003B4AEE">
        <w:t>;</w:t>
      </w:r>
      <w:proofErr w:type="gramEnd"/>
    </w:p>
    <w:p w14:paraId="41571691" w14:textId="1067559A" w:rsidR="00601555" w:rsidRPr="003B4AEE" w:rsidRDefault="00601555" w:rsidP="00290A17">
      <w:pPr>
        <w:pStyle w:val="ListBulletsingle"/>
        <w:numPr>
          <w:ilvl w:val="0"/>
          <w:numId w:val="34"/>
        </w:numPr>
      </w:pPr>
      <w:r w:rsidRPr="003B4AEE">
        <w:t>Monitoring</w:t>
      </w:r>
      <w:r w:rsidR="006A195A" w:rsidRPr="003B4AEE">
        <w:t>; and</w:t>
      </w:r>
    </w:p>
    <w:p w14:paraId="697F882A" w14:textId="77777777" w:rsidR="0085470C" w:rsidRPr="003B4AEE" w:rsidRDefault="00601555" w:rsidP="00290A17">
      <w:pPr>
        <w:pStyle w:val="ListBulletlast"/>
        <w:numPr>
          <w:ilvl w:val="0"/>
          <w:numId w:val="34"/>
        </w:numPr>
      </w:pPr>
      <w:r w:rsidRPr="003B4AEE">
        <w:t>Reporting</w:t>
      </w:r>
      <w:r w:rsidR="006A195A" w:rsidRPr="003B4AEE">
        <w:t>.</w:t>
      </w:r>
    </w:p>
    <w:p w14:paraId="657EDA4C" w14:textId="77777777" w:rsidR="0085470C" w:rsidRPr="003B4AEE" w:rsidRDefault="00601555" w:rsidP="007052FA">
      <w:pPr>
        <w:pStyle w:val="BodyText"/>
      </w:pPr>
      <w:r w:rsidRPr="003B4AEE">
        <w:t>Underlying assumptions regarding burden estimates are described below</w:t>
      </w:r>
      <w:r w:rsidR="00F17D04" w:rsidRPr="003B4AEE">
        <w:t>.</w:t>
      </w:r>
    </w:p>
    <w:p w14:paraId="49D83603" w14:textId="003AA955" w:rsidR="00601555" w:rsidRPr="003B4AEE" w:rsidRDefault="00601555" w:rsidP="00B101A0">
      <w:pPr>
        <w:pStyle w:val="Heading5"/>
      </w:pPr>
      <w:r w:rsidRPr="003B4AEE">
        <w:t xml:space="preserve">Pesticide Applicator General Permit NOI filing </w:t>
      </w:r>
    </w:p>
    <w:p w14:paraId="7F6F863A" w14:textId="6BAD9BF5" w:rsidR="0085470C" w:rsidRPr="003B4AEE" w:rsidRDefault="00CE6263" w:rsidP="007052FA">
      <w:pPr>
        <w:pStyle w:val="BodyText"/>
      </w:pPr>
      <w:r w:rsidRPr="003B4AEE">
        <w:rPr>
          <w:i/>
        </w:rPr>
        <w:t>Permittees.</w:t>
      </w:r>
      <w:r w:rsidRPr="003B4AEE">
        <w:t xml:space="preserve"> </w:t>
      </w:r>
      <w:r w:rsidR="001B4C30" w:rsidRPr="003B4AEE">
        <w:t xml:space="preserve">NPDES regulations at 40 CFR 122.28(b)(2) require submission of an NOI for coverage under a general permit. </w:t>
      </w:r>
      <w:r w:rsidR="00601555" w:rsidRPr="003B4AEE">
        <w:t>Pe</w:t>
      </w:r>
      <w:r w:rsidR="00AB62D4" w:rsidRPr="003B4AEE">
        <w:t>sticide applicators</w:t>
      </w:r>
      <w:r w:rsidR="00601555" w:rsidRPr="003B4AEE">
        <w:t xml:space="preserve"> will take 2 hours to complete</w:t>
      </w:r>
      <w:r w:rsidR="004D2333" w:rsidRPr="003B4AEE">
        <w:t xml:space="preserve"> each </w:t>
      </w:r>
      <w:r w:rsidR="004D2333" w:rsidRPr="003B4AEE">
        <w:lastRenderedPageBreak/>
        <w:t>NOI</w:t>
      </w:r>
      <w:r w:rsidR="00601555" w:rsidRPr="003B4AEE">
        <w:t>. EPA estimates 0.05 percent will require formal ESA-related evaluation by the Services (20 hours) and 0.1 percent requires an informal evaluation by the Services (6 hours).</w:t>
      </w:r>
      <w:r w:rsidRPr="003B4AEE">
        <w:t xml:space="preserve"> An estimated 2.5 percent of </w:t>
      </w:r>
      <w:r w:rsidR="00175000" w:rsidRPr="003B4AEE">
        <w:t xml:space="preserve">the </w:t>
      </w:r>
      <w:r w:rsidRPr="003B4AEE">
        <w:t>regulated universe will need to file an NOI.</w:t>
      </w:r>
      <w:r w:rsidR="00020501" w:rsidRPr="003B4AEE">
        <w:t xml:space="preserve"> The PGP designates </w:t>
      </w:r>
      <w:r w:rsidR="00FC5FCD" w:rsidRPr="003B4AEE">
        <w:t>specific applicators required to submit an NOI.</w:t>
      </w:r>
    </w:p>
    <w:p w14:paraId="4EA6F63E" w14:textId="32334273" w:rsidR="0085470C" w:rsidRPr="003B4AEE" w:rsidRDefault="00E932C0" w:rsidP="007052FA">
      <w:pPr>
        <w:pStyle w:val="BodyText"/>
      </w:pPr>
      <w:r w:rsidRPr="003B4AEE">
        <w:rPr>
          <w:i/>
        </w:rPr>
        <w:t>States/Federal</w:t>
      </w:r>
      <w:r w:rsidR="004D2333" w:rsidRPr="003B4AEE">
        <w:t>. Permitting authorities will spend 0.5 hours processing each NOI.</w:t>
      </w:r>
    </w:p>
    <w:p w14:paraId="36411E1F" w14:textId="727A088D" w:rsidR="00601555" w:rsidRPr="003B4AEE" w:rsidRDefault="00601555" w:rsidP="00B101A0">
      <w:pPr>
        <w:pStyle w:val="Heading5"/>
      </w:pPr>
      <w:r w:rsidRPr="003B4AEE">
        <w:t xml:space="preserve">Pesticide Applicator General Permit NOT filing </w:t>
      </w:r>
    </w:p>
    <w:p w14:paraId="4E2E2BFC" w14:textId="3CEFD865" w:rsidR="00CE6263" w:rsidRPr="003B4AEE" w:rsidRDefault="00CE6263" w:rsidP="007052FA">
      <w:pPr>
        <w:pStyle w:val="BodyText"/>
      </w:pPr>
      <w:r w:rsidRPr="003B4AEE">
        <w:rPr>
          <w:i/>
        </w:rPr>
        <w:t>Permittees.</w:t>
      </w:r>
      <w:r w:rsidRPr="003B4AEE">
        <w:t xml:space="preserve"> </w:t>
      </w:r>
      <w:r w:rsidR="008B2C94" w:rsidRPr="003B4AEE">
        <w:t xml:space="preserve">The PGP requires submission of a Notice of Termination (NOT) form within 30 days of the occurrence of one of several different triggering events identified in the permit. </w:t>
      </w:r>
      <w:r w:rsidR="00601555" w:rsidRPr="003B4AEE">
        <w:t>Pe</w:t>
      </w:r>
      <w:r w:rsidR="00B86EC0" w:rsidRPr="003B4AEE">
        <w:t>sticide applicators</w:t>
      </w:r>
      <w:r w:rsidR="00601555" w:rsidRPr="003B4AEE">
        <w:t xml:space="preserve"> will spend 0.5 hours filling out an NOT.</w:t>
      </w:r>
      <w:r w:rsidR="00FC5FCD" w:rsidRPr="003B4AEE">
        <w:t xml:space="preserve"> As stated above, only certain applicators are required to file an NOI and thus an </w:t>
      </w:r>
      <w:proofErr w:type="gramStart"/>
      <w:r w:rsidR="00FC5FCD" w:rsidRPr="003B4AEE">
        <w:t>NOT;</w:t>
      </w:r>
      <w:proofErr w:type="gramEnd"/>
      <w:r w:rsidR="00FC5FCD" w:rsidRPr="003B4AEE">
        <w:t xml:space="preserve"> representing an estimated 2.5 percent of the regulated universe.</w:t>
      </w:r>
      <w:r w:rsidR="00601555" w:rsidRPr="003B4AEE">
        <w:t xml:space="preserve"> </w:t>
      </w:r>
    </w:p>
    <w:p w14:paraId="3E06F509" w14:textId="69B08E85" w:rsidR="0085470C" w:rsidRPr="003B4AEE" w:rsidRDefault="00E932C0" w:rsidP="007052FA">
      <w:pPr>
        <w:pStyle w:val="BodyText"/>
      </w:pPr>
      <w:r w:rsidRPr="003B4AEE">
        <w:rPr>
          <w:i/>
        </w:rPr>
        <w:t>States/Federal</w:t>
      </w:r>
      <w:r w:rsidR="00D2564C" w:rsidRPr="003B4AEE">
        <w:t>.</w:t>
      </w:r>
      <w:r w:rsidR="00CE6263" w:rsidRPr="003B4AEE">
        <w:t xml:space="preserve"> </w:t>
      </w:r>
      <w:r w:rsidR="00601555" w:rsidRPr="003B4AEE">
        <w:t xml:space="preserve">Permitting authorities will spend 0.25 hours processing each NOT. </w:t>
      </w:r>
    </w:p>
    <w:p w14:paraId="38133B2F" w14:textId="637C9903" w:rsidR="00601555" w:rsidRPr="003B4AEE" w:rsidRDefault="00601555" w:rsidP="00B101A0">
      <w:pPr>
        <w:pStyle w:val="Heading5"/>
      </w:pPr>
      <w:r w:rsidRPr="003B4AEE">
        <w:t>Plan Development</w:t>
      </w:r>
    </w:p>
    <w:p w14:paraId="6DA4330A" w14:textId="7E1DE37D" w:rsidR="0085470C" w:rsidRPr="003B4AEE" w:rsidRDefault="004D2333" w:rsidP="007052FA">
      <w:pPr>
        <w:pStyle w:val="BodyText"/>
      </w:pPr>
      <w:r w:rsidRPr="003B4AEE">
        <w:rPr>
          <w:i/>
        </w:rPr>
        <w:t>Permittees</w:t>
      </w:r>
      <w:r w:rsidRPr="003B4AEE">
        <w:t xml:space="preserve">. </w:t>
      </w:r>
      <w:r w:rsidR="0013504C" w:rsidRPr="003B4AEE">
        <w:t xml:space="preserve">The PGP requires certain NOI filers to develop a Pesticide Discharge Management Plan. </w:t>
      </w:r>
      <w:r w:rsidR="00601555" w:rsidRPr="003B4AEE">
        <w:t xml:space="preserve">Fifty three percent of NOI filers will be required to develop a Pesticide Discharge Management Plan (40 hours). Twenty five percent </w:t>
      </w:r>
      <w:r w:rsidR="008F7686" w:rsidRPr="003B4AEE">
        <w:t xml:space="preserve">of the plans </w:t>
      </w:r>
      <w:r w:rsidR="00601555" w:rsidRPr="003B4AEE">
        <w:t>will be updated annually with the average time of 2 hours.</w:t>
      </w:r>
    </w:p>
    <w:p w14:paraId="3A5F1604" w14:textId="1DB8CCD2" w:rsidR="0085470C" w:rsidRPr="003B4AEE" w:rsidRDefault="00E932C0" w:rsidP="007052FA">
      <w:pPr>
        <w:pStyle w:val="BodyText"/>
        <w:rPr>
          <w:b/>
          <w:u w:val="single"/>
        </w:rPr>
      </w:pPr>
      <w:r w:rsidRPr="003B4AEE">
        <w:rPr>
          <w:i/>
        </w:rPr>
        <w:t>States/Federal</w:t>
      </w:r>
      <w:r w:rsidR="00227945" w:rsidRPr="003B4AEE">
        <w:rPr>
          <w:i/>
        </w:rPr>
        <w:t xml:space="preserve">. </w:t>
      </w:r>
      <w:r w:rsidR="00227945" w:rsidRPr="003B4AEE">
        <w:t xml:space="preserve">State/federal activities related to Pesticide Discharge Management Plans </w:t>
      </w:r>
      <w:r w:rsidR="00E86425" w:rsidRPr="003B4AEE">
        <w:t>are</w:t>
      </w:r>
      <w:r w:rsidR="00227945" w:rsidRPr="003B4AEE">
        <w:t xml:space="preserve"> covered</w:t>
      </w:r>
      <w:r w:rsidR="00227945" w:rsidRPr="003B4AEE">
        <w:rPr>
          <w:i/>
        </w:rPr>
        <w:t xml:space="preserve"> </w:t>
      </w:r>
      <w:r w:rsidR="00227945" w:rsidRPr="003B4AEE">
        <w:t>under the NOI section.</w:t>
      </w:r>
    </w:p>
    <w:p w14:paraId="066FC099" w14:textId="530322E9" w:rsidR="00F47B1E" w:rsidRPr="003B4AEE" w:rsidRDefault="00504780" w:rsidP="0052681B">
      <w:pPr>
        <w:pStyle w:val="Heading5"/>
      </w:pPr>
      <w:r w:rsidRPr="003B4AEE">
        <w:t xml:space="preserve">Permittee </w:t>
      </w:r>
      <w:r w:rsidR="00F47B1E" w:rsidRPr="003B4AEE">
        <w:t>Monitoring</w:t>
      </w:r>
    </w:p>
    <w:p w14:paraId="3F012189" w14:textId="3C8EE0D2" w:rsidR="0085470C" w:rsidRPr="003B4AEE" w:rsidRDefault="00F47B1E" w:rsidP="007052FA">
      <w:pPr>
        <w:pStyle w:val="BodyText"/>
      </w:pPr>
      <w:r w:rsidRPr="003B4AEE">
        <w:rPr>
          <w:i/>
        </w:rPr>
        <w:t>Permittees.</w:t>
      </w:r>
      <w:r w:rsidRPr="003B4AEE">
        <w:t xml:space="preserve"> </w:t>
      </w:r>
      <w:r w:rsidR="0013504C" w:rsidRPr="003B4AEE">
        <w:t xml:space="preserve">Monitoring is required in any NPDES permit to demonstrate compliance with the permit conditions. Monitoring requirements apply from the time any authorized Operator begins discharging under the PGP. </w:t>
      </w:r>
      <w:r w:rsidRPr="003B4AEE">
        <w:t>Estimated time to perform monitoring ranges from 1 to 16 times per year depending on size of operation. Each monitoring activity is estimated to take 0.25 hours.</w:t>
      </w:r>
    </w:p>
    <w:p w14:paraId="05791239" w14:textId="04D29345" w:rsidR="0085470C" w:rsidRPr="003B4AEE" w:rsidRDefault="00E932C0" w:rsidP="007052FA">
      <w:pPr>
        <w:pStyle w:val="BodyText"/>
      </w:pPr>
      <w:r w:rsidRPr="003B4AEE">
        <w:rPr>
          <w:i/>
        </w:rPr>
        <w:t>States/Federal</w:t>
      </w:r>
      <w:r w:rsidR="00227945" w:rsidRPr="003B4AEE">
        <w:rPr>
          <w:i/>
        </w:rPr>
        <w:t xml:space="preserve">. </w:t>
      </w:r>
      <w:r w:rsidR="00227945" w:rsidRPr="003B4AEE">
        <w:t xml:space="preserve">State/federal activities related to monitoring data </w:t>
      </w:r>
      <w:r w:rsidR="00E86425" w:rsidRPr="003B4AEE">
        <w:t>are</w:t>
      </w:r>
      <w:r w:rsidR="00227945" w:rsidRPr="003B4AEE">
        <w:t xml:space="preserve"> covered under the </w:t>
      </w:r>
      <w:r w:rsidR="009704B4" w:rsidRPr="003B4AEE">
        <w:t>reports section below.</w:t>
      </w:r>
    </w:p>
    <w:p w14:paraId="5EECA284" w14:textId="4808678B" w:rsidR="00601555" w:rsidRPr="003B4AEE" w:rsidRDefault="00601555" w:rsidP="0052681B">
      <w:pPr>
        <w:pStyle w:val="Heading5"/>
      </w:pPr>
      <w:r w:rsidRPr="003B4AEE">
        <w:t>Reports</w:t>
      </w:r>
    </w:p>
    <w:p w14:paraId="6729CB12" w14:textId="4C542219" w:rsidR="0085470C" w:rsidRPr="003B4AEE" w:rsidRDefault="004D2333" w:rsidP="00E15A36">
      <w:pPr>
        <w:pStyle w:val="BodyText"/>
      </w:pPr>
      <w:r w:rsidRPr="003B4AEE">
        <w:rPr>
          <w:i/>
        </w:rPr>
        <w:t>Permittees/</w:t>
      </w:r>
      <w:r w:rsidR="00E932C0" w:rsidRPr="003B4AEE">
        <w:rPr>
          <w:i/>
        </w:rPr>
        <w:t>States/Federal</w:t>
      </w:r>
      <w:r w:rsidRPr="003B4AEE">
        <w:rPr>
          <w:i/>
        </w:rPr>
        <w:t>.</w:t>
      </w:r>
      <w:r w:rsidRPr="003B4AEE">
        <w:t xml:space="preserve"> </w:t>
      </w:r>
      <w:r w:rsidR="0013504C" w:rsidRPr="003B4AEE">
        <w:t xml:space="preserve">The PGP requires the submission of various reports, among them, an annual report, adverse incident report, reports of planned changes, and reports of noncompliance. </w:t>
      </w:r>
      <w:r w:rsidR="00352E6F" w:rsidRPr="003B4AEE">
        <w:t>Table A</w:t>
      </w:r>
      <w:r w:rsidR="00A554A5" w:rsidRPr="003B4AEE">
        <w:t>-</w:t>
      </w:r>
      <w:r w:rsidR="00352E6F" w:rsidRPr="003B4AEE">
        <w:t>5</w:t>
      </w:r>
      <w:r w:rsidR="00601555" w:rsidRPr="003B4AEE">
        <w:t xml:space="preserve"> below presents a summary of assumptions regarding report submissions</w:t>
      </w:r>
      <w:r w:rsidRPr="003B4AEE">
        <w:t>.</w:t>
      </w:r>
    </w:p>
    <w:p w14:paraId="5FA445D2" w14:textId="5DD2FB40" w:rsidR="00601555" w:rsidRPr="003B4AEE" w:rsidRDefault="00A554A5" w:rsidP="00ED7594">
      <w:pPr>
        <w:pStyle w:val="TableTitleAppendix"/>
      </w:pPr>
      <w:bookmarkStart w:id="334" w:name="_Toc61521416"/>
      <w:r w:rsidRPr="003B4AEE">
        <w:t>Table</w:t>
      </w:r>
      <w:r w:rsidR="00ED7594" w:rsidRPr="003B4AEE">
        <w:t xml:space="preserve"> A-5</w:t>
      </w:r>
      <w:r w:rsidRPr="003B4AEE">
        <w:t xml:space="preserve">. </w:t>
      </w:r>
      <w:r w:rsidR="00352E6F" w:rsidRPr="003B4AEE">
        <w:t xml:space="preserve">Assumptions for </w:t>
      </w:r>
      <w:r w:rsidR="000C1DE6" w:rsidRPr="003B4AEE">
        <w:t>P</w:t>
      </w:r>
      <w:r w:rsidR="006A195A" w:rsidRPr="003B4AEE">
        <w:t xml:space="preserve">esticide </w:t>
      </w:r>
      <w:r w:rsidR="000C1DE6" w:rsidRPr="003B4AEE">
        <w:t>A</w:t>
      </w:r>
      <w:r w:rsidR="006A195A" w:rsidRPr="003B4AEE">
        <w:t xml:space="preserve">pplicator </w:t>
      </w:r>
      <w:r w:rsidR="000C1DE6" w:rsidRPr="003B4AEE">
        <w:t>R</w:t>
      </w:r>
      <w:r w:rsidR="006A195A" w:rsidRPr="003B4AEE">
        <w:t>eports</w:t>
      </w:r>
      <w:bookmarkEnd w:id="334"/>
    </w:p>
    <w:tbl>
      <w:tblPr>
        <w:tblStyle w:val="TableGrid"/>
        <w:tblW w:w="0" w:type="auto"/>
        <w:jc w:val="center"/>
        <w:tblLayout w:type="fixed"/>
        <w:tblLook w:val="04A0" w:firstRow="1" w:lastRow="0" w:firstColumn="1" w:lastColumn="0" w:noHBand="0" w:noVBand="1"/>
      </w:tblPr>
      <w:tblGrid>
        <w:gridCol w:w="3865"/>
        <w:gridCol w:w="1627"/>
        <w:gridCol w:w="1136"/>
        <w:gridCol w:w="1619"/>
      </w:tblGrid>
      <w:tr w:rsidR="00601555" w:rsidRPr="003B4AEE" w14:paraId="67D16D7D" w14:textId="77777777" w:rsidTr="00EF2A49">
        <w:trPr>
          <w:jc w:val="center"/>
        </w:trPr>
        <w:tc>
          <w:tcPr>
            <w:tcW w:w="3865" w:type="dxa"/>
            <w:shd w:val="clear" w:color="auto" w:fill="D9D9D9" w:themeFill="background1" w:themeFillShade="D9"/>
            <w:vAlign w:val="bottom"/>
          </w:tcPr>
          <w:p w14:paraId="3C177F60" w14:textId="77777777" w:rsidR="00601555" w:rsidRPr="003B4AEE" w:rsidRDefault="00601555" w:rsidP="00E15A36">
            <w:pPr>
              <w:pStyle w:val="TableHeading"/>
            </w:pPr>
            <w:r w:rsidRPr="003B4AEE">
              <w:t>Report</w:t>
            </w:r>
          </w:p>
        </w:tc>
        <w:tc>
          <w:tcPr>
            <w:tcW w:w="1627" w:type="dxa"/>
            <w:shd w:val="clear" w:color="auto" w:fill="D9D9D9" w:themeFill="background1" w:themeFillShade="D9"/>
            <w:vAlign w:val="bottom"/>
          </w:tcPr>
          <w:p w14:paraId="623EDA08" w14:textId="535BA60A" w:rsidR="00397D44" w:rsidRPr="003B4AEE" w:rsidRDefault="00397D44" w:rsidP="00E15A36">
            <w:pPr>
              <w:pStyle w:val="TableHeading"/>
            </w:pPr>
            <w:r w:rsidRPr="003B4AEE">
              <w:t xml:space="preserve">Permittees </w:t>
            </w:r>
          </w:p>
          <w:p w14:paraId="6C7E69E7" w14:textId="7168F2FD" w:rsidR="00601555" w:rsidRPr="003B4AEE" w:rsidRDefault="00397D44" w:rsidP="00E15A36">
            <w:pPr>
              <w:pStyle w:val="TableHeading"/>
            </w:pPr>
            <w:r w:rsidRPr="003B4AEE">
              <w:t>(Percent)</w:t>
            </w:r>
          </w:p>
        </w:tc>
        <w:tc>
          <w:tcPr>
            <w:tcW w:w="1136" w:type="dxa"/>
            <w:shd w:val="clear" w:color="auto" w:fill="D9D9D9" w:themeFill="background1" w:themeFillShade="D9"/>
            <w:vAlign w:val="bottom"/>
          </w:tcPr>
          <w:p w14:paraId="48B1AF90" w14:textId="251AE504" w:rsidR="00601555" w:rsidRPr="003B4AEE" w:rsidRDefault="00601555" w:rsidP="00E15A36">
            <w:pPr>
              <w:pStyle w:val="TableHeading"/>
            </w:pPr>
            <w:r w:rsidRPr="003B4AEE">
              <w:t xml:space="preserve">Permittee </w:t>
            </w:r>
            <w:r w:rsidR="000C1DE6" w:rsidRPr="003B4AEE">
              <w:t>H</w:t>
            </w:r>
            <w:r w:rsidR="006A195A" w:rsidRPr="003B4AEE">
              <w:t>ours</w:t>
            </w:r>
          </w:p>
        </w:tc>
        <w:tc>
          <w:tcPr>
            <w:tcW w:w="1619" w:type="dxa"/>
            <w:shd w:val="clear" w:color="auto" w:fill="D9D9D9" w:themeFill="background1" w:themeFillShade="D9"/>
            <w:vAlign w:val="bottom"/>
          </w:tcPr>
          <w:p w14:paraId="63A90FD6" w14:textId="59CF59B0" w:rsidR="00601555" w:rsidRPr="003B4AEE" w:rsidRDefault="00601555" w:rsidP="00E15A36">
            <w:pPr>
              <w:pStyle w:val="TableHeading"/>
            </w:pPr>
            <w:r w:rsidRPr="003B4AEE">
              <w:t xml:space="preserve">Permit </w:t>
            </w:r>
            <w:r w:rsidR="000C1DE6" w:rsidRPr="003B4AEE">
              <w:t>A</w:t>
            </w:r>
            <w:r w:rsidR="006A195A" w:rsidRPr="003B4AEE">
              <w:t xml:space="preserve">uthority </w:t>
            </w:r>
            <w:proofErr w:type="spellStart"/>
            <w:r w:rsidR="000C1DE6" w:rsidRPr="003B4AEE">
              <w:t>H</w:t>
            </w:r>
            <w:r w:rsidR="006A195A" w:rsidRPr="003B4AEE">
              <w:t>ours</w:t>
            </w:r>
            <w:r w:rsidR="004D2333" w:rsidRPr="003B4AEE">
              <w:rPr>
                <w:vertAlign w:val="superscript"/>
              </w:rPr>
              <w:t>a</w:t>
            </w:r>
            <w:proofErr w:type="spellEnd"/>
          </w:p>
        </w:tc>
      </w:tr>
      <w:tr w:rsidR="00601555" w:rsidRPr="003B4AEE" w14:paraId="2169F37B" w14:textId="77777777" w:rsidTr="00EF2A49">
        <w:trPr>
          <w:jc w:val="center"/>
        </w:trPr>
        <w:tc>
          <w:tcPr>
            <w:tcW w:w="3865" w:type="dxa"/>
          </w:tcPr>
          <w:p w14:paraId="68625210" w14:textId="51D597AE" w:rsidR="00601555" w:rsidRPr="003B4AEE" w:rsidRDefault="00601555" w:rsidP="00A30867">
            <w:pPr>
              <w:pStyle w:val="Tables"/>
            </w:pPr>
            <w:r w:rsidRPr="003B4AEE">
              <w:t xml:space="preserve">Annual </w:t>
            </w:r>
            <w:r w:rsidR="006A195A" w:rsidRPr="003B4AEE">
              <w:t>report</w:t>
            </w:r>
          </w:p>
        </w:tc>
        <w:tc>
          <w:tcPr>
            <w:tcW w:w="1627" w:type="dxa"/>
          </w:tcPr>
          <w:p w14:paraId="1EF3211B" w14:textId="13D24F1C" w:rsidR="00601555" w:rsidRPr="003B4AEE" w:rsidRDefault="00601555" w:rsidP="00397D44">
            <w:pPr>
              <w:pStyle w:val="Tables"/>
              <w:tabs>
                <w:tab w:val="decimal" w:pos="571"/>
              </w:tabs>
            </w:pPr>
            <w:r w:rsidRPr="003B4AEE">
              <w:t>1</w:t>
            </w:r>
            <w:r w:rsidR="00F67CCD" w:rsidRPr="003B4AEE">
              <w:t>.4</w:t>
            </w:r>
          </w:p>
        </w:tc>
        <w:tc>
          <w:tcPr>
            <w:tcW w:w="1136" w:type="dxa"/>
          </w:tcPr>
          <w:p w14:paraId="7049D4DC" w14:textId="77777777" w:rsidR="00601555" w:rsidRPr="003B4AEE" w:rsidRDefault="00601555" w:rsidP="00EF2A49">
            <w:pPr>
              <w:pStyle w:val="Tables"/>
              <w:jc w:val="center"/>
            </w:pPr>
            <w:r w:rsidRPr="003B4AEE">
              <w:t>8</w:t>
            </w:r>
          </w:p>
        </w:tc>
        <w:tc>
          <w:tcPr>
            <w:tcW w:w="1619" w:type="dxa"/>
          </w:tcPr>
          <w:p w14:paraId="5B77E3C5" w14:textId="77777777" w:rsidR="00601555" w:rsidRPr="003B4AEE" w:rsidRDefault="00601555" w:rsidP="00EF2A49">
            <w:pPr>
              <w:pStyle w:val="Tables"/>
              <w:jc w:val="center"/>
            </w:pPr>
            <w:r w:rsidRPr="003B4AEE">
              <w:t>1</w:t>
            </w:r>
          </w:p>
        </w:tc>
      </w:tr>
      <w:tr w:rsidR="00601555" w:rsidRPr="003B4AEE" w14:paraId="51BFA4E0" w14:textId="77777777" w:rsidTr="00EF2A49">
        <w:trPr>
          <w:jc w:val="center"/>
        </w:trPr>
        <w:tc>
          <w:tcPr>
            <w:tcW w:w="3865" w:type="dxa"/>
          </w:tcPr>
          <w:p w14:paraId="78AE7346" w14:textId="0A28BC5D" w:rsidR="00601555" w:rsidRPr="003B4AEE" w:rsidRDefault="00601555" w:rsidP="00A30867">
            <w:pPr>
              <w:pStyle w:val="Tables"/>
            </w:pPr>
            <w:r w:rsidRPr="003B4AEE">
              <w:t xml:space="preserve">Adverse </w:t>
            </w:r>
            <w:r w:rsidR="006A195A" w:rsidRPr="003B4AEE">
              <w:t>incident</w:t>
            </w:r>
          </w:p>
        </w:tc>
        <w:tc>
          <w:tcPr>
            <w:tcW w:w="1627" w:type="dxa"/>
          </w:tcPr>
          <w:p w14:paraId="57892A1B" w14:textId="3579CC34" w:rsidR="00601555" w:rsidRPr="003B4AEE" w:rsidRDefault="00601555" w:rsidP="00397D44">
            <w:pPr>
              <w:pStyle w:val="Tables"/>
              <w:tabs>
                <w:tab w:val="decimal" w:pos="571"/>
              </w:tabs>
            </w:pPr>
            <w:r w:rsidRPr="003B4AEE">
              <w:t>0.01</w:t>
            </w:r>
          </w:p>
        </w:tc>
        <w:tc>
          <w:tcPr>
            <w:tcW w:w="1136" w:type="dxa"/>
          </w:tcPr>
          <w:p w14:paraId="44213A61" w14:textId="77777777" w:rsidR="00601555" w:rsidRPr="003B4AEE" w:rsidRDefault="00601555" w:rsidP="00EF2A49">
            <w:pPr>
              <w:pStyle w:val="Tables"/>
              <w:jc w:val="center"/>
            </w:pPr>
            <w:r w:rsidRPr="003B4AEE">
              <w:t>4</w:t>
            </w:r>
          </w:p>
        </w:tc>
        <w:tc>
          <w:tcPr>
            <w:tcW w:w="1619" w:type="dxa"/>
          </w:tcPr>
          <w:p w14:paraId="49C97CA5" w14:textId="77777777" w:rsidR="00601555" w:rsidRPr="003B4AEE" w:rsidRDefault="00601555" w:rsidP="00EF2A49">
            <w:pPr>
              <w:pStyle w:val="Tables"/>
              <w:jc w:val="center"/>
            </w:pPr>
            <w:r w:rsidRPr="003B4AEE">
              <w:t>2</w:t>
            </w:r>
          </w:p>
        </w:tc>
      </w:tr>
      <w:tr w:rsidR="00601555" w:rsidRPr="003B4AEE" w14:paraId="623386CC" w14:textId="77777777" w:rsidTr="00EF2A49">
        <w:trPr>
          <w:jc w:val="center"/>
        </w:trPr>
        <w:tc>
          <w:tcPr>
            <w:tcW w:w="3865" w:type="dxa"/>
          </w:tcPr>
          <w:p w14:paraId="40250489" w14:textId="57CF0091" w:rsidR="00601555" w:rsidRPr="003B4AEE" w:rsidRDefault="00601555" w:rsidP="00A30867">
            <w:pPr>
              <w:pStyle w:val="Tables"/>
            </w:pPr>
            <w:r w:rsidRPr="003B4AEE">
              <w:lastRenderedPageBreak/>
              <w:t xml:space="preserve">Corrective </w:t>
            </w:r>
            <w:r w:rsidR="006A195A" w:rsidRPr="003B4AEE">
              <w:t>action</w:t>
            </w:r>
          </w:p>
        </w:tc>
        <w:tc>
          <w:tcPr>
            <w:tcW w:w="1627" w:type="dxa"/>
          </w:tcPr>
          <w:p w14:paraId="672BC978" w14:textId="6A0CAD17" w:rsidR="00601555" w:rsidRPr="003B4AEE" w:rsidRDefault="00601555" w:rsidP="00397D44">
            <w:pPr>
              <w:pStyle w:val="Tables"/>
              <w:tabs>
                <w:tab w:val="decimal" w:pos="571"/>
              </w:tabs>
            </w:pPr>
            <w:r w:rsidRPr="003B4AEE">
              <w:t>0.1</w:t>
            </w:r>
          </w:p>
        </w:tc>
        <w:tc>
          <w:tcPr>
            <w:tcW w:w="1136" w:type="dxa"/>
          </w:tcPr>
          <w:p w14:paraId="15DCE84C" w14:textId="77777777" w:rsidR="00601555" w:rsidRPr="003B4AEE" w:rsidRDefault="00601555" w:rsidP="00EF2A49">
            <w:pPr>
              <w:pStyle w:val="Tables"/>
              <w:jc w:val="center"/>
            </w:pPr>
            <w:r w:rsidRPr="003B4AEE">
              <w:t>5</w:t>
            </w:r>
          </w:p>
        </w:tc>
        <w:tc>
          <w:tcPr>
            <w:tcW w:w="1619" w:type="dxa"/>
          </w:tcPr>
          <w:p w14:paraId="56C86E12" w14:textId="638926D4" w:rsidR="00601555" w:rsidRPr="003B4AEE" w:rsidRDefault="00044771" w:rsidP="00EF2A49">
            <w:pPr>
              <w:pStyle w:val="Tables"/>
              <w:jc w:val="center"/>
            </w:pPr>
            <w:r w:rsidRPr="003B4AEE">
              <w:t>0</w:t>
            </w:r>
          </w:p>
        </w:tc>
      </w:tr>
      <w:tr w:rsidR="00601555" w:rsidRPr="003B4AEE" w14:paraId="094A504A" w14:textId="77777777" w:rsidTr="00EF2A49">
        <w:trPr>
          <w:jc w:val="center"/>
        </w:trPr>
        <w:tc>
          <w:tcPr>
            <w:tcW w:w="3865" w:type="dxa"/>
          </w:tcPr>
          <w:p w14:paraId="6DC72D47" w14:textId="61796C39" w:rsidR="00601555" w:rsidRPr="003B4AEE" w:rsidRDefault="00601555" w:rsidP="00A30867">
            <w:pPr>
              <w:pStyle w:val="Tables"/>
            </w:pPr>
            <w:r w:rsidRPr="003B4AEE">
              <w:t xml:space="preserve">Planned </w:t>
            </w:r>
            <w:r w:rsidR="006A195A" w:rsidRPr="003B4AEE">
              <w:t>facility changes</w:t>
            </w:r>
          </w:p>
        </w:tc>
        <w:tc>
          <w:tcPr>
            <w:tcW w:w="1627" w:type="dxa"/>
          </w:tcPr>
          <w:p w14:paraId="0D20EF96" w14:textId="308E5CCB" w:rsidR="00601555" w:rsidRPr="003B4AEE" w:rsidRDefault="00601555" w:rsidP="00397D44">
            <w:pPr>
              <w:pStyle w:val="Tables"/>
              <w:tabs>
                <w:tab w:val="decimal" w:pos="571"/>
              </w:tabs>
            </w:pPr>
            <w:r w:rsidRPr="003B4AEE">
              <w:t>0.1</w:t>
            </w:r>
          </w:p>
        </w:tc>
        <w:tc>
          <w:tcPr>
            <w:tcW w:w="1136" w:type="dxa"/>
          </w:tcPr>
          <w:p w14:paraId="43940B75" w14:textId="77777777" w:rsidR="00601555" w:rsidRPr="003B4AEE" w:rsidRDefault="00601555" w:rsidP="00EF2A49">
            <w:pPr>
              <w:pStyle w:val="Tables"/>
              <w:jc w:val="center"/>
            </w:pPr>
            <w:r w:rsidRPr="003B4AEE">
              <w:t>4</w:t>
            </w:r>
          </w:p>
        </w:tc>
        <w:tc>
          <w:tcPr>
            <w:tcW w:w="1619" w:type="dxa"/>
          </w:tcPr>
          <w:p w14:paraId="218869AA" w14:textId="77777777" w:rsidR="00601555" w:rsidRPr="003B4AEE" w:rsidRDefault="00601555" w:rsidP="00EF2A49">
            <w:pPr>
              <w:pStyle w:val="Tables"/>
              <w:jc w:val="center"/>
            </w:pPr>
            <w:r w:rsidRPr="003B4AEE">
              <w:t>0.5</w:t>
            </w:r>
          </w:p>
        </w:tc>
      </w:tr>
      <w:tr w:rsidR="00601555" w:rsidRPr="003B4AEE" w14:paraId="5565D348" w14:textId="77777777" w:rsidTr="00EF2A49">
        <w:trPr>
          <w:jc w:val="center"/>
        </w:trPr>
        <w:tc>
          <w:tcPr>
            <w:tcW w:w="3865" w:type="dxa"/>
          </w:tcPr>
          <w:p w14:paraId="02F6DCD6" w14:textId="0A399EC0" w:rsidR="00601555" w:rsidRPr="003B4AEE" w:rsidRDefault="00601555" w:rsidP="00A30867">
            <w:pPr>
              <w:pStyle w:val="Tables"/>
            </w:pPr>
            <w:r w:rsidRPr="003B4AEE">
              <w:t xml:space="preserve">Anticipated </w:t>
            </w:r>
            <w:r w:rsidR="006A195A" w:rsidRPr="003B4AEE">
              <w:t>noncompliance</w:t>
            </w:r>
          </w:p>
        </w:tc>
        <w:tc>
          <w:tcPr>
            <w:tcW w:w="1627" w:type="dxa"/>
          </w:tcPr>
          <w:p w14:paraId="5382A8D3" w14:textId="025D5341" w:rsidR="00601555" w:rsidRPr="003B4AEE" w:rsidRDefault="00601555" w:rsidP="00397D44">
            <w:pPr>
              <w:pStyle w:val="Tables"/>
              <w:tabs>
                <w:tab w:val="decimal" w:pos="571"/>
              </w:tabs>
            </w:pPr>
            <w:r w:rsidRPr="003B4AEE">
              <w:t>0.1</w:t>
            </w:r>
          </w:p>
        </w:tc>
        <w:tc>
          <w:tcPr>
            <w:tcW w:w="1136" w:type="dxa"/>
          </w:tcPr>
          <w:p w14:paraId="56939180" w14:textId="77777777" w:rsidR="00601555" w:rsidRPr="003B4AEE" w:rsidRDefault="00601555" w:rsidP="00EF2A49">
            <w:pPr>
              <w:pStyle w:val="Tables"/>
              <w:jc w:val="center"/>
            </w:pPr>
            <w:r w:rsidRPr="003B4AEE">
              <w:t>5</w:t>
            </w:r>
          </w:p>
        </w:tc>
        <w:tc>
          <w:tcPr>
            <w:tcW w:w="1619" w:type="dxa"/>
          </w:tcPr>
          <w:p w14:paraId="7641CD17" w14:textId="77777777" w:rsidR="00601555" w:rsidRPr="003B4AEE" w:rsidRDefault="00601555" w:rsidP="00EF2A49">
            <w:pPr>
              <w:pStyle w:val="Tables"/>
              <w:jc w:val="center"/>
            </w:pPr>
            <w:r w:rsidRPr="003B4AEE">
              <w:t>2</w:t>
            </w:r>
          </w:p>
        </w:tc>
      </w:tr>
      <w:tr w:rsidR="00601555" w:rsidRPr="003B4AEE" w14:paraId="151A3614" w14:textId="77777777" w:rsidTr="00EF2A49">
        <w:trPr>
          <w:jc w:val="center"/>
        </w:trPr>
        <w:tc>
          <w:tcPr>
            <w:tcW w:w="3865" w:type="dxa"/>
          </w:tcPr>
          <w:p w14:paraId="3E674899" w14:textId="1675096C" w:rsidR="00601555" w:rsidRPr="003B4AEE" w:rsidRDefault="00601555" w:rsidP="00A30867">
            <w:pPr>
              <w:pStyle w:val="Tables"/>
            </w:pPr>
            <w:r w:rsidRPr="003B4AEE">
              <w:t xml:space="preserve">Inaccurate </w:t>
            </w:r>
            <w:r w:rsidR="006A195A" w:rsidRPr="003B4AEE">
              <w:t>previous information</w:t>
            </w:r>
          </w:p>
        </w:tc>
        <w:tc>
          <w:tcPr>
            <w:tcW w:w="1627" w:type="dxa"/>
          </w:tcPr>
          <w:p w14:paraId="1B58EE73" w14:textId="3E8598EA" w:rsidR="00601555" w:rsidRPr="003B4AEE" w:rsidRDefault="00601555" w:rsidP="00397D44">
            <w:pPr>
              <w:pStyle w:val="Tables"/>
              <w:tabs>
                <w:tab w:val="decimal" w:pos="571"/>
              </w:tabs>
            </w:pPr>
            <w:r w:rsidRPr="003B4AEE">
              <w:t>0.05</w:t>
            </w:r>
          </w:p>
        </w:tc>
        <w:tc>
          <w:tcPr>
            <w:tcW w:w="1136" w:type="dxa"/>
          </w:tcPr>
          <w:p w14:paraId="3DC07597" w14:textId="77777777" w:rsidR="00601555" w:rsidRPr="003B4AEE" w:rsidRDefault="00601555" w:rsidP="00EF2A49">
            <w:pPr>
              <w:pStyle w:val="Tables"/>
              <w:jc w:val="center"/>
            </w:pPr>
            <w:r w:rsidRPr="003B4AEE">
              <w:t>2</w:t>
            </w:r>
          </w:p>
        </w:tc>
        <w:tc>
          <w:tcPr>
            <w:tcW w:w="1619" w:type="dxa"/>
          </w:tcPr>
          <w:p w14:paraId="1B6BE418" w14:textId="77777777" w:rsidR="00601555" w:rsidRPr="003B4AEE" w:rsidRDefault="00601555" w:rsidP="00EF2A49">
            <w:pPr>
              <w:pStyle w:val="Tables"/>
              <w:jc w:val="center"/>
            </w:pPr>
            <w:r w:rsidRPr="003B4AEE">
              <w:t>1</w:t>
            </w:r>
          </w:p>
        </w:tc>
      </w:tr>
      <w:tr w:rsidR="00601555" w:rsidRPr="003B4AEE" w14:paraId="3ED0CBFA" w14:textId="77777777" w:rsidTr="00EF2A49">
        <w:trPr>
          <w:jc w:val="center"/>
        </w:trPr>
        <w:tc>
          <w:tcPr>
            <w:tcW w:w="3865" w:type="dxa"/>
          </w:tcPr>
          <w:p w14:paraId="29994A13" w14:textId="77777777" w:rsidR="00601555" w:rsidRPr="003B4AEE" w:rsidRDefault="00601555" w:rsidP="00A30867">
            <w:pPr>
              <w:pStyle w:val="Tables"/>
            </w:pPr>
            <w:r w:rsidRPr="003B4AEE">
              <w:t>Noncompliance</w:t>
            </w:r>
          </w:p>
        </w:tc>
        <w:tc>
          <w:tcPr>
            <w:tcW w:w="1627" w:type="dxa"/>
          </w:tcPr>
          <w:p w14:paraId="78BB8634" w14:textId="21875F71" w:rsidR="00601555" w:rsidRPr="003B4AEE" w:rsidRDefault="00601555" w:rsidP="00397D44">
            <w:pPr>
              <w:pStyle w:val="Tables"/>
              <w:tabs>
                <w:tab w:val="decimal" w:pos="571"/>
              </w:tabs>
            </w:pPr>
            <w:r w:rsidRPr="003B4AEE">
              <w:t>0.05</w:t>
            </w:r>
          </w:p>
        </w:tc>
        <w:tc>
          <w:tcPr>
            <w:tcW w:w="1136" w:type="dxa"/>
          </w:tcPr>
          <w:p w14:paraId="4D1867C9" w14:textId="77777777" w:rsidR="00601555" w:rsidRPr="003B4AEE" w:rsidRDefault="00601555" w:rsidP="00EF2A49">
            <w:pPr>
              <w:pStyle w:val="Tables"/>
              <w:jc w:val="center"/>
            </w:pPr>
            <w:r w:rsidRPr="003B4AEE">
              <w:t>5</w:t>
            </w:r>
          </w:p>
        </w:tc>
        <w:tc>
          <w:tcPr>
            <w:tcW w:w="1619" w:type="dxa"/>
          </w:tcPr>
          <w:p w14:paraId="3C525D44" w14:textId="77777777" w:rsidR="00601555" w:rsidRPr="003B4AEE" w:rsidRDefault="00601555" w:rsidP="00EF2A49">
            <w:pPr>
              <w:pStyle w:val="Tables"/>
              <w:jc w:val="center"/>
            </w:pPr>
            <w:r w:rsidRPr="003B4AEE">
              <w:t>2</w:t>
            </w:r>
          </w:p>
        </w:tc>
      </w:tr>
    </w:tbl>
    <w:p w14:paraId="6B2DFA3A" w14:textId="6FE58728" w:rsidR="00601555" w:rsidRPr="003B4AEE" w:rsidRDefault="004D2333" w:rsidP="00ED7594">
      <w:pPr>
        <w:pStyle w:val="Tablenote"/>
        <w:ind w:left="1080" w:hanging="180"/>
      </w:pPr>
      <w:r w:rsidRPr="003B4AEE">
        <w:rPr>
          <w:vertAlign w:val="superscript"/>
        </w:rPr>
        <w:t>a</w:t>
      </w:r>
      <w:r w:rsidR="00A30867" w:rsidRPr="003B4AEE">
        <w:tab/>
      </w:r>
      <w:r w:rsidRPr="003B4AEE">
        <w:t>States and federal</w:t>
      </w:r>
    </w:p>
    <w:p w14:paraId="675B8D32" w14:textId="2160696F" w:rsidR="00601555" w:rsidRPr="003B4AEE" w:rsidRDefault="00C6520E" w:rsidP="00B101A0">
      <w:pPr>
        <w:pStyle w:val="Heading4"/>
      </w:pPr>
      <w:r w:rsidRPr="003B4AEE">
        <w:t>A.1.5</w:t>
      </w:r>
      <w:r w:rsidR="00601555" w:rsidRPr="003B4AEE">
        <w:t>.6</w:t>
      </w:r>
      <w:r w:rsidR="00EB7492" w:rsidRPr="003B4AEE">
        <w:t>.</w:t>
      </w:r>
      <w:r w:rsidR="00601555" w:rsidRPr="003B4AEE">
        <w:t xml:space="preserve"> Large Vessels</w:t>
      </w:r>
      <w:bookmarkStart w:id="335" w:name="_Toc61289943"/>
      <w:bookmarkStart w:id="336" w:name="_Toc61348593"/>
      <w:bookmarkStart w:id="337" w:name="_Toc61350624"/>
      <w:bookmarkStart w:id="338" w:name="_Toc61350775"/>
      <w:bookmarkStart w:id="339" w:name="_Toc61350984"/>
      <w:bookmarkStart w:id="340" w:name="_Toc61351445"/>
      <w:bookmarkStart w:id="341" w:name="_Toc61351521"/>
      <w:bookmarkStart w:id="342" w:name="_Toc61512310"/>
      <w:bookmarkStart w:id="343" w:name="_Toc61518367"/>
      <w:bookmarkStart w:id="344" w:name="_Toc61521371"/>
      <w:bookmarkEnd w:id="335"/>
      <w:bookmarkEnd w:id="336"/>
      <w:bookmarkEnd w:id="337"/>
      <w:bookmarkEnd w:id="338"/>
      <w:bookmarkEnd w:id="339"/>
      <w:bookmarkEnd w:id="340"/>
      <w:bookmarkEnd w:id="341"/>
      <w:bookmarkEnd w:id="342"/>
      <w:bookmarkEnd w:id="343"/>
      <w:bookmarkEnd w:id="344"/>
    </w:p>
    <w:p w14:paraId="0C462DF5" w14:textId="5327C3BF" w:rsidR="0085470C" w:rsidRPr="003B4AEE" w:rsidRDefault="00601555" w:rsidP="00981368">
      <w:r w:rsidRPr="003B4AEE">
        <w:t xml:space="preserve">Activities for large vessels </w:t>
      </w:r>
      <w:r w:rsidR="00175B36" w:rsidRPr="003B4AEE">
        <w:t>include</w:t>
      </w:r>
      <w:r w:rsidRPr="003B4AEE">
        <w:t>:</w:t>
      </w:r>
      <w:r w:rsidR="00981368" w:rsidRPr="003B4AEE">
        <w:t xml:space="preserve"> </w:t>
      </w:r>
      <w:r w:rsidR="00B26E6E" w:rsidRPr="003B4AEE">
        <w:t>NOI/NOT</w:t>
      </w:r>
      <w:r w:rsidR="00981368" w:rsidRPr="003B4AEE">
        <w:t xml:space="preserve"> filing</w:t>
      </w:r>
      <w:r w:rsidR="00B26E6E" w:rsidRPr="003B4AEE">
        <w:t>,</w:t>
      </w:r>
      <w:r w:rsidR="000B253B" w:rsidRPr="003B4AEE">
        <w:t xml:space="preserve"> permit authorization and record of inspection (PARI) submission,</w:t>
      </w:r>
      <w:r w:rsidR="00981368" w:rsidRPr="003B4AEE">
        <w:t xml:space="preserve"> a</w:t>
      </w:r>
      <w:r w:rsidRPr="003B4AEE">
        <w:t xml:space="preserve">nnual </w:t>
      </w:r>
      <w:r w:rsidR="00981368" w:rsidRPr="003B4AEE">
        <w:t>r</w:t>
      </w:r>
      <w:r w:rsidRPr="003B4AEE">
        <w:t>eport</w:t>
      </w:r>
      <w:r w:rsidR="00981368" w:rsidRPr="003B4AEE">
        <w:t>, r</w:t>
      </w:r>
      <w:r w:rsidRPr="003B4AEE">
        <w:t xml:space="preserve">outine </w:t>
      </w:r>
      <w:r w:rsidR="00981368" w:rsidRPr="003B4AEE">
        <w:t>i</w:t>
      </w:r>
      <w:r w:rsidRPr="003B4AEE">
        <w:t>nspections</w:t>
      </w:r>
      <w:r w:rsidR="00981368" w:rsidRPr="003B4AEE">
        <w:t>, a</w:t>
      </w:r>
      <w:r w:rsidRPr="003B4AEE">
        <w:t xml:space="preserve">nnual </w:t>
      </w:r>
      <w:r w:rsidR="00981368" w:rsidRPr="003B4AEE">
        <w:t>i</w:t>
      </w:r>
      <w:r w:rsidRPr="003B4AEE">
        <w:t>nspections</w:t>
      </w:r>
      <w:r w:rsidR="00981368" w:rsidRPr="003B4AEE">
        <w:t>, d</w:t>
      </w:r>
      <w:r w:rsidRPr="003B4AEE">
        <w:t xml:space="preserve">rydock </w:t>
      </w:r>
      <w:r w:rsidR="00981368" w:rsidRPr="003B4AEE">
        <w:t>i</w:t>
      </w:r>
      <w:r w:rsidRPr="003B4AEE">
        <w:t>nspections</w:t>
      </w:r>
      <w:r w:rsidR="006A195A" w:rsidRPr="003B4AEE">
        <w:t>,</w:t>
      </w:r>
      <w:r w:rsidR="00981368" w:rsidRPr="003B4AEE">
        <w:t xml:space="preserve"> and m</w:t>
      </w:r>
      <w:r w:rsidRPr="003B4AEE">
        <w:t>onitoring</w:t>
      </w:r>
      <w:r w:rsidR="00981368" w:rsidRPr="003B4AEE">
        <w:t>.</w:t>
      </w:r>
      <w:r w:rsidR="00D91F90" w:rsidRPr="003B4AEE">
        <w:t xml:space="preserve"> NPDES regulations at 40 CFR 122.28(b)(2) require submission of an NOI for coverage under a general permit. The Vessels General Permit requires permittees wishing to terminate coverage under the permit to file a NOT as well as maintaining and submitting the PARI. Monitoring, reporting, and inspections are required in any NPDES permit to demonstrate compliance with the permit conditions.</w:t>
      </w:r>
      <w:bookmarkStart w:id="345" w:name="_Toc61289944"/>
      <w:bookmarkStart w:id="346" w:name="_Toc61348594"/>
      <w:bookmarkStart w:id="347" w:name="_Toc61350625"/>
      <w:bookmarkStart w:id="348" w:name="_Toc61350776"/>
      <w:bookmarkStart w:id="349" w:name="_Toc61350985"/>
      <w:bookmarkStart w:id="350" w:name="_Toc61351446"/>
      <w:bookmarkStart w:id="351" w:name="_Toc61351522"/>
      <w:bookmarkStart w:id="352" w:name="_Toc61512311"/>
      <w:bookmarkStart w:id="353" w:name="_Toc61518368"/>
      <w:bookmarkStart w:id="354" w:name="_Toc61521372"/>
      <w:bookmarkEnd w:id="345"/>
      <w:bookmarkEnd w:id="346"/>
      <w:bookmarkEnd w:id="347"/>
      <w:bookmarkEnd w:id="348"/>
      <w:bookmarkEnd w:id="349"/>
      <w:bookmarkEnd w:id="350"/>
      <w:bookmarkEnd w:id="351"/>
      <w:bookmarkEnd w:id="352"/>
      <w:bookmarkEnd w:id="353"/>
      <w:bookmarkEnd w:id="354"/>
    </w:p>
    <w:p w14:paraId="04937570" w14:textId="11BFA840" w:rsidR="0085470C" w:rsidRPr="003B4AEE" w:rsidRDefault="00601555" w:rsidP="00601555">
      <w:r w:rsidRPr="003B4AEE">
        <w:rPr>
          <w:i/>
        </w:rPr>
        <w:t xml:space="preserve">Permittees. </w:t>
      </w:r>
      <w:r w:rsidRPr="003B4AEE">
        <w:t xml:space="preserve">The estimated time required per respondent for performing the above items </w:t>
      </w:r>
      <w:r w:rsidR="00B26E6E" w:rsidRPr="003B4AEE">
        <w:t>includes: 1 hour for an NOI, 0.25 hours for a PARI and occurs once every 5 years; 2 to 5 hours for various reports that occur on a</w:t>
      </w:r>
      <w:r w:rsidR="00506C9B" w:rsidRPr="003B4AEE">
        <w:t>n</w:t>
      </w:r>
      <w:r w:rsidR="00B26E6E" w:rsidRPr="003B4AEE">
        <w:t xml:space="preserve"> as</w:t>
      </w:r>
      <w:r w:rsidR="00506C9B" w:rsidRPr="003B4AEE">
        <w:t>-</w:t>
      </w:r>
      <w:r w:rsidR="00B26E6E" w:rsidRPr="003B4AEE">
        <w:t xml:space="preserve">needed basis; one hour for the annual report; </w:t>
      </w:r>
      <w:r w:rsidRPr="003B4AEE">
        <w:t xml:space="preserve">0.5 to 2 hours for self-inspections </w:t>
      </w:r>
      <w:r w:rsidR="00B26E6E" w:rsidRPr="003B4AEE">
        <w:t xml:space="preserve">that occur on an annual basis; </w:t>
      </w:r>
      <w:r w:rsidR="000B253B" w:rsidRPr="003B4AEE">
        <w:t xml:space="preserve">2 to 4 hours for drydock inspections that occur once every 5 years; </w:t>
      </w:r>
      <w:r w:rsidRPr="003B4AEE">
        <w:t xml:space="preserve">and 6 hours for </w:t>
      </w:r>
      <w:r w:rsidR="000B253B" w:rsidRPr="003B4AEE">
        <w:t xml:space="preserve">semiannual </w:t>
      </w:r>
      <w:r w:rsidRPr="003B4AEE">
        <w:t>monitoring</w:t>
      </w:r>
      <w:r w:rsidR="00175B36" w:rsidRPr="003B4AEE">
        <w:t>.</w:t>
      </w:r>
      <w:bookmarkStart w:id="355" w:name="_Toc61289945"/>
      <w:bookmarkStart w:id="356" w:name="_Toc61348595"/>
      <w:bookmarkStart w:id="357" w:name="_Toc61350626"/>
      <w:bookmarkStart w:id="358" w:name="_Toc61350777"/>
      <w:bookmarkStart w:id="359" w:name="_Toc61350986"/>
      <w:bookmarkStart w:id="360" w:name="_Toc61351447"/>
      <w:bookmarkStart w:id="361" w:name="_Toc61351523"/>
      <w:bookmarkStart w:id="362" w:name="_Toc61512312"/>
      <w:bookmarkStart w:id="363" w:name="_Toc61518369"/>
      <w:bookmarkStart w:id="364" w:name="_Toc61521373"/>
      <w:bookmarkEnd w:id="355"/>
      <w:bookmarkEnd w:id="356"/>
      <w:bookmarkEnd w:id="357"/>
      <w:bookmarkEnd w:id="358"/>
      <w:bookmarkEnd w:id="359"/>
      <w:bookmarkEnd w:id="360"/>
      <w:bookmarkEnd w:id="361"/>
      <w:bookmarkEnd w:id="362"/>
      <w:bookmarkEnd w:id="363"/>
      <w:bookmarkEnd w:id="364"/>
    </w:p>
    <w:p w14:paraId="588B9AF4" w14:textId="69CA33DA" w:rsidR="00DA68D2" w:rsidRPr="003B4AEE" w:rsidRDefault="00731640" w:rsidP="00601555">
      <w:r w:rsidRPr="003B4AEE">
        <w:rPr>
          <w:i/>
        </w:rPr>
        <w:t>Federal</w:t>
      </w:r>
      <w:r w:rsidRPr="003B4AEE">
        <w:t>. Reviews are performed electronically at an estimated rate of 25 per hour.</w:t>
      </w:r>
      <w:bookmarkStart w:id="365" w:name="_Toc61289946"/>
      <w:bookmarkStart w:id="366" w:name="_Toc61348596"/>
      <w:bookmarkStart w:id="367" w:name="_Toc61350627"/>
      <w:bookmarkStart w:id="368" w:name="_Toc61350778"/>
      <w:bookmarkStart w:id="369" w:name="_Toc61350987"/>
      <w:bookmarkStart w:id="370" w:name="_Toc61351448"/>
      <w:bookmarkStart w:id="371" w:name="_Toc61351524"/>
      <w:bookmarkStart w:id="372" w:name="_Toc61512313"/>
      <w:bookmarkStart w:id="373" w:name="_Toc61518370"/>
      <w:bookmarkStart w:id="374" w:name="_Toc61521374"/>
      <w:bookmarkEnd w:id="365"/>
      <w:bookmarkEnd w:id="366"/>
      <w:bookmarkEnd w:id="367"/>
      <w:bookmarkEnd w:id="368"/>
      <w:bookmarkEnd w:id="369"/>
      <w:bookmarkEnd w:id="370"/>
      <w:bookmarkEnd w:id="371"/>
      <w:bookmarkEnd w:id="372"/>
      <w:bookmarkEnd w:id="373"/>
      <w:bookmarkEnd w:id="374"/>
    </w:p>
    <w:p w14:paraId="700F1C66" w14:textId="4DBB648D" w:rsidR="0031060A" w:rsidRPr="003B4AEE" w:rsidRDefault="0048771B" w:rsidP="007052FA">
      <w:pPr>
        <w:pStyle w:val="Heading9"/>
      </w:pPr>
      <w:bookmarkStart w:id="375" w:name="_Toc61289947"/>
      <w:bookmarkStart w:id="376" w:name="_Toc61348597"/>
      <w:bookmarkStart w:id="377" w:name="_Toc61350628"/>
      <w:bookmarkStart w:id="378" w:name="_Toc61350779"/>
      <w:bookmarkStart w:id="379" w:name="_Toc61350988"/>
      <w:bookmarkStart w:id="380" w:name="_Toc61351449"/>
      <w:bookmarkStart w:id="381" w:name="_Toc61351525"/>
      <w:bookmarkStart w:id="382" w:name="_Toc61512314"/>
      <w:bookmarkStart w:id="383" w:name="_Toc61518371"/>
      <w:bookmarkStart w:id="384" w:name="_Toc61521375"/>
      <w:bookmarkStart w:id="385" w:name="_Toc61289948"/>
      <w:bookmarkStart w:id="386" w:name="_Toc61348598"/>
      <w:bookmarkStart w:id="387" w:name="_Toc61350629"/>
      <w:bookmarkStart w:id="388" w:name="_Toc61350780"/>
      <w:bookmarkStart w:id="389" w:name="_Toc61350989"/>
      <w:bookmarkStart w:id="390" w:name="_Toc61351450"/>
      <w:bookmarkStart w:id="391" w:name="_Toc61351526"/>
      <w:bookmarkStart w:id="392" w:name="_Toc61512315"/>
      <w:bookmarkStart w:id="393" w:name="_Toc61518372"/>
      <w:bookmarkStart w:id="394" w:name="_Toc61521376"/>
      <w:bookmarkStart w:id="395" w:name="_Toc61289949"/>
      <w:bookmarkStart w:id="396" w:name="_Toc61348599"/>
      <w:bookmarkStart w:id="397" w:name="_Toc61350630"/>
      <w:bookmarkStart w:id="398" w:name="_Toc61350781"/>
      <w:bookmarkStart w:id="399" w:name="_Toc61350990"/>
      <w:bookmarkStart w:id="400" w:name="_Toc61351451"/>
      <w:bookmarkStart w:id="401" w:name="_Toc61351527"/>
      <w:bookmarkStart w:id="402" w:name="_Toc61512316"/>
      <w:bookmarkStart w:id="403" w:name="_Toc61518373"/>
      <w:bookmarkStart w:id="404" w:name="_Toc61521377"/>
      <w:bookmarkStart w:id="405" w:name="_Toc61289950"/>
      <w:bookmarkStart w:id="406" w:name="_Toc61348600"/>
      <w:bookmarkStart w:id="407" w:name="_Toc61350631"/>
      <w:bookmarkStart w:id="408" w:name="_Toc61350782"/>
      <w:bookmarkStart w:id="409" w:name="_Toc61350991"/>
      <w:bookmarkStart w:id="410" w:name="_Toc61351452"/>
      <w:bookmarkStart w:id="411" w:name="_Toc61351528"/>
      <w:bookmarkStart w:id="412" w:name="_Toc61512317"/>
      <w:bookmarkStart w:id="413" w:name="_Toc61518374"/>
      <w:bookmarkStart w:id="414" w:name="_Toc61521378"/>
      <w:bookmarkStart w:id="415" w:name="_Toc71729155"/>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3B4AEE">
        <w:t>Animal Sector</w:t>
      </w:r>
      <w:bookmarkEnd w:id="415"/>
    </w:p>
    <w:p w14:paraId="5DC5F544" w14:textId="1206A682" w:rsidR="006C0A34" w:rsidRPr="003B4AEE" w:rsidRDefault="00854134" w:rsidP="007052FA">
      <w:pPr>
        <w:pStyle w:val="BodyText"/>
      </w:pPr>
      <w:r w:rsidRPr="003B4AEE">
        <w:t xml:space="preserve">The activities in this category apply </w:t>
      </w:r>
      <w:r w:rsidR="00772A8A" w:rsidRPr="003B4AEE">
        <w:t xml:space="preserve">to </w:t>
      </w:r>
      <w:r w:rsidR="006C0A34" w:rsidRPr="003B4AEE">
        <w:t xml:space="preserve">activities related </w:t>
      </w:r>
      <w:r w:rsidRPr="003B4AEE">
        <w:t>to</w:t>
      </w:r>
      <w:r w:rsidR="006C0A34" w:rsidRPr="003B4AEE">
        <w:t xml:space="preserve"> NPDES permits for CAFO and CAAP facilities </w:t>
      </w:r>
      <w:r w:rsidR="00ED1C25" w:rsidRPr="003B4AEE">
        <w:t>and all</w:t>
      </w:r>
      <w:r w:rsidR="006C0A34" w:rsidRPr="003B4AEE">
        <w:t xml:space="preserve"> activities were divided and allocated on the basis of the type of respondent. Below is a list of the possible types of respondents. </w:t>
      </w:r>
    </w:p>
    <w:p w14:paraId="16C08710" w14:textId="23F77992" w:rsidR="006C0A34" w:rsidRPr="003B4AEE" w:rsidRDefault="006C0A34" w:rsidP="00290A17">
      <w:pPr>
        <w:pStyle w:val="ListBulletsingle"/>
        <w:numPr>
          <w:ilvl w:val="0"/>
          <w:numId w:val="35"/>
        </w:numPr>
      </w:pPr>
      <w:r w:rsidRPr="003B4AEE">
        <w:t xml:space="preserve">Authorized </w:t>
      </w:r>
      <w:r w:rsidR="00D260B9" w:rsidRPr="003B4AEE">
        <w:t xml:space="preserve">states </w:t>
      </w:r>
      <w:r w:rsidRPr="003B4AEE">
        <w:t xml:space="preserve">for </w:t>
      </w:r>
      <w:proofErr w:type="gramStart"/>
      <w:r w:rsidRPr="003B4AEE">
        <w:t>CAFOs</w:t>
      </w:r>
      <w:r w:rsidR="00D260B9" w:rsidRPr="003B4AEE">
        <w:t>;</w:t>
      </w:r>
      <w:proofErr w:type="gramEnd"/>
    </w:p>
    <w:p w14:paraId="730A288E" w14:textId="2AA63752" w:rsidR="006C0A34" w:rsidRPr="003B4AEE" w:rsidRDefault="006C0A34" w:rsidP="00290A17">
      <w:pPr>
        <w:pStyle w:val="ListBulletsingle"/>
        <w:numPr>
          <w:ilvl w:val="0"/>
          <w:numId w:val="35"/>
        </w:numPr>
      </w:pPr>
      <w:r w:rsidRPr="003B4AEE">
        <w:t xml:space="preserve">CAFO </w:t>
      </w:r>
      <w:proofErr w:type="gramStart"/>
      <w:r w:rsidR="00D260B9" w:rsidRPr="003B4AEE">
        <w:t>facilities;</w:t>
      </w:r>
      <w:proofErr w:type="gramEnd"/>
    </w:p>
    <w:p w14:paraId="3CEFC896" w14:textId="3D3FD069" w:rsidR="003A745C" w:rsidRPr="003B4AEE" w:rsidRDefault="006C0A34" w:rsidP="00290A17">
      <w:pPr>
        <w:pStyle w:val="ListBulletsingle"/>
        <w:numPr>
          <w:ilvl w:val="0"/>
          <w:numId w:val="35"/>
        </w:numPr>
      </w:pPr>
      <w:r w:rsidRPr="003B4AEE">
        <w:t xml:space="preserve">New CAFOs per </w:t>
      </w:r>
      <w:proofErr w:type="gramStart"/>
      <w:r w:rsidR="00D260B9" w:rsidRPr="003B4AEE">
        <w:t>year;</w:t>
      </w:r>
      <w:proofErr w:type="gramEnd"/>
    </w:p>
    <w:p w14:paraId="387940D2" w14:textId="707A3A86" w:rsidR="006C0A34" w:rsidRPr="003B4AEE" w:rsidRDefault="006C0A34" w:rsidP="00290A17">
      <w:pPr>
        <w:pStyle w:val="ListBulletsingle"/>
        <w:numPr>
          <w:ilvl w:val="0"/>
          <w:numId w:val="35"/>
        </w:numPr>
      </w:pPr>
      <w:r w:rsidRPr="003B4AEE">
        <w:t xml:space="preserve">Authorized </w:t>
      </w:r>
      <w:r w:rsidR="00D260B9" w:rsidRPr="003B4AEE">
        <w:t>s</w:t>
      </w:r>
      <w:r w:rsidR="008A7EBE" w:rsidRPr="003B4AEE">
        <w:t>t</w:t>
      </w:r>
      <w:r w:rsidR="00D260B9" w:rsidRPr="003B4AEE">
        <w:t xml:space="preserve">ates </w:t>
      </w:r>
      <w:r w:rsidRPr="003B4AEE">
        <w:t>for CAAP</w:t>
      </w:r>
      <w:r w:rsidR="00D260B9" w:rsidRPr="003B4AEE">
        <w:t>; and</w:t>
      </w:r>
    </w:p>
    <w:p w14:paraId="79BE5BE9" w14:textId="77777777" w:rsidR="0085470C" w:rsidRPr="003B4AEE" w:rsidRDefault="006C0A34" w:rsidP="00290A17">
      <w:pPr>
        <w:pStyle w:val="ListBulletlast"/>
        <w:numPr>
          <w:ilvl w:val="0"/>
          <w:numId w:val="35"/>
        </w:numPr>
      </w:pPr>
      <w:r w:rsidRPr="003B4AEE">
        <w:t>CAAP facilities</w:t>
      </w:r>
      <w:r w:rsidR="00D260B9" w:rsidRPr="003B4AEE">
        <w:t>.</w:t>
      </w:r>
    </w:p>
    <w:p w14:paraId="6CC21B0F" w14:textId="764D88D6" w:rsidR="006C0A34" w:rsidRPr="003B4AEE" w:rsidRDefault="000A24BD" w:rsidP="007052FA">
      <w:pPr>
        <w:pStyle w:val="BodyText"/>
      </w:pPr>
      <w:r w:rsidRPr="003B4AEE">
        <w:t>B</w:t>
      </w:r>
      <w:r w:rsidR="003573E0" w:rsidRPr="003B4AEE">
        <w:t>urden estimates were derived for each respondent type. These estimates were then updated using the current estimate of the number of each respondent type</w:t>
      </w:r>
      <w:r w:rsidR="007038C7" w:rsidRPr="003B4AEE">
        <w:t xml:space="preserve"> (see</w:t>
      </w:r>
      <w:r w:rsidRPr="003B4AEE">
        <w:t xml:space="preserve"> Appendix D</w:t>
      </w:r>
      <w:r w:rsidR="007038C7" w:rsidRPr="003B4AEE">
        <w:t>)</w:t>
      </w:r>
      <w:r w:rsidR="006C0A34" w:rsidRPr="003B4AEE">
        <w:t xml:space="preserve">. </w:t>
      </w:r>
      <w:r w:rsidRPr="003B4AEE">
        <w:t>B</w:t>
      </w:r>
      <w:r w:rsidR="00D6469F" w:rsidRPr="003B4AEE">
        <w:t>urden estimates are</w:t>
      </w:r>
      <w:r w:rsidR="00DC3889" w:rsidRPr="003B4AEE">
        <w:t xml:space="preserve"> </w:t>
      </w:r>
      <w:r w:rsidR="00D6469F" w:rsidRPr="003B4AEE">
        <w:t>a</w:t>
      </w:r>
      <w:r w:rsidR="002321B4" w:rsidRPr="003B4AEE">
        <w:t>ssociated</w:t>
      </w:r>
      <w:r w:rsidR="00DC3889" w:rsidRPr="003B4AEE">
        <w:t xml:space="preserve"> </w:t>
      </w:r>
      <w:r w:rsidR="002321B4" w:rsidRPr="003B4AEE">
        <w:t>with</w:t>
      </w:r>
      <w:r w:rsidR="006C0A34" w:rsidRPr="003B4AEE">
        <w:t xml:space="preserve"> six types of activities related to the NPDES program:</w:t>
      </w:r>
    </w:p>
    <w:p w14:paraId="5A83AA62" w14:textId="5E834EB9" w:rsidR="00DC3889" w:rsidRPr="003B4AEE" w:rsidRDefault="006C0A34" w:rsidP="00290A17">
      <w:pPr>
        <w:pStyle w:val="ListBulletsingle"/>
        <w:numPr>
          <w:ilvl w:val="0"/>
          <w:numId w:val="36"/>
        </w:numPr>
      </w:pPr>
      <w:r w:rsidRPr="003B4AEE">
        <w:t>Activities directly related to individual permit applications or permit coverage</w:t>
      </w:r>
      <w:r w:rsidR="00DC3889" w:rsidRPr="003B4AEE">
        <w:t xml:space="preserve"> under a general permit (NOIs</w:t>
      </w:r>
      <w:proofErr w:type="gramStart"/>
      <w:r w:rsidR="00DC3889" w:rsidRPr="003B4AEE">
        <w:t>)</w:t>
      </w:r>
      <w:r w:rsidR="00D260B9" w:rsidRPr="003B4AEE">
        <w:t>;</w:t>
      </w:r>
      <w:proofErr w:type="gramEnd"/>
    </w:p>
    <w:p w14:paraId="3780A5B3" w14:textId="511B4BD9" w:rsidR="00DC3889" w:rsidRPr="003B4AEE" w:rsidRDefault="006C0A34" w:rsidP="00290A17">
      <w:pPr>
        <w:pStyle w:val="ListBulletsingle"/>
        <w:numPr>
          <w:ilvl w:val="0"/>
          <w:numId w:val="36"/>
        </w:numPr>
      </w:pPr>
      <w:r w:rsidRPr="003B4AEE">
        <w:t xml:space="preserve">Activities associated with </w:t>
      </w:r>
      <w:r w:rsidR="002C1A8A" w:rsidRPr="003B4AEE">
        <w:t>plan</w:t>
      </w:r>
      <w:r w:rsidRPr="003B4AEE">
        <w:t xml:space="preserve"> development or special </w:t>
      </w:r>
      <w:proofErr w:type="gramStart"/>
      <w:r w:rsidRPr="003B4AEE">
        <w:t>studies</w:t>
      </w:r>
      <w:r w:rsidR="00D260B9" w:rsidRPr="003B4AEE">
        <w:t>;</w:t>
      </w:r>
      <w:proofErr w:type="gramEnd"/>
    </w:p>
    <w:p w14:paraId="502EB9C3" w14:textId="71D24235" w:rsidR="00DC3889" w:rsidRPr="003B4AEE" w:rsidRDefault="006C0A34" w:rsidP="00290A17">
      <w:pPr>
        <w:pStyle w:val="ListBulletsingle"/>
        <w:numPr>
          <w:ilvl w:val="0"/>
          <w:numId w:val="36"/>
        </w:numPr>
      </w:pPr>
      <w:r w:rsidRPr="003B4AEE">
        <w:t xml:space="preserve">Reporting, including </w:t>
      </w:r>
      <w:proofErr w:type="gramStart"/>
      <w:r w:rsidRPr="003B4AEE">
        <w:t>certification</w:t>
      </w:r>
      <w:r w:rsidR="00D260B9" w:rsidRPr="003B4AEE">
        <w:t>;</w:t>
      </w:r>
      <w:proofErr w:type="gramEnd"/>
    </w:p>
    <w:p w14:paraId="34BF61C6" w14:textId="700EC4D2" w:rsidR="00DC3889" w:rsidRPr="003B4AEE" w:rsidRDefault="006C0A34" w:rsidP="00290A17">
      <w:pPr>
        <w:pStyle w:val="ListBulletsingle"/>
        <w:numPr>
          <w:ilvl w:val="0"/>
          <w:numId w:val="36"/>
        </w:numPr>
      </w:pPr>
      <w:r w:rsidRPr="003B4AEE">
        <w:t>Recordkeeping</w:t>
      </w:r>
      <w:r w:rsidR="00D260B9" w:rsidRPr="003B4AEE">
        <w:t>; and</w:t>
      </w:r>
    </w:p>
    <w:p w14:paraId="50A4156D" w14:textId="6DB918B9" w:rsidR="0085470C" w:rsidRPr="003B4AEE" w:rsidRDefault="006C0A34" w:rsidP="00290A17">
      <w:pPr>
        <w:pStyle w:val="ListBulletlast"/>
        <w:numPr>
          <w:ilvl w:val="0"/>
          <w:numId w:val="36"/>
        </w:numPr>
      </w:pPr>
      <w:r w:rsidRPr="003B4AEE">
        <w:t>Activities resulting from compliance assessments</w:t>
      </w:r>
      <w:r w:rsidR="00D260B9" w:rsidRPr="003B4AEE">
        <w:t>.</w:t>
      </w:r>
    </w:p>
    <w:p w14:paraId="07FD8A34" w14:textId="729E4802" w:rsidR="0085470C" w:rsidRPr="003B4AEE" w:rsidRDefault="00EF07D1" w:rsidP="007052FA">
      <w:pPr>
        <w:pStyle w:val="BodyText"/>
      </w:pPr>
      <w:r w:rsidRPr="003B4AEE">
        <w:lastRenderedPageBreak/>
        <w:t xml:space="preserve">EPA has revised the burden estimates based on developments in the industry. Over time, many of the activities required as a result of the 2003 NPDES Permit Regulation and Effluent Limitation Guidelines and Standards for Concentrated Animal Feeding Operations (CAFOs) have become part of standard business practice and USDA standards </w:t>
      </w:r>
      <w:r w:rsidR="001303AB" w:rsidRPr="003B4AEE">
        <w:t xml:space="preserve">and </w:t>
      </w:r>
      <w:r w:rsidRPr="003B4AEE">
        <w:t xml:space="preserve">guidelines. USDA standards are specifically designed to guide farmers as they implement improved waste management practices to keep pace with the changing demands of the industry. USDA has issued extensive guidelines on these practices, including the requirements for Comprehensive Nutrient Management Plans, the practice standards developed by the USDA Natural Resources Conservation Service (NRCS), the Field Office Technical Guides, and the Agricultural Waste Management Field Handbook. Farmers are motivated to adhere to the USDA guidelines in part because of their own environmental stewardship goals, but also because operations that want to receive USDA financial or technical support are required to follow USDA guidelines to ensure continued eligibility for USDA programs. The combined effect of these external forces is that over time a number of activities required in EPA’s original CAFO regulations have become standard industry practice, including regular visual inspections and manure and soil sampling. </w:t>
      </w:r>
      <w:r w:rsidR="001303AB" w:rsidRPr="003B4AEE">
        <w:t xml:space="preserve">Thus, EPA concluded that these activities are no longer directly attributable to the NPDES regulations and should not be included in the ICR burden estimates. As a result, the substantial reductions in </w:t>
      </w:r>
      <w:r w:rsidR="002C1A8A" w:rsidRPr="003B4AEE">
        <w:t xml:space="preserve">CAFO </w:t>
      </w:r>
      <w:r w:rsidR="001303AB" w:rsidRPr="003B4AEE">
        <w:t xml:space="preserve">burden estimates </w:t>
      </w:r>
      <w:r w:rsidR="00C759EA" w:rsidRPr="003B4AEE">
        <w:t xml:space="preserve">carried over </w:t>
      </w:r>
      <w:r w:rsidR="001303AB" w:rsidRPr="003B4AEE">
        <w:t xml:space="preserve">in this ICR reflect the changes that have occurred </w:t>
      </w:r>
      <w:r w:rsidR="0005388D" w:rsidRPr="003B4AEE">
        <w:t>since the implementation of the CAFO rule</w:t>
      </w:r>
      <w:r w:rsidR="001303AB" w:rsidRPr="003B4AEE">
        <w:t>. In addition, there continues to be significant consolidation in the industry, so far fewer facilities exist that might be subject to regulation</w:t>
      </w:r>
      <w:r w:rsidR="002C1A8A" w:rsidRPr="003B4AEE">
        <w:t>;</w:t>
      </w:r>
      <w:r w:rsidR="001303AB" w:rsidRPr="003B4AEE">
        <w:t xml:space="preserve"> </w:t>
      </w:r>
      <w:r w:rsidR="002C1A8A" w:rsidRPr="003B4AEE">
        <w:t xml:space="preserve">this </w:t>
      </w:r>
      <w:r w:rsidR="001303AB" w:rsidRPr="003B4AEE">
        <w:t xml:space="preserve">is reflected in </w:t>
      </w:r>
      <w:r w:rsidR="00D01E36" w:rsidRPr="003B4AEE">
        <w:t xml:space="preserve">the CAFO permit numbers in </w:t>
      </w:r>
      <w:r w:rsidR="001303AB" w:rsidRPr="003B4AEE">
        <w:t xml:space="preserve">Appendix </w:t>
      </w:r>
      <w:r w:rsidR="00D01E36" w:rsidRPr="003B4AEE">
        <w:t>D.</w:t>
      </w:r>
      <w:r w:rsidR="001303AB" w:rsidRPr="003B4AEE">
        <w:t xml:space="preserve"> </w:t>
      </w:r>
    </w:p>
    <w:p w14:paraId="028A0A3D" w14:textId="60138715" w:rsidR="007D523A" w:rsidRPr="003B4AEE" w:rsidRDefault="00530E5A" w:rsidP="007052FA">
      <w:pPr>
        <w:pStyle w:val="BodyText"/>
      </w:pPr>
      <w:r w:rsidRPr="003B4AEE">
        <w:rPr>
          <w:i/>
        </w:rPr>
        <w:t>Permittees</w:t>
      </w:r>
      <w:r w:rsidRPr="003B4AEE">
        <w:t xml:space="preserve">. </w:t>
      </w:r>
      <w:r w:rsidR="00001F1A" w:rsidRPr="003B4AEE">
        <w:t>Table A</w:t>
      </w:r>
      <w:r w:rsidR="001A6DA0" w:rsidRPr="003B4AEE">
        <w:t>-</w:t>
      </w:r>
      <w:r w:rsidR="00352E6F" w:rsidRPr="003B4AEE">
        <w:t>6</w:t>
      </w:r>
      <w:r w:rsidR="00001F1A" w:rsidRPr="003B4AEE">
        <w:t xml:space="preserve"> presents </w:t>
      </w:r>
      <w:r w:rsidR="00F47B1E" w:rsidRPr="003B4AEE">
        <w:t>the</w:t>
      </w:r>
      <w:r w:rsidR="00001F1A" w:rsidRPr="003B4AEE">
        <w:t xml:space="preserve"> underlying assumptions used to derive the source ICR burden estimates.</w:t>
      </w:r>
      <w:r w:rsidR="00464181" w:rsidRPr="003B4AEE">
        <w:t xml:space="preserve"> Table A</w:t>
      </w:r>
      <w:r w:rsidR="001A6DA0" w:rsidRPr="003B4AEE">
        <w:t>-</w:t>
      </w:r>
      <w:r w:rsidR="00464181" w:rsidRPr="003B4AEE">
        <w:t>7 presents burden assumptions for CAFO and CAAP facilities.</w:t>
      </w:r>
    </w:p>
    <w:p w14:paraId="3DA6FB84" w14:textId="1C71C8C4" w:rsidR="0082676E" w:rsidRPr="003B4AEE" w:rsidRDefault="0082676E" w:rsidP="004F1834">
      <w:pPr>
        <w:pStyle w:val="TableTitleAppendix"/>
      </w:pPr>
      <w:bookmarkStart w:id="416" w:name="_Toc61521417"/>
      <w:r w:rsidRPr="003B4AEE">
        <w:t xml:space="preserve">Table </w:t>
      </w:r>
      <w:r w:rsidR="00ED7594" w:rsidRPr="003B4AEE">
        <w:t>A-6</w:t>
      </w:r>
      <w:r w:rsidR="00A554A5" w:rsidRPr="003B4AEE">
        <w:t>.</w:t>
      </w:r>
      <w:r w:rsidRPr="003B4AEE">
        <w:t xml:space="preserve"> </w:t>
      </w:r>
      <w:r w:rsidR="00464181" w:rsidRPr="003B4AEE">
        <w:t>U</w:t>
      </w:r>
      <w:r w:rsidR="00D260B9" w:rsidRPr="003B4AEE">
        <w:t xml:space="preserve">nderlying </w:t>
      </w:r>
      <w:r w:rsidR="005C1913" w:rsidRPr="003B4AEE">
        <w:t>A</w:t>
      </w:r>
      <w:r w:rsidR="00D260B9" w:rsidRPr="003B4AEE">
        <w:t xml:space="preserve">ssumptions </w:t>
      </w:r>
      <w:r w:rsidRPr="003B4AEE">
        <w:t xml:space="preserve">for </w:t>
      </w:r>
      <w:r w:rsidR="005C1913" w:rsidRPr="003B4AEE">
        <w:t>A</w:t>
      </w:r>
      <w:r w:rsidR="00D260B9" w:rsidRPr="003B4AEE">
        <w:t xml:space="preserve">nimal </w:t>
      </w:r>
      <w:r w:rsidR="005C1913" w:rsidRPr="003B4AEE">
        <w:t>S</w:t>
      </w:r>
      <w:r w:rsidR="00D260B9" w:rsidRPr="003B4AEE">
        <w:t>ector</w:t>
      </w:r>
      <w:r w:rsidR="00FE745C" w:rsidRPr="003B4AEE">
        <w:t xml:space="preserve"> </w:t>
      </w:r>
      <w:r w:rsidR="005C1913" w:rsidRPr="003B4AEE">
        <w:t>P</w:t>
      </w:r>
      <w:r w:rsidR="00FE745C" w:rsidRPr="003B4AEE">
        <w:t>ermittees</w:t>
      </w:r>
      <w:bookmarkEnd w:id="416"/>
      <w:r w:rsidR="00FE745C" w:rsidRPr="003B4AEE">
        <w:t xml:space="preserve"> </w:t>
      </w:r>
    </w:p>
    <w:tbl>
      <w:tblPr>
        <w:tblStyle w:val="TableGrid"/>
        <w:tblW w:w="0" w:type="auto"/>
        <w:tblLook w:val="04A0" w:firstRow="1" w:lastRow="0" w:firstColumn="1" w:lastColumn="0" w:noHBand="0" w:noVBand="1"/>
      </w:tblPr>
      <w:tblGrid>
        <w:gridCol w:w="7375"/>
        <w:gridCol w:w="1296"/>
      </w:tblGrid>
      <w:tr w:rsidR="00DB5767" w:rsidRPr="003B4AEE" w14:paraId="323A8698" w14:textId="77777777" w:rsidTr="00E15A36">
        <w:trPr>
          <w:trHeight w:val="422"/>
        </w:trPr>
        <w:tc>
          <w:tcPr>
            <w:tcW w:w="7375" w:type="dxa"/>
            <w:shd w:val="clear" w:color="auto" w:fill="D9D9D9" w:themeFill="background1" w:themeFillShade="D9"/>
          </w:tcPr>
          <w:p w14:paraId="25435E0B" w14:textId="0A4A4253" w:rsidR="00DB5767" w:rsidRPr="003B4AEE" w:rsidRDefault="00DB5767" w:rsidP="00E15A36">
            <w:pPr>
              <w:pStyle w:val="TableHeading"/>
            </w:pPr>
            <w:r w:rsidRPr="003B4AEE">
              <w:t>Assumption</w:t>
            </w:r>
          </w:p>
        </w:tc>
        <w:tc>
          <w:tcPr>
            <w:tcW w:w="1296" w:type="dxa"/>
            <w:shd w:val="clear" w:color="auto" w:fill="D9D9D9" w:themeFill="background1" w:themeFillShade="D9"/>
          </w:tcPr>
          <w:p w14:paraId="247B88C4" w14:textId="119DA392" w:rsidR="00DB5767" w:rsidRPr="003B4AEE" w:rsidRDefault="00DB5767" w:rsidP="00E15A36">
            <w:pPr>
              <w:pStyle w:val="TableHeading"/>
            </w:pPr>
            <w:r w:rsidRPr="003B4AEE">
              <w:t>Value</w:t>
            </w:r>
            <w:r w:rsidR="00397D44" w:rsidRPr="003B4AEE">
              <w:t xml:space="preserve"> (Percent)</w:t>
            </w:r>
          </w:p>
        </w:tc>
      </w:tr>
      <w:tr w:rsidR="0082676E" w:rsidRPr="003B4AEE" w14:paraId="40446C69" w14:textId="77777777" w:rsidTr="00A30867">
        <w:trPr>
          <w:trHeight w:val="264"/>
        </w:trPr>
        <w:tc>
          <w:tcPr>
            <w:tcW w:w="7375" w:type="dxa"/>
            <w:shd w:val="clear" w:color="auto" w:fill="auto"/>
            <w:hideMark/>
          </w:tcPr>
          <w:p w14:paraId="1815AFC6" w14:textId="102A0F87" w:rsidR="001C2631" w:rsidRPr="003B4AEE" w:rsidRDefault="001C2631" w:rsidP="00A30867">
            <w:pPr>
              <w:pStyle w:val="Tables"/>
            </w:pPr>
            <w:r w:rsidRPr="003B4AEE">
              <w:t xml:space="preserve">Percent CAFOs in </w:t>
            </w:r>
            <w:r w:rsidR="0082676E" w:rsidRPr="003B4AEE">
              <w:t>non-CAFO authorized states (</w:t>
            </w:r>
            <w:r w:rsidRPr="003B4AEE">
              <w:t>MA, NH,</w:t>
            </w:r>
            <w:r w:rsidR="004C1524" w:rsidRPr="003B4AEE">
              <w:t xml:space="preserve"> and</w:t>
            </w:r>
            <w:r w:rsidRPr="003B4AEE">
              <w:t xml:space="preserve"> NM</w:t>
            </w:r>
            <w:r w:rsidR="0082676E" w:rsidRPr="003B4AEE">
              <w:t>)</w:t>
            </w:r>
          </w:p>
        </w:tc>
        <w:tc>
          <w:tcPr>
            <w:tcW w:w="1296" w:type="dxa"/>
            <w:shd w:val="clear" w:color="auto" w:fill="auto"/>
            <w:hideMark/>
          </w:tcPr>
          <w:p w14:paraId="1304F555" w14:textId="587B748F" w:rsidR="001C2631" w:rsidRPr="003B4AEE" w:rsidRDefault="00825B71" w:rsidP="00EF2A49">
            <w:pPr>
              <w:pStyle w:val="Tables"/>
              <w:jc w:val="center"/>
            </w:pPr>
            <w:r w:rsidRPr="003B4AEE">
              <w:t>6.3</w:t>
            </w:r>
          </w:p>
        </w:tc>
      </w:tr>
      <w:tr w:rsidR="0082676E" w:rsidRPr="003B4AEE" w14:paraId="6866DCFE" w14:textId="77777777" w:rsidTr="00A30867">
        <w:trPr>
          <w:trHeight w:val="264"/>
        </w:trPr>
        <w:tc>
          <w:tcPr>
            <w:tcW w:w="7375" w:type="dxa"/>
            <w:shd w:val="clear" w:color="auto" w:fill="auto"/>
            <w:hideMark/>
          </w:tcPr>
          <w:p w14:paraId="1BFFCA45" w14:textId="796E8D82" w:rsidR="001C2631" w:rsidRPr="003B4AEE" w:rsidRDefault="001C2631" w:rsidP="00A30867">
            <w:pPr>
              <w:pStyle w:val="Tables"/>
            </w:pPr>
            <w:r w:rsidRPr="003B4AEE">
              <w:t xml:space="preserve">Percent CAFOs covered by </w:t>
            </w:r>
            <w:r w:rsidR="00A04E1A" w:rsidRPr="003B4AEE">
              <w:t xml:space="preserve">general permits </w:t>
            </w:r>
          </w:p>
        </w:tc>
        <w:tc>
          <w:tcPr>
            <w:tcW w:w="1296" w:type="dxa"/>
            <w:shd w:val="clear" w:color="auto" w:fill="auto"/>
            <w:hideMark/>
          </w:tcPr>
          <w:p w14:paraId="3EFF6F8A" w14:textId="1333802C" w:rsidR="001C2631" w:rsidRPr="003B4AEE" w:rsidRDefault="001C2631" w:rsidP="00EF2A49">
            <w:pPr>
              <w:pStyle w:val="Tables"/>
              <w:jc w:val="center"/>
            </w:pPr>
            <w:r w:rsidRPr="003B4AEE">
              <w:t>70</w:t>
            </w:r>
          </w:p>
        </w:tc>
      </w:tr>
      <w:tr w:rsidR="0082676E" w:rsidRPr="003B4AEE" w14:paraId="3B897FF0" w14:textId="77777777" w:rsidTr="00A30867">
        <w:trPr>
          <w:trHeight w:val="264"/>
        </w:trPr>
        <w:tc>
          <w:tcPr>
            <w:tcW w:w="7375" w:type="dxa"/>
            <w:shd w:val="clear" w:color="auto" w:fill="auto"/>
            <w:hideMark/>
          </w:tcPr>
          <w:p w14:paraId="4D38F0A3" w14:textId="77777777" w:rsidR="001C2631" w:rsidRPr="003B4AEE" w:rsidRDefault="001C2631" w:rsidP="00A30867">
            <w:pPr>
              <w:pStyle w:val="Tables"/>
            </w:pPr>
            <w:r w:rsidRPr="003B4AEE">
              <w:t xml:space="preserve">Annual CAFO inspection rate </w:t>
            </w:r>
          </w:p>
        </w:tc>
        <w:tc>
          <w:tcPr>
            <w:tcW w:w="1296" w:type="dxa"/>
            <w:shd w:val="clear" w:color="auto" w:fill="auto"/>
            <w:hideMark/>
          </w:tcPr>
          <w:p w14:paraId="1C747A6E" w14:textId="39C8D2E1" w:rsidR="001C2631" w:rsidRPr="003B4AEE" w:rsidRDefault="001C2631" w:rsidP="00EF2A49">
            <w:pPr>
              <w:pStyle w:val="Tables"/>
              <w:jc w:val="center"/>
            </w:pPr>
            <w:r w:rsidRPr="003B4AEE">
              <w:t>20</w:t>
            </w:r>
          </w:p>
        </w:tc>
      </w:tr>
      <w:tr w:rsidR="0082676E" w:rsidRPr="003B4AEE" w14:paraId="37200B3F" w14:textId="77777777" w:rsidTr="00A30867">
        <w:trPr>
          <w:trHeight w:val="264"/>
        </w:trPr>
        <w:tc>
          <w:tcPr>
            <w:tcW w:w="7375" w:type="dxa"/>
            <w:shd w:val="clear" w:color="auto" w:fill="auto"/>
            <w:hideMark/>
          </w:tcPr>
          <w:p w14:paraId="7E800D3A" w14:textId="75954D4A" w:rsidR="001C2631" w:rsidRPr="003B4AEE" w:rsidRDefault="001C2631" w:rsidP="00A30867">
            <w:pPr>
              <w:pStyle w:val="Tables"/>
            </w:pPr>
            <w:r w:rsidRPr="003B4AEE">
              <w:t xml:space="preserve">Flow </w:t>
            </w:r>
            <w:r w:rsidR="00A04E1A" w:rsidRPr="003B4AEE">
              <w:t xml:space="preserve">through </w:t>
            </w:r>
            <w:r w:rsidRPr="003B4AEE">
              <w:t xml:space="preserve">and </w:t>
            </w:r>
            <w:r w:rsidR="00A04E1A" w:rsidRPr="003B4AEE">
              <w:t>recirculating commercial facilities</w:t>
            </w:r>
          </w:p>
        </w:tc>
        <w:tc>
          <w:tcPr>
            <w:tcW w:w="1296" w:type="dxa"/>
            <w:shd w:val="clear" w:color="auto" w:fill="auto"/>
            <w:hideMark/>
          </w:tcPr>
          <w:p w14:paraId="11885B37" w14:textId="66FC3845" w:rsidR="001C2631" w:rsidRPr="003B4AEE" w:rsidRDefault="001C2631" w:rsidP="00EF2A49">
            <w:pPr>
              <w:pStyle w:val="Tables"/>
              <w:jc w:val="center"/>
            </w:pPr>
            <w:r w:rsidRPr="003B4AEE">
              <w:t>166</w:t>
            </w:r>
          </w:p>
        </w:tc>
      </w:tr>
      <w:tr w:rsidR="0082676E" w:rsidRPr="003B4AEE" w14:paraId="2184C316" w14:textId="77777777" w:rsidTr="00A30867">
        <w:trPr>
          <w:trHeight w:val="264"/>
        </w:trPr>
        <w:tc>
          <w:tcPr>
            <w:tcW w:w="7375" w:type="dxa"/>
            <w:shd w:val="clear" w:color="auto" w:fill="auto"/>
            <w:hideMark/>
          </w:tcPr>
          <w:p w14:paraId="635C478D" w14:textId="2295ECD8" w:rsidR="001C2631" w:rsidRPr="003B4AEE" w:rsidRDefault="001C2631" w:rsidP="00A30867">
            <w:pPr>
              <w:pStyle w:val="Tables"/>
            </w:pPr>
            <w:r w:rsidRPr="003B4AEE">
              <w:t xml:space="preserve">Flow </w:t>
            </w:r>
            <w:r w:rsidR="00A04E1A" w:rsidRPr="003B4AEE">
              <w:t xml:space="preserve">through </w:t>
            </w:r>
            <w:r w:rsidRPr="003B4AEE">
              <w:t xml:space="preserve">and </w:t>
            </w:r>
            <w:r w:rsidR="00A04E1A" w:rsidRPr="003B4AEE">
              <w:t>recirculating non</w:t>
            </w:r>
            <w:r w:rsidRPr="003B4AEE">
              <w:t>-</w:t>
            </w:r>
            <w:r w:rsidR="00A04E1A" w:rsidRPr="003B4AEE">
              <w:t>commercial facilities</w:t>
            </w:r>
          </w:p>
        </w:tc>
        <w:tc>
          <w:tcPr>
            <w:tcW w:w="1296" w:type="dxa"/>
            <w:shd w:val="clear" w:color="auto" w:fill="auto"/>
            <w:hideMark/>
          </w:tcPr>
          <w:p w14:paraId="6631D9FE" w14:textId="75079A70" w:rsidR="001C2631" w:rsidRPr="003B4AEE" w:rsidRDefault="001C2631" w:rsidP="00EF2A49">
            <w:pPr>
              <w:pStyle w:val="Tables"/>
              <w:jc w:val="center"/>
            </w:pPr>
            <w:r w:rsidRPr="003B4AEE">
              <w:t>178</w:t>
            </w:r>
          </w:p>
        </w:tc>
      </w:tr>
      <w:tr w:rsidR="0082676E" w:rsidRPr="003B4AEE" w14:paraId="42C73A10" w14:textId="77777777" w:rsidTr="00A30867">
        <w:trPr>
          <w:trHeight w:val="264"/>
        </w:trPr>
        <w:tc>
          <w:tcPr>
            <w:tcW w:w="7375" w:type="dxa"/>
            <w:shd w:val="clear" w:color="auto" w:fill="auto"/>
            <w:hideMark/>
          </w:tcPr>
          <w:p w14:paraId="7D3CE659" w14:textId="197DE6C2" w:rsidR="001C2631" w:rsidRPr="003B4AEE" w:rsidRDefault="001C2631" w:rsidP="00A30867">
            <w:pPr>
              <w:pStyle w:val="Tables"/>
            </w:pPr>
            <w:r w:rsidRPr="003B4AEE">
              <w:t xml:space="preserve">Net </w:t>
            </w:r>
            <w:r w:rsidR="00A04E1A" w:rsidRPr="003B4AEE">
              <w:t>pen facilities</w:t>
            </w:r>
          </w:p>
        </w:tc>
        <w:tc>
          <w:tcPr>
            <w:tcW w:w="1296" w:type="dxa"/>
            <w:shd w:val="clear" w:color="auto" w:fill="auto"/>
            <w:hideMark/>
          </w:tcPr>
          <w:p w14:paraId="245DEFDA" w14:textId="3FBC9FB1" w:rsidR="001C2631" w:rsidRPr="003B4AEE" w:rsidRDefault="001C2631" w:rsidP="00EF2A49">
            <w:pPr>
              <w:pStyle w:val="Tables"/>
              <w:jc w:val="center"/>
            </w:pPr>
            <w:r w:rsidRPr="003B4AEE">
              <w:t>15</w:t>
            </w:r>
          </w:p>
        </w:tc>
      </w:tr>
      <w:tr w:rsidR="0082676E" w:rsidRPr="003B4AEE" w14:paraId="3506AABF" w14:textId="77777777" w:rsidTr="00A30867">
        <w:trPr>
          <w:trHeight w:val="264"/>
        </w:trPr>
        <w:tc>
          <w:tcPr>
            <w:tcW w:w="7375" w:type="dxa"/>
            <w:shd w:val="clear" w:color="auto" w:fill="auto"/>
            <w:hideMark/>
          </w:tcPr>
          <w:p w14:paraId="700B56AB" w14:textId="3CB98F85" w:rsidR="001C2631" w:rsidRPr="003B4AEE" w:rsidRDefault="001C2631" w:rsidP="00A30867">
            <w:pPr>
              <w:pStyle w:val="Tables"/>
            </w:pPr>
            <w:r w:rsidRPr="003B4AEE">
              <w:t xml:space="preserve">Total </w:t>
            </w:r>
            <w:r w:rsidR="00A04E1A" w:rsidRPr="003B4AEE">
              <w:t xml:space="preserve">number </w:t>
            </w:r>
            <w:r w:rsidRPr="003B4AEE">
              <w:t xml:space="preserve">of CAAP </w:t>
            </w:r>
            <w:r w:rsidR="00A04E1A" w:rsidRPr="003B4AEE">
              <w:t xml:space="preserve">permittees </w:t>
            </w:r>
            <w:r w:rsidRPr="003B4AEE">
              <w:t>in non-authorized states</w:t>
            </w:r>
          </w:p>
        </w:tc>
        <w:tc>
          <w:tcPr>
            <w:tcW w:w="1296" w:type="dxa"/>
            <w:shd w:val="clear" w:color="auto" w:fill="auto"/>
            <w:hideMark/>
          </w:tcPr>
          <w:p w14:paraId="7E08DCAC" w14:textId="33F355B6" w:rsidR="001C2631" w:rsidRPr="003B4AEE" w:rsidRDefault="001C2631" w:rsidP="00EF2A49">
            <w:pPr>
              <w:pStyle w:val="Tables"/>
              <w:jc w:val="center"/>
            </w:pPr>
            <w:r w:rsidRPr="003B4AEE">
              <w:t>1</w:t>
            </w:r>
            <w:r w:rsidR="00AB6A2D" w:rsidRPr="003B4AEE">
              <w:t>7</w:t>
            </w:r>
            <w:r w:rsidRPr="003B4AEE">
              <w:t xml:space="preserve"> </w:t>
            </w:r>
          </w:p>
        </w:tc>
      </w:tr>
      <w:tr w:rsidR="0082676E" w:rsidRPr="003B4AEE" w14:paraId="32A56D70" w14:textId="77777777" w:rsidTr="00A30867">
        <w:trPr>
          <w:trHeight w:val="264"/>
        </w:trPr>
        <w:tc>
          <w:tcPr>
            <w:tcW w:w="7375" w:type="dxa"/>
            <w:shd w:val="clear" w:color="auto" w:fill="auto"/>
            <w:hideMark/>
          </w:tcPr>
          <w:p w14:paraId="5BD12964" w14:textId="633E5262" w:rsidR="001C2631" w:rsidRPr="003B4AEE" w:rsidRDefault="0082676E" w:rsidP="00A30867">
            <w:pPr>
              <w:pStyle w:val="Tables"/>
            </w:pPr>
            <w:r w:rsidRPr="003B4AEE">
              <w:t>Percent</w:t>
            </w:r>
            <w:r w:rsidR="001C2631" w:rsidRPr="003B4AEE">
              <w:t xml:space="preserve"> of </w:t>
            </w:r>
            <w:r w:rsidRPr="003B4AEE">
              <w:t xml:space="preserve">CAAP </w:t>
            </w:r>
            <w:r w:rsidR="00A04E1A" w:rsidRPr="003B4AEE">
              <w:t xml:space="preserve">permittees </w:t>
            </w:r>
            <w:r w:rsidR="001C2631" w:rsidRPr="003B4AEE">
              <w:t xml:space="preserve">seeking </w:t>
            </w:r>
            <w:r w:rsidR="00A04E1A" w:rsidRPr="003B4AEE">
              <w:t>general permit coverage</w:t>
            </w:r>
          </w:p>
        </w:tc>
        <w:tc>
          <w:tcPr>
            <w:tcW w:w="1296" w:type="dxa"/>
            <w:shd w:val="clear" w:color="auto" w:fill="auto"/>
            <w:hideMark/>
          </w:tcPr>
          <w:p w14:paraId="022DD087" w14:textId="32F03A34" w:rsidR="001C2631" w:rsidRPr="003B4AEE" w:rsidRDefault="001C2631" w:rsidP="00EF2A49">
            <w:pPr>
              <w:pStyle w:val="Tables"/>
              <w:jc w:val="center"/>
            </w:pPr>
            <w:r w:rsidRPr="003B4AEE">
              <w:t>52</w:t>
            </w:r>
          </w:p>
        </w:tc>
      </w:tr>
      <w:tr w:rsidR="0082676E" w:rsidRPr="003B4AEE" w14:paraId="20489660" w14:textId="77777777" w:rsidTr="00A30867">
        <w:trPr>
          <w:trHeight w:val="264"/>
        </w:trPr>
        <w:tc>
          <w:tcPr>
            <w:tcW w:w="7375" w:type="dxa"/>
            <w:shd w:val="clear" w:color="auto" w:fill="auto"/>
            <w:hideMark/>
          </w:tcPr>
          <w:p w14:paraId="71A94894" w14:textId="7CCFA0C0" w:rsidR="001C2631" w:rsidRPr="003B4AEE" w:rsidRDefault="001C2631" w:rsidP="00A30867">
            <w:pPr>
              <w:pStyle w:val="Tables"/>
            </w:pPr>
            <w:r w:rsidRPr="003B4AEE">
              <w:t xml:space="preserve">Burden to </w:t>
            </w:r>
            <w:r w:rsidR="00A04E1A" w:rsidRPr="003B4AEE">
              <w:t>develop</w:t>
            </w:r>
            <w:r w:rsidRPr="003B4AEE">
              <w:t>/</w:t>
            </w:r>
            <w:r w:rsidR="00A04E1A" w:rsidRPr="003B4AEE">
              <w:t xml:space="preserve">update </w:t>
            </w:r>
            <w:r w:rsidRPr="003B4AEE">
              <w:t xml:space="preserve">NMP </w:t>
            </w:r>
            <w:r w:rsidR="002436F1" w:rsidRPr="003B4AEE">
              <w:t>(hours)</w:t>
            </w:r>
          </w:p>
        </w:tc>
        <w:tc>
          <w:tcPr>
            <w:tcW w:w="1296" w:type="dxa"/>
            <w:shd w:val="clear" w:color="auto" w:fill="auto"/>
            <w:hideMark/>
          </w:tcPr>
          <w:p w14:paraId="065259B8" w14:textId="42471D72" w:rsidR="001C2631" w:rsidRPr="003B4AEE" w:rsidRDefault="00DB36A7" w:rsidP="00EF2A49">
            <w:pPr>
              <w:pStyle w:val="Tables"/>
              <w:jc w:val="center"/>
            </w:pPr>
            <w:r w:rsidRPr="003B4AEE">
              <w:t>170</w:t>
            </w:r>
          </w:p>
        </w:tc>
      </w:tr>
    </w:tbl>
    <w:p w14:paraId="55BF8AA0" w14:textId="77777777" w:rsidR="00A25F59" w:rsidRPr="003B4AEE" w:rsidRDefault="00A25F59" w:rsidP="0052681B">
      <w:pPr>
        <w:spacing w:after="0"/>
      </w:pPr>
    </w:p>
    <w:p w14:paraId="37F595C0" w14:textId="06077AE7" w:rsidR="00464181" w:rsidRPr="003B4AEE" w:rsidRDefault="00464181" w:rsidP="004F1834">
      <w:pPr>
        <w:pStyle w:val="TableTitleAppendix"/>
      </w:pPr>
      <w:bookmarkStart w:id="417" w:name="_Toc61521418"/>
      <w:r w:rsidRPr="003B4AEE">
        <w:t>Tabl</w:t>
      </w:r>
      <w:r w:rsidR="00ED7594" w:rsidRPr="003B4AEE">
        <w:t>e A-7</w:t>
      </w:r>
      <w:r w:rsidR="00A554A5" w:rsidRPr="003B4AEE">
        <w:t xml:space="preserve">. </w:t>
      </w:r>
      <w:r w:rsidRPr="003B4AEE">
        <w:t xml:space="preserve">Summary of </w:t>
      </w:r>
      <w:r w:rsidR="005C1913" w:rsidRPr="003B4AEE">
        <w:t>B</w:t>
      </w:r>
      <w:r w:rsidRPr="003B4AEE">
        <w:t xml:space="preserve">urden </w:t>
      </w:r>
      <w:r w:rsidR="005C1913" w:rsidRPr="003B4AEE">
        <w:t>A</w:t>
      </w:r>
      <w:r w:rsidRPr="003B4AEE">
        <w:t xml:space="preserve">ssumption for CAFO and CAAP </w:t>
      </w:r>
      <w:r w:rsidR="005C1913" w:rsidRPr="003B4AEE">
        <w:t>F</w:t>
      </w:r>
      <w:r w:rsidRPr="003B4AEE">
        <w:t>acilities</w:t>
      </w:r>
      <w:bookmarkEnd w:id="417"/>
    </w:p>
    <w:tbl>
      <w:tblPr>
        <w:tblW w:w="8462" w:type="dxa"/>
        <w:tblInd w:w="-5" w:type="dxa"/>
        <w:tblLook w:val="04A0" w:firstRow="1" w:lastRow="0" w:firstColumn="1" w:lastColumn="0" w:noHBand="0" w:noVBand="1"/>
      </w:tblPr>
      <w:tblGrid>
        <w:gridCol w:w="4860"/>
        <w:gridCol w:w="2430"/>
        <w:gridCol w:w="1172"/>
      </w:tblGrid>
      <w:tr w:rsidR="005D7B6D" w:rsidRPr="003B4AEE" w14:paraId="0D84EF49" w14:textId="77777777" w:rsidTr="00825E24">
        <w:trPr>
          <w:trHeight w:val="264"/>
          <w:tblHeader/>
        </w:trPr>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93B814" w14:textId="77777777" w:rsidR="00464181" w:rsidRPr="003B4AEE" w:rsidRDefault="00464181" w:rsidP="00E15A36">
            <w:pPr>
              <w:pStyle w:val="TableHeading"/>
            </w:pPr>
            <w:r w:rsidRPr="003B4AEE">
              <w:t>Activity Description</w:t>
            </w: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809B9DF" w14:textId="77777777" w:rsidR="00464181" w:rsidRPr="003B4AEE" w:rsidRDefault="00464181" w:rsidP="00E15A36">
            <w:pPr>
              <w:pStyle w:val="TableHeading"/>
            </w:pPr>
            <w:r w:rsidRPr="003B4AEE">
              <w:t>Frequency</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82C7B59" w14:textId="77777777" w:rsidR="00464181" w:rsidRPr="003B4AEE" w:rsidRDefault="00464181" w:rsidP="00E15A36">
            <w:pPr>
              <w:pStyle w:val="TableHeading"/>
            </w:pPr>
            <w:r w:rsidRPr="003B4AEE">
              <w:t>Hours per Response</w:t>
            </w:r>
          </w:p>
        </w:tc>
      </w:tr>
      <w:tr w:rsidR="00464181" w:rsidRPr="003B4AEE" w14:paraId="06E230EB" w14:textId="77777777" w:rsidTr="00825E24">
        <w:trPr>
          <w:trHeight w:val="264"/>
        </w:trPr>
        <w:tc>
          <w:tcPr>
            <w:tcW w:w="84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DC70DA" w14:textId="77777777" w:rsidR="00464181" w:rsidRPr="003B4AEE" w:rsidRDefault="00464181" w:rsidP="00E15A36">
            <w:pPr>
              <w:pStyle w:val="TableHeading"/>
            </w:pPr>
            <w:r w:rsidRPr="003B4AEE">
              <w:t>CAFOs</w:t>
            </w:r>
          </w:p>
        </w:tc>
      </w:tr>
      <w:tr w:rsidR="00464181" w:rsidRPr="003B4AEE" w14:paraId="5369F4C0"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E7B530E" w14:textId="2AAA1569" w:rsidR="00464181" w:rsidRPr="003B4AEE" w:rsidRDefault="00903C14" w:rsidP="00A30867">
            <w:pPr>
              <w:pStyle w:val="Tables"/>
            </w:pPr>
            <w:r w:rsidRPr="003B4AEE">
              <w:t>Read rule, d</w:t>
            </w:r>
            <w:r w:rsidR="00464181" w:rsidRPr="003B4AEE">
              <w:t xml:space="preserve">etermine </w:t>
            </w:r>
            <w:r w:rsidRPr="003B4AEE">
              <w:t>r</w:t>
            </w:r>
            <w:r w:rsidR="00464181" w:rsidRPr="003B4AEE">
              <w:t xml:space="preserve">equirements and </w:t>
            </w:r>
            <w:r w:rsidRPr="003B4AEE">
              <w:t>p</w:t>
            </w:r>
            <w:r w:rsidR="00464181" w:rsidRPr="003B4AEE">
              <w:t>lan</w:t>
            </w:r>
          </w:p>
        </w:tc>
        <w:tc>
          <w:tcPr>
            <w:tcW w:w="2430" w:type="dxa"/>
            <w:tcBorders>
              <w:top w:val="nil"/>
              <w:left w:val="nil"/>
              <w:bottom w:val="single" w:sz="4" w:space="0" w:color="auto"/>
              <w:right w:val="single" w:sz="4" w:space="0" w:color="auto"/>
            </w:tcBorders>
            <w:shd w:val="clear" w:color="auto" w:fill="auto"/>
            <w:noWrap/>
            <w:vAlign w:val="bottom"/>
            <w:hideMark/>
          </w:tcPr>
          <w:p w14:paraId="4C2E15F4" w14:textId="77777777" w:rsidR="00464181" w:rsidRPr="003B4AEE" w:rsidRDefault="00464181" w:rsidP="00EF2A49">
            <w:pPr>
              <w:pStyle w:val="Tables"/>
              <w:jc w:val="center"/>
            </w:pPr>
            <w:r w:rsidRPr="003B4AEE">
              <w:t>Once</w:t>
            </w:r>
          </w:p>
        </w:tc>
        <w:tc>
          <w:tcPr>
            <w:tcW w:w="1172" w:type="dxa"/>
            <w:tcBorders>
              <w:top w:val="nil"/>
              <w:left w:val="nil"/>
              <w:bottom w:val="single" w:sz="4" w:space="0" w:color="auto"/>
              <w:right w:val="single" w:sz="4" w:space="0" w:color="auto"/>
            </w:tcBorders>
            <w:shd w:val="clear" w:color="auto" w:fill="auto"/>
            <w:noWrap/>
            <w:hideMark/>
          </w:tcPr>
          <w:p w14:paraId="1F0D11A0" w14:textId="5A0425D3" w:rsidR="00464181" w:rsidRPr="003B4AEE" w:rsidRDefault="00D25239" w:rsidP="00EF2A49">
            <w:pPr>
              <w:pStyle w:val="Tables"/>
              <w:jc w:val="center"/>
            </w:pPr>
            <w:r w:rsidRPr="003B4AEE">
              <w:t>3</w:t>
            </w:r>
          </w:p>
        </w:tc>
      </w:tr>
      <w:tr w:rsidR="00464181" w:rsidRPr="003B4AEE" w14:paraId="6A395847"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2DF4A7C" w14:textId="3A6F6989" w:rsidR="00464181" w:rsidRPr="003B4AEE" w:rsidRDefault="00903C14" w:rsidP="00A30867">
            <w:pPr>
              <w:pStyle w:val="Tables"/>
            </w:pPr>
            <w:r w:rsidRPr="003B4AEE">
              <w:t>Complete</w:t>
            </w:r>
            <w:r w:rsidR="00BC6A1F" w:rsidRPr="003B4AEE">
              <w:t xml:space="preserve"> notice of intent for general permit</w:t>
            </w:r>
          </w:p>
        </w:tc>
        <w:tc>
          <w:tcPr>
            <w:tcW w:w="2430" w:type="dxa"/>
            <w:tcBorders>
              <w:top w:val="nil"/>
              <w:left w:val="nil"/>
              <w:bottom w:val="single" w:sz="4" w:space="0" w:color="auto"/>
              <w:right w:val="single" w:sz="4" w:space="0" w:color="auto"/>
            </w:tcBorders>
            <w:shd w:val="clear" w:color="auto" w:fill="auto"/>
            <w:noWrap/>
            <w:vAlign w:val="bottom"/>
            <w:hideMark/>
          </w:tcPr>
          <w:p w14:paraId="6B393DA1"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0DFE2760" w14:textId="25EF8198" w:rsidR="00464181" w:rsidRPr="003B4AEE" w:rsidRDefault="00464181" w:rsidP="00EF2A49">
            <w:pPr>
              <w:pStyle w:val="Tables"/>
              <w:jc w:val="center"/>
            </w:pPr>
            <w:r w:rsidRPr="003B4AEE">
              <w:t>9</w:t>
            </w:r>
            <w:r w:rsidR="00552F40" w:rsidRPr="003B4AEE">
              <w:t>.2</w:t>
            </w:r>
          </w:p>
        </w:tc>
      </w:tr>
      <w:tr w:rsidR="00464181" w:rsidRPr="003B4AEE" w14:paraId="16DF4E17"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34FC83CB" w14:textId="6CC30BC5" w:rsidR="00464181" w:rsidRPr="003B4AEE" w:rsidRDefault="00903C14" w:rsidP="00A30867">
            <w:pPr>
              <w:pStyle w:val="Tables"/>
            </w:pPr>
            <w:r w:rsidRPr="003B4AEE">
              <w:lastRenderedPageBreak/>
              <w:t>Develop/update NMP</w:t>
            </w:r>
          </w:p>
        </w:tc>
        <w:tc>
          <w:tcPr>
            <w:tcW w:w="2430" w:type="dxa"/>
            <w:tcBorders>
              <w:top w:val="nil"/>
              <w:left w:val="nil"/>
              <w:bottom w:val="single" w:sz="4" w:space="0" w:color="auto"/>
              <w:right w:val="single" w:sz="4" w:space="0" w:color="auto"/>
            </w:tcBorders>
            <w:shd w:val="clear" w:color="auto" w:fill="auto"/>
            <w:noWrap/>
            <w:vAlign w:val="bottom"/>
            <w:hideMark/>
          </w:tcPr>
          <w:p w14:paraId="5658E114"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2ABFB068" w14:textId="05C63EF2" w:rsidR="00464181" w:rsidRPr="003B4AEE" w:rsidRDefault="00903C14" w:rsidP="00EF2A49">
            <w:pPr>
              <w:pStyle w:val="Tables"/>
              <w:jc w:val="center"/>
            </w:pPr>
            <w:r w:rsidRPr="003B4AEE">
              <w:t>170</w:t>
            </w:r>
          </w:p>
        </w:tc>
      </w:tr>
      <w:tr w:rsidR="00464181" w:rsidRPr="003B4AEE" w14:paraId="070484E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FE0AA3D" w14:textId="57430CB9" w:rsidR="00464181" w:rsidRPr="003B4AEE" w:rsidRDefault="00464181" w:rsidP="00A30867">
            <w:pPr>
              <w:pStyle w:val="Tables"/>
            </w:pPr>
            <w:r w:rsidRPr="003B4AEE">
              <w:t>Prepare and submit annual report</w:t>
            </w:r>
          </w:p>
        </w:tc>
        <w:tc>
          <w:tcPr>
            <w:tcW w:w="2430" w:type="dxa"/>
            <w:tcBorders>
              <w:top w:val="nil"/>
              <w:left w:val="nil"/>
              <w:bottom w:val="single" w:sz="4" w:space="0" w:color="auto"/>
              <w:right w:val="single" w:sz="4" w:space="0" w:color="auto"/>
            </w:tcBorders>
            <w:shd w:val="clear" w:color="auto" w:fill="auto"/>
            <w:noWrap/>
            <w:vAlign w:val="bottom"/>
            <w:hideMark/>
          </w:tcPr>
          <w:p w14:paraId="78EFBA9A" w14:textId="77777777" w:rsidR="00464181" w:rsidRPr="003B4AEE" w:rsidRDefault="00464181" w:rsidP="00EF2A49">
            <w:pPr>
              <w:pStyle w:val="Tables"/>
              <w:jc w:val="center"/>
            </w:pPr>
            <w:r w:rsidRPr="003B4AEE">
              <w:t>Yearly</w:t>
            </w:r>
          </w:p>
        </w:tc>
        <w:tc>
          <w:tcPr>
            <w:tcW w:w="1172" w:type="dxa"/>
            <w:tcBorders>
              <w:top w:val="nil"/>
              <w:left w:val="nil"/>
              <w:bottom w:val="single" w:sz="4" w:space="0" w:color="auto"/>
              <w:right w:val="single" w:sz="4" w:space="0" w:color="auto"/>
            </w:tcBorders>
            <w:shd w:val="clear" w:color="auto" w:fill="auto"/>
            <w:noWrap/>
            <w:hideMark/>
          </w:tcPr>
          <w:p w14:paraId="1FD69AFC" w14:textId="77777777" w:rsidR="00464181" w:rsidRPr="003B4AEE" w:rsidRDefault="00464181" w:rsidP="00EF2A49">
            <w:pPr>
              <w:pStyle w:val="Tables"/>
              <w:jc w:val="center"/>
            </w:pPr>
            <w:r w:rsidRPr="003B4AEE">
              <w:t>2</w:t>
            </w:r>
          </w:p>
        </w:tc>
      </w:tr>
      <w:tr w:rsidR="00464181" w:rsidRPr="003B4AEE" w14:paraId="110EA1C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363ED0C2" w14:textId="0A1D5A68" w:rsidR="00464181" w:rsidRPr="003B4AEE" w:rsidRDefault="00464181" w:rsidP="00A30867">
            <w:pPr>
              <w:pStyle w:val="Tables"/>
            </w:pPr>
            <w:r w:rsidRPr="003B4AEE">
              <w:t>Recordkeeping</w:t>
            </w:r>
          </w:p>
        </w:tc>
        <w:tc>
          <w:tcPr>
            <w:tcW w:w="2430" w:type="dxa"/>
            <w:tcBorders>
              <w:top w:val="nil"/>
              <w:left w:val="nil"/>
              <w:bottom w:val="single" w:sz="4" w:space="0" w:color="auto"/>
              <w:right w:val="single" w:sz="4" w:space="0" w:color="auto"/>
            </w:tcBorders>
            <w:shd w:val="clear" w:color="auto" w:fill="auto"/>
            <w:noWrap/>
            <w:vAlign w:val="bottom"/>
            <w:hideMark/>
          </w:tcPr>
          <w:p w14:paraId="22DB6371" w14:textId="77777777" w:rsidR="00464181" w:rsidRPr="003B4AEE" w:rsidRDefault="00464181" w:rsidP="00EF2A49">
            <w:pPr>
              <w:pStyle w:val="Tables"/>
              <w:jc w:val="center"/>
            </w:pPr>
            <w:r w:rsidRPr="003B4AEE">
              <w:t>Yearly</w:t>
            </w:r>
          </w:p>
        </w:tc>
        <w:tc>
          <w:tcPr>
            <w:tcW w:w="1172" w:type="dxa"/>
            <w:tcBorders>
              <w:top w:val="nil"/>
              <w:left w:val="nil"/>
              <w:bottom w:val="single" w:sz="4" w:space="0" w:color="auto"/>
              <w:right w:val="single" w:sz="4" w:space="0" w:color="auto"/>
            </w:tcBorders>
            <w:shd w:val="clear" w:color="auto" w:fill="auto"/>
            <w:noWrap/>
            <w:hideMark/>
          </w:tcPr>
          <w:p w14:paraId="5582AC08" w14:textId="090A294B" w:rsidR="00464181" w:rsidRPr="003B4AEE" w:rsidRDefault="00464181" w:rsidP="00EF2A49">
            <w:pPr>
              <w:pStyle w:val="Tables"/>
              <w:jc w:val="center"/>
            </w:pPr>
            <w:r w:rsidRPr="003B4AEE">
              <w:t>80</w:t>
            </w:r>
          </w:p>
        </w:tc>
      </w:tr>
      <w:tr w:rsidR="00464181" w:rsidRPr="003B4AEE" w14:paraId="1D700A60"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8C0869F" w14:textId="77777777" w:rsidR="00464181" w:rsidRPr="003B4AEE" w:rsidRDefault="00464181" w:rsidP="00A30867">
            <w:pPr>
              <w:pStyle w:val="Tables"/>
            </w:pPr>
            <w:r w:rsidRPr="003B4AEE">
              <w:t>Inspection</w:t>
            </w:r>
          </w:p>
        </w:tc>
        <w:tc>
          <w:tcPr>
            <w:tcW w:w="2430" w:type="dxa"/>
            <w:tcBorders>
              <w:top w:val="nil"/>
              <w:left w:val="nil"/>
              <w:bottom w:val="single" w:sz="4" w:space="0" w:color="auto"/>
              <w:right w:val="single" w:sz="4" w:space="0" w:color="auto"/>
            </w:tcBorders>
            <w:shd w:val="clear" w:color="auto" w:fill="auto"/>
            <w:noWrap/>
            <w:vAlign w:val="bottom"/>
            <w:hideMark/>
          </w:tcPr>
          <w:p w14:paraId="7CF95681"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04787D6A" w14:textId="77777777" w:rsidR="00464181" w:rsidRPr="003B4AEE" w:rsidRDefault="00464181" w:rsidP="00EF2A49">
            <w:pPr>
              <w:pStyle w:val="Tables"/>
              <w:jc w:val="center"/>
            </w:pPr>
            <w:r w:rsidRPr="003B4AEE">
              <w:t>4</w:t>
            </w:r>
          </w:p>
        </w:tc>
      </w:tr>
      <w:tr w:rsidR="00464181" w:rsidRPr="003B4AEE" w14:paraId="45D6AC1D" w14:textId="77777777" w:rsidTr="00825E24">
        <w:trPr>
          <w:trHeight w:val="264"/>
        </w:trPr>
        <w:tc>
          <w:tcPr>
            <w:tcW w:w="84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4AC78F" w14:textId="77777777" w:rsidR="00464181" w:rsidRPr="003B4AEE" w:rsidRDefault="00464181" w:rsidP="00E15A36">
            <w:pPr>
              <w:pStyle w:val="TableHeading"/>
            </w:pPr>
            <w:r w:rsidRPr="003B4AEE">
              <w:t>CAAPs</w:t>
            </w:r>
          </w:p>
        </w:tc>
      </w:tr>
      <w:tr w:rsidR="00464181" w:rsidRPr="003B4AEE" w14:paraId="480F03F1"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5BF5FC2" w14:textId="38D17DDB" w:rsidR="00464181" w:rsidRPr="003B4AEE" w:rsidRDefault="00464181" w:rsidP="00A30867">
            <w:pPr>
              <w:pStyle w:val="Tables"/>
            </w:pPr>
            <w:r w:rsidRPr="003B4AEE">
              <w:t>Complete notice of intent for general permit</w:t>
            </w:r>
          </w:p>
        </w:tc>
        <w:tc>
          <w:tcPr>
            <w:tcW w:w="2430" w:type="dxa"/>
            <w:tcBorders>
              <w:top w:val="nil"/>
              <w:left w:val="nil"/>
              <w:bottom w:val="single" w:sz="4" w:space="0" w:color="auto"/>
              <w:right w:val="single" w:sz="4" w:space="0" w:color="auto"/>
            </w:tcBorders>
            <w:shd w:val="clear" w:color="auto" w:fill="auto"/>
            <w:noWrap/>
            <w:vAlign w:val="bottom"/>
            <w:hideMark/>
          </w:tcPr>
          <w:p w14:paraId="59C97529"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20A07E03" w14:textId="77777777" w:rsidR="00464181" w:rsidRPr="003B4AEE" w:rsidRDefault="00464181" w:rsidP="00EF2A49">
            <w:pPr>
              <w:pStyle w:val="Tables"/>
              <w:jc w:val="center"/>
            </w:pPr>
            <w:r w:rsidRPr="003B4AEE">
              <w:t>2</w:t>
            </w:r>
          </w:p>
        </w:tc>
      </w:tr>
      <w:tr w:rsidR="00464181" w:rsidRPr="003B4AEE" w14:paraId="7C585A3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03172001" w14:textId="492FF1DE" w:rsidR="00464181" w:rsidRPr="003B4AEE" w:rsidRDefault="00464181" w:rsidP="00A30867">
            <w:pPr>
              <w:pStyle w:val="Tables"/>
            </w:pPr>
            <w:r w:rsidRPr="003B4AEE">
              <w:t>BMP plan development</w:t>
            </w:r>
          </w:p>
        </w:tc>
        <w:tc>
          <w:tcPr>
            <w:tcW w:w="2430" w:type="dxa"/>
            <w:tcBorders>
              <w:top w:val="nil"/>
              <w:left w:val="nil"/>
              <w:bottom w:val="single" w:sz="4" w:space="0" w:color="auto"/>
              <w:right w:val="single" w:sz="4" w:space="0" w:color="auto"/>
            </w:tcBorders>
            <w:shd w:val="clear" w:color="auto" w:fill="auto"/>
            <w:noWrap/>
            <w:vAlign w:val="bottom"/>
            <w:hideMark/>
          </w:tcPr>
          <w:p w14:paraId="2933659C"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33CDE1B3" w14:textId="77777777" w:rsidR="00464181" w:rsidRPr="003B4AEE" w:rsidRDefault="00464181" w:rsidP="00EF2A49">
            <w:pPr>
              <w:pStyle w:val="Tables"/>
              <w:jc w:val="center"/>
            </w:pPr>
            <w:r w:rsidRPr="003B4AEE">
              <w:t>40</w:t>
            </w:r>
          </w:p>
        </w:tc>
      </w:tr>
      <w:tr w:rsidR="00464181" w:rsidRPr="003B4AEE" w14:paraId="36D1A4B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64897659" w14:textId="7D3EF394" w:rsidR="00464181" w:rsidRPr="003B4AEE" w:rsidRDefault="00464181" w:rsidP="00A30867">
            <w:pPr>
              <w:pStyle w:val="Tables"/>
            </w:pPr>
            <w:r w:rsidRPr="003B4AEE">
              <w:t>BMP training</w:t>
            </w:r>
          </w:p>
        </w:tc>
        <w:tc>
          <w:tcPr>
            <w:tcW w:w="2430" w:type="dxa"/>
            <w:tcBorders>
              <w:top w:val="nil"/>
              <w:left w:val="nil"/>
              <w:bottom w:val="single" w:sz="4" w:space="0" w:color="auto"/>
              <w:right w:val="single" w:sz="4" w:space="0" w:color="auto"/>
            </w:tcBorders>
            <w:shd w:val="clear" w:color="auto" w:fill="auto"/>
            <w:noWrap/>
            <w:vAlign w:val="bottom"/>
            <w:hideMark/>
          </w:tcPr>
          <w:p w14:paraId="088E1F1C" w14:textId="77777777" w:rsidR="00464181" w:rsidRPr="003B4AEE" w:rsidRDefault="00464181" w:rsidP="00EF2A49">
            <w:pPr>
              <w:pStyle w:val="Tables"/>
              <w:jc w:val="center"/>
            </w:pPr>
            <w:r w:rsidRPr="003B4AEE">
              <w:t>Yearly</w:t>
            </w:r>
          </w:p>
        </w:tc>
        <w:tc>
          <w:tcPr>
            <w:tcW w:w="1172" w:type="dxa"/>
            <w:tcBorders>
              <w:top w:val="nil"/>
              <w:left w:val="nil"/>
              <w:bottom w:val="single" w:sz="4" w:space="0" w:color="auto"/>
              <w:right w:val="single" w:sz="4" w:space="0" w:color="auto"/>
            </w:tcBorders>
            <w:shd w:val="clear" w:color="auto" w:fill="auto"/>
            <w:noWrap/>
            <w:hideMark/>
          </w:tcPr>
          <w:p w14:paraId="4F4C226E" w14:textId="77777777" w:rsidR="00464181" w:rsidRPr="003B4AEE" w:rsidRDefault="00464181" w:rsidP="00EF2A49">
            <w:pPr>
              <w:pStyle w:val="Tables"/>
              <w:jc w:val="center"/>
            </w:pPr>
            <w:r w:rsidRPr="003B4AEE">
              <w:t>6</w:t>
            </w:r>
          </w:p>
        </w:tc>
      </w:tr>
      <w:tr w:rsidR="00464181" w:rsidRPr="003B4AEE" w14:paraId="0263CD7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23A8B049" w14:textId="4DBD115B" w:rsidR="00464181" w:rsidRPr="003B4AEE" w:rsidRDefault="00464181" w:rsidP="00A30867">
            <w:pPr>
              <w:pStyle w:val="Tables"/>
            </w:pPr>
            <w:r w:rsidRPr="003B4AEE">
              <w:t>BMP plan</w:t>
            </w:r>
          </w:p>
        </w:tc>
        <w:tc>
          <w:tcPr>
            <w:tcW w:w="2430" w:type="dxa"/>
            <w:tcBorders>
              <w:top w:val="nil"/>
              <w:left w:val="nil"/>
              <w:bottom w:val="single" w:sz="4" w:space="0" w:color="auto"/>
              <w:right w:val="single" w:sz="4" w:space="0" w:color="auto"/>
            </w:tcBorders>
            <w:shd w:val="clear" w:color="auto" w:fill="auto"/>
            <w:noWrap/>
            <w:vAlign w:val="bottom"/>
            <w:hideMark/>
          </w:tcPr>
          <w:p w14:paraId="197FB604" w14:textId="77777777" w:rsidR="00464181" w:rsidRPr="003B4AEE" w:rsidRDefault="00464181" w:rsidP="00EF2A49">
            <w:pPr>
              <w:pStyle w:val="Tables"/>
              <w:jc w:val="center"/>
            </w:pPr>
            <w:r w:rsidRPr="003B4AEE">
              <w:t>Once every 5 years</w:t>
            </w:r>
          </w:p>
        </w:tc>
        <w:tc>
          <w:tcPr>
            <w:tcW w:w="1172" w:type="dxa"/>
            <w:tcBorders>
              <w:top w:val="nil"/>
              <w:left w:val="nil"/>
              <w:bottom w:val="single" w:sz="4" w:space="0" w:color="auto"/>
              <w:right w:val="single" w:sz="4" w:space="0" w:color="auto"/>
            </w:tcBorders>
            <w:shd w:val="clear" w:color="auto" w:fill="auto"/>
            <w:noWrap/>
            <w:hideMark/>
          </w:tcPr>
          <w:p w14:paraId="53767498" w14:textId="77777777" w:rsidR="00464181" w:rsidRPr="003B4AEE" w:rsidRDefault="00464181" w:rsidP="00EF2A49">
            <w:pPr>
              <w:pStyle w:val="Tables"/>
              <w:jc w:val="center"/>
            </w:pPr>
            <w:r w:rsidRPr="003B4AEE">
              <w:t>1.25</w:t>
            </w:r>
          </w:p>
        </w:tc>
      </w:tr>
      <w:tr w:rsidR="00464181" w:rsidRPr="003B4AEE" w14:paraId="3341EAA5"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9CD93A3" w14:textId="345116E9" w:rsidR="00464181" w:rsidRPr="003B4AEE" w:rsidRDefault="009B0BA6" w:rsidP="00A30867">
            <w:pPr>
              <w:pStyle w:val="Tables"/>
            </w:pPr>
            <w:r w:rsidRPr="003B4AEE">
              <w:t>Investigational new animal drugs (</w:t>
            </w:r>
            <w:r w:rsidR="00464181" w:rsidRPr="003B4AEE">
              <w:t>INAD</w:t>
            </w:r>
            <w:r w:rsidRPr="003B4AEE">
              <w:t>)</w:t>
            </w:r>
            <w:r w:rsidR="00464181" w:rsidRPr="003B4AEE">
              <w:t xml:space="preserve"> program sign-up report</w:t>
            </w:r>
          </w:p>
        </w:tc>
        <w:tc>
          <w:tcPr>
            <w:tcW w:w="2430" w:type="dxa"/>
            <w:tcBorders>
              <w:top w:val="nil"/>
              <w:left w:val="nil"/>
              <w:bottom w:val="single" w:sz="4" w:space="0" w:color="auto"/>
              <w:right w:val="single" w:sz="4" w:space="0" w:color="auto"/>
            </w:tcBorders>
            <w:shd w:val="clear" w:color="auto" w:fill="auto"/>
            <w:noWrap/>
            <w:vAlign w:val="bottom"/>
            <w:hideMark/>
          </w:tcPr>
          <w:p w14:paraId="6EA5AC68" w14:textId="77777777" w:rsidR="00464181" w:rsidRPr="003B4AEE" w:rsidRDefault="00464181" w:rsidP="00EF2A49">
            <w:pPr>
              <w:pStyle w:val="Tables"/>
              <w:jc w:val="center"/>
            </w:pPr>
            <w:r w:rsidRPr="003B4AEE">
              <w:t>Occasionally/As Needed</w:t>
            </w:r>
          </w:p>
        </w:tc>
        <w:tc>
          <w:tcPr>
            <w:tcW w:w="1172" w:type="dxa"/>
            <w:tcBorders>
              <w:top w:val="nil"/>
              <w:left w:val="nil"/>
              <w:bottom w:val="single" w:sz="4" w:space="0" w:color="auto"/>
              <w:right w:val="single" w:sz="4" w:space="0" w:color="auto"/>
            </w:tcBorders>
            <w:shd w:val="clear" w:color="auto" w:fill="auto"/>
            <w:noWrap/>
            <w:hideMark/>
          </w:tcPr>
          <w:p w14:paraId="64D3FA9B" w14:textId="77777777" w:rsidR="00464181" w:rsidRPr="003B4AEE" w:rsidRDefault="00464181" w:rsidP="00EF2A49">
            <w:pPr>
              <w:pStyle w:val="Tables"/>
              <w:jc w:val="center"/>
            </w:pPr>
            <w:r w:rsidRPr="003B4AEE">
              <w:t>1</w:t>
            </w:r>
          </w:p>
        </w:tc>
      </w:tr>
      <w:tr w:rsidR="00464181" w:rsidRPr="003B4AEE" w14:paraId="722D0EDA"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02D389B9" w14:textId="5F7FCBB1" w:rsidR="00464181" w:rsidRPr="003B4AEE" w:rsidRDefault="00464181" w:rsidP="00A30867">
            <w:pPr>
              <w:pStyle w:val="Tables"/>
            </w:pPr>
            <w:r w:rsidRPr="003B4AEE">
              <w:t>INAD or extra-label use report</w:t>
            </w:r>
          </w:p>
        </w:tc>
        <w:tc>
          <w:tcPr>
            <w:tcW w:w="2430" w:type="dxa"/>
            <w:tcBorders>
              <w:top w:val="nil"/>
              <w:left w:val="nil"/>
              <w:bottom w:val="single" w:sz="4" w:space="0" w:color="auto"/>
              <w:right w:val="single" w:sz="4" w:space="0" w:color="auto"/>
            </w:tcBorders>
            <w:shd w:val="clear" w:color="auto" w:fill="auto"/>
            <w:noWrap/>
            <w:vAlign w:val="bottom"/>
            <w:hideMark/>
          </w:tcPr>
          <w:p w14:paraId="08572027" w14:textId="77777777" w:rsidR="00464181" w:rsidRPr="003B4AEE" w:rsidRDefault="00464181" w:rsidP="00EF2A49">
            <w:pPr>
              <w:pStyle w:val="Tables"/>
              <w:jc w:val="center"/>
            </w:pPr>
            <w:r w:rsidRPr="003B4AEE">
              <w:t>Occasionally/As Needed</w:t>
            </w:r>
          </w:p>
        </w:tc>
        <w:tc>
          <w:tcPr>
            <w:tcW w:w="1172" w:type="dxa"/>
            <w:tcBorders>
              <w:top w:val="nil"/>
              <w:left w:val="nil"/>
              <w:bottom w:val="single" w:sz="4" w:space="0" w:color="auto"/>
              <w:right w:val="single" w:sz="4" w:space="0" w:color="auto"/>
            </w:tcBorders>
            <w:shd w:val="clear" w:color="auto" w:fill="auto"/>
            <w:noWrap/>
            <w:hideMark/>
          </w:tcPr>
          <w:p w14:paraId="11793684" w14:textId="77777777" w:rsidR="00464181" w:rsidRPr="003B4AEE" w:rsidRDefault="00464181" w:rsidP="00EF2A49">
            <w:pPr>
              <w:pStyle w:val="Tables"/>
              <w:jc w:val="center"/>
            </w:pPr>
            <w:r w:rsidRPr="003B4AEE">
              <w:t>1.5</w:t>
            </w:r>
          </w:p>
        </w:tc>
      </w:tr>
      <w:tr w:rsidR="00464181" w:rsidRPr="003B4AEE" w14:paraId="31435886"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459FB8E5" w14:textId="19F7F833" w:rsidR="00464181" w:rsidRPr="003B4AEE" w:rsidRDefault="00464181" w:rsidP="00A30867">
            <w:pPr>
              <w:pStyle w:val="Tables"/>
            </w:pPr>
            <w:r w:rsidRPr="003B4AEE">
              <w:t>Structural failure report</w:t>
            </w:r>
          </w:p>
        </w:tc>
        <w:tc>
          <w:tcPr>
            <w:tcW w:w="2430" w:type="dxa"/>
            <w:tcBorders>
              <w:top w:val="nil"/>
              <w:left w:val="nil"/>
              <w:bottom w:val="single" w:sz="4" w:space="0" w:color="auto"/>
              <w:right w:val="single" w:sz="4" w:space="0" w:color="auto"/>
            </w:tcBorders>
            <w:shd w:val="clear" w:color="auto" w:fill="auto"/>
            <w:noWrap/>
            <w:vAlign w:val="bottom"/>
            <w:hideMark/>
          </w:tcPr>
          <w:p w14:paraId="1B84F672" w14:textId="77777777" w:rsidR="00464181" w:rsidRPr="003B4AEE" w:rsidRDefault="00464181" w:rsidP="00EF2A49">
            <w:pPr>
              <w:pStyle w:val="Tables"/>
              <w:jc w:val="center"/>
            </w:pPr>
            <w:r w:rsidRPr="003B4AEE">
              <w:t>Occasionally/As Needed</w:t>
            </w:r>
          </w:p>
        </w:tc>
        <w:tc>
          <w:tcPr>
            <w:tcW w:w="1172" w:type="dxa"/>
            <w:tcBorders>
              <w:top w:val="nil"/>
              <w:left w:val="nil"/>
              <w:bottom w:val="single" w:sz="4" w:space="0" w:color="auto"/>
              <w:right w:val="single" w:sz="4" w:space="0" w:color="auto"/>
            </w:tcBorders>
            <w:shd w:val="clear" w:color="auto" w:fill="auto"/>
            <w:noWrap/>
            <w:hideMark/>
          </w:tcPr>
          <w:p w14:paraId="56EF314E" w14:textId="77777777" w:rsidR="00464181" w:rsidRPr="003B4AEE" w:rsidRDefault="00464181" w:rsidP="00EF2A49">
            <w:pPr>
              <w:pStyle w:val="Tables"/>
              <w:jc w:val="center"/>
            </w:pPr>
            <w:r w:rsidRPr="003B4AEE">
              <w:t>5</w:t>
            </w:r>
          </w:p>
        </w:tc>
      </w:tr>
      <w:tr w:rsidR="00464181" w:rsidRPr="003B4AEE" w14:paraId="1BD399F4"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7FA7E8B0" w14:textId="6C185C48" w:rsidR="00464181" w:rsidRPr="003B4AEE" w:rsidRDefault="00464181" w:rsidP="00A30867">
            <w:pPr>
              <w:pStyle w:val="Tables"/>
            </w:pPr>
            <w:r w:rsidRPr="003B4AEE">
              <w:t>Spill report</w:t>
            </w:r>
          </w:p>
        </w:tc>
        <w:tc>
          <w:tcPr>
            <w:tcW w:w="2430" w:type="dxa"/>
            <w:tcBorders>
              <w:top w:val="nil"/>
              <w:left w:val="nil"/>
              <w:bottom w:val="single" w:sz="4" w:space="0" w:color="auto"/>
              <w:right w:val="single" w:sz="4" w:space="0" w:color="auto"/>
            </w:tcBorders>
            <w:shd w:val="clear" w:color="auto" w:fill="auto"/>
            <w:noWrap/>
            <w:vAlign w:val="bottom"/>
            <w:hideMark/>
          </w:tcPr>
          <w:p w14:paraId="6796AA3C" w14:textId="77777777" w:rsidR="00464181" w:rsidRPr="003B4AEE" w:rsidRDefault="00464181" w:rsidP="00EF2A49">
            <w:pPr>
              <w:pStyle w:val="Tables"/>
              <w:jc w:val="center"/>
            </w:pPr>
            <w:r w:rsidRPr="003B4AEE">
              <w:t>Occasionally/As Needed</w:t>
            </w:r>
          </w:p>
        </w:tc>
        <w:tc>
          <w:tcPr>
            <w:tcW w:w="1172" w:type="dxa"/>
            <w:tcBorders>
              <w:top w:val="nil"/>
              <w:left w:val="nil"/>
              <w:bottom w:val="single" w:sz="4" w:space="0" w:color="auto"/>
              <w:right w:val="single" w:sz="4" w:space="0" w:color="auto"/>
            </w:tcBorders>
            <w:shd w:val="clear" w:color="auto" w:fill="auto"/>
            <w:noWrap/>
            <w:hideMark/>
          </w:tcPr>
          <w:p w14:paraId="1A0DBB35" w14:textId="77777777" w:rsidR="00464181" w:rsidRPr="003B4AEE" w:rsidRDefault="00464181" w:rsidP="00EF2A49">
            <w:pPr>
              <w:pStyle w:val="Tables"/>
              <w:jc w:val="center"/>
            </w:pPr>
            <w:r w:rsidRPr="003B4AEE">
              <w:t>2</w:t>
            </w:r>
          </w:p>
        </w:tc>
      </w:tr>
      <w:tr w:rsidR="00464181" w:rsidRPr="003B4AEE" w14:paraId="7B85FAFD" w14:textId="77777777" w:rsidTr="00A30867">
        <w:trPr>
          <w:trHeight w:val="264"/>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14:paraId="1FC5D3E0" w14:textId="797F5C79" w:rsidR="00464181" w:rsidRPr="003B4AEE" w:rsidRDefault="00464181" w:rsidP="00A30867">
            <w:pPr>
              <w:pStyle w:val="Tables"/>
            </w:pPr>
            <w:r w:rsidRPr="003B4AEE">
              <w:t>Inspection, cleaning, maintenance &amp; repair records</w:t>
            </w:r>
          </w:p>
        </w:tc>
        <w:tc>
          <w:tcPr>
            <w:tcW w:w="2430" w:type="dxa"/>
            <w:tcBorders>
              <w:top w:val="nil"/>
              <w:left w:val="nil"/>
              <w:bottom w:val="single" w:sz="4" w:space="0" w:color="auto"/>
              <w:right w:val="single" w:sz="4" w:space="0" w:color="auto"/>
            </w:tcBorders>
            <w:shd w:val="clear" w:color="auto" w:fill="auto"/>
            <w:noWrap/>
            <w:vAlign w:val="bottom"/>
            <w:hideMark/>
          </w:tcPr>
          <w:p w14:paraId="035DEEA1" w14:textId="77777777" w:rsidR="00464181" w:rsidRPr="003B4AEE" w:rsidRDefault="00464181" w:rsidP="00EF2A49">
            <w:pPr>
              <w:pStyle w:val="Tables"/>
              <w:jc w:val="center"/>
            </w:pPr>
            <w:r w:rsidRPr="003B4AEE">
              <w:t>Ongoing</w:t>
            </w:r>
          </w:p>
        </w:tc>
        <w:tc>
          <w:tcPr>
            <w:tcW w:w="1172" w:type="dxa"/>
            <w:tcBorders>
              <w:top w:val="nil"/>
              <w:left w:val="nil"/>
              <w:bottom w:val="single" w:sz="4" w:space="0" w:color="auto"/>
              <w:right w:val="single" w:sz="4" w:space="0" w:color="auto"/>
            </w:tcBorders>
            <w:shd w:val="clear" w:color="auto" w:fill="auto"/>
            <w:noWrap/>
            <w:hideMark/>
          </w:tcPr>
          <w:p w14:paraId="45983715" w14:textId="77777777" w:rsidR="00464181" w:rsidRPr="003B4AEE" w:rsidRDefault="00464181" w:rsidP="00EF2A49">
            <w:pPr>
              <w:pStyle w:val="Tables"/>
              <w:jc w:val="center"/>
            </w:pPr>
            <w:r w:rsidRPr="003B4AEE">
              <w:t>103 to 118</w:t>
            </w:r>
          </w:p>
        </w:tc>
      </w:tr>
    </w:tbl>
    <w:p w14:paraId="4B9B77C7" w14:textId="77777777" w:rsidR="00464181" w:rsidRPr="003B4AEE" w:rsidRDefault="00464181" w:rsidP="0052681B">
      <w:pPr>
        <w:spacing w:after="0"/>
      </w:pPr>
    </w:p>
    <w:p w14:paraId="73846C69" w14:textId="4ED66614" w:rsidR="0085470C" w:rsidRPr="003B4AEE" w:rsidRDefault="00E932C0" w:rsidP="004F1834">
      <w:pPr>
        <w:pStyle w:val="BodyText"/>
      </w:pPr>
      <w:r w:rsidRPr="003B4AEE">
        <w:rPr>
          <w:i/>
        </w:rPr>
        <w:t>States/Federal</w:t>
      </w:r>
      <w:r w:rsidR="00A25F59" w:rsidRPr="003B4AEE">
        <w:t xml:space="preserve">. </w:t>
      </w:r>
      <w:r w:rsidR="00FC0F16" w:rsidRPr="003B4AEE">
        <w:t xml:space="preserve">Table </w:t>
      </w:r>
      <w:r w:rsidR="00FE745C" w:rsidRPr="003B4AEE">
        <w:t>A</w:t>
      </w:r>
      <w:r w:rsidR="00ED7594" w:rsidRPr="003B4AEE">
        <w:t>-</w:t>
      </w:r>
      <w:r w:rsidR="00464181" w:rsidRPr="003B4AEE">
        <w:t>8</w:t>
      </w:r>
      <w:r w:rsidR="00FE745C" w:rsidRPr="003B4AEE">
        <w:t xml:space="preserve"> presents a summary of the burden assumptions for state/federal respondents.</w:t>
      </w:r>
    </w:p>
    <w:p w14:paraId="70549910" w14:textId="56BEB91A" w:rsidR="00FE745C" w:rsidRPr="003B4AEE" w:rsidRDefault="00FE745C" w:rsidP="004F1834">
      <w:pPr>
        <w:pStyle w:val="TableTitleAppendix"/>
      </w:pPr>
      <w:bookmarkStart w:id="418" w:name="_Toc61521419"/>
      <w:r w:rsidRPr="003B4AEE">
        <w:t xml:space="preserve">Table </w:t>
      </w:r>
      <w:r w:rsidR="00ED7594" w:rsidRPr="003B4AEE">
        <w:t>A-8</w:t>
      </w:r>
      <w:r w:rsidR="00A554A5" w:rsidRPr="003B4AEE">
        <w:t>.</w:t>
      </w:r>
      <w:r w:rsidRPr="003B4AEE">
        <w:t xml:space="preserve"> Summary of </w:t>
      </w:r>
      <w:r w:rsidR="005C1913" w:rsidRPr="003B4AEE">
        <w:t>S</w:t>
      </w:r>
      <w:r w:rsidR="00CE5150" w:rsidRPr="003B4AEE">
        <w:t>tate/</w:t>
      </w:r>
      <w:r w:rsidR="005C1913" w:rsidRPr="003B4AEE">
        <w:t>F</w:t>
      </w:r>
      <w:r w:rsidR="00CE5150" w:rsidRPr="003B4AEE">
        <w:t xml:space="preserve">ederal </w:t>
      </w:r>
      <w:r w:rsidR="005C1913" w:rsidRPr="003B4AEE">
        <w:t>B</w:t>
      </w:r>
      <w:r w:rsidR="00CE5150" w:rsidRPr="003B4AEE">
        <w:t xml:space="preserve">urden </w:t>
      </w:r>
      <w:r w:rsidR="005C1913" w:rsidRPr="003B4AEE">
        <w:t>A</w:t>
      </w:r>
      <w:r w:rsidR="00CE5150" w:rsidRPr="003B4AEE">
        <w:t xml:space="preserve">ssumption for </w:t>
      </w:r>
      <w:r w:rsidR="005C1913" w:rsidRPr="003B4AEE">
        <w:t>A</w:t>
      </w:r>
      <w:r w:rsidR="00CE5150" w:rsidRPr="003B4AEE">
        <w:t xml:space="preserve">nimal </w:t>
      </w:r>
      <w:r w:rsidR="005C1913" w:rsidRPr="003B4AEE">
        <w:t>S</w:t>
      </w:r>
      <w:r w:rsidR="00CE5150" w:rsidRPr="003B4AEE">
        <w:t>ector</w:t>
      </w:r>
      <w:bookmarkEnd w:id="418"/>
    </w:p>
    <w:tbl>
      <w:tblPr>
        <w:tblW w:w="0" w:type="auto"/>
        <w:tblInd w:w="-5" w:type="dxa"/>
        <w:tblLayout w:type="fixed"/>
        <w:tblLook w:val="04A0" w:firstRow="1" w:lastRow="0" w:firstColumn="1" w:lastColumn="0" w:noHBand="0" w:noVBand="1"/>
      </w:tblPr>
      <w:tblGrid>
        <w:gridCol w:w="4909"/>
        <w:gridCol w:w="2381"/>
        <w:gridCol w:w="1260"/>
      </w:tblGrid>
      <w:tr w:rsidR="005D7B6D" w:rsidRPr="003B4AEE" w14:paraId="4D4F3480" w14:textId="77777777" w:rsidTr="00E15A36">
        <w:trPr>
          <w:trHeight w:val="264"/>
          <w:tblHeader/>
        </w:trPr>
        <w:tc>
          <w:tcPr>
            <w:tcW w:w="4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A2444B" w14:textId="77777777" w:rsidR="00FE745C" w:rsidRPr="003B4AEE" w:rsidRDefault="00FE745C" w:rsidP="00E15A36">
            <w:pPr>
              <w:pStyle w:val="TableHeading"/>
            </w:pPr>
            <w:r w:rsidRPr="003B4AEE">
              <w:t>Activity Description</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22FF9C" w14:textId="77777777" w:rsidR="00FE745C" w:rsidRPr="003B4AEE" w:rsidRDefault="00FE745C" w:rsidP="00E15A36">
            <w:pPr>
              <w:pStyle w:val="TableHeading"/>
            </w:pPr>
            <w:r w:rsidRPr="003B4AEE">
              <w:t>Frequency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B4E203" w14:textId="77777777" w:rsidR="00FE745C" w:rsidRPr="003B4AEE" w:rsidRDefault="00FE745C" w:rsidP="00E15A36">
            <w:pPr>
              <w:pStyle w:val="TableHeading"/>
            </w:pPr>
            <w:r w:rsidRPr="003B4AEE">
              <w:t>Hours per Response</w:t>
            </w:r>
          </w:p>
        </w:tc>
      </w:tr>
      <w:tr w:rsidR="007D1B2A" w:rsidRPr="003B4AEE" w14:paraId="1A99EFE5" w14:textId="77777777" w:rsidTr="00A30867">
        <w:tc>
          <w:tcPr>
            <w:tcW w:w="4909" w:type="dxa"/>
            <w:tcBorders>
              <w:top w:val="nil"/>
              <w:left w:val="single" w:sz="4" w:space="0" w:color="auto"/>
              <w:bottom w:val="single" w:sz="4" w:space="0" w:color="auto"/>
              <w:right w:val="single" w:sz="4" w:space="0" w:color="auto"/>
            </w:tcBorders>
            <w:shd w:val="clear" w:color="auto" w:fill="auto"/>
          </w:tcPr>
          <w:p w14:paraId="143BCD5C" w14:textId="25CF7189" w:rsidR="007D1B2A" w:rsidRPr="003B4AEE" w:rsidRDefault="007D1B2A" w:rsidP="00A30867">
            <w:pPr>
              <w:pStyle w:val="Tables"/>
            </w:pPr>
            <w:r w:rsidRPr="003B4AEE">
              <w:t>Program modification</w:t>
            </w:r>
          </w:p>
        </w:tc>
        <w:tc>
          <w:tcPr>
            <w:tcW w:w="2381" w:type="dxa"/>
            <w:tcBorders>
              <w:top w:val="nil"/>
              <w:left w:val="nil"/>
              <w:bottom w:val="single" w:sz="4" w:space="0" w:color="auto"/>
              <w:right w:val="single" w:sz="4" w:space="0" w:color="auto"/>
            </w:tcBorders>
            <w:shd w:val="clear" w:color="auto" w:fill="auto"/>
            <w:noWrap/>
          </w:tcPr>
          <w:p w14:paraId="5542081B" w14:textId="55977439" w:rsidR="007D1B2A" w:rsidRPr="003B4AEE" w:rsidRDefault="007D1B2A" w:rsidP="00EF2A49">
            <w:pPr>
              <w:pStyle w:val="Tables"/>
              <w:jc w:val="center"/>
            </w:pPr>
            <w:r w:rsidRPr="003B4AEE">
              <w:t>Occasionally/</w:t>
            </w:r>
            <w:r w:rsidR="00506C9B" w:rsidRPr="003B4AEE">
              <w:t>A</w:t>
            </w:r>
            <w:r w:rsidRPr="003B4AEE">
              <w:t xml:space="preserve">s </w:t>
            </w:r>
            <w:r w:rsidR="00280477" w:rsidRPr="003B4AEE">
              <w:t>Ne</w:t>
            </w:r>
            <w:r w:rsidRPr="003B4AEE">
              <w:t>eded</w:t>
            </w:r>
          </w:p>
        </w:tc>
        <w:tc>
          <w:tcPr>
            <w:tcW w:w="1260" w:type="dxa"/>
            <w:tcBorders>
              <w:top w:val="nil"/>
              <w:left w:val="nil"/>
              <w:bottom w:val="single" w:sz="4" w:space="0" w:color="auto"/>
              <w:right w:val="single" w:sz="4" w:space="0" w:color="auto"/>
            </w:tcBorders>
            <w:shd w:val="clear" w:color="auto" w:fill="auto"/>
            <w:noWrap/>
          </w:tcPr>
          <w:p w14:paraId="613DCACC" w14:textId="50987EA7" w:rsidR="007D1B2A" w:rsidRPr="003B4AEE" w:rsidDel="007D1B2A" w:rsidRDefault="007D1B2A" w:rsidP="00EF2A49">
            <w:pPr>
              <w:pStyle w:val="Tables"/>
              <w:jc w:val="center"/>
            </w:pPr>
            <w:r w:rsidRPr="003B4AEE">
              <w:t>80</w:t>
            </w:r>
          </w:p>
        </w:tc>
      </w:tr>
      <w:tr w:rsidR="00CE5150" w:rsidRPr="003B4AEE" w14:paraId="687AE9AB"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729E012B" w14:textId="555339F6" w:rsidR="00FE745C" w:rsidRPr="003B4AEE" w:rsidRDefault="007D1B2A" w:rsidP="00A30867">
            <w:pPr>
              <w:pStyle w:val="Tables"/>
            </w:pPr>
            <w:r w:rsidRPr="003B4AEE">
              <w:t>Review/process permits and NMPs</w:t>
            </w:r>
          </w:p>
        </w:tc>
        <w:tc>
          <w:tcPr>
            <w:tcW w:w="2381" w:type="dxa"/>
            <w:tcBorders>
              <w:top w:val="nil"/>
              <w:left w:val="nil"/>
              <w:bottom w:val="single" w:sz="4" w:space="0" w:color="auto"/>
              <w:right w:val="single" w:sz="4" w:space="0" w:color="auto"/>
            </w:tcBorders>
            <w:shd w:val="clear" w:color="auto" w:fill="auto"/>
            <w:noWrap/>
            <w:hideMark/>
          </w:tcPr>
          <w:p w14:paraId="329FB353" w14:textId="77777777" w:rsidR="00FE745C" w:rsidRPr="003B4AEE" w:rsidRDefault="00FE745C" w:rsidP="00EF2A49">
            <w:pPr>
              <w:pStyle w:val="Tables"/>
              <w:jc w:val="center"/>
            </w:pPr>
            <w:r w:rsidRPr="003B4AEE">
              <w:t>Every 5 years</w:t>
            </w:r>
          </w:p>
        </w:tc>
        <w:tc>
          <w:tcPr>
            <w:tcW w:w="1260" w:type="dxa"/>
            <w:tcBorders>
              <w:top w:val="nil"/>
              <w:left w:val="nil"/>
              <w:bottom w:val="single" w:sz="4" w:space="0" w:color="auto"/>
              <w:right w:val="single" w:sz="4" w:space="0" w:color="auto"/>
            </w:tcBorders>
            <w:shd w:val="clear" w:color="auto" w:fill="auto"/>
            <w:noWrap/>
            <w:hideMark/>
          </w:tcPr>
          <w:p w14:paraId="33AF55CA" w14:textId="11A77017" w:rsidR="00FE745C" w:rsidRPr="003B4AEE" w:rsidRDefault="007D1B2A" w:rsidP="00EF2A49">
            <w:pPr>
              <w:pStyle w:val="Tables"/>
              <w:jc w:val="center"/>
            </w:pPr>
            <w:r w:rsidRPr="003B4AEE">
              <w:t>50</w:t>
            </w:r>
          </w:p>
        </w:tc>
      </w:tr>
      <w:tr w:rsidR="00464181" w:rsidRPr="003B4AEE" w14:paraId="1A59322B" w14:textId="77777777" w:rsidTr="00A30867">
        <w:trPr>
          <w:trHeight w:val="264"/>
        </w:trPr>
        <w:tc>
          <w:tcPr>
            <w:tcW w:w="4909" w:type="dxa"/>
            <w:tcBorders>
              <w:top w:val="nil"/>
              <w:left w:val="single" w:sz="4" w:space="0" w:color="auto"/>
              <w:bottom w:val="single" w:sz="4" w:space="0" w:color="auto"/>
              <w:right w:val="single" w:sz="4" w:space="0" w:color="auto"/>
            </w:tcBorders>
            <w:shd w:val="clear" w:color="auto" w:fill="auto"/>
            <w:hideMark/>
          </w:tcPr>
          <w:p w14:paraId="4E63234E" w14:textId="5F83EF01" w:rsidR="00FE745C" w:rsidRPr="003B4AEE" w:rsidRDefault="007D1B2A" w:rsidP="00A30867">
            <w:pPr>
              <w:pStyle w:val="Tables"/>
            </w:pPr>
            <w:r w:rsidRPr="003B4AEE">
              <w:t>Public hearings/notice</w:t>
            </w:r>
          </w:p>
        </w:tc>
        <w:tc>
          <w:tcPr>
            <w:tcW w:w="2381" w:type="dxa"/>
            <w:tcBorders>
              <w:top w:val="nil"/>
              <w:left w:val="nil"/>
              <w:bottom w:val="single" w:sz="4" w:space="0" w:color="auto"/>
              <w:right w:val="single" w:sz="4" w:space="0" w:color="auto"/>
            </w:tcBorders>
            <w:shd w:val="clear" w:color="auto" w:fill="auto"/>
            <w:noWrap/>
            <w:hideMark/>
          </w:tcPr>
          <w:p w14:paraId="4C4E4D8A" w14:textId="77777777" w:rsidR="00FE745C" w:rsidRPr="003B4AEE" w:rsidRDefault="00FE745C" w:rsidP="00EF2A49">
            <w:pPr>
              <w:pStyle w:val="Tables"/>
              <w:jc w:val="center"/>
            </w:pPr>
            <w:r w:rsidRPr="003B4AEE">
              <w:t>Every 5 years</w:t>
            </w:r>
          </w:p>
        </w:tc>
        <w:tc>
          <w:tcPr>
            <w:tcW w:w="1260" w:type="dxa"/>
            <w:tcBorders>
              <w:top w:val="nil"/>
              <w:left w:val="nil"/>
              <w:bottom w:val="single" w:sz="4" w:space="0" w:color="auto"/>
              <w:right w:val="single" w:sz="4" w:space="0" w:color="auto"/>
            </w:tcBorders>
            <w:shd w:val="clear" w:color="auto" w:fill="auto"/>
            <w:noWrap/>
            <w:hideMark/>
          </w:tcPr>
          <w:p w14:paraId="730177AE" w14:textId="6374F298" w:rsidR="00FE745C" w:rsidRPr="003B4AEE" w:rsidRDefault="007D1B2A" w:rsidP="00EF2A49">
            <w:pPr>
              <w:pStyle w:val="Tables"/>
              <w:jc w:val="center"/>
            </w:pPr>
            <w:r w:rsidRPr="003B4AEE">
              <w:t>20</w:t>
            </w:r>
          </w:p>
        </w:tc>
      </w:tr>
      <w:tr w:rsidR="00280477" w:rsidRPr="003B4AEE" w:rsidDel="00280477" w14:paraId="39EA1934" w14:textId="77777777" w:rsidTr="00A30867">
        <w:tc>
          <w:tcPr>
            <w:tcW w:w="4909" w:type="dxa"/>
            <w:tcBorders>
              <w:top w:val="nil"/>
              <w:left w:val="single" w:sz="4" w:space="0" w:color="auto"/>
              <w:bottom w:val="single" w:sz="4" w:space="0" w:color="auto"/>
              <w:right w:val="single" w:sz="4" w:space="0" w:color="auto"/>
            </w:tcBorders>
            <w:shd w:val="clear" w:color="auto" w:fill="auto"/>
          </w:tcPr>
          <w:p w14:paraId="6E1799E6" w14:textId="2D0CBFEA" w:rsidR="00280477" w:rsidRPr="003B4AEE" w:rsidDel="00280477" w:rsidRDefault="00280477" w:rsidP="00EF2A49">
            <w:pPr>
              <w:pStyle w:val="Tables"/>
              <w:jc w:val="center"/>
            </w:pPr>
            <w:r w:rsidRPr="003B4AEE">
              <w:t>Other noncompliance reports (CAFO permittees)</w:t>
            </w:r>
          </w:p>
        </w:tc>
        <w:tc>
          <w:tcPr>
            <w:tcW w:w="2381" w:type="dxa"/>
            <w:tcBorders>
              <w:top w:val="nil"/>
              <w:left w:val="nil"/>
              <w:bottom w:val="single" w:sz="4" w:space="0" w:color="auto"/>
              <w:right w:val="single" w:sz="4" w:space="0" w:color="auto"/>
            </w:tcBorders>
            <w:shd w:val="clear" w:color="auto" w:fill="auto"/>
            <w:noWrap/>
          </w:tcPr>
          <w:p w14:paraId="1A77FF0C" w14:textId="5EF70E46" w:rsidR="00280477" w:rsidRPr="003B4AEE" w:rsidDel="00280477" w:rsidRDefault="00280477"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tcPr>
          <w:p w14:paraId="088037D2" w14:textId="68670C9D" w:rsidR="00280477" w:rsidRPr="003B4AEE" w:rsidDel="00280477" w:rsidRDefault="00280477" w:rsidP="00EF2A49">
            <w:pPr>
              <w:pStyle w:val="Tables"/>
              <w:jc w:val="center"/>
            </w:pPr>
            <w:r w:rsidRPr="003B4AEE">
              <w:t>2</w:t>
            </w:r>
          </w:p>
        </w:tc>
      </w:tr>
      <w:tr w:rsidR="00CE5150" w:rsidRPr="003B4AEE" w14:paraId="6DADC179"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582A60AA" w14:textId="2E528121" w:rsidR="00FE745C" w:rsidRPr="003B4AEE" w:rsidRDefault="00FE745C" w:rsidP="00A30867">
            <w:pPr>
              <w:pStyle w:val="Tables"/>
            </w:pPr>
            <w:r w:rsidRPr="003B4AEE">
              <w:t>Report receipt (INAD program sign-up, spill, structural failure)</w:t>
            </w:r>
          </w:p>
        </w:tc>
        <w:tc>
          <w:tcPr>
            <w:tcW w:w="2381" w:type="dxa"/>
            <w:tcBorders>
              <w:top w:val="nil"/>
              <w:left w:val="nil"/>
              <w:bottom w:val="single" w:sz="4" w:space="0" w:color="auto"/>
              <w:right w:val="single" w:sz="4" w:space="0" w:color="auto"/>
            </w:tcBorders>
            <w:shd w:val="clear" w:color="auto" w:fill="auto"/>
            <w:noWrap/>
            <w:hideMark/>
          </w:tcPr>
          <w:p w14:paraId="6CCB3E3C" w14:textId="77777777" w:rsidR="00FE745C" w:rsidRPr="003B4AEE" w:rsidRDefault="00FE745C"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hideMark/>
          </w:tcPr>
          <w:p w14:paraId="4C1F73E4" w14:textId="77777777" w:rsidR="00FE745C" w:rsidRPr="003B4AEE" w:rsidRDefault="00FE745C" w:rsidP="00EF2A49">
            <w:pPr>
              <w:pStyle w:val="Tables"/>
              <w:jc w:val="center"/>
            </w:pPr>
            <w:r w:rsidRPr="003B4AEE">
              <w:t>0.5</w:t>
            </w:r>
          </w:p>
        </w:tc>
      </w:tr>
      <w:tr w:rsidR="00CE5150" w:rsidRPr="003B4AEE" w14:paraId="4223CC0D"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3DE44262" w14:textId="6391C494" w:rsidR="00FE745C" w:rsidRPr="003B4AEE" w:rsidRDefault="00FE745C" w:rsidP="00A30867">
            <w:pPr>
              <w:pStyle w:val="Tables"/>
            </w:pPr>
            <w:r w:rsidRPr="003B4AEE">
              <w:t>CAFO facility inspection</w:t>
            </w:r>
          </w:p>
        </w:tc>
        <w:tc>
          <w:tcPr>
            <w:tcW w:w="2381" w:type="dxa"/>
            <w:tcBorders>
              <w:top w:val="nil"/>
              <w:left w:val="nil"/>
              <w:bottom w:val="single" w:sz="4" w:space="0" w:color="auto"/>
              <w:right w:val="single" w:sz="4" w:space="0" w:color="auto"/>
            </w:tcBorders>
            <w:shd w:val="clear" w:color="auto" w:fill="auto"/>
            <w:noWrap/>
            <w:hideMark/>
          </w:tcPr>
          <w:p w14:paraId="78D37427" w14:textId="72A10BEB" w:rsidR="00FE745C" w:rsidRPr="003B4AEE" w:rsidRDefault="00BC01D3" w:rsidP="00EF2A49">
            <w:pPr>
              <w:pStyle w:val="Tables"/>
              <w:jc w:val="center"/>
            </w:pPr>
            <w:r w:rsidRPr="003B4AEE">
              <w:t>Once every 5 years</w:t>
            </w:r>
          </w:p>
        </w:tc>
        <w:tc>
          <w:tcPr>
            <w:tcW w:w="1260" w:type="dxa"/>
            <w:tcBorders>
              <w:top w:val="nil"/>
              <w:left w:val="nil"/>
              <w:bottom w:val="single" w:sz="4" w:space="0" w:color="auto"/>
              <w:right w:val="single" w:sz="4" w:space="0" w:color="auto"/>
            </w:tcBorders>
            <w:shd w:val="clear" w:color="auto" w:fill="auto"/>
            <w:noWrap/>
            <w:hideMark/>
          </w:tcPr>
          <w:p w14:paraId="631BF21A" w14:textId="77777777" w:rsidR="00FE745C" w:rsidRPr="003B4AEE" w:rsidRDefault="00FE745C" w:rsidP="00EF2A49">
            <w:pPr>
              <w:pStyle w:val="Tables"/>
              <w:jc w:val="center"/>
            </w:pPr>
            <w:r w:rsidRPr="003B4AEE">
              <w:t>16</w:t>
            </w:r>
          </w:p>
        </w:tc>
      </w:tr>
      <w:tr w:rsidR="00CE5150" w:rsidRPr="003B4AEE" w14:paraId="21B71D62"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7257EB2E" w14:textId="31FD103F" w:rsidR="00FE745C" w:rsidRPr="003B4AEE" w:rsidRDefault="00FE745C" w:rsidP="00A30867">
            <w:pPr>
              <w:pStyle w:val="Tables"/>
            </w:pPr>
            <w:r w:rsidRPr="003B4AEE">
              <w:t>Annual report review, all permitted CAFOs</w:t>
            </w:r>
          </w:p>
        </w:tc>
        <w:tc>
          <w:tcPr>
            <w:tcW w:w="2381" w:type="dxa"/>
            <w:tcBorders>
              <w:top w:val="nil"/>
              <w:left w:val="nil"/>
              <w:bottom w:val="single" w:sz="4" w:space="0" w:color="auto"/>
              <w:right w:val="single" w:sz="4" w:space="0" w:color="auto"/>
            </w:tcBorders>
            <w:shd w:val="clear" w:color="auto" w:fill="auto"/>
            <w:noWrap/>
            <w:hideMark/>
          </w:tcPr>
          <w:p w14:paraId="31E64976" w14:textId="77777777" w:rsidR="00FE745C" w:rsidRPr="003B4AEE" w:rsidRDefault="00FE745C" w:rsidP="00EF2A49">
            <w:pPr>
              <w:pStyle w:val="Tables"/>
              <w:jc w:val="center"/>
            </w:pPr>
            <w:r w:rsidRPr="003B4AEE">
              <w:t>Annual</w:t>
            </w:r>
          </w:p>
        </w:tc>
        <w:tc>
          <w:tcPr>
            <w:tcW w:w="1260" w:type="dxa"/>
            <w:tcBorders>
              <w:top w:val="nil"/>
              <w:left w:val="nil"/>
              <w:bottom w:val="single" w:sz="4" w:space="0" w:color="auto"/>
              <w:right w:val="single" w:sz="4" w:space="0" w:color="auto"/>
            </w:tcBorders>
            <w:shd w:val="clear" w:color="auto" w:fill="auto"/>
            <w:noWrap/>
            <w:hideMark/>
          </w:tcPr>
          <w:p w14:paraId="6A9CF02F" w14:textId="77777777" w:rsidR="00FE745C" w:rsidRPr="003B4AEE" w:rsidRDefault="00FE745C" w:rsidP="00EF2A49">
            <w:pPr>
              <w:pStyle w:val="Tables"/>
              <w:jc w:val="center"/>
            </w:pPr>
            <w:r w:rsidRPr="003B4AEE">
              <w:t>4</w:t>
            </w:r>
          </w:p>
        </w:tc>
      </w:tr>
      <w:tr w:rsidR="00CE5150" w:rsidRPr="003B4AEE" w14:paraId="3F75986F"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08EEF812" w14:textId="40E528DE" w:rsidR="00FE745C" w:rsidRPr="003B4AEE" w:rsidRDefault="00FE745C" w:rsidP="00A30867">
            <w:pPr>
              <w:pStyle w:val="Tables"/>
            </w:pPr>
            <w:r w:rsidRPr="003B4AEE">
              <w:t xml:space="preserve">Research on environmental effects of INAD </w:t>
            </w:r>
          </w:p>
        </w:tc>
        <w:tc>
          <w:tcPr>
            <w:tcW w:w="2381" w:type="dxa"/>
            <w:tcBorders>
              <w:top w:val="nil"/>
              <w:left w:val="nil"/>
              <w:bottom w:val="single" w:sz="4" w:space="0" w:color="auto"/>
              <w:right w:val="single" w:sz="4" w:space="0" w:color="auto"/>
            </w:tcBorders>
            <w:shd w:val="clear" w:color="auto" w:fill="auto"/>
            <w:noWrap/>
            <w:hideMark/>
          </w:tcPr>
          <w:p w14:paraId="52AF783F" w14:textId="77777777" w:rsidR="00FE745C" w:rsidRPr="003B4AEE" w:rsidRDefault="00FE745C"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hideMark/>
          </w:tcPr>
          <w:p w14:paraId="30A4DB16" w14:textId="77777777" w:rsidR="00FE745C" w:rsidRPr="003B4AEE" w:rsidRDefault="00FE745C" w:rsidP="00EF2A49">
            <w:pPr>
              <w:pStyle w:val="Tables"/>
              <w:jc w:val="center"/>
            </w:pPr>
            <w:r w:rsidRPr="003B4AEE">
              <w:t>3</w:t>
            </w:r>
          </w:p>
        </w:tc>
      </w:tr>
      <w:tr w:rsidR="00CE5150" w:rsidRPr="003B4AEE" w14:paraId="782FCABD"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1D65B211" w14:textId="1294851A" w:rsidR="00FE745C" w:rsidRPr="003B4AEE" w:rsidRDefault="00FE745C" w:rsidP="00A30867">
            <w:pPr>
              <w:pStyle w:val="Tables"/>
            </w:pPr>
            <w:r w:rsidRPr="003B4AEE">
              <w:t xml:space="preserve">Determination of </w:t>
            </w:r>
            <w:r w:rsidR="00397D44" w:rsidRPr="003B4AEE">
              <w:t>site-specific</w:t>
            </w:r>
            <w:r w:rsidRPr="003B4AEE">
              <w:t xml:space="preserve"> limits for INAD</w:t>
            </w:r>
          </w:p>
        </w:tc>
        <w:tc>
          <w:tcPr>
            <w:tcW w:w="2381" w:type="dxa"/>
            <w:tcBorders>
              <w:top w:val="nil"/>
              <w:left w:val="nil"/>
              <w:bottom w:val="single" w:sz="4" w:space="0" w:color="auto"/>
              <w:right w:val="single" w:sz="4" w:space="0" w:color="auto"/>
            </w:tcBorders>
            <w:shd w:val="clear" w:color="auto" w:fill="auto"/>
            <w:noWrap/>
            <w:hideMark/>
          </w:tcPr>
          <w:p w14:paraId="616D048D" w14:textId="77777777" w:rsidR="00FE745C" w:rsidRPr="003B4AEE" w:rsidRDefault="00FE745C"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hideMark/>
          </w:tcPr>
          <w:p w14:paraId="2E546EEA" w14:textId="77777777" w:rsidR="00FE745C" w:rsidRPr="003B4AEE" w:rsidRDefault="00FE745C" w:rsidP="00EF2A49">
            <w:pPr>
              <w:pStyle w:val="Tables"/>
              <w:jc w:val="center"/>
            </w:pPr>
            <w:r w:rsidRPr="003B4AEE">
              <w:t>3</w:t>
            </w:r>
          </w:p>
        </w:tc>
      </w:tr>
      <w:tr w:rsidR="00CE5150" w:rsidRPr="003B4AEE" w14:paraId="2D706B0C"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5C81BCA7" w14:textId="19C9F6BE" w:rsidR="00FE745C" w:rsidRPr="003B4AEE" w:rsidRDefault="00FE745C" w:rsidP="00A30867">
            <w:pPr>
              <w:pStyle w:val="Tables"/>
            </w:pPr>
            <w:r w:rsidRPr="003B4AEE">
              <w:t>Notify state fish &amp; wildlife department</w:t>
            </w:r>
          </w:p>
        </w:tc>
        <w:tc>
          <w:tcPr>
            <w:tcW w:w="2381" w:type="dxa"/>
            <w:tcBorders>
              <w:top w:val="nil"/>
              <w:left w:val="nil"/>
              <w:bottom w:val="single" w:sz="4" w:space="0" w:color="auto"/>
              <w:right w:val="single" w:sz="4" w:space="0" w:color="auto"/>
            </w:tcBorders>
            <w:shd w:val="clear" w:color="auto" w:fill="auto"/>
            <w:noWrap/>
            <w:hideMark/>
          </w:tcPr>
          <w:p w14:paraId="782F4694" w14:textId="77777777" w:rsidR="00FE745C" w:rsidRPr="003B4AEE" w:rsidRDefault="00FE745C"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hideMark/>
          </w:tcPr>
          <w:p w14:paraId="48B39BE5" w14:textId="77777777" w:rsidR="00FE745C" w:rsidRPr="003B4AEE" w:rsidRDefault="00FE745C" w:rsidP="00EF2A49">
            <w:pPr>
              <w:pStyle w:val="Tables"/>
              <w:jc w:val="center"/>
            </w:pPr>
            <w:r w:rsidRPr="003B4AEE">
              <w:t>0.5</w:t>
            </w:r>
          </w:p>
        </w:tc>
      </w:tr>
      <w:tr w:rsidR="00CE5150" w:rsidRPr="003B4AEE" w14:paraId="5198E56E" w14:textId="77777777" w:rsidTr="00A30867">
        <w:tc>
          <w:tcPr>
            <w:tcW w:w="4909" w:type="dxa"/>
            <w:tcBorders>
              <w:top w:val="nil"/>
              <w:left w:val="single" w:sz="4" w:space="0" w:color="auto"/>
              <w:bottom w:val="single" w:sz="4" w:space="0" w:color="auto"/>
              <w:right w:val="single" w:sz="4" w:space="0" w:color="auto"/>
            </w:tcBorders>
            <w:shd w:val="clear" w:color="auto" w:fill="auto"/>
            <w:hideMark/>
          </w:tcPr>
          <w:p w14:paraId="4CC77071" w14:textId="740B8A1F" w:rsidR="00FE745C" w:rsidRPr="003B4AEE" w:rsidRDefault="00FE745C" w:rsidP="00A30867">
            <w:pPr>
              <w:pStyle w:val="Tables"/>
            </w:pPr>
            <w:r w:rsidRPr="003B4AEE">
              <w:t>Review cause of failure and past reports to evaluate effectiveness of practices</w:t>
            </w:r>
          </w:p>
        </w:tc>
        <w:tc>
          <w:tcPr>
            <w:tcW w:w="2381" w:type="dxa"/>
            <w:tcBorders>
              <w:top w:val="nil"/>
              <w:left w:val="nil"/>
              <w:bottom w:val="single" w:sz="4" w:space="0" w:color="auto"/>
              <w:right w:val="single" w:sz="4" w:space="0" w:color="auto"/>
            </w:tcBorders>
            <w:shd w:val="clear" w:color="auto" w:fill="auto"/>
            <w:noWrap/>
            <w:hideMark/>
          </w:tcPr>
          <w:p w14:paraId="1A318B06" w14:textId="77777777" w:rsidR="00FE745C" w:rsidRPr="003B4AEE" w:rsidRDefault="00FE745C" w:rsidP="00EF2A49">
            <w:pPr>
              <w:pStyle w:val="Tables"/>
              <w:jc w:val="center"/>
            </w:pPr>
            <w:r w:rsidRPr="003B4AEE">
              <w:t>Occasionally/As Needed</w:t>
            </w:r>
          </w:p>
        </w:tc>
        <w:tc>
          <w:tcPr>
            <w:tcW w:w="1260" w:type="dxa"/>
            <w:tcBorders>
              <w:top w:val="nil"/>
              <w:left w:val="nil"/>
              <w:bottom w:val="single" w:sz="4" w:space="0" w:color="auto"/>
              <w:right w:val="single" w:sz="4" w:space="0" w:color="auto"/>
            </w:tcBorders>
            <w:shd w:val="clear" w:color="auto" w:fill="auto"/>
            <w:noWrap/>
            <w:hideMark/>
          </w:tcPr>
          <w:p w14:paraId="79AF3533" w14:textId="77777777" w:rsidR="00FE745C" w:rsidRPr="003B4AEE" w:rsidRDefault="00FE745C" w:rsidP="00EF2A49">
            <w:pPr>
              <w:pStyle w:val="Tables"/>
              <w:jc w:val="center"/>
            </w:pPr>
            <w:r w:rsidRPr="003B4AEE">
              <w:t>1</w:t>
            </w:r>
          </w:p>
        </w:tc>
      </w:tr>
    </w:tbl>
    <w:p w14:paraId="5F3A3873" w14:textId="543CF91A" w:rsidR="00C6520E" w:rsidRPr="003B4AEE" w:rsidRDefault="00C6520E" w:rsidP="004F1834">
      <w:pPr>
        <w:pStyle w:val="Heading9"/>
      </w:pPr>
      <w:bookmarkStart w:id="419" w:name="_Toc71729156"/>
      <w:r w:rsidRPr="003B4AEE">
        <w:t>Cooling Water Intake Structures</w:t>
      </w:r>
      <w:bookmarkEnd w:id="419"/>
    </w:p>
    <w:p w14:paraId="24B7CD67" w14:textId="2C784622" w:rsidR="0048771B" w:rsidRPr="003B4AEE" w:rsidRDefault="0048771B" w:rsidP="00DE1B27">
      <w:pPr>
        <w:pStyle w:val="Heading4"/>
      </w:pPr>
      <w:r w:rsidRPr="003B4AEE">
        <w:t>A.1</w:t>
      </w:r>
      <w:r w:rsidR="00861380" w:rsidRPr="003B4AEE">
        <w:t>.7</w:t>
      </w:r>
      <w:r w:rsidRPr="003B4AEE">
        <w:t>.1. Cooling Water Intake Structures Phase I - New Facilities</w:t>
      </w:r>
    </w:p>
    <w:p w14:paraId="7C1D3921" w14:textId="03DC820C" w:rsidR="0085470C" w:rsidRPr="003B4AEE" w:rsidRDefault="00772A8A" w:rsidP="004F1834">
      <w:pPr>
        <w:pStyle w:val="BodyText"/>
      </w:pPr>
      <w:r w:rsidRPr="003B4AEE">
        <w:t xml:space="preserve">The activities in this category are related to </w:t>
      </w:r>
      <w:r w:rsidR="009156C7" w:rsidRPr="003B4AEE">
        <w:t xml:space="preserve">application and recordkeeping </w:t>
      </w:r>
      <w:r w:rsidR="00DB3C74" w:rsidRPr="003B4AEE">
        <w:t>regulation</w:t>
      </w:r>
      <w:r w:rsidR="00EA19E0" w:rsidRPr="003B4AEE">
        <w:t xml:space="preserve"> </w:t>
      </w:r>
      <w:r w:rsidR="00466767" w:rsidRPr="003B4AEE">
        <w:t>established by</w:t>
      </w:r>
      <w:r w:rsidRPr="003B4AEE">
        <w:t xml:space="preserve"> the section 316(b) New Facility Rule (66 FR 65256; December 18, 2001)</w:t>
      </w:r>
      <w:r w:rsidR="00FC4DB7" w:rsidRPr="003B4AEE">
        <w:t xml:space="preserve">. </w:t>
      </w:r>
      <w:r w:rsidR="00466767" w:rsidRPr="003B4AEE">
        <w:t xml:space="preserve">The </w:t>
      </w:r>
      <w:r w:rsidR="00EA19E0" w:rsidRPr="003B4AEE">
        <w:t>regulation</w:t>
      </w:r>
      <w:r w:rsidR="00466767" w:rsidRPr="003B4AEE">
        <w:t xml:space="preserve"> applies</w:t>
      </w:r>
      <w:r w:rsidR="002F0CC6" w:rsidRPr="003B4AEE">
        <w:t xml:space="preserve"> to industrial facilities </w:t>
      </w:r>
      <w:r w:rsidR="00EC2A36" w:rsidRPr="003B4AEE">
        <w:t xml:space="preserve">constructed after January 2002 </w:t>
      </w:r>
      <w:r w:rsidR="002F0CC6" w:rsidRPr="003B4AEE">
        <w:t>that withdraw significant quantities of cooling water from waters of the U</w:t>
      </w:r>
      <w:r w:rsidR="00F47B1E" w:rsidRPr="003B4AEE">
        <w:t>.</w:t>
      </w:r>
      <w:r w:rsidR="002F0CC6" w:rsidRPr="003B4AEE">
        <w:t xml:space="preserve">S. </w:t>
      </w:r>
      <w:r w:rsidR="00413CC0" w:rsidRPr="003B4AEE">
        <w:t xml:space="preserve">The rule requires new facilities to submit several distinct types of information as part of their NPDES permit </w:t>
      </w:r>
      <w:r w:rsidR="00413CC0" w:rsidRPr="003B4AEE">
        <w:lastRenderedPageBreak/>
        <w:t xml:space="preserve">application. In addition, the rule requires new facilities to maintain monitoring and reporting data as outlined by the permitting authority in their NPDES permits. </w:t>
      </w:r>
    </w:p>
    <w:p w14:paraId="3CE4F99A" w14:textId="6A91F2D1" w:rsidR="0048771B" w:rsidRPr="003B4AEE" w:rsidRDefault="002F0CC6" w:rsidP="004F1834">
      <w:pPr>
        <w:pStyle w:val="BodyText"/>
      </w:pPr>
      <w:r w:rsidRPr="003B4AEE">
        <w:t>Below is a list of the types of respondents</w:t>
      </w:r>
      <w:r w:rsidR="00E5488B" w:rsidRPr="003B4AEE">
        <w:t xml:space="preserve"> for which updated estimated respondent numbers were used to </w:t>
      </w:r>
      <w:r w:rsidR="00120C0B" w:rsidRPr="003B4AEE">
        <w:t>develop</w:t>
      </w:r>
      <w:r w:rsidR="00E5488B" w:rsidRPr="003B4AEE">
        <w:t xml:space="preserve"> burden estimates</w:t>
      </w:r>
      <w:r w:rsidRPr="003B4AEE">
        <w:t>:</w:t>
      </w:r>
    </w:p>
    <w:p w14:paraId="2B1004E2" w14:textId="0D019BA3" w:rsidR="00EC2A36" w:rsidRPr="003B4AEE" w:rsidRDefault="00EC2A36" w:rsidP="00290A17">
      <w:pPr>
        <w:pStyle w:val="ListBulletsingle"/>
        <w:numPr>
          <w:ilvl w:val="0"/>
          <w:numId w:val="37"/>
        </w:numPr>
      </w:pPr>
      <w:r w:rsidRPr="003B4AEE">
        <w:t xml:space="preserve">Average </w:t>
      </w:r>
      <w:r w:rsidR="0019693A" w:rsidRPr="003B4AEE">
        <w:t xml:space="preserve">annual number </w:t>
      </w:r>
      <w:r w:rsidR="008A7EBE" w:rsidRPr="003B4AEE">
        <w:t>o</w:t>
      </w:r>
      <w:r w:rsidRPr="003B4AEE">
        <w:t xml:space="preserve">f </w:t>
      </w:r>
      <w:r w:rsidR="0019693A" w:rsidRPr="003B4AEE">
        <w:t xml:space="preserve">new </w:t>
      </w:r>
      <w:r w:rsidRPr="003B4AEE">
        <w:t xml:space="preserve">CWIS </w:t>
      </w:r>
      <w:proofErr w:type="gramStart"/>
      <w:r w:rsidR="0019693A" w:rsidRPr="003B4AEE">
        <w:t>facilities;</w:t>
      </w:r>
      <w:proofErr w:type="gramEnd"/>
    </w:p>
    <w:p w14:paraId="56E098FC" w14:textId="11BC8293" w:rsidR="00EC2A36" w:rsidRPr="003B4AEE" w:rsidRDefault="00EC2A36" w:rsidP="00290A17">
      <w:pPr>
        <w:pStyle w:val="ListBulletsingle"/>
        <w:numPr>
          <w:ilvl w:val="0"/>
          <w:numId w:val="37"/>
        </w:numPr>
      </w:pPr>
      <w:r w:rsidRPr="003B4AEE">
        <w:t xml:space="preserve">Average </w:t>
      </w:r>
      <w:r w:rsidR="0019693A" w:rsidRPr="003B4AEE">
        <w:t xml:space="preserve">annual number </w:t>
      </w:r>
      <w:r w:rsidR="008A7EBE" w:rsidRPr="003B4AEE">
        <w:t>o</w:t>
      </w:r>
      <w:r w:rsidRPr="003B4AEE">
        <w:t xml:space="preserve">f </w:t>
      </w:r>
      <w:r w:rsidR="0019693A" w:rsidRPr="003B4AEE">
        <w:t xml:space="preserve">new </w:t>
      </w:r>
      <w:r w:rsidRPr="003B4AEE">
        <w:t xml:space="preserve">CWIS </w:t>
      </w:r>
      <w:r w:rsidR="0019693A" w:rsidRPr="003B4AEE">
        <w:t>permits; and</w:t>
      </w:r>
    </w:p>
    <w:p w14:paraId="0CC29375" w14:textId="77777777" w:rsidR="0085470C" w:rsidRPr="003B4AEE" w:rsidRDefault="00EC2A36" w:rsidP="00290A17">
      <w:pPr>
        <w:pStyle w:val="ListBulletlast"/>
        <w:numPr>
          <w:ilvl w:val="0"/>
          <w:numId w:val="37"/>
        </w:numPr>
      </w:pPr>
      <w:r w:rsidRPr="003B4AEE">
        <w:t xml:space="preserve">Average </w:t>
      </w:r>
      <w:r w:rsidR="0019693A" w:rsidRPr="003B4AEE">
        <w:t xml:space="preserve">annual </w:t>
      </w:r>
      <w:r w:rsidRPr="003B4AEE">
        <w:t xml:space="preserve">CWIS </w:t>
      </w:r>
      <w:r w:rsidR="0019693A" w:rsidRPr="003B4AEE">
        <w:t>permit renewals.</w:t>
      </w:r>
    </w:p>
    <w:p w14:paraId="1E8F7D5D" w14:textId="77777777" w:rsidR="0085470C" w:rsidRPr="003B4AEE" w:rsidRDefault="00120C0B" w:rsidP="004F1834">
      <w:pPr>
        <w:pStyle w:val="BodyText"/>
      </w:pPr>
      <w:r w:rsidRPr="003B4AEE">
        <w:t>B</w:t>
      </w:r>
      <w:r w:rsidR="003573E0" w:rsidRPr="003B4AEE">
        <w:t>urden estimates were derived for each respondent type</w:t>
      </w:r>
      <w:r w:rsidRPr="003B4AEE">
        <w:t xml:space="preserve"> </w:t>
      </w:r>
      <w:r w:rsidR="0003525F" w:rsidRPr="003B4AEE">
        <w:t xml:space="preserve">from the previous ICR </w:t>
      </w:r>
      <w:r w:rsidRPr="003B4AEE">
        <w:t xml:space="preserve">and </w:t>
      </w:r>
      <w:r w:rsidR="003573E0" w:rsidRPr="003B4AEE">
        <w:t>were updated using the current estimate of the number of each respondent</w:t>
      </w:r>
      <w:r w:rsidRPr="003B4AEE">
        <w:t xml:space="preserve"> </w:t>
      </w:r>
      <w:r w:rsidR="007038C7" w:rsidRPr="003B4AEE">
        <w:t>(see</w:t>
      </w:r>
      <w:r w:rsidRPr="003B4AEE">
        <w:t xml:space="preserve"> Appendix D</w:t>
      </w:r>
      <w:r w:rsidR="007038C7" w:rsidRPr="003B4AEE">
        <w:t>)</w:t>
      </w:r>
      <w:r w:rsidR="00A63A5A" w:rsidRPr="003B4AEE">
        <w:t xml:space="preserve">. </w:t>
      </w:r>
    </w:p>
    <w:p w14:paraId="019AC6D1" w14:textId="6C2E3584" w:rsidR="0085470C" w:rsidRPr="003B4AEE" w:rsidRDefault="00547D47" w:rsidP="004F1834">
      <w:pPr>
        <w:pStyle w:val="BodyText"/>
      </w:pPr>
      <w:r w:rsidRPr="003B4AEE">
        <w:rPr>
          <w:i/>
        </w:rPr>
        <w:t>Permittees</w:t>
      </w:r>
      <w:r w:rsidRPr="003B4AEE">
        <w:t xml:space="preserve">. </w:t>
      </w:r>
      <w:r w:rsidR="00A44CC8" w:rsidRPr="003B4AEE">
        <w:t>Table A</w:t>
      </w:r>
      <w:r w:rsidR="001A6DA0" w:rsidRPr="003B4AEE">
        <w:t>-</w:t>
      </w:r>
      <w:r w:rsidR="007F3A2F" w:rsidRPr="003B4AEE">
        <w:t>9</w:t>
      </w:r>
      <w:r w:rsidR="00A44CC8" w:rsidRPr="003B4AEE">
        <w:t xml:space="preserve"> presents the estimated burden hours </w:t>
      </w:r>
      <w:r w:rsidR="005B4FEB" w:rsidRPr="003B4AEE">
        <w:t xml:space="preserve">and frequency </w:t>
      </w:r>
      <w:r w:rsidR="00A44CC8" w:rsidRPr="003B4AEE">
        <w:t>per facility for first</w:t>
      </w:r>
      <w:r w:rsidR="00CF0FE6" w:rsidRPr="003B4AEE">
        <w:t>-</w:t>
      </w:r>
      <w:r w:rsidR="00A44CC8" w:rsidRPr="003B4AEE">
        <w:t>time permit renewal applications and initial compliance activities. Table A</w:t>
      </w:r>
      <w:r w:rsidR="001A6DA0" w:rsidRPr="003B4AEE">
        <w:t>-</w:t>
      </w:r>
      <w:r w:rsidR="007F3A2F" w:rsidRPr="003B4AEE">
        <w:t>10</w:t>
      </w:r>
      <w:r w:rsidR="00A44CC8" w:rsidRPr="003B4AEE">
        <w:t xml:space="preserve"> presents the estimated burden hours </w:t>
      </w:r>
      <w:r w:rsidR="005B4FEB" w:rsidRPr="003B4AEE">
        <w:t xml:space="preserve">and frequency </w:t>
      </w:r>
      <w:r w:rsidR="00A44CC8" w:rsidRPr="003B4AEE">
        <w:t>per facility for recurring activities that apply to all new CWIS facilities.</w:t>
      </w:r>
      <w:r w:rsidR="005B4FEB" w:rsidRPr="003B4AEE">
        <w:t xml:space="preserve"> </w:t>
      </w:r>
    </w:p>
    <w:p w14:paraId="39104DE2" w14:textId="257C0116" w:rsidR="00A44CC8" w:rsidRPr="003B4AEE" w:rsidRDefault="00A44CC8" w:rsidP="004F1834">
      <w:pPr>
        <w:pStyle w:val="TableTitleAppendix"/>
      </w:pPr>
      <w:bookmarkStart w:id="420" w:name="_Toc61521420"/>
      <w:r w:rsidRPr="003B4AEE">
        <w:t xml:space="preserve">Table </w:t>
      </w:r>
      <w:r w:rsidR="00ED7594" w:rsidRPr="003B4AEE">
        <w:t>A-9</w:t>
      </w:r>
      <w:r w:rsidR="00A554A5" w:rsidRPr="003B4AEE">
        <w:t>.</w:t>
      </w:r>
      <w:r w:rsidRPr="003B4AEE">
        <w:t xml:space="preserve"> Estimated </w:t>
      </w:r>
      <w:r w:rsidR="00CF0FE6" w:rsidRPr="003B4AEE">
        <w:t>F</w:t>
      </w:r>
      <w:r w:rsidR="0019693A" w:rsidRPr="003B4AEE">
        <w:t xml:space="preserve">acility </w:t>
      </w:r>
      <w:r w:rsidR="00CF0FE6" w:rsidRPr="003B4AEE">
        <w:t>B</w:t>
      </w:r>
      <w:r w:rsidR="0019693A" w:rsidRPr="003B4AEE">
        <w:t xml:space="preserve">urden </w:t>
      </w:r>
      <w:r w:rsidR="00CF0FE6" w:rsidRPr="003B4AEE">
        <w:t>H</w:t>
      </w:r>
      <w:r w:rsidR="0019693A" w:rsidRPr="003B4AEE">
        <w:t xml:space="preserve">ours </w:t>
      </w:r>
      <w:r w:rsidRPr="003B4AEE">
        <w:t xml:space="preserve">for </w:t>
      </w:r>
      <w:r w:rsidR="00CF0FE6" w:rsidRPr="003B4AEE">
        <w:t>Initial</w:t>
      </w:r>
      <w:r w:rsidR="0019693A" w:rsidRPr="003B4AEE">
        <w:t xml:space="preserve"> </w:t>
      </w:r>
      <w:r w:rsidR="00CF0FE6" w:rsidRPr="003B4AEE">
        <w:t>A</w:t>
      </w:r>
      <w:r w:rsidR="0019693A" w:rsidRPr="003B4AEE">
        <w:t xml:space="preserve">pplication </w:t>
      </w:r>
      <w:r w:rsidR="004F1834" w:rsidRPr="003B4AEE">
        <w:br/>
      </w:r>
      <w:r w:rsidRPr="003B4AEE">
        <w:t xml:space="preserve">and </w:t>
      </w:r>
      <w:r w:rsidR="00CF0FE6" w:rsidRPr="003B4AEE">
        <w:t>C</w:t>
      </w:r>
      <w:r w:rsidR="0019693A" w:rsidRPr="003B4AEE">
        <w:t xml:space="preserve">ompliance </w:t>
      </w:r>
      <w:r w:rsidR="00CF0FE6" w:rsidRPr="003B4AEE">
        <w:t>A</w:t>
      </w:r>
      <w:r w:rsidR="0019693A" w:rsidRPr="003B4AEE">
        <w:t xml:space="preserve">ctivities </w:t>
      </w:r>
      <w:r w:rsidR="005B4FEB" w:rsidRPr="003B4AEE">
        <w:t xml:space="preserve">for </w:t>
      </w:r>
      <w:r w:rsidR="00CF0FE6" w:rsidRPr="003B4AEE">
        <w:t>N</w:t>
      </w:r>
      <w:r w:rsidR="0019693A" w:rsidRPr="003B4AEE">
        <w:t xml:space="preserve">ew </w:t>
      </w:r>
      <w:r w:rsidR="005B4FEB" w:rsidRPr="003B4AEE">
        <w:t xml:space="preserve">CWIS </w:t>
      </w:r>
      <w:r w:rsidR="00CF0FE6" w:rsidRPr="003B4AEE">
        <w:t>F</w:t>
      </w:r>
      <w:r w:rsidR="0019693A" w:rsidRPr="003B4AEE">
        <w:t>acilities</w:t>
      </w:r>
      <w:bookmarkEnd w:id="420"/>
    </w:p>
    <w:tbl>
      <w:tblPr>
        <w:tblStyle w:val="TableGrid"/>
        <w:tblW w:w="0" w:type="auto"/>
        <w:tblLook w:val="04A0" w:firstRow="1" w:lastRow="0" w:firstColumn="1" w:lastColumn="0" w:noHBand="0" w:noVBand="1"/>
      </w:tblPr>
      <w:tblGrid>
        <w:gridCol w:w="4817"/>
        <w:gridCol w:w="3543"/>
        <w:gridCol w:w="990"/>
      </w:tblGrid>
      <w:tr w:rsidR="008F6679" w:rsidRPr="003B4AEE" w14:paraId="1B759E1B" w14:textId="77777777" w:rsidTr="009F1C6B">
        <w:trPr>
          <w:tblHeader/>
        </w:trPr>
        <w:tc>
          <w:tcPr>
            <w:tcW w:w="4817" w:type="dxa"/>
            <w:shd w:val="clear" w:color="auto" w:fill="D9D9D9" w:themeFill="background1" w:themeFillShade="D9"/>
          </w:tcPr>
          <w:p w14:paraId="21852310" w14:textId="16B16C86" w:rsidR="008F6679" w:rsidRPr="003B4AEE" w:rsidRDefault="008F6679" w:rsidP="009F1C6B">
            <w:pPr>
              <w:pStyle w:val="TableHeading"/>
            </w:pPr>
            <w:r w:rsidRPr="003B4AEE">
              <w:t xml:space="preserve">Permittee </w:t>
            </w:r>
            <w:r w:rsidR="00FC4DB7" w:rsidRPr="003B4AEE">
              <w:t>A</w:t>
            </w:r>
            <w:r w:rsidR="0019693A" w:rsidRPr="003B4AEE">
              <w:t xml:space="preserve">pplication </w:t>
            </w:r>
            <w:r w:rsidR="007B1EFF" w:rsidRPr="003B4AEE">
              <w:t xml:space="preserve">and </w:t>
            </w:r>
            <w:r w:rsidR="009F1C6B" w:rsidRPr="003B4AEE">
              <w:br/>
            </w:r>
            <w:r w:rsidR="00FC4DB7" w:rsidRPr="003B4AEE">
              <w:t>I</w:t>
            </w:r>
            <w:r w:rsidR="0019693A" w:rsidRPr="003B4AEE">
              <w:t xml:space="preserve">nitial </w:t>
            </w:r>
            <w:r w:rsidR="00FC4DB7" w:rsidRPr="003B4AEE">
              <w:t>C</w:t>
            </w:r>
            <w:r w:rsidR="0019693A" w:rsidRPr="003B4AEE">
              <w:t xml:space="preserve">ompliance </w:t>
            </w:r>
            <w:r w:rsidR="00FC4DB7" w:rsidRPr="003B4AEE">
              <w:t>A</w:t>
            </w:r>
            <w:r w:rsidR="0019693A" w:rsidRPr="003B4AEE">
              <w:t>ctivity</w:t>
            </w:r>
          </w:p>
        </w:tc>
        <w:tc>
          <w:tcPr>
            <w:tcW w:w="3543" w:type="dxa"/>
            <w:shd w:val="clear" w:color="auto" w:fill="D9D9D9" w:themeFill="background1" w:themeFillShade="D9"/>
            <w:vAlign w:val="bottom"/>
          </w:tcPr>
          <w:p w14:paraId="0B9EF1C9" w14:textId="2695CD11" w:rsidR="008F6679" w:rsidRPr="003B4AEE" w:rsidRDefault="008F6679" w:rsidP="009F1C6B">
            <w:pPr>
              <w:pStyle w:val="TableHeading"/>
            </w:pPr>
            <w:r w:rsidRPr="003B4AEE">
              <w:t>Frequency</w:t>
            </w:r>
          </w:p>
        </w:tc>
        <w:tc>
          <w:tcPr>
            <w:tcW w:w="990" w:type="dxa"/>
            <w:shd w:val="clear" w:color="auto" w:fill="D9D9D9" w:themeFill="background1" w:themeFillShade="D9"/>
            <w:vAlign w:val="bottom"/>
          </w:tcPr>
          <w:p w14:paraId="6BAE5EBE" w14:textId="5BE8C5C3" w:rsidR="008F6679" w:rsidRPr="003B4AEE" w:rsidRDefault="008F6679" w:rsidP="009F1C6B">
            <w:pPr>
              <w:pStyle w:val="TableHeading"/>
            </w:pPr>
            <w:r w:rsidRPr="003B4AEE">
              <w:t>Burden (hours)</w:t>
            </w:r>
          </w:p>
        </w:tc>
      </w:tr>
      <w:tr w:rsidR="008F6679" w:rsidRPr="003B4AEE" w14:paraId="6F3F0483" w14:textId="77777777" w:rsidTr="00A30867">
        <w:tc>
          <w:tcPr>
            <w:tcW w:w="4817" w:type="dxa"/>
          </w:tcPr>
          <w:p w14:paraId="0A3F27B0" w14:textId="0129F6D1" w:rsidR="008F6679" w:rsidRPr="003B4AEE" w:rsidRDefault="008F6679" w:rsidP="00A30867">
            <w:pPr>
              <w:pStyle w:val="Tables"/>
            </w:pPr>
            <w:r w:rsidRPr="003B4AEE">
              <w:t xml:space="preserve">Start-up </w:t>
            </w:r>
            <w:r w:rsidR="0019693A" w:rsidRPr="003B4AEE">
              <w:t>activities</w:t>
            </w:r>
          </w:p>
        </w:tc>
        <w:tc>
          <w:tcPr>
            <w:tcW w:w="3543" w:type="dxa"/>
          </w:tcPr>
          <w:p w14:paraId="33E22F0E" w14:textId="3AAAF774" w:rsidR="008F6679" w:rsidRPr="003B4AEE" w:rsidRDefault="008F6679" w:rsidP="00EF2A49">
            <w:pPr>
              <w:pStyle w:val="Tables"/>
              <w:jc w:val="center"/>
            </w:pPr>
            <w:r w:rsidRPr="003B4AEE">
              <w:t>Once per new permit</w:t>
            </w:r>
          </w:p>
        </w:tc>
        <w:tc>
          <w:tcPr>
            <w:tcW w:w="990" w:type="dxa"/>
          </w:tcPr>
          <w:p w14:paraId="0733F4B2" w14:textId="47AEA444" w:rsidR="008F6679" w:rsidRPr="003B4AEE" w:rsidRDefault="008F6679" w:rsidP="00EF2A49">
            <w:pPr>
              <w:pStyle w:val="Tables"/>
              <w:jc w:val="center"/>
            </w:pPr>
            <w:r w:rsidRPr="003B4AEE">
              <w:t>43</w:t>
            </w:r>
          </w:p>
        </w:tc>
      </w:tr>
      <w:tr w:rsidR="008F6679" w:rsidRPr="003B4AEE" w14:paraId="535BCAD3" w14:textId="77777777" w:rsidTr="00A30867">
        <w:tc>
          <w:tcPr>
            <w:tcW w:w="4817" w:type="dxa"/>
          </w:tcPr>
          <w:p w14:paraId="5F9D0A1A" w14:textId="730065B9" w:rsidR="008F6679" w:rsidRPr="003B4AEE" w:rsidRDefault="008F6679" w:rsidP="00A30867">
            <w:pPr>
              <w:pStyle w:val="Tables"/>
            </w:pPr>
            <w:r w:rsidRPr="003B4AEE">
              <w:t xml:space="preserve">Permit </w:t>
            </w:r>
            <w:r w:rsidR="0019693A" w:rsidRPr="003B4AEE">
              <w:t>application activities</w:t>
            </w:r>
          </w:p>
        </w:tc>
        <w:tc>
          <w:tcPr>
            <w:tcW w:w="3543" w:type="dxa"/>
          </w:tcPr>
          <w:p w14:paraId="269972AB" w14:textId="72C4D1F9" w:rsidR="008F6679" w:rsidRPr="003B4AEE" w:rsidRDefault="008F6679" w:rsidP="00EF2A49">
            <w:pPr>
              <w:pStyle w:val="Tables"/>
              <w:jc w:val="center"/>
            </w:pPr>
            <w:r w:rsidRPr="003B4AEE">
              <w:t>Once per new permit</w:t>
            </w:r>
          </w:p>
        </w:tc>
        <w:tc>
          <w:tcPr>
            <w:tcW w:w="990" w:type="dxa"/>
          </w:tcPr>
          <w:p w14:paraId="67D0E130" w14:textId="1AC3491D" w:rsidR="008F6679" w:rsidRPr="003B4AEE" w:rsidRDefault="008F6679" w:rsidP="00EF2A49">
            <w:pPr>
              <w:pStyle w:val="Tables"/>
              <w:jc w:val="center"/>
            </w:pPr>
            <w:r w:rsidRPr="003B4AEE">
              <w:t>146</w:t>
            </w:r>
          </w:p>
        </w:tc>
      </w:tr>
      <w:tr w:rsidR="008F6679" w:rsidRPr="003B4AEE" w14:paraId="5193FC35" w14:textId="77777777" w:rsidTr="00A30867">
        <w:tc>
          <w:tcPr>
            <w:tcW w:w="4817" w:type="dxa"/>
          </w:tcPr>
          <w:p w14:paraId="0380D912" w14:textId="3B9EA688" w:rsidR="008F6679" w:rsidRPr="003B4AEE" w:rsidRDefault="008F6679" w:rsidP="00A30867">
            <w:pPr>
              <w:pStyle w:val="Tables"/>
            </w:pPr>
            <w:r w:rsidRPr="003B4AEE">
              <w:t xml:space="preserve">Source </w:t>
            </w:r>
            <w:r w:rsidR="0019693A" w:rsidRPr="003B4AEE">
              <w:t>waterbody flow information</w:t>
            </w:r>
          </w:p>
        </w:tc>
        <w:tc>
          <w:tcPr>
            <w:tcW w:w="3543" w:type="dxa"/>
          </w:tcPr>
          <w:p w14:paraId="011447E8" w14:textId="03B8417C" w:rsidR="008F6679" w:rsidRPr="003B4AEE" w:rsidRDefault="008F6679" w:rsidP="00EF2A49">
            <w:pPr>
              <w:pStyle w:val="Tables"/>
              <w:jc w:val="center"/>
            </w:pPr>
            <w:r w:rsidRPr="003B4AEE">
              <w:t>Once per new permit</w:t>
            </w:r>
          </w:p>
        </w:tc>
        <w:tc>
          <w:tcPr>
            <w:tcW w:w="990" w:type="dxa"/>
          </w:tcPr>
          <w:p w14:paraId="021743E3" w14:textId="1BFE4607" w:rsidR="008F6679" w:rsidRPr="003B4AEE" w:rsidRDefault="008F6679" w:rsidP="00EF2A49">
            <w:pPr>
              <w:pStyle w:val="Tables"/>
              <w:jc w:val="center"/>
            </w:pPr>
            <w:r w:rsidRPr="003B4AEE">
              <w:t>104</w:t>
            </w:r>
          </w:p>
        </w:tc>
      </w:tr>
      <w:tr w:rsidR="008F6679" w:rsidRPr="003B4AEE" w14:paraId="74B975D6" w14:textId="77777777" w:rsidTr="00A30867">
        <w:tc>
          <w:tcPr>
            <w:tcW w:w="4817" w:type="dxa"/>
          </w:tcPr>
          <w:p w14:paraId="353F710E" w14:textId="3B87E4FD" w:rsidR="008F6679" w:rsidRPr="003B4AEE" w:rsidRDefault="008F6679" w:rsidP="00A30867">
            <w:pPr>
              <w:pStyle w:val="Tables"/>
            </w:pPr>
            <w:r w:rsidRPr="003B4AEE">
              <w:t xml:space="preserve">Source </w:t>
            </w:r>
            <w:r w:rsidR="0019693A" w:rsidRPr="003B4AEE">
              <w:t>water baseline biological characterization data</w:t>
            </w:r>
          </w:p>
        </w:tc>
        <w:tc>
          <w:tcPr>
            <w:tcW w:w="3543" w:type="dxa"/>
          </w:tcPr>
          <w:p w14:paraId="5DE0F19D" w14:textId="4EB4E79F" w:rsidR="008F6679" w:rsidRPr="003B4AEE" w:rsidRDefault="008F6679" w:rsidP="00EF2A49">
            <w:pPr>
              <w:pStyle w:val="Tables"/>
              <w:jc w:val="center"/>
            </w:pPr>
            <w:r w:rsidRPr="003B4AEE">
              <w:t>Once per new permit</w:t>
            </w:r>
          </w:p>
        </w:tc>
        <w:tc>
          <w:tcPr>
            <w:tcW w:w="990" w:type="dxa"/>
          </w:tcPr>
          <w:p w14:paraId="19A1F179" w14:textId="3CAAC9FD" w:rsidR="008F6679" w:rsidRPr="003B4AEE" w:rsidRDefault="008F6679" w:rsidP="00EF2A49">
            <w:pPr>
              <w:pStyle w:val="Tables"/>
              <w:jc w:val="center"/>
            </w:pPr>
            <w:r w:rsidRPr="003B4AEE">
              <w:t>265</w:t>
            </w:r>
          </w:p>
        </w:tc>
      </w:tr>
      <w:tr w:rsidR="008F6679" w:rsidRPr="003B4AEE" w14:paraId="12A8A2C8" w14:textId="77777777" w:rsidTr="00A30867">
        <w:tc>
          <w:tcPr>
            <w:tcW w:w="4817" w:type="dxa"/>
          </w:tcPr>
          <w:p w14:paraId="09EA8C81" w14:textId="7B91C831" w:rsidR="008F6679" w:rsidRPr="003B4AEE" w:rsidRDefault="008F6679" w:rsidP="00A30867">
            <w:pPr>
              <w:pStyle w:val="Tables"/>
            </w:pPr>
            <w:r w:rsidRPr="003B4AEE">
              <w:t xml:space="preserve">CWIS </w:t>
            </w:r>
            <w:r w:rsidR="0019693A" w:rsidRPr="003B4AEE">
              <w:t xml:space="preserve">flow reduction requirements </w:t>
            </w:r>
            <w:r w:rsidRPr="003B4AEE">
              <w:t>(</w:t>
            </w:r>
            <w:r w:rsidR="00D51DC6" w:rsidRPr="003B4AEE">
              <w:t>Track I</w:t>
            </w:r>
            <w:r w:rsidRPr="003B4AEE">
              <w:t>)</w:t>
            </w:r>
          </w:p>
        </w:tc>
        <w:tc>
          <w:tcPr>
            <w:tcW w:w="3543" w:type="dxa"/>
          </w:tcPr>
          <w:p w14:paraId="061CEAC9" w14:textId="00024006" w:rsidR="008F6679" w:rsidRPr="003B4AEE" w:rsidRDefault="008F6679" w:rsidP="00EF2A49">
            <w:pPr>
              <w:pStyle w:val="Tables"/>
              <w:jc w:val="center"/>
            </w:pPr>
            <w:r w:rsidRPr="003B4AEE">
              <w:t>Once per new permit</w:t>
            </w:r>
            <w:r w:rsidR="00042EFD" w:rsidRPr="003B4AEE">
              <w:t xml:space="preserve"> with </w:t>
            </w:r>
            <w:r w:rsidR="003942D4" w:rsidRPr="003B4AEE">
              <w:t>closed cycle recirculating system (CCRS)</w:t>
            </w:r>
          </w:p>
        </w:tc>
        <w:tc>
          <w:tcPr>
            <w:tcW w:w="990" w:type="dxa"/>
          </w:tcPr>
          <w:p w14:paraId="1E67E428" w14:textId="31AC12C5" w:rsidR="008F6679" w:rsidRPr="003B4AEE" w:rsidRDefault="008F6679" w:rsidP="00EF2A49">
            <w:pPr>
              <w:pStyle w:val="Tables"/>
              <w:jc w:val="center"/>
            </w:pPr>
            <w:r w:rsidRPr="003B4AEE">
              <w:t>108</w:t>
            </w:r>
          </w:p>
        </w:tc>
      </w:tr>
      <w:tr w:rsidR="008F6679" w:rsidRPr="003B4AEE" w14:paraId="0C579207" w14:textId="77777777" w:rsidTr="00A30867">
        <w:tc>
          <w:tcPr>
            <w:tcW w:w="4817" w:type="dxa"/>
          </w:tcPr>
          <w:p w14:paraId="6A799ABC" w14:textId="5199BAF9" w:rsidR="008F6679" w:rsidRPr="003B4AEE" w:rsidRDefault="00042EFD" w:rsidP="00A30867">
            <w:pPr>
              <w:pStyle w:val="Tables"/>
            </w:pPr>
            <w:r w:rsidRPr="003B4AEE">
              <w:t xml:space="preserve">CWIS </w:t>
            </w:r>
            <w:r w:rsidR="0019693A" w:rsidRPr="003B4AEE">
              <w:t xml:space="preserve">velocity requirements </w:t>
            </w:r>
            <w:r w:rsidRPr="003B4AEE">
              <w:t>(</w:t>
            </w:r>
            <w:r w:rsidR="00D51DC6" w:rsidRPr="003B4AEE">
              <w:t>Track I</w:t>
            </w:r>
            <w:r w:rsidRPr="003B4AEE">
              <w:t>)</w:t>
            </w:r>
          </w:p>
        </w:tc>
        <w:tc>
          <w:tcPr>
            <w:tcW w:w="3543" w:type="dxa"/>
          </w:tcPr>
          <w:p w14:paraId="56321475" w14:textId="78F7B381" w:rsidR="008F6679" w:rsidRPr="003B4AEE" w:rsidRDefault="00042EFD" w:rsidP="00EF2A49">
            <w:pPr>
              <w:pStyle w:val="Tables"/>
              <w:jc w:val="center"/>
            </w:pPr>
            <w:r w:rsidRPr="003B4AEE">
              <w:t>Once per new permit with CCRS</w:t>
            </w:r>
          </w:p>
        </w:tc>
        <w:tc>
          <w:tcPr>
            <w:tcW w:w="990" w:type="dxa"/>
          </w:tcPr>
          <w:p w14:paraId="5A47B780" w14:textId="1A73921C" w:rsidR="008F6679" w:rsidRPr="003B4AEE" w:rsidRDefault="00042EFD" w:rsidP="00EF2A49">
            <w:pPr>
              <w:pStyle w:val="Tables"/>
              <w:jc w:val="center"/>
            </w:pPr>
            <w:r w:rsidRPr="003B4AEE">
              <w:t>138</w:t>
            </w:r>
          </w:p>
        </w:tc>
      </w:tr>
      <w:tr w:rsidR="00042EFD" w:rsidRPr="003B4AEE" w14:paraId="0FACBF3F" w14:textId="77777777" w:rsidTr="00A30867">
        <w:tc>
          <w:tcPr>
            <w:tcW w:w="4817" w:type="dxa"/>
          </w:tcPr>
          <w:p w14:paraId="19A58349" w14:textId="786508A8" w:rsidR="00042EFD" w:rsidRPr="003B4AEE" w:rsidRDefault="00042EFD" w:rsidP="00A30867">
            <w:pPr>
              <w:pStyle w:val="Tables"/>
            </w:pPr>
            <w:r w:rsidRPr="003B4AEE">
              <w:t xml:space="preserve">Design and </w:t>
            </w:r>
            <w:r w:rsidR="0019693A" w:rsidRPr="003B4AEE">
              <w:t xml:space="preserve">construction technology plan </w:t>
            </w:r>
            <w:r w:rsidRPr="003B4AEE">
              <w:t>(</w:t>
            </w:r>
            <w:r w:rsidR="00D51DC6" w:rsidRPr="003B4AEE">
              <w:t>Track I</w:t>
            </w:r>
            <w:r w:rsidRPr="003B4AEE">
              <w:t>)</w:t>
            </w:r>
          </w:p>
        </w:tc>
        <w:tc>
          <w:tcPr>
            <w:tcW w:w="3543" w:type="dxa"/>
          </w:tcPr>
          <w:p w14:paraId="7DAA3E5D" w14:textId="51AE4C1B" w:rsidR="00042EFD" w:rsidRPr="003B4AEE" w:rsidRDefault="00042EFD" w:rsidP="00EF2A49">
            <w:pPr>
              <w:pStyle w:val="Tables"/>
              <w:jc w:val="center"/>
            </w:pPr>
            <w:r w:rsidRPr="003B4AEE">
              <w:t>Once per new permit with CCRS</w:t>
            </w:r>
          </w:p>
        </w:tc>
        <w:tc>
          <w:tcPr>
            <w:tcW w:w="990" w:type="dxa"/>
          </w:tcPr>
          <w:p w14:paraId="0727747E" w14:textId="26AA858C" w:rsidR="00042EFD" w:rsidRPr="003B4AEE" w:rsidRDefault="00042EFD" w:rsidP="00EF2A49">
            <w:pPr>
              <w:pStyle w:val="Tables"/>
              <w:jc w:val="center"/>
            </w:pPr>
            <w:r w:rsidRPr="003B4AEE">
              <w:t>108</w:t>
            </w:r>
          </w:p>
        </w:tc>
      </w:tr>
      <w:tr w:rsidR="00042EFD" w:rsidRPr="003B4AEE" w14:paraId="4BCD0106" w14:textId="77777777" w:rsidTr="00A30867">
        <w:tc>
          <w:tcPr>
            <w:tcW w:w="4817" w:type="dxa"/>
          </w:tcPr>
          <w:p w14:paraId="45267957" w14:textId="3F26E92D" w:rsidR="00042EFD" w:rsidRPr="003B4AEE" w:rsidRDefault="00042EFD" w:rsidP="00A30867">
            <w:pPr>
              <w:pStyle w:val="Tables"/>
            </w:pPr>
            <w:r w:rsidRPr="003B4AEE">
              <w:t xml:space="preserve">Comprehensive </w:t>
            </w:r>
            <w:r w:rsidR="0019693A" w:rsidRPr="003B4AEE">
              <w:t xml:space="preserve">demonstration study plan </w:t>
            </w:r>
            <w:r w:rsidR="00D51DC6" w:rsidRPr="003B4AEE">
              <w:t>(Track II</w:t>
            </w:r>
            <w:r w:rsidRPr="003B4AEE">
              <w:t>)</w:t>
            </w:r>
          </w:p>
        </w:tc>
        <w:tc>
          <w:tcPr>
            <w:tcW w:w="3543" w:type="dxa"/>
          </w:tcPr>
          <w:p w14:paraId="7009C7A8" w14:textId="1771C642" w:rsidR="00042EFD" w:rsidRPr="003B4AEE" w:rsidRDefault="00042EFD" w:rsidP="00EF2A49">
            <w:pPr>
              <w:pStyle w:val="Tables"/>
              <w:jc w:val="center"/>
            </w:pPr>
            <w:r w:rsidRPr="003B4AEE">
              <w:t xml:space="preserve">Once per new permit </w:t>
            </w:r>
            <w:r w:rsidR="00A96FEF" w:rsidRPr="003B4AEE">
              <w:t>without CCRS</w:t>
            </w:r>
          </w:p>
        </w:tc>
        <w:tc>
          <w:tcPr>
            <w:tcW w:w="990" w:type="dxa"/>
          </w:tcPr>
          <w:p w14:paraId="423D7C0E" w14:textId="6A2FCD41" w:rsidR="00042EFD" w:rsidRPr="003B4AEE" w:rsidRDefault="00042EFD" w:rsidP="00EF2A49">
            <w:pPr>
              <w:pStyle w:val="Tables"/>
              <w:jc w:val="center"/>
            </w:pPr>
            <w:r w:rsidRPr="003B4AEE">
              <w:t>271</w:t>
            </w:r>
          </w:p>
        </w:tc>
      </w:tr>
      <w:tr w:rsidR="00042EFD" w:rsidRPr="003B4AEE" w14:paraId="75A323C4" w14:textId="77777777" w:rsidTr="00A30867">
        <w:tc>
          <w:tcPr>
            <w:tcW w:w="4817" w:type="dxa"/>
          </w:tcPr>
          <w:p w14:paraId="42F95785" w14:textId="12A1724C" w:rsidR="00042EFD" w:rsidRPr="003B4AEE" w:rsidRDefault="00042EFD" w:rsidP="00A30867">
            <w:pPr>
              <w:pStyle w:val="Tables"/>
            </w:pPr>
            <w:r w:rsidRPr="003B4AEE">
              <w:t xml:space="preserve">Source </w:t>
            </w:r>
            <w:r w:rsidR="0019693A" w:rsidRPr="003B4AEE">
              <w:t xml:space="preserve">water baseline biological characterization study </w:t>
            </w:r>
            <w:r w:rsidRPr="003B4AEE">
              <w:t>(</w:t>
            </w:r>
            <w:r w:rsidR="00D51DC6" w:rsidRPr="003B4AEE">
              <w:t>Track II</w:t>
            </w:r>
            <w:r w:rsidRPr="003B4AEE">
              <w:t>)</w:t>
            </w:r>
          </w:p>
        </w:tc>
        <w:tc>
          <w:tcPr>
            <w:tcW w:w="3543" w:type="dxa"/>
          </w:tcPr>
          <w:p w14:paraId="729F53CB" w14:textId="315C445F" w:rsidR="00042EFD" w:rsidRPr="003B4AEE" w:rsidRDefault="00042EFD" w:rsidP="00EF2A49">
            <w:pPr>
              <w:pStyle w:val="Tables"/>
              <w:jc w:val="center"/>
            </w:pPr>
            <w:r w:rsidRPr="003B4AEE">
              <w:t xml:space="preserve">Once per new permit </w:t>
            </w:r>
            <w:r w:rsidR="00A96FEF" w:rsidRPr="003B4AEE">
              <w:t>without CCRS</w:t>
            </w:r>
          </w:p>
        </w:tc>
        <w:tc>
          <w:tcPr>
            <w:tcW w:w="990" w:type="dxa"/>
          </w:tcPr>
          <w:p w14:paraId="655E81B7" w14:textId="718EFEAE" w:rsidR="00042EFD" w:rsidRPr="003B4AEE" w:rsidRDefault="00042EFD" w:rsidP="00EF2A49">
            <w:pPr>
              <w:pStyle w:val="Tables"/>
              <w:jc w:val="center"/>
            </w:pPr>
            <w:r w:rsidRPr="003B4AEE">
              <w:t>5,196</w:t>
            </w:r>
          </w:p>
        </w:tc>
      </w:tr>
      <w:tr w:rsidR="00042EFD" w:rsidRPr="003B4AEE" w14:paraId="53C9AD21" w14:textId="77777777" w:rsidTr="00A30867">
        <w:tc>
          <w:tcPr>
            <w:tcW w:w="4817" w:type="dxa"/>
          </w:tcPr>
          <w:p w14:paraId="235BE1F3" w14:textId="659D00DF" w:rsidR="00042EFD" w:rsidRPr="003B4AEE" w:rsidRDefault="00042EFD" w:rsidP="00A30867">
            <w:pPr>
              <w:pStyle w:val="Tables"/>
            </w:pPr>
            <w:r w:rsidRPr="003B4AEE">
              <w:t xml:space="preserve">Evaluation of </w:t>
            </w:r>
            <w:r w:rsidR="0019693A" w:rsidRPr="003B4AEE">
              <w:t xml:space="preserve">potential </w:t>
            </w:r>
            <w:r w:rsidRPr="003B4AEE">
              <w:t xml:space="preserve">CWIS </w:t>
            </w:r>
            <w:r w:rsidR="0019693A" w:rsidRPr="003B4AEE">
              <w:t xml:space="preserve">effects </w:t>
            </w:r>
            <w:r w:rsidRPr="003B4AEE">
              <w:t>(</w:t>
            </w:r>
            <w:r w:rsidR="00D51DC6" w:rsidRPr="003B4AEE">
              <w:t>Track II</w:t>
            </w:r>
            <w:r w:rsidRPr="003B4AEE">
              <w:t>)</w:t>
            </w:r>
          </w:p>
        </w:tc>
        <w:tc>
          <w:tcPr>
            <w:tcW w:w="3543" w:type="dxa"/>
          </w:tcPr>
          <w:p w14:paraId="16F7E1CD" w14:textId="5B6FA64F" w:rsidR="00042EFD" w:rsidRPr="003B4AEE" w:rsidRDefault="00042EFD" w:rsidP="00EF2A49">
            <w:pPr>
              <w:pStyle w:val="Tables"/>
              <w:jc w:val="center"/>
            </w:pPr>
            <w:r w:rsidRPr="003B4AEE">
              <w:t xml:space="preserve">Once per new permit </w:t>
            </w:r>
            <w:r w:rsidR="00A96FEF" w:rsidRPr="003B4AEE">
              <w:t>without CCRS</w:t>
            </w:r>
          </w:p>
        </w:tc>
        <w:tc>
          <w:tcPr>
            <w:tcW w:w="990" w:type="dxa"/>
          </w:tcPr>
          <w:p w14:paraId="3E9E23A1" w14:textId="4E656D6D" w:rsidR="00042EFD" w:rsidRPr="003B4AEE" w:rsidRDefault="00042EFD" w:rsidP="00EF2A49">
            <w:pPr>
              <w:pStyle w:val="Tables"/>
              <w:jc w:val="center"/>
            </w:pPr>
            <w:r w:rsidRPr="003B4AEE">
              <w:t>1,626</w:t>
            </w:r>
          </w:p>
        </w:tc>
      </w:tr>
      <w:tr w:rsidR="00042EFD" w:rsidRPr="003B4AEE" w14:paraId="306A88D8" w14:textId="77777777" w:rsidTr="00A30867">
        <w:tc>
          <w:tcPr>
            <w:tcW w:w="4817" w:type="dxa"/>
          </w:tcPr>
          <w:p w14:paraId="6FAAA37B" w14:textId="0B2DE74D" w:rsidR="00042EFD" w:rsidRPr="003B4AEE" w:rsidRDefault="00237096" w:rsidP="00A30867">
            <w:pPr>
              <w:pStyle w:val="Tables"/>
            </w:pPr>
            <w:r w:rsidRPr="003B4AEE">
              <w:t xml:space="preserve">Verification </w:t>
            </w:r>
            <w:r w:rsidR="0019693A" w:rsidRPr="003B4AEE">
              <w:t xml:space="preserve">monitoring plan </w:t>
            </w:r>
            <w:r w:rsidRPr="003B4AEE">
              <w:t>(</w:t>
            </w:r>
            <w:r w:rsidR="00D51DC6" w:rsidRPr="003B4AEE">
              <w:t>Track II</w:t>
            </w:r>
            <w:r w:rsidRPr="003B4AEE">
              <w:t>)</w:t>
            </w:r>
          </w:p>
        </w:tc>
        <w:tc>
          <w:tcPr>
            <w:tcW w:w="3543" w:type="dxa"/>
          </w:tcPr>
          <w:p w14:paraId="004E96E8" w14:textId="2DF7990F" w:rsidR="00042EFD" w:rsidRPr="003B4AEE" w:rsidRDefault="00BC7EE9" w:rsidP="00EF2A49">
            <w:pPr>
              <w:pStyle w:val="Tables"/>
              <w:jc w:val="center"/>
            </w:pPr>
            <w:r w:rsidRPr="003B4AEE">
              <w:t>Once</w:t>
            </w:r>
            <w:r w:rsidR="00237096" w:rsidRPr="003B4AEE">
              <w:t xml:space="preserve"> per new permit </w:t>
            </w:r>
            <w:r w:rsidR="00A96FEF" w:rsidRPr="003B4AEE">
              <w:t>without CCRS</w:t>
            </w:r>
          </w:p>
        </w:tc>
        <w:tc>
          <w:tcPr>
            <w:tcW w:w="990" w:type="dxa"/>
          </w:tcPr>
          <w:p w14:paraId="61FFE113" w14:textId="50591F9B" w:rsidR="00042EFD" w:rsidRPr="003B4AEE" w:rsidRDefault="00237096" w:rsidP="00EF2A49">
            <w:pPr>
              <w:pStyle w:val="Tables"/>
              <w:jc w:val="center"/>
            </w:pPr>
            <w:r w:rsidRPr="003B4AEE">
              <w:t>128</w:t>
            </w:r>
          </w:p>
        </w:tc>
      </w:tr>
      <w:tr w:rsidR="00BC7EE9" w:rsidRPr="003B4AEE" w14:paraId="6404F906" w14:textId="77777777" w:rsidTr="00A30867">
        <w:tc>
          <w:tcPr>
            <w:tcW w:w="4817" w:type="dxa"/>
          </w:tcPr>
          <w:p w14:paraId="46A50D5D" w14:textId="0FC912DE" w:rsidR="00BC7EE9" w:rsidRPr="003B4AEE" w:rsidRDefault="00BC7EE9" w:rsidP="00A30867">
            <w:pPr>
              <w:pStyle w:val="Tables"/>
            </w:pPr>
            <w:r w:rsidRPr="003B4AEE">
              <w:t xml:space="preserve">Freshwater </w:t>
            </w:r>
            <w:r w:rsidR="0019693A" w:rsidRPr="003B4AEE">
              <w:t xml:space="preserve">verification study </w:t>
            </w:r>
            <w:r w:rsidRPr="003B4AEE">
              <w:t>(</w:t>
            </w:r>
            <w:r w:rsidR="00D51DC6" w:rsidRPr="003B4AEE">
              <w:t>Track II</w:t>
            </w:r>
            <w:r w:rsidRPr="003B4AEE">
              <w:t>)</w:t>
            </w:r>
          </w:p>
        </w:tc>
        <w:tc>
          <w:tcPr>
            <w:tcW w:w="3543" w:type="dxa"/>
          </w:tcPr>
          <w:p w14:paraId="44FE7CC8" w14:textId="233A5542" w:rsidR="00BC7EE9" w:rsidRPr="003B4AEE" w:rsidRDefault="00BC7EE9" w:rsidP="00EF2A49">
            <w:pPr>
              <w:pStyle w:val="Tables"/>
              <w:jc w:val="center"/>
            </w:pPr>
            <w:r w:rsidRPr="003B4AEE">
              <w:t xml:space="preserve">Once per new permit </w:t>
            </w:r>
            <w:r w:rsidR="00A96FEF" w:rsidRPr="003B4AEE">
              <w:t xml:space="preserve">without CCRS </w:t>
            </w:r>
            <w:r w:rsidRPr="003B4AEE">
              <w:t>with freshwater</w:t>
            </w:r>
          </w:p>
        </w:tc>
        <w:tc>
          <w:tcPr>
            <w:tcW w:w="990" w:type="dxa"/>
          </w:tcPr>
          <w:p w14:paraId="7205CFE2" w14:textId="7B25A8F3" w:rsidR="00BC7EE9" w:rsidRPr="003B4AEE" w:rsidRDefault="00BC7EE9" w:rsidP="00EF2A49">
            <w:pPr>
              <w:pStyle w:val="Tables"/>
              <w:jc w:val="center"/>
            </w:pPr>
            <w:r w:rsidRPr="003B4AEE">
              <w:t>92</w:t>
            </w:r>
          </w:p>
        </w:tc>
      </w:tr>
      <w:tr w:rsidR="00BC7EE9" w:rsidRPr="003B4AEE" w14:paraId="0F4AE34C" w14:textId="77777777" w:rsidTr="00A30867">
        <w:tc>
          <w:tcPr>
            <w:tcW w:w="4817" w:type="dxa"/>
          </w:tcPr>
          <w:p w14:paraId="2CF09D33" w14:textId="11D7E1A5" w:rsidR="00BC7EE9" w:rsidRPr="003B4AEE" w:rsidRDefault="00BC7EE9" w:rsidP="00A30867">
            <w:pPr>
              <w:pStyle w:val="Tables"/>
            </w:pPr>
            <w:r w:rsidRPr="003B4AEE">
              <w:t xml:space="preserve">Estuary </w:t>
            </w:r>
            <w:r w:rsidR="0019693A" w:rsidRPr="003B4AEE">
              <w:t xml:space="preserve">verification study </w:t>
            </w:r>
            <w:r w:rsidRPr="003B4AEE">
              <w:t>(</w:t>
            </w:r>
            <w:r w:rsidR="00D51DC6" w:rsidRPr="003B4AEE">
              <w:t>Track II</w:t>
            </w:r>
            <w:r w:rsidRPr="003B4AEE">
              <w:t>)</w:t>
            </w:r>
          </w:p>
        </w:tc>
        <w:tc>
          <w:tcPr>
            <w:tcW w:w="3543" w:type="dxa"/>
          </w:tcPr>
          <w:p w14:paraId="25CB772F" w14:textId="56004FBB" w:rsidR="00BC7EE9" w:rsidRPr="003B4AEE" w:rsidRDefault="00BC7EE9" w:rsidP="00EF2A49">
            <w:pPr>
              <w:pStyle w:val="Tables"/>
              <w:jc w:val="center"/>
            </w:pPr>
            <w:r w:rsidRPr="003B4AEE">
              <w:t>Once per new permit</w:t>
            </w:r>
            <w:r w:rsidR="00A96FEF" w:rsidRPr="003B4AEE">
              <w:t xml:space="preserve"> without CCRS</w:t>
            </w:r>
            <w:r w:rsidRPr="003B4AEE">
              <w:t xml:space="preserve"> with estuarine </w:t>
            </w:r>
            <w:r w:rsidR="003942D4" w:rsidRPr="003B4AEE">
              <w:t>water</w:t>
            </w:r>
          </w:p>
        </w:tc>
        <w:tc>
          <w:tcPr>
            <w:tcW w:w="990" w:type="dxa"/>
          </w:tcPr>
          <w:p w14:paraId="09A80EC2" w14:textId="6ECF76E6" w:rsidR="00BC7EE9" w:rsidRPr="003B4AEE" w:rsidRDefault="00BC7EE9" w:rsidP="00EF2A49">
            <w:pPr>
              <w:pStyle w:val="Tables"/>
              <w:jc w:val="center"/>
            </w:pPr>
            <w:r w:rsidRPr="003B4AEE">
              <w:t>122</w:t>
            </w:r>
          </w:p>
        </w:tc>
      </w:tr>
      <w:tr w:rsidR="00BC7EE9" w:rsidRPr="003B4AEE" w14:paraId="7EF4B6E2" w14:textId="77777777" w:rsidTr="00A30867">
        <w:tc>
          <w:tcPr>
            <w:tcW w:w="4817" w:type="dxa"/>
          </w:tcPr>
          <w:p w14:paraId="1D037F11" w14:textId="0DF2D378" w:rsidR="00BC7EE9" w:rsidRPr="003B4AEE" w:rsidRDefault="00BC7EE9" w:rsidP="00A30867">
            <w:pPr>
              <w:pStyle w:val="Tables"/>
            </w:pPr>
            <w:r w:rsidRPr="003B4AEE">
              <w:t xml:space="preserve">Initial </w:t>
            </w:r>
            <w:r w:rsidR="0019693A" w:rsidRPr="003B4AEE">
              <w:t xml:space="preserve">biological monitoring </w:t>
            </w:r>
            <w:r w:rsidRPr="003B4AEE">
              <w:t xml:space="preserve">for </w:t>
            </w:r>
            <w:r w:rsidR="0019693A" w:rsidRPr="003B4AEE">
              <w:t xml:space="preserve">impingement </w:t>
            </w:r>
            <w:r w:rsidRPr="003B4AEE">
              <w:t>(</w:t>
            </w:r>
            <w:r w:rsidR="00784FA2" w:rsidRPr="003B4AEE">
              <w:t>f</w:t>
            </w:r>
            <w:r w:rsidRPr="003B4AEE">
              <w:t>reshwater)</w:t>
            </w:r>
          </w:p>
        </w:tc>
        <w:tc>
          <w:tcPr>
            <w:tcW w:w="3543" w:type="dxa"/>
          </w:tcPr>
          <w:p w14:paraId="2A2E62BA" w14:textId="1BD9D310" w:rsidR="00BC7EE9" w:rsidRPr="003B4AEE" w:rsidRDefault="007B1EFF" w:rsidP="00EF2A49">
            <w:pPr>
              <w:pStyle w:val="Tables"/>
              <w:jc w:val="center"/>
            </w:pPr>
            <w:r w:rsidRPr="003B4AEE">
              <w:t>Two years per new permit</w:t>
            </w:r>
            <w:r w:rsidR="00DC4556" w:rsidRPr="003B4AEE">
              <w:t xml:space="preserve"> with freshwater</w:t>
            </w:r>
          </w:p>
        </w:tc>
        <w:tc>
          <w:tcPr>
            <w:tcW w:w="990" w:type="dxa"/>
          </w:tcPr>
          <w:p w14:paraId="508E5236" w14:textId="02B168CD" w:rsidR="00BC7EE9" w:rsidRPr="003B4AEE" w:rsidRDefault="00BC7EE9" w:rsidP="00EF2A49">
            <w:pPr>
              <w:pStyle w:val="Tables"/>
              <w:jc w:val="center"/>
            </w:pPr>
            <w:r w:rsidRPr="003B4AEE">
              <w:t>379</w:t>
            </w:r>
          </w:p>
        </w:tc>
      </w:tr>
      <w:tr w:rsidR="007B1EFF" w:rsidRPr="003B4AEE" w14:paraId="373021A0" w14:textId="77777777" w:rsidTr="00A30867">
        <w:tc>
          <w:tcPr>
            <w:tcW w:w="4817" w:type="dxa"/>
          </w:tcPr>
          <w:p w14:paraId="0C4F944D" w14:textId="3344CAB9" w:rsidR="007B1EFF" w:rsidRPr="003B4AEE" w:rsidRDefault="00DC4556" w:rsidP="00A30867">
            <w:pPr>
              <w:pStyle w:val="Tables"/>
            </w:pPr>
            <w:r w:rsidRPr="003B4AEE">
              <w:t xml:space="preserve">Initial </w:t>
            </w:r>
            <w:r w:rsidR="0019693A" w:rsidRPr="003B4AEE">
              <w:t xml:space="preserve">biological monitoring </w:t>
            </w:r>
            <w:r w:rsidRPr="003B4AEE">
              <w:t xml:space="preserve">for </w:t>
            </w:r>
            <w:r w:rsidR="0019693A" w:rsidRPr="003B4AEE">
              <w:t>i</w:t>
            </w:r>
            <w:r w:rsidRPr="003B4AEE">
              <w:t>mpingement (</w:t>
            </w:r>
            <w:r w:rsidR="0019693A" w:rsidRPr="003B4AEE">
              <w:t>estuary</w:t>
            </w:r>
            <w:r w:rsidRPr="003B4AEE">
              <w:t>)</w:t>
            </w:r>
          </w:p>
        </w:tc>
        <w:tc>
          <w:tcPr>
            <w:tcW w:w="3543" w:type="dxa"/>
          </w:tcPr>
          <w:p w14:paraId="63F9069E" w14:textId="087E74B5" w:rsidR="007B1EFF" w:rsidRPr="003B4AEE" w:rsidRDefault="00DC4556" w:rsidP="00EF2A49">
            <w:pPr>
              <w:pStyle w:val="Tables"/>
              <w:jc w:val="center"/>
            </w:pPr>
            <w:r w:rsidRPr="003B4AEE">
              <w:t>Two years per new permit with estuary</w:t>
            </w:r>
          </w:p>
        </w:tc>
        <w:tc>
          <w:tcPr>
            <w:tcW w:w="990" w:type="dxa"/>
          </w:tcPr>
          <w:p w14:paraId="637FC186" w14:textId="765006F6" w:rsidR="007B1EFF" w:rsidRPr="003B4AEE" w:rsidRDefault="00DC4556" w:rsidP="00EF2A49">
            <w:pPr>
              <w:pStyle w:val="Tables"/>
              <w:jc w:val="center"/>
            </w:pPr>
            <w:r w:rsidRPr="003B4AEE">
              <w:t>482</w:t>
            </w:r>
          </w:p>
        </w:tc>
      </w:tr>
      <w:tr w:rsidR="00DC4556" w:rsidRPr="003B4AEE" w14:paraId="321957D8" w14:textId="77777777" w:rsidTr="00A30867">
        <w:tc>
          <w:tcPr>
            <w:tcW w:w="4817" w:type="dxa"/>
          </w:tcPr>
          <w:p w14:paraId="32E85705" w14:textId="37A74EE1" w:rsidR="00DC4556" w:rsidRPr="003B4AEE" w:rsidRDefault="00DC4556" w:rsidP="00A30867">
            <w:pPr>
              <w:pStyle w:val="Tables"/>
            </w:pPr>
            <w:r w:rsidRPr="003B4AEE">
              <w:t xml:space="preserve">Initial </w:t>
            </w:r>
            <w:r w:rsidR="0019693A" w:rsidRPr="003B4AEE">
              <w:t xml:space="preserve">biological monitoring </w:t>
            </w:r>
            <w:r w:rsidRPr="003B4AEE">
              <w:t xml:space="preserve">for </w:t>
            </w:r>
            <w:r w:rsidR="0019693A" w:rsidRPr="003B4AEE">
              <w:t xml:space="preserve">entrainment </w:t>
            </w:r>
            <w:r w:rsidRPr="003B4AEE">
              <w:t>(</w:t>
            </w:r>
            <w:r w:rsidR="00784FA2" w:rsidRPr="003B4AEE">
              <w:t>f</w:t>
            </w:r>
            <w:r w:rsidRPr="003B4AEE">
              <w:t>reshwater)</w:t>
            </w:r>
          </w:p>
        </w:tc>
        <w:tc>
          <w:tcPr>
            <w:tcW w:w="3543" w:type="dxa"/>
          </w:tcPr>
          <w:p w14:paraId="165F328F" w14:textId="4A887541" w:rsidR="00DC4556" w:rsidRPr="003B4AEE" w:rsidRDefault="00DC4556" w:rsidP="00EF2A49">
            <w:pPr>
              <w:pStyle w:val="Tables"/>
              <w:jc w:val="center"/>
            </w:pPr>
            <w:r w:rsidRPr="003B4AEE">
              <w:t>Two years per new permit with freshwater</w:t>
            </w:r>
          </w:p>
        </w:tc>
        <w:tc>
          <w:tcPr>
            <w:tcW w:w="990" w:type="dxa"/>
          </w:tcPr>
          <w:p w14:paraId="5D236653" w14:textId="04F91F81" w:rsidR="00DC4556" w:rsidRPr="003B4AEE" w:rsidRDefault="00DC4556" w:rsidP="00EF2A49">
            <w:pPr>
              <w:pStyle w:val="Tables"/>
              <w:jc w:val="center"/>
            </w:pPr>
            <w:r w:rsidRPr="003B4AEE">
              <w:t>614</w:t>
            </w:r>
          </w:p>
        </w:tc>
      </w:tr>
      <w:tr w:rsidR="00DC4556" w:rsidRPr="003B4AEE" w14:paraId="5F0C6D65" w14:textId="77777777" w:rsidTr="00A30867">
        <w:tc>
          <w:tcPr>
            <w:tcW w:w="4817" w:type="dxa"/>
          </w:tcPr>
          <w:p w14:paraId="7AEAA853" w14:textId="6196D494" w:rsidR="00DC4556" w:rsidRPr="003B4AEE" w:rsidRDefault="00DC4556" w:rsidP="00A30867">
            <w:pPr>
              <w:pStyle w:val="Tables"/>
            </w:pPr>
            <w:r w:rsidRPr="003B4AEE">
              <w:t xml:space="preserve">Initial </w:t>
            </w:r>
            <w:r w:rsidR="0019693A" w:rsidRPr="003B4AEE">
              <w:t xml:space="preserve">biological monitoring </w:t>
            </w:r>
            <w:r w:rsidRPr="003B4AEE">
              <w:t xml:space="preserve">for </w:t>
            </w:r>
            <w:r w:rsidR="0019693A" w:rsidRPr="003B4AEE">
              <w:t xml:space="preserve">entrainment </w:t>
            </w:r>
            <w:r w:rsidRPr="003B4AEE">
              <w:t>(</w:t>
            </w:r>
            <w:r w:rsidR="0019693A" w:rsidRPr="003B4AEE">
              <w:t>estuary</w:t>
            </w:r>
            <w:r w:rsidRPr="003B4AEE">
              <w:t>)</w:t>
            </w:r>
          </w:p>
        </w:tc>
        <w:tc>
          <w:tcPr>
            <w:tcW w:w="3543" w:type="dxa"/>
          </w:tcPr>
          <w:p w14:paraId="17486D58" w14:textId="1E760489" w:rsidR="00DC4556" w:rsidRPr="003B4AEE" w:rsidRDefault="00DC4556" w:rsidP="00EF2A49">
            <w:pPr>
              <w:pStyle w:val="Tables"/>
              <w:jc w:val="center"/>
            </w:pPr>
            <w:r w:rsidRPr="003B4AEE">
              <w:t>Two years per new permit with estuary</w:t>
            </w:r>
          </w:p>
        </w:tc>
        <w:tc>
          <w:tcPr>
            <w:tcW w:w="990" w:type="dxa"/>
          </w:tcPr>
          <w:p w14:paraId="50977FBE" w14:textId="3098BCF5" w:rsidR="00DC4556" w:rsidRPr="003B4AEE" w:rsidRDefault="00DC4556" w:rsidP="00EF2A49">
            <w:pPr>
              <w:pStyle w:val="Tables"/>
              <w:jc w:val="center"/>
            </w:pPr>
            <w:r w:rsidRPr="003B4AEE">
              <w:t>776</w:t>
            </w:r>
          </w:p>
        </w:tc>
      </w:tr>
    </w:tbl>
    <w:p w14:paraId="30E1761F" w14:textId="65CD8C9B" w:rsidR="008F6679" w:rsidRPr="003B4AEE" w:rsidRDefault="008F6679" w:rsidP="00DE1B27">
      <w:pPr>
        <w:spacing w:after="0"/>
      </w:pPr>
    </w:p>
    <w:p w14:paraId="23C7C6BE" w14:textId="26701FCA" w:rsidR="00A44CC8" w:rsidRPr="003B4AEE" w:rsidRDefault="00A44CC8" w:rsidP="00EC279B">
      <w:pPr>
        <w:pStyle w:val="TableTitleAppendix"/>
        <w:tabs>
          <w:tab w:val="left" w:pos="2520"/>
        </w:tabs>
      </w:pPr>
      <w:bookmarkStart w:id="421" w:name="_Toc61521421"/>
      <w:r w:rsidRPr="003B4AEE">
        <w:lastRenderedPageBreak/>
        <w:t xml:space="preserve">Table </w:t>
      </w:r>
      <w:r w:rsidR="00054BE9" w:rsidRPr="003B4AEE">
        <w:t>A-10</w:t>
      </w:r>
      <w:r w:rsidR="00ED7594" w:rsidRPr="003B4AEE">
        <w:t>.</w:t>
      </w:r>
      <w:r w:rsidRPr="003B4AEE">
        <w:t xml:space="preserve"> Estimated </w:t>
      </w:r>
      <w:r w:rsidR="00872DA2" w:rsidRPr="003B4AEE">
        <w:t>F</w:t>
      </w:r>
      <w:r w:rsidR="0019693A" w:rsidRPr="003B4AEE">
        <w:t xml:space="preserve">acility </w:t>
      </w:r>
      <w:r w:rsidR="00872DA2" w:rsidRPr="003B4AEE">
        <w:t>B</w:t>
      </w:r>
      <w:r w:rsidR="0019693A" w:rsidRPr="003B4AEE">
        <w:t xml:space="preserve">urden </w:t>
      </w:r>
      <w:r w:rsidR="005B4FEB" w:rsidRPr="003B4AEE">
        <w:t xml:space="preserve">for </w:t>
      </w:r>
      <w:r w:rsidR="00872DA2" w:rsidRPr="003B4AEE">
        <w:t>R</w:t>
      </w:r>
      <w:r w:rsidR="0019693A" w:rsidRPr="003B4AEE">
        <w:t xml:space="preserve">ecurring </w:t>
      </w:r>
      <w:r w:rsidR="00872DA2" w:rsidRPr="003B4AEE">
        <w:t>A</w:t>
      </w:r>
      <w:r w:rsidR="0019693A" w:rsidRPr="003B4AEE">
        <w:t xml:space="preserve">ctivities </w:t>
      </w:r>
      <w:r w:rsidRPr="003B4AEE">
        <w:t xml:space="preserve">for </w:t>
      </w:r>
      <w:r w:rsidR="00872DA2" w:rsidRPr="003B4AEE">
        <w:t>N</w:t>
      </w:r>
      <w:r w:rsidR="0019693A" w:rsidRPr="003B4AEE">
        <w:t xml:space="preserve">ew </w:t>
      </w:r>
      <w:r w:rsidR="005B4FEB" w:rsidRPr="003B4AEE">
        <w:t xml:space="preserve">CWIS </w:t>
      </w:r>
      <w:r w:rsidR="00872DA2" w:rsidRPr="003B4AEE">
        <w:t>F</w:t>
      </w:r>
      <w:r w:rsidR="0019693A" w:rsidRPr="003B4AEE">
        <w:t>acilities</w:t>
      </w:r>
      <w:bookmarkEnd w:id="421"/>
    </w:p>
    <w:tbl>
      <w:tblPr>
        <w:tblStyle w:val="TableGrid"/>
        <w:tblW w:w="0" w:type="auto"/>
        <w:tblLook w:val="04A0" w:firstRow="1" w:lastRow="0" w:firstColumn="1" w:lastColumn="0" w:noHBand="0" w:noVBand="1"/>
      </w:tblPr>
      <w:tblGrid>
        <w:gridCol w:w="4801"/>
        <w:gridCol w:w="3559"/>
        <w:gridCol w:w="990"/>
      </w:tblGrid>
      <w:tr w:rsidR="004C042F" w:rsidRPr="003B4AEE" w14:paraId="678F217A" w14:textId="77777777" w:rsidTr="009F1C6B">
        <w:trPr>
          <w:tblHeader/>
        </w:trPr>
        <w:tc>
          <w:tcPr>
            <w:tcW w:w="4801" w:type="dxa"/>
            <w:shd w:val="clear" w:color="auto" w:fill="D9D9D9" w:themeFill="background1" w:themeFillShade="D9"/>
            <w:vAlign w:val="bottom"/>
          </w:tcPr>
          <w:p w14:paraId="188A3DAC" w14:textId="038AE4B2" w:rsidR="004C042F" w:rsidRPr="003B4AEE" w:rsidRDefault="004C042F" w:rsidP="009F1C6B">
            <w:pPr>
              <w:pStyle w:val="TableHeading"/>
            </w:pPr>
            <w:r w:rsidRPr="003B4AEE">
              <w:t xml:space="preserve">Permittee </w:t>
            </w:r>
            <w:r w:rsidR="00FC4DB7" w:rsidRPr="003B4AEE">
              <w:t>R</w:t>
            </w:r>
            <w:r w:rsidR="0019693A" w:rsidRPr="003B4AEE">
              <w:t xml:space="preserve">ecurring </w:t>
            </w:r>
            <w:r w:rsidR="00FC4DB7" w:rsidRPr="003B4AEE">
              <w:t>A</w:t>
            </w:r>
            <w:r w:rsidR="0019693A" w:rsidRPr="003B4AEE">
              <w:t>ctivity</w:t>
            </w:r>
          </w:p>
        </w:tc>
        <w:tc>
          <w:tcPr>
            <w:tcW w:w="3559" w:type="dxa"/>
            <w:shd w:val="clear" w:color="auto" w:fill="D9D9D9" w:themeFill="background1" w:themeFillShade="D9"/>
            <w:vAlign w:val="bottom"/>
          </w:tcPr>
          <w:p w14:paraId="0A6CACEE" w14:textId="253FA58E" w:rsidR="004C042F" w:rsidRPr="003B4AEE" w:rsidRDefault="004C042F" w:rsidP="009F1C6B">
            <w:pPr>
              <w:pStyle w:val="TableHeading"/>
            </w:pPr>
            <w:r w:rsidRPr="003B4AEE">
              <w:t>Frequency</w:t>
            </w:r>
          </w:p>
        </w:tc>
        <w:tc>
          <w:tcPr>
            <w:tcW w:w="990" w:type="dxa"/>
            <w:shd w:val="clear" w:color="auto" w:fill="D9D9D9" w:themeFill="background1" w:themeFillShade="D9"/>
            <w:vAlign w:val="bottom"/>
          </w:tcPr>
          <w:p w14:paraId="0632D7D8" w14:textId="15BEFD99" w:rsidR="004C042F" w:rsidRPr="003B4AEE" w:rsidRDefault="004C042F" w:rsidP="009F1C6B">
            <w:pPr>
              <w:pStyle w:val="TableHeading"/>
            </w:pPr>
            <w:r w:rsidRPr="003B4AEE">
              <w:t>Burden (hours)</w:t>
            </w:r>
          </w:p>
        </w:tc>
      </w:tr>
      <w:tr w:rsidR="00DF1C28" w:rsidRPr="003B4AEE" w14:paraId="6CDCA43B" w14:textId="77777777" w:rsidTr="00F372AF">
        <w:tc>
          <w:tcPr>
            <w:tcW w:w="4801" w:type="dxa"/>
            <w:vAlign w:val="center"/>
          </w:tcPr>
          <w:p w14:paraId="112F89AE" w14:textId="5165E13D" w:rsidR="00DF1C28" w:rsidRPr="003B4AEE" w:rsidRDefault="00DF1C28" w:rsidP="00A30867">
            <w:pPr>
              <w:pStyle w:val="Tables"/>
            </w:pPr>
            <w:r w:rsidRPr="003B4AEE">
              <w:t>Permit</w:t>
            </w:r>
            <w:r w:rsidR="00592F90" w:rsidRPr="003B4AEE">
              <w:t xml:space="preserve"> renewal</w:t>
            </w:r>
            <w:r w:rsidR="0019693A" w:rsidRPr="003B4AEE">
              <w:t xml:space="preserve"> activities</w:t>
            </w:r>
          </w:p>
        </w:tc>
        <w:tc>
          <w:tcPr>
            <w:tcW w:w="3559" w:type="dxa"/>
            <w:vAlign w:val="center"/>
          </w:tcPr>
          <w:p w14:paraId="67C18E4F" w14:textId="6A889B5F" w:rsidR="00DF1C28" w:rsidRPr="003B4AEE" w:rsidRDefault="00DF1C28" w:rsidP="00EF2A49">
            <w:pPr>
              <w:pStyle w:val="Tables"/>
              <w:jc w:val="center"/>
            </w:pPr>
            <w:r w:rsidRPr="003B4AEE">
              <w:t>Once every 5 years</w:t>
            </w:r>
          </w:p>
        </w:tc>
        <w:tc>
          <w:tcPr>
            <w:tcW w:w="990" w:type="dxa"/>
            <w:vAlign w:val="center"/>
          </w:tcPr>
          <w:p w14:paraId="077D4C16" w14:textId="4FBEEA4A" w:rsidR="00DF1C28" w:rsidRPr="003B4AEE" w:rsidRDefault="00DF1C28" w:rsidP="00EF2A49">
            <w:pPr>
              <w:pStyle w:val="Tables"/>
              <w:jc w:val="center"/>
            </w:pPr>
            <w:r w:rsidRPr="003B4AEE">
              <w:t>72</w:t>
            </w:r>
          </w:p>
        </w:tc>
      </w:tr>
      <w:tr w:rsidR="00DF1C28" w:rsidRPr="003B4AEE" w14:paraId="0DCF50EC" w14:textId="77777777" w:rsidTr="00F372AF">
        <w:tc>
          <w:tcPr>
            <w:tcW w:w="4801" w:type="dxa"/>
            <w:vAlign w:val="center"/>
          </w:tcPr>
          <w:p w14:paraId="419F13A4" w14:textId="3BBFCC81" w:rsidR="00DF1C28" w:rsidRPr="003B4AEE" w:rsidRDefault="00DF1C28" w:rsidP="00A30867">
            <w:pPr>
              <w:pStyle w:val="Tables"/>
            </w:pPr>
            <w:r w:rsidRPr="003B4AEE">
              <w:t xml:space="preserve">Source </w:t>
            </w:r>
            <w:r w:rsidR="0019693A" w:rsidRPr="003B4AEE">
              <w:t>waterbody flow information</w:t>
            </w:r>
          </w:p>
        </w:tc>
        <w:tc>
          <w:tcPr>
            <w:tcW w:w="3559" w:type="dxa"/>
            <w:vAlign w:val="center"/>
          </w:tcPr>
          <w:p w14:paraId="0EC1644E" w14:textId="1F37CCF8" w:rsidR="00DF1C28" w:rsidRPr="003B4AEE" w:rsidRDefault="00DF1C28" w:rsidP="00EF2A49">
            <w:pPr>
              <w:pStyle w:val="Tables"/>
              <w:jc w:val="center"/>
            </w:pPr>
            <w:r w:rsidRPr="003B4AEE">
              <w:t>Once every 5 years</w:t>
            </w:r>
          </w:p>
        </w:tc>
        <w:tc>
          <w:tcPr>
            <w:tcW w:w="990" w:type="dxa"/>
            <w:vAlign w:val="center"/>
          </w:tcPr>
          <w:p w14:paraId="2C31CE97" w14:textId="2BBA09BA" w:rsidR="00DF1C28" w:rsidRPr="003B4AEE" w:rsidRDefault="00DF1C28" w:rsidP="00EF2A49">
            <w:pPr>
              <w:pStyle w:val="Tables"/>
              <w:jc w:val="center"/>
            </w:pPr>
            <w:r w:rsidRPr="003B4AEE">
              <w:t>31</w:t>
            </w:r>
          </w:p>
        </w:tc>
      </w:tr>
      <w:tr w:rsidR="004D785A" w:rsidRPr="003B4AEE" w14:paraId="19657CE2" w14:textId="77777777" w:rsidTr="00F372AF">
        <w:tc>
          <w:tcPr>
            <w:tcW w:w="4801" w:type="dxa"/>
            <w:vAlign w:val="center"/>
          </w:tcPr>
          <w:p w14:paraId="15FDBF59" w14:textId="1A50BE51" w:rsidR="004D785A" w:rsidRPr="003B4AEE" w:rsidRDefault="004D785A" w:rsidP="00A30867">
            <w:pPr>
              <w:pStyle w:val="Tables"/>
            </w:pPr>
            <w:r w:rsidRPr="003B4AEE">
              <w:t xml:space="preserve">Source </w:t>
            </w:r>
            <w:r w:rsidR="0019693A" w:rsidRPr="003B4AEE">
              <w:t>water baseline biological characterization data</w:t>
            </w:r>
          </w:p>
        </w:tc>
        <w:tc>
          <w:tcPr>
            <w:tcW w:w="3559" w:type="dxa"/>
            <w:vAlign w:val="center"/>
          </w:tcPr>
          <w:p w14:paraId="42A2810A" w14:textId="3DA68CC6" w:rsidR="004D785A" w:rsidRPr="003B4AEE" w:rsidRDefault="004D785A" w:rsidP="00EF2A49">
            <w:pPr>
              <w:pStyle w:val="Tables"/>
              <w:jc w:val="center"/>
            </w:pPr>
            <w:r w:rsidRPr="003B4AEE">
              <w:t>Once every 5 years</w:t>
            </w:r>
          </w:p>
        </w:tc>
        <w:tc>
          <w:tcPr>
            <w:tcW w:w="990" w:type="dxa"/>
            <w:vAlign w:val="center"/>
          </w:tcPr>
          <w:p w14:paraId="6F3D2FF3" w14:textId="4A56DC5B" w:rsidR="004D785A" w:rsidRPr="003B4AEE" w:rsidRDefault="004D785A" w:rsidP="00EF2A49">
            <w:pPr>
              <w:pStyle w:val="Tables"/>
              <w:jc w:val="center"/>
            </w:pPr>
            <w:r w:rsidRPr="003B4AEE">
              <w:t>79</w:t>
            </w:r>
          </w:p>
        </w:tc>
      </w:tr>
      <w:tr w:rsidR="004D785A" w:rsidRPr="003B4AEE" w14:paraId="5416A623" w14:textId="77777777" w:rsidTr="00F372AF">
        <w:tc>
          <w:tcPr>
            <w:tcW w:w="4801" w:type="dxa"/>
            <w:vAlign w:val="center"/>
          </w:tcPr>
          <w:p w14:paraId="74D1D25D" w14:textId="2EFED4CE" w:rsidR="004D785A" w:rsidRPr="003B4AEE" w:rsidRDefault="004D785A" w:rsidP="00A30867">
            <w:pPr>
              <w:pStyle w:val="Tables"/>
            </w:pPr>
            <w:r w:rsidRPr="003B4AEE">
              <w:t xml:space="preserve">CWIS </w:t>
            </w:r>
            <w:r w:rsidR="0019693A" w:rsidRPr="003B4AEE">
              <w:t xml:space="preserve">flow reduction requirements </w:t>
            </w:r>
            <w:r w:rsidRPr="003B4AEE">
              <w:t>(Track I)</w:t>
            </w:r>
          </w:p>
        </w:tc>
        <w:tc>
          <w:tcPr>
            <w:tcW w:w="3559" w:type="dxa"/>
            <w:vAlign w:val="center"/>
          </w:tcPr>
          <w:p w14:paraId="308033FF" w14:textId="438551DE" w:rsidR="004D785A" w:rsidRPr="003B4AEE" w:rsidRDefault="004D785A" w:rsidP="00EF2A49">
            <w:pPr>
              <w:pStyle w:val="Tables"/>
              <w:jc w:val="center"/>
            </w:pPr>
            <w:r w:rsidRPr="003B4AEE">
              <w:t>Once every 5 years</w:t>
            </w:r>
          </w:p>
        </w:tc>
        <w:tc>
          <w:tcPr>
            <w:tcW w:w="990" w:type="dxa"/>
            <w:vAlign w:val="center"/>
          </w:tcPr>
          <w:p w14:paraId="41577B01" w14:textId="158E98BE" w:rsidR="004D785A" w:rsidRPr="003B4AEE" w:rsidRDefault="004D785A" w:rsidP="00EF2A49">
            <w:pPr>
              <w:pStyle w:val="Tables"/>
              <w:jc w:val="center"/>
            </w:pPr>
            <w:r w:rsidRPr="003B4AEE">
              <w:t>108</w:t>
            </w:r>
          </w:p>
        </w:tc>
      </w:tr>
      <w:tr w:rsidR="004D785A" w:rsidRPr="003B4AEE" w14:paraId="1001B0E9" w14:textId="77777777" w:rsidTr="00F372AF">
        <w:tc>
          <w:tcPr>
            <w:tcW w:w="4801" w:type="dxa"/>
            <w:vAlign w:val="center"/>
          </w:tcPr>
          <w:p w14:paraId="25D17881" w14:textId="2AA39986" w:rsidR="004D785A" w:rsidRPr="003B4AEE" w:rsidRDefault="004D785A" w:rsidP="00A30867">
            <w:pPr>
              <w:pStyle w:val="Tables"/>
            </w:pPr>
            <w:r w:rsidRPr="003B4AEE">
              <w:t xml:space="preserve">CWIS </w:t>
            </w:r>
            <w:r w:rsidR="0019693A" w:rsidRPr="003B4AEE">
              <w:t xml:space="preserve">velocity requirements </w:t>
            </w:r>
            <w:r w:rsidRPr="003B4AEE">
              <w:t>(Track I)</w:t>
            </w:r>
          </w:p>
        </w:tc>
        <w:tc>
          <w:tcPr>
            <w:tcW w:w="3559" w:type="dxa"/>
            <w:vAlign w:val="center"/>
          </w:tcPr>
          <w:p w14:paraId="7008B89D" w14:textId="66D7092A" w:rsidR="004D785A" w:rsidRPr="003B4AEE" w:rsidRDefault="004D785A" w:rsidP="00EF2A49">
            <w:pPr>
              <w:pStyle w:val="Tables"/>
              <w:jc w:val="center"/>
            </w:pPr>
            <w:r w:rsidRPr="003B4AEE">
              <w:t>Once every 5 years</w:t>
            </w:r>
          </w:p>
        </w:tc>
        <w:tc>
          <w:tcPr>
            <w:tcW w:w="990" w:type="dxa"/>
            <w:vAlign w:val="center"/>
          </w:tcPr>
          <w:p w14:paraId="199F5161" w14:textId="65DE1925" w:rsidR="004D785A" w:rsidRPr="003B4AEE" w:rsidRDefault="004D785A" w:rsidP="00EF2A49">
            <w:pPr>
              <w:pStyle w:val="Tables"/>
              <w:jc w:val="center"/>
            </w:pPr>
            <w:r w:rsidRPr="003B4AEE">
              <w:t>75</w:t>
            </w:r>
          </w:p>
        </w:tc>
      </w:tr>
      <w:tr w:rsidR="004D785A" w:rsidRPr="003B4AEE" w14:paraId="00D5C2CD" w14:textId="77777777" w:rsidTr="00F372AF">
        <w:tc>
          <w:tcPr>
            <w:tcW w:w="4801" w:type="dxa"/>
            <w:vAlign w:val="center"/>
          </w:tcPr>
          <w:p w14:paraId="5F47FF86" w14:textId="2B0E6A4D" w:rsidR="004D785A" w:rsidRPr="003B4AEE" w:rsidRDefault="004D785A" w:rsidP="00A30867">
            <w:pPr>
              <w:pStyle w:val="Tables"/>
            </w:pPr>
            <w:r w:rsidRPr="003B4AEE">
              <w:t xml:space="preserve">Design and </w:t>
            </w:r>
            <w:r w:rsidR="0019693A" w:rsidRPr="003B4AEE">
              <w:t xml:space="preserve">construction technology plan </w:t>
            </w:r>
            <w:r w:rsidRPr="003B4AEE">
              <w:t>(Track I)</w:t>
            </w:r>
          </w:p>
        </w:tc>
        <w:tc>
          <w:tcPr>
            <w:tcW w:w="3559" w:type="dxa"/>
            <w:vAlign w:val="center"/>
          </w:tcPr>
          <w:p w14:paraId="68228F1E" w14:textId="5773895F" w:rsidR="004D785A" w:rsidRPr="003B4AEE" w:rsidRDefault="004D785A" w:rsidP="00EF2A49">
            <w:pPr>
              <w:pStyle w:val="Tables"/>
              <w:jc w:val="center"/>
            </w:pPr>
            <w:r w:rsidRPr="003B4AEE">
              <w:t>Once every 5 years</w:t>
            </w:r>
          </w:p>
        </w:tc>
        <w:tc>
          <w:tcPr>
            <w:tcW w:w="990" w:type="dxa"/>
            <w:vAlign w:val="center"/>
          </w:tcPr>
          <w:p w14:paraId="10D97121" w14:textId="7BB0CB22" w:rsidR="004D785A" w:rsidRPr="003B4AEE" w:rsidRDefault="004D785A" w:rsidP="00EF2A49">
            <w:pPr>
              <w:pStyle w:val="Tables"/>
              <w:jc w:val="center"/>
            </w:pPr>
            <w:r w:rsidRPr="003B4AEE">
              <w:t>43</w:t>
            </w:r>
          </w:p>
        </w:tc>
      </w:tr>
      <w:tr w:rsidR="004D785A" w:rsidRPr="003B4AEE" w14:paraId="43F8237E" w14:textId="77777777" w:rsidTr="00F372AF">
        <w:tc>
          <w:tcPr>
            <w:tcW w:w="4801" w:type="dxa"/>
            <w:vAlign w:val="center"/>
          </w:tcPr>
          <w:p w14:paraId="22A98571" w14:textId="47B6F722" w:rsidR="004D785A" w:rsidRPr="003B4AEE" w:rsidRDefault="004D785A" w:rsidP="00A30867">
            <w:pPr>
              <w:pStyle w:val="Tables"/>
            </w:pPr>
            <w:r w:rsidRPr="003B4AEE">
              <w:t xml:space="preserve">Comprehensive </w:t>
            </w:r>
            <w:r w:rsidR="0019693A" w:rsidRPr="003B4AEE">
              <w:t xml:space="preserve">demonstration study plan </w:t>
            </w:r>
            <w:r w:rsidRPr="003B4AEE">
              <w:t>(Track II)</w:t>
            </w:r>
          </w:p>
        </w:tc>
        <w:tc>
          <w:tcPr>
            <w:tcW w:w="3559" w:type="dxa"/>
            <w:vAlign w:val="center"/>
          </w:tcPr>
          <w:p w14:paraId="5C710908" w14:textId="0669E1CC" w:rsidR="004D785A" w:rsidRPr="003B4AEE" w:rsidRDefault="004D785A" w:rsidP="00EF2A49">
            <w:pPr>
              <w:pStyle w:val="Tables"/>
              <w:jc w:val="center"/>
            </w:pPr>
            <w:r w:rsidRPr="003B4AEE">
              <w:t>Once every 5 years</w:t>
            </w:r>
          </w:p>
        </w:tc>
        <w:tc>
          <w:tcPr>
            <w:tcW w:w="990" w:type="dxa"/>
            <w:vAlign w:val="center"/>
          </w:tcPr>
          <w:p w14:paraId="77744E98" w14:textId="4D9463EF" w:rsidR="004D785A" w:rsidRPr="003B4AEE" w:rsidRDefault="004D785A" w:rsidP="00EF2A49">
            <w:pPr>
              <w:pStyle w:val="Tables"/>
              <w:jc w:val="center"/>
            </w:pPr>
            <w:r w:rsidRPr="003B4AEE">
              <w:t>80</w:t>
            </w:r>
          </w:p>
        </w:tc>
      </w:tr>
      <w:tr w:rsidR="004D785A" w:rsidRPr="003B4AEE" w14:paraId="4054A209" w14:textId="77777777" w:rsidTr="00F372AF">
        <w:tc>
          <w:tcPr>
            <w:tcW w:w="4801" w:type="dxa"/>
            <w:vAlign w:val="center"/>
          </w:tcPr>
          <w:p w14:paraId="0E1EECC3" w14:textId="672C4674" w:rsidR="004D785A" w:rsidRPr="003B4AEE" w:rsidRDefault="004D785A" w:rsidP="00A30867">
            <w:pPr>
              <w:pStyle w:val="Tables"/>
            </w:pPr>
            <w:r w:rsidRPr="003B4AEE">
              <w:t xml:space="preserve">Source </w:t>
            </w:r>
            <w:r w:rsidR="0019693A" w:rsidRPr="003B4AEE">
              <w:t>water baseline biological characterization study</w:t>
            </w:r>
            <w:r w:rsidR="00BB2406" w:rsidRPr="003B4AEE">
              <w:t>—</w:t>
            </w:r>
            <w:r w:rsidR="0019693A" w:rsidRPr="003B4AEE">
              <w:t xml:space="preserve">freshwater </w:t>
            </w:r>
            <w:r w:rsidRPr="003B4AEE">
              <w:t>(Track 2)</w:t>
            </w:r>
          </w:p>
        </w:tc>
        <w:tc>
          <w:tcPr>
            <w:tcW w:w="3559" w:type="dxa"/>
            <w:vAlign w:val="center"/>
          </w:tcPr>
          <w:p w14:paraId="536DAD69" w14:textId="2708123F" w:rsidR="004D785A" w:rsidRPr="003B4AEE" w:rsidRDefault="004D785A" w:rsidP="00EF2A49">
            <w:pPr>
              <w:pStyle w:val="Tables"/>
              <w:jc w:val="center"/>
            </w:pPr>
            <w:r w:rsidRPr="003B4AEE">
              <w:t>Once every 5 years</w:t>
            </w:r>
          </w:p>
        </w:tc>
        <w:tc>
          <w:tcPr>
            <w:tcW w:w="990" w:type="dxa"/>
            <w:vAlign w:val="center"/>
          </w:tcPr>
          <w:p w14:paraId="31A2744E" w14:textId="41204276" w:rsidR="004D785A" w:rsidRPr="003B4AEE" w:rsidRDefault="004D785A" w:rsidP="00EF2A49">
            <w:pPr>
              <w:pStyle w:val="Tables"/>
              <w:jc w:val="center"/>
            </w:pPr>
            <w:r w:rsidRPr="003B4AEE">
              <w:t>2,808</w:t>
            </w:r>
          </w:p>
        </w:tc>
      </w:tr>
      <w:tr w:rsidR="00A70068" w:rsidRPr="003B4AEE" w14:paraId="64E070A5" w14:textId="77777777" w:rsidTr="00F372AF">
        <w:tc>
          <w:tcPr>
            <w:tcW w:w="4801" w:type="dxa"/>
            <w:vAlign w:val="center"/>
          </w:tcPr>
          <w:p w14:paraId="4FFFB214" w14:textId="134FABED" w:rsidR="00A70068" w:rsidRPr="003B4AEE" w:rsidRDefault="00A70068" w:rsidP="00A30867">
            <w:pPr>
              <w:pStyle w:val="Tables"/>
            </w:pPr>
            <w:r w:rsidRPr="003B4AEE">
              <w:t xml:space="preserve">Source </w:t>
            </w:r>
            <w:r w:rsidR="0019693A" w:rsidRPr="003B4AEE">
              <w:t>water baseline biological characterization study</w:t>
            </w:r>
            <w:r w:rsidR="00BB2406" w:rsidRPr="003B4AEE">
              <w:t>—</w:t>
            </w:r>
            <w:r w:rsidR="0019693A" w:rsidRPr="003B4AEE">
              <w:t xml:space="preserve">marine </w:t>
            </w:r>
            <w:r w:rsidRPr="003B4AEE">
              <w:t>(Track 2)</w:t>
            </w:r>
          </w:p>
        </w:tc>
        <w:tc>
          <w:tcPr>
            <w:tcW w:w="3559" w:type="dxa"/>
            <w:vAlign w:val="center"/>
          </w:tcPr>
          <w:p w14:paraId="1F5F9B62" w14:textId="73A912E9" w:rsidR="00A70068" w:rsidRPr="003B4AEE" w:rsidRDefault="00A70068" w:rsidP="00EF2A49">
            <w:pPr>
              <w:pStyle w:val="Tables"/>
              <w:jc w:val="center"/>
            </w:pPr>
            <w:r w:rsidRPr="003B4AEE">
              <w:t>Once every 5 years</w:t>
            </w:r>
          </w:p>
        </w:tc>
        <w:tc>
          <w:tcPr>
            <w:tcW w:w="990" w:type="dxa"/>
            <w:vAlign w:val="center"/>
          </w:tcPr>
          <w:p w14:paraId="31D8CA94" w14:textId="384764D0" w:rsidR="00A70068" w:rsidRPr="003B4AEE" w:rsidRDefault="00A70068" w:rsidP="00EF2A49">
            <w:pPr>
              <w:pStyle w:val="Tables"/>
              <w:jc w:val="center"/>
            </w:pPr>
            <w:r w:rsidRPr="003B4AEE">
              <w:t>5,268</w:t>
            </w:r>
          </w:p>
        </w:tc>
      </w:tr>
      <w:tr w:rsidR="004C042F" w:rsidRPr="003B4AEE" w14:paraId="186CA6D1" w14:textId="77777777" w:rsidTr="00F372AF">
        <w:tc>
          <w:tcPr>
            <w:tcW w:w="4801" w:type="dxa"/>
            <w:vAlign w:val="center"/>
          </w:tcPr>
          <w:p w14:paraId="7904455F" w14:textId="389BD2C0" w:rsidR="004C042F" w:rsidRPr="003B4AEE" w:rsidRDefault="007B1EFF" w:rsidP="00A30867">
            <w:pPr>
              <w:pStyle w:val="Tables"/>
            </w:pPr>
            <w:r w:rsidRPr="003B4AEE">
              <w:t xml:space="preserve">Reduced </w:t>
            </w:r>
            <w:r w:rsidR="0019693A" w:rsidRPr="003B4AEE">
              <w:t xml:space="preserve">biological monitoring </w:t>
            </w:r>
            <w:r w:rsidRPr="003B4AEE">
              <w:t xml:space="preserve">for </w:t>
            </w:r>
            <w:r w:rsidR="0019693A" w:rsidRPr="003B4AEE">
              <w:t xml:space="preserve">impingement </w:t>
            </w:r>
            <w:r w:rsidRPr="003B4AEE">
              <w:t>(</w:t>
            </w:r>
            <w:r w:rsidR="0019693A" w:rsidRPr="003B4AEE">
              <w:t>freshwater</w:t>
            </w:r>
            <w:r w:rsidRPr="003B4AEE">
              <w:t>)</w:t>
            </w:r>
          </w:p>
        </w:tc>
        <w:tc>
          <w:tcPr>
            <w:tcW w:w="3559" w:type="dxa"/>
            <w:vAlign w:val="center"/>
          </w:tcPr>
          <w:p w14:paraId="33E6379C" w14:textId="676DCF0B" w:rsidR="004C042F" w:rsidRPr="003B4AEE" w:rsidRDefault="007B1EFF" w:rsidP="00EF2A49">
            <w:pPr>
              <w:pStyle w:val="Tables"/>
              <w:jc w:val="center"/>
            </w:pPr>
            <w:r w:rsidRPr="003B4AEE">
              <w:t>Annual per permit with freshwater</w:t>
            </w:r>
          </w:p>
        </w:tc>
        <w:tc>
          <w:tcPr>
            <w:tcW w:w="990" w:type="dxa"/>
            <w:vAlign w:val="center"/>
          </w:tcPr>
          <w:p w14:paraId="21F03D4E" w14:textId="7AACC903" w:rsidR="004C042F" w:rsidRPr="003B4AEE" w:rsidRDefault="007B1EFF" w:rsidP="00EF2A49">
            <w:pPr>
              <w:pStyle w:val="Tables"/>
              <w:jc w:val="center"/>
            </w:pPr>
            <w:r w:rsidRPr="003B4AEE">
              <w:t>191</w:t>
            </w:r>
          </w:p>
        </w:tc>
      </w:tr>
      <w:tr w:rsidR="004C042F" w:rsidRPr="003B4AEE" w14:paraId="3B9EE18D" w14:textId="77777777" w:rsidTr="00F372AF">
        <w:tc>
          <w:tcPr>
            <w:tcW w:w="4801" w:type="dxa"/>
            <w:vAlign w:val="center"/>
          </w:tcPr>
          <w:p w14:paraId="1B484C5C" w14:textId="7EC0217B" w:rsidR="004C042F" w:rsidRPr="003B4AEE" w:rsidRDefault="00DC4556" w:rsidP="00A30867">
            <w:pPr>
              <w:pStyle w:val="Tables"/>
            </w:pPr>
            <w:r w:rsidRPr="003B4AEE">
              <w:t xml:space="preserve">Reduced </w:t>
            </w:r>
            <w:r w:rsidR="0019693A" w:rsidRPr="003B4AEE">
              <w:t xml:space="preserve">biological monitoring </w:t>
            </w:r>
            <w:r w:rsidRPr="003B4AEE">
              <w:t xml:space="preserve">for </w:t>
            </w:r>
            <w:r w:rsidR="0019693A" w:rsidRPr="003B4AEE">
              <w:t xml:space="preserve">impingement </w:t>
            </w:r>
            <w:r w:rsidRPr="003B4AEE">
              <w:t>(</w:t>
            </w:r>
            <w:r w:rsidR="0019693A" w:rsidRPr="003B4AEE">
              <w:t>estuary</w:t>
            </w:r>
            <w:r w:rsidRPr="003B4AEE">
              <w:t>)</w:t>
            </w:r>
          </w:p>
        </w:tc>
        <w:tc>
          <w:tcPr>
            <w:tcW w:w="3559" w:type="dxa"/>
            <w:vAlign w:val="center"/>
          </w:tcPr>
          <w:p w14:paraId="3FA6343F" w14:textId="300F6C5E" w:rsidR="004C042F" w:rsidRPr="003B4AEE" w:rsidRDefault="00DC4556" w:rsidP="00EF2A49">
            <w:pPr>
              <w:pStyle w:val="Tables"/>
              <w:jc w:val="center"/>
            </w:pPr>
            <w:r w:rsidRPr="003B4AEE">
              <w:t>Annual per permit with estuary</w:t>
            </w:r>
          </w:p>
        </w:tc>
        <w:tc>
          <w:tcPr>
            <w:tcW w:w="990" w:type="dxa"/>
            <w:vAlign w:val="center"/>
          </w:tcPr>
          <w:p w14:paraId="662F3205" w14:textId="36536340" w:rsidR="004C042F" w:rsidRPr="003B4AEE" w:rsidRDefault="00DC4556" w:rsidP="00EF2A49">
            <w:pPr>
              <w:pStyle w:val="Tables"/>
              <w:jc w:val="center"/>
            </w:pPr>
            <w:r w:rsidRPr="003B4AEE">
              <w:t>244</w:t>
            </w:r>
          </w:p>
        </w:tc>
      </w:tr>
      <w:tr w:rsidR="00DC4556" w:rsidRPr="003B4AEE" w14:paraId="0B5A4F29" w14:textId="77777777" w:rsidTr="00F372AF">
        <w:tc>
          <w:tcPr>
            <w:tcW w:w="4801" w:type="dxa"/>
            <w:vAlign w:val="center"/>
          </w:tcPr>
          <w:p w14:paraId="593FC21A" w14:textId="2845DE9B" w:rsidR="00DC4556" w:rsidRPr="003B4AEE" w:rsidRDefault="00DC4556" w:rsidP="00A30867">
            <w:pPr>
              <w:pStyle w:val="Tables"/>
            </w:pPr>
            <w:r w:rsidRPr="003B4AEE">
              <w:t xml:space="preserve">Reduced </w:t>
            </w:r>
            <w:r w:rsidR="0019693A" w:rsidRPr="003B4AEE">
              <w:t xml:space="preserve">biological monitoring </w:t>
            </w:r>
            <w:r w:rsidRPr="003B4AEE">
              <w:t xml:space="preserve">for </w:t>
            </w:r>
            <w:r w:rsidR="0019693A" w:rsidRPr="003B4AEE">
              <w:t xml:space="preserve">entrainment </w:t>
            </w:r>
            <w:r w:rsidRPr="003B4AEE">
              <w:t>(</w:t>
            </w:r>
            <w:r w:rsidR="0019693A" w:rsidRPr="003B4AEE">
              <w:t>freshwater</w:t>
            </w:r>
            <w:r w:rsidRPr="003B4AEE">
              <w:t>)</w:t>
            </w:r>
          </w:p>
        </w:tc>
        <w:tc>
          <w:tcPr>
            <w:tcW w:w="3559" w:type="dxa"/>
            <w:vAlign w:val="center"/>
          </w:tcPr>
          <w:p w14:paraId="7E063E27" w14:textId="0E262944" w:rsidR="00DC4556" w:rsidRPr="003B4AEE" w:rsidRDefault="00DC4556" w:rsidP="00EF2A49">
            <w:pPr>
              <w:pStyle w:val="Tables"/>
              <w:jc w:val="center"/>
            </w:pPr>
            <w:r w:rsidRPr="003B4AEE">
              <w:t>Annual per permit with freshwater</w:t>
            </w:r>
          </w:p>
        </w:tc>
        <w:tc>
          <w:tcPr>
            <w:tcW w:w="990" w:type="dxa"/>
            <w:vAlign w:val="center"/>
          </w:tcPr>
          <w:p w14:paraId="508B4EC9" w14:textId="643A46EB" w:rsidR="00DC4556" w:rsidRPr="003B4AEE" w:rsidRDefault="00DC4556" w:rsidP="00EF2A49">
            <w:pPr>
              <w:pStyle w:val="Tables"/>
              <w:jc w:val="center"/>
            </w:pPr>
            <w:r w:rsidRPr="003B4AEE">
              <w:t>308</w:t>
            </w:r>
          </w:p>
        </w:tc>
      </w:tr>
      <w:tr w:rsidR="00DC4556" w:rsidRPr="003B4AEE" w14:paraId="3ECC91C9" w14:textId="77777777" w:rsidTr="00F372AF">
        <w:tc>
          <w:tcPr>
            <w:tcW w:w="4801" w:type="dxa"/>
            <w:vAlign w:val="center"/>
          </w:tcPr>
          <w:p w14:paraId="229B9F14" w14:textId="0FB4BE08" w:rsidR="00DC4556" w:rsidRPr="003B4AEE" w:rsidRDefault="00DC4556" w:rsidP="00A30867">
            <w:pPr>
              <w:pStyle w:val="Tables"/>
            </w:pPr>
            <w:r w:rsidRPr="003B4AEE">
              <w:t xml:space="preserve">Reduced </w:t>
            </w:r>
            <w:r w:rsidR="0019693A" w:rsidRPr="003B4AEE">
              <w:t xml:space="preserve">biological monitoring </w:t>
            </w:r>
            <w:r w:rsidRPr="003B4AEE">
              <w:t xml:space="preserve">for </w:t>
            </w:r>
            <w:r w:rsidR="0019693A" w:rsidRPr="003B4AEE">
              <w:t xml:space="preserve">entrainment </w:t>
            </w:r>
            <w:r w:rsidRPr="003B4AEE">
              <w:t>(</w:t>
            </w:r>
            <w:r w:rsidR="0019693A" w:rsidRPr="003B4AEE">
              <w:t>estuary</w:t>
            </w:r>
            <w:r w:rsidRPr="003B4AEE">
              <w:t>)</w:t>
            </w:r>
          </w:p>
        </w:tc>
        <w:tc>
          <w:tcPr>
            <w:tcW w:w="3559" w:type="dxa"/>
            <w:vAlign w:val="center"/>
          </w:tcPr>
          <w:p w14:paraId="47328B2C" w14:textId="6909D9F6" w:rsidR="00DC4556" w:rsidRPr="003B4AEE" w:rsidRDefault="00DC4556" w:rsidP="00EF2A49">
            <w:pPr>
              <w:pStyle w:val="Tables"/>
              <w:jc w:val="center"/>
            </w:pPr>
            <w:r w:rsidRPr="003B4AEE">
              <w:t>Annual per permit with estuary</w:t>
            </w:r>
          </w:p>
        </w:tc>
        <w:tc>
          <w:tcPr>
            <w:tcW w:w="990" w:type="dxa"/>
            <w:vAlign w:val="center"/>
          </w:tcPr>
          <w:p w14:paraId="7911E6B4" w14:textId="6E95DDE4" w:rsidR="00DC4556" w:rsidRPr="003B4AEE" w:rsidRDefault="00DC4556" w:rsidP="00EF2A49">
            <w:pPr>
              <w:pStyle w:val="Tables"/>
              <w:jc w:val="center"/>
            </w:pPr>
            <w:r w:rsidRPr="003B4AEE">
              <w:t>392</w:t>
            </w:r>
          </w:p>
        </w:tc>
      </w:tr>
      <w:tr w:rsidR="00DC4556" w:rsidRPr="003B4AEE" w14:paraId="379BE42E" w14:textId="77777777" w:rsidTr="00F372AF">
        <w:tc>
          <w:tcPr>
            <w:tcW w:w="4801" w:type="dxa"/>
            <w:vAlign w:val="center"/>
          </w:tcPr>
          <w:p w14:paraId="49019261" w14:textId="23EAF573" w:rsidR="00DC4556" w:rsidRPr="003B4AEE" w:rsidRDefault="00DC4556" w:rsidP="00A30867">
            <w:pPr>
              <w:pStyle w:val="Tables"/>
            </w:pPr>
            <w:r w:rsidRPr="003B4AEE">
              <w:t xml:space="preserve">Velocity </w:t>
            </w:r>
            <w:r w:rsidR="0019693A" w:rsidRPr="003B4AEE">
              <w:t>monitoring</w:t>
            </w:r>
          </w:p>
        </w:tc>
        <w:tc>
          <w:tcPr>
            <w:tcW w:w="3559" w:type="dxa"/>
            <w:vAlign w:val="center"/>
          </w:tcPr>
          <w:p w14:paraId="5C595C38" w14:textId="044A1054" w:rsidR="00DC4556" w:rsidRPr="003B4AEE" w:rsidRDefault="00DC4556" w:rsidP="00EF2A49">
            <w:pPr>
              <w:pStyle w:val="Tables"/>
              <w:jc w:val="center"/>
            </w:pPr>
            <w:r w:rsidRPr="003B4AEE">
              <w:t>Annual per permit</w:t>
            </w:r>
          </w:p>
        </w:tc>
        <w:tc>
          <w:tcPr>
            <w:tcW w:w="990" w:type="dxa"/>
            <w:vAlign w:val="center"/>
          </w:tcPr>
          <w:p w14:paraId="6B33A709" w14:textId="28611340" w:rsidR="00DC4556" w:rsidRPr="003B4AEE" w:rsidRDefault="00DC4556" w:rsidP="00EF2A49">
            <w:pPr>
              <w:pStyle w:val="Tables"/>
              <w:jc w:val="center"/>
            </w:pPr>
            <w:r w:rsidRPr="003B4AEE">
              <w:t>163</w:t>
            </w:r>
          </w:p>
        </w:tc>
      </w:tr>
      <w:tr w:rsidR="00DC4556" w:rsidRPr="003B4AEE" w14:paraId="475BCC30" w14:textId="77777777" w:rsidTr="00F372AF">
        <w:tc>
          <w:tcPr>
            <w:tcW w:w="4801" w:type="dxa"/>
            <w:vAlign w:val="center"/>
          </w:tcPr>
          <w:p w14:paraId="728D7F5E" w14:textId="0BAF8807" w:rsidR="00DC4556" w:rsidRPr="003B4AEE" w:rsidRDefault="00DC4556" w:rsidP="00A30867">
            <w:pPr>
              <w:pStyle w:val="Tables"/>
            </w:pPr>
            <w:r w:rsidRPr="003B4AEE">
              <w:t xml:space="preserve">Inspection of </w:t>
            </w:r>
            <w:r w:rsidR="0019693A" w:rsidRPr="003B4AEE">
              <w:t>installed technologies</w:t>
            </w:r>
          </w:p>
        </w:tc>
        <w:tc>
          <w:tcPr>
            <w:tcW w:w="3559" w:type="dxa"/>
            <w:vAlign w:val="center"/>
          </w:tcPr>
          <w:p w14:paraId="395C1E01" w14:textId="4109D6F8" w:rsidR="00DC4556" w:rsidRPr="003B4AEE" w:rsidRDefault="00DC4556" w:rsidP="00EF2A49">
            <w:pPr>
              <w:pStyle w:val="Tables"/>
              <w:jc w:val="center"/>
            </w:pPr>
            <w:r w:rsidRPr="003B4AEE">
              <w:t>Annual per permit with once-through</w:t>
            </w:r>
            <w:r w:rsidR="00F420C9" w:rsidRPr="003B4AEE">
              <w:t xml:space="preserve"> cooling</w:t>
            </w:r>
          </w:p>
        </w:tc>
        <w:tc>
          <w:tcPr>
            <w:tcW w:w="990" w:type="dxa"/>
            <w:vAlign w:val="center"/>
          </w:tcPr>
          <w:p w14:paraId="1DF7D2B9" w14:textId="1C1AF2EA" w:rsidR="00DC4556" w:rsidRPr="003B4AEE" w:rsidRDefault="00DC4556" w:rsidP="00EF2A49">
            <w:pPr>
              <w:pStyle w:val="Tables"/>
              <w:jc w:val="center"/>
            </w:pPr>
            <w:r w:rsidRPr="003B4AEE">
              <w:t>253</w:t>
            </w:r>
          </w:p>
        </w:tc>
      </w:tr>
      <w:tr w:rsidR="00DC4556" w:rsidRPr="003B4AEE" w14:paraId="2ED0EDDE" w14:textId="77777777" w:rsidTr="00F372AF">
        <w:tc>
          <w:tcPr>
            <w:tcW w:w="4801" w:type="dxa"/>
            <w:vAlign w:val="center"/>
          </w:tcPr>
          <w:p w14:paraId="016DE941" w14:textId="156E3B3B" w:rsidR="00DC4556" w:rsidRPr="003B4AEE" w:rsidRDefault="00DC4556" w:rsidP="00A30867">
            <w:pPr>
              <w:pStyle w:val="Tables"/>
            </w:pPr>
            <w:r w:rsidRPr="003B4AEE">
              <w:t xml:space="preserve">Yearly </w:t>
            </w:r>
            <w:r w:rsidR="0019693A" w:rsidRPr="003B4AEE">
              <w:t>status report activities</w:t>
            </w:r>
          </w:p>
        </w:tc>
        <w:tc>
          <w:tcPr>
            <w:tcW w:w="3559" w:type="dxa"/>
            <w:vAlign w:val="center"/>
          </w:tcPr>
          <w:p w14:paraId="709A0142" w14:textId="1B2ADBED" w:rsidR="00DC4556" w:rsidRPr="003B4AEE" w:rsidRDefault="00DC4556" w:rsidP="00EF2A49">
            <w:pPr>
              <w:pStyle w:val="Tables"/>
              <w:jc w:val="center"/>
            </w:pPr>
            <w:r w:rsidRPr="003B4AEE">
              <w:t>Annual per permit</w:t>
            </w:r>
          </w:p>
        </w:tc>
        <w:tc>
          <w:tcPr>
            <w:tcW w:w="990" w:type="dxa"/>
            <w:vAlign w:val="center"/>
          </w:tcPr>
          <w:p w14:paraId="5F2F25FB" w14:textId="5643D914" w:rsidR="00DC4556" w:rsidRPr="003B4AEE" w:rsidRDefault="00DC4556" w:rsidP="00EF2A49">
            <w:pPr>
              <w:pStyle w:val="Tables"/>
              <w:jc w:val="center"/>
            </w:pPr>
            <w:r w:rsidRPr="003B4AEE">
              <w:t>348</w:t>
            </w:r>
          </w:p>
        </w:tc>
      </w:tr>
    </w:tbl>
    <w:p w14:paraId="0B62A820" w14:textId="77777777" w:rsidR="0003525F" w:rsidRPr="003B4AEE" w:rsidRDefault="0003525F" w:rsidP="00DE1B27">
      <w:pPr>
        <w:spacing w:after="0"/>
        <w:rPr>
          <w:i/>
        </w:rPr>
      </w:pPr>
    </w:p>
    <w:p w14:paraId="59BAF91A" w14:textId="16A3A657" w:rsidR="0085470C" w:rsidRPr="003B4AEE" w:rsidRDefault="00E932C0" w:rsidP="004F1834">
      <w:pPr>
        <w:pStyle w:val="BodyText"/>
      </w:pPr>
      <w:r w:rsidRPr="003B4AEE">
        <w:rPr>
          <w:i/>
        </w:rPr>
        <w:t>States/Federal</w:t>
      </w:r>
      <w:r w:rsidR="0003525F" w:rsidRPr="003B4AEE">
        <w:rPr>
          <w:i/>
        </w:rPr>
        <w:t>.</w:t>
      </w:r>
      <w:r w:rsidR="00547D47" w:rsidRPr="003B4AEE">
        <w:t xml:space="preserve"> Table A</w:t>
      </w:r>
      <w:r w:rsidR="001A6DA0" w:rsidRPr="003B4AEE">
        <w:t>-</w:t>
      </w:r>
      <w:r w:rsidR="007F3A2F" w:rsidRPr="003B4AEE">
        <w:t>11</w:t>
      </w:r>
      <w:r w:rsidR="00547D47" w:rsidRPr="003B4AEE">
        <w:t xml:space="preserve"> presents the estimated burden hour and frequency for </w:t>
      </w:r>
      <w:r w:rsidR="00627388" w:rsidRPr="003B4AEE">
        <w:t>s</w:t>
      </w:r>
      <w:r w:rsidR="00547D47" w:rsidRPr="003B4AEE">
        <w:t xml:space="preserve">tate </w:t>
      </w:r>
      <w:r w:rsidR="00627388" w:rsidRPr="003B4AEE">
        <w:t>a</w:t>
      </w:r>
      <w:r w:rsidR="00547D47" w:rsidRPr="003B4AEE">
        <w:t xml:space="preserve">gencies </w:t>
      </w:r>
      <w:r w:rsidR="00C25249" w:rsidRPr="003B4AEE">
        <w:t xml:space="preserve">and EPA </w:t>
      </w:r>
      <w:r w:rsidR="00547D47" w:rsidRPr="003B4AEE">
        <w:t xml:space="preserve">acting as the </w:t>
      </w:r>
      <w:r w:rsidR="00784FA2" w:rsidRPr="003B4AEE">
        <w:t>p</w:t>
      </w:r>
      <w:r w:rsidR="00547D47" w:rsidRPr="003B4AEE">
        <w:t xml:space="preserve">ermit </w:t>
      </w:r>
      <w:r w:rsidR="00784FA2" w:rsidRPr="003B4AEE">
        <w:t>a</w:t>
      </w:r>
      <w:r w:rsidR="00547D47" w:rsidRPr="003B4AEE">
        <w:t>uthority.</w:t>
      </w:r>
    </w:p>
    <w:p w14:paraId="64D54E62" w14:textId="655B859C" w:rsidR="005B4FEB" w:rsidRPr="003B4AEE" w:rsidRDefault="005B4FEB" w:rsidP="004F1834">
      <w:pPr>
        <w:pStyle w:val="TableTitleAppendix"/>
      </w:pPr>
      <w:bookmarkStart w:id="422" w:name="_Toc61521422"/>
      <w:r w:rsidRPr="003B4AEE">
        <w:t>Table A</w:t>
      </w:r>
      <w:r w:rsidR="00054BE9" w:rsidRPr="003B4AEE">
        <w:t>-</w:t>
      </w:r>
      <w:r w:rsidR="007F3A2F" w:rsidRPr="003B4AEE">
        <w:t>11</w:t>
      </w:r>
      <w:r w:rsidR="00054BE9" w:rsidRPr="003B4AEE">
        <w:t>.</w:t>
      </w:r>
      <w:r w:rsidRPr="003B4AEE">
        <w:t xml:space="preserve"> Estimated </w:t>
      </w:r>
      <w:r w:rsidR="00E31F23" w:rsidRPr="003B4AEE">
        <w:t>S</w:t>
      </w:r>
      <w:r w:rsidR="002E6EF5" w:rsidRPr="003B4AEE">
        <w:t xml:space="preserve">tate </w:t>
      </w:r>
      <w:r w:rsidR="00E31F23" w:rsidRPr="003B4AEE">
        <w:t>A</w:t>
      </w:r>
      <w:r w:rsidR="002E6EF5" w:rsidRPr="003B4AEE">
        <w:t xml:space="preserve">gency </w:t>
      </w:r>
      <w:r w:rsidR="00C25249" w:rsidRPr="003B4AEE">
        <w:t xml:space="preserve">and EPA </w:t>
      </w:r>
      <w:r w:rsidR="00E31F23" w:rsidRPr="003B4AEE">
        <w:t>A</w:t>
      </w:r>
      <w:r w:rsidR="002E6EF5" w:rsidRPr="003B4AEE">
        <w:t xml:space="preserve">ctivity </w:t>
      </w:r>
      <w:r w:rsidR="00E31F23" w:rsidRPr="003B4AEE">
        <w:t>B</w:t>
      </w:r>
      <w:r w:rsidR="002E6EF5" w:rsidRPr="003B4AEE">
        <w:t xml:space="preserve">urden </w:t>
      </w:r>
      <w:r w:rsidR="00E31F23" w:rsidRPr="003B4AEE">
        <w:t>A</w:t>
      </w:r>
      <w:r w:rsidR="002E6EF5" w:rsidRPr="003B4AEE">
        <w:t xml:space="preserve">ssociated </w:t>
      </w:r>
      <w:r w:rsidR="00F420C9" w:rsidRPr="003B4AEE">
        <w:t xml:space="preserve">with </w:t>
      </w:r>
      <w:r w:rsidR="00E31F23" w:rsidRPr="003B4AEE">
        <w:t>N</w:t>
      </w:r>
      <w:r w:rsidR="002E6EF5" w:rsidRPr="003B4AEE">
        <w:t xml:space="preserve">ew </w:t>
      </w:r>
      <w:r w:rsidR="00F420C9" w:rsidRPr="003B4AEE">
        <w:t xml:space="preserve">CWIS </w:t>
      </w:r>
      <w:r w:rsidR="00E31F23" w:rsidRPr="003B4AEE">
        <w:t>F</w:t>
      </w:r>
      <w:r w:rsidR="002E6EF5" w:rsidRPr="003B4AEE">
        <w:t>acilities</w:t>
      </w:r>
      <w:bookmarkEnd w:id="422"/>
    </w:p>
    <w:tbl>
      <w:tblPr>
        <w:tblStyle w:val="TableGrid"/>
        <w:tblW w:w="0" w:type="auto"/>
        <w:tblLook w:val="04A0" w:firstRow="1" w:lastRow="0" w:firstColumn="1" w:lastColumn="0" w:noHBand="0" w:noVBand="1"/>
      </w:tblPr>
      <w:tblGrid>
        <w:gridCol w:w="4473"/>
        <w:gridCol w:w="3331"/>
        <w:gridCol w:w="1546"/>
      </w:tblGrid>
      <w:tr w:rsidR="00194826" w:rsidRPr="003B4AEE" w14:paraId="604BCC35" w14:textId="77777777" w:rsidTr="007F7CAE">
        <w:tc>
          <w:tcPr>
            <w:tcW w:w="4473" w:type="dxa"/>
            <w:shd w:val="clear" w:color="auto" w:fill="D9D9D9" w:themeFill="background1" w:themeFillShade="D9"/>
          </w:tcPr>
          <w:p w14:paraId="21988C7C" w14:textId="54AEC7E0" w:rsidR="00194826" w:rsidRPr="003B4AEE" w:rsidRDefault="00194826" w:rsidP="009F1C6B">
            <w:pPr>
              <w:pStyle w:val="TableHeading"/>
            </w:pPr>
            <w:r w:rsidRPr="003B4AEE">
              <w:t>State</w:t>
            </w:r>
            <w:r w:rsidR="00C25249" w:rsidRPr="003B4AEE">
              <w:t>/</w:t>
            </w:r>
            <w:r w:rsidR="00FC4DB7" w:rsidRPr="003B4AEE">
              <w:t>F</w:t>
            </w:r>
            <w:r w:rsidR="00C25249" w:rsidRPr="003B4AEE">
              <w:t>ederal</w:t>
            </w:r>
            <w:r w:rsidRPr="003B4AEE">
              <w:t xml:space="preserve"> </w:t>
            </w:r>
            <w:r w:rsidR="00FC4DB7" w:rsidRPr="003B4AEE">
              <w:t>A</w:t>
            </w:r>
            <w:r w:rsidR="002E6EF5" w:rsidRPr="003B4AEE">
              <w:t>ctivities</w:t>
            </w:r>
          </w:p>
        </w:tc>
        <w:tc>
          <w:tcPr>
            <w:tcW w:w="3331" w:type="dxa"/>
            <w:shd w:val="clear" w:color="auto" w:fill="D9D9D9" w:themeFill="background1" w:themeFillShade="D9"/>
          </w:tcPr>
          <w:p w14:paraId="74522B57" w14:textId="4685F2F1" w:rsidR="00194826" w:rsidRPr="003B4AEE" w:rsidRDefault="00194826" w:rsidP="009F1C6B">
            <w:pPr>
              <w:pStyle w:val="TableHeading"/>
            </w:pPr>
            <w:r w:rsidRPr="003B4AEE">
              <w:t>Frequency</w:t>
            </w:r>
          </w:p>
        </w:tc>
        <w:tc>
          <w:tcPr>
            <w:tcW w:w="1546" w:type="dxa"/>
            <w:shd w:val="clear" w:color="auto" w:fill="D9D9D9" w:themeFill="background1" w:themeFillShade="D9"/>
          </w:tcPr>
          <w:p w14:paraId="0F558E96" w14:textId="1BC5F326" w:rsidR="00194826" w:rsidRPr="003B4AEE" w:rsidRDefault="00194826" w:rsidP="009F1C6B">
            <w:pPr>
              <w:pStyle w:val="TableHeading"/>
            </w:pPr>
            <w:r w:rsidRPr="003B4AEE">
              <w:t>Burden (hours)</w:t>
            </w:r>
          </w:p>
        </w:tc>
      </w:tr>
      <w:tr w:rsidR="00194826" w:rsidRPr="003B4AEE" w14:paraId="4E249EC1" w14:textId="77777777" w:rsidTr="00F372AF">
        <w:tc>
          <w:tcPr>
            <w:tcW w:w="4473" w:type="dxa"/>
            <w:vAlign w:val="center"/>
          </w:tcPr>
          <w:p w14:paraId="56E6048A" w14:textId="5D545E8C" w:rsidR="00194826" w:rsidRPr="003B4AEE" w:rsidRDefault="00CA2398" w:rsidP="00A30867">
            <w:pPr>
              <w:pStyle w:val="Tables"/>
            </w:pPr>
            <w:r w:rsidRPr="003B4AEE">
              <w:t xml:space="preserve">Permitting authority </w:t>
            </w:r>
            <w:r w:rsidR="002E6EF5" w:rsidRPr="003B4AEE">
              <w:t xml:space="preserve">permit issuance activities </w:t>
            </w:r>
            <w:r w:rsidR="00194826" w:rsidRPr="003B4AEE">
              <w:t>(</w:t>
            </w:r>
            <w:r w:rsidR="00D51DC6" w:rsidRPr="003B4AEE">
              <w:t>Track I</w:t>
            </w:r>
            <w:r w:rsidR="00194826" w:rsidRPr="003B4AEE">
              <w:t>)</w:t>
            </w:r>
          </w:p>
        </w:tc>
        <w:tc>
          <w:tcPr>
            <w:tcW w:w="3331" w:type="dxa"/>
            <w:vAlign w:val="center"/>
          </w:tcPr>
          <w:p w14:paraId="51490291" w14:textId="6726D7D9" w:rsidR="00194826" w:rsidRPr="003B4AEE" w:rsidRDefault="00194826" w:rsidP="00EF2A49">
            <w:pPr>
              <w:pStyle w:val="Tables"/>
              <w:jc w:val="center"/>
            </w:pPr>
            <w:r w:rsidRPr="003B4AEE">
              <w:t>Once per new permit with CCRS</w:t>
            </w:r>
          </w:p>
        </w:tc>
        <w:tc>
          <w:tcPr>
            <w:tcW w:w="1546" w:type="dxa"/>
            <w:vAlign w:val="center"/>
          </w:tcPr>
          <w:p w14:paraId="78F445BF" w14:textId="3D4C640D" w:rsidR="00194826" w:rsidRPr="003B4AEE" w:rsidRDefault="00194826" w:rsidP="00EF2A49">
            <w:pPr>
              <w:pStyle w:val="Tables"/>
              <w:jc w:val="center"/>
            </w:pPr>
            <w:r w:rsidRPr="003B4AEE">
              <w:t>188</w:t>
            </w:r>
          </w:p>
        </w:tc>
      </w:tr>
      <w:tr w:rsidR="007F7CAE" w:rsidRPr="003B4AEE" w14:paraId="0F79516F" w14:textId="77777777" w:rsidTr="00F372AF">
        <w:tc>
          <w:tcPr>
            <w:tcW w:w="4473" w:type="dxa"/>
            <w:vAlign w:val="center"/>
          </w:tcPr>
          <w:p w14:paraId="6DEB4161" w14:textId="0AC06703" w:rsidR="007F7CAE" w:rsidRPr="003B4AEE" w:rsidRDefault="007F7CAE" w:rsidP="007F7CAE">
            <w:pPr>
              <w:pStyle w:val="Tables"/>
            </w:pPr>
            <w:r w:rsidRPr="003B4AEE">
              <w:t xml:space="preserve">Permitting authority permit issuance activities (Track </w:t>
            </w:r>
            <w:r w:rsidR="00A17DD8" w:rsidRPr="003B4AEE">
              <w:t>I</w:t>
            </w:r>
            <w:r w:rsidRPr="003B4AEE">
              <w:t>I)</w:t>
            </w:r>
          </w:p>
        </w:tc>
        <w:tc>
          <w:tcPr>
            <w:tcW w:w="3331" w:type="dxa"/>
            <w:vAlign w:val="center"/>
          </w:tcPr>
          <w:p w14:paraId="75381C53" w14:textId="2B87FFFC" w:rsidR="007F7CAE" w:rsidRPr="003B4AEE" w:rsidRDefault="007F7CAE" w:rsidP="00EF2A49">
            <w:pPr>
              <w:pStyle w:val="Tables"/>
              <w:jc w:val="center"/>
            </w:pPr>
            <w:r w:rsidRPr="003B4AEE">
              <w:t>Once per new permit with once-through cooling</w:t>
            </w:r>
          </w:p>
        </w:tc>
        <w:tc>
          <w:tcPr>
            <w:tcW w:w="1546" w:type="dxa"/>
            <w:vAlign w:val="center"/>
          </w:tcPr>
          <w:p w14:paraId="04A38030" w14:textId="36A70B5C" w:rsidR="007F7CAE" w:rsidRPr="003B4AEE" w:rsidRDefault="007F7CAE" w:rsidP="00EF2A49">
            <w:pPr>
              <w:pStyle w:val="Tables"/>
              <w:jc w:val="center"/>
            </w:pPr>
            <w:r w:rsidRPr="003B4AEE">
              <w:t>646</w:t>
            </w:r>
          </w:p>
        </w:tc>
      </w:tr>
      <w:tr w:rsidR="00194826" w:rsidRPr="003B4AEE" w14:paraId="60EF1BCC" w14:textId="77777777" w:rsidTr="00F372AF">
        <w:tc>
          <w:tcPr>
            <w:tcW w:w="4473" w:type="dxa"/>
            <w:vAlign w:val="center"/>
          </w:tcPr>
          <w:p w14:paraId="3C35D84E" w14:textId="1B2F512D" w:rsidR="00194826" w:rsidRPr="003B4AEE" w:rsidRDefault="00194826" w:rsidP="00A30867">
            <w:pPr>
              <w:pStyle w:val="Tables"/>
            </w:pPr>
            <w:r w:rsidRPr="003B4AEE">
              <w:t xml:space="preserve">Verification </w:t>
            </w:r>
            <w:r w:rsidR="002E6EF5" w:rsidRPr="003B4AEE">
              <w:t>study review</w:t>
            </w:r>
          </w:p>
        </w:tc>
        <w:tc>
          <w:tcPr>
            <w:tcW w:w="3331" w:type="dxa"/>
            <w:vAlign w:val="center"/>
          </w:tcPr>
          <w:p w14:paraId="78B7FF06" w14:textId="46C9E3D4" w:rsidR="00194826" w:rsidRPr="003B4AEE" w:rsidRDefault="00194826" w:rsidP="00EF2A49">
            <w:pPr>
              <w:pStyle w:val="Tables"/>
              <w:jc w:val="center"/>
            </w:pPr>
            <w:r w:rsidRPr="003B4AEE">
              <w:t>Once per new permit</w:t>
            </w:r>
          </w:p>
        </w:tc>
        <w:tc>
          <w:tcPr>
            <w:tcW w:w="1546" w:type="dxa"/>
            <w:vAlign w:val="center"/>
          </w:tcPr>
          <w:p w14:paraId="45BF8F73" w14:textId="4A3619FA" w:rsidR="00194826" w:rsidRPr="003B4AEE" w:rsidRDefault="00194826" w:rsidP="00EF2A49">
            <w:pPr>
              <w:pStyle w:val="Tables"/>
              <w:jc w:val="center"/>
            </w:pPr>
            <w:r w:rsidRPr="003B4AEE">
              <w:t>21</w:t>
            </w:r>
          </w:p>
        </w:tc>
      </w:tr>
      <w:tr w:rsidR="00194826" w:rsidRPr="003B4AEE" w14:paraId="43894827" w14:textId="77777777" w:rsidTr="00F372AF">
        <w:tc>
          <w:tcPr>
            <w:tcW w:w="4473" w:type="dxa"/>
            <w:vAlign w:val="center"/>
          </w:tcPr>
          <w:p w14:paraId="500A45F6" w14:textId="35623E8F" w:rsidR="00194826" w:rsidRPr="003B4AEE" w:rsidRDefault="00194826" w:rsidP="00A30867">
            <w:pPr>
              <w:pStyle w:val="Tables"/>
            </w:pPr>
            <w:r w:rsidRPr="003B4AEE">
              <w:t xml:space="preserve">Annual </w:t>
            </w:r>
            <w:r w:rsidR="00CA2398" w:rsidRPr="003B4AEE">
              <w:t xml:space="preserve">permitting authority </w:t>
            </w:r>
            <w:r w:rsidR="002E6EF5" w:rsidRPr="003B4AEE">
              <w:t>activities</w:t>
            </w:r>
          </w:p>
        </w:tc>
        <w:tc>
          <w:tcPr>
            <w:tcW w:w="3331" w:type="dxa"/>
            <w:vAlign w:val="center"/>
          </w:tcPr>
          <w:p w14:paraId="352ADAF0" w14:textId="4679E13D" w:rsidR="00194826" w:rsidRPr="003B4AEE" w:rsidRDefault="00194826" w:rsidP="00EF2A49">
            <w:pPr>
              <w:pStyle w:val="Tables"/>
              <w:jc w:val="center"/>
            </w:pPr>
            <w:r w:rsidRPr="003B4AEE">
              <w:t>Annual per permit</w:t>
            </w:r>
          </w:p>
        </w:tc>
        <w:tc>
          <w:tcPr>
            <w:tcW w:w="1546" w:type="dxa"/>
            <w:vAlign w:val="center"/>
          </w:tcPr>
          <w:p w14:paraId="481E0A98" w14:textId="16A14200" w:rsidR="00194826" w:rsidRPr="003B4AEE" w:rsidRDefault="00194826" w:rsidP="00EF2A49">
            <w:pPr>
              <w:pStyle w:val="Tables"/>
              <w:jc w:val="center"/>
            </w:pPr>
            <w:r w:rsidRPr="003B4AEE">
              <w:t>50</w:t>
            </w:r>
          </w:p>
        </w:tc>
      </w:tr>
    </w:tbl>
    <w:p w14:paraId="11276AA1" w14:textId="33E7E67D" w:rsidR="0088609F" w:rsidRPr="003B4AEE" w:rsidRDefault="0088609F" w:rsidP="00DE1B27">
      <w:pPr>
        <w:pStyle w:val="Heading4"/>
      </w:pPr>
      <w:r w:rsidRPr="003B4AEE">
        <w:t>A.1</w:t>
      </w:r>
      <w:r w:rsidR="00861380" w:rsidRPr="003B4AEE">
        <w:t>.7</w:t>
      </w:r>
      <w:r w:rsidRPr="003B4AEE">
        <w:t xml:space="preserve">.2. Cooling Water Intake Structures </w:t>
      </w:r>
      <w:r w:rsidR="00E16FA4" w:rsidRPr="003B4AEE">
        <w:t xml:space="preserve">Phase III - </w:t>
      </w:r>
      <w:r w:rsidRPr="003B4AEE">
        <w:t>New Offshore Oil and Gas Facilities</w:t>
      </w:r>
    </w:p>
    <w:p w14:paraId="0379B7CA" w14:textId="7C1AEF81" w:rsidR="0085470C" w:rsidRPr="003B4AEE" w:rsidRDefault="00D667E8" w:rsidP="004F1834">
      <w:pPr>
        <w:pStyle w:val="BodyText"/>
      </w:pPr>
      <w:r w:rsidRPr="003B4AEE">
        <w:t xml:space="preserve">The activities in this category are related to NPDES </w:t>
      </w:r>
      <w:r w:rsidR="00DD5AA2" w:rsidRPr="003B4AEE">
        <w:t xml:space="preserve">application, monitoring, and recordkeeping </w:t>
      </w:r>
      <w:r w:rsidRPr="003B4AEE">
        <w:t xml:space="preserve">requirements </w:t>
      </w:r>
      <w:r w:rsidR="00DD5AA2" w:rsidRPr="003B4AEE">
        <w:t>established by</w:t>
      </w:r>
      <w:r w:rsidRPr="003B4AEE">
        <w:t xml:space="preserve"> the 316(b) Phase III Rule (71 FR 35006; June 16, 2006)</w:t>
      </w:r>
      <w:r w:rsidR="000F0893" w:rsidRPr="003B4AEE">
        <w:t xml:space="preserve">. </w:t>
      </w:r>
      <w:r w:rsidR="00B14ECF" w:rsidRPr="003B4AEE">
        <w:t xml:space="preserve">This regulation applies to offshore </w:t>
      </w:r>
      <w:r w:rsidR="007358A3" w:rsidRPr="003B4AEE">
        <w:t>o</w:t>
      </w:r>
      <w:r w:rsidR="00B14ECF" w:rsidRPr="003B4AEE">
        <w:t xml:space="preserve">il and </w:t>
      </w:r>
      <w:r w:rsidR="007358A3" w:rsidRPr="003B4AEE">
        <w:t>g</w:t>
      </w:r>
      <w:r w:rsidR="00B14ECF" w:rsidRPr="003B4AEE">
        <w:t>as facilities that commence construction after July 17, 2006</w:t>
      </w:r>
      <w:r w:rsidR="00C92118" w:rsidRPr="003B4AEE">
        <w:t xml:space="preserve">. The permitting authority for all </w:t>
      </w:r>
      <w:r w:rsidR="00AF5536" w:rsidRPr="003B4AEE">
        <w:t xml:space="preserve">offshore </w:t>
      </w:r>
      <w:r w:rsidR="007358A3" w:rsidRPr="003B4AEE">
        <w:t>o</w:t>
      </w:r>
      <w:r w:rsidR="00AF5536" w:rsidRPr="003B4AEE">
        <w:t xml:space="preserve">il and </w:t>
      </w:r>
      <w:r w:rsidR="007358A3" w:rsidRPr="003B4AEE">
        <w:t>g</w:t>
      </w:r>
      <w:r w:rsidR="00AF5536" w:rsidRPr="003B4AEE">
        <w:t xml:space="preserve">as facilities </w:t>
      </w:r>
      <w:r w:rsidR="00C92118" w:rsidRPr="003B4AEE">
        <w:t>is the Federal Government and thus there is no burden for state or local governments.</w:t>
      </w:r>
    </w:p>
    <w:p w14:paraId="03E9C861" w14:textId="2FC714E7" w:rsidR="00E5488B" w:rsidRPr="003B4AEE" w:rsidRDefault="007038C7" w:rsidP="004F1834">
      <w:pPr>
        <w:pStyle w:val="BodyText"/>
      </w:pPr>
      <w:r w:rsidRPr="003B4AEE">
        <w:lastRenderedPageBreak/>
        <w:t>Below is a list of the types of respondents for which updated estimated respondent numbers were used to develop burden estimates</w:t>
      </w:r>
      <w:r w:rsidR="00E5488B" w:rsidRPr="003B4AEE">
        <w:t>:</w:t>
      </w:r>
    </w:p>
    <w:p w14:paraId="644B5546" w14:textId="70EE1794" w:rsidR="00E5488B" w:rsidRPr="003B4AEE" w:rsidRDefault="00E5488B" w:rsidP="00290A17">
      <w:pPr>
        <w:pStyle w:val="ListBulletsingle"/>
        <w:numPr>
          <w:ilvl w:val="0"/>
          <w:numId w:val="38"/>
        </w:numPr>
      </w:pPr>
      <w:r w:rsidRPr="003B4AEE">
        <w:t xml:space="preserve">Average annual new offshore </w:t>
      </w:r>
      <w:r w:rsidR="007358A3" w:rsidRPr="003B4AEE">
        <w:t xml:space="preserve">oil </w:t>
      </w:r>
      <w:r w:rsidRPr="003B4AEE">
        <w:t xml:space="preserve">&amp; </w:t>
      </w:r>
      <w:r w:rsidR="007358A3" w:rsidRPr="003B4AEE">
        <w:t xml:space="preserve">gas </w:t>
      </w:r>
      <w:r w:rsidRPr="003B4AEE">
        <w:t>facilities applying for a</w:t>
      </w:r>
      <w:r w:rsidR="00E52453" w:rsidRPr="003B4AEE">
        <w:t>n</w:t>
      </w:r>
      <w:r w:rsidRPr="003B4AEE">
        <w:t xml:space="preserve"> NPDES </w:t>
      </w:r>
      <w:proofErr w:type="gramStart"/>
      <w:r w:rsidRPr="003B4AEE">
        <w:t>permit</w:t>
      </w:r>
      <w:r w:rsidR="00784FA2" w:rsidRPr="003B4AEE">
        <w:t>;</w:t>
      </w:r>
      <w:proofErr w:type="gramEnd"/>
    </w:p>
    <w:p w14:paraId="391358CA" w14:textId="2C1F6F26" w:rsidR="00E5488B" w:rsidRPr="003B4AEE" w:rsidRDefault="00E5488B" w:rsidP="00290A17">
      <w:pPr>
        <w:pStyle w:val="ListBulletsingle"/>
        <w:numPr>
          <w:ilvl w:val="0"/>
          <w:numId w:val="38"/>
        </w:numPr>
      </w:pPr>
      <w:r w:rsidRPr="003B4AEE">
        <w:t xml:space="preserve">Average annual new offshore </w:t>
      </w:r>
      <w:r w:rsidR="007358A3" w:rsidRPr="003B4AEE">
        <w:t xml:space="preserve">oil </w:t>
      </w:r>
      <w:r w:rsidRPr="003B4AEE">
        <w:t xml:space="preserve">&amp; </w:t>
      </w:r>
      <w:r w:rsidR="007358A3" w:rsidRPr="003B4AEE">
        <w:t xml:space="preserve">gas </w:t>
      </w:r>
      <w:r w:rsidRPr="003B4AEE">
        <w:t>re-applying for a</w:t>
      </w:r>
      <w:r w:rsidR="00E52453" w:rsidRPr="003B4AEE">
        <w:t>n</w:t>
      </w:r>
      <w:r w:rsidRPr="003B4AEE">
        <w:t xml:space="preserve"> NPDES permit</w:t>
      </w:r>
      <w:r w:rsidR="00784FA2" w:rsidRPr="003B4AEE">
        <w:t>; and</w:t>
      </w:r>
    </w:p>
    <w:p w14:paraId="337BA193" w14:textId="77777777" w:rsidR="0085470C" w:rsidRPr="003B4AEE" w:rsidRDefault="00E5488B" w:rsidP="00290A17">
      <w:pPr>
        <w:pStyle w:val="ListBulletlast"/>
        <w:numPr>
          <w:ilvl w:val="0"/>
          <w:numId w:val="38"/>
        </w:numPr>
      </w:pPr>
      <w:r w:rsidRPr="003B4AEE">
        <w:t xml:space="preserve">Average </w:t>
      </w:r>
      <w:r w:rsidR="007358A3" w:rsidRPr="003B4AEE">
        <w:t>a</w:t>
      </w:r>
      <w:r w:rsidRPr="003B4AEE">
        <w:t xml:space="preserve">nnual new offshore </w:t>
      </w:r>
      <w:r w:rsidR="007358A3" w:rsidRPr="003B4AEE">
        <w:t xml:space="preserve">oil </w:t>
      </w:r>
      <w:r w:rsidRPr="003B4AEE">
        <w:t xml:space="preserve">&amp; </w:t>
      </w:r>
      <w:r w:rsidR="007358A3" w:rsidRPr="003B4AEE">
        <w:t xml:space="preserve">gas </w:t>
      </w:r>
      <w:r w:rsidRPr="003B4AEE">
        <w:t>facilities performing annual activities</w:t>
      </w:r>
      <w:r w:rsidR="00784FA2" w:rsidRPr="003B4AEE">
        <w:t>.</w:t>
      </w:r>
    </w:p>
    <w:p w14:paraId="319EE32A" w14:textId="77777777" w:rsidR="0085470C" w:rsidRPr="003B4AEE" w:rsidRDefault="007038C7" w:rsidP="004F1834">
      <w:pPr>
        <w:pStyle w:val="BodyText"/>
      </w:pPr>
      <w:r w:rsidRPr="003B4AEE">
        <w:t>B</w:t>
      </w:r>
      <w:r w:rsidR="003573E0" w:rsidRPr="003B4AEE">
        <w:t xml:space="preserve">urden estimates were derived </w:t>
      </w:r>
      <w:r w:rsidR="0003525F" w:rsidRPr="003B4AEE">
        <w:t xml:space="preserve">from the previous ICR </w:t>
      </w:r>
      <w:r w:rsidR="003573E0" w:rsidRPr="003B4AEE">
        <w:t>for each respondent type</w:t>
      </w:r>
      <w:r w:rsidRPr="003B4AEE">
        <w:t xml:space="preserve"> and were</w:t>
      </w:r>
      <w:r w:rsidR="003573E0" w:rsidRPr="003B4AEE">
        <w:t xml:space="preserve"> updated using the current estimate of the number of each respondent type</w:t>
      </w:r>
      <w:r w:rsidRPr="003B4AEE">
        <w:t xml:space="preserve"> (see Appendix D)</w:t>
      </w:r>
      <w:r w:rsidR="003573E0" w:rsidRPr="003B4AEE">
        <w:t xml:space="preserve">. </w:t>
      </w:r>
    </w:p>
    <w:p w14:paraId="5D35CE87" w14:textId="29B40815" w:rsidR="0085470C" w:rsidRPr="003B4AEE" w:rsidRDefault="00547D47" w:rsidP="004F1834">
      <w:pPr>
        <w:pStyle w:val="BodyText"/>
      </w:pPr>
      <w:r w:rsidRPr="003B4AEE">
        <w:rPr>
          <w:i/>
        </w:rPr>
        <w:t xml:space="preserve">Permittees. </w:t>
      </w:r>
      <w:r w:rsidR="003573E0" w:rsidRPr="003B4AEE">
        <w:t>Table A</w:t>
      </w:r>
      <w:r w:rsidR="001A6DA0" w:rsidRPr="003B4AEE">
        <w:t>-</w:t>
      </w:r>
      <w:r w:rsidR="00352E6F" w:rsidRPr="003B4AEE">
        <w:t>1</w:t>
      </w:r>
      <w:r w:rsidR="007F3A2F" w:rsidRPr="003B4AEE">
        <w:t>2</w:t>
      </w:r>
      <w:r w:rsidR="003573E0" w:rsidRPr="003B4AEE">
        <w:t xml:space="preserve"> presents the estimated burden hours and frequency per facility for permit renewal applications. Table A</w:t>
      </w:r>
      <w:r w:rsidR="001A6DA0" w:rsidRPr="003B4AEE">
        <w:t>-</w:t>
      </w:r>
      <w:r w:rsidR="000F23E8" w:rsidRPr="003B4AEE">
        <w:t>1</w:t>
      </w:r>
      <w:r w:rsidR="007F3A2F" w:rsidRPr="003B4AEE">
        <w:t>3</w:t>
      </w:r>
      <w:r w:rsidR="003573E0" w:rsidRPr="003B4AEE">
        <w:t xml:space="preserve"> presents the estimated burden hours and frequency per facility for recurring activities that apply to all new </w:t>
      </w:r>
      <w:r w:rsidR="004832AB" w:rsidRPr="003B4AEE">
        <w:t xml:space="preserve">Phase III </w:t>
      </w:r>
      <w:r w:rsidR="003573E0" w:rsidRPr="003B4AEE">
        <w:t xml:space="preserve">CWIS facilities. </w:t>
      </w:r>
    </w:p>
    <w:p w14:paraId="1D259CEF" w14:textId="53E4E4E3" w:rsidR="005B4FEB" w:rsidRPr="003B4AEE" w:rsidRDefault="005B4FEB" w:rsidP="004F1834">
      <w:pPr>
        <w:pStyle w:val="TableTitleAppendix"/>
      </w:pPr>
      <w:bookmarkStart w:id="423" w:name="_Toc61521423"/>
      <w:r w:rsidRPr="003B4AEE">
        <w:t>Table A</w:t>
      </w:r>
      <w:r w:rsidR="00054BE9" w:rsidRPr="003B4AEE">
        <w:t>-</w:t>
      </w:r>
      <w:r w:rsidR="00352E6F" w:rsidRPr="003B4AEE">
        <w:t>1</w:t>
      </w:r>
      <w:r w:rsidR="007F3A2F" w:rsidRPr="003B4AEE">
        <w:t>2</w:t>
      </w:r>
      <w:r w:rsidR="00054BE9" w:rsidRPr="003B4AEE">
        <w:t>.</w:t>
      </w:r>
      <w:r w:rsidRPr="003B4AEE">
        <w:t xml:space="preserve"> </w:t>
      </w:r>
      <w:r w:rsidR="000F23E8" w:rsidRPr="003B4AEE">
        <w:t xml:space="preserve">Estimated </w:t>
      </w:r>
      <w:r w:rsidR="0015314D" w:rsidRPr="003B4AEE">
        <w:t>F</w:t>
      </w:r>
      <w:r w:rsidR="00810A91" w:rsidRPr="003B4AEE">
        <w:t xml:space="preserve">acility </w:t>
      </w:r>
      <w:r w:rsidR="0015314D" w:rsidRPr="003B4AEE">
        <w:t>B</w:t>
      </w:r>
      <w:r w:rsidR="00810A91" w:rsidRPr="003B4AEE">
        <w:t xml:space="preserve">urden </w:t>
      </w:r>
      <w:r w:rsidR="0015314D" w:rsidRPr="003B4AEE">
        <w:t>for Initial</w:t>
      </w:r>
      <w:r w:rsidR="00810A91" w:rsidRPr="003B4AEE">
        <w:t xml:space="preserve"> </w:t>
      </w:r>
      <w:r w:rsidR="0015314D" w:rsidRPr="003B4AEE">
        <w:t>P</w:t>
      </w:r>
      <w:r w:rsidR="00810A91" w:rsidRPr="003B4AEE">
        <w:t xml:space="preserve">ermit </w:t>
      </w:r>
      <w:r w:rsidR="0015314D" w:rsidRPr="003B4AEE">
        <w:t>R</w:t>
      </w:r>
      <w:r w:rsidR="00810A91" w:rsidRPr="003B4AEE">
        <w:t xml:space="preserve">enewal </w:t>
      </w:r>
      <w:r w:rsidR="0015314D" w:rsidRPr="003B4AEE">
        <w:t>A</w:t>
      </w:r>
      <w:r w:rsidR="00810A91" w:rsidRPr="003B4AEE">
        <w:t xml:space="preserve">pplications </w:t>
      </w:r>
      <w:r w:rsidR="000F23E8" w:rsidRPr="003B4AEE">
        <w:t xml:space="preserve">and </w:t>
      </w:r>
      <w:r w:rsidR="0015314D" w:rsidRPr="003B4AEE">
        <w:t>C</w:t>
      </w:r>
      <w:r w:rsidR="00810A91" w:rsidRPr="003B4AEE">
        <w:t xml:space="preserve">ompliance </w:t>
      </w:r>
      <w:r w:rsidR="0015314D" w:rsidRPr="003B4AEE">
        <w:t>A</w:t>
      </w:r>
      <w:r w:rsidR="00810A91" w:rsidRPr="003B4AEE">
        <w:t>ctivities</w:t>
      </w:r>
      <w:bookmarkEnd w:id="423"/>
    </w:p>
    <w:tbl>
      <w:tblPr>
        <w:tblStyle w:val="TableGrid"/>
        <w:tblW w:w="0" w:type="auto"/>
        <w:tblLook w:val="04A0" w:firstRow="1" w:lastRow="0" w:firstColumn="1" w:lastColumn="0" w:noHBand="0" w:noVBand="1"/>
      </w:tblPr>
      <w:tblGrid>
        <w:gridCol w:w="4855"/>
        <w:gridCol w:w="3505"/>
        <w:gridCol w:w="990"/>
      </w:tblGrid>
      <w:tr w:rsidR="002E29FE" w:rsidRPr="003B4AEE" w14:paraId="062E7664" w14:textId="77777777" w:rsidTr="004F1834">
        <w:trPr>
          <w:tblHeader/>
        </w:trPr>
        <w:tc>
          <w:tcPr>
            <w:tcW w:w="4855" w:type="dxa"/>
            <w:shd w:val="clear" w:color="auto" w:fill="D9D9D9" w:themeFill="background1" w:themeFillShade="D9"/>
            <w:vAlign w:val="bottom"/>
          </w:tcPr>
          <w:p w14:paraId="3E71B7AE" w14:textId="335FB2ED" w:rsidR="002E29FE" w:rsidRPr="003B4AEE" w:rsidRDefault="002E29FE" w:rsidP="009F1C6B">
            <w:pPr>
              <w:pStyle w:val="TableHeading"/>
            </w:pPr>
            <w:r w:rsidRPr="003B4AEE">
              <w:t xml:space="preserve">Permittee </w:t>
            </w:r>
            <w:r w:rsidR="0015314D" w:rsidRPr="003B4AEE">
              <w:t>I</w:t>
            </w:r>
            <w:r w:rsidR="00810A91" w:rsidRPr="003B4AEE">
              <w:t xml:space="preserve">nitial </w:t>
            </w:r>
            <w:r w:rsidR="0015314D" w:rsidRPr="003B4AEE">
              <w:t>A</w:t>
            </w:r>
            <w:r w:rsidR="00810A91" w:rsidRPr="003B4AEE">
              <w:t xml:space="preserve">pplication </w:t>
            </w:r>
            <w:r w:rsidR="0015314D" w:rsidRPr="003B4AEE">
              <w:t>A</w:t>
            </w:r>
            <w:r w:rsidR="00810A91" w:rsidRPr="003B4AEE">
              <w:t>ctivity</w:t>
            </w:r>
          </w:p>
        </w:tc>
        <w:tc>
          <w:tcPr>
            <w:tcW w:w="3505" w:type="dxa"/>
            <w:shd w:val="clear" w:color="auto" w:fill="D9D9D9" w:themeFill="background1" w:themeFillShade="D9"/>
            <w:vAlign w:val="bottom"/>
          </w:tcPr>
          <w:p w14:paraId="2BA058C4" w14:textId="77777777" w:rsidR="002E29FE" w:rsidRPr="003B4AEE" w:rsidRDefault="002E29FE" w:rsidP="009F1C6B">
            <w:pPr>
              <w:pStyle w:val="TableHeading"/>
            </w:pPr>
            <w:r w:rsidRPr="003B4AEE">
              <w:t>Frequency</w:t>
            </w:r>
          </w:p>
        </w:tc>
        <w:tc>
          <w:tcPr>
            <w:tcW w:w="990" w:type="dxa"/>
            <w:shd w:val="clear" w:color="auto" w:fill="D9D9D9" w:themeFill="background1" w:themeFillShade="D9"/>
            <w:vAlign w:val="bottom"/>
          </w:tcPr>
          <w:p w14:paraId="417A26C7" w14:textId="77777777" w:rsidR="002E29FE" w:rsidRPr="003B4AEE" w:rsidRDefault="002E29FE" w:rsidP="009F1C6B">
            <w:pPr>
              <w:pStyle w:val="TableHeading"/>
            </w:pPr>
            <w:r w:rsidRPr="003B4AEE">
              <w:t>Burden (hours)</w:t>
            </w:r>
          </w:p>
        </w:tc>
      </w:tr>
      <w:tr w:rsidR="006C2E35" w:rsidRPr="003B4AEE" w14:paraId="5A5400F3" w14:textId="77777777" w:rsidTr="00A30867">
        <w:tc>
          <w:tcPr>
            <w:tcW w:w="4855" w:type="dxa"/>
          </w:tcPr>
          <w:p w14:paraId="165B287B" w14:textId="1A9ECF16" w:rsidR="006C2E35" w:rsidRPr="003B4AEE" w:rsidRDefault="00BE3F79" w:rsidP="00EF2A49">
            <w:pPr>
              <w:pStyle w:val="Tables"/>
              <w:jc w:val="center"/>
            </w:pPr>
            <w:r w:rsidRPr="003B4AEE">
              <w:t xml:space="preserve">Start-up </w:t>
            </w:r>
            <w:r w:rsidR="00810A91" w:rsidRPr="003B4AEE">
              <w:t>activities</w:t>
            </w:r>
          </w:p>
        </w:tc>
        <w:tc>
          <w:tcPr>
            <w:tcW w:w="3505" w:type="dxa"/>
          </w:tcPr>
          <w:p w14:paraId="422CBCBE" w14:textId="454F10ED" w:rsidR="006C2E35" w:rsidRPr="003B4AEE" w:rsidRDefault="00BE3F79" w:rsidP="00EF2A49">
            <w:pPr>
              <w:pStyle w:val="Tables"/>
              <w:jc w:val="center"/>
            </w:pPr>
            <w:r w:rsidRPr="003B4AEE">
              <w:t>Once per new permit</w:t>
            </w:r>
          </w:p>
        </w:tc>
        <w:tc>
          <w:tcPr>
            <w:tcW w:w="990" w:type="dxa"/>
          </w:tcPr>
          <w:p w14:paraId="4951987E" w14:textId="15639348" w:rsidR="006C2E35" w:rsidRPr="003B4AEE" w:rsidRDefault="0015284E" w:rsidP="00EF2A49">
            <w:pPr>
              <w:pStyle w:val="Tables"/>
              <w:jc w:val="center"/>
            </w:pPr>
            <w:r w:rsidRPr="003B4AEE">
              <w:t>43</w:t>
            </w:r>
          </w:p>
        </w:tc>
      </w:tr>
      <w:tr w:rsidR="006C2E35" w:rsidRPr="003B4AEE" w14:paraId="3BD81C8E" w14:textId="77777777" w:rsidTr="00A30867">
        <w:tc>
          <w:tcPr>
            <w:tcW w:w="4855" w:type="dxa"/>
          </w:tcPr>
          <w:p w14:paraId="63B548AF" w14:textId="6A3FC9BE" w:rsidR="006C2E35" w:rsidRPr="003B4AEE" w:rsidRDefault="00BE3F79" w:rsidP="00EF2A49">
            <w:pPr>
              <w:pStyle w:val="Tables"/>
              <w:jc w:val="center"/>
            </w:pPr>
            <w:r w:rsidRPr="003B4AEE">
              <w:t xml:space="preserve">Permit </w:t>
            </w:r>
            <w:r w:rsidR="00810A91" w:rsidRPr="003B4AEE">
              <w:t>application activities</w:t>
            </w:r>
          </w:p>
        </w:tc>
        <w:tc>
          <w:tcPr>
            <w:tcW w:w="3505" w:type="dxa"/>
          </w:tcPr>
          <w:p w14:paraId="3CB25CAF" w14:textId="220DF0E9" w:rsidR="006C2E35" w:rsidRPr="003B4AEE" w:rsidRDefault="00BE3F79" w:rsidP="00EF2A49">
            <w:pPr>
              <w:pStyle w:val="Tables"/>
              <w:jc w:val="center"/>
            </w:pPr>
            <w:r w:rsidRPr="003B4AEE">
              <w:t>Once per new permit</w:t>
            </w:r>
          </w:p>
        </w:tc>
        <w:tc>
          <w:tcPr>
            <w:tcW w:w="990" w:type="dxa"/>
          </w:tcPr>
          <w:p w14:paraId="219A69C3" w14:textId="6B95890C" w:rsidR="006C2E35" w:rsidRPr="003B4AEE" w:rsidRDefault="001701CE" w:rsidP="00EF2A49">
            <w:pPr>
              <w:pStyle w:val="Tables"/>
              <w:jc w:val="center"/>
            </w:pPr>
            <w:r w:rsidRPr="003B4AEE">
              <w:t>51</w:t>
            </w:r>
          </w:p>
        </w:tc>
      </w:tr>
      <w:tr w:rsidR="006C2E35" w:rsidRPr="003B4AEE" w14:paraId="37931A1F" w14:textId="77777777" w:rsidTr="00A30867">
        <w:tc>
          <w:tcPr>
            <w:tcW w:w="4855" w:type="dxa"/>
          </w:tcPr>
          <w:p w14:paraId="6CCC4EB2" w14:textId="7FA5CD29" w:rsidR="006C2E35" w:rsidRPr="003B4AEE" w:rsidRDefault="00BE3F79" w:rsidP="00EF2A49">
            <w:pPr>
              <w:pStyle w:val="Tables"/>
              <w:jc w:val="center"/>
            </w:pPr>
            <w:r w:rsidRPr="003B4AEE">
              <w:t xml:space="preserve">Source </w:t>
            </w:r>
            <w:r w:rsidR="00810A91" w:rsidRPr="003B4AEE">
              <w:t>water body flow information</w:t>
            </w:r>
          </w:p>
        </w:tc>
        <w:tc>
          <w:tcPr>
            <w:tcW w:w="3505" w:type="dxa"/>
          </w:tcPr>
          <w:p w14:paraId="74F3FE11" w14:textId="0BDFDCF6" w:rsidR="006C2E35" w:rsidRPr="003B4AEE" w:rsidRDefault="00BE3F79" w:rsidP="00EF2A49">
            <w:pPr>
              <w:pStyle w:val="Tables"/>
              <w:jc w:val="center"/>
            </w:pPr>
            <w:r w:rsidRPr="003B4AEE">
              <w:t>Once per new permit</w:t>
            </w:r>
          </w:p>
        </w:tc>
        <w:tc>
          <w:tcPr>
            <w:tcW w:w="990" w:type="dxa"/>
          </w:tcPr>
          <w:p w14:paraId="4F66D8AC" w14:textId="62B77DA2" w:rsidR="006C2E35" w:rsidRPr="003B4AEE" w:rsidRDefault="001701CE" w:rsidP="00EF2A49">
            <w:pPr>
              <w:pStyle w:val="Tables"/>
              <w:jc w:val="center"/>
            </w:pPr>
            <w:r w:rsidRPr="003B4AEE">
              <w:t>38</w:t>
            </w:r>
          </w:p>
        </w:tc>
      </w:tr>
      <w:tr w:rsidR="006C2E35" w:rsidRPr="003B4AEE" w14:paraId="4928C051" w14:textId="77777777" w:rsidTr="00A30867">
        <w:tc>
          <w:tcPr>
            <w:tcW w:w="4855" w:type="dxa"/>
          </w:tcPr>
          <w:p w14:paraId="215DF6B9" w14:textId="5F2C1E41" w:rsidR="006C2E35" w:rsidRPr="003B4AEE" w:rsidRDefault="00BE3F79" w:rsidP="00EF2A49">
            <w:pPr>
              <w:pStyle w:val="Tables"/>
              <w:jc w:val="center"/>
            </w:pPr>
            <w:r w:rsidRPr="003B4AEE">
              <w:t xml:space="preserve">CWIS </w:t>
            </w:r>
            <w:r w:rsidR="00810A91" w:rsidRPr="003B4AEE">
              <w:t>velocity information</w:t>
            </w:r>
          </w:p>
        </w:tc>
        <w:tc>
          <w:tcPr>
            <w:tcW w:w="3505" w:type="dxa"/>
          </w:tcPr>
          <w:p w14:paraId="2CCEDA6B" w14:textId="262C7354" w:rsidR="006C2E35" w:rsidRPr="003B4AEE" w:rsidRDefault="00BE3F79" w:rsidP="00EF2A49">
            <w:pPr>
              <w:pStyle w:val="Tables"/>
              <w:jc w:val="center"/>
            </w:pPr>
            <w:r w:rsidRPr="003B4AEE">
              <w:t>Once per new permit</w:t>
            </w:r>
          </w:p>
        </w:tc>
        <w:tc>
          <w:tcPr>
            <w:tcW w:w="990" w:type="dxa"/>
          </w:tcPr>
          <w:p w14:paraId="169E1217" w14:textId="345B8C64" w:rsidR="006C2E35" w:rsidRPr="003B4AEE" w:rsidRDefault="001701CE" w:rsidP="00EF2A49">
            <w:pPr>
              <w:pStyle w:val="Tables"/>
              <w:jc w:val="center"/>
            </w:pPr>
            <w:r w:rsidRPr="003B4AEE">
              <w:t>150</w:t>
            </w:r>
          </w:p>
        </w:tc>
      </w:tr>
      <w:tr w:rsidR="006C2E35" w:rsidRPr="003B4AEE" w14:paraId="48A3A3C5" w14:textId="77777777" w:rsidTr="00A30867">
        <w:tc>
          <w:tcPr>
            <w:tcW w:w="4855" w:type="dxa"/>
          </w:tcPr>
          <w:p w14:paraId="3B66B39A" w14:textId="2A39986C" w:rsidR="006C2E35" w:rsidRPr="003B4AEE" w:rsidRDefault="00BE3F79" w:rsidP="00EF2A49">
            <w:pPr>
              <w:pStyle w:val="Tables"/>
              <w:jc w:val="center"/>
            </w:pPr>
            <w:r w:rsidRPr="003B4AEE">
              <w:t xml:space="preserve">Design and </w:t>
            </w:r>
            <w:r w:rsidR="00810A91" w:rsidRPr="003B4AEE">
              <w:t>construction technology plan</w:t>
            </w:r>
          </w:p>
        </w:tc>
        <w:tc>
          <w:tcPr>
            <w:tcW w:w="3505" w:type="dxa"/>
          </w:tcPr>
          <w:p w14:paraId="6E04DC0E" w14:textId="12512C91" w:rsidR="006C2E35" w:rsidRPr="003B4AEE" w:rsidRDefault="00BE3F79" w:rsidP="00EF2A49">
            <w:pPr>
              <w:pStyle w:val="Tables"/>
              <w:jc w:val="center"/>
            </w:pPr>
            <w:r w:rsidRPr="003B4AEE">
              <w:t>Once per new permit</w:t>
            </w:r>
          </w:p>
        </w:tc>
        <w:tc>
          <w:tcPr>
            <w:tcW w:w="990" w:type="dxa"/>
          </w:tcPr>
          <w:p w14:paraId="4B7AFF5E" w14:textId="37259851" w:rsidR="006C2E35" w:rsidRPr="003B4AEE" w:rsidRDefault="001701CE" w:rsidP="00EF2A49">
            <w:pPr>
              <w:pStyle w:val="Tables"/>
              <w:jc w:val="center"/>
            </w:pPr>
            <w:r w:rsidRPr="003B4AEE">
              <w:t>36</w:t>
            </w:r>
          </w:p>
        </w:tc>
      </w:tr>
      <w:tr w:rsidR="006C2E35" w:rsidRPr="003B4AEE" w14:paraId="20DF8CE8" w14:textId="77777777" w:rsidTr="00A30867">
        <w:tc>
          <w:tcPr>
            <w:tcW w:w="4855" w:type="dxa"/>
          </w:tcPr>
          <w:p w14:paraId="48CEA89D" w14:textId="4B46DFF3" w:rsidR="006C2E35" w:rsidRPr="003B4AEE" w:rsidRDefault="00BE3F79" w:rsidP="00EF2A49">
            <w:pPr>
              <w:pStyle w:val="Tables"/>
              <w:jc w:val="center"/>
            </w:pPr>
            <w:r w:rsidRPr="003B4AEE">
              <w:t xml:space="preserve">Source </w:t>
            </w:r>
            <w:r w:rsidR="00810A91" w:rsidRPr="003B4AEE">
              <w:t>water baseline biological characterization study</w:t>
            </w:r>
          </w:p>
        </w:tc>
        <w:tc>
          <w:tcPr>
            <w:tcW w:w="3505" w:type="dxa"/>
          </w:tcPr>
          <w:p w14:paraId="3B276607" w14:textId="4F27825A" w:rsidR="006C2E35" w:rsidRPr="003B4AEE" w:rsidRDefault="00BE3F79" w:rsidP="00EF2A49">
            <w:pPr>
              <w:pStyle w:val="Tables"/>
              <w:jc w:val="center"/>
            </w:pPr>
            <w:r w:rsidRPr="003B4AEE">
              <w:t>Once per new permit</w:t>
            </w:r>
          </w:p>
        </w:tc>
        <w:tc>
          <w:tcPr>
            <w:tcW w:w="990" w:type="dxa"/>
          </w:tcPr>
          <w:p w14:paraId="7181EFF5" w14:textId="385139E9" w:rsidR="006C2E35" w:rsidRPr="003B4AEE" w:rsidRDefault="001701CE" w:rsidP="00EF2A49">
            <w:pPr>
              <w:pStyle w:val="Tables"/>
              <w:jc w:val="center"/>
            </w:pPr>
            <w:r w:rsidRPr="003B4AEE">
              <w:t>166</w:t>
            </w:r>
          </w:p>
        </w:tc>
      </w:tr>
    </w:tbl>
    <w:p w14:paraId="49A7B0AB" w14:textId="77777777" w:rsidR="0015284E" w:rsidRPr="003B4AEE" w:rsidRDefault="0015284E" w:rsidP="00EF2A49">
      <w:pPr>
        <w:spacing w:after="0"/>
        <w:jc w:val="center"/>
      </w:pPr>
    </w:p>
    <w:p w14:paraId="17F23218" w14:textId="4C9E6701" w:rsidR="003573E0" w:rsidRPr="003B4AEE" w:rsidRDefault="003573E0" w:rsidP="004F1834">
      <w:pPr>
        <w:pStyle w:val="TableTitleAppendix"/>
      </w:pPr>
      <w:bookmarkStart w:id="424" w:name="_Toc61521424"/>
      <w:r w:rsidRPr="003B4AEE">
        <w:t>Table A</w:t>
      </w:r>
      <w:r w:rsidR="00054BE9" w:rsidRPr="003B4AEE">
        <w:t>-</w:t>
      </w:r>
      <w:r w:rsidRPr="003B4AEE">
        <w:t>1</w:t>
      </w:r>
      <w:r w:rsidR="007F3A2F" w:rsidRPr="003B4AEE">
        <w:t>3</w:t>
      </w:r>
      <w:r w:rsidR="00054BE9" w:rsidRPr="003B4AEE">
        <w:t xml:space="preserve">. </w:t>
      </w:r>
      <w:r w:rsidR="000F23E8" w:rsidRPr="003B4AEE">
        <w:t xml:space="preserve">Estimated </w:t>
      </w:r>
      <w:r w:rsidR="0015314D" w:rsidRPr="003B4AEE">
        <w:t>F</w:t>
      </w:r>
      <w:r w:rsidR="00810A91" w:rsidRPr="003B4AEE">
        <w:t xml:space="preserve">acility </w:t>
      </w:r>
      <w:r w:rsidR="0015314D" w:rsidRPr="003B4AEE">
        <w:t>B</w:t>
      </w:r>
      <w:r w:rsidR="00810A91" w:rsidRPr="003B4AEE">
        <w:t xml:space="preserve">urden </w:t>
      </w:r>
      <w:r w:rsidR="000F23E8" w:rsidRPr="003B4AEE">
        <w:t xml:space="preserve">for </w:t>
      </w:r>
      <w:r w:rsidR="0015314D" w:rsidRPr="003B4AEE">
        <w:t>R</w:t>
      </w:r>
      <w:r w:rsidR="00810A91" w:rsidRPr="003B4AEE">
        <w:t xml:space="preserve">ecurring </w:t>
      </w:r>
      <w:r w:rsidR="0015314D" w:rsidRPr="003B4AEE">
        <w:t>A</w:t>
      </w:r>
      <w:r w:rsidR="00810A91" w:rsidRPr="003B4AEE">
        <w:t>ctivities</w:t>
      </w:r>
      <w:bookmarkEnd w:id="424"/>
      <w:r w:rsidR="00810A91" w:rsidRPr="003B4AEE">
        <w:t xml:space="preserve"> </w:t>
      </w:r>
    </w:p>
    <w:tbl>
      <w:tblPr>
        <w:tblStyle w:val="TableGrid"/>
        <w:tblW w:w="0" w:type="auto"/>
        <w:tblLook w:val="04A0" w:firstRow="1" w:lastRow="0" w:firstColumn="1" w:lastColumn="0" w:noHBand="0" w:noVBand="1"/>
      </w:tblPr>
      <w:tblGrid>
        <w:gridCol w:w="4855"/>
        <w:gridCol w:w="3505"/>
        <w:gridCol w:w="990"/>
      </w:tblGrid>
      <w:tr w:rsidR="00BE3F79" w:rsidRPr="003B4AEE" w14:paraId="08F029B7" w14:textId="77777777" w:rsidTr="004F1834">
        <w:trPr>
          <w:tblHeader/>
        </w:trPr>
        <w:tc>
          <w:tcPr>
            <w:tcW w:w="4855" w:type="dxa"/>
            <w:shd w:val="clear" w:color="auto" w:fill="D9D9D9" w:themeFill="background1" w:themeFillShade="D9"/>
            <w:vAlign w:val="bottom"/>
          </w:tcPr>
          <w:p w14:paraId="372D1F4F" w14:textId="3307B3E1" w:rsidR="00BE3F79" w:rsidRPr="003B4AEE" w:rsidRDefault="00BE3F79" w:rsidP="009F1C6B">
            <w:pPr>
              <w:pStyle w:val="TableHeading"/>
            </w:pPr>
            <w:r w:rsidRPr="003B4AEE">
              <w:t xml:space="preserve">Permittee </w:t>
            </w:r>
            <w:r w:rsidR="0015314D" w:rsidRPr="003B4AEE">
              <w:t>R</w:t>
            </w:r>
            <w:r w:rsidR="00810A91" w:rsidRPr="003B4AEE">
              <w:t xml:space="preserve">ecurring </w:t>
            </w:r>
            <w:r w:rsidR="0015314D" w:rsidRPr="003B4AEE">
              <w:t>A</w:t>
            </w:r>
            <w:r w:rsidR="00810A91" w:rsidRPr="003B4AEE">
              <w:t>ctivity</w:t>
            </w:r>
          </w:p>
        </w:tc>
        <w:tc>
          <w:tcPr>
            <w:tcW w:w="3505" w:type="dxa"/>
            <w:shd w:val="clear" w:color="auto" w:fill="D9D9D9" w:themeFill="background1" w:themeFillShade="D9"/>
            <w:vAlign w:val="bottom"/>
          </w:tcPr>
          <w:p w14:paraId="5916F543" w14:textId="77777777" w:rsidR="00BE3F79" w:rsidRPr="003B4AEE" w:rsidRDefault="00BE3F79" w:rsidP="009F1C6B">
            <w:pPr>
              <w:pStyle w:val="TableHeading"/>
            </w:pPr>
            <w:r w:rsidRPr="003B4AEE">
              <w:t>Frequency</w:t>
            </w:r>
          </w:p>
        </w:tc>
        <w:tc>
          <w:tcPr>
            <w:tcW w:w="990" w:type="dxa"/>
            <w:shd w:val="clear" w:color="auto" w:fill="D9D9D9" w:themeFill="background1" w:themeFillShade="D9"/>
            <w:vAlign w:val="bottom"/>
          </w:tcPr>
          <w:p w14:paraId="60CBE3D4" w14:textId="77777777" w:rsidR="00BE3F79" w:rsidRPr="003B4AEE" w:rsidRDefault="00BE3F79" w:rsidP="009F1C6B">
            <w:pPr>
              <w:pStyle w:val="TableHeading"/>
            </w:pPr>
            <w:r w:rsidRPr="003B4AEE">
              <w:t>Burden (hours)</w:t>
            </w:r>
          </w:p>
        </w:tc>
      </w:tr>
      <w:tr w:rsidR="0015284E" w:rsidRPr="003B4AEE" w14:paraId="0CE4CEEB" w14:textId="77777777" w:rsidTr="00A30867">
        <w:tc>
          <w:tcPr>
            <w:tcW w:w="4855" w:type="dxa"/>
          </w:tcPr>
          <w:p w14:paraId="216C5858" w14:textId="521D3BD3" w:rsidR="0015284E" w:rsidRPr="003B4AEE" w:rsidRDefault="0015284E" w:rsidP="00A30867">
            <w:pPr>
              <w:pStyle w:val="Tables"/>
            </w:pPr>
            <w:r w:rsidRPr="003B4AEE">
              <w:t xml:space="preserve">Start-up </w:t>
            </w:r>
            <w:r w:rsidR="00810A91" w:rsidRPr="003B4AEE">
              <w:t>activities</w:t>
            </w:r>
          </w:p>
        </w:tc>
        <w:tc>
          <w:tcPr>
            <w:tcW w:w="3505" w:type="dxa"/>
          </w:tcPr>
          <w:p w14:paraId="5485FB4A" w14:textId="5304A1B6" w:rsidR="0015284E" w:rsidRPr="003B4AEE" w:rsidRDefault="0015284E" w:rsidP="00EF2A49">
            <w:pPr>
              <w:pStyle w:val="Tables"/>
              <w:jc w:val="center"/>
            </w:pPr>
            <w:r w:rsidRPr="003B4AEE">
              <w:t>Once every 5 years</w:t>
            </w:r>
          </w:p>
        </w:tc>
        <w:tc>
          <w:tcPr>
            <w:tcW w:w="990" w:type="dxa"/>
          </w:tcPr>
          <w:p w14:paraId="33061F20" w14:textId="4936335F" w:rsidR="0015284E" w:rsidRPr="003B4AEE" w:rsidRDefault="001701CE" w:rsidP="00EF2A49">
            <w:pPr>
              <w:pStyle w:val="Tables"/>
              <w:jc w:val="center"/>
            </w:pPr>
            <w:r w:rsidRPr="003B4AEE">
              <w:t>13</w:t>
            </w:r>
          </w:p>
        </w:tc>
      </w:tr>
      <w:tr w:rsidR="0015284E" w:rsidRPr="003B4AEE" w14:paraId="5EDF1805" w14:textId="77777777" w:rsidTr="00A30867">
        <w:tc>
          <w:tcPr>
            <w:tcW w:w="4855" w:type="dxa"/>
          </w:tcPr>
          <w:p w14:paraId="40E2BB01" w14:textId="605569B7" w:rsidR="0015284E" w:rsidRPr="003B4AEE" w:rsidRDefault="0015284E" w:rsidP="00A30867">
            <w:pPr>
              <w:pStyle w:val="Tables"/>
            </w:pPr>
            <w:r w:rsidRPr="003B4AEE">
              <w:t xml:space="preserve">Permit </w:t>
            </w:r>
            <w:r w:rsidR="00810A91" w:rsidRPr="003B4AEE">
              <w:t>application activities</w:t>
            </w:r>
          </w:p>
        </w:tc>
        <w:tc>
          <w:tcPr>
            <w:tcW w:w="3505" w:type="dxa"/>
          </w:tcPr>
          <w:p w14:paraId="552CE097" w14:textId="4EB40937" w:rsidR="0015284E" w:rsidRPr="003B4AEE" w:rsidRDefault="0015284E" w:rsidP="00EF2A49">
            <w:pPr>
              <w:pStyle w:val="Tables"/>
              <w:jc w:val="center"/>
            </w:pPr>
            <w:r w:rsidRPr="003B4AEE">
              <w:t>Once every 5 years</w:t>
            </w:r>
          </w:p>
        </w:tc>
        <w:tc>
          <w:tcPr>
            <w:tcW w:w="990" w:type="dxa"/>
          </w:tcPr>
          <w:p w14:paraId="35B0E8C8" w14:textId="3F5D9D80" w:rsidR="0015284E" w:rsidRPr="003B4AEE" w:rsidRDefault="001701CE" w:rsidP="00EF2A49">
            <w:pPr>
              <w:pStyle w:val="Tables"/>
              <w:jc w:val="center"/>
            </w:pPr>
            <w:r w:rsidRPr="003B4AEE">
              <w:t>13</w:t>
            </w:r>
          </w:p>
        </w:tc>
      </w:tr>
      <w:tr w:rsidR="0015284E" w:rsidRPr="003B4AEE" w14:paraId="74C64634" w14:textId="77777777" w:rsidTr="00A30867">
        <w:tc>
          <w:tcPr>
            <w:tcW w:w="4855" w:type="dxa"/>
          </w:tcPr>
          <w:p w14:paraId="2FA97014" w14:textId="115198DE" w:rsidR="0015284E" w:rsidRPr="003B4AEE" w:rsidRDefault="0015284E" w:rsidP="00A30867">
            <w:pPr>
              <w:pStyle w:val="Tables"/>
            </w:pPr>
            <w:r w:rsidRPr="003B4AEE">
              <w:t xml:space="preserve">Source </w:t>
            </w:r>
            <w:r w:rsidR="00810A91" w:rsidRPr="003B4AEE">
              <w:t>water body flow information</w:t>
            </w:r>
          </w:p>
        </w:tc>
        <w:tc>
          <w:tcPr>
            <w:tcW w:w="3505" w:type="dxa"/>
          </w:tcPr>
          <w:p w14:paraId="123D7733" w14:textId="6BD26249" w:rsidR="0015284E" w:rsidRPr="003B4AEE" w:rsidRDefault="0015284E" w:rsidP="00EF2A49">
            <w:pPr>
              <w:pStyle w:val="Tables"/>
              <w:jc w:val="center"/>
            </w:pPr>
            <w:r w:rsidRPr="003B4AEE">
              <w:t>Once every 5 years</w:t>
            </w:r>
          </w:p>
        </w:tc>
        <w:tc>
          <w:tcPr>
            <w:tcW w:w="990" w:type="dxa"/>
          </w:tcPr>
          <w:p w14:paraId="5B12A163" w14:textId="0570171D" w:rsidR="0015284E" w:rsidRPr="003B4AEE" w:rsidRDefault="001701CE" w:rsidP="00EF2A49">
            <w:pPr>
              <w:pStyle w:val="Tables"/>
              <w:jc w:val="center"/>
            </w:pPr>
            <w:r w:rsidRPr="003B4AEE">
              <w:t>11</w:t>
            </w:r>
          </w:p>
        </w:tc>
      </w:tr>
      <w:tr w:rsidR="0015284E" w:rsidRPr="003B4AEE" w14:paraId="382C40BB" w14:textId="77777777" w:rsidTr="00A30867">
        <w:tc>
          <w:tcPr>
            <w:tcW w:w="4855" w:type="dxa"/>
          </w:tcPr>
          <w:p w14:paraId="758020AA" w14:textId="0EDC8AC5" w:rsidR="0015284E" w:rsidRPr="003B4AEE" w:rsidRDefault="0015284E" w:rsidP="00A30867">
            <w:pPr>
              <w:pStyle w:val="Tables"/>
            </w:pPr>
            <w:r w:rsidRPr="003B4AEE">
              <w:t xml:space="preserve">CWIS </w:t>
            </w:r>
            <w:r w:rsidR="00810A91" w:rsidRPr="003B4AEE">
              <w:t>velocity information</w:t>
            </w:r>
          </w:p>
        </w:tc>
        <w:tc>
          <w:tcPr>
            <w:tcW w:w="3505" w:type="dxa"/>
          </w:tcPr>
          <w:p w14:paraId="4F7209A0" w14:textId="01118C86" w:rsidR="0015284E" w:rsidRPr="003B4AEE" w:rsidRDefault="0015284E" w:rsidP="00EF2A49">
            <w:pPr>
              <w:pStyle w:val="Tables"/>
              <w:jc w:val="center"/>
            </w:pPr>
            <w:r w:rsidRPr="003B4AEE">
              <w:t>Once every 5 years</w:t>
            </w:r>
          </w:p>
        </w:tc>
        <w:tc>
          <w:tcPr>
            <w:tcW w:w="990" w:type="dxa"/>
          </w:tcPr>
          <w:p w14:paraId="64E8204E" w14:textId="38335E52" w:rsidR="0015284E" w:rsidRPr="003B4AEE" w:rsidRDefault="001701CE" w:rsidP="00EF2A49">
            <w:pPr>
              <w:pStyle w:val="Tables"/>
              <w:jc w:val="center"/>
            </w:pPr>
            <w:r w:rsidRPr="003B4AEE">
              <w:t>45</w:t>
            </w:r>
          </w:p>
        </w:tc>
      </w:tr>
      <w:tr w:rsidR="0015284E" w:rsidRPr="003B4AEE" w14:paraId="20981282" w14:textId="77777777" w:rsidTr="00A30867">
        <w:tc>
          <w:tcPr>
            <w:tcW w:w="4855" w:type="dxa"/>
          </w:tcPr>
          <w:p w14:paraId="14BC0B18" w14:textId="150D90A5" w:rsidR="0015284E" w:rsidRPr="003B4AEE" w:rsidRDefault="0015284E" w:rsidP="00A30867">
            <w:pPr>
              <w:pStyle w:val="Tables"/>
            </w:pPr>
            <w:r w:rsidRPr="003B4AEE">
              <w:t xml:space="preserve">Design and </w:t>
            </w:r>
            <w:r w:rsidR="00810A91" w:rsidRPr="003B4AEE">
              <w:t>construction technology plan</w:t>
            </w:r>
          </w:p>
        </w:tc>
        <w:tc>
          <w:tcPr>
            <w:tcW w:w="3505" w:type="dxa"/>
          </w:tcPr>
          <w:p w14:paraId="0D02644D" w14:textId="1948A9DA" w:rsidR="0015284E" w:rsidRPr="003B4AEE" w:rsidRDefault="0015284E" w:rsidP="00EF2A49">
            <w:pPr>
              <w:pStyle w:val="Tables"/>
              <w:jc w:val="center"/>
            </w:pPr>
            <w:r w:rsidRPr="003B4AEE">
              <w:t>Once every 5 years</w:t>
            </w:r>
          </w:p>
        </w:tc>
        <w:tc>
          <w:tcPr>
            <w:tcW w:w="990" w:type="dxa"/>
          </w:tcPr>
          <w:p w14:paraId="2FCE8383" w14:textId="25B63EC4" w:rsidR="0015284E" w:rsidRPr="003B4AEE" w:rsidRDefault="001701CE" w:rsidP="00EF2A49">
            <w:pPr>
              <w:pStyle w:val="Tables"/>
              <w:jc w:val="center"/>
            </w:pPr>
            <w:r w:rsidRPr="003B4AEE">
              <w:t>20</w:t>
            </w:r>
          </w:p>
        </w:tc>
      </w:tr>
      <w:tr w:rsidR="0015284E" w:rsidRPr="003B4AEE" w14:paraId="474673DF" w14:textId="77777777" w:rsidTr="00A30867">
        <w:tc>
          <w:tcPr>
            <w:tcW w:w="4855" w:type="dxa"/>
          </w:tcPr>
          <w:p w14:paraId="050AB782" w14:textId="6764144A" w:rsidR="0015284E" w:rsidRPr="003B4AEE" w:rsidRDefault="0015284E" w:rsidP="00A30867">
            <w:pPr>
              <w:pStyle w:val="Tables"/>
            </w:pPr>
            <w:r w:rsidRPr="003B4AEE">
              <w:t xml:space="preserve">Source </w:t>
            </w:r>
            <w:r w:rsidR="00810A91" w:rsidRPr="003B4AEE">
              <w:t>water baseline biological characterization study</w:t>
            </w:r>
          </w:p>
        </w:tc>
        <w:tc>
          <w:tcPr>
            <w:tcW w:w="3505" w:type="dxa"/>
          </w:tcPr>
          <w:p w14:paraId="072EA523" w14:textId="13A8DA61" w:rsidR="0015284E" w:rsidRPr="003B4AEE" w:rsidRDefault="0015284E" w:rsidP="00EF2A49">
            <w:pPr>
              <w:pStyle w:val="Tables"/>
              <w:jc w:val="center"/>
            </w:pPr>
            <w:r w:rsidRPr="003B4AEE">
              <w:t>Once every 5 years</w:t>
            </w:r>
          </w:p>
        </w:tc>
        <w:tc>
          <w:tcPr>
            <w:tcW w:w="990" w:type="dxa"/>
          </w:tcPr>
          <w:p w14:paraId="2381D7F4" w14:textId="5B92A9E9" w:rsidR="0015284E" w:rsidRPr="003B4AEE" w:rsidRDefault="001701CE" w:rsidP="00EF2A49">
            <w:pPr>
              <w:pStyle w:val="Tables"/>
              <w:jc w:val="center"/>
            </w:pPr>
            <w:r w:rsidRPr="003B4AEE">
              <w:t>49</w:t>
            </w:r>
          </w:p>
        </w:tc>
      </w:tr>
      <w:tr w:rsidR="0015284E" w:rsidRPr="003B4AEE" w14:paraId="12803FBE" w14:textId="77777777" w:rsidTr="00A30867">
        <w:tc>
          <w:tcPr>
            <w:tcW w:w="4855" w:type="dxa"/>
          </w:tcPr>
          <w:p w14:paraId="007D01F7" w14:textId="7FBDCD40" w:rsidR="0015284E" w:rsidRPr="003B4AEE" w:rsidRDefault="0015284E" w:rsidP="00A30867">
            <w:pPr>
              <w:pStyle w:val="Tables"/>
            </w:pPr>
            <w:r w:rsidRPr="003B4AEE">
              <w:t xml:space="preserve">Biological </w:t>
            </w:r>
            <w:r w:rsidR="00810A91" w:rsidRPr="003B4AEE">
              <w:t xml:space="preserve">monitoring </w:t>
            </w:r>
            <w:r w:rsidRPr="003B4AEE">
              <w:t xml:space="preserve">for </w:t>
            </w:r>
            <w:r w:rsidR="00810A91" w:rsidRPr="003B4AEE">
              <w:t>impingement</w:t>
            </w:r>
          </w:p>
        </w:tc>
        <w:tc>
          <w:tcPr>
            <w:tcW w:w="3505" w:type="dxa"/>
          </w:tcPr>
          <w:p w14:paraId="56C101D9" w14:textId="0C353547" w:rsidR="0015284E" w:rsidRPr="003B4AEE" w:rsidRDefault="0015284E" w:rsidP="00EF2A49">
            <w:pPr>
              <w:pStyle w:val="Tables"/>
              <w:jc w:val="center"/>
            </w:pPr>
            <w:r w:rsidRPr="003B4AEE">
              <w:t>Annual per permit</w:t>
            </w:r>
          </w:p>
        </w:tc>
        <w:tc>
          <w:tcPr>
            <w:tcW w:w="990" w:type="dxa"/>
          </w:tcPr>
          <w:p w14:paraId="4570C69D" w14:textId="66472B45" w:rsidR="0015284E" w:rsidRPr="003B4AEE" w:rsidRDefault="001701CE" w:rsidP="00EF2A49">
            <w:pPr>
              <w:pStyle w:val="Tables"/>
              <w:jc w:val="center"/>
            </w:pPr>
            <w:r w:rsidRPr="003B4AEE">
              <w:t>530</w:t>
            </w:r>
          </w:p>
        </w:tc>
      </w:tr>
      <w:tr w:rsidR="0015284E" w:rsidRPr="003B4AEE" w14:paraId="6BE6E309" w14:textId="77777777" w:rsidTr="00A30867">
        <w:tc>
          <w:tcPr>
            <w:tcW w:w="4855" w:type="dxa"/>
          </w:tcPr>
          <w:p w14:paraId="5D1A132B" w14:textId="2C724002" w:rsidR="0015284E" w:rsidRPr="003B4AEE" w:rsidRDefault="0015284E" w:rsidP="00A30867">
            <w:pPr>
              <w:pStyle w:val="Tables"/>
            </w:pPr>
            <w:r w:rsidRPr="003B4AEE">
              <w:t xml:space="preserve">Biological </w:t>
            </w:r>
            <w:r w:rsidR="00810A91" w:rsidRPr="003B4AEE">
              <w:t xml:space="preserve">monitoring </w:t>
            </w:r>
            <w:r w:rsidRPr="003B4AEE">
              <w:t xml:space="preserve">for </w:t>
            </w:r>
            <w:r w:rsidR="00810A91" w:rsidRPr="003B4AEE">
              <w:t>entrainment</w:t>
            </w:r>
          </w:p>
        </w:tc>
        <w:tc>
          <w:tcPr>
            <w:tcW w:w="3505" w:type="dxa"/>
          </w:tcPr>
          <w:p w14:paraId="4C5E4CD6" w14:textId="0D90CE28" w:rsidR="0015284E" w:rsidRPr="003B4AEE" w:rsidRDefault="0015284E" w:rsidP="00EF2A49">
            <w:pPr>
              <w:pStyle w:val="Tables"/>
              <w:jc w:val="center"/>
            </w:pPr>
            <w:r w:rsidRPr="003B4AEE">
              <w:t>Annual per permit with entrainment requirements</w:t>
            </w:r>
          </w:p>
        </w:tc>
        <w:tc>
          <w:tcPr>
            <w:tcW w:w="990" w:type="dxa"/>
          </w:tcPr>
          <w:p w14:paraId="58B67D04" w14:textId="5353DAB2" w:rsidR="0015284E" w:rsidRPr="003B4AEE" w:rsidRDefault="001701CE" w:rsidP="00EF2A49">
            <w:pPr>
              <w:pStyle w:val="Tables"/>
              <w:jc w:val="center"/>
            </w:pPr>
            <w:r w:rsidRPr="003B4AEE">
              <w:t>370</w:t>
            </w:r>
          </w:p>
        </w:tc>
      </w:tr>
      <w:tr w:rsidR="0015284E" w:rsidRPr="003B4AEE" w14:paraId="25DC0C24" w14:textId="77777777" w:rsidTr="00A30867">
        <w:tc>
          <w:tcPr>
            <w:tcW w:w="4855" w:type="dxa"/>
          </w:tcPr>
          <w:p w14:paraId="13A0AF48" w14:textId="6133FDD6" w:rsidR="0015284E" w:rsidRPr="003B4AEE" w:rsidRDefault="0015284E" w:rsidP="00A30867">
            <w:pPr>
              <w:pStyle w:val="Tables"/>
            </w:pPr>
            <w:r w:rsidRPr="003B4AEE">
              <w:t xml:space="preserve">Biological </w:t>
            </w:r>
            <w:r w:rsidR="00810A91" w:rsidRPr="003B4AEE">
              <w:t xml:space="preserve">monitoring </w:t>
            </w:r>
            <w:r w:rsidRPr="003B4AEE">
              <w:t xml:space="preserve">for </w:t>
            </w:r>
            <w:r w:rsidR="00810A91" w:rsidRPr="003B4AEE">
              <w:t xml:space="preserve">entrainment </w:t>
            </w:r>
            <w:r w:rsidRPr="003B4AEE">
              <w:t>(Alaska)</w:t>
            </w:r>
          </w:p>
        </w:tc>
        <w:tc>
          <w:tcPr>
            <w:tcW w:w="3505" w:type="dxa"/>
          </w:tcPr>
          <w:p w14:paraId="16711CEC" w14:textId="1F6C3615" w:rsidR="0015284E" w:rsidRPr="003B4AEE" w:rsidRDefault="0015284E" w:rsidP="00EF2A49">
            <w:pPr>
              <w:pStyle w:val="Tables"/>
              <w:jc w:val="center"/>
            </w:pPr>
            <w:r w:rsidRPr="003B4AEE">
              <w:t>Annual per permit in AK with entrainment requirements</w:t>
            </w:r>
          </w:p>
        </w:tc>
        <w:tc>
          <w:tcPr>
            <w:tcW w:w="990" w:type="dxa"/>
          </w:tcPr>
          <w:p w14:paraId="0C6F5351" w14:textId="52F9B654" w:rsidR="0015284E" w:rsidRPr="003B4AEE" w:rsidRDefault="001701CE" w:rsidP="00EF2A49">
            <w:pPr>
              <w:pStyle w:val="Tables"/>
              <w:jc w:val="center"/>
            </w:pPr>
            <w:r w:rsidRPr="003B4AEE">
              <w:t>516</w:t>
            </w:r>
          </w:p>
        </w:tc>
      </w:tr>
      <w:tr w:rsidR="0015284E" w:rsidRPr="003B4AEE" w14:paraId="4FD66165" w14:textId="77777777" w:rsidTr="00A30867">
        <w:tc>
          <w:tcPr>
            <w:tcW w:w="4855" w:type="dxa"/>
          </w:tcPr>
          <w:p w14:paraId="05CA8006" w14:textId="229DF6AD" w:rsidR="0015284E" w:rsidRPr="003B4AEE" w:rsidRDefault="0015284E" w:rsidP="00A30867">
            <w:pPr>
              <w:pStyle w:val="Tables"/>
            </w:pPr>
            <w:r w:rsidRPr="003B4AEE">
              <w:t xml:space="preserve">Velocity </w:t>
            </w:r>
            <w:r w:rsidR="00810A91" w:rsidRPr="003B4AEE">
              <w:t>monitoring</w:t>
            </w:r>
          </w:p>
        </w:tc>
        <w:tc>
          <w:tcPr>
            <w:tcW w:w="3505" w:type="dxa"/>
          </w:tcPr>
          <w:p w14:paraId="449E0979" w14:textId="5B239015" w:rsidR="0015284E" w:rsidRPr="003B4AEE" w:rsidRDefault="0015284E" w:rsidP="00EF2A49">
            <w:pPr>
              <w:pStyle w:val="Tables"/>
              <w:jc w:val="center"/>
            </w:pPr>
            <w:r w:rsidRPr="003B4AEE">
              <w:t>Annual per permit</w:t>
            </w:r>
          </w:p>
        </w:tc>
        <w:tc>
          <w:tcPr>
            <w:tcW w:w="990" w:type="dxa"/>
          </w:tcPr>
          <w:p w14:paraId="7DDE2FA2" w14:textId="50D4A249" w:rsidR="0015284E" w:rsidRPr="003B4AEE" w:rsidRDefault="001701CE" w:rsidP="00EF2A49">
            <w:pPr>
              <w:pStyle w:val="Tables"/>
              <w:jc w:val="center"/>
            </w:pPr>
            <w:r w:rsidRPr="003B4AEE">
              <w:t>163</w:t>
            </w:r>
          </w:p>
        </w:tc>
      </w:tr>
      <w:tr w:rsidR="0015284E" w:rsidRPr="003B4AEE" w14:paraId="322E3891" w14:textId="77777777" w:rsidTr="00A30867">
        <w:tc>
          <w:tcPr>
            <w:tcW w:w="4855" w:type="dxa"/>
          </w:tcPr>
          <w:p w14:paraId="6E635028" w14:textId="210D0EF6" w:rsidR="0015284E" w:rsidRPr="003B4AEE" w:rsidRDefault="0015284E" w:rsidP="00A30867">
            <w:pPr>
              <w:pStyle w:val="Tables"/>
            </w:pPr>
            <w:r w:rsidRPr="003B4AEE">
              <w:t xml:space="preserve">Visual </w:t>
            </w:r>
            <w:r w:rsidR="00810A91" w:rsidRPr="003B4AEE">
              <w:t>inspections</w:t>
            </w:r>
          </w:p>
        </w:tc>
        <w:tc>
          <w:tcPr>
            <w:tcW w:w="3505" w:type="dxa"/>
          </w:tcPr>
          <w:p w14:paraId="73070105" w14:textId="7E5B657E" w:rsidR="0015284E" w:rsidRPr="003B4AEE" w:rsidRDefault="0015284E" w:rsidP="00EF2A49">
            <w:pPr>
              <w:pStyle w:val="Tables"/>
              <w:jc w:val="center"/>
            </w:pPr>
            <w:r w:rsidRPr="003B4AEE">
              <w:t>Annual per permit</w:t>
            </w:r>
          </w:p>
        </w:tc>
        <w:tc>
          <w:tcPr>
            <w:tcW w:w="990" w:type="dxa"/>
          </w:tcPr>
          <w:p w14:paraId="6EBF0BA2" w14:textId="0862A855" w:rsidR="0015284E" w:rsidRPr="003B4AEE" w:rsidRDefault="001701CE" w:rsidP="00EF2A49">
            <w:pPr>
              <w:pStyle w:val="Tables"/>
              <w:jc w:val="center"/>
            </w:pPr>
            <w:r w:rsidRPr="003B4AEE">
              <w:t>253</w:t>
            </w:r>
          </w:p>
        </w:tc>
      </w:tr>
      <w:tr w:rsidR="0015284E" w:rsidRPr="003B4AEE" w14:paraId="294003EA" w14:textId="77777777" w:rsidTr="00A30867">
        <w:tc>
          <w:tcPr>
            <w:tcW w:w="4855" w:type="dxa"/>
          </w:tcPr>
          <w:p w14:paraId="323CF01D" w14:textId="00B5983D" w:rsidR="0015284E" w:rsidRPr="003B4AEE" w:rsidRDefault="0015284E" w:rsidP="00A30867">
            <w:pPr>
              <w:pStyle w:val="Tables"/>
            </w:pPr>
            <w:r w:rsidRPr="003B4AEE">
              <w:t xml:space="preserve">Yearly </w:t>
            </w:r>
            <w:r w:rsidR="00810A91" w:rsidRPr="003B4AEE">
              <w:t>status report activities</w:t>
            </w:r>
          </w:p>
        </w:tc>
        <w:tc>
          <w:tcPr>
            <w:tcW w:w="3505" w:type="dxa"/>
          </w:tcPr>
          <w:p w14:paraId="66D44F6A" w14:textId="13519A3F" w:rsidR="0015284E" w:rsidRPr="003B4AEE" w:rsidRDefault="0015284E" w:rsidP="00EF2A49">
            <w:pPr>
              <w:pStyle w:val="Tables"/>
              <w:jc w:val="center"/>
            </w:pPr>
            <w:r w:rsidRPr="003B4AEE">
              <w:t>Annual per permit</w:t>
            </w:r>
          </w:p>
        </w:tc>
        <w:tc>
          <w:tcPr>
            <w:tcW w:w="990" w:type="dxa"/>
          </w:tcPr>
          <w:p w14:paraId="79F78F43" w14:textId="4BE0883D" w:rsidR="0015284E" w:rsidRPr="003B4AEE" w:rsidRDefault="001701CE" w:rsidP="00EF2A49">
            <w:pPr>
              <w:pStyle w:val="Tables"/>
              <w:jc w:val="center"/>
            </w:pPr>
            <w:r w:rsidRPr="003B4AEE">
              <w:t>223</w:t>
            </w:r>
          </w:p>
        </w:tc>
      </w:tr>
    </w:tbl>
    <w:p w14:paraId="6FF29C8E" w14:textId="77777777" w:rsidR="002E29FE" w:rsidRPr="003B4AEE" w:rsidRDefault="002E29FE" w:rsidP="00DE1B27">
      <w:pPr>
        <w:spacing w:after="0"/>
      </w:pPr>
    </w:p>
    <w:p w14:paraId="65091B3B" w14:textId="77777777" w:rsidR="0085470C" w:rsidRPr="003B4AEE" w:rsidRDefault="0003525F" w:rsidP="004F1834">
      <w:pPr>
        <w:pStyle w:val="BodyText"/>
      </w:pPr>
      <w:r w:rsidRPr="003B4AEE">
        <w:rPr>
          <w:i/>
        </w:rPr>
        <w:t>States</w:t>
      </w:r>
      <w:r w:rsidRPr="003B4AEE">
        <w:t xml:space="preserve">. </w:t>
      </w:r>
      <w:r w:rsidR="008204D5" w:rsidRPr="003B4AEE">
        <w:t xml:space="preserve">Offshore oil and gas facilities operate in </w:t>
      </w:r>
      <w:r w:rsidR="001D56B6" w:rsidRPr="003B4AEE">
        <w:t>f</w:t>
      </w:r>
      <w:r w:rsidR="008204D5" w:rsidRPr="003B4AEE">
        <w:t>ederal waters, t</w:t>
      </w:r>
      <w:r w:rsidRPr="003B4AEE">
        <w:t>here is no st</w:t>
      </w:r>
      <w:r w:rsidR="008204D5" w:rsidRPr="003B4AEE">
        <w:t>ate burden</w:t>
      </w:r>
      <w:r w:rsidR="000C32BA" w:rsidRPr="003B4AEE">
        <w:t>.</w:t>
      </w:r>
    </w:p>
    <w:p w14:paraId="08A1EB91" w14:textId="1789FB34" w:rsidR="0085470C" w:rsidRPr="003B4AEE" w:rsidRDefault="008204D5" w:rsidP="004F1834">
      <w:pPr>
        <w:pStyle w:val="BodyText"/>
      </w:pPr>
      <w:r w:rsidRPr="003B4AEE">
        <w:rPr>
          <w:i/>
        </w:rPr>
        <w:lastRenderedPageBreak/>
        <w:t>Federal</w:t>
      </w:r>
      <w:r w:rsidRPr="003B4AEE">
        <w:t>.</w:t>
      </w:r>
      <w:r w:rsidR="00547D47" w:rsidRPr="003B4AEE">
        <w:t xml:space="preserve"> Table A</w:t>
      </w:r>
      <w:r w:rsidR="001A6DA0" w:rsidRPr="003B4AEE">
        <w:t>-</w:t>
      </w:r>
      <w:r w:rsidR="00547D47" w:rsidRPr="003B4AEE">
        <w:t>1</w:t>
      </w:r>
      <w:r w:rsidR="007F3A2F" w:rsidRPr="003B4AEE">
        <w:t>4</w:t>
      </w:r>
      <w:r w:rsidR="00547D47" w:rsidRPr="003B4AEE">
        <w:t xml:space="preserve"> presents the estimated burden hours and frequency for </w:t>
      </w:r>
      <w:r w:rsidR="001D56B6" w:rsidRPr="003B4AEE">
        <w:t>f</w:t>
      </w:r>
      <w:r w:rsidR="00547D47" w:rsidRPr="003B4AEE">
        <w:t>ederal oversight activities.</w:t>
      </w:r>
    </w:p>
    <w:p w14:paraId="018354D3" w14:textId="1CD3ADEA" w:rsidR="00E04B3F" w:rsidRPr="003B4AEE" w:rsidRDefault="009A7DCF" w:rsidP="004F1834">
      <w:pPr>
        <w:pStyle w:val="TableTitleAppendix"/>
      </w:pPr>
      <w:bookmarkStart w:id="425" w:name="_Toc61521425"/>
      <w:r w:rsidRPr="003B4AEE">
        <w:t>Table A</w:t>
      </w:r>
      <w:r w:rsidR="00054BE9" w:rsidRPr="003B4AEE">
        <w:t>-</w:t>
      </w:r>
      <w:r w:rsidRPr="003B4AEE">
        <w:t>1</w:t>
      </w:r>
      <w:r w:rsidR="007F3A2F" w:rsidRPr="003B4AEE">
        <w:t>4</w:t>
      </w:r>
      <w:r w:rsidR="00054BE9" w:rsidRPr="003B4AEE">
        <w:t>.</w:t>
      </w:r>
      <w:r w:rsidR="00E04B3F" w:rsidRPr="003B4AEE">
        <w:t xml:space="preserve"> Estimated </w:t>
      </w:r>
      <w:r w:rsidR="0015314D" w:rsidRPr="003B4AEE">
        <w:t>F</w:t>
      </w:r>
      <w:r w:rsidR="00810A91" w:rsidRPr="003B4AEE">
        <w:t xml:space="preserve">acility </w:t>
      </w:r>
      <w:r w:rsidR="0015314D" w:rsidRPr="003B4AEE">
        <w:t>B</w:t>
      </w:r>
      <w:r w:rsidR="00810A91" w:rsidRPr="003B4AEE">
        <w:t xml:space="preserve">urden </w:t>
      </w:r>
      <w:r w:rsidR="00E04B3F" w:rsidRPr="003B4AEE">
        <w:t xml:space="preserve">for </w:t>
      </w:r>
      <w:r w:rsidR="0015314D" w:rsidRPr="003B4AEE">
        <w:t>F</w:t>
      </w:r>
      <w:r w:rsidR="00810A91" w:rsidRPr="003B4AEE">
        <w:t xml:space="preserve">ederal </w:t>
      </w:r>
      <w:r w:rsidR="0015314D" w:rsidRPr="003B4AEE">
        <w:t>O</w:t>
      </w:r>
      <w:r w:rsidR="00810A91" w:rsidRPr="003B4AEE">
        <w:t>versight</w:t>
      </w:r>
      <w:bookmarkEnd w:id="425"/>
    </w:p>
    <w:tbl>
      <w:tblPr>
        <w:tblStyle w:val="TableGrid"/>
        <w:tblW w:w="9355" w:type="dxa"/>
        <w:tblLook w:val="04A0" w:firstRow="1" w:lastRow="0" w:firstColumn="1" w:lastColumn="0" w:noHBand="0" w:noVBand="1"/>
      </w:tblPr>
      <w:tblGrid>
        <w:gridCol w:w="4765"/>
        <w:gridCol w:w="2520"/>
        <w:gridCol w:w="2070"/>
      </w:tblGrid>
      <w:tr w:rsidR="00E04B3F" w:rsidRPr="003B4AEE" w14:paraId="18915F87" w14:textId="77777777" w:rsidTr="004F1834">
        <w:trPr>
          <w:trHeight w:val="264"/>
          <w:tblHeader/>
        </w:trPr>
        <w:tc>
          <w:tcPr>
            <w:tcW w:w="4765" w:type="dxa"/>
            <w:shd w:val="clear" w:color="auto" w:fill="D9D9D9" w:themeFill="background1" w:themeFillShade="D9"/>
          </w:tcPr>
          <w:p w14:paraId="00707581" w14:textId="04FBE4D5" w:rsidR="00E04B3F" w:rsidRPr="003B4AEE" w:rsidRDefault="00E04B3F" w:rsidP="009F1C6B">
            <w:pPr>
              <w:pStyle w:val="TableHeading"/>
            </w:pPr>
            <w:r w:rsidRPr="003B4AEE">
              <w:t xml:space="preserve">Federal </w:t>
            </w:r>
            <w:r w:rsidR="0015314D" w:rsidRPr="003B4AEE">
              <w:t>P</w:t>
            </w:r>
            <w:r w:rsidR="00810A91" w:rsidRPr="003B4AEE">
              <w:t xml:space="preserve">ermit </w:t>
            </w:r>
            <w:r w:rsidR="0015314D" w:rsidRPr="003B4AEE">
              <w:t>O</w:t>
            </w:r>
            <w:r w:rsidR="00810A91" w:rsidRPr="003B4AEE">
              <w:t>versight</w:t>
            </w:r>
          </w:p>
        </w:tc>
        <w:tc>
          <w:tcPr>
            <w:tcW w:w="2520" w:type="dxa"/>
            <w:shd w:val="clear" w:color="auto" w:fill="D9D9D9" w:themeFill="background1" w:themeFillShade="D9"/>
            <w:vAlign w:val="center"/>
          </w:tcPr>
          <w:p w14:paraId="75587DDF" w14:textId="2F9CFE8A" w:rsidR="00E04B3F" w:rsidRPr="003B4AEE" w:rsidRDefault="00E04B3F" w:rsidP="009F1C6B">
            <w:pPr>
              <w:pStyle w:val="TableHeading"/>
            </w:pPr>
            <w:r w:rsidRPr="003B4AEE">
              <w:t>Frequency</w:t>
            </w:r>
          </w:p>
        </w:tc>
        <w:tc>
          <w:tcPr>
            <w:tcW w:w="2070" w:type="dxa"/>
            <w:shd w:val="clear" w:color="auto" w:fill="D9D9D9" w:themeFill="background1" w:themeFillShade="D9"/>
          </w:tcPr>
          <w:p w14:paraId="5EE1D410" w14:textId="55E0E338" w:rsidR="00E04B3F" w:rsidRPr="003B4AEE" w:rsidRDefault="00E04B3F" w:rsidP="009F1C6B">
            <w:pPr>
              <w:pStyle w:val="TableHeading"/>
            </w:pPr>
            <w:r w:rsidRPr="003B4AEE">
              <w:t>Burden (hours)</w:t>
            </w:r>
          </w:p>
        </w:tc>
      </w:tr>
      <w:tr w:rsidR="00E04B3F" w:rsidRPr="003B4AEE" w14:paraId="73511939" w14:textId="77777777" w:rsidTr="009A2B37">
        <w:trPr>
          <w:trHeight w:val="264"/>
        </w:trPr>
        <w:tc>
          <w:tcPr>
            <w:tcW w:w="4765" w:type="dxa"/>
            <w:vAlign w:val="center"/>
            <w:hideMark/>
          </w:tcPr>
          <w:p w14:paraId="599E4EFC" w14:textId="303C99F8" w:rsidR="00E04B3F" w:rsidRPr="003B4AEE" w:rsidRDefault="00CA2398" w:rsidP="00A30867">
            <w:pPr>
              <w:pStyle w:val="Tables"/>
            </w:pPr>
            <w:r w:rsidRPr="003B4AEE">
              <w:t xml:space="preserve">Permitting authority </w:t>
            </w:r>
            <w:r w:rsidR="00810A91" w:rsidRPr="003B4AEE">
              <w:t xml:space="preserve">permit issuance activities </w:t>
            </w:r>
            <w:r w:rsidR="00E04B3F" w:rsidRPr="003B4AEE">
              <w:t xml:space="preserve">(per </w:t>
            </w:r>
            <w:r w:rsidR="00810A91" w:rsidRPr="003B4AEE">
              <w:t>facility</w:t>
            </w:r>
            <w:r w:rsidR="00E04B3F" w:rsidRPr="003B4AEE">
              <w:t>)</w:t>
            </w:r>
          </w:p>
        </w:tc>
        <w:tc>
          <w:tcPr>
            <w:tcW w:w="2520" w:type="dxa"/>
            <w:vAlign w:val="center"/>
          </w:tcPr>
          <w:p w14:paraId="204CE2B6" w14:textId="1A08C676" w:rsidR="00E04B3F" w:rsidRPr="003B4AEE" w:rsidRDefault="00E04B3F" w:rsidP="00EF2A49">
            <w:pPr>
              <w:pStyle w:val="Tables"/>
              <w:jc w:val="center"/>
            </w:pPr>
            <w:r w:rsidRPr="003B4AEE">
              <w:t>Once per new permit</w:t>
            </w:r>
          </w:p>
        </w:tc>
        <w:tc>
          <w:tcPr>
            <w:tcW w:w="2070" w:type="dxa"/>
            <w:vAlign w:val="center"/>
            <w:hideMark/>
          </w:tcPr>
          <w:p w14:paraId="29491255" w14:textId="255A1BAE" w:rsidR="00E04B3F" w:rsidRPr="003B4AEE" w:rsidRDefault="00E04B3F" w:rsidP="00EF2A49">
            <w:pPr>
              <w:pStyle w:val="Tables"/>
              <w:jc w:val="center"/>
            </w:pPr>
            <w:r w:rsidRPr="003B4AEE">
              <w:t>229</w:t>
            </w:r>
          </w:p>
        </w:tc>
      </w:tr>
      <w:tr w:rsidR="00E04B3F" w:rsidRPr="003B4AEE" w14:paraId="46310AA9" w14:textId="77777777" w:rsidTr="009A2B37">
        <w:trPr>
          <w:trHeight w:val="264"/>
        </w:trPr>
        <w:tc>
          <w:tcPr>
            <w:tcW w:w="4765" w:type="dxa"/>
            <w:vAlign w:val="center"/>
            <w:hideMark/>
          </w:tcPr>
          <w:p w14:paraId="09419174" w14:textId="1756178A" w:rsidR="00E04B3F" w:rsidRPr="003B4AEE" w:rsidRDefault="00CA2398" w:rsidP="00A30867">
            <w:pPr>
              <w:pStyle w:val="Tables"/>
            </w:pPr>
            <w:r w:rsidRPr="003B4AEE">
              <w:t>Permitting authority</w:t>
            </w:r>
            <w:r w:rsidR="00E04B3F" w:rsidRPr="003B4AEE">
              <w:t xml:space="preserve"> </w:t>
            </w:r>
            <w:r w:rsidR="00810A91" w:rsidRPr="003B4AEE">
              <w:t xml:space="preserve">permit renewal activities </w:t>
            </w:r>
            <w:r w:rsidR="00E04B3F" w:rsidRPr="003B4AEE">
              <w:t xml:space="preserve">(per </w:t>
            </w:r>
            <w:r w:rsidR="00810A91" w:rsidRPr="003B4AEE">
              <w:t>facility</w:t>
            </w:r>
            <w:r w:rsidR="00E04B3F" w:rsidRPr="003B4AEE">
              <w:t>)</w:t>
            </w:r>
          </w:p>
        </w:tc>
        <w:tc>
          <w:tcPr>
            <w:tcW w:w="2520" w:type="dxa"/>
            <w:vAlign w:val="center"/>
          </w:tcPr>
          <w:p w14:paraId="25801843" w14:textId="7C1645F6" w:rsidR="00E04B3F" w:rsidRPr="003B4AEE" w:rsidRDefault="00E04B3F" w:rsidP="00EF2A49">
            <w:pPr>
              <w:pStyle w:val="Tables"/>
              <w:jc w:val="center"/>
            </w:pPr>
            <w:r w:rsidRPr="003B4AEE">
              <w:t>Once every 5 years</w:t>
            </w:r>
          </w:p>
        </w:tc>
        <w:tc>
          <w:tcPr>
            <w:tcW w:w="2070" w:type="dxa"/>
            <w:vAlign w:val="center"/>
            <w:hideMark/>
          </w:tcPr>
          <w:p w14:paraId="3375B86D" w14:textId="0CE4A56D" w:rsidR="00E04B3F" w:rsidRPr="003B4AEE" w:rsidRDefault="00E04B3F" w:rsidP="00EF2A49">
            <w:pPr>
              <w:pStyle w:val="Tables"/>
              <w:jc w:val="center"/>
            </w:pPr>
            <w:r w:rsidRPr="003B4AEE">
              <w:t>104</w:t>
            </w:r>
          </w:p>
        </w:tc>
      </w:tr>
      <w:tr w:rsidR="00E04B3F" w:rsidRPr="003B4AEE" w14:paraId="72135981" w14:textId="77777777" w:rsidTr="009A2B37">
        <w:trPr>
          <w:trHeight w:val="264"/>
        </w:trPr>
        <w:tc>
          <w:tcPr>
            <w:tcW w:w="4765" w:type="dxa"/>
            <w:vAlign w:val="center"/>
            <w:hideMark/>
          </w:tcPr>
          <w:p w14:paraId="6272BFCC" w14:textId="1DD21EEF" w:rsidR="00E04B3F" w:rsidRPr="003B4AEE" w:rsidRDefault="00E04B3F" w:rsidP="00A30867">
            <w:pPr>
              <w:pStyle w:val="Tables"/>
            </w:pPr>
            <w:r w:rsidRPr="003B4AEE">
              <w:t xml:space="preserve">Annual </w:t>
            </w:r>
            <w:r w:rsidR="00CA2398" w:rsidRPr="003B4AEE">
              <w:t>Permitting authority</w:t>
            </w:r>
            <w:r w:rsidRPr="003B4AEE">
              <w:t xml:space="preserve"> </w:t>
            </w:r>
            <w:r w:rsidR="00810A91" w:rsidRPr="003B4AEE">
              <w:t xml:space="preserve">activities </w:t>
            </w:r>
            <w:r w:rsidRPr="003B4AEE">
              <w:t xml:space="preserve">(per </w:t>
            </w:r>
            <w:r w:rsidR="00810A91" w:rsidRPr="003B4AEE">
              <w:t>facility</w:t>
            </w:r>
            <w:r w:rsidRPr="003B4AEE">
              <w:t>)</w:t>
            </w:r>
          </w:p>
        </w:tc>
        <w:tc>
          <w:tcPr>
            <w:tcW w:w="2520" w:type="dxa"/>
            <w:vAlign w:val="center"/>
          </w:tcPr>
          <w:p w14:paraId="4184D988" w14:textId="1B534086" w:rsidR="00E04B3F" w:rsidRPr="003B4AEE" w:rsidRDefault="00E04B3F" w:rsidP="00EF2A49">
            <w:pPr>
              <w:pStyle w:val="Tables"/>
              <w:jc w:val="center"/>
            </w:pPr>
            <w:r w:rsidRPr="003B4AEE">
              <w:t>Annual per permit</w:t>
            </w:r>
          </w:p>
        </w:tc>
        <w:tc>
          <w:tcPr>
            <w:tcW w:w="2070" w:type="dxa"/>
            <w:vAlign w:val="center"/>
            <w:hideMark/>
          </w:tcPr>
          <w:p w14:paraId="6734DD1C" w14:textId="3E2F8EC4" w:rsidR="00E04B3F" w:rsidRPr="003B4AEE" w:rsidRDefault="00E04B3F" w:rsidP="00EF2A49">
            <w:pPr>
              <w:pStyle w:val="Tables"/>
              <w:jc w:val="center"/>
            </w:pPr>
            <w:r w:rsidRPr="003B4AEE">
              <w:t>50</w:t>
            </w:r>
          </w:p>
        </w:tc>
      </w:tr>
    </w:tbl>
    <w:p w14:paraId="7FA658A2" w14:textId="77777777" w:rsidR="004F1834" w:rsidRPr="003B4AEE" w:rsidRDefault="004F1834" w:rsidP="004F1834"/>
    <w:p w14:paraId="37484C02" w14:textId="2BA33996" w:rsidR="0048771B" w:rsidRPr="003B4AEE" w:rsidRDefault="0088609F" w:rsidP="00DE1B27">
      <w:pPr>
        <w:pStyle w:val="Heading4"/>
      </w:pPr>
      <w:r w:rsidRPr="003B4AEE">
        <w:t>A.1.</w:t>
      </w:r>
      <w:r w:rsidR="00861380" w:rsidRPr="003B4AEE">
        <w:t>7.3</w:t>
      </w:r>
      <w:r w:rsidR="0048771B" w:rsidRPr="003B4AEE">
        <w:t>. Cooling Water Intake Structures Existing Facilities</w:t>
      </w:r>
    </w:p>
    <w:p w14:paraId="0BB7AA39" w14:textId="70ECEF93" w:rsidR="0085470C" w:rsidRPr="003B4AEE" w:rsidRDefault="002E74EC" w:rsidP="004F1834">
      <w:pPr>
        <w:pStyle w:val="BodyText"/>
      </w:pPr>
      <w:r w:rsidRPr="003B4AEE">
        <w:t xml:space="preserve">The activities in this category are related to NPDES </w:t>
      </w:r>
      <w:r w:rsidR="003976C5" w:rsidRPr="003B4AEE">
        <w:t>application and recordkeeping</w:t>
      </w:r>
      <w:r w:rsidRPr="003B4AEE">
        <w:t xml:space="preserve"> requirements </w:t>
      </w:r>
      <w:r w:rsidR="0032248F" w:rsidRPr="003B4AEE">
        <w:t xml:space="preserve">defined under the 316(b) Existing Facility </w:t>
      </w:r>
      <w:r w:rsidR="009F7EE6" w:rsidRPr="003B4AEE">
        <w:t>regulation</w:t>
      </w:r>
      <w:r w:rsidR="004B3DBC" w:rsidRPr="003B4AEE">
        <w:t>)</w:t>
      </w:r>
      <w:r w:rsidR="001C481D" w:rsidRPr="003B4AEE">
        <w:t>.</w:t>
      </w:r>
      <w:r w:rsidR="0032248F" w:rsidRPr="003B4AEE">
        <w:t xml:space="preserve"> This regulation applies to industrial facilities constructed prior to January 2002 that withdraw significant quantities of cooling water from waters of the U</w:t>
      </w:r>
      <w:r w:rsidR="00784FA2" w:rsidRPr="003B4AEE">
        <w:t>.</w:t>
      </w:r>
      <w:r w:rsidR="0032248F" w:rsidRPr="003B4AEE">
        <w:t>S.</w:t>
      </w:r>
      <w:r w:rsidR="00C23A7B" w:rsidRPr="003B4AEE">
        <w:t xml:space="preserve"> The </w:t>
      </w:r>
      <w:r w:rsidR="001C481D" w:rsidRPr="003B4AEE">
        <w:t xml:space="preserve">regulation </w:t>
      </w:r>
      <w:r w:rsidR="00C23A7B" w:rsidRPr="003B4AEE">
        <w:t xml:space="preserve">became effective October 14, 2014. </w:t>
      </w:r>
      <w:r w:rsidR="00B05003" w:rsidRPr="003B4AEE">
        <w:t xml:space="preserve">A major component of the burden is associated with the preparation </w:t>
      </w:r>
      <w:r w:rsidR="00876A28" w:rsidRPr="003B4AEE">
        <w:t xml:space="preserve">of </w:t>
      </w:r>
      <w:r w:rsidR="00625544" w:rsidRPr="003B4AEE">
        <w:t>permit application materials required under 122.21(r)</w:t>
      </w:r>
      <w:r w:rsidR="00876A28" w:rsidRPr="003B4AEE">
        <w:t>(2)-(13)</w:t>
      </w:r>
      <w:r w:rsidR="00625544" w:rsidRPr="003B4AEE">
        <w:t xml:space="preserve"> which must be submitted during the first permit renewal </w:t>
      </w:r>
      <w:r w:rsidR="00B05003" w:rsidRPr="003B4AEE">
        <w:t xml:space="preserve">that occurs during the </w:t>
      </w:r>
      <w:proofErr w:type="gramStart"/>
      <w:r w:rsidR="00B05003" w:rsidRPr="003B4AEE">
        <w:t>five year</w:t>
      </w:r>
      <w:proofErr w:type="gramEnd"/>
      <w:r w:rsidR="00B05003" w:rsidRPr="003B4AEE">
        <w:t xml:space="preserve"> period after October 2014. </w:t>
      </w:r>
      <w:r w:rsidR="00625544" w:rsidRPr="003B4AEE">
        <w:t xml:space="preserve">Once </w:t>
      </w:r>
      <w:r w:rsidR="00F1223B" w:rsidRPr="003B4AEE">
        <w:t xml:space="preserve">a </w:t>
      </w:r>
      <w:r w:rsidR="00625544" w:rsidRPr="003B4AEE">
        <w:t>permit has been renewed</w:t>
      </w:r>
      <w:r w:rsidR="00B05003" w:rsidRPr="003B4AEE">
        <w:t>, the burden will be associated with annual monitoring and reporting activities and the subsequent permit renewal applications for which the burden is significantly reduced compared to the initial renewal.</w:t>
      </w:r>
      <w:r w:rsidR="00A00C20" w:rsidRPr="003B4AEE">
        <w:t xml:space="preserve"> The initial CWIS Existing Facility Rule ICR covered the burden associated with the three</w:t>
      </w:r>
      <w:r w:rsidR="005E4876" w:rsidRPr="003B4AEE">
        <w:t>-</w:t>
      </w:r>
      <w:r w:rsidR="00A00C20" w:rsidRPr="003B4AEE">
        <w:t xml:space="preserve">year period from October 2014 through October 2017. Because the initial permit renewal </w:t>
      </w:r>
      <w:r w:rsidR="00BB3695" w:rsidRPr="003B4AEE">
        <w:t xml:space="preserve">was </w:t>
      </w:r>
      <w:r w:rsidR="00A00C20" w:rsidRPr="003B4AEE">
        <w:t>spread out over a five</w:t>
      </w:r>
      <w:r w:rsidR="005E4876" w:rsidRPr="003B4AEE">
        <w:t>-</w:t>
      </w:r>
      <w:r w:rsidR="00A00C20" w:rsidRPr="003B4AEE">
        <w:t xml:space="preserve">year period </w:t>
      </w:r>
      <w:r w:rsidR="00D91D64" w:rsidRPr="003B4AEE">
        <w:t xml:space="preserve">and the </w:t>
      </w:r>
      <w:r w:rsidR="005E42E9" w:rsidRPr="003B4AEE">
        <w:t>initial</w:t>
      </w:r>
      <w:r w:rsidR="002243F3" w:rsidRPr="003B4AEE">
        <w:t xml:space="preserve"> </w:t>
      </w:r>
      <w:r w:rsidR="00D91D64" w:rsidRPr="003B4AEE">
        <w:t xml:space="preserve">ICR assumed minimal application burden in the first year, </w:t>
      </w:r>
      <w:r w:rsidR="007361FD" w:rsidRPr="003B4AEE">
        <w:t>t</w:t>
      </w:r>
      <w:r w:rsidR="00A00C20" w:rsidRPr="003B4AEE">
        <w:t>he burden included in th</w:t>
      </w:r>
      <w:r w:rsidR="005E42E9" w:rsidRPr="003B4AEE">
        <w:t>e previous</w:t>
      </w:r>
      <w:r w:rsidR="00A00C20" w:rsidRPr="003B4AEE">
        <w:t xml:space="preserve"> ICR</w:t>
      </w:r>
      <w:r w:rsidR="005E42E9" w:rsidRPr="003B4AEE">
        <w:t xml:space="preserve"> </w:t>
      </w:r>
      <w:r w:rsidR="00A00C20" w:rsidRPr="003B4AEE">
        <w:t>include</w:t>
      </w:r>
      <w:r w:rsidR="005E42E9" w:rsidRPr="003B4AEE">
        <w:t>d</w:t>
      </w:r>
      <w:r w:rsidR="00A00C20" w:rsidRPr="003B4AEE">
        <w:t xml:space="preserve"> </w:t>
      </w:r>
      <w:r w:rsidR="00D91D64" w:rsidRPr="003B4AEE">
        <w:t xml:space="preserve">the final </w:t>
      </w:r>
      <w:r w:rsidR="00A00C20" w:rsidRPr="003B4AEE">
        <w:t>t</w:t>
      </w:r>
      <w:r w:rsidR="00D91D64" w:rsidRPr="003B4AEE">
        <w:t>hree</w:t>
      </w:r>
      <w:r w:rsidR="00A00C20" w:rsidRPr="003B4AEE">
        <w:t xml:space="preserve"> of the</w:t>
      </w:r>
      <w:r w:rsidR="00D91D64" w:rsidRPr="003B4AEE">
        <w:t xml:space="preserve"> initial permit renewal years w</w:t>
      </w:r>
      <w:r w:rsidR="005A6BAA" w:rsidRPr="003B4AEE">
        <w:t>hich correspond</w:t>
      </w:r>
      <w:r w:rsidR="008647E4" w:rsidRPr="003B4AEE">
        <w:t>ed</w:t>
      </w:r>
      <w:r w:rsidR="005A6BAA" w:rsidRPr="003B4AEE">
        <w:t xml:space="preserve"> to the</w:t>
      </w:r>
      <w:r w:rsidR="00D91D64" w:rsidRPr="003B4AEE">
        <w:t xml:space="preserve"> </w:t>
      </w:r>
      <w:r w:rsidR="005A6BAA" w:rsidRPr="003B4AEE">
        <w:t xml:space="preserve">period with the </w:t>
      </w:r>
      <w:r w:rsidR="00A00C20" w:rsidRPr="003B4AEE">
        <w:t>high</w:t>
      </w:r>
      <w:r w:rsidR="005A6BAA" w:rsidRPr="003B4AEE">
        <w:t>est</w:t>
      </w:r>
      <w:r w:rsidR="00A00C20" w:rsidRPr="003B4AEE">
        <w:t xml:space="preserve"> burdens.</w:t>
      </w:r>
      <w:r w:rsidR="005E42E9" w:rsidRPr="003B4AEE">
        <w:t xml:space="preserve"> This ICR </w:t>
      </w:r>
      <w:r w:rsidR="003C21D2" w:rsidRPr="003B4AEE">
        <w:t>reflect</w:t>
      </w:r>
      <w:r w:rsidR="000A1D4E" w:rsidRPr="003B4AEE">
        <w:t>s</w:t>
      </w:r>
      <w:r w:rsidR="003C21D2" w:rsidRPr="003B4AEE">
        <w:t xml:space="preserve"> </w:t>
      </w:r>
      <w:r w:rsidR="00E2446B" w:rsidRPr="003B4AEE">
        <w:t>permit renewal</w:t>
      </w:r>
      <w:r w:rsidR="007A5B9F" w:rsidRPr="003B4AEE">
        <w:t xml:space="preserve"> applications and </w:t>
      </w:r>
      <w:r w:rsidR="00A66826" w:rsidRPr="003B4AEE">
        <w:t>ongoing annual monitoring and reporting activities and the subsequent permit renewal applications.</w:t>
      </w:r>
    </w:p>
    <w:p w14:paraId="48F01D7D" w14:textId="05F46447" w:rsidR="002E74EC" w:rsidRPr="003B4AEE" w:rsidRDefault="005A6BAA" w:rsidP="004F1834">
      <w:pPr>
        <w:pStyle w:val="BodyText"/>
      </w:pPr>
      <w:r w:rsidRPr="003B4AEE">
        <w:t>Below is a list of the types of respondents for which updated estimated respondent numbers were used to develop burden estimates</w:t>
      </w:r>
      <w:r w:rsidR="002E74EC" w:rsidRPr="003B4AEE">
        <w:t>:</w:t>
      </w:r>
    </w:p>
    <w:p w14:paraId="1561B5D1" w14:textId="6E1771B8" w:rsidR="002E74EC" w:rsidRPr="003B4AEE" w:rsidRDefault="002E74EC" w:rsidP="00290A17">
      <w:pPr>
        <w:pStyle w:val="ListBulletsingle"/>
        <w:numPr>
          <w:ilvl w:val="0"/>
          <w:numId w:val="39"/>
        </w:numPr>
      </w:pPr>
      <w:r w:rsidRPr="003B4AEE">
        <w:t xml:space="preserve">Total </w:t>
      </w:r>
      <w:r w:rsidR="00C95173" w:rsidRPr="003B4AEE">
        <w:t xml:space="preserve">power </w:t>
      </w:r>
      <w:proofErr w:type="gramStart"/>
      <w:r w:rsidRPr="003B4AEE">
        <w:t>plants</w:t>
      </w:r>
      <w:r w:rsidR="00784FA2" w:rsidRPr="003B4AEE">
        <w:t>;</w:t>
      </w:r>
      <w:proofErr w:type="gramEnd"/>
      <w:r w:rsidRPr="003B4AEE">
        <w:t xml:space="preserve"> </w:t>
      </w:r>
    </w:p>
    <w:p w14:paraId="6088BD09" w14:textId="27A97B44" w:rsidR="002E74EC" w:rsidRPr="003B4AEE" w:rsidRDefault="002E74EC" w:rsidP="00290A17">
      <w:pPr>
        <w:pStyle w:val="ListBulletsingle"/>
        <w:numPr>
          <w:ilvl w:val="0"/>
          <w:numId w:val="39"/>
        </w:numPr>
      </w:pPr>
      <w:r w:rsidRPr="003B4AEE">
        <w:t xml:space="preserve">Total </w:t>
      </w:r>
      <w:r w:rsidR="00C95173" w:rsidRPr="003B4AEE">
        <w:t xml:space="preserve">power </w:t>
      </w:r>
      <w:r w:rsidRPr="003B4AEE">
        <w:t xml:space="preserve">plants with </w:t>
      </w:r>
      <w:r w:rsidR="00C95173" w:rsidRPr="003B4AEE">
        <w:t xml:space="preserve">a </w:t>
      </w:r>
      <w:r w:rsidR="005E4876" w:rsidRPr="003B4AEE">
        <w:t>design intake flow (</w:t>
      </w:r>
      <w:r w:rsidRPr="003B4AEE">
        <w:t>DIF</w:t>
      </w:r>
      <w:r w:rsidR="005E4876" w:rsidRPr="003B4AEE">
        <w:t>)</w:t>
      </w:r>
      <w:r w:rsidRPr="003B4AEE">
        <w:t xml:space="preserve"> greater than 50 </w:t>
      </w:r>
      <w:proofErr w:type="gramStart"/>
      <w:r w:rsidRPr="003B4AEE">
        <w:t>MGD</w:t>
      </w:r>
      <w:r w:rsidR="00784FA2" w:rsidRPr="003B4AEE">
        <w:t>;</w:t>
      </w:r>
      <w:proofErr w:type="gramEnd"/>
    </w:p>
    <w:p w14:paraId="78C8DF41" w14:textId="360F258B" w:rsidR="002E74EC" w:rsidRPr="003B4AEE" w:rsidRDefault="002E74EC" w:rsidP="00290A17">
      <w:pPr>
        <w:pStyle w:val="ListBulletsingle"/>
        <w:numPr>
          <w:ilvl w:val="0"/>
          <w:numId w:val="39"/>
        </w:numPr>
      </w:pPr>
      <w:r w:rsidRPr="003B4AEE">
        <w:t xml:space="preserve">Total power plants with </w:t>
      </w:r>
      <w:r w:rsidR="00C95173" w:rsidRPr="003B4AEE">
        <w:t>an</w:t>
      </w:r>
      <w:r w:rsidR="007A59E5" w:rsidRPr="003B4AEE">
        <w:t xml:space="preserve"> actual intake flow</w:t>
      </w:r>
      <w:r w:rsidR="00C95173" w:rsidRPr="003B4AEE">
        <w:t xml:space="preserve"> </w:t>
      </w:r>
      <w:r w:rsidR="007A59E5" w:rsidRPr="003B4AEE">
        <w:t>(</w:t>
      </w:r>
      <w:r w:rsidRPr="003B4AEE">
        <w:t>AIF</w:t>
      </w:r>
      <w:r w:rsidR="007A59E5" w:rsidRPr="003B4AEE">
        <w:t>)</w:t>
      </w:r>
      <w:r w:rsidRPr="003B4AEE">
        <w:t xml:space="preserve"> greater than 125 </w:t>
      </w:r>
      <w:proofErr w:type="gramStart"/>
      <w:r w:rsidRPr="003B4AEE">
        <w:t>MGD</w:t>
      </w:r>
      <w:r w:rsidR="00784FA2" w:rsidRPr="003B4AEE">
        <w:t>;</w:t>
      </w:r>
      <w:proofErr w:type="gramEnd"/>
    </w:p>
    <w:p w14:paraId="4D29AA69" w14:textId="0BF020C9" w:rsidR="002E74EC" w:rsidRPr="003B4AEE" w:rsidRDefault="002E74EC" w:rsidP="00290A17">
      <w:pPr>
        <w:pStyle w:val="ListBulletsingle"/>
        <w:numPr>
          <w:ilvl w:val="0"/>
          <w:numId w:val="39"/>
        </w:numPr>
      </w:pPr>
      <w:r w:rsidRPr="003B4AEE">
        <w:t xml:space="preserve">Total </w:t>
      </w:r>
      <w:r w:rsidR="00C95173" w:rsidRPr="003B4AEE">
        <w:t xml:space="preserve">manufacturers </w:t>
      </w:r>
      <w:r w:rsidRPr="003B4AEE">
        <w:t xml:space="preserve">with cooling </w:t>
      </w:r>
      <w:proofErr w:type="gramStart"/>
      <w:r w:rsidRPr="003B4AEE">
        <w:t>water</w:t>
      </w:r>
      <w:r w:rsidR="00784FA2" w:rsidRPr="003B4AEE">
        <w:t>;</w:t>
      </w:r>
      <w:proofErr w:type="gramEnd"/>
    </w:p>
    <w:p w14:paraId="527B6A44" w14:textId="16266CF4" w:rsidR="002E74EC" w:rsidRPr="003B4AEE" w:rsidRDefault="002E74EC" w:rsidP="00290A17">
      <w:pPr>
        <w:pStyle w:val="ListBulletsingle"/>
        <w:numPr>
          <w:ilvl w:val="0"/>
          <w:numId w:val="39"/>
        </w:numPr>
      </w:pPr>
      <w:r w:rsidRPr="003B4AEE">
        <w:t xml:space="preserve">Total </w:t>
      </w:r>
      <w:r w:rsidR="00C95173" w:rsidRPr="003B4AEE">
        <w:t xml:space="preserve">manufacturers </w:t>
      </w:r>
      <w:r w:rsidRPr="003B4AEE">
        <w:t xml:space="preserve">with </w:t>
      </w:r>
      <w:r w:rsidR="00C95173" w:rsidRPr="003B4AEE">
        <w:t xml:space="preserve">an </w:t>
      </w:r>
      <w:r w:rsidRPr="003B4AEE">
        <w:t xml:space="preserve">AIF greater than 125 </w:t>
      </w:r>
      <w:proofErr w:type="gramStart"/>
      <w:r w:rsidRPr="003B4AEE">
        <w:t>MGD</w:t>
      </w:r>
      <w:r w:rsidR="00784FA2" w:rsidRPr="003B4AEE">
        <w:t>;</w:t>
      </w:r>
      <w:proofErr w:type="gramEnd"/>
    </w:p>
    <w:p w14:paraId="63A890A9" w14:textId="5B2E8D61" w:rsidR="002E74EC" w:rsidRPr="003B4AEE" w:rsidRDefault="002E74EC" w:rsidP="00290A17">
      <w:pPr>
        <w:pStyle w:val="ListBulletsingle"/>
        <w:numPr>
          <w:ilvl w:val="0"/>
          <w:numId w:val="39"/>
        </w:numPr>
      </w:pPr>
      <w:r w:rsidRPr="003B4AEE">
        <w:t>Annual new power plant units</w:t>
      </w:r>
      <w:r w:rsidR="00784FA2" w:rsidRPr="003B4AEE">
        <w:t>; and</w:t>
      </w:r>
    </w:p>
    <w:p w14:paraId="05AA0FBF" w14:textId="77777777" w:rsidR="0085470C" w:rsidRPr="003B4AEE" w:rsidRDefault="002E74EC" w:rsidP="00290A17">
      <w:pPr>
        <w:pStyle w:val="ListBulletlast"/>
        <w:numPr>
          <w:ilvl w:val="0"/>
          <w:numId w:val="39"/>
        </w:numPr>
      </w:pPr>
      <w:r w:rsidRPr="003B4AEE">
        <w:t>Annual new manufacturer units</w:t>
      </w:r>
      <w:r w:rsidR="00784FA2" w:rsidRPr="003B4AEE">
        <w:t>.</w:t>
      </w:r>
    </w:p>
    <w:p w14:paraId="56F3FE4F" w14:textId="77777777" w:rsidR="0085470C" w:rsidRPr="003B4AEE" w:rsidRDefault="005A6BAA" w:rsidP="004F1834">
      <w:pPr>
        <w:pStyle w:val="BodyText"/>
      </w:pPr>
      <w:r w:rsidRPr="003B4AEE">
        <w:t>B</w:t>
      </w:r>
      <w:r w:rsidR="003573E0" w:rsidRPr="003B4AEE">
        <w:t xml:space="preserve">urden estimates were derived </w:t>
      </w:r>
      <w:r w:rsidR="00543C13" w:rsidRPr="003B4AEE">
        <w:t xml:space="preserve">from the previous ICR </w:t>
      </w:r>
      <w:r w:rsidR="003573E0" w:rsidRPr="003B4AEE">
        <w:t>for each respondent type</w:t>
      </w:r>
      <w:r w:rsidRPr="003B4AEE">
        <w:t xml:space="preserve"> and</w:t>
      </w:r>
      <w:r w:rsidR="003573E0" w:rsidRPr="003B4AEE">
        <w:t xml:space="preserve"> were updated using the current estimate of the number of each respondent type</w:t>
      </w:r>
      <w:r w:rsidRPr="003B4AEE">
        <w:t xml:space="preserve"> (see Appendix D)</w:t>
      </w:r>
      <w:r w:rsidR="003573E0" w:rsidRPr="003B4AEE">
        <w:t xml:space="preserve">. </w:t>
      </w:r>
    </w:p>
    <w:p w14:paraId="789552E3" w14:textId="1A70D211" w:rsidR="0085470C" w:rsidRPr="003B4AEE" w:rsidRDefault="00547D47" w:rsidP="004F1834">
      <w:pPr>
        <w:pStyle w:val="BodyText"/>
      </w:pPr>
      <w:r w:rsidRPr="003B4AEE">
        <w:rPr>
          <w:i/>
        </w:rPr>
        <w:lastRenderedPageBreak/>
        <w:t xml:space="preserve">Permittees. </w:t>
      </w:r>
      <w:r w:rsidR="004832AB" w:rsidRPr="003B4AEE">
        <w:t>Table A</w:t>
      </w:r>
      <w:r w:rsidR="001A6DA0" w:rsidRPr="003B4AEE">
        <w:t>-</w:t>
      </w:r>
      <w:r w:rsidR="004832AB" w:rsidRPr="003B4AEE">
        <w:t>1</w:t>
      </w:r>
      <w:r w:rsidR="001A6DA0" w:rsidRPr="003B4AEE">
        <w:t>5</w:t>
      </w:r>
      <w:r w:rsidR="004832AB" w:rsidRPr="003B4AEE">
        <w:t xml:space="preserve"> presents the estimated burden hours and frequency per facility for recurring activities that apply to all new CWIS facilities.</w:t>
      </w:r>
      <w:r w:rsidR="00710578" w:rsidRPr="003B4AEE">
        <w:t xml:space="preserve"> </w:t>
      </w:r>
    </w:p>
    <w:p w14:paraId="44B15A28" w14:textId="6F2DA9E2" w:rsidR="00DE1B3A" w:rsidRPr="003B4AEE" w:rsidRDefault="00DE1B3A" w:rsidP="004F1834">
      <w:pPr>
        <w:pStyle w:val="TableTitleAppendix"/>
      </w:pPr>
      <w:bookmarkStart w:id="426" w:name="_Toc61521426"/>
      <w:r w:rsidRPr="003B4AEE">
        <w:t>Table A</w:t>
      </w:r>
      <w:r w:rsidR="00054BE9" w:rsidRPr="003B4AEE">
        <w:t>-</w:t>
      </w:r>
      <w:r w:rsidRPr="003B4AEE">
        <w:t>1</w:t>
      </w:r>
      <w:r w:rsidR="001A6DA0" w:rsidRPr="003B4AEE">
        <w:t>5</w:t>
      </w:r>
      <w:r w:rsidR="00054BE9" w:rsidRPr="003B4AEE">
        <w:t>.</w:t>
      </w:r>
      <w:r w:rsidR="004832AB" w:rsidRPr="003B4AEE">
        <w:t xml:space="preserve"> Estimated per </w:t>
      </w:r>
      <w:r w:rsidR="00C95173" w:rsidRPr="003B4AEE">
        <w:t xml:space="preserve">facility burden hours </w:t>
      </w:r>
      <w:r w:rsidR="004832AB" w:rsidRPr="003B4AEE">
        <w:t xml:space="preserve">and </w:t>
      </w:r>
      <w:r w:rsidR="00C95173" w:rsidRPr="003B4AEE">
        <w:t xml:space="preserve">frequency </w:t>
      </w:r>
      <w:r w:rsidR="004832AB" w:rsidRPr="003B4AEE">
        <w:t xml:space="preserve">for </w:t>
      </w:r>
      <w:r w:rsidR="00C95173" w:rsidRPr="003B4AEE">
        <w:t xml:space="preserve">recurring </w:t>
      </w:r>
      <w:r w:rsidR="004F1834" w:rsidRPr="003B4AEE">
        <w:br/>
      </w:r>
      <w:r w:rsidR="00C95173" w:rsidRPr="003B4AEE">
        <w:t xml:space="preserve">activities that apply </w:t>
      </w:r>
      <w:r w:rsidR="00812A7C" w:rsidRPr="003B4AEE">
        <w:t>t</w:t>
      </w:r>
      <w:r w:rsidR="004832AB" w:rsidRPr="003B4AEE">
        <w:t xml:space="preserve">o </w:t>
      </w:r>
      <w:r w:rsidR="00C95173" w:rsidRPr="003B4AEE">
        <w:t xml:space="preserve">all existing </w:t>
      </w:r>
      <w:r w:rsidR="004832AB" w:rsidRPr="003B4AEE">
        <w:t xml:space="preserve">CWIS </w:t>
      </w:r>
      <w:r w:rsidR="00C95173" w:rsidRPr="003B4AEE">
        <w:t>facilities</w:t>
      </w:r>
      <w:bookmarkEnd w:id="426"/>
    </w:p>
    <w:tbl>
      <w:tblPr>
        <w:tblStyle w:val="TableGrid"/>
        <w:tblW w:w="0" w:type="auto"/>
        <w:tblLook w:val="04A0" w:firstRow="1" w:lastRow="0" w:firstColumn="1" w:lastColumn="0" w:noHBand="0" w:noVBand="1"/>
      </w:tblPr>
      <w:tblGrid>
        <w:gridCol w:w="4762"/>
        <w:gridCol w:w="3598"/>
        <w:gridCol w:w="990"/>
      </w:tblGrid>
      <w:tr w:rsidR="00ED4B49" w:rsidRPr="003B4AEE" w14:paraId="3A44E60A" w14:textId="77777777" w:rsidTr="004F1834">
        <w:trPr>
          <w:tblHeader/>
        </w:trPr>
        <w:tc>
          <w:tcPr>
            <w:tcW w:w="4762" w:type="dxa"/>
            <w:shd w:val="clear" w:color="auto" w:fill="D9D9D9" w:themeFill="background1" w:themeFillShade="D9"/>
            <w:vAlign w:val="bottom"/>
          </w:tcPr>
          <w:p w14:paraId="4A911703" w14:textId="611B8141" w:rsidR="00ED4B49" w:rsidRPr="003B4AEE" w:rsidRDefault="00ED4B49" w:rsidP="009F1C6B">
            <w:pPr>
              <w:pStyle w:val="TableHeading"/>
            </w:pPr>
            <w:r w:rsidRPr="003B4AEE">
              <w:t xml:space="preserve">Annual </w:t>
            </w:r>
            <w:r w:rsidR="00C95173" w:rsidRPr="003B4AEE">
              <w:t>activities</w:t>
            </w:r>
          </w:p>
        </w:tc>
        <w:tc>
          <w:tcPr>
            <w:tcW w:w="3598" w:type="dxa"/>
            <w:shd w:val="clear" w:color="auto" w:fill="D9D9D9" w:themeFill="background1" w:themeFillShade="D9"/>
            <w:vAlign w:val="bottom"/>
          </w:tcPr>
          <w:p w14:paraId="3B2CAB27" w14:textId="58E33E63" w:rsidR="00ED4B49" w:rsidRPr="003B4AEE" w:rsidRDefault="00ED4B49" w:rsidP="009F1C6B">
            <w:pPr>
              <w:pStyle w:val="TableHeading"/>
            </w:pPr>
            <w:r w:rsidRPr="003B4AEE">
              <w:t>Frequency</w:t>
            </w:r>
          </w:p>
        </w:tc>
        <w:tc>
          <w:tcPr>
            <w:tcW w:w="990" w:type="dxa"/>
            <w:shd w:val="clear" w:color="auto" w:fill="D9D9D9" w:themeFill="background1" w:themeFillShade="D9"/>
            <w:vAlign w:val="bottom"/>
          </w:tcPr>
          <w:p w14:paraId="3BAEC193" w14:textId="20DD4218" w:rsidR="00ED4B49" w:rsidRPr="003B4AEE" w:rsidRDefault="00ED4B49" w:rsidP="009F1C6B">
            <w:pPr>
              <w:pStyle w:val="TableHeading"/>
            </w:pPr>
            <w:r w:rsidRPr="003B4AEE">
              <w:t>Burden (hours)</w:t>
            </w:r>
          </w:p>
        </w:tc>
      </w:tr>
      <w:tr w:rsidR="00F86051" w:rsidRPr="003B4AEE" w14:paraId="0247076A" w14:textId="77777777" w:rsidTr="009A2B37">
        <w:tc>
          <w:tcPr>
            <w:tcW w:w="4762" w:type="dxa"/>
            <w:vAlign w:val="center"/>
          </w:tcPr>
          <w:p w14:paraId="463A7677" w14:textId="0C85C414" w:rsidR="00F86051" w:rsidRPr="003B4AEE" w:rsidRDefault="00F86051" w:rsidP="008D3D19">
            <w:pPr>
              <w:pStyle w:val="Tables"/>
            </w:pPr>
            <w:r w:rsidRPr="003B4AEE">
              <w:t xml:space="preserve">Permit </w:t>
            </w:r>
            <w:r w:rsidR="001E5193" w:rsidRPr="003B4AEE">
              <w:t>renewal</w:t>
            </w:r>
            <w:r w:rsidRPr="003B4AEE">
              <w:t xml:space="preserve"> activities</w:t>
            </w:r>
          </w:p>
        </w:tc>
        <w:tc>
          <w:tcPr>
            <w:tcW w:w="3598" w:type="dxa"/>
            <w:vAlign w:val="center"/>
          </w:tcPr>
          <w:p w14:paraId="4BDF86A0" w14:textId="77777777" w:rsidR="00F86051" w:rsidRPr="003B4AEE" w:rsidRDefault="00F86051" w:rsidP="00EF2A49">
            <w:pPr>
              <w:pStyle w:val="Tables"/>
              <w:jc w:val="center"/>
            </w:pPr>
            <w:r w:rsidRPr="003B4AEE">
              <w:t>Once every 5 years</w:t>
            </w:r>
          </w:p>
        </w:tc>
        <w:tc>
          <w:tcPr>
            <w:tcW w:w="990" w:type="dxa"/>
            <w:vAlign w:val="center"/>
          </w:tcPr>
          <w:p w14:paraId="593C8855" w14:textId="46463388" w:rsidR="00F86051" w:rsidRPr="003B4AEE" w:rsidRDefault="001E5193" w:rsidP="00EF2A49">
            <w:pPr>
              <w:pStyle w:val="Tables"/>
              <w:jc w:val="center"/>
            </w:pPr>
            <w:r w:rsidRPr="003B4AEE">
              <w:t>72</w:t>
            </w:r>
          </w:p>
        </w:tc>
      </w:tr>
      <w:tr w:rsidR="00ED4B49" w:rsidRPr="003B4AEE" w14:paraId="4EC32384" w14:textId="77777777" w:rsidTr="009A2B37">
        <w:tc>
          <w:tcPr>
            <w:tcW w:w="4762" w:type="dxa"/>
            <w:vAlign w:val="center"/>
          </w:tcPr>
          <w:p w14:paraId="0039EBF9" w14:textId="4A01A1E7" w:rsidR="00ED4B49" w:rsidRPr="003B4AEE" w:rsidRDefault="00ED4B49" w:rsidP="00A30867">
            <w:pPr>
              <w:pStyle w:val="Tables"/>
            </w:pPr>
            <w:r w:rsidRPr="003B4AEE">
              <w:t xml:space="preserve">Compliance </w:t>
            </w:r>
            <w:r w:rsidR="00C95173" w:rsidRPr="003B4AEE">
              <w:t xml:space="preserve">monitoring </w:t>
            </w:r>
            <w:r w:rsidRPr="003B4AEE">
              <w:t xml:space="preserve">- </w:t>
            </w:r>
            <w:r w:rsidR="00C95173" w:rsidRPr="003B4AEE">
              <w:t xml:space="preserve">all existing facilities </w:t>
            </w:r>
            <w:r w:rsidRPr="003B4AEE">
              <w:t>(power plants and manufacturing)</w:t>
            </w:r>
          </w:p>
        </w:tc>
        <w:tc>
          <w:tcPr>
            <w:tcW w:w="3598" w:type="dxa"/>
            <w:vAlign w:val="center"/>
          </w:tcPr>
          <w:p w14:paraId="491E56DE" w14:textId="01835220" w:rsidR="00ED4B49" w:rsidRPr="003B4AEE" w:rsidRDefault="00ED4B49" w:rsidP="00EF2A49">
            <w:pPr>
              <w:pStyle w:val="Tables"/>
              <w:jc w:val="center"/>
            </w:pPr>
            <w:r w:rsidRPr="003B4AEE">
              <w:t>Annual</w:t>
            </w:r>
          </w:p>
        </w:tc>
        <w:tc>
          <w:tcPr>
            <w:tcW w:w="990" w:type="dxa"/>
            <w:vAlign w:val="center"/>
          </w:tcPr>
          <w:p w14:paraId="2BF77152" w14:textId="1DF0A573" w:rsidR="00ED4B49" w:rsidRPr="003B4AEE" w:rsidRDefault="001D0745" w:rsidP="00EF2A49">
            <w:pPr>
              <w:pStyle w:val="Tables"/>
              <w:jc w:val="center"/>
            </w:pPr>
            <w:r w:rsidRPr="003B4AEE">
              <w:t>357</w:t>
            </w:r>
          </w:p>
        </w:tc>
      </w:tr>
      <w:tr w:rsidR="00ED4B49" w:rsidRPr="003B4AEE" w14:paraId="6AEC8F90" w14:textId="77777777" w:rsidTr="009A2B37">
        <w:tc>
          <w:tcPr>
            <w:tcW w:w="4762" w:type="dxa"/>
            <w:vAlign w:val="center"/>
          </w:tcPr>
          <w:p w14:paraId="2F3658CB" w14:textId="133F2265" w:rsidR="00ED4B49" w:rsidRPr="003B4AEE" w:rsidRDefault="001F6C5A" w:rsidP="00A30867">
            <w:pPr>
              <w:pStyle w:val="Tables"/>
            </w:pPr>
            <w:r w:rsidRPr="003B4AEE">
              <w:t xml:space="preserve">Recurring </w:t>
            </w:r>
            <w:r w:rsidR="00C95173" w:rsidRPr="003B4AEE">
              <w:t xml:space="preserve">reporting </w:t>
            </w:r>
            <w:r w:rsidRPr="003B4AEE">
              <w:t xml:space="preserve">and </w:t>
            </w:r>
            <w:r w:rsidR="00C95173" w:rsidRPr="003B4AEE">
              <w:t xml:space="preserve">recordkeeping </w:t>
            </w:r>
            <w:r w:rsidRPr="003B4AEE">
              <w:t xml:space="preserve">- </w:t>
            </w:r>
            <w:r w:rsidR="00C95173" w:rsidRPr="003B4AEE">
              <w:t xml:space="preserve">existing facilities </w:t>
            </w:r>
            <w:r w:rsidRPr="003B4AEE">
              <w:t>(power plants and manufacturing)</w:t>
            </w:r>
          </w:p>
        </w:tc>
        <w:tc>
          <w:tcPr>
            <w:tcW w:w="3598" w:type="dxa"/>
            <w:vAlign w:val="center"/>
          </w:tcPr>
          <w:p w14:paraId="52F9356B" w14:textId="42400BE0" w:rsidR="00ED4B49" w:rsidRPr="003B4AEE" w:rsidRDefault="001F6C5A" w:rsidP="00EF2A49">
            <w:pPr>
              <w:pStyle w:val="Tables"/>
              <w:jc w:val="center"/>
            </w:pPr>
            <w:r w:rsidRPr="003B4AEE">
              <w:t>Annual</w:t>
            </w:r>
          </w:p>
        </w:tc>
        <w:tc>
          <w:tcPr>
            <w:tcW w:w="990" w:type="dxa"/>
            <w:vAlign w:val="center"/>
          </w:tcPr>
          <w:p w14:paraId="3D832343" w14:textId="2E6C4131" w:rsidR="00ED4B49" w:rsidRPr="003B4AEE" w:rsidRDefault="001D0745" w:rsidP="00EF2A49">
            <w:pPr>
              <w:pStyle w:val="Tables"/>
              <w:jc w:val="center"/>
            </w:pPr>
            <w:r w:rsidRPr="003B4AEE">
              <w:t>11</w:t>
            </w:r>
          </w:p>
        </w:tc>
      </w:tr>
      <w:tr w:rsidR="00ED4B49" w:rsidRPr="003B4AEE" w14:paraId="559284F3" w14:textId="77777777" w:rsidTr="009A2B37">
        <w:tc>
          <w:tcPr>
            <w:tcW w:w="4762" w:type="dxa"/>
            <w:vAlign w:val="center"/>
          </w:tcPr>
          <w:p w14:paraId="104C796E" w14:textId="06046997" w:rsidR="00ED4B49" w:rsidRPr="003B4AEE" w:rsidRDefault="001F6C5A" w:rsidP="00A30867">
            <w:pPr>
              <w:pStyle w:val="Tables"/>
            </w:pPr>
            <w:r w:rsidRPr="003B4AEE">
              <w:t xml:space="preserve">Compliance </w:t>
            </w:r>
            <w:r w:rsidR="00C95173" w:rsidRPr="003B4AEE">
              <w:t xml:space="preserve">monitoring </w:t>
            </w:r>
            <w:r w:rsidRPr="003B4AEE">
              <w:t xml:space="preserve">- </w:t>
            </w:r>
            <w:r w:rsidR="00C95173" w:rsidRPr="003B4AEE">
              <w:t>new units</w:t>
            </w:r>
          </w:p>
        </w:tc>
        <w:tc>
          <w:tcPr>
            <w:tcW w:w="3598" w:type="dxa"/>
            <w:vAlign w:val="center"/>
          </w:tcPr>
          <w:p w14:paraId="60DB3D03" w14:textId="293FFBF9" w:rsidR="00ED4B49" w:rsidRPr="003B4AEE" w:rsidRDefault="001F6C5A" w:rsidP="00EF2A49">
            <w:pPr>
              <w:pStyle w:val="Tables"/>
              <w:jc w:val="center"/>
            </w:pPr>
            <w:r w:rsidRPr="003B4AEE">
              <w:t>Annual</w:t>
            </w:r>
          </w:p>
        </w:tc>
        <w:tc>
          <w:tcPr>
            <w:tcW w:w="990" w:type="dxa"/>
            <w:vAlign w:val="center"/>
          </w:tcPr>
          <w:p w14:paraId="55C083F0" w14:textId="1800E99A" w:rsidR="00ED4B49" w:rsidRPr="003B4AEE" w:rsidRDefault="00173011" w:rsidP="00EF2A49">
            <w:pPr>
              <w:pStyle w:val="Tables"/>
              <w:jc w:val="center"/>
            </w:pPr>
            <w:r w:rsidRPr="003B4AEE">
              <w:t>90</w:t>
            </w:r>
          </w:p>
        </w:tc>
      </w:tr>
      <w:tr w:rsidR="00ED4B49" w:rsidRPr="003B4AEE" w14:paraId="0F9DA9B8" w14:textId="77777777" w:rsidTr="009A2B37">
        <w:trPr>
          <w:trHeight w:val="70"/>
        </w:trPr>
        <w:tc>
          <w:tcPr>
            <w:tcW w:w="4762" w:type="dxa"/>
            <w:vAlign w:val="center"/>
          </w:tcPr>
          <w:p w14:paraId="7103344B" w14:textId="37B2D7AA" w:rsidR="00ED4B49" w:rsidRPr="003B4AEE" w:rsidRDefault="00173011" w:rsidP="00A30867">
            <w:pPr>
              <w:pStyle w:val="Tables"/>
            </w:pPr>
            <w:r w:rsidRPr="003B4AEE">
              <w:t xml:space="preserve">Recurring </w:t>
            </w:r>
            <w:r w:rsidR="00C95173" w:rsidRPr="003B4AEE">
              <w:t xml:space="preserve">reporting </w:t>
            </w:r>
            <w:r w:rsidRPr="003B4AEE">
              <w:t xml:space="preserve">and </w:t>
            </w:r>
            <w:r w:rsidR="00C95173" w:rsidRPr="003B4AEE">
              <w:t xml:space="preserve">recordkeeping </w:t>
            </w:r>
            <w:r w:rsidRPr="003B4AEE">
              <w:t xml:space="preserve">- </w:t>
            </w:r>
            <w:r w:rsidR="00C95173" w:rsidRPr="003B4AEE">
              <w:t>new units</w:t>
            </w:r>
          </w:p>
        </w:tc>
        <w:tc>
          <w:tcPr>
            <w:tcW w:w="3598" w:type="dxa"/>
            <w:vAlign w:val="center"/>
          </w:tcPr>
          <w:p w14:paraId="22FA0F2B" w14:textId="71C71E16" w:rsidR="00ED4B49" w:rsidRPr="003B4AEE" w:rsidRDefault="004832AB" w:rsidP="00EF2A49">
            <w:pPr>
              <w:pStyle w:val="Tables"/>
              <w:jc w:val="center"/>
            </w:pPr>
            <w:r w:rsidRPr="003B4AEE">
              <w:t>Annual</w:t>
            </w:r>
          </w:p>
        </w:tc>
        <w:tc>
          <w:tcPr>
            <w:tcW w:w="990" w:type="dxa"/>
            <w:vAlign w:val="center"/>
          </w:tcPr>
          <w:p w14:paraId="6E24AA14" w14:textId="7B9DF252" w:rsidR="00ED4B49" w:rsidRPr="003B4AEE" w:rsidRDefault="00173011" w:rsidP="00EF2A49">
            <w:pPr>
              <w:pStyle w:val="Tables"/>
              <w:jc w:val="center"/>
            </w:pPr>
            <w:r w:rsidRPr="003B4AEE">
              <w:t>20</w:t>
            </w:r>
          </w:p>
        </w:tc>
      </w:tr>
    </w:tbl>
    <w:p w14:paraId="5B317375" w14:textId="77777777" w:rsidR="00ED4B49" w:rsidRPr="003B4AEE" w:rsidRDefault="00ED4B49" w:rsidP="00DE1B27">
      <w:pPr>
        <w:spacing w:after="0"/>
      </w:pPr>
    </w:p>
    <w:p w14:paraId="64E8D75C" w14:textId="3B208CA9" w:rsidR="0085470C" w:rsidRPr="003B4AEE" w:rsidRDefault="00E932C0" w:rsidP="004F1834">
      <w:pPr>
        <w:pStyle w:val="BodyText"/>
      </w:pPr>
      <w:r w:rsidRPr="003B4AEE">
        <w:rPr>
          <w:i/>
        </w:rPr>
        <w:t>States/Federal</w:t>
      </w:r>
      <w:r w:rsidR="00543C13" w:rsidRPr="003B4AEE">
        <w:rPr>
          <w:i/>
        </w:rPr>
        <w:t>.</w:t>
      </w:r>
      <w:r w:rsidR="00547D47" w:rsidRPr="003B4AEE">
        <w:t xml:space="preserve"> Table A</w:t>
      </w:r>
      <w:r w:rsidR="001A6DA0" w:rsidRPr="003B4AEE">
        <w:t>-</w:t>
      </w:r>
      <w:r w:rsidR="00547D47" w:rsidRPr="003B4AEE">
        <w:t>1</w:t>
      </w:r>
      <w:r w:rsidR="001A6DA0" w:rsidRPr="003B4AEE">
        <w:t>6</w:t>
      </w:r>
      <w:r w:rsidR="00547D47" w:rsidRPr="003B4AEE">
        <w:t xml:space="preserve"> presents the estimated annual number of responses and burden hours per response for </w:t>
      </w:r>
      <w:r w:rsidR="00627388" w:rsidRPr="003B4AEE">
        <w:t>s</w:t>
      </w:r>
      <w:r w:rsidR="00547D47" w:rsidRPr="003B4AEE">
        <w:t xml:space="preserve">tate </w:t>
      </w:r>
      <w:r w:rsidR="00627388" w:rsidRPr="003B4AEE">
        <w:t>a</w:t>
      </w:r>
      <w:r w:rsidR="00547D47" w:rsidRPr="003B4AEE">
        <w:t>gencies</w:t>
      </w:r>
      <w:r w:rsidR="001F73E8" w:rsidRPr="003B4AEE">
        <w:t xml:space="preserve"> and EPA</w:t>
      </w:r>
      <w:r w:rsidR="00547D47" w:rsidRPr="003B4AEE">
        <w:t>.</w:t>
      </w:r>
    </w:p>
    <w:p w14:paraId="1EAFE73C" w14:textId="06EA93B9" w:rsidR="00DE1B3A" w:rsidRPr="003B4AEE" w:rsidRDefault="00DE1B3A" w:rsidP="004F1834">
      <w:pPr>
        <w:pStyle w:val="TableTitleAppendix"/>
      </w:pPr>
      <w:bookmarkStart w:id="427" w:name="_Toc61521427"/>
      <w:r w:rsidRPr="003B4AEE">
        <w:t>Table A</w:t>
      </w:r>
      <w:r w:rsidR="001A6DA0" w:rsidRPr="003B4AEE">
        <w:t>-</w:t>
      </w:r>
      <w:r w:rsidRPr="003B4AEE">
        <w:t>1</w:t>
      </w:r>
      <w:r w:rsidR="001A6DA0" w:rsidRPr="003B4AEE">
        <w:t>6</w:t>
      </w:r>
      <w:r w:rsidR="00054BE9" w:rsidRPr="003B4AEE">
        <w:t>.</w:t>
      </w:r>
      <w:r w:rsidR="00812A7C" w:rsidRPr="003B4AEE">
        <w:t xml:space="preserve"> Estimated </w:t>
      </w:r>
      <w:r w:rsidR="00C95173" w:rsidRPr="003B4AEE">
        <w:t xml:space="preserve">annual number </w:t>
      </w:r>
      <w:r w:rsidR="00710578" w:rsidRPr="003B4AEE">
        <w:t xml:space="preserve">of </w:t>
      </w:r>
      <w:r w:rsidR="00C95173" w:rsidRPr="003B4AEE">
        <w:t xml:space="preserve">responses </w:t>
      </w:r>
      <w:r w:rsidR="00710578" w:rsidRPr="003B4AEE">
        <w:t xml:space="preserve">and </w:t>
      </w:r>
      <w:r w:rsidR="00C95173" w:rsidRPr="003B4AEE">
        <w:t xml:space="preserve">burden </w:t>
      </w:r>
      <w:r w:rsidR="004F1834" w:rsidRPr="003B4AEE">
        <w:br/>
      </w:r>
      <w:r w:rsidR="00812A7C" w:rsidRPr="003B4AEE">
        <w:t xml:space="preserve">by </w:t>
      </w:r>
      <w:r w:rsidR="00C95173" w:rsidRPr="003B4AEE">
        <w:t>facility type</w:t>
      </w:r>
      <w:r w:rsidR="0080699D" w:rsidRPr="003B4AEE">
        <w:t xml:space="preserve"> for state agencies and EPA</w:t>
      </w:r>
      <w:bookmarkEnd w:id="427"/>
    </w:p>
    <w:tbl>
      <w:tblPr>
        <w:tblStyle w:val="TableGrid"/>
        <w:tblW w:w="9355" w:type="dxa"/>
        <w:tblLook w:val="04A0" w:firstRow="1" w:lastRow="0" w:firstColumn="1" w:lastColumn="0" w:noHBand="0" w:noVBand="1"/>
      </w:tblPr>
      <w:tblGrid>
        <w:gridCol w:w="4405"/>
        <w:gridCol w:w="1260"/>
        <w:gridCol w:w="1260"/>
        <w:gridCol w:w="2430"/>
      </w:tblGrid>
      <w:tr w:rsidR="001F73E8" w:rsidRPr="003B4AEE" w14:paraId="11E4F375" w14:textId="77777777" w:rsidTr="004F1834">
        <w:trPr>
          <w:tblHeader/>
        </w:trPr>
        <w:tc>
          <w:tcPr>
            <w:tcW w:w="4405" w:type="dxa"/>
            <w:shd w:val="clear" w:color="auto" w:fill="D9D9D9" w:themeFill="background1" w:themeFillShade="D9"/>
          </w:tcPr>
          <w:p w14:paraId="2FAC8ED5" w14:textId="30F1AC57" w:rsidR="001F73E8" w:rsidRPr="003B4AEE" w:rsidRDefault="001F73E8" w:rsidP="009F1C6B">
            <w:pPr>
              <w:pStyle w:val="TableHeading"/>
            </w:pPr>
            <w:r w:rsidRPr="003B4AEE">
              <w:t>Facility type</w:t>
            </w:r>
          </w:p>
        </w:tc>
        <w:tc>
          <w:tcPr>
            <w:tcW w:w="2520" w:type="dxa"/>
            <w:gridSpan w:val="2"/>
            <w:shd w:val="clear" w:color="auto" w:fill="D9D9D9" w:themeFill="background1" w:themeFillShade="D9"/>
            <w:vAlign w:val="center"/>
          </w:tcPr>
          <w:p w14:paraId="20DE2673" w14:textId="2B4342E8" w:rsidR="001F73E8" w:rsidRPr="003B4AEE" w:rsidRDefault="001F73E8" w:rsidP="009F1C6B">
            <w:pPr>
              <w:pStyle w:val="TableHeading"/>
            </w:pPr>
            <w:r w:rsidRPr="003B4AEE">
              <w:t>Average responses/ year</w:t>
            </w:r>
          </w:p>
        </w:tc>
        <w:tc>
          <w:tcPr>
            <w:tcW w:w="2430" w:type="dxa"/>
            <w:shd w:val="clear" w:color="auto" w:fill="D9D9D9" w:themeFill="background1" w:themeFillShade="D9"/>
            <w:vAlign w:val="center"/>
          </w:tcPr>
          <w:p w14:paraId="3FF0BF3A" w14:textId="47624AD8" w:rsidR="001F73E8" w:rsidRPr="003B4AEE" w:rsidRDefault="001F73E8" w:rsidP="009F1C6B">
            <w:pPr>
              <w:pStyle w:val="TableHeading"/>
            </w:pPr>
            <w:r w:rsidRPr="003B4AEE">
              <w:t>Burden hours/ response</w:t>
            </w:r>
          </w:p>
        </w:tc>
      </w:tr>
      <w:tr w:rsidR="001F73E8" w:rsidRPr="003B4AEE" w14:paraId="3DE1ADA9" w14:textId="77777777" w:rsidTr="001F73E8">
        <w:tc>
          <w:tcPr>
            <w:tcW w:w="9355" w:type="dxa"/>
            <w:gridSpan w:val="4"/>
            <w:shd w:val="clear" w:color="auto" w:fill="D9D9D9" w:themeFill="background1" w:themeFillShade="D9"/>
            <w:vAlign w:val="center"/>
          </w:tcPr>
          <w:p w14:paraId="0475FFC4" w14:textId="6F127A52" w:rsidR="001F73E8" w:rsidRPr="003B4AEE" w:rsidRDefault="001F73E8" w:rsidP="000E0424">
            <w:pPr>
              <w:pStyle w:val="TableHeading"/>
            </w:pPr>
            <w:r w:rsidRPr="003B4AEE">
              <w:t>Permit application activities</w:t>
            </w:r>
          </w:p>
        </w:tc>
      </w:tr>
      <w:tr w:rsidR="001F73E8" w:rsidRPr="003B4AEE" w14:paraId="4FBB96FB" w14:textId="77777777" w:rsidTr="00E42462">
        <w:tc>
          <w:tcPr>
            <w:tcW w:w="4405" w:type="dxa"/>
          </w:tcPr>
          <w:p w14:paraId="1A9FA08B" w14:textId="77777777" w:rsidR="001F73E8" w:rsidRPr="003B4AEE" w:rsidRDefault="001F73E8" w:rsidP="00A30867">
            <w:pPr>
              <w:pStyle w:val="Tables"/>
            </w:pPr>
          </w:p>
        </w:tc>
        <w:tc>
          <w:tcPr>
            <w:tcW w:w="1260" w:type="dxa"/>
            <w:vAlign w:val="center"/>
          </w:tcPr>
          <w:p w14:paraId="78DEC305" w14:textId="593324AA" w:rsidR="001F73E8" w:rsidRPr="003B4AEE" w:rsidRDefault="001F73E8" w:rsidP="009F1C6B">
            <w:pPr>
              <w:pStyle w:val="TableHeading"/>
            </w:pPr>
            <w:r w:rsidRPr="003B4AEE">
              <w:t>States</w:t>
            </w:r>
          </w:p>
        </w:tc>
        <w:tc>
          <w:tcPr>
            <w:tcW w:w="1260" w:type="dxa"/>
            <w:vAlign w:val="center"/>
          </w:tcPr>
          <w:p w14:paraId="5D65DBF8" w14:textId="1A1284D2" w:rsidR="001F73E8" w:rsidRPr="003B4AEE" w:rsidRDefault="001F73E8" w:rsidP="009F1C6B">
            <w:pPr>
              <w:pStyle w:val="TableHeading"/>
            </w:pPr>
            <w:r w:rsidRPr="003B4AEE">
              <w:t>EPA</w:t>
            </w:r>
          </w:p>
        </w:tc>
        <w:tc>
          <w:tcPr>
            <w:tcW w:w="2430" w:type="dxa"/>
            <w:vAlign w:val="center"/>
          </w:tcPr>
          <w:p w14:paraId="14EC7E72" w14:textId="232B3088" w:rsidR="001F73E8" w:rsidRPr="003B4AEE" w:rsidRDefault="001F73E8" w:rsidP="009F1C6B">
            <w:pPr>
              <w:pStyle w:val="TableHeading"/>
            </w:pPr>
            <w:r w:rsidRPr="003B4AEE">
              <w:t>States and EPA</w:t>
            </w:r>
          </w:p>
        </w:tc>
      </w:tr>
      <w:tr w:rsidR="006A7273" w:rsidRPr="003B4AEE" w14:paraId="3C7D3D18" w14:textId="77777777" w:rsidTr="00E42462">
        <w:tc>
          <w:tcPr>
            <w:tcW w:w="4405" w:type="dxa"/>
          </w:tcPr>
          <w:p w14:paraId="452CD511" w14:textId="14581615" w:rsidR="006A7273" w:rsidRPr="003B4AEE" w:rsidRDefault="006A7273" w:rsidP="00A30867">
            <w:pPr>
              <w:pStyle w:val="Tables"/>
            </w:pPr>
            <w:r w:rsidRPr="003B4AEE">
              <w:t xml:space="preserve">All existing </w:t>
            </w:r>
            <w:r w:rsidR="008B193C" w:rsidRPr="003B4AEE">
              <w:t>CWIS facilities</w:t>
            </w:r>
          </w:p>
        </w:tc>
        <w:tc>
          <w:tcPr>
            <w:tcW w:w="1260" w:type="dxa"/>
          </w:tcPr>
          <w:p w14:paraId="63F6D241" w14:textId="0C2A3FFA" w:rsidR="006A7273" w:rsidRPr="003B4AEE" w:rsidRDefault="00A91260" w:rsidP="00A30867">
            <w:pPr>
              <w:pStyle w:val="Tables"/>
              <w:jc w:val="right"/>
            </w:pPr>
            <w:r w:rsidRPr="003B4AEE">
              <w:t>2</w:t>
            </w:r>
            <w:r w:rsidR="00B43ADD" w:rsidRPr="003B4AEE">
              <w:t>,</w:t>
            </w:r>
            <w:r w:rsidRPr="003B4AEE">
              <w:t>753</w:t>
            </w:r>
          </w:p>
        </w:tc>
        <w:tc>
          <w:tcPr>
            <w:tcW w:w="1260" w:type="dxa"/>
            <w:vAlign w:val="center"/>
          </w:tcPr>
          <w:p w14:paraId="0EECE2BB" w14:textId="4BE520C7" w:rsidR="006A7273" w:rsidRPr="003B4AEE" w:rsidRDefault="009E01C6" w:rsidP="00A30867">
            <w:pPr>
              <w:pStyle w:val="Tables"/>
              <w:jc w:val="right"/>
            </w:pPr>
            <w:r w:rsidRPr="003B4AEE">
              <w:t>73.3</w:t>
            </w:r>
          </w:p>
        </w:tc>
        <w:tc>
          <w:tcPr>
            <w:tcW w:w="2430" w:type="dxa"/>
            <w:vAlign w:val="center"/>
          </w:tcPr>
          <w:p w14:paraId="30C2CE9D" w14:textId="30274CA8" w:rsidR="006A7273" w:rsidRPr="003B4AEE" w:rsidRDefault="009E01C6" w:rsidP="00E42462">
            <w:pPr>
              <w:pStyle w:val="Tables"/>
              <w:jc w:val="center"/>
            </w:pPr>
            <w:r w:rsidRPr="003B4AEE">
              <w:t>72.7</w:t>
            </w:r>
          </w:p>
        </w:tc>
      </w:tr>
      <w:tr w:rsidR="001F73E8" w:rsidRPr="003B4AEE" w14:paraId="79A85DBF" w14:textId="77777777" w:rsidTr="00E42462">
        <w:tc>
          <w:tcPr>
            <w:tcW w:w="4405" w:type="dxa"/>
          </w:tcPr>
          <w:p w14:paraId="369B06BD" w14:textId="0CADCEEE" w:rsidR="001F73E8" w:rsidRPr="003B4AEE" w:rsidRDefault="001F73E8" w:rsidP="00A30867">
            <w:pPr>
              <w:pStyle w:val="Tables"/>
            </w:pPr>
            <w:r w:rsidRPr="003B4AEE">
              <w:t>New units</w:t>
            </w:r>
          </w:p>
        </w:tc>
        <w:tc>
          <w:tcPr>
            <w:tcW w:w="1260" w:type="dxa"/>
          </w:tcPr>
          <w:p w14:paraId="745E6283" w14:textId="4114D1C8" w:rsidR="001F73E8" w:rsidRPr="003B4AEE" w:rsidRDefault="001F73E8" w:rsidP="00A30867">
            <w:pPr>
              <w:pStyle w:val="Tables"/>
              <w:jc w:val="right"/>
            </w:pPr>
            <w:r w:rsidRPr="003B4AEE">
              <w:t>16</w:t>
            </w:r>
          </w:p>
        </w:tc>
        <w:tc>
          <w:tcPr>
            <w:tcW w:w="1260" w:type="dxa"/>
            <w:vAlign w:val="center"/>
          </w:tcPr>
          <w:p w14:paraId="1D842C89" w14:textId="1407E9D6" w:rsidR="001F73E8" w:rsidRPr="003B4AEE" w:rsidRDefault="001F73E8" w:rsidP="00A30867">
            <w:pPr>
              <w:pStyle w:val="Tables"/>
              <w:jc w:val="right"/>
            </w:pPr>
            <w:r w:rsidRPr="003B4AEE">
              <w:t>2</w:t>
            </w:r>
          </w:p>
        </w:tc>
        <w:tc>
          <w:tcPr>
            <w:tcW w:w="2430" w:type="dxa"/>
            <w:vAlign w:val="center"/>
          </w:tcPr>
          <w:p w14:paraId="63F64455" w14:textId="6D84DFA2" w:rsidR="001F73E8" w:rsidRPr="003B4AEE" w:rsidRDefault="001F73E8" w:rsidP="00E42462">
            <w:pPr>
              <w:pStyle w:val="Tables"/>
              <w:jc w:val="center"/>
            </w:pPr>
            <w:r w:rsidRPr="003B4AEE">
              <w:t>11</w:t>
            </w:r>
          </w:p>
        </w:tc>
      </w:tr>
      <w:tr w:rsidR="001F73E8" w:rsidRPr="003B4AEE" w14:paraId="115AA90C" w14:textId="77777777" w:rsidTr="00E42462">
        <w:trPr>
          <w:trHeight w:val="305"/>
        </w:trPr>
        <w:tc>
          <w:tcPr>
            <w:tcW w:w="9355" w:type="dxa"/>
            <w:gridSpan w:val="4"/>
            <w:shd w:val="clear" w:color="auto" w:fill="D9D9D9" w:themeFill="background1" w:themeFillShade="D9"/>
            <w:vAlign w:val="center"/>
          </w:tcPr>
          <w:p w14:paraId="5A267B72" w14:textId="13509682" w:rsidR="001F73E8" w:rsidRPr="003B4AEE" w:rsidRDefault="001F73E8" w:rsidP="000E0424">
            <w:pPr>
              <w:pStyle w:val="TableHeading"/>
            </w:pPr>
            <w:r w:rsidRPr="003B4AEE">
              <w:t>Annual activities</w:t>
            </w:r>
          </w:p>
        </w:tc>
      </w:tr>
      <w:tr w:rsidR="001F73E8" w:rsidRPr="003B4AEE" w14:paraId="71C6A64A" w14:textId="77777777" w:rsidTr="00E42462">
        <w:tc>
          <w:tcPr>
            <w:tcW w:w="4405" w:type="dxa"/>
          </w:tcPr>
          <w:p w14:paraId="22C6CEAB" w14:textId="17EC7930" w:rsidR="001F73E8" w:rsidRPr="003B4AEE" w:rsidRDefault="001F73E8" w:rsidP="00A30867">
            <w:pPr>
              <w:pStyle w:val="Tables"/>
            </w:pPr>
            <w:r w:rsidRPr="003B4AEE">
              <w:t>All facilities</w:t>
            </w:r>
          </w:p>
        </w:tc>
        <w:tc>
          <w:tcPr>
            <w:tcW w:w="1260" w:type="dxa"/>
          </w:tcPr>
          <w:p w14:paraId="3FF33A88" w14:textId="5D36D4F2" w:rsidR="001F73E8" w:rsidRPr="003B4AEE" w:rsidRDefault="001F73E8" w:rsidP="00A30867">
            <w:pPr>
              <w:pStyle w:val="Tables"/>
              <w:jc w:val="right"/>
            </w:pPr>
            <w:r w:rsidRPr="003B4AEE">
              <w:t>2,078</w:t>
            </w:r>
          </w:p>
        </w:tc>
        <w:tc>
          <w:tcPr>
            <w:tcW w:w="1260" w:type="dxa"/>
            <w:vAlign w:val="center"/>
          </w:tcPr>
          <w:p w14:paraId="5BA13F05" w14:textId="7F886CC0" w:rsidR="001F73E8" w:rsidRPr="003B4AEE" w:rsidRDefault="001F73E8" w:rsidP="00A30867">
            <w:pPr>
              <w:pStyle w:val="Tables"/>
              <w:jc w:val="right"/>
            </w:pPr>
            <w:r w:rsidRPr="003B4AEE">
              <w:t>1,065</w:t>
            </w:r>
          </w:p>
        </w:tc>
        <w:tc>
          <w:tcPr>
            <w:tcW w:w="2430" w:type="dxa"/>
            <w:vAlign w:val="center"/>
          </w:tcPr>
          <w:p w14:paraId="71194706" w14:textId="4FFA97E0" w:rsidR="001F73E8" w:rsidRPr="003B4AEE" w:rsidRDefault="001F73E8" w:rsidP="00E42462">
            <w:pPr>
              <w:pStyle w:val="Tables"/>
              <w:jc w:val="center"/>
            </w:pPr>
            <w:r w:rsidRPr="003B4AEE">
              <w:t>3</w:t>
            </w:r>
          </w:p>
        </w:tc>
      </w:tr>
    </w:tbl>
    <w:p w14:paraId="1C2E933F" w14:textId="15CF740C" w:rsidR="00BC2C1D" w:rsidRPr="003B4AEE" w:rsidRDefault="00BC2C1D" w:rsidP="004F1834">
      <w:pPr>
        <w:pStyle w:val="Heading9"/>
      </w:pPr>
      <w:bookmarkStart w:id="428" w:name="_Toc71729157"/>
      <w:r w:rsidRPr="003B4AEE">
        <w:t>Other</w:t>
      </w:r>
      <w:bookmarkEnd w:id="428"/>
    </w:p>
    <w:p w14:paraId="41D3A85C" w14:textId="2CFE8114" w:rsidR="00BC2C1D" w:rsidRPr="003B4AEE" w:rsidRDefault="00BC2C1D" w:rsidP="00DE1B27">
      <w:pPr>
        <w:pStyle w:val="Heading4"/>
      </w:pPr>
      <w:r w:rsidRPr="003B4AEE">
        <w:t>A.1.8.1</w:t>
      </w:r>
      <w:r w:rsidR="00784FA2" w:rsidRPr="003B4AEE">
        <w:t>.</w:t>
      </w:r>
      <w:r w:rsidRPr="003B4AEE">
        <w:t xml:space="preserve"> Industrial Facility "No Stormwater Exposure" Certification</w:t>
      </w:r>
    </w:p>
    <w:p w14:paraId="1906B4BE" w14:textId="77777777" w:rsidR="0085470C" w:rsidRPr="003B4AEE" w:rsidRDefault="003523C7" w:rsidP="004F1834">
      <w:pPr>
        <w:pStyle w:val="BodyText"/>
      </w:pPr>
      <w:r w:rsidRPr="003B4AEE">
        <w:t>The no exposure provision of the stormwater regulations provide</w:t>
      </w:r>
      <w:r w:rsidR="00784FA2" w:rsidRPr="003B4AEE">
        <w:t>s</w:t>
      </w:r>
      <w:r w:rsidRPr="003B4AEE">
        <w:t xml:space="preserve"> industrial f</w:t>
      </w:r>
      <w:r w:rsidR="00C00E95" w:rsidRPr="003B4AEE">
        <w:t xml:space="preserve">acilities </w:t>
      </w:r>
      <w:r w:rsidRPr="003B4AEE">
        <w:t xml:space="preserve">with industrial materials and activities that are sheltered from stormwater a simplified way of complying by </w:t>
      </w:r>
      <w:r w:rsidR="00C00E95" w:rsidRPr="003B4AEE">
        <w:t>certify</w:t>
      </w:r>
      <w:r w:rsidRPr="003B4AEE">
        <w:t>ing</w:t>
      </w:r>
      <w:r w:rsidR="00C00E95" w:rsidRPr="003B4AEE">
        <w:t xml:space="preserve"> that there is no exposure</w:t>
      </w:r>
      <w:r w:rsidRPr="003B4AEE">
        <w:t xml:space="preserve"> to stormwater.</w:t>
      </w:r>
    </w:p>
    <w:p w14:paraId="30C15044" w14:textId="1D057B84" w:rsidR="0085470C" w:rsidRPr="003B4AEE" w:rsidRDefault="003523C7" w:rsidP="004F1834">
      <w:pPr>
        <w:pStyle w:val="BodyText"/>
      </w:pPr>
      <w:r w:rsidRPr="003B4AEE">
        <w:rPr>
          <w:i/>
        </w:rPr>
        <w:t>Permittees</w:t>
      </w:r>
      <w:r w:rsidRPr="003B4AEE">
        <w:t xml:space="preserve">. </w:t>
      </w:r>
      <w:r w:rsidR="00643A78" w:rsidRPr="003B4AEE">
        <w:t xml:space="preserve">The time to complete and submit </w:t>
      </w:r>
      <w:r w:rsidR="00B34DF7" w:rsidRPr="003B4AEE">
        <w:t>a</w:t>
      </w:r>
      <w:r w:rsidR="00EA015F" w:rsidRPr="003B4AEE">
        <w:t>n industrial facility</w:t>
      </w:r>
      <w:r w:rsidR="00B34DF7" w:rsidRPr="003B4AEE">
        <w:t xml:space="preserve"> “no exposure </w:t>
      </w:r>
      <w:r w:rsidR="00643A78" w:rsidRPr="003B4AEE">
        <w:t>certification</w:t>
      </w:r>
      <w:r w:rsidR="00B34DF7" w:rsidRPr="003B4AEE">
        <w:t>”</w:t>
      </w:r>
      <w:r w:rsidR="00643A78" w:rsidRPr="003B4AEE">
        <w:t xml:space="preserve"> is 0.75 hours.</w:t>
      </w:r>
    </w:p>
    <w:p w14:paraId="00E70369" w14:textId="0716BC4E" w:rsidR="00643A78" w:rsidRPr="003B4AEE" w:rsidRDefault="00E932C0" w:rsidP="004F1834">
      <w:pPr>
        <w:pStyle w:val="BodyText"/>
      </w:pPr>
      <w:r w:rsidRPr="003B4AEE">
        <w:rPr>
          <w:i/>
        </w:rPr>
        <w:t>States/Federal</w:t>
      </w:r>
      <w:r w:rsidR="00643A78" w:rsidRPr="003B4AEE">
        <w:t>. Permitting authorities will spend 1 hour reviewing and processing each certification.</w:t>
      </w:r>
    </w:p>
    <w:p w14:paraId="47687418" w14:textId="3AAAA014" w:rsidR="00BC2C1D" w:rsidRPr="003B4AEE" w:rsidRDefault="00BC2C1D" w:rsidP="00B101A0">
      <w:pPr>
        <w:pStyle w:val="Heading4"/>
      </w:pPr>
      <w:r w:rsidRPr="003B4AEE">
        <w:t>A.1.8.2</w:t>
      </w:r>
      <w:r w:rsidR="00784FA2" w:rsidRPr="003B4AEE">
        <w:t>.</w:t>
      </w:r>
      <w:r w:rsidRPr="003B4AEE">
        <w:t xml:space="preserve"> Airports</w:t>
      </w:r>
    </w:p>
    <w:p w14:paraId="66CDF179" w14:textId="5EBEE597" w:rsidR="0085470C" w:rsidRPr="003B4AEE" w:rsidRDefault="00643A78" w:rsidP="004F1834">
      <w:pPr>
        <w:pStyle w:val="BodyText"/>
      </w:pPr>
      <w:r w:rsidRPr="003B4AEE">
        <w:t xml:space="preserve">The Airport Deicing </w:t>
      </w:r>
      <w:r w:rsidR="00FD7DE3" w:rsidRPr="003B4AEE">
        <w:t xml:space="preserve">regulation </w:t>
      </w:r>
      <w:r w:rsidRPr="003B4AEE">
        <w:t xml:space="preserve">allows airports to certify that they are not using deicers containing urea for airfield pavement deicing operations to </w:t>
      </w:r>
      <w:r w:rsidR="001E5224" w:rsidRPr="003B4AEE">
        <w:t xml:space="preserve">become exempt from </w:t>
      </w:r>
      <w:r w:rsidRPr="003B4AEE">
        <w:t xml:space="preserve">permitting requirements. </w:t>
      </w:r>
    </w:p>
    <w:p w14:paraId="32851399" w14:textId="3CAA2804" w:rsidR="00643A78" w:rsidRPr="003B4AEE" w:rsidRDefault="00643A78" w:rsidP="004F1834">
      <w:pPr>
        <w:pStyle w:val="BodyText"/>
      </w:pPr>
      <w:r w:rsidRPr="003B4AEE">
        <w:rPr>
          <w:i/>
        </w:rPr>
        <w:lastRenderedPageBreak/>
        <w:t>Permittees</w:t>
      </w:r>
      <w:r w:rsidRPr="003B4AEE">
        <w:t xml:space="preserve">. </w:t>
      </w:r>
      <w:r w:rsidR="003A56EB" w:rsidRPr="003B4AEE">
        <w:t>The time to complete and submit the certification is 1 hour.</w:t>
      </w:r>
    </w:p>
    <w:p w14:paraId="7B1A3968" w14:textId="3ECBE181" w:rsidR="00BC2C1D" w:rsidRPr="003B4AEE" w:rsidRDefault="00BC2C1D" w:rsidP="00B101A0">
      <w:pPr>
        <w:pStyle w:val="Heading4"/>
      </w:pPr>
      <w:r w:rsidRPr="003B4AEE">
        <w:t>A.1.8.3</w:t>
      </w:r>
      <w:r w:rsidR="00784FA2" w:rsidRPr="003B4AEE">
        <w:t>.</w:t>
      </w:r>
      <w:r w:rsidRPr="003B4AEE">
        <w:t xml:space="preserve"> Alaska Lands</w:t>
      </w:r>
    </w:p>
    <w:p w14:paraId="50952192" w14:textId="257F8583" w:rsidR="00BC2C1D" w:rsidRPr="003B4AEE" w:rsidRDefault="00BC2C1D" w:rsidP="004F1834">
      <w:pPr>
        <w:pStyle w:val="BodyText"/>
      </w:pPr>
      <w:r w:rsidRPr="003B4AEE">
        <w:rPr>
          <w:i/>
        </w:rPr>
        <w:t>Permittees.</w:t>
      </w:r>
      <w:r w:rsidR="003A56EB" w:rsidRPr="003B4AEE">
        <w:rPr>
          <w:i/>
        </w:rPr>
        <w:t xml:space="preserve"> </w:t>
      </w:r>
      <w:r w:rsidR="00E7426E" w:rsidRPr="003B4AEE">
        <w:t>The application for Transportation and Utility Systems and Facilities on Federal Lands will be used when applying for a right-of-way, permit, license, lease, or certificate for the use of Federal lands which lie within conservation system units and National Recreation or Conservation Areas as defined in the Alaska National Interest Lands Conservation Act. Conservation system units include the National Park System, National Wildlife Refuge System, National Wild and Scenic Rivers System, National Trails System, National Wilderness Preservation System, and National Forest Monuments.</w:t>
      </w:r>
      <w:r w:rsidR="00E7426E" w:rsidRPr="003B4AEE">
        <w:rPr>
          <w:i/>
        </w:rPr>
        <w:t xml:space="preserve"> </w:t>
      </w:r>
      <w:r w:rsidRPr="003B4AEE">
        <w:t xml:space="preserve">The estimated total hours per permittee respondent for submission of an application for Transportation and </w:t>
      </w:r>
      <w:r w:rsidR="003A56EB" w:rsidRPr="003B4AEE">
        <w:t>Utility Systems and Facilities o</w:t>
      </w:r>
      <w:r w:rsidRPr="003B4AEE">
        <w:t>n Federal Lands (Alaskan Lands Application) is 30 hours per application.</w:t>
      </w:r>
    </w:p>
    <w:p w14:paraId="09FF0052" w14:textId="4FCAE736" w:rsidR="0048771B" w:rsidRPr="003B4AEE" w:rsidRDefault="00B14ECF" w:rsidP="00B101A0">
      <w:pPr>
        <w:pStyle w:val="Heading4"/>
      </w:pPr>
      <w:r w:rsidRPr="003B4AEE">
        <w:t>A.1</w:t>
      </w:r>
      <w:r w:rsidR="00BC2C1D" w:rsidRPr="003B4AEE">
        <w:t>.8</w:t>
      </w:r>
      <w:r w:rsidRPr="003B4AEE">
        <w:t>.</w:t>
      </w:r>
      <w:r w:rsidR="00BC2C1D" w:rsidRPr="003B4AEE">
        <w:t>4</w:t>
      </w:r>
      <w:r w:rsidR="0048771B" w:rsidRPr="003B4AEE">
        <w:t xml:space="preserve">. NPDES </w:t>
      </w:r>
      <w:proofErr w:type="spellStart"/>
      <w:r w:rsidR="00F0253C" w:rsidRPr="003B4AEE">
        <w:t>eRule</w:t>
      </w:r>
      <w:proofErr w:type="spellEnd"/>
      <w:r w:rsidR="00F0253C" w:rsidRPr="003B4AEE">
        <w:t xml:space="preserve"> Phase </w:t>
      </w:r>
      <w:r w:rsidR="003E2E4B" w:rsidRPr="003B4AEE">
        <w:t>2 Extension</w:t>
      </w:r>
      <w:r w:rsidR="0048771B" w:rsidRPr="003B4AEE">
        <w:t xml:space="preserve"> </w:t>
      </w:r>
    </w:p>
    <w:p w14:paraId="17AF70DB" w14:textId="2D6C7AD3" w:rsidR="0085470C" w:rsidRPr="003B4AEE" w:rsidRDefault="009B2E92" w:rsidP="004F1834">
      <w:pPr>
        <w:pStyle w:val="BodyText"/>
      </w:pPr>
      <w:r w:rsidRPr="003B4AEE">
        <w:t>The Electronic Reporting Rule include</w:t>
      </w:r>
      <w:r w:rsidR="00130F41" w:rsidRPr="003B4AEE">
        <w:t>s</w:t>
      </w:r>
      <w:r w:rsidRPr="003B4AEE">
        <w:t xml:space="preserve"> </w:t>
      </w:r>
      <w:r w:rsidR="001C4981" w:rsidRPr="003B4AEE">
        <w:t xml:space="preserve">both </w:t>
      </w:r>
      <w:r w:rsidRPr="003B4AEE">
        <w:t xml:space="preserve">the initial one-time activities associated with the transition to electronic reporting </w:t>
      </w:r>
      <w:r w:rsidR="00141CC0" w:rsidRPr="003B4AEE">
        <w:t>(</w:t>
      </w:r>
      <w:r w:rsidRPr="003B4AEE">
        <w:t xml:space="preserve">primarily in the first three years </w:t>
      </w:r>
      <w:r w:rsidR="00141CC0" w:rsidRPr="003B4AEE">
        <w:t>after promulgation)</w:t>
      </w:r>
      <w:r w:rsidR="001C4981" w:rsidRPr="003B4AEE">
        <w:t xml:space="preserve"> and ongoing activities</w:t>
      </w:r>
      <w:r w:rsidR="006D7D85" w:rsidRPr="003B4AEE">
        <w:t>,</w:t>
      </w:r>
      <w:r w:rsidR="001C4981" w:rsidRPr="003B4AEE">
        <w:t xml:space="preserve"> which </w:t>
      </w:r>
      <w:r w:rsidR="00141CC0" w:rsidRPr="003B4AEE">
        <w:t>reflect</w:t>
      </w:r>
      <w:r w:rsidR="001C4981" w:rsidRPr="003B4AEE">
        <w:t xml:space="preserve"> considerable burden reductions associated with data entry and document mailing</w:t>
      </w:r>
      <w:r w:rsidRPr="003B4AEE">
        <w:t>.</w:t>
      </w:r>
      <w:r w:rsidR="00B14642" w:rsidRPr="003B4AEE">
        <w:t xml:space="preserve"> The Electronic Reporting Rule became effective December 21, 2015 and</w:t>
      </w:r>
      <w:r w:rsidR="0067562E" w:rsidRPr="003B4AEE">
        <w:t xml:space="preserve"> on September 23, 2020, the NPDES </w:t>
      </w:r>
      <w:proofErr w:type="spellStart"/>
      <w:r w:rsidR="0067562E" w:rsidRPr="003B4AEE">
        <w:t>eRule</w:t>
      </w:r>
      <w:proofErr w:type="spellEnd"/>
      <w:r w:rsidR="0067562E" w:rsidRPr="003B4AEE">
        <w:t xml:space="preserve"> Phase 2 Extension final rule was signed, which provides states and EPA additional time to implement electronic reporting for certain Clean Water Act discharge permitting requirements. In this final rule, EPA extended the compliance deadline for implementation of Phase 2 of the </w:t>
      </w:r>
      <w:proofErr w:type="spellStart"/>
      <w:r w:rsidR="0067562E" w:rsidRPr="003B4AEE">
        <w:t>eRule</w:t>
      </w:r>
      <w:proofErr w:type="spellEnd"/>
      <w:r w:rsidR="0067562E" w:rsidRPr="003B4AEE">
        <w:t xml:space="preserve"> by five years, from December 21, 2020 to December 21, 2025.</w:t>
      </w:r>
      <w:r w:rsidR="0067562E" w:rsidRPr="003B4AEE" w:rsidDel="00B0011A">
        <w:t xml:space="preserve"> </w:t>
      </w:r>
      <w:r w:rsidR="00B14642" w:rsidRPr="003B4AEE">
        <w:t xml:space="preserve"> </w:t>
      </w:r>
    </w:p>
    <w:p w14:paraId="50C85B76" w14:textId="4D3C5993" w:rsidR="0085470C" w:rsidRPr="003B4AEE" w:rsidRDefault="00B14642" w:rsidP="004F1834">
      <w:pPr>
        <w:pStyle w:val="BodyText"/>
      </w:pPr>
      <w:r w:rsidRPr="003B4AEE">
        <w:t xml:space="preserve">Phase 1 </w:t>
      </w:r>
      <w:r w:rsidR="00784FA2" w:rsidRPr="003B4AEE">
        <w:t xml:space="preserve">of the Electronic Reporting Rule </w:t>
      </w:r>
      <w:r w:rsidR="001D57A7" w:rsidRPr="003B4AEE">
        <w:t>require</w:t>
      </w:r>
      <w:r w:rsidR="006B2DE6" w:rsidRPr="003B4AEE">
        <w:t>d</w:t>
      </w:r>
      <w:r w:rsidR="001D57A7" w:rsidRPr="003B4AEE">
        <w:t xml:space="preserve"> </w:t>
      </w:r>
      <w:r w:rsidR="00141CC0" w:rsidRPr="003B4AEE">
        <w:t xml:space="preserve">authorized state </w:t>
      </w:r>
      <w:r w:rsidR="001D57A7" w:rsidRPr="003B4AEE">
        <w:t xml:space="preserve">NPDES programs to electronically transmit basic facility and permit information </w:t>
      </w:r>
      <w:r w:rsidR="00141CC0" w:rsidRPr="003B4AEE">
        <w:t xml:space="preserve">to EPA </w:t>
      </w:r>
      <w:r w:rsidR="001D57A7" w:rsidRPr="003B4AEE">
        <w:t xml:space="preserve">within the first year. After one year </w:t>
      </w:r>
      <w:r w:rsidR="00534F10" w:rsidRPr="003B4AEE">
        <w:t xml:space="preserve">(by December 21, 2016) </w:t>
      </w:r>
      <w:r w:rsidR="00CC343C" w:rsidRPr="003B4AEE">
        <w:t xml:space="preserve">authorized </w:t>
      </w:r>
      <w:r w:rsidR="001D57A7" w:rsidRPr="003B4AEE">
        <w:t xml:space="preserve">programs </w:t>
      </w:r>
      <w:r w:rsidR="006B2DE6" w:rsidRPr="003B4AEE">
        <w:t>began</w:t>
      </w:r>
      <w:r w:rsidR="001D57A7" w:rsidRPr="003B4AEE">
        <w:t xml:space="preserve"> electronically transmitting their state data</w:t>
      </w:r>
      <w:r w:rsidR="006D7D85" w:rsidRPr="003B4AEE">
        <w:t>,</w:t>
      </w:r>
      <w:r w:rsidR="001D57A7" w:rsidRPr="003B4AEE">
        <w:t xml:space="preserve"> includ</w:t>
      </w:r>
      <w:r w:rsidR="006D7D85" w:rsidRPr="003B4AEE">
        <w:t>ing</w:t>
      </w:r>
      <w:r w:rsidR="001D57A7" w:rsidRPr="003B4AEE">
        <w:t xml:space="preserve"> information generated from compliance </w:t>
      </w:r>
      <w:r w:rsidR="007361FD" w:rsidRPr="003B4AEE">
        <w:t>assessment</w:t>
      </w:r>
      <w:r w:rsidR="001D57A7" w:rsidRPr="003B4AEE">
        <w:t xml:space="preserve"> (e.g., inspections), violation determinations, and enforcement actions. </w:t>
      </w:r>
      <w:r w:rsidR="00827FA0" w:rsidRPr="003B4AEE">
        <w:t xml:space="preserve">Also, </w:t>
      </w:r>
      <w:r w:rsidR="00CC343C" w:rsidRPr="003B4AEE">
        <w:t xml:space="preserve">starting on </w:t>
      </w:r>
      <w:r w:rsidR="001377E5" w:rsidRPr="003B4AEE">
        <w:t xml:space="preserve">December 21, 2016 </w:t>
      </w:r>
      <w:r w:rsidR="00CC343C" w:rsidRPr="003B4AEE">
        <w:t>permittees</w:t>
      </w:r>
      <w:r w:rsidR="006B2DE6" w:rsidRPr="003B4AEE">
        <w:t xml:space="preserve"> began </w:t>
      </w:r>
      <w:r w:rsidR="00CC343C" w:rsidRPr="003B4AEE">
        <w:t>submit</w:t>
      </w:r>
      <w:r w:rsidR="006B2DE6" w:rsidRPr="003B4AEE">
        <w:t>ting</w:t>
      </w:r>
      <w:r w:rsidR="00CC343C" w:rsidRPr="003B4AEE">
        <w:t xml:space="preserve"> DMRs electronically</w:t>
      </w:r>
      <w:r w:rsidR="00827FA0" w:rsidRPr="003B4AEE">
        <w:t xml:space="preserve">. </w:t>
      </w:r>
      <w:r w:rsidR="00870C7A" w:rsidRPr="003B4AEE">
        <w:t xml:space="preserve">In addition, </w:t>
      </w:r>
      <w:r w:rsidR="006D7D85" w:rsidRPr="003B4AEE">
        <w:t xml:space="preserve">by this deadline, </w:t>
      </w:r>
      <w:r w:rsidR="00870C7A" w:rsidRPr="003B4AEE">
        <w:t xml:space="preserve">facilities permitted under the NPDES </w:t>
      </w:r>
      <w:r w:rsidR="009D4ACC" w:rsidRPr="003B4AEE">
        <w:t>biosolids program</w:t>
      </w:r>
      <w:r w:rsidR="00870C7A" w:rsidRPr="003B4AEE">
        <w:t xml:space="preserve"> where EPA is the control authority</w:t>
      </w:r>
      <w:r w:rsidR="006B2DE6" w:rsidRPr="003B4AEE">
        <w:t>, began</w:t>
      </w:r>
      <w:r w:rsidR="00870C7A" w:rsidRPr="003B4AEE">
        <w:t xml:space="preserve"> submit</w:t>
      </w:r>
      <w:r w:rsidR="006B2DE6" w:rsidRPr="003B4AEE">
        <w:t>ting</w:t>
      </w:r>
      <w:r w:rsidR="00870C7A" w:rsidRPr="003B4AEE">
        <w:t xml:space="preserve"> annual reports electronically. </w:t>
      </w:r>
      <w:r w:rsidR="00534F10" w:rsidRPr="003B4AEE">
        <w:t>T</w:t>
      </w:r>
      <w:r w:rsidR="006B2DE6" w:rsidRPr="003B4AEE">
        <w:t xml:space="preserve">he </w:t>
      </w:r>
      <w:r w:rsidR="007361FD" w:rsidRPr="003B4AEE">
        <w:t xml:space="preserve">one-time </w:t>
      </w:r>
      <w:r w:rsidR="00534F10" w:rsidRPr="003B4AEE">
        <w:t>implementation activities associated with Phase 1 have been completed</w:t>
      </w:r>
      <w:r w:rsidR="007D2F2C" w:rsidRPr="003B4AEE">
        <w:t>, therefore,</w:t>
      </w:r>
      <w:r w:rsidR="001709A1" w:rsidRPr="003B4AEE">
        <w:t xml:space="preserve"> </w:t>
      </w:r>
      <w:r w:rsidR="00534F10" w:rsidRPr="003B4AEE">
        <w:t xml:space="preserve">only ongoing activities related to the Phase 1 </w:t>
      </w:r>
      <w:r w:rsidR="001709A1" w:rsidRPr="003B4AEE">
        <w:t xml:space="preserve">and Phase 2 </w:t>
      </w:r>
      <w:r w:rsidR="00534F10" w:rsidRPr="003B4AEE">
        <w:t xml:space="preserve">requirements </w:t>
      </w:r>
      <w:r w:rsidR="003D6433" w:rsidRPr="003B4AEE">
        <w:t>will be included.</w:t>
      </w:r>
    </w:p>
    <w:p w14:paraId="0CD81AF6" w14:textId="01B349E7" w:rsidR="00B14642" w:rsidRPr="003B4AEE" w:rsidRDefault="003D6433" w:rsidP="004F1834">
      <w:pPr>
        <w:pStyle w:val="BodyText"/>
      </w:pPr>
      <w:r w:rsidRPr="003B4AEE">
        <w:t xml:space="preserve">Under Phase 2, </w:t>
      </w:r>
      <w:r w:rsidR="00CC343C" w:rsidRPr="003B4AEE">
        <w:t>authorized</w:t>
      </w:r>
      <w:r w:rsidRPr="003B4AEE">
        <w:t xml:space="preserve"> programs have until December 21, 202</w:t>
      </w:r>
      <w:r w:rsidR="00783CDF" w:rsidRPr="003B4AEE">
        <w:t>5</w:t>
      </w:r>
      <w:r w:rsidRPr="003B4AEE">
        <w:t xml:space="preserve"> to</w:t>
      </w:r>
      <w:r w:rsidR="00827FA0" w:rsidRPr="003B4AEE">
        <w:t xml:space="preserve"> begin electronically collecting, managing, and sharing the Phase 2 NPDES program data. This information includes:</w:t>
      </w:r>
    </w:p>
    <w:p w14:paraId="60404D8D" w14:textId="4B467D8A" w:rsidR="00827FA0" w:rsidRPr="003B4AEE" w:rsidRDefault="00827FA0" w:rsidP="00290A17">
      <w:pPr>
        <w:pStyle w:val="ListBulletsingle"/>
        <w:numPr>
          <w:ilvl w:val="0"/>
          <w:numId w:val="40"/>
        </w:numPr>
      </w:pPr>
      <w:r w:rsidRPr="003B4AEE">
        <w:t>General permit reports (NOI</w:t>
      </w:r>
      <w:r w:rsidR="006D7D85" w:rsidRPr="003B4AEE">
        <w:t xml:space="preserve">, </w:t>
      </w:r>
      <w:r w:rsidRPr="003B4AEE">
        <w:t>NOT</w:t>
      </w:r>
      <w:r w:rsidR="006E2136" w:rsidRPr="003B4AEE">
        <w:t xml:space="preserve">, </w:t>
      </w:r>
      <w:r w:rsidRPr="003B4AEE">
        <w:t>No Exposure Certification (NOE)</w:t>
      </w:r>
      <w:r w:rsidR="006E2136" w:rsidRPr="003B4AEE">
        <w:t xml:space="preserve">, and </w:t>
      </w:r>
      <w:r w:rsidRPr="003B4AEE">
        <w:t>Low Erosivity Waiver and Other Waivers from Stormwater Controls (LEW)</w:t>
      </w:r>
      <w:proofErr w:type="gramStart"/>
      <w:r w:rsidR="006E2136" w:rsidRPr="003B4AEE">
        <w:t>)</w:t>
      </w:r>
      <w:r w:rsidRPr="003B4AEE">
        <w:t>;</w:t>
      </w:r>
      <w:proofErr w:type="gramEnd"/>
      <w:r w:rsidRPr="003B4AEE">
        <w:t xml:space="preserve"> </w:t>
      </w:r>
    </w:p>
    <w:p w14:paraId="1DEBFFFA" w14:textId="16A4CF07" w:rsidR="00827FA0" w:rsidRPr="003B4AEE" w:rsidRDefault="00827FA0" w:rsidP="00290A17">
      <w:pPr>
        <w:pStyle w:val="ListBulletsingle"/>
        <w:numPr>
          <w:ilvl w:val="0"/>
          <w:numId w:val="40"/>
        </w:numPr>
      </w:pPr>
      <w:r w:rsidRPr="003B4AEE">
        <w:t xml:space="preserve">Sewage Sludge/Biosolids Annual Program Report (where the state is the authorized NPDES biosolids program); </w:t>
      </w:r>
      <w:r w:rsidR="00C95173" w:rsidRPr="003B4AEE">
        <w:t>and</w:t>
      </w:r>
    </w:p>
    <w:p w14:paraId="0CE8E1CB" w14:textId="77777777" w:rsidR="0085470C" w:rsidRPr="003B4AEE" w:rsidRDefault="006E2136" w:rsidP="00290A17">
      <w:pPr>
        <w:pStyle w:val="ListBulletlast"/>
        <w:numPr>
          <w:ilvl w:val="0"/>
          <w:numId w:val="40"/>
        </w:numPr>
      </w:pPr>
      <w:r w:rsidRPr="003B4AEE">
        <w:lastRenderedPageBreak/>
        <w:t>O</w:t>
      </w:r>
      <w:r w:rsidR="00827FA0" w:rsidRPr="003B4AEE">
        <w:t>ther NPDES program reports (CAFO Annual Report,</w:t>
      </w:r>
      <w:r w:rsidRPr="003B4AEE">
        <w:t xml:space="preserve"> MS4 Program Reports,</w:t>
      </w:r>
      <w:r w:rsidR="00827FA0" w:rsidRPr="003B4AEE">
        <w:t xml:space="preserve"> Pretreatment Program Report</w:t>
      </w:r>
      <w:r w:rsidRPr="003B4AEE">
        <w:t>s, SIU Compliance Reports in Municipalities without approved Pretreatment Programs, Sewer Overflow Event Reports, CWA Section 316(b) Annual Reports</w:t>
      </w:r>
      <w:r w:rsidR="00827FA0" w:rsidRPr="003B4AEE">
        <w:t>).</w:t>
      </w:r>
    </w:p>
    <w:p w14:paraId="59B46F58" w14:textId="17ED5EB9" w:rsidR="0085470C" w:rsidRPr="003B4AEE" w:rsidRDefault="00827FA0" w:rsidP="004F1834">
      <w:pPr>
        <w:pStyle w:val="BodyText"/>
      </w:pPr>
      <w:r w:rsidRPr="003B4AEE">
        <w:t xml:space="preserve">Thus, </w:t>
      </w:r>
      <w:r w:rsidR="009057A6" w:rsidRPr="003B4AEE">
        <w:t>most of the remaining</w:t>
      </w:r>
      <w:r w:rsidR="00A657E7" w:rsidRPr="003B4AEE">
        <w:t xml:space="preserve"> change in burden associated with conversion from paper to electronic reporting will occur within the three</w:t>
      </w:r>
      <w:r w:rsidR="006E2136" w:rsidRPr="003B4AEE">
        <w:t>-</w:t>
      </w:r>
      <w:r w:rsidR="00A657E7" w:rsidRPr="003B4AEE">
        <w:t>year period covered by this ICR.</w:t>
      </w:r>
      <w:r w:rsidR="000F2D5E" w:rsidRPr="003B4AEE">
        <w:t xml:space="preserve"> As Phase 2 requirements for many other reports are phased in, EPA expects more reports will switch to electronic transmission.</w:t>
      </w:r>
      <w:r w:rsidR="00325876" w:rsidRPr="003B4AEE">
        <w:t xml:space="preserve"> This ICR assumes the same rate of conversion from paper </w:t>
      </w:r>
      <w:r w:rsidR="00FF33F3" w:rsidRPr="003B4AEE">
        <w:t xml:space="preserve">reports </w:t>
      </w:r>
      <w:r w:rsidR="00325876" w:rsidRPr="003B4AEE">
        <w:t xml:space="preserve">to electronic as was assumed in the </w:t>
      </w:r>
      <w:r w:rsidR="00FF33F3" w:rsidRPr="003B4AEE">
        <w:t>prior ICR.</w:t>
      </w:r>
    </w:p>
    <w:p w14:paraId="2D0AD51D" w14:textId="1FAAB142" w:rsidR="000F2D5E" w:rsidRPr="003B4AEE" w:rsidRDefault="000F2D5E" w:rsidP="004F1834">
      <w:pPr>
        <w:pStyle w:val="BodyText"/>
      </w:pPr>
      <w:r w:rsidRPr="003B4AEE">
        <w:rPr>
          <w:i/>
        </w:rPr>
        <w:t xml:space="preserve">Permittees. </w:t>
      </w:r>
      <w:r w:rsidR="00963653" w:rsidRPr="003B4AEE">
        <w:t xml:space="preserve">The </w:t>
      </w:r>
      <w:r w:rsidR="00FD7095" w:rsidRPr="003B4AEE">
        <w:t xml:space="preserve">ongoing </w:t>
      </w:r>
      <w:r w:rsidR="00963653" w:rsidRPr="003B4AEE">
        <w:t xml:space="preserve">burden for </w:t>
      </w:r>
      <w:r w:rsidR="001377E5" w:rsidRPr="003B4AEE">
        <w:t>permittees</w:t>
      </w:r>
      <w:r w:rsidR="00963653" w:rsidRPr="003B4AEE">
        <w:t xml:space="preserve"> includes 0.4 h</w:t>
      </w:r>
      <w:r w:rsidR="007361FD" w:rsidRPr="003B4AEE">
        <w:t>ou</w:t>
      </w:r>
      <w:r w:rsidR="00963653" w:rsidRPr="003B4AEE">
        <w:t>rs per respondent per year to periodically reset the passcode</w:t>
      </w:r>
      <w:r w:rsidR="0052594A" w:rsidRPr="003B4AEE">
        <w:t xml:space="preserve"> and mailing </w:t>
      </w:r>
      <w:r w:rsidR="00680ABB" w:rsidRPr="003B4AEE">
        <w:t xml:space="preserve">some </w:t>
      </w:r>
      <w:r w:rsidR="0052594A" w:rsidRPr="003B4AEE">
        <w:t>reports.</w:t>
      </w:r>
      <w:r w:rsidRPr="003B4AEE">
        <w:t xml:space="preserve"> </w:t>
      </w:r>
    </w:p>
    <w:p w14:paraId="186BF868" w14:textId="576B677A" w:rsidR="000F2D5E" w:rsidRPr="003B4AEE" w:rsidRDefault="00E932C0" w:rsidP="004F1834">
      <w:pPr>
        <w:pStyle w:val="BodyText"/>
      </w:pPr>
      <w:r w:rsidRPr="003B4AEE">
        <w:rPr>
          <w:i/>
        </w:rPr>
        <w:t>States</w:t>
      </w:r>
      <w:r w:rsidR="000F2D5E" w:rsidRPr="003B4AEE">
        <w:t>. State agency activities include:</w:t>
      </w:r>
    </w:p>
    <w:p w14:paraId="01257737" w14:textId="47E236CC" w:rsidR="000F2D5E" w:rsidRPr="003B4AEE" w:rsidRDefault="000F2D5E" w:rsidP="002C4B0E">
      <w:pPr>
        <w:pStyle w:val="ListBulletsingle"/>
        <w:numPr>
          <w:ilvl w:val="0"/>
          <w:numId w:val="51"/>
        </w:numPr>
      </w:pPr>
      <w:r w:rsidRPr="003B4AEE">
        <w:t xml:space="preserve">Transfer of </w:t>
      </w:r>
      <w:r w:rsidR="00D95A28" w:rsidRPr="003B4AEE">
        <w:t xml:space="preserve">report </w:t>
      </w:r>
      <w:r w:rsidRPr="003B4AEE">
        <w:t xml:space="preserve">data from current state system to EPA </w:t>
      </w:r>
      <w:proofErr w:type="gramStart"/>
      <w:r w:rsidRPr="003B4AEE">
        <w:t>system</w:t>
      </w:r>
      <w:r w:rsidR="001A699E" w:rsidRPr="003B4AEE">
        <w:t>;</w:t>
      </w:r>
      <w:proofErr w:type="gramEnd"/>
    </w:p>
    <w:p w14:paraId="155B2CC2" w14:textId="7D1DEC81" w:rsidR="000F2D5E" w:rsidRPr="003B4AEE" w:rsidRDefault="000F2D5E" w:rsidP="002C4B0E">
      <w:pPr>
        <w:pStyle w:val="ListBulletsingle"/>
        <w:numPr>
          <w:ilvl w:val="0"/>
          <w:numId w:val="51"/>
        </w:numPr>
      </w:pPr>
      <w:r w:rsidRPr="003B4AEE">
        <w:t>Training and technical support</w:t>
      </w:r>
      <w:r w:rsidR="001A699E" w:rsidRPr="003B4AEE">
        <w:t>;</w:t>
      </w:r>
      <w:r w:rsidR="00E702FC" w:rsidRPr="003B4AEE">
        <w:t xml:space="preserve"> and</w:t>
      </w:r>
    </w:p>
    <w:p w14:paraId="65D0D5A8" w14:textId="08E792EF" w:rsidR="000F2D5E" w:rsidRDefault="000F2D5E" w:rsidP="002C4B0E">
      <w:pPr>
        <w:pStyle w:val="ListBulletsingle"/>
        <w:numPr>
          <w:ilvl w:val="0"/>
          <w:numId w:val="51"/>
        </w:numPr>
      </w:pPr>
      <w:r w:rsidRPr="003B4AEE">
        <w:t>Required programmatic data entry</w:t>
      </w:r>
      <w:r w:rsidR="00864CD5" w:rsidRPr="003B4AEE">
        <w:t xml:space="preserve"> associated with submitting programmatic data to EPA</w:t>
      </w:r>
      <w:r w:rsidR="00E702FC" w:rsidRPr="003B4AEE">
        <w:t>.</w:t>
      </w:r>
    </w:p>
    <w:p w14:paraId="5442D11C" w14:textId="328187FF" w:rsidR="009A6401" w:rsidRDefault="009A6401" w:rsidP="00F67288">
      <w:pPr>
        <w:pStyle w:val="ListBulletsingle"/>
        <w:numPr>
          <w:ilvl w:val="0"/>
          <w:numId w:val="51"/>
        </w:numPr>
      </w:pPr>
      <w:r>
        <w:t xml:space="preserve">Prepare and send a waiver request to EPA when they are seeking an alternative Phase 2 compliance deadline for general permits or program reports. </w:t>
      </w:r>
    </w:p>
    <w:p w14:paraId="6287C83F" w14:textId="1606BE3E" w:rsidR="009A6401" w:rsidRDefault="009A6401" w:rsidP="00F67288">
      <w:pPr>
        <w:pStyle w:val="ListBulletsingle"/>
        <w:numPr>
          <w:ilvl w:val="0"/>
          <w:numId w:val="51"/>
        </w:numPr>
      </w:pPr>
      <w:r>
        <w:t xml:space="preserve">Prepare and send basic information to EPA as they update or deploy their general permits and program reports and the related electronic reporting tools. </w:t>
      </w:r>
    </w:p>
    <w:p w14:paraId="705FD55D" w14:textId="1BBD0B58" w:rsidR="00EE4957" w:rsidRDefault="009A6401" w:rsidP="009A6401">
      <w:pPr>
        <w:pStyle w:val="ListBulletsingle"/>
        <w:numPr>
          <w:ilvl w:val="0"/>
          <w:numId w:val="51"/>
        </w:numPr>
      </w:pPr>
      <w:r>
        <w:t xml:space="preserve">Annually review EPA’s inventory of general permits and program reports and the related electronic reporting tools. Authorized NPDES programs will summarize this review in an email to EPA. </w:t>
      </w:r>
    </w:p>
    <w:p w14:paraId="245A698E" w14:textId="77777777" w:rsidR="001146F0" w:rsidRPr="003B4AEE" w:rsidRDefault="001146F0" w:rsidP="001146F0">
      <w:pPr>
        <w:pStyle w:val="ListBulletsingle"/>
        <w:tabs>
          <w:tab w:val="clear" w:pos="360"/>
        </w:tabs>
        <w:ind w:left="720" w:firstLine="0"/>
      </w:pPr>
    </w:p>
    <w:p w14:paraId="0F476CEF" w14:textId="0DFCE20A" w:rsidR="0085470C" w:rsidRPr="003B4AEE" w:rsidRDefault="0051049C" w:rsidP="004F1834">
      <w:pPr>
        <w:pStyle w:val="BodyText"/>
      </w:pPr>
      <w:r w:rsidRPr="003B4AEE">
        <w:t>Underlying assumptions regarding burden estimates are described below.</w:t>
      </w:r>
    </w:p>
    <w:p w14:paraId="0F88CC3E" w14:textId="3FEEFC23" w:rsidR="0085470C" w:rsidRPr="003B4AEE" w:rsidRDefault="00634164" w:rsidP="00290A17">
      <w:pPr>
        <w:pStyle w:val="BodyText"/>
        <w:numPr>
          <w:ilvl w:val="0"/>
          <w:numId w:val="11"/>
        </w:numPr>
      </w:pPr>
      <w:r w:rsidRPr="003B4AEE">
        <w:t xml:space="preserve">The analysis assumes states currently operating their own systems will bear an ongoing annual cost to manage transfer of data between their system and EPA’s. The annual burden estimate per state is 2,080 hours 1 full-time equivalent (FTE) programmer/technical labor per state per year. </w:t>
      </w:r>
    </w:p>
    <w:p w14:paraId="1D40DA78" w14:textId="591BC374" w:rsidR="0085470C" w:rsidRPr="00FE4799" w:rsidRDefault="00634164" w:rsidP="00290A17">
      <w:pPr>
        <w:pStyle w:val="BodyText"/>
        <w:numPr>
          <w:ilvl w:val="0"/>
          <w:numId w:val="11"/>
        </w:numPr>
      </w:pPr>
      <w:r w:rsidRPr="003B4AEE">
        <w:t xml:space="preserve">The analysis also assumes that each authorized NPDES </w:t>
      </w:r>
      <w:r w:rsidR="00AD44F7" w:rsidRPr="003B4AEE">
        <w:t xml:space="preserve">state </w:t>
      </w:r>
      <w:r w:rsidRPr="003B4AEE">
        <w:t xml:space="preserve">program, whether </w:t>
      </w:r>
      <w:r w:rsidR="00151D55" w:rsidRPr="003B4AEE">
        <w:t xml:space="preserve">it </w:t>
      </w:r>
      <w:r w:rsidR="00151D55" w:rsidRPr="00FE4799">
        <w:t>operates its</w:t>
      </w:r>
      <w:r w:rsidRPr="00FE4799">
        <w:t xml:space="preserve"> own system or use</w:t>
      </w:r>
      <w:r w:rsidR="00151D55" w:rsidRPr="00FE4799">
        <w:t>s</w:t>
      </w:r>
      <w:r w:rsidRPr="00FE4799">
        <w:t xml:space="preserve"> EPA’s tools, will bear an ongoing annual cost to provide training and technical support to regulated entities. The estimated annual training and technical support burden per </w:t>
      </w:r>
      <w:r w:rsidR="00151D55" w:rsidRPr="00FE4799">
        <w:t xml:space="preserve">authorized </w:t>
      </w:r>
      <w:r w:rsidRPr="00FE4799">
        <w:t xml:space="preserve">state is </w:t>
      </w:r>
      <w:r w:rsidR="00197114" w:rsidRPr="00FE4799">
        <w:t xml:space="preserve">2 FTEs of programmer/technical labor per state per year or </w:t>
      </w:r>
      <w:r w:rsidRPr="00FE4799">
        <w:t xml:space="preserve">4,160 hours of programmer/technical labor. This is a conservative estimate based on the upper end of the range reported in comments submitted by states. </w:t>
      </w:r>
    </w:p>
    <w:p w14:paraId="792BAD4D" w14:textId="22B87203" w:rsidR="0085470C" w:rsidRPr="00FE4799" w:rsidRDefault="00197114" w:rsidP="00290A17">
      <w:pPr>
        <w:pStyle w:val="BodyText"/>
        <w:numPr>
          <w:ilvl w:val="0"/>
          <w:numId w:val="11"/>
        </w:numPr>
      </w:pPr>
      <w:r w:rsidRPr="00FE4799">
        <w:t xml:space="preserve">Ongoing data entry associated with </w:t>
      </w:r>
      <w:r w:rsidR="001E5224" w:rsidRPr="00FE4799">
        <w:t xml:space="preserve">states </w:t>
      </w:r>
      <w:r w:rsidRPr="00FE4799">
        <w:t xml:space="preserve">submitting required programmatic data to EPA is estimated to have a total annual labor </w:t>
      </w:r>
      <w:r w:rsidR="001420C9" w:rsidRPr="00FE4799">
        <w:t>burden of</w:t>
      </w:r>
      <w:r w:rsidRPr="00FE4799">
        <w:t xml:space="preserve"> 85,445 hours.</w:t>
      </w:r>
    </w:p>
    <w:p w14:paraId="35CF696F" w14:textId="64BC0847" w:rsidR="00CE2F06" w:rsidRPr="00FE4799" w:rsidRDefault="00CE2F06" w:rsidP="00CE2F06">
      <w:pPr>
        <w:pStyle w:val="ListParagraph"/>
        <w:numPr>
          <w:ilvl w:val="0"/>
          <w:numId w:val="11"/>
        </w:numPr>
        <w:autoSpaceDE/>
        <w:autoSpaceDN/>
        <w:adjustRightInd/>
        <w:spacing w:after="0"/>
        <w:textAlignment w:val="baseline"/>
        <w:rPr>
          <w:rFonts w:cs="Segoe UI"/>
        </w:rPr>
      </w:pPr>
      <w:r w:rsidRPr="00FE4799">
        <w:lastRenderedPageBreak/>
        <w:t xml:space="preserve">EPA estimates that </w:t>
      </w:r>
      <w:r w:rsidR="00495FB3" w:rsidRPr="00FE4799">
        <w:t xml:space="preserve">fifteen states will submit a waiver during the ICR period and </w:t>
      </w:r>
      <w:r w:rsidRPr="00FE4799">
        <w:t>each waiver review will require 16 hours to prepare and send to EPA. </w:t>
      </w:r>
    </w:p>
    <w:p w14:paraId="710C9F10" w14:textId="6A28F30C" w:rsidR="00CE2F06" w:rsidRPr="00FE4799" w:rsidRDefault="00477811" w:rsidP="00CE2F06">
      <w:pPr>
        <w:pStyle w:val="ListParagraph"/>
        <w:numPr>
          <w:ilvl w:val="0"/>
          <w:numId w:val="11"/>
        </w:numPr>
        <w:autoSpaceDE/>
        <w:autoSpaceDN/>
        <w:adjustRightInd/>
        <w:spacing w:after="0"/>
        <w:textAlignment w:val="baseline"/>
        <w:rPr>
          <w:rFonts w:cs="Segoe UI"/>
        </w:rPr>
      </w:pPr>
      <w:r w:rsidRPr="00FE4799">
        <w:t xml:space="preserve">EPA </w:t>
      </w:r>
      <w:r w:rsidR="003661CA" w:rsidRPr="00FE4799">
        <w:t xml:space="preserve">expects </w:t>
      </w:r>
      <w:r w:rsidR="00CE2F06" w:rsidRPr="00FE4799">
        <w:t>to receive 12 updates on general permits renewals each month. EPA estimates that these will be monthly updates and each update will take 1 hour to prepare and send to EPA. </w:t>
      </w:r>
    </w:p>
    <w:p w14:paraId="2497E710" w14:textId="4FFF3AF9" w:rsidR="001146F0" w:rsidRPr="00FE4799" w:rsidRDefault="009F5180" w:rsidP="00FE4799">
      <w:pPr>
        <w:pStyle w:val="ListParagraph"/>
        <w:numPr>
          <w:ilvl w:val="0"/>
          <w:numId w:val="11"/>
        </w:numPr>
        <w:autoSpaceDE/>
        <w:autoSpaceDN/>
        <w:adjustRightInd/>
        <w:spacing w:after="0"/>
        <w:textAlignment w:val="baseline"/>
        <w:rPr>
          <w:rFonts w:cs="Segoe UI"/>
        </w:rPr>
      </w:pPr>
      <w:r w:rsidRPr="00FE4799">
        <w:t>All</w:t>
      </w:r>
      <w:r w:rsidR="00CE2F06" w:rsidRPr="00FE4799">
        <w:t xml:space="preserve"> 48 authorized NPDES programs will also need to annually review EPA’s inventory of general permits and program reports and the related electronic reporting tools. Authorized NPDES programs will summarize this review in an email to EPA. EPA estimates that these will be monthly updates and each update will take 4 hours to prepare and send to EPA. </w:t>
      </w:r>
    </w:p>
    <w:p w14:paraId="3C9B0B9B" w14:textId="77777777" w:rsidR="00FE4799" w:rsidRDefault="00FE4799" w:rsidP="004F1834">
      <w:pPr>
        <w:pStyle w:val="BodyText"/>
        <w:rPr>
          <w:i/>
          <w:iCs/>
        </w:rPr>
      </w:pPr>
    </w:p>
    <w:p w14:paraId="1E7DBE5A" w14:textId="69933971" w:rsidR="0085470C" w:rsidRPr="003B4AEE" w:rsidRDefault="00AE65C7" w:rsidP="004F1834">
      <w:pPr>
        <w:pStyle w:val="BodyText"/>
      </w:pPr>
      <w:r w:rsidRPr="00FE4799">
        <w:rPr>
          <w:i/>
          <w:iCs/>
        </w:rPr>
        <w:t xml:space="preserve">Federal. </w:t>
      </w:r>
      <w:r w:rsidR="004167D4" w:rsidRPr="00FE4799">
        <w:t>The estimated annual EPA burden for ongoing activities to operate and maintain</w:t>
      </w:r>
      <w:r w:rsidR="004167D4" w:rsidRPr="003B4AEE">
        <w:t xml:space="preserve"> the necessary changes in the ICIS-NPDES system required by the rule is estimated at 16,389 hours per year. </w:t>
      </w:r>
      <w:r w:rsidR="00AD3296">
        <w:t xml:space="preserve">EPA will </w:t>
      </w:r>
      <w:r w:rsidR="00A54E13">
        <w:t xml:space="preserve">also review </w:t>
      </w:r>
      <w:r w:rsidR="001A7378">
        <w:t xml:space="preserve">all </w:t>
      </w:r>
      <w:r w:rsidR="00D933B8">
        <w:t>alternative</w:t>
      </w:r>
      <w:r w:rsidR="003B21D7">
        <w:t xml:space="preserve"> Phase 2 compliance deadline requests submitted by </w:t>
      </w:r>
      <w:r w:rsidR="005155A4">
        <w:t xml:space="preserve">state permitting authorities. Each review </w:t>
      </w:r>
      <w:r w:rsidR="0085303F">
        <w:t xml:space="preserve">and approval process </w:t>
      </w:r>
      <w:proofErr w:type="gramStart"/>
      <w:r w:rsidR="0085303F">
        <w:t>is</w:t>
      </w:r>
      <w:proofErr w:type="gramEnd"/>
      <w:r w:rsidR="0085303F">
        <w:t xml:space="preserve"> </w:t>
      </w:r>
      <w:r w:rsidR="00D933B8">
        <w:t>estimated to take 16 hours.</w:t>
      </w:r>
    </w:p>
    <w:p w14:paraId="090BB47E" w14:textId="6333AF1F" w:rsidR="000D503E" w:rsidRDefault="000D503E" w:rsidP="000D503E">
      <w:r w:rsidRPr="003B4AEE">
        <w:t xml:space="preserve">In addition, when an authorized state, tribe, or territory has less than 90% participation rate for one or more data groups, EPA will use its CWA authority and ICR to issue targeted individual notices requiring NPDES-regulated entities to utilize their NPDES program’s electronic reporting system. It is estimated there will be 14,624 letters during the </w:t>
      </w:r>
      <w:proofErr w:type="gramStart"/>
      <w:r w:rsidRPr="003B4AEE">
        <w:t>3 year</w:t>
      </w:r>
      <w:proofErr w:type="gramEnd"/>
      <w:r w:rsidRPr="003B4AEE">
        <w:t xml:space="preserve"> period or an average of 4,875 per year. It is estimated each letter will require 0.5 hours to prepare and send.</w:t>
      </w:r>
    </w:p>
    <w:p w14:paraId="4D473F76" w14:textId="09D756F5" w:rsidR="00175A04" w:rsidRPr="003B4AEE" w:rsidRDefault="00231576" w:rsidP="00965EBF">
      <w:r>
        <w:t xml:space="preserve">EPA </w:t>
      </w:r>
      <w:r w:rsidR="006B1119">
        <w:t>R</w:t>
      </w:r>
      <w:r>
        <w:t xml:space="preserve">egions </w:t>
      </w:r>
      <w:r w:rsidR="00BA2F16">
        <w:t>will need to prepare</w:t>
      </w:r>
      <w:r w:rsidR="00965EBF">
        <w:t xml:space="preserve"> and send basic information to EPA as they update general permits</w:t>
      </w:r>
      <w:r w:rsidR="00BA2F16">
        <w:t xml:space="preserve"> and a</w:t>
      </w:r>
      <w:r w:rsidR="00965EBF">
        <w:t xml:space="preserve">nnually review EPA’s inventory of general permits and program reports. </w:t>
      </w:r>
      <w:r w:rsidR="00600709">
        <w:t xml:space="preserve">EPA assumes that </w:t>
      </w:r>
      <w:r w:rsidR="006B1119">
        <w:t xml:space="preserve">Regions </w:t>
      </w:r>
      <w:r w:rsidR="00574CC8">
        <w:t xml:space="preserve">are re-issuing approximately 9 general permits each year </w:t>
      </w:r>
      <w:r w:rsidR="00227D4A">
        <w:t xml:space="preserve">and that each update will </w:t>
      </w:r>
      <w:r w:rsidR="00113126">
        <w:t>take one hour to complete.</w:t>
      </w:r>
      <w:r w:rsidR="00711E07">
        <w:t xml:space="preserve"> Each of the seven EPA Regions </w:t>
      </w:r>
      <w:r w:rsidR="008F2E29">
        <w:t>with general permits</w:t>
      </w:r>
      <w:r w:rsidR="00053313">
        <w:t xml:space="preserve"> will also have to submit an annual review </w:t>
      </w:r>
      <w:r w:rsidR="00705F71">
        <w:t>that will each take 4 hours to complete.</w:t>
      </w:r>
    </w:p>
    <w:p w14:paraId="3E0C8C09" w14:textId="49CA2C73" w:rsidR="00CA3D39" w:rsidRPr="003B4AEE" w:rsidRDefault="00CA3D39" w:rsidP="00CA3D39">
      <w:pPr>
        <w:pStyle w:val="Heading4"/>
      </w:pPr>
      <w:r w:rsidRPr="003B4AEE">
        <w:t>A.1.8.5. Dental</w:t>
      </w:r>
      <w:r w:rsidR="00BD2242" w:rsidRPr="003B4AEE">
        <w:t xml:space="preserve"> Offices</w:t>
      </w:r>
    </w:p>
    <w:p w14:paraId="4214B8F2" w14:textId="1D4E9B9D" w:rsidR="00CA3D39" w:rsidRPr="003B4AEE" w:rsidRDefault="00420A05" w:rsidP="004F1834">
      <w:pPr>
        <w:pStyle w:val="BodyText"/>
      </w:pPr>
      <w:r w:rsidRPr="003B4AEE">
        <w:rPr>
          <w:i/>
          <w:iCs/>
        </w:rPr>
        <w:t xml:space="preserve">Permittees. </w:t>
      </w:r>
      <w:r w:rsidR="00342311" w:rsidRPr="003B4AEE">
        <w:t>In the event a new dental office opens or a regulated dental discharger transfers ownership, the new owner must submit a One-Time Compliance Report (estimated to take 76 minutes or 1.27 hours per dental office).</w:t>
      </w:r>
      <w:r w:rsidR="00C93478" w:rsidRPr="003B4AEE">
        <w:t xml:space="preserve"> </w:t>
      </w:r>
    </w:p>
    <w:p w14:paraId="6AE24636" w14:textId="54621D8C" w:rsidR="00627768" w:rsidRPr="003B4AEE" w:rsidRDefault="00627768" w:rsidP="004F1834">
      <w:pPr>
        <w:pStyle w:val="BodyText"/>
      </w:pPr>
      <w:r w:rsidRPr="003B4AEE">
        <w:t>Dental offices that use or remove amalgam would need to keep on-site records of inspections, cleaning, maintenance, repair, and recycling. EPA estimates that one percent of dental offices will need a repair for their amalgam separator and will need to keep a record of it. EPA estimates that recordkeeping will require 200 minutes (or 3.34 hours) of burden per dental office.</w:t>
      </w:r>
    </w:p>
    <w:p w14:paraId="249A07B2" w14:textId="6263EAF5" w:rsidR="001A6B5F" w:rsidRPr="003B4AEE" w:rsidRDefault="001A6B5F" w:rsidP="004F1834">
      <w:pPr>
        <w:pStyle w:val="BodyText"/>
      </w:pPr>
      <w:r w:rsidRPr="003B4AEE">
        <w:rPr>
          <w:i/>
          <w:iCs/>
        </w:rPr>
        <w:t>States and POTWs.</w:t>
      </w:r>
      <w:r w:rsidR="00A44C31" w:rsidRPr="003B4AEE">
        <w:rPr>
          <w:i/>
          <w:iCs/>
        </w:rPr>
        <w:t xml:space="preserve"> </w:t>
      </w:r>
      <w:r w:rsidR="00A44C31" w:rsidRPr="003B4AEE">
        <w:t>EPA estimates a one-time burden of 45 minutes associated for Control Authorities (States and POTWs) to review and file each One-Time Compliance Report for ownership transfers and for newly opened dental offices.</w:t>
      </w:r>
    </w:p>
    <w:p w14:paraId="75385FA7" w14:textId="2FEEC5B6" w:rsidR="003E71A0" w:rsidRPr="003B4AEE" w:rsidRDefault="00581132" w:rsidP="006117F7">
      <w:pPr>
        <w:pStyle w:val="Heading9"/>
      </w:pPr>
      <w:bookmarkStart w:id="429" w:name="_Toc71729158"/>
      <w:r w:rsidRPr="003B4AEE">
        <w:lastRenderedPageBreak/>
        <w:t xml:space="preserve">General </w:t>
      </w:r>
      <w:r w:rsidR="003E71A0" w:rsidRPr="003B4AEE">
        <w:t>State Activities</w:t>
      </w:r>
      <w:bookmarkEnd w:id="429"/>
    </w:p>
    <w:p w14:paraId="1318FE2F" w14:textId="44E4B410" w:rsidR="0068144F" w:rsidRPr="003B4AEE" w:rsidRDefault="0068144F" w:rsidP="009730AE">
      <w:pPr>
        <w:pStyle w:val="BodyText"/>
      </w:pPr>
      <w:r w:rsidRPr="003B4AEE">
        <w:t xml:space="preserve">This category applies to </w:t>
      </w:r>
      <w:r w:rsidR="006B3A50" w:rsidRPr="003B4AEE">
        <w:t xml:space="preserve">permitting authority </w:t>
      </w:r>
      <w:r w:rsidR="00F83C9F" w:rsidRPr="003B4AEE">
        <w:t xml:space="preserve">activities </w:t>
      </w:r>
      <w:r w:rsidRPr="003B4AEE">
        <w:t xml:space="preserve">that </w:t>
      </w:r>
      <w:r w:rsidR="00F83C9F" w:rsidRPr="003B4AEE">
        <w:t>are not directly attributable to the individual categories described above.</w:t>
      </w:r>
    </w:p>
    <w:p w14:paraId="0EBA7797" w14:textId="0CF5441D" w:rsidR="003E71A0" w:rsidRPr="003B4AEE" w:rsidRDefault="0068144F" w:rsidP="00B101A0">
      <w:pPr>
        <w:pStyle w:val="Heading4"/>
      </w:pPr>
      <w:r w:rsidRPr="003B4AEE">
        <w:t>A.1.</w:t>
      </w:r>
      <w:r w:rsidR="007F6EA9" w:rsidRPr="003B4AEE">
        <w:t>9</w:t>
      </w:r>
      <w:r w:rsidRPr="003B4AEE">
        <w:t>.1. Certification of EPA-issued Permits</w:t>
      </w:r>
    </w:p>
    <w:p w14:paraId="5CDC864C" w14:textId="21E9A3A7" w:rsidR="0068144F" w:rsidRPr="003B4AEE" w:rsidRDefault="0074454D" w:rsidP="009730AE">
      <w:pPr>
        <w:pStyle w:val="BodyText"/>
      </w:pPr>
      <w:r w:rsidRPr="003B4AEE">
        <w:t xml:space="preserve">When EPA issues </w:t>
      </w:r>
      <w:r w:rsidR="001E5224" w:rsidRPr="003B4AEE">
        <w:t xml:space="preserve">NPDES </w:t>
      </w:r>
      <w:r w:rsidRPr="003B4AEE">
        <w:t xml:space="preserve">permits, it must ensure that the permits are in compliance with state laws, including WQS. </w:t>
      </w:r>
      <w:r w:rsidR="00151D55" w:rsidRPr="003B4AEE">
        <w:t xml:space="preserve">Under CWA Section 401, </w:t>
      </w:r>
      <w:r w:rsidRPr="003B4AEE">
        <w:t xml:space="preserve">EPA may not issue a permit until the state certifies that the permit is in compliance with state laws. </w:t>
      </w:r>
      <w:r w:rsidR="002C5AAE" w:rsidRPr="003B4AEE">
        <w:t xml:space="preserve">The respondents to this item are the estimated </w:t>
      </w:r>
      <w:r w:rsidR="001F6DBB" w:rsidRPr="003B4AEE">
        <w:t>637</w:t>
      </w:r>
      <w:r w:rsidR="002C5AAE" w:rsidRPr="003B4AEE">
        <w:t xml:space="preserve"> entities including states, tribes, and U.S. territories </w:t>
      </w:r>
      <w:r w:rsidRPr="003B4AEE">
        <w:t>that must certify EPA-issued permits</w:t>
      </w:r>
      <w:r w:rsidR="002C5AAE" w:rsidRPr="003B4AEE">
        <w:t>. The average respondent burden is estimated to be 4 hours.</w:t>
      </w:r>
    </w:p>
    <w:p w14:paraId="01EB40FF" w14:textId="34050442" w:rsidR="00F83C9F" w:rsidRPr="003B4AEE" w:rsidRDefault="00F83C9F" w:rsidP="00B101A0">
      <w:pPr>
        <w:pStyle w:val="Heading4"/>
      </w:pPr>
      <w:r w:rsidRPr="003B4AEE">
        <w:t>A.1.</w:t>
      </w:r>
      <w:r w:rsidR="007F6EA9" w:rsidRPr="003B4AEE">
        <w:t>9</w:t>
      </w:r>
      <w:r w:rsidRPr="003B4AEE">
        <w:t xml:space="preserve">.2. Inspection </w:t>
      </w:r>
      <w:r w:rsidR="007358A3" w:rsidRPr="003B4AEE">
        <w:t>and</w:t>
      </w:r>
      <w:r w:rsidRPr="003B4AEE">
        <w:t xml:space="preserve"> Investigation</w:t>
      </w:r>
    </w:p>
    <w:p w14:paraId="79E7013A" w14:textId="6C6BF60A" w:rsidR="0085470C" w:rsidRPr="003B4AEE" w:rsidRDefault="0018239C" w:rsidP="003B4149">
      <w:pPr>
        <w:pStyle w:val="BodyText"/>
      </w:pPr>
      <w:r w:rsidRPr="003B4AEE">
        <w:t xml:space="preserve">Authorized states are required to maintain a “program for periodic inspections of </w:t>
      </w:r>
      <w:r w:rsidR="006B3A50" w:rsidRPr="003B4AEE">
        <w:t xml:space="preserve">the </w:t>
      </w:r>
      <w:r w:rsidRPr="003B4AEE">
        <w:t>facilities and activities subject to regulation.”</w:t>
      </w:r>
      <w:r w:rsidR="0008077E" w:rsidRPr="003B4AEE">
        <w:t xml:space="preserve"> 40 CFR 123.26(b)(2).</w:t>
      </w:r>
      <w:r w:rsidRPr="003B4AEE">
        <w:t xml:space="preserve"> Under EPA’s </w:t>
      </w:r>
      <w:r w:rsidRPr="003B4AEE">
        <w:rPr>
          <w:i/>
        </w:rPr>
        <w:t>Clean Water Act National Pollutant Discharge Elimination System Compliance Monitoring Strategy</w:t>
      </w:r>
      <w:r w:rsidRPr="003B4AEE">
        <w:t xml:space="preserve"> (available at </w:t>
      </w:r>
      <w:hyperlink r:id="rId20" w:history="1">
        <w:r w:rsidR="004B18E6" w:rsidRPr="0035170A">
          <w:rPr>
            <w:rStyle w:val="Hyperlink"/>
          </w:rPr>
          <w:t>https://www.epa.gov/compliance/clean-water-act-national-pollutant-discharge-elimination-system-compliance-monitoring</w:t>
        </w:r>
      </w:hyperlink>
      <w:r w:rsidR="004B18E6">
        <w:t>)</w:t>
      </w:r>
      <w:r w:rsidR="00C06769" w:rsidRPr="003B4AEE">
        <w:t>,</w:t>
      </w:r>
      <w:r w:rsidRPr="003B4AEE">
        <w:t xml:space="preserve"> authorized states prepare annual Compliance Monitoring Strategy (CMS) plans that articulate commitments for compliance </w:t>
      </w:r>
      <w:r w:rsidR="001F6DBB" w:rsidRPr="003B4AEE">
        <w:t>assessment</w:t>
      </w:r>
      <w:r w:rsidRPr="003B4AEE">
        <w:t xml:space="preserve"> activities</w:t>
      </w:r>
      <w:r w:rsidR="00F6341F" w:rsidRPr="003B4AEE">
        <w:t xml:space="preserve"> (e.g., inspections)</w:t>
      </w:r>
      <w:r w:rsidRPr="003B4AEE">
        <w:t xml:space="preserve"> and end-of-year reports that summarize CMS plan implementation over the prior year. EPA has developed a</w:t>
      </w:r>
      <w:r w:rsidR="00245D90" w:rsidRPr="003B4AEE">
        <w:t xml:space="preserve"> </w:t>
      </w:r>
      <w:r w:rsidRPr="003B4AEE">
        <w:t>template for states to use when preparing CMS plans and end-of-year reports.</w:t>
      </w:r>
    </w:p>
    <w:p w14:paraId="3F0A7B5F" w14:textId="013F7137" w:rsidR="0074454D" w:rsidRPr="003B4AEE" w:rsidRDefault="0074454D" w:rsidP="003B4149">
      <w:pPr>
        <w:pStyle w:val="BodyText"/>
      </w:pPr>
      <w:r w:rsidRPr="003B4AEE">
        <w:t xml:space="preserve">The various types of </w:t>
      </w:r>
      <w:r w:rsidR="006A18C8" w:rsidRPr="003B4AEE">
        <w:t xml:space="preserve">compliance monitoring activities </w:t>
      </w:r>
      <w:r w:rsidR="00665095" w:rsidRPr="003B4AEE">
        <w:t>conducted by permitting authorities include</w:t>
      </w:r>
      <w:r w:rsidRPr="003B4AEE">
        <w:t>:</w:t>
      </w:r>
    </w:p>
    <w:p w14:paraId="280A639F" w14:textId="1463426F" w:rsidR="00F76BB5" w:rsidRPr="003B4AEE" w:rsidRDefault="00F76BB5" w:rsidP="00290A17">
      <w:pPr>
        <w:pStyle w:val="ListBulletsingle"/>
        <w:numPr>
          <w:ilvl w:val="0"/>
          <w:numId w:val="41"/>
        </w:numPr>
      </w:pPr>
      <w:r w:rsidRPr="003B4AEE">
        <w:t>Compliance Sampling Inspection (CSI). The estimated burden for th</w:t>
      </w:r>
      <w:r w:rsidR="006A18C8" w:rsidRPr="003B4AEE">
        <w:t>is</w:t>
      </w:r>
      <w:r w:rsidRPr="003B4AEE">
        <w:t xml:space="preserve"> inspection is 120 hours.</w:t>
      </w:r>
    </w:p>
    <w:p w14:paraId="319C86EE" w14:textId="2C3B814A" w:rsidR="00F76BB5" w:rsidRPr="003B4AEE" w:rsidRDefault="00F76BB5" w:rsidP="00290A17">
      <w:pPr>
        <w:pStyle w:val="ListBulletsingle"/>
        <w:numPr>
          <w:ilvl w:val="0"/>
          <w:numId w:val="41"/>
        </w:numPr>
      </w:pPr>
      <w:r w:rsidRPr="003B4AEE">
        <w:t>Compliance Evaluation Inspection (CEI). The estimated burden for this inspection is 24 hours.</w:t>
      </w:r>
    </w:p>
    <w:p w14:paraId="5CF12CD4" w14:textId="36A49307" w:rsidR="00F76BB5" w:rsidRPr="003B4AEE" w:rsidRDefault="00F76BB5" w:rsidP="00290A17">
      <w:pPr>
        <w:pStyle w:val="ListBulletsingle"/>
        <w:numPr>
          <w:ilvl w:val="0"/>
          <w:numId w:val="41"/>
        </w:numPr>
      </w:pPr>
      <w:r w:rsidRPr="003B4AEE">
        <w:t>Performance Audit Inspection (PAI). The estimated burden for this inspection is 96 hours.</w:t>
      </w:r>
    </w:p>
    <w:p w14:paraId="2B51AF16" w14:textId="3665379D" w:rsidR="00F76BB5" w:rsidRPr="003B4AEE" w:rsidRDefault="00F76BB5" w:rsidP="00290A17">
      <w:pPr>
        <w:pStyle w:val="ListBulletsingle"/>
        <w:numPr>
          <w:ilvl w:val="0"/>
          <w:numId w:val="41"/>
        </w:numPr>
      </w:pPr>
      <w:r w:rsidRPr="003B4AEE">
        <w:t>Diagnostic Inspection (DI). The estimated burden for this inspection is 128 hours.</w:t>
      </w:r>
    </w:p>
    <w:p w14:paraId="77B6B24F" w14:textId="388CCAC2" w:rsidR="00F76BB5" w:rsidRPr="003B4AEE" w:rsidRDefault="00F76BB5" w:rsidP="00290A17">
      <w:pPr>
        <w:pStyle w:val="ListBulletsingle"/>
        <w:numPr>
          <w:ilvl w:val="0"/>
          <w:numId w:val="41"/>
        </w:numPr>
      </w:pPr>
      <w:r w:rsidRPr="003B4AEE">
        <w:t>Compliance Biomonitoring Inspection (CBI). The estimated burden for this inspection is 240 hours.</w:t>
      </w:r>
    </w:p>
    <w:p w14:paraId="36E3804E" w14:textId="3779ACCB" w:rsidR="00F76BB5" w:rsidRPr="003B4AEE" w:rsidRDefault="00F76BB5" w:rsidP="00290A17">
      <w:pPr>
        <w:pStyle w:val="ListBulletsingle"/>
        <w:numPr>
          <w:ilvl w:val="0"/>
          <w:numId w:val="41"/>
        </w:numPr>
      </w:pPr>
      <w:r w:rsidRPr="003B4AEE">
        <w:t>Toxic Sampling Inspection (XSI). The estimated burden for this inspection is 280 hours.</w:t>
      </w:r>
    </w:p>
    <w:p w14:paraId="14E2DE01" w14:textId="77777777" w:rsidR="0085470C" w:rsidRPr="003B4AEE" w:rsidRDefault="00F76BB5" w:rsidP="00290A17">
      <w:pPr>
        <w:pStyle w:val="ListBulletlast"/>
        <w:numPr>
          <w:ilvl w:val="0"/>
          <w:numId w:val="41"/>
        </w:numPr>
      </w:pPr>
      <w:r w:rsidRPr="003B4AEE">
        <w:t>Reconnaissance Inspection (RI). The RI is the briefest of all NPDES inspections; the estimated burden for this inspection is 8 hours.</w:t>
      </w:r>
    </w:p>
    <w:p w14:paraId="3A033681" w14:textId="4FD8B7EA" w:rsidR="0085470C" w:rsidRPr="003B4AEE" w:rsidRDefault="00245D90" w:rsidP="00E86F4D">
      <w:pPr>
        <w:pStyle w:val="BodyText"/>
      </w:pPr>
      <w:r w:rsidRPr="003B4AEE">
        <w:t xml:space="preserve">The list of compliance monitoring activities described above is not the complete set of activities that EPA and </w:t>
      </w:r>
      <w:r w:rsidR="00BB2D73" w:rsidRPr="003B4AEE">
        <w:t>states</w:t>
      </w:r>
      <w:r w:rsidRPr="003B4AEE">
        <w:t xml:space="preserve"> conduct pursuant to the CMS. </w:t>
      </w:r>
      <w:r w:rsidR="00F76BB5" w:rsidRPr="003B4AEE">
        <w:t xml:space="preserve">EPA estimates that on an annual basis for major facilities </w:t>
      </w:r>
      <w:r w:rsidR="002E4ED4" w:rsidRPr="003B4AEE">
        <w:t>9</w:t>
      </w:r>
      <w:r w:rsidR="00F76BB5" w:rsidRPr="003B4AEE">
        <w:t xml:space="preserve"> percent receive CSIs, 6</w:t>
      </w:r>
      <w:r w:rsidR="002E4ED4" w:rsidRPr="003B4AEE">
        <w:t>8</w:t>
      </w:r>
      <w:r w:rsidR="00F76BB5" w:rsidRPr="003B4AEE">
        <w:t xml:space="preserve"> percent receive CEIs, </w:t>
      </w:r>
      <w:r w:rsidR="002E4ED4" w:rsidRPr="003B4AEE">
        <w:t>6</w:t>
      </w:r>
      <w:r w:rsidR="00F76BB5" w:rsidRPr="003B4AEE">
        <w:t xml:space="preserve"> percent receive PAIs, 1 percent receive CBIs, </w:t>
      </w:r>
      <w:r w:rsidR="002E4ED4" w:rsidRPr="003B4AEE">
        <w:t>0.</w:t>
      </w:r>
      <w:r w:rsidR="00F76BB5" w:rsidRPr="003B4AEE">
        <w:t xml:space="preserve">4 percent receive XSIs, </w:t>
      </w:r>
      <w:r w:rsidR="002E4ED4" w:rsidRPr="003B4AEE">
        <w:t>18</w:t>
      </w:r>
      <w:r w:rsidR="00F76BB5" w:rsidRPr="003B4AEE">
        <w:t xml:space="preserve"> percent receive RIs</w:t>
      </w:r>
      <w:r w:rsidR="00C06769" w:rsidRPr="003B4AEE">
        <w:t>,</w:t>
      </w:r>
      <w:r w:rsidR="00F76BB5" w:rsidRPr="003B4AEE">
        <w:t xml:space="preserve"> and an additional </w:t>
      </w:r>
      <w:r w:rsidR="003520AB" w:rsidRPr="003B4AEE">
        <w:t>0.3</w:t>
      </w:r>
      <w:r w:rsidR="00F76BB5" w:rsidRPr="003B4AEE">
        <w:t xml:space="preserve"> percent of municipal </w:t>
      </w:r>
      <w:r w:rsidR="0009668D" w:rsidRPr="003B4AEE">
        <w:t xml:space="preserve">major </w:t>
      </w:r>
      <w:r w:rsidR="00F76BB5" w:rsidRPr="003B4AEE">
        <w:t xml:space="preserve">facilities receive </w:t>
      </w:r>
      <w:proofErr w:type="spellStart"/>
      <w:r w:rsidR="00F76BB5" w:rsidRPr="003B4AEE">
        <w:t>DIs.</w:t>
      </w:r>
      <w:proofErr w:type="spellEnd"/>
      <w:r w:rsidR="00F76BB5" w:rsidRPr="003B4AEE">
        <w:t xml:space="preserve"> Of the minor facilities, 3 </w:t>
      </w:r>
      <w:r w:rsidR="00F76BB5" w:rsidRPr="003B4AEE">
        <w:lastRenderedPageBreak/>
        <w:t xml:space="preserve">percent receive CSIs and 17 percent receive CEIs. In addition, 10 percent of </w:t>
      </w:r>
      <w:r w:rsidR="00F6341F" w:rsidRPr="003B4AEE">
        <w:t xml:space="preserve">industrial stormwater </w:t>
      </w:r>
      <w:r w:rsidR="00F76BB5" w:rsidRPr="003B4AEE">
        <w:t>general permittees, 5 percent of large (&gt; 5 acres) construction stormwater general permittees, 2.5 percent of small (1</w:t>
      </w:r>
      <w:r w:rsidR="00F6341F" w:rsidRPr="003B4AEE">
        <w:t>-</w:t>
      </w:r>
      <w:r w:rsidR="00F76BB5" w:rsidRPr="003B4AEE">
        <w:t xml:space="preserve">5 acres) construction stormwater general permittees, 20 percent of Phase I MS4s, and one-seventh of </w:t>
      </w:r>
      <w:r w:rsidR="00F6341F" w:rsidRPr="003B4AEE">
        <w:t xml:space="preserve">Phase II </w:t>
      </w:r>
      <w:r w:rsidR="00F76BB5" w:rsidRPr="003B4AEE">
        <w:t>MS4s receive RIs.</w:t>
      </w:r>
    </w:p>
    <w:p w14:paraId="3AFD6A0A" w14:textId="4C65A229" w:rsidR="00F83C9F" w:rsidRPr="003B4AEE" w:rsidRDefault="00F83C9F" w:rsidP="00B101A0">
      <w:pPr>
        <w:pStyle w:val="Heading4"/>
      </w:pPr>
      <w:r w:rsidRPr="003B4AEE">
        <w:t>A.1.</w:t>
      </w:r>
      <w:r w:rsidR="007F6EA9" w:rsidRPr="003B4AEE">
        <w:t>9</w:t>
      </w:r>
      <w:r w:rsidRPr="003B4AEE">
        <w:t>.3. Submittal of Permit Information to EPA</w:t>
      </w:r>
    </w:p>
    <w:p w14:paraId="2D102F05" w14:textId="7505493D" w:rsidR="00A54386" w:rsidRPr="003B4AEE" w:rsidRDefault="00A54386" w:rsidP="00E86F4D">
      <w:pPr>
        <w:pStyle w:val="BodyText"/>
      </w:pPr>
      <w:r w:rsidRPr="003B4AEE">
        <w:t xml:space="preserve">This item applies to requirements for authorized states to make available to EPA for review any information obtained or used in the administration of a state program. The burden estimate assumes that </w:t>
      </w:r>
      <w:r w:rsidR="004E6FA4" w:rsidRPr="003B4AEE">
        <w:t>s</w:t>
      </w:r>
      <w:r w:rsidRPr="003B4AEE">
        <w:t>tates must submit all major permits, about 5 percent of minor permits, and all general permits</w:t>
      </w:r>
      <w:r w:rsidR="00F5532D" w:rsidRPr="003B4AEE">
        <w:t>, as well as general program information collected as part of the application process</w:t>
      </w:r>
      <w:r w:rsidRPr="003B4AEE">
        <w:t xml:space="preserve">. Time required is estimated to be 10 minutes </w:t>
      </w:r>
      <w:r w:rsidR="00CA726A" w:rsidRPr="003B4AEE">
        <w:t xml:space="preserve">each and applies to </w:t>
      </w:r>
      <w:r w:rsidR="001C5E71" w:rsidRPr="003B4AEE">
        <w:t>70 percent of the major</w:t>
      </w:r>
      <w:r w:rsidR="00100879" w:rsidRPr="003B4AEE">
        <w:t xml:space="preserve"> permits</w:t>
      </w:r>
      <w:r w:rsidR="00CA726A" w:rsidRPr="003B4AEE">
        <w:t>,</w:t>
      </w:r>
      <w:r w:rsidR="001C5E71" w:rsidRPr="003B4AEE">
        <w:t xml:space="preserve"> 5 percent of the minor</w:t>
      </w:r>
      <w:r w:rsidR="00100879" w:rsidRPr="003B4AEE">
        <w:t xml:space="preserve"> permits</w:t>
      </w:r>
      <w:r w:rsidR="00CA726A" w:rsidRPr="003B4AEE">
        <w:t>,</w:t>
      </w:r>
      <w:r w:rsidR="001C5E71" w:rsidRPr="003B4AEE">
        <w:t xml:space="preserve"> and </w:t>
      </w:r>
      <w:r w:rsidRPr="003B4AEE">
        <w:t>100 percent of the general permits transmit</w:t>
      </w:r>
      <w:r w:rsidR="00CA726A" w:rsidRPr="003B4AEE">
        <w:t>ted</w:t>
      </w:r>
      <w:r w:rsidRPr="003B4AEE">
        <w:t xml:space="preserve"> to EPA</w:t>
      </w:r>
      <w:r w:rsidR="001C5E71" w:rsidRPr="003B4AEE">
        <w:t>. The remaining 30 percent of major permits require 2 hours of transmittal time.</w:t>
      </w:r>
    </w:p>
    <w:p w14:paraId="060DFA1F" w14:textId="59572D1F" w:rsidR="00F83C9F" w:rsidRPr="003B4AEE" w:rsidRDefault="00F83C9F" w:rsidP="00B101A0">
      <w:pPr>
        <w:pStyle w:val="Heading4"/>
      </w:pPr>
      <w:r w:rsidRPr="003B4AEE">
        <w:t>A.1.</w:t>
      </w:r>
      <w:r w:rsidR="007F6EA9" w:rsidRPr="003B4AEE">
        <w:t>9</w:t>
      </w:r>
      <w:r w:rsidRPr="003B4AEE">
        <w:t>.4. NPDES Program Authorization</w:t>
      </w:r>
    </w:p>
    <w:p w14:paraId="42F6A4EC" w14:textId="5D1A2391" w:rsidR="003E71A0" w:rsidRPr="003B4AEE" w:rsidRDefault="00E23275" w:rsidP="00E86F4D">
      <w:pPr>
        <w:pStyle w:val="BodyText"/>
      </w:pPr>
      <w:r w:rsidRPr="003B4AEE">
        <w:t xml:space="preserve">This category </w:t>
      </w:r>
      <w:proofErr w:type="gramStart"/>
      <w:r w:rsidRPr="003B4AEE">
        <w:t>includes</w:t>
      </w:r>
      <w:r w:rsidR="0066153C" w:rsidRPr="003B4AEE">
        <w:t>:</w:t>
      </w:r>
      <w:proofErr w:type="gramEnd"/>
      <w:r w:rsidRPr="003B4AEE">
        <w:t xml:space="preserve"> state requests that an authorized program be transferred back to EPA</w:t>
      </w:r>
      <w:r w:rsidR="003E4663" w:rsidRPr="003B4AEE">
        <w:t>,</w:t>
      </w:r>
      <w:r w:rsidRPr="003B4AEE">
        <w:t xml:space="preserve"> with</w:t>
      </w:r>
      <w:r w:rsidR="004B444D" w:rsidRPr="003B4AEE">
        <w:t xml:space="preserve"> a burden estimate of 480 hours</w:t>
      </w:r>
      <w:r w:rsidR="0066153C" w:rsidRPr="003B4AEE">
        <w:t>; state</w:t>
      </w:r>
      <w:r w:rsidRPr="003B4AEE">
        <w:t xml:space="preserve"> </w:t>
      </w:r>
      <w:r w:rsidR="004B444D" w:rsidRPr="003B4AEE">
        <w:t>request</w:t>
      </w:r>
      <w:r w:rsidR="0066153C" w:rsidRPr="003B4AEE">
        <w:t>s</w:t>
      </w:r>
      <w:r w:rsidR="004B444D" w:rsidRPr="003B4AEE">
        <w:t xml:space="preserve"> for NPDES program modifications</w:t>
      </w:r>
      <w:r w:rsidR="003E4663" w:rsidRPr="003B4AEE">
        <w:t>,</w:t>
      </w:r>
      <w:r w:rsidR="004B444D" w:rsidRPr="003B4AEE">
        <w:t xml:space="preserve"> with a burden estimate of 250 hours</w:t>
      </w:r>
      <w:r w:rsidR="0066153C" w:rsidRPr="003B4AEE">
        <w:t>;</w:t>
      </w:r>
      <w:r w:rsidR="004B444D" w:rsidRPr="003B4AEE">
        <w:t xml:space="preserve"> and </w:t>
      </w:r>
      <w:r w:rsidR="0066153C" w:rsidRPr="003B4AEE">
        <w:t xml:space="preserve">state </w:t>
      </w:r>
      <w:r w:rsidR="004B444D" w:rsidRPr="003B4AEE">
        <w:t>request</w:t>
      </w:r>
      <w:r w:rsidR="003E4663" w:rsidRPr="003B4AEE">
        <w:t>s</w:t>
      </w:r>
      <w:r w:rsidR="004B444D" w:rsidRPr="003B4AEE">
        <w:t xml:space="preserve"> for sewage sludge program approval under Part 501</w:t>
      </w:r>
      <w:r w:rsidR="003E4663" w:rsidRPr="003B4AEE">
        <w:t>,</w:t>
      </w:r>
      <w:r w:rsidR="004B444D" w:rsidRPr="003B4AEE">
        <w:t xml:space="preserve"> with a burden estimate of 750</w:t>
      </w:r>
      <w:r w:rsidR="00BD113E" w:rsidRPr="003B4AEE">
        <w:t xml:space="preserve"> hours</w:t>
      </w:r>
      <w:r w:rsidR="004B444D" w:rsidRPr="003B4AEE">
        <w:t xml:space="preserve">. EPA estimates that </w:t>
      </w:r>
      <w:r w:rsidR="005C677A" w:rsidRPr="003B4AEE">
        <w:t>one</w:t>
      </w:r>
      <w:r w:rsidR="00FF31B4" w:rsidRPr="003B4AEE">
        <w:t xml:space="preserve"> state will request program authorization, </w:t>
      </w:r>
      <w:r w:rsidR="005C677A" w:rsidRPr="003B4AEE">
        <w:t>one</w:t>
      </w:r>
      <w:r w:rsidR="004B444D" w:rsidRPr="003B4AEE">
        <w:t xml:space="preserve"> authorized state</w:t>
      </w:r>
      <w:r w:rsidR="0066153C" w:rsidRPr="003B4AEE">
        <w:t xml:space="preserve"> </w:t>
      </w:r>
      <w:r w:rsidR="00427FD1" w:rsidRPr="003B4AEE">
        <w:t>over the three</w:t>
      </w:r>
      <w:r w:rsidR="0084214B" w:rsidRPr="003B4AEE">
        <w:t>-</w:t>
      </w:r>
      <w:r w:rsidR="00427FD1" w:rsidRPr="003B4AEE">
        <w:t>year period</w:t>
      </w:r>
      <w:r w:rsidR="004B444D" w:rsidRPr="003B4AEE">
        <w:t xml:space="preserve"> will request that an authorized program </w:t>
      </w:r>
      <w:r w:rsidR="003E4663" w:rsidRPr="003B4AEE">
        <w:t xml:space="preserve">or program component </w:t>
      </w:r>
      <w:r w:rsidR="004B444D" w:rsidRPr="003B4AEE">
        <w:t xml:space="preserve">be transferred, </w:t>
      </w:r>
      <w:r w:rsidR="004E6FA4" w:rsidRPr="003B4AEE">
        <w:t xml:space="preserve">12 </w:t>
      </w:r>
      <w:r w:rsidR="00427FD1" w:rsidRPr="003B4AEE">
        <w:t>over the thre</w:t>
      </w:r>
      <w:r w:rsidR="00D5083F" w:rsidRPr="003B4AEE">
        <w:t>e</w:t>
      </w:r>
      <w:r w:rsidR="0084214B" w:rsidRPr="003B4AEE">
        <w:t>-</w:t>
      </w:r>
      <w:r w:rsidR="00427FD1" w:rsidRPr="003B4AEE">
        <w:t>year period</w:t>
      </w:r>
      <w:r w:rsidR="004B444D" w:rsidRPr="003B4AEE">
        <w:t xml:space="preserve"> will request program modification to update their legal authorities in response to the </w:t>
      </w:r>
      <w:r w:rsidR="00705569" w:rsidRPr="003B4AEE">
        <w:t>regulatory changes (e.g., rulemakings, state water quality standards revisions, etc.)</w:t>
      </w:r>
      <w:r w:rsidR="004B444D" w:rsidRPr="003B4AEE">
        <w:t xml:space="preserve"> anticipated in the NPDES program, and one </w:t>
      </w:r>
      <w:r w:rsidR="004E6FA4" w:rsidRPr="003B4AEE">
        <w:t>over the 3</w:t>
      </w:r>
      <w:r w:rsidR="00A41EED" w:rsidRPr="003B4AEE">
        <w:t>-</w:t>
      </w:r>
      <w:r w:rsidR="004E6FA4" w:rsidRPr="003B4AEE">
        <w:t xml:space="preserve">year period </w:t>
      </w:r>
      <w:r w:rsidR="004B444D" w:rsidRPr="003B4AEE">
        <w:t xml:space="preserve">will request </w:t>
      </w:r>
      <w:r w:rsidR="004E6FA4" w:rsidRPr="003B4AEE">
        <w:t>a</w:t>
      </w:r>
      <w:r w:rsidR="004B444D" w:rsidRPr="003B4AEE">
        <w:t xml:space="preserve"> sewage sludge program approval.</w:t>
      </w:r>
    </w:p>
    <w:p w14:paraId="178A78FA" w14:textId="3615F375" w:rsidR="00786817" w:rsidRPr="003B4AEE" w:rsidRDefault="00786817" w:rsidP="004F1834">
      <w:pPr>
        <w:pStyle w:val="Heading8"/>
      </w:pPr>
      <w:bookmarkStart w:id="430" w:name="_Ref199651052"/>
      <w:bookmarkStart w:id="431" w:name="_Toc300908856"/>
      <w:bookmarkStart w:id="432" w:name="_Toc61348665"/>
      <w:bookmarkStart w:id="433" w:name="_Toc61518144"/>
      <w:bookmarkStart w:id="434" w:name="_Toc71729159"/>
      <w:r w:rsidRPr="003B4AEE">
        <w:t>Estimating Respondent Costs</w:t>
      </w:r>
      <w:bookmarkEnd w:id="430"/>
      <w:bookmarkEnd w:id="431"/>
      <w:bookmarkEnd w:id="432"/>
      <w:bookmarkEnd w:id="433"/>
      <w:bookmarkEnd w:id="434"/>
    </w:p>
    <w:p w14:paraId="364FBBDA" w14:textId="46F75E4B" w:rsidR="00786817" w:rsidRPr="003B4AEE" w:rsidRDefault="004E6FA4" w:rsidP="00E86F4D">
      <w:pPr>
        <w:pStyle w:val="BodyText"/>
      </w:pPr>
      <w:r w:rsidRPr="003B4AEE">
        <w:t>Once b</w:t>
      </w:r>
      <w:r w:rsidR="00786817" w:rsidRPr="003B4AEE">
        <w:t>urden hour</w:t>
      </w:r>
      <w:r w:rsidRPr="003B4AEE">
        <w:t>s are estimated,</w:t>
      </w:r>
      <w:r w:rsidR="00786817" w:rsidRPr="003B4AEE">
        <w:t xml:space="preserve"> the next step is to estimate the labor cost </w:t>
      </w:r>
      <w:r w:rsidR="004B444D" w:rsidRPr="003B4AEE">
        <w:t>for</w:t>
      </w:r>
      <w:r w:rsidR="00786817" w:rsidRPr="003B4AEE">
        <w:t xml:space="preserve"> respondent</w:t>
      </w:r>
      <w:r w:rsidR="004B444D" w:rsidRPr="003B4AEE">
        <w:t>s</w:t>
      </w:r>
      <w:r w:rsidR="00786817" w:rsidRPr="003B4AEE">
        <w:t xml:space="preserve"> and the capital costs required to complete each activity. The total cost for each respondent activity is composed of the following:</w:t>
      </w:r>
    </w:p>
    <w:p w14:paraId="2BE67A68" w14:textId="58220A76" w:rsidR="00786817" w:rsidRPr="003B4AEE" w:rsidRDefault="00786817" w:rsidP="00290A17">
      <w:pPr>
        <w:pStyle w:val="ListBulletsingle"/>
        <w:numPr>
          <w:ilvl w:val="0"/>
          <w:numId w:val="15"/>
        </w:numPr>
      </w:pPr>
      <w:r w:rsidRPr="003B4AEE">
        <w:t xml:space="preserve">Labor </w:t>
      </w:r>
      <w:proofErr w:type="gramStart"/>
      <w:r w:rsidR="00443AC8" w:rsidRPr="003B4AEE">
        <w:t>cost</w:t>
      </w:r>
      <w:r w:rsidRPr="003B4AEE">
        <w:t>;</w:t>
      </w:r>
      <w:proofErr w:type="gramEnd"/>
    </w:p>
    <w:p w14:paraId="43F2A3F3" w14:textId="31DBBAA4" w:rsidR="00786817" w:rsidRPr="003B4AEE" w:rsidRDefault="00786817" w:rsidP="00290A17">
      <w:pPr>
        <w:pStyle w:val="ListBulletsingle"/>
        <w:numPr>
          <w:ilvl w:val="0"/>
          <w:numId w:val="15"/>
        </w:numPr>
      </w:pPr>
      <w:r w:rsidRPr="003B4AEE">
        <w:t xml:space="preserve">O&amp;M </w:t>
      </w:r>
      <w:r w:rsidR="00443AC8" w:rsidRPr="003B4AEE">
        <w:t>cost</w:t>
      </w:r>
      <w:r w:rsidRPr="003B4AEE">
        <w:t>; and</w:t>
      </w:r>
    </w:p>
    <w:p w14:paraId="05AC2A41" w14:textId="77777777" w:rsidR="0085470C" w:rsidRPr="003B4AEE" w:rsidRDefault="00786817" w:rsidP="00290A17">
      <w:pPr>
        <w:pStyle w:val="ListBulletlast"/>
        <w:numPr>
          <w:ilvl w:val="0"/>
          <w:numId w:val="15"/>
        </w:numPr>
      </w:pPr>
      <w:r w:rsidRPr="003B4AEE">
        <w:t>Capital/</w:t>
      </w:r>
      <w:r w:rsidR="00443AC8" w:rsidRPr="003B4AEE">
        <w:t>start</w:t>
      </w:r>
      <w:r w:rsidRPr="003B4AEE">
        <w:t xml:space="preserve">-up </w:t>
      </w:r>
      <w:r w:rsidR="00443AC8" w:rsidRPr="003B4AEE">
        <w:t>cost</w:t>
      </w:r>
      <w:r w:rsidRPr="003B4AEE">
        <w:t>.</w:t>
      </w:r>
    </w:p>
    <w:p w14:paraId="41302B69" w14:textId="051B5C2F" w:rsidR="00786817" w:rsidRPr="003B4AEE" w:rsidRDefault="00786817" w:rsidP="00E86F4D">
      <w:pPr>
        <w:pStyle w:val="BodyText"/>
      </w:pPr>
      <w:r w:rsidRPr="003B4AEE">
        <w:t xml:space="preserve">The results of the respondents’ costs analysis are presented in the </w:t>
      </w:r>
      <w:r w:rsidR="004E6FA4" w:rsidRPr="003B4AEE">
        <w:t>Detailed Respondent Burden Results by Category t</w:t>
      </w:r>
      <w:r w:rsidRPr="003B4AEE">
        <w:t>able in Appendix B.</w:t>
      </w:r>
    </w:p>
    <w:p w14:paraId="6FFE3462" w14:textId="752CB452" w:rsidR="00786817" w:rsidRPr="003B4AEE" w:rsidRDefault="00786817" w:rsidP="004F1834">
      <w:pPr>
        <w:pStyle w:val="Heading9"/>
      </w:pPr>
      <w:bookmarkStart w:id="435" w:name="_Toc300908857"/>
      <w:bookmarkStart w:id="436" w:name="_Toc71729160"/>
      <w:bookmarkStart w:id="437" w:name="_Hlk59435577"/>
      <w:r w:rsidRPr="003B4AEE">
        <w:t>Estimating Labor Costs</w:t>
      </w:r>
      <w:bookmarkEnd w:id="435"/>
      <w:bookmarkEnd w:id="436"/>
    </w:p>
    <w:bookmarkEnd w:id="437"/>
    <w:p w14:paraId="062C7A42" w14:textId="77777777" w:rsidR="00786817" w:rsidRPr="003B4AEE" w:rsidRDefault="00786817" w:rsidP="00E86F4D">
      <w:pPr>
        <w:pStyle w:val="BodyText"/>
      </w:pPr>
      <w:r w:rsidRPr="003B4AEE">
        <w:t>When calculating respondent labor costs, EPA makes the following assumptions:</w:t>
      </w:r>
    </w:p>
    <w:p w14:paraId="735AE3C1" w14:textId="50443CCA" w:rsidR="00786817" w:rsidRPr="003B4AEE" w:rsidRDefault="00786817" w:rsidP="00290A17">
      <w:pPr>
        <w:pStyle w:val="ListBullet"/>
        <w:numPr>
          <w:ilvl w:val="0"/>
          <w:numId w:val="16"/>
        </w:numPr>
      </w:pPr>
      <w:r w:rsidRPr="003B4AEE">
        <w:t>EPA used a labor rate of $</w:t>
      </w:r>
      <w:r w:rsidR="00913E2B" w:rsidRPr="003B4AEE">
        <w:t>52.36</w:t>
      </w:r>
      <w:r w:rsidRPr="003B4AEE">
        <w:t xml:space="preserve"> per hour for all authorized state and territory respondent activities defined in this ICR. This hourly rate was based on the average </w:t>
      </w:r>
      <w:r w:rsidRPr="003B4AEE">
        <w:lastRenderedPageBreak/>
        <w:t>hourly wage for state and municipal employees as determined by the U.S. Department of Labor</w:t>
      </w:r>
      <w:r w:rsidR="0005309E" w:rsidRPr="003B4AEE">
        <w:rPr>
          <w:rStyle w:val="FootnoteReference"/>
        </w:rPr>
        <w:footnoteReference w:id="3"/>
      </w:r>
      <w:r w:rsidRPr="003B4AEE">
        <w:t xml:space="preserve">. </w:t>
      </w:r>
    </w:p>
    <w:p w14:paraId="00E062A5" w14:textId="0A073EC5" w:rsidR="00786817" w:rsidRPr="003B4AEE" w:rsidRDefault="00786817" w:rsidP="00290A17">
      <w:pPr>
        <w:pStyle w:val="ListBullet"/>
        <w:numPr>
          <w:ilvl w:val="0"/>
          <w:numId w:val="16"/>
        </w:numPr>
      </w:pPr>
      <w:r w:rsidRPr="003B4AEE">
        <w:t>The average hourly rate for municipal employees, which account for all POTW and MS4 costs, as determined by the U.S. Department of Labor, Bureau of Labor Statistics, is $</w:t>
      </w:r>
      <w:r w:rsidR="00913E2B" w:rsidRPr="003B4AEE">
        <w:t>43.77</w:t>
      </w:r>
      <w:r w:rsidRPr="003B4AEE">
        <w:t xml:space="preserve"> (including overhead costs of 50 percent)</w:t>
      </w:r>
      <w:r w:rsidR="0005309E" w:rsidRPr="003B4AEE">
        <w:rPr>
          <w:rStyle w:val="FootnoteReference"/>
        </w:rPr>
        <w:footnoteReference w:id="4"/>
      </w:r>
      <w:r w:rsidRPr="003B4AEE">
        <w:t xml:space="preserve">. </w:t>
      </w:r>
    </w:p>
    <w:p w14:paraId="3B350D69" w14:textId="061BF440" w:rsidR="00786817" w:rsidRPr="003B4AEE" w:rsidRDefault="00786817" w:rsidP="00290A17">
      <w:pPr>
        <w:pStyle w:val="ListBullet"/>
        <w:numPr>
          <w:ilvl w:val="0"/>
          <w:numId w:val="16"/>
        </w:numPr>
      </w:pPr>
      <w:r w:rsidRPr="003B4AEE">
        <w:t>EPA assumes the average hourly rate in the private sector is $</w:t>
      </w:r>
      <w:r w:rsidR="00913E2B" w:rsidRPr="003B4AEE">
        <w:t>62.05</w:t>
      </w:r>
      <w:r w:rsidR="00E003AC" w:rsidRPr="003B4AEE">
        <w:rPr>
          <w:rStyle w:val="FootnoteReference"/>
        </w:rPr>
        <w:footnoteReference w:id="5"/>
      </w:r>
      <w:r w:rsidR="00E003AC" w:rsidRPr="003B4AEE">
        <w:t>.</w:t>
      </w:r>
      <w:r w:rsidRPr="003B4AEE">
        <w:t xml:space="preserve"> </w:t>
      </w:r>
    </w:p>
    <w:p w14:paraId="05954A0F" w14:textId="6AD9DC1C" w:rsidR="003A3E87" w:rsidRPr="003B4AEE" w:rsidRDefault="003A3E87" w:rsidP="00290A17">
      <w:pPr>
        <w:pStyle w:val="ListBulletlast"/>
        <w:numPr>
          <w:ilvl w:val="0"/>
          <w:numId w:val="16"/>
        </w:numPr>
      </w:pPr>
      <w:r w:rsidRPr="003B4AEE">
        <w:t>EPA determined the hourly employment cost of federal employees using methodology established in previous ICRs. According to the U.S. Office of Personnel Management, 20</w:t>
      </w:r>
      <w:r w:rsidR="00913E2B" w:rsidRPr="003B4AEE">
        <w:t>20</w:t>
      </w:r>
      <w:r w:rsidRPr="003B4AEE">
        <w:t xml:space="preserve"> General Schedule (20</w:t>
      </w:r>
      <w:r w:rsidR="00913E2B" w:rsidRPr="003B4AEE">
        <w:t>20</w:t>
      </w:r>
      <w:r w:rsidRPr="003B4AEE">
        <w:t>-GS), the average annual salary of a government employee at the GS-9, Step 10 level is $5</w:t>
      </w:r>
      <w:r w:rsidR="00913E2B" w:rsidRPr="003B4AEE">
        <w:t>9</w:t>
      </w:r>
      <w:r w:rsidRPr="003B4AEE">
        <w:t>,</w:t>
      </w:r>
      <w:r w:rsidR="00913E2B" w:rsidRPr="003B4AEE">
        <w:t>316</w:t>
      </w:r>
      <w:r w:rsidRPr="003B4AEE">
        <w:t>. At 2,080 hours per year, the hourly wage is $2</w:t>
      </w:r>
      <w:r w:rsidR="00913E2B" w:rsidRPr="003B4AEE">
        <w:t>8.52</w:t>
      </w:r>
      <w:r w:rsidRPr="003B4AEE">
        <w:t>. Assuming overhead costs of 60 percent, or $1</w:t>
      </w:r>
      <w:r w:rsidR="00913E2B" w:rsidRPr="003B4AEE">
        <w:t>7</w:t>
      </w:r>
      <w:r w:rsidRPr="003B4AEE">
        <w:t>.</w:t>
      </w:r>
      <w:r w:rsidR="00913E2B" w:rsidRPr="003B4AEE">
        <w:t>11</w:t>
      </w:r>
      <w:r w:rsidRPr="003B4AEE">
        <w:t xml:space="preserve"> per hour, the fully loaded cost of employment for a federal employee is $4</w:t>
      </w:r>
      <w:r w:rsidR="00913E2B" w:rsidRPr="003B4AEE">
        <w:t>5.63</w:t>
      </w:r>
      <w:r w:rsidRPr="003B4AEE">
        <w:t>.</w:t>
      </w:r>
    </w:p>
    <w:p w14:paraId="7D505B32" w14:textId="29F11B16" w:rsidR="00786817" w:rsidRPr="003B4AEE" w:rsidRDefault="00786817" w:rsidP="004F1834">
      <w:pPr>
        <w:pStyle w:val="Heading9"/>
      </w:pPr>
      <w:bookmarkStart w:id="438" w:name="_Toc300908858"/>
      <w:bookmarkStart w:id="439" w:name="_Toc71729161"/>
      <w:bookmarkStart w:id="440" w:name="_Hlk59435684"/>
      <w:r w:rsidRPr="003B4AEE">
        <w:t>O&amp;M Costs</w:t>
      </w:r>
      <w:bookmarkEnd w:id="438"/>
      <w:bookmarkEnd w:id="439"/>
    </w:p>
    <w:bookmarkEnd w:id="440"/>
    <w:p w14:paraId="0EC7819B" w14:textId="09AB1505" w:rsidR="00786817" w:rsidRPr="003B4AEE" w:rsidRDefault="00786817" w:rsidP="004F1834">
      <w:pPr>
        <w:pStyle w:val="BodyText"/>
        <w:rPr>
          <w:b/>
        </w:rPr>
      </w:pPr>
      <w:r w:rsidRPr="003B4AEE">
        <w:t xml:space="preserve">Most calculations in this ICR account for labor costs only. </w:t>
      </w:r>
      <w:r w:rsidR="001377E5" w:rsidRPr="003B4AEE">
        <w:t xml:space="preserve">A facility incurs O&amp;M costs when it uses services, materials, or supplies needed to comply with the rule’s reporting and recordkeeping requirements that the facility will not use otherwise. Another type of O&amp;M cost is for the purchase of contracted services such as laboratory analyses. The purchase of supplies such as filing cabinets and services such as photocopying or boat rental, </w:t>
      </w:r>
      <w:r w:rsidR="00E077FD" w:rsidRPr="003B4AEE">
        <w:t>is</w:t>
      </w:r>
      <w:r w:rsidR="001377E5" w:rsidRPr="003B4AEE">
        <w:t xml:space="preserve"> also considered O&amp;M costs, and may also be referred to as ODCs.</w:t>
      </w:r>
      <w:r w:rsidRPr="003B4AEE">
        <w:t xml:space="preserve"> All costs presented in this section have been adjusted with the Consumer Price Index to </w:t>
      </w:r>
      <w:r w:rsidR="00B70CA3" w:rsidRPr="003B4AEE">
        <w:t>September 2020</w:t>
      </w:r>
      <w:r w:rsidRPr="003B4AEE">
        <w:t xml:space="preserve"> dollars. These costs are linked to the distinctive activities described below.</w:t>
      </w:r>
    </w:p>
    <w:p w14:paraId="16C3D547" w14:textId="21A8F2CF" w:rsidR="00786817" w:rsidRPr="003B4AEE" w:rsidRDefault="007875DF" w:rsidP="00B101A0">
      <w:pPr>
        <w:pStyle w:val="Heading4"/>
      </w:pPr>
      <w:r w:rsidRPr="003B4AEE">
        <w:t>A.2.2.1</w:t>
      </w:r>
      <w:r w:rsidR="00C04949" w:rsidRPr="003B4AEE">
        <w:t>.</w:t>
      </w:r>
      <w:r w:rsidRPr="003B4AEE">
        <w:t xml:space="preserve"> </w:t>
      </w:r>
      <w:r w:rsidR="00786817" w:rsidRPr="003B4AEE">
        <w:t xml:space="preserve">Application Requirements for NPDES Permits </w:t>
      </w:r>
    </w:p>
    <w:p w14:paraId="32B5C60A" w14:textId="29CB9C60" w:rsidR="002C267A" w:rsidRPr="003B4AEE" w:rsidRDefault="006D298B" w:rsidP="00EF2A49">
      <w:pPr>
        <w:pStyle w:val="Heading5"/>
      </w:pPr>
      <w:r w:rsidRPr="003B4AEE">
        <w:t>A.2.2</w:t>
      </w:r>
      <w:r w:rsidR="004C04C6" w:rsidRPr="003B4AEE">
        <w:t>.1.</w:t>
      </w:r>
      <w:r w:rsidR="009B4DE5" w:rsidRPr="003B4AEE">
        <w:t>1</w:t>
      </w:r>
      <w:r w:rsidRPr="003B4AEE">
        <w:t>.</w:t>
      </w:r>
      <w:r w:rsidR="00AC38EA" w:rsidRPr="003B4AEE">
        <w:t xml:space="preserve"> Testing and Contractors Costs</w:t>
      </w:r>
      <w:r w:rsidR="002C267A" w:rsidRPr="003B4AEE">
        <w:t xml:space="preserve"> for POTWs and </w:t>
      </w:r>
      <w:proofErr w:type="spellStart"/>
      <w:r w:rsidR="002C267A" w:rsidRPr="003B4AEE">
        <w:t>PrOTWs</w:t>
      </w:r>
      <w:proofErr w:type="spellEnd"/>
    </w:p>
    <w:p w14:paraId="081DDCC9" w14:textId="4DCB6F2A" w:rsidR="0085470C" w:rsidRPr="003B4AEE" w:rsidRDefault="00786817" w:rsidP="004F1834">
      <w:pPr>
        <w:pStyle w:val="BodyText"/>
      </w:pPr>
      <w:r w:rsidRPr="003B4AEE">
        <w:t xml:space="preserve">Assumptions and estimates for these O&amp;M costs (i.e., testing/contractor costs) are detailed in Tables </w:t>
      </w:r>
      <w:r w:rsidR="00557479" w:rsidRPr="003B4AEE">
        <w:t>A</w:t>
      </w:r>
      <w:r w:rsidR="001A6DA0" w:rsidRPr="003B4AEE">
        <w:t>-</w:t>
      </w:r>
      <w:r w:rsidR="00710578" w:rsidRPr="003B4AEE">
        <w:t>1</w:t>
      </w:r>
      <w:r w:rsidR="001A6DA0" w:rsidRPr="003B4AEE">
        <w:t>7</w:t>
      </w:r>
      <w:r w:rsidR="00557479" w:rsidRPr="003B4AEE">
        <w:t xml:space="preserve"> to A</w:t>
      </w:r>
      <w:r w:rsidR="001A6DA0" w:rsidRPr="003B4AEE">
        <w:t>-19</w:t>
      </w:r>
      <w:r w:rsidRPr="003B4AEE">
        <w:t xml:space="preserve">. </w:t>
      </w:r>
    </w:p>
    <w:p w14:paraId="38301384" w14:textId="4C01A54F" w:rsidR="0076289A" w:rsidRPr="003B4AEE" w:rsidRDefault="0076289A" w:rsidP="004F1834">
      <w:pPr>
        <w:pStyle w:val="TableTitleAppendix"/>
      </w:pPr>
      <w:bookmarkStart w:id="441" w:name="_Toc61521428"/>
      <w:r w:rsidRPr="003B4AEE">
        <w:lastRenderedPageBreak/>
        <w:t>Table A</w:t>
      </w:r>
      <w:r w:rsidR="00054BE9" w:rsidRPr="003B4AEE">
        <w:t>-</w:t>
      </w:r>
      <w:r w:rsidR="00710578" w:rsidRPr="003B4AEE">
        <w:t>1</w:t>
      </w:r>
      <w:r w:rsidR="001A6DA0" w:rsidRPr="003B4AEE">
        <w:t>7</w:t>
      </w:r>
      <w:r w:rsidR="00054BE9" w:rsidRPr="003B4AEE">
        <w:t>.</w:t>
      </w:r>
      <w:r w:rsidRPr="003B4AEE">
        <w:t xml:space="preserve"> E</w:t>
      </w:r>
      <w:r w:rsidR="00397D44" w:rsidRPr="003B4AEE">
        <w:t xml:space="preserve">stimated Percent of </w:t>
      </w:r>
      <w:r w:rsidRPr="003B4AEE">
        <w:t xml:space="preserve">POTWs that </w:t>
      </w:r>
      <w:r w:rsidR="00B83507" w:rsidRPr="003B4AEE">
        <w:t>Perform</w:t>
      </w:r>
      <w:r w:rsidRPr="003B4AEE">
        <w:t xml:space="preserve"> Form 2A </w:t>
      </w:r>
      <w:r w:rsidR="00323C94" w:rsidRPr="003B4AEE">
        <w:t>Pollutant T</w:t>
      </w:r>
      <w:r w:rsidRPr="003B4AEE">
        <w:t>esting</w:t>
      </w:r>
      <w:r w:rsidR="00B83507" w:rsidRPr="003B4AEE">
        <w:t xml:space="preserve"> In-House</w:t>
      </w:r>
      <w:bookmarkEnd w:id="4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1799"/>
        <w:gridCol w:w="1932"/>
        <w:gridCol w:w="1462"/>
        <w:gridCol w:w="1550"/>
      </w:tblGrid>
      <w:tr w:rsidR="00951FD9" w:rsidRPr="003B4AEE" w14:paraId="5DEA9C0F" w14:textId="77777777" w:rsidTr="00E66990">
        <w:trPr>
          <w:trHeight w:val="255"/>
          <w:tblHeader/>
        </w:trPr>
        <w:tc>
          <w:tcPr>
            <w:tcW w:w="1394" w:type="pct"/>
            <w:shd w:val="clear" w:color="auto" w:fill="D9D9D9" w:themeFill="background1" w:themeFillShade="D9"/>
            <w:vAlign w:val="bottom"/>
          </w:tcPr>
          <w:p w14:paraId="325C6354" w14:textId="77777777" w:rsidR="00B83507" w:rsidRPr="003B4AEE" w:rsidRDefault="00B83507" w:rsidP="00E66990">
            <w:pPr>
              <w:pStyle w:val="TableHeading"/>
            </w:pPr>
            <w:r w:rsidRPr="003B4AEE">
              <w:t>Facility type</w:t>
            </w:r>
          </w:p>
        </w:tc>
        <w:tc>
          <w:tcPr>
            <w:tcW w:w="962" w:type="pct"/>
            <w:shd w:val="clear" w:color="auto" w:fill="D9D9D9" w:themeFill="background1" w:themeFillShade="D9"/>
            <w:vAlign w:val="center"/>
          </w:tcPr>
          <w:p w14:paraId="52C78BB3" w14:textId="77777777" w:rsidR="00B83507" w:rsidRPr="003B4AEE" w:rsidRDefault="00B83507" w:rsidP="00E66990">
            <w:pPr>
              <w:pStyle w:val="TableHeading"/>
            </w:pPr>
            <w:r w:rsidRPr="003B4AEE">
              <w:t>Basic conventional and nonconventional</w:t>
            </w:r>
          </w:p>
        </w:tc>
        <w:tc>
          <w:tcPr>
            <w:tcW w:w="1033" w:type="pct"/>
            <w:shd w:val="clear" w:color="auto" w:fill="D9D9D9" w:themeFill="background1" w:themeFillShade="D9"/>
            <w:vAlign w:val="center"/>
          </w:tcPr>
          <w:p w14:paraId="4C473F7F" w14:textId="77777777" w:rsidR="00B83507" w:rsidRPr="003B4AEE" w:rsidRDefault="00B83507" w:rsidP="00E66990">
            <w:pPr>
              <w:pStyle w:val="TableHeading"/>
            </w:pPr>
            <w:r w:rsidRPr="003B4AEE">
              <w:t>Additional conventional and nonconventional</w:t>
            </w:r>
          </w:p>
        </w:tc>
        <w:tc>
          <w:tcPr>
            <w:tcW w:w="782" w:type="pct"/>
            <w:shd w:val="clear" w:color="auto" w:fill="D9D9D9" w:themeFill="background1" w:themeFillShade="D9"/>
            <w:vAlign w:val="center"/>
          </w:tcPr>
          <w:p w14:paraId="645BD36F" w14:textId="77777777" w:rsidR="00B83507" w:rsidRPr="003B4AEE" w:rsidRDefault="00B83507" w:rsidP="00E66990">
            <w:pPr>
              <w:pStyle w:val="TableHeading"/>
            </w:pPr>
            <w:r w:rsidRPr="003B4AEE">
              <w:t>Priority pollutants and state WQS</w:t>
            </w:r>
          </w:p>
        </w:tc>
        <w:tc>
          <w:tcPr>
            <w:tcW w:w="830" w:type="pct"/>
            <w:shd w:val="clear" w:color="auto" w:fill="D9D9D9" w:themeFill="background1" w:themeFillShade="D9"/>
            <w:vAlign w:val="center"/>
          </w:tcPr>
          <w:p w14:paraId="31CB4389" w14:textId="77777777" w:rsidR="00B83507" w:rsidRPr="003B4AEE" w:rsidRDefault="00B83507" w:rsidP="00E66990">
            <w:pPr>
              <w:pStyle w:val="TableHeading"/>
            </w:pPr>
            <w:r w:rsidRPr="003B4AEE">
              <w:t>Multiple species biomonitoring</w:t>
            </w:r>
          </w:p>
        </w:tc>
      </w:tr>
      <w:tr w:rsidR="00B85859" w:rsidRPr="003B4AEE" w14:paraId="06962680" w14:textId="77777777" w:rsidTr="00034E81">
        <w:trPr>
          <w:trHeight w:val="255"/>
        </w:trPr>
        <w:tc>
          <w:tcPr>
            <w:tcW w:w="1394" w:type="pct"/>
            <w:shd w:val="clear" w:color="auto" w:fill="auto"/>
            <w:noWrap/>
            <w:vAlign w:val="bottom"/>
          </w:tcPr>
          <w:p w14:paraId="649B5DAA" w14:textId="77777777" w:rsidR="00B85859" w:rsidRPr="003B4AEE" w:rsidRDefault="00B85859" w:rsidP="00C9153B">
            <w:pPr>
              <w:pStyle w:val="Tables"/>
            </w:pPr>
            <w:r w:rsidRPr="003B4AEE">
              <w:rPr>
                <w:rFonts w:ascii="Lucida Sans Unicode" w:hAnsi="Lucida Sans Unicode"/>
              </w:rPr>
              <w:t xml:space="preserve">≺ </w:t>
            </w:r>
            <w:r w:rsidRPr="003B4AEE">
              <w:t>0.1 mgd, no priority pollutants.</w:t>
            </w:r>
          </w:p>
        </w:tc>
        <w:tc>
          <w:tcPr>
            <w:tcW w:w="962" w:type="pct"/>
            <w:shd w:val="clear" w:color="auto" w:fill="auto"/>
            <w:noWrap/>
            <w:vAlign w:val="center"/>
          </w:tcPr>
          <w:p w14:paraId="1D876B71" w14:textId="543FB37D" w:rsidR="00B85859" w:rsidRPr="003B4AEE" w:rsidRDefault="00B85859" w:rsidP="00034E81">
            <w:pPr>
              <w:pStyle w:val="Tables"/>
              <w:jc w:val="center"/>
            </w:pPr>
            <w:r w:rsidRPr="003B4AEE">
              <w:t>60</w:t>
            </w:r>
          </w:p>
        </w:tc>
        <w:tc>
          <w:tcPr>
            <w:tcW w:w="1033" w:type="pct"/>
            <w:shd w:val="clear" w:color="auto" w:fill="auto"/>
            <w:noWrap/>
            <w:vAlign w:val="center"/>
          </w:tcPr>
          <w:p w14:paraId="5B1A5481" w14:textId="4C5A9DB3" w:rsidR="00B85859" w:rsidRPr="003B4AEE" w:rsidRDefault="00397D44" w:rsidP="00034E81">
            <w:pPr>
              <w:pStyle w:val="Tables"/>
              <w:jc w:val="center"/>
            </w:pPr>
            <w:r w:rsidRPr="003B4AEE">
              <w:t>-</w:t>
            </w:r>
          </w:p>
        </w:tc>
        <w:tc>
          <w:tcPr>
            <w:tcW w:w="782" w:type="pct"/>
            <w:shd w:val="clear" w:color="auto" w:fill="auto"/>
            <w:noWrap/>
            <w:vAlign w:val="center"/>
          </w:tcPr>
          <w:p w14:paraId="62845C3B" w14:textId="4B60C407" w:rsidR="00B85859" w:rsidRPr="003B4AEE" w:rsidRDefault="00397D44" w:rsidP="00034E81">
            <w:pPr>
              <w:pStyle w:val="Tables"/>
              <w:jc w:val="center"/>
            </w:pPr>
            <w:r w:rsidRPr="003B4AEE">
              <w:t>-</w:t>
            </w:r>
          </w:p>
        </w:tc>
        <w:tc>
          <w:tcPr>
            <w:tcW w:w="830" w:type="pct"/>
            <w:shd w:val="clear" w:color="auto" w:fill="auto"/>
            <w:noWrap/>
            <w:vAlign w:val="center"/>
          </w:tcPr>
          <w:p w14:paraId="622D800C" w14:textId="5A4D1EE0" w:rsidR="00B85859" w:rsidRPr="003B4AEE" w:rsidRDefault="00397D44" w:rsidP="00034E81">
            <w:pPr>
              <w:pStyle w:val="Tables"/>
              <w:jc w:val="center"/>
            </w:pPr>
            <w:r w:rsidRPr="003B4AEE">
              <w:t>-</w:t>
            </w:r>
          </w:p>
        </w:tc>
      </w:tr>
      <w:tr w:rsidR="00B85859" w:rsidRPr="003B4AEE" w14:paraId="0A8D36FF" w14:textId="77777777" w:rsidTr="00034E81">
        <w:trPr>
          <w:trHeight w:val="255"/>
        </w:trPr>
        <w:tc>
          <w:tcPr>
            <w:tcW w:w="1394" w:type="pct"/>
            <w:shd w:val="clear" w:color="auto" w:fill="auto"/>
            <w:noWrap/>
            <w:vAlign w:val="bottom"/>
          </w:tcPr>
          <w:p w14:paraId="494FC3AE" w14:textId="77777777" w:rsidR="00B85859" w:rsidRPr="003B4AEE" w:rsidRDefault="00B85859" w:rsidP="00C9153B">
            <w:pPr>
              <w:pStyle w:val="Tables"/>
            </w:pPr>
            <w:r w:rsidRPr="003B4AEE">
              <w:t>0.1–1.0 mgd, no priority pollutants.</w:t>
            </w:r>
          </w:p>
        </w:tc>
        <w:tc>
          <w:tcPr>
            <w:tcW w:w="962" w:type="pct"/>
            <w:shd w:val="clear" w:color="auto" w:fill="auto"/>
            <w:noWrap/>
            <w:vAlign w:val="center"/>
          </w:tcPr>
          <w:p w14:paraId="2CAB60D0" w14:textId="60DFAD69" w:rsidR="00B85859" w:rsidRPr="003B4AEE" w:rsidRDefault="00B85859" w:rsidP="00034E81">
            <w:pPr>
              <w:pStyle w:val="Tables"/>
              <w:jc w:val="center"/>
            </w:pPr>
            <w:r w:rsidRPr="003B4AEE">
              <w:t>80</w:t>
            </w:r>
          </w:p>
        </w:tc>
        <w:tc>
          <w:tcPr>
            <w:tcW w:w="1033" w:type="pct"/>
            <w:shd w:val="clear" w:color="auto" w:fill="auto"/>
            <w:noWrap/>
            <w:vAlign w:val="center"/>
          </w:tcPr>
          <w:p w14:paraId="385833D8" w14:textId="000C76A1" w:rsidR="00B85859" w:rsidRPr="003B4AEE" w:rsidRDefault="00B85859" w:rsidP="00034E81">
            <w:pPr>
              <w:pStyle w:val="Tables"/>
              <w:jc w:val="center"/>
            </w:pPr>
            <w:r w:rsidRPr="003B4AEE">
              <w:t>80</w:t>
            </w:r>
          </w:p>
        </w:tc>
        <w:tc>
          <w:tcPr>
            <w:tcW w:w="782" w:type="pct"/>
            <w:shd w:val="clear" w:color="auto" w:fill="auto"/>
            <w:noWrap/>
            <w:vAlign w:val="center"/>
          </w:tcPr>
          <w:p w14:paraId="18E269B1" w14:textId="5BA66B83" w:rsidR="00B85859" w:rsidRPr="003B4AEE" w:rsidRDefault="00397D44" w:rsidP="00034E81">
            <w:pPr>
              <w:pStyle w:val="Tables"/>
              <w:jc w:val="center"/>
            </w:pPr>
            <w:r w:rsidRPr="003B4AEE">
              <w:t>-</w:t>
            </w:r>
          </w:p>
        </w:tc>
        <w:tc>
          <w:tcPr>
            <w:tcW w:w="830" w:type="pct"/>
            <w:shd w:val="clear" w:color="auto" w:fill="auto"/>
            <w:noWrap/>
            <w:vAlign w:val="center"/>
          </w:tcPr>
          <w:p w14:paraId="5690C2C7" w14:textId="1A776F43" w:rsidR="00B85859" w:rsidRPr="003B4AEE" w:rsidRDefault="00397D44" w:rsidP="00034E81">
            <w:pPr>
              <w:pStyle w:val="Tables"/>
              <w:jc w:val="center"/>
            </w:pPr>
            <w:r w:rsidRPr="003B4AEE">
              <w:t>-</w:t>
            </w:r>
          </w:p>
        </w:tc>
      </w:tr>
      <w:tr w:rsidR="00B85859" w:rsidRPr="003B4AEE" w14:paraId="6C483354" w14:textId="77777777" w:rsidTr="00034E81">
        <w:trPr>
          <w:trHeight w:val="255"/>
        </w:trPr>
        <w:tc>
          <w:tcPr>
            <w:tcW w:w="1394" w:type="pct"/>
            <w:shd w:val="clear" w:color="auto" w:fill="auto"/>
            <w:noWrap/>
            <w:vAlign w:val="bottom"/>
          </w:tcPr>
          <w:p w14:paraId="66837AEC" w14:textId="77777777" w:rsidR="00B85859" w:rsidRPr="003B4AEE" w:rsidRDefault="00B85859" w:rsidP="00C9153B">
            <w:pPr>
              <w:pStyle w:val="Tables"/>
            </w:pPr>
            <w:r w:rsidRPr="003B4AEE">
              <w:t>Minors, with priority pollutants.</w:t>
            </w:r>
          </w:p>
        </w:tc>
        <w:tc>
          <w:tcPr>
            <w:tcW w:w="962" w:type="pct"/>
            <w:shd w:val="clear" w:color="auto" w:fill="auto"/>
            <w:noWrap/>
            <w:vAlign w:val="center"/>
          </w:tcPr>
          <w:p w14:paraId="6085687A" w14:textId="792FBE06" w:rsidR="00B85859" w:rsidRPr="003B4AEE" w:rsidRDefault="00B85859" w:rsidP="00034E81">
            <w:pPr>
              <w:pStyle w:val="Tables"/>
              <w:jc w:val="center"/>
            </w:pPr>
            <w:r w:rsidRPr="003B4AEE">
              <w:t>85</w:t>
            </w:r>
          </w:p>
        </w:tc>
        <w:tc>
          <w:tcPr>
            <w:tcW w:w="1033" w:type="pct"/>
            <w:shd w:val="clear" w:color="auto" w:fill="auto"/>
            <w:noWrap/>
            <w:vAlign w:val="center"/>
          </w:tcPr>
          <w:p w14:paraId="777E4451" w14:textId="3799ED95" w:rsidR="00B85859" w:rsidRPr="003B4AEE" w:rsidRDefault="00B85859" w:rsidP="00034E81">
            <w:pPr>
              <w:pStyle w:val="Tables"/>
              <w:jc w:val="center"/>
            </w:pPr>
            <w:r w:rsidRPr="003B4AEE">
              <w:t>85</w:t>
            </w:r>
          </w:p>
        </w:tc>
        <w:tc>
          <w:tcPr>
            <w:tcW w:w="782" w:type="pct"/>
            <w:shd w:val="clear" w:color="auto" w:fill="auto"/>
            <w:noWrap/>
            <w:vAlign w:val="center"/>
          </w:tcPr>
          <w:p w14:paraId="727A2822" w14:textId="273C48EB" w:rsidR="00B85859" w:rsidRPr="003B4AEE" w:rsidRDefault="00B85859" w:rsidP="00034E81">
            <w:pPr>
              <w:pStyle w:val="Tables"/>
              <w:jc w:val="center"/>
            </w:pPr>
            <w:r w:rsidRPr="003B4AEE">
              <w:t>50</w:t>
            </w:r>
          </w:p>
        </w:tc>
        <w:tc>
          <w:tcPr>
            <w:tcW w:w="830" w:type="pct"/>
            <w:shd w:val="clear" w:color="auto" w:fill="auto"/>
            <w:noWrap/>
            <w:vAlign w:val="center"/>
          </w:tcPr>
          <w:p w14:paraId="06EA799D" w14:textId="4EC62667" w:rsidR="00B85859" w:rsidRPr="003B4AEE" w:rsidRDefault="00B85859" w:rsidP="00034E81">
            <w:pPr>
              <w:pStyle w:val="Tables"/>
              <w:jc w:val="center"/>
            </w:pPr>
            <w:r w:rsidRPr="003B4AEE">
              <w:t>85</w:t>
            </w:r>
          </w:p>
        </w:tc>
      </w:tr>
      <w:tr w:rsidR="004F7369" w:rsidRPr="003B4AEE" w14:paraId="4BD463D5" w14:textId="77777777" w:rsidTr="00034E81">
        <w:trPr>
          <w:trHeight w:val="255"/>
        </w:trPr>
        <w:tc>
          <w:tcPr>
            <w:tcW w:w="1394" w:type="pct"/>
            <w:shd w:val="clear" w:color="auto" w:fill="auto"/>
            <w:noWrap/>
            <w:vAlign w:val="bottom"/>
          </w:tcPr>
          <w:p w14:paraId="28E61FAB" w14:textId="77777777" w:rsidR="004F7369" w:rsidRPr="003B4AEE" w:rsidRDefault="004F7369" w:rsidP="00C9153B">
            <w:pPr>
              <w:pStyle w:val="Tables"/>
            </w:pPr>
            <w:r w:rsidRPr="003B4AEE">
              <w:t>Majors, no priority pollutants.</w:t>
            </w:r>
          </w:p>
        </w:tc>
        <w:tc>
          <w:tcPr>
            <w:tcW w:w="962" w:type="pct"/>
            <w:shd w:val="clear" w:color="auto" w:fill="auto"/>
            <w:noWrap/>
            <w:vAlign w:val="center"/>
          </w:tcPr>
          <w:p w14:paraId="4C921F5B" w14:textId="22BC1EC0" w:rsidR="004F7369" w:rsidRPr="003B4AEE" w:rsidRDefault="004F7369" w:rsidP="00034E81">
            <w:pPr>
              <w:pStyle w:val="Tables"/>
              <w:jc w:val="center"/>
            </w:pPr>
            <w:r w:rsidRPr="003B4AEE">
              <w:t>85</w:t>
            </w:r>
          </w:p>
        </w:tc>
        <w:tc>
          <w:tcPr>
            <w:tcW w:w="1033" w:type="pct"/>
            <w:shd w:val="clear" w:color="auto" w:fill="auto"/>
            <w:noWrap/>
            <w:vAlign w:val="center"/>
          </w:tcPr>
          <w:p w14:paraId="044C3B4A" w14:textId="25F483B8" w:rsidR="004F7369" w:rsidRPr="003B4AEE" w:rsidRDefault="004F7369" w:rsidP="00034E81">
            <w:pPr>
              <w:pStyle w:val="Tables"/>
              <w:jc w:val="center"/>
            </w:pPr>
            <w:r w:rsidRPr="003B4AEE">
              <w:t>85</w:t>
            </w:r>
          </w:p>
        </w:tc>
        <w:tc>
          <w:tcPr>
            <w:tcW w:w="782" w:type="pct"/>
            <w:shd w:val="clear" w:color="auto" w:fill="auto"/>
            <w:noWrap/>
            <w:vAlign w:val="center"/>
          </w:tcPr>
          <w:p w14:paraId="26A8B5A8" w14:textId="306DE6C3" w:rsidR="004F7369" w:rsidRPr="003B4AEE" w:rsidRDefault="004F7369" w:rsidP="00034E81">
            <w:pPr>
              <w:pStyle w:val="Tables"/>
              <w:jc w:val="center"/>
            </w:pPr>
            <w:r w:rsidRPr="003B4AEE">
              <w:t>10</w:t>
            </w:r>
          </w:p>
        </w:tc>
        <w:tc>
          <w:tcPr>
            <w:tcW w:w="830" w:type="pct"/>
            <w:shd w:val="clear" w:color="auto" w:fill="auto"/>
            <w:noWrap/>
            <w:vAlign w:val="center"/>
          </w:tcPr>
          <w:p w14:paraId="0DBAA18D" w14:textId="10626951" w:rsidR="004F7369" w:rsidRPr="003B4AEE" w:rsidRDefault="004F7369" w:rsidP="00034E81">
            <w:pPr>
              <w:pStyle w:val="Tables"/>
              <w:jc w:val="center"/>
            </w:pPr>
            <w:r w:rsidRPr="003B4AEE">
              <w:t>75</w:t>
            </w:r>
          </w:p>
        </w:tc>
      </w:tr>
      <w:tr w:rsidR="004F7369" w:rsidRPr="003B4AEE" w14:paraId="5C091A00" w14:textId="77777777" w:rsidTr="00034E81">
        <w:trPr>
          <w:trHeight w:val="255"/>
        </w:trPr>
        <w:tc>
          <w:tcPr>
            <w:tcW w:w="1394" w:type="pct"/>
            <w:shd w:val="clear" w:color="auto" w:fill="auto"/>
            <w:noWrap/>
            <w:vAlign w:val="bottom"/>
          </w:tcPr>
          <w:p w14:paraId="2E06B267" w14:textId="77777777" w:rsidR="004F7369" w:rsidRPr="003B4AEE" w:rsidRDefault="004F7369" w:rsidP="00C9153B">
            <w:pPr>
              <w:pStyle w:val="Tables"/>
            </w:pPr>
            <w:r w:rsidRPr="003B4AEE">
              <w:t>Majors, with priority pollutants.</w:t>
            </w:r>
          </w:p>
        </w:tc>
        <w:tc>
          <w:tcPr>
            <w:tcW w:w="962" w:type="pct"/>
            <w:shd w:val="clear" w:color="auto" w:fill="auto"/>
            <w:noWrap/>
            <w:vAlign w:val="center"/>
          </w:tcPr>
          <w:p w14:paraId="11759E22" w14:textId="401A80F7" w:rsidR="004F7369" w:rsidRPr="003B4AEE" w:rsidRDefault="004F7369" w:rsidP="00034E81">
            <w:pPr>
              <w:pStyle w:val="Tables"/>
              <w:jc w:val="center"/>
            </w:pPr>
            <w:r w:rsidRPr="003B4AEE">
              <w:t>90</w:t>
            </w:r>
          </w:p>
        </w:tc>
        <w:tc>
          <w:tcPr>
            <w:tcW w:w="1033" w:type="pct"/>
            <w:shd w:val="clear" w:color="auto" w:fill="auto"/>
            <w:noWrap/>
            <w:vAlign w:val="center"/>
          </w:tcPr>
          <w:p w14:paraId="058D181C" w14:textId="53D265F6" w:rsidR="004F7369" w:rsidRPr="003B4AEE" w:rsidRDefault="004F7369" w:rsidP="00034E81">
            <w:pPr>
              <w:pStyle w:val="Tables"/>
              <w:jc w:val="center"/>
            </w:pPr>
            <w:r w:rsidRPr="003B4AEE">
              <w:t>90</w:t>
            </w:r>
          </w:p>
        </w:tc>
        <w:tc>
          <w:tcPr>
            <w:tcW w:w="782" w:type="pct"/>
            <w:shd w:val="clear" w:color="auto" w:fill="auto"/>
            <w:noWrap/>
            <w:vAlign w:val="center"/>
          </w:tcPr>
          <w:p w14:paraId="5F8D6912" w14:textId="499E6D3A" w:rsidR="004F7369" w:rsidRPr="003B4AEE" w:rsidRDefault="004F7369" w:rsidP="00034E81">
            <w:pPr>
              <w:pStyle w:val="Tables"/>
              <w:jc w:val="center"/>
            </w:pPr>
            <w:r w:rsidRPr="003B4AEE">
              <w:t>70</w:t>
            </w:r>
          </w:p>
        </w:tc>
        <w:tc>
          <w:tcPr>
            <w:tcW w:w="830" w:type="pct"/>
            <w:shd w:val="clear" w:color="auto" w:fill="auto"/>
            <w:noWrap/>
            <w:vAlign w:val="center"/>
          </w:tcPr>
          <w:p w14:paraId="0617D9BF" w14:textId="5DD12242" w:rsidR="004F7369" w:rsidRPr="003B4AEE" w:rsidRDefault="004F7369" w:rsidP="00034E81">
            <w:pPr>
              <w:pStyle w:val="Tables"/>
              <w:jc w:val="center"/>
            </w:pPr>
            <w:r w:rsidRPr="003B4AEE">
              <w:t>85</w:t>
            </w:r>
          </w:p>
        </w:tc>
      </w:tr>
    </w:tbl>
    <w:p w14:paraId="59800B13" w14:textId="77777777" w:rsidR="009A5755" w:rsidRPr="003B4AEE" w:rsidRDefault="009A5755" w:rsidP="00DE1B27">
      <w:pPr>
        <w:spacing w:after="0"/>
      </w:pPr>
    </w:p>
    <w:p w14:paraId="2BD50C96" w14:textId="3221CB2C" w:rsidR="0076289A" w:rsidRPr="003B4AEE" w:rsidRDefault="0076289A" w:rsidP="004F1834">
      <w:pPr>
        <w:pStyle w:val="TableTitleAppendix"/>
      </w:pPr>
      <w:bookmarkStart w:id="442" w:name="_Toc61521429"/>
      <w:r w:rsidRPr="003B4AEE">
        <w:t>Table A</w:t>
      </w:r>
      <w:r w:rsidR="00054BE9" w:rsidRPr="003B4AEE">
        <w:t>-</w:t>
      </w:r>
      <w:r w:rsidR="00710578" w:rsidRPr="003B4AEE">
        <w:t>1</w:t>
      </w:r>
      <w:r w:rsidR="001A6DA0" w:rsidRPr="003B4AEE">
        <w:t>8</w:t>
      </w:r>
      <w:r w:rsidR="00054BE9" w:rsidRPr="003B4AEE">
        <w:t>.</w:t>
      </w:r>
      <w:r w:rsidRPr="003B4AEE">
        <w:t xml:space="preserve"> Estimate</w:t>
      </w:r>
      <w:r w:rsidR="00397D44" w:rsidRPr="003B4AEE">
        <w:t>d Percent</w:t>
      </w:r>
      <w:r w:rsidRPr="003B4AEE">
        <w:t xml:space="preserve"> of POTWs that </w:t>
      </w:r>
      <w:r w:rsidR="00B83507" w:rsidRPr="003B4AEE">
        <w:t>Perform</w:t>
      </w:r>
      <w:r w:rsidRPr="003B4AEE">
        <w:t xml:space="preserve"> Form 2S </w:t>
      </w:r>
      <w:r w:rsidR="00323C94" w:rsidRPr="003B4AEE">
        <w:t>pollutant T</w:t>
      </w:r>
      <w:r w:rsidRPr="003B4AEE">
        <w:t>esting</w:t>
      </w:r>
      <w:r w:rsidR="00B83507" w:rsidRPr="003B4AEE">
        <w:t xml:space="preserve"> In-House</w:t>
      </w:r>
      <w:bookmarkEnd w:id="442"/>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520"/>
      </w:tblGrid>
      <w:tr w:rsidR="00B83507" w:rsidRPr="003B4AEE" w14:paraId="7AF7BA7B" w14:textId="77777777" w:rsidTr="004F1834">
        <w:trPr>
          <w:trHeight w:val="255"/>
          <w:jc w:val="center"/>
        </w:trPr>
        <w:tc>
          <w:tcPr>
            <w:tcW w:w="2880" w:type="dxa"/>
            <w:shd w:val="clear" w:color="auto" w:fill="D9D9D9" w:themeFill="background1" w:themeFillShade="D9"/>
            <w:vAlign w:val="bottom"/>
          </w:tcPr>
          <w:p w14:paraId="504AA294" w14:textId="77777777" w:rsidR="00B83507" w:rsidRPr="003B4AEE" w:rsidRDefault="00B83507" w:rsidP="00E66990">
            <w:pPr>
              <w:pStyle w:val="TableHeading"/>
            </w:pPr>
            <w:r w:rsidRPr="003B4AEE">
              <w:t>Facility type</w:t>
            </w:r>
          </w:p>
        </w:tc>
        <w:tc>
          <w:tcPr>
            <w:tcW w:w="2520" w:type="dxa"/>
            <w:shd w:val="clear" w:color="auto" w:fill="D9D9D9" w:themeFill="background1" w:themeFillShade="D9"/>
            <w:vAlign w:val="bottom"/>
          </w:tcPr>
          <w:p w14:paraId="5F790F1F" w14:textId="77777777" w:rsidR="00B83507" w:rsidRPr="003B4AEE" w:rsidRDefault="00B83507" w:rsidP="00E66990">
            <w:pPr>
              <w:pStyle w:val="TableHeading"/>
            </w:pPr>
            <w:r w:rsidRPr="003B4AEE">
              <w:t>Basic conventional and nonconventional</w:t>
            </w:r>
          </w:p>
        </w:tc>
      </w:tr>
      <w:tr w:rsidR="004F7369" w:rsidRPr="003B4AEE" w14:paraId="2B321DEA" w14:textId="77777777" w:rsidTr="004F1834">
        <w:trPr>
          <w:trHeight w:val="255"/>
          <w:jc w:val="center"/>
        </w:trPr>
        <w:tc>
          <w:tcPr>
            <w:tcW w:w="2880" w:type="dxa"/>
            <w:shd w:val="clear" w:color="auto" w:fill="auto"/>
            <w:noWrap/>
            <w:vAlign w:val="bottom"/>
          </w:tcPr>
          <w:p w14:paraId="0A1D8AB0" w14:textId="77777777" w:rsidR="004F7369" w:rsidRPr="003B4AEE" w:rsidRDefault="004F7369" w:rsidP="00C9153B">
            <w:pPr>
              <w:pStyle w:val="Tables"/>
            </w:pPr>
            <w:r w:rsidRPr="003B4AEE">
              <w:t>NPDES POTWs</w:t>
            </w:r>
          </w:p>
        </w:tc>
        <w:tc>
          <w:tcPr>
            <w:tcW w:w="2520" w:type="dxa"/>
            <w:shd w:val="clear" w:color="auto" w:fill="auto"/>
            <w:noWrap/>
          </w:tcPr>
          <w:p w14:paraId="78F22F2C" w14:textId="3B1C362A" w:rsidR="004F7369" w:rsidRPr="003B4AEE" w:rsidRDefault="004F7369" w:rsidP="00EF2A49">
            <w:pPr>
              <w:pStyle w:val="Tables"/>
              <w:jc w:val="center"/>
            </w:pPr>
            <w:r w:rsidRPr="003B4AEE">
              <w:t>95</w:t>
            </w:r>
          </w:p>
        </w:tc>
      </w:tr>
      <w:tr w:rsidR="004F7369" w:rsidRPr="003B4AEE" w14:paraId="5DE63618" w14:textId="77777777" w:rsidTr="004F1834">
        <w:trPr>
          <w:trHeight w:val="255"/>
          <w:jc w:val="center"/>
        </w:trPr>
        <w:tc>
          <w:tcPr>
            <w:tcW w:w="2880" w:type="dxa"/>
            <w:shd w:val="clear" w:color="auto" w:fill="auto"/>
            <w:noWrap/>
            <w:vAlign w:val="bottom"/>
          </w:tcPr>
          <w:p w14:paraId="3CB27725" w14:textId="77777777" w:rsidR="004F7369" w:rsidRPr="003B4AEE" w:rsidRDefault="004F7369" w:rsidP="00C9153B">
            <w:pPr>
              <w:pStyle w:val="Tables"/>
            </w:pPr>
            <w:r w:rsidRPr="003B4AEE">
              <w:t xml:space="preserve">NPDES </w:t>
            </w:r>
            <w:proofErr w:type="spellStart"/>
            <w:r w:rsidRPr="003B4AEE">
              <w:t>PrOTWs</w:t>
            </w:r>
            <w:proofErr w:type="spellEnd"/>
          </w:p>
        </w:tc>
        <w:tc>
          <w:tcPr>
            <w:tcW w:w="2520" w:type="dxa"/>
            <w:shd w:val="clear" w:color="auto" w:fill="auto"/>
            <w:noWrap/>
          </w:tcPr>
          <w:p w14:paraId="5D79EA71" w14:textId="4456AA39" w:rsidR="004F7369" w:rsidRPr="003B4AEE" w:rsidRDefault="004F7369" w:rsidP="00EF2A49">
            <w:pPr>
              <w:pStyle w:val="Tables"/>
              <w:jc w:val="center"/>
            </w:pPr>
            <w:r w:rsidRPr="003B4AEE">
              <w:t>95</w:t>
            </w:r>
          </w:p>
        </w:tc>
      </w:tr>
      <w:tr w:rsidR="004F7369" w:rsidRPr="003B4AEE" w14:paraId="1DE3E2A1" w14:textId="77777777" w:rsidTr="004F1834">
        <w:trPr>
          <w:trHeight w:val="255"/>
          <w:jc w:val="center"/>
        </w:trPr>
        <w:tc>
          <w:tcPr>
            <w:tcW w:w="2880" w:type="dxa"/>
            <w:shd w:val="clear" w:color="auto" w:fill="auto"/>
            <w:noWrap/>
            <w:vAlign w:val="bottom"/>
          </w:tcPr>
          <w:p w14:paraId="63B610C8" w14:textId="77777777" w:rsidR="004F7369" w:rsidRPr="003B4AEE" w:rsidRDefault="004F7369" w:rsidP="00C9153B">
            <w:pPr>
              <w:pStyle w:val="Tables"/>
            </w:pPr>
            <w:r w:rsidRPr="003B4AEE">
              <w:t>Sludge Only POTWs</w:t>
            </w:r>
          </w:p>
        </w:tc>
        <w:tc>
          <w:tcPr>
            <w:tcW w:w="2520" w:type="dxa"/>
            <w:shd w:val="clear" w:color="auto" w:fill="auto"/>
            <w:noWrap/>
          </w:tcPr>
          <w:p w14:paraId="7A855DD2" w14:textId="4BCD12B1" w:rsidR="004F7369" w:rsidRPr="003B4AEE" w:rsidRDefault="004F7369" w:rsidP="00EF2A49">
            <w:pPr>
              <w:pStyle w:val="Tables"/>
              <w:jc w:val="center"/>
            </w:pPr>
            <w:r w:rsidRPr="003B4AEE">
              <w:t>50</w:t>
            </w:r>
          </w:p>
        </w:tc>
      </w:tr>
      <w:tr w:rsidR="004F7369" w:rsidRPr="003B4AEE" w14:paraId="2437FAD6" w14:textId="77777777" w:rsidTr="004F1834">
        <w:trPr>
          <w:trHeight w:val="255"/>
          <w:jc w:val="center"/>
        </w:trPr>
        <w:tc>
          <w:tcPr>
            <w:tcW w:w="2880" w:type="dxa"/>
            <w:shd w:val="clear" w:color="auto" w:fill="auto"/>
            <w:noWrap/>
            <w:vAlign w:val="bottom"/>
          </w:tcPr>
          <w:p w14:paraId="4A79F5FB" w14:textId="77777777" w:rsidR="004F7369" w:rsidRPr="003B4AEE" w:rsidRDefault="004F7369" w:rsidP="00C9153B">
            <w:pPr>
              <w:pStyle w:val="Tables"/>
            </w:pPr>
            <w:r w:rsidRPr="003B4AEE">
              <w:t xml:space="preserve">Sludge Only </w:t>
            </w:r>
            <w:proofErr w:type="spellStart"/>
            <w:r w:rsidRPr="003B4AEE">
              <w:t>PrOTWs</w:t>
            </w:r>
            <w:proofErr w:type="spellEnd"/>
          </w:p>
        </w:tc>
        <w:tc>
          <w:tcPr>
            <w:tcW w:w="2520" w:type="dxa"/>
            <w:shd w:val="clear" w:color="auto" w:fill="auto"/>
            <w:noWrap/>
          </w:tcPr>
          <w:p w14:paraId="49F7011C" w14:textId="7FE43268" w:rsidR="004F7369" w:rsidRPr="003B4AEE" w:rsidRDefault="004F7369" w:rsidP="00EF2A49">
            <w:pPr>
              <w:pStyle w:val="Tables"/>
              <w:jc w:val="center"/>
            </w:pPr>
            <w:r w:rsidRPr="003B4AEE">
              <w:t>50</w:t>
            </w:r>
          </w:p>
        </w:tc>
      </w:tr>
    </w:tbl>
    <w:p w14:paraId="129E9DAA" w14:textId="77777777" w:rsidR="00786817" w:rsidRPr="003B4AEE" w:rsidRDefault="00786817" w:rsidP="00DE1B27">
      <w:pPr>
        <w:spacing w:after="0"/>
      </w:pPr>
    </w:p>
    <w:p w14:paraId="2AA9F0FB" w14:textId="07BFE9F7" w:rsidR="003A7067" w:rsidRPr="003B4AEE" w:rsidRDefault="003A7067" w:rsidP="00C1544E">
      <w:pPr>
        <w:pStyle w:val="TableTitleAppendix"/>
      </w:pPr>
      <w:bookmarkStart w:id="443" w:name="_Toc61521430"/>
      <w:r w:rsidRPr="003B4AEE">
        <w:t>Table A</w:t>
      </w:r>
      <w:r w:rsidR="00054BE9" w:rsidRPr="003B4AEE">
        <w:t>-</w:t>
      </w:r>
      <w:r w:rsidR="001A6DA0" w:rsidRPr="003B4AEE">
        <w:t>19</w:t>
      </w:r>
      <w:r w:rsidR="00054BE9" w:rsidRPr="003B4AEE">
        <w:t>.</w:t>
      </w:r>
      <w:r w:rsidR="00672BA3" w:rsidRPr="003B4AEE">
        <w:t xml:space="preserve"> </w:t>
      </w:r>
      <w:r w:rsidRPr="003B4AEE">
        <w:t>Testing/</w:t>
      </w:r>
      <w:r w:rsidR="005D20F1" w:rsidRPr="003B4AEE">
        <w:t>C</w:t>
      </w:r>
      <w:r w:rsidRPr="003B4AEE">
        <w:t xml:space="preserve">ontractor </w:t>
      </w:r>
      <w:r w:rsidR="00397D44" w:rsidRPr="003B4AEE">
        <w:t>C</w:t>
      </w:r>
      <w:r w:rsidRPr="003B4AEE">
        <w:t>osts (O&amp;M costs)</w:t>
      </w:r>
      <w:bookmarkEnd w:id="443"/>
    </w:p>
    <w:tbl>
      <w:tblPr>
        <w:tblStyle w:val="TableGrid10"/>
        <w:tblW w:w="8167" w:type="dxa"/>
        <w:jc w:val="center"/>
        <w:tblLook w:val="0000" w:firstRow="0" w:lastRow="0" w:firstColumn="0" w:lastColumn="0" w:noHBand="0" w:noVBand="0"/>
      </w:tblPr>
      <w:tblGrid>
        <w:gridCol w:w="3222"/>
        <w:gridCol w:w="1287"/>
        <w:gridCol w:w="1620"/>
        <w:gridCol w:w="2038"/>
      </w:tblGrid>
      <w:tr w:rsidR="005A0595" w:rsidRPr="003B4AEE" w14:paraId="61831170" w14:textId="77777777" w:rsidTr="004F1834">
        <w:trPr>
          <w:trHeight w:val="255"/>
          <w:jc w:val="center"/>
        </w:trPr>
        <w:tc>
          <w:tcPr>
            <w:tcW w:w="3222" w:type="dxa"/>
            <w:shd w:val="clear" w:color="auto" w:fill="D9D9D9" w:themeFill="background1" w:themeFillShade="D9"/>
            <w:noWrap/>
          </w:tcPr>
          <w:p w14:paraId="006D3272" w14:textId="77777777" w:rsidR="005A0595" w:rsidRPr="003B4AEE" w:rsidRDefault="005A0595" w:rsidP="00C76096">
            <w:pPr>
              <w:pStyle w:val="TableHeading"/>
            </w:pPr>
          </w:p>
        </w:tc>
        <w:tc>
          <w:tcPr>
            <w:tcW w:w="1287" w:type="dxa"/>
            <w:shd w:val="clear" w:color="auto" w:fill="D9D9D9" w:themeFill="background1" w:themeFillShade="D9"/>
            <w:noWrap/>
          </w:tcPr>
          <w:p w14:paraId="1FADA527" w14:textId="77777777" w:rsidR="005A0595" w:rsidRPr="003B4AEE" w:rsidRDefault="005A0595" w:rsidP="00C76096">
            <w:pPr>
              <w:pStyle w:val="TableHeading"/>
            </w:pPr>
            <w:r w:rsidRPr="003B4AEE">
              <w:t>Tests/year</w:t>
            </w:r>
          </w:p>
        </w:tc>
        <w:tc>
          <w:tcPr>
            <w:tcW w:w="1620" w:type="dxa"/>
            <w:shd w:val="clear" w:color="auto" w:fill="D9D9D9" w:themeFill="background1" w:themeFillShade="D9"/>
            <w:noWrap/>
          </w:tcPr>
          <w:p w14:paraId="63A5996A" w14:textId="77777777" w:rsidR="005A0595" w:rsidRPr="003B4AEE" w:rsidRDefault="005A0595" w:rsidP="00C76096">
            <w:pPr>
              <w:pStyle w:val="TableHeading"/>
            </w:pPr>
            <w:r w:rsidRPr="003B4AEE">
              <w:t>Cost per test ($)</w:t>
            </w:r>
          </w:p>
        </w:tc>
        <w:tc>
          <w:tcPr>
            <w:tcW w:w="2038" w:type="dxa"/>
            <w:shd w:val="clear" w:color="auto" w:fill="D9D9D9" w:themeFill="background1" w:themeFillShade="D9"/>
            <w:noWrap/>
          </w:tcPr>
          <w:p w14:paraId="62FB65F3" w14:textId="77777777" w:rsidR="005A0595" w:rsidRPr="003B4AEE" w:rsidRDefault="005A0595" w:rsidP="00C76096">
            <w:pPr>
              <w:pStyle w:val="TableHeading"/>
            </w:pPr>
            <w:r w:rsidRPr="003B4AEE">
              <w:t>Total $</w:t>
            </w:r>
          </w:p>
        </w:tc>
      </w:tr>
      <w:tr w:rsidR="005A0595" w:rsidRPr="003B4AEE" w14:paraId="194B62C4" w14:textId="77777777" w:rsidTr="004F1834">
        <w:trPr>
          <w:trHeight w:val="255"/>
          <w:jc w:val="center"/>
        </w:trPr>
        <w:tc>
          <w:tcPr>
            <w:tcW w:w="3222" w:type="dxa"/>
            <w:shd w:val="clear" w:color="auto" w:fill="D9D9D9" w:themeFill="background1" w:themeFillShade="D9"/>
            <w:noWrap/>
          </w:tcPr>
          <w:p w14:paraId="7C40E0AF" w14:textId="77777777" w:rsidR="005A0595" w:rsidRPr="003B4AEE" w:rsidRDefault="005A0595" w:rsidP="00C76096">
            <w:pPr>
              <w:pStyle w:val="TableHeading"/>
            </w:pPr>
            <w:r w:rsidRPr="003B4AEE">
              <w:t>Form 2A</w:t>
            </w:r>
          </w:p>
        </w:tc>
        <w:tc>
          <w:tcPr>
            <w:tcW w:w="1287" w:type="dxa"/>
            <w:shd w:val="clear" w:color="auto" w:fill="D9D9D9" w:themeFill="background1" w:themeFillShade="D9"/>
            <w:noWrap/>
          </w:tcPr>
          <w:p w14:paraId="5BA3E1E8" w14:textId="77777777" w:rsidR="005A0595" w:rsidRPr="003B4AEE" w:rsidRDefault="005A0595" w:rsidP="00C76096">
            <w:pPr>
              <w:pStyle w:val="TableHeading"/>
            </w:pPr>
          </w:p>
        </w:tc>
        <w:tc>
          <w:tcPr>
            <w:tcW w:w="1620" w:type="dxa"/>
            <w:shd w:val="clear" w:color="auto" w:fill="D9D9D9" w:themeFill="background1" w:themeFillShade="D9"/>
            <w:noWrap/>
          </w:tcPr>
          <w:p w14:paraId="391E5F8B" w14:textId="77777777" w:rsidR="005A0595" w:rsidRPr="003B4AEE" w:rsidRDefault="005A0595" w:rsidP="00C76096">
            <w:pPr>
              <w:pStyle w:val="TableHeading"/>
            </w:pPr>
          </w:p>
        </w:tc>
        <w:tc>
          <w:tcPr>
            <w:tcW w:w="2038" w:type="dxa"/>
            <w:shd w:val="clear" w:color="auto" w:fill="D9D9D9" w:themeFill="background1" w:themeFillShade="D9"/>
            <w:noWrap/>
          </w:tcPr>
          <w:p w14:paraId="5D441E4D" w14:textId="77777777" w:rsidR="005A0595" w:rsidRPr="003B4AEE" w:rsidRDefault="005A0595" w:rsidP="00C76096">
            <w:pPr>
              <w:pStyle w:val="TableHeading"/>
            </w:pPr>
          </w:p>
        </w:tc>
      </w:tr>
      <w:tr w:rsidR="00E17DFC" w:rsidRPr="003B4AEE" w14:paraId="09CCD167" w14:textId="77777777" w:rsidTr="004F1834">
        <w:trPr>
          <w:trHeight w:val="255"/>
          <w:jc w:val="center"/>
        </w:trPr>
        <w:tc>
          <w:tcPr>
            <w:tcW w:w="3222" w:type="dxa"/>
            <w:noWrap/>
          </w:tcPr>
          <w:p w14:paraId="7C18B72A" w14:textId="77777777" w:rsidR="00E17DFC" w:rsidRPr="003B4AEE" w:rsidRDefault="00E17DFC" w:rsidP="00E17DFC">
            <w:pPr>
              <w:pStyle w:val="Tables"/>
            </w:pPr>
            <w:r w:rsidRPr="003B4AEE">
              <w:t>Basic conventional and non-conventional</w:t>
            </w:r>
          </w:p>
        </w:tc>
        <w:tc>
          <w:tcPr>
            <w:tcW w:w="1287" w:type="dxa"/>
            <w:noWrap/>
          </w:tcPr>
          <w:p w14:paraId="07048056" w14:textId="0FDB8C6C" w:rsidR="00E17DFC" w:rsidRPr="003B4AEE" w:rsidRDefault="00E17DFC" w:rsidP="00EF2A49">
            <w:pPr>
              <w:pStyle w:val="Tables"/>
              <w:jc w:val="center"/>
            </w:pPr>
            <w:r w:rsidRPr="003B4AEE">
              <w:t>3</w:t>
            </w:r>
          </w:p>
        </w:tc>
        <w:tc>
          <w:tcPr>
            <w:tcW w:w="1620" w:type="dxa"/>
            <w:noWrap/>
          </w:tcPr>
          <w:p w14:paraId="52BC2720" w14:textId="646968ED" w:rsidR="00E17DFC" w:rsidRPr="003B4AEE" w:rsidRDefault="00E17DFC" w:rsidP="00EF2A49">
            <w:pPr>
              <w:pStyle w:val="Tables"/>
              <w:jc w:val="center"/>
            </w:pPr>
            <w:r w:rsidRPr="003B4AEE">
              <w:t>$128</w:t>
            </w:r>
          </w:p>
        </w:tc>
        <w:tc>
          <w:tcPr>
            <w:tcW w:w="2038" w:type="dxa"/>
            <w:noWrap/>
          </w:tcPr>
          <w:p w14:paraId="1735E632" w14:textId="2EB6AF6A" w:rsidR="00E17DFC" w:rsidRPr="003B4AEE" w:rsidRDefault="00E17DFC" w:rsidP="00EF2A49">
            <w:pPr>
              <w:pStyle w:val="Tables"/>
              <w:jc w:val="center"/>
            </w:pPr>
            <w:r w:rsidRPr="003B4AEE">
              <w:t>$226,176</w:t>
            </w:r>
          </w:p>
        </w:tc>
      </w:tr>
      <w:tr w:rsidR="00E17DFC" w:rsidRPr="003B4AEE" w14:paraId="1D374DC3" w14:textId="77777777" w:rsidTr="004F1834">
        <w:trPr>
          <w:trHeight w:val="255"/>
          <w:jc w:val="center"/>
        </w:trPr>
        <w:tc>
          <w:tcPr>
            <w:tcW w:w="3222" w:type="dxa"/>
            <w:noWrap/>
          </w:tcPr>
          <w:p w14:paraId="118A099A" w14:textId="77777777" w:rsidR="00E17DFC" w:rsidRPr="003B4AEE" w:rsidRDefault="00E17DFC" w:rsidP="00E17DFC">
            <w:pPr>
              <w:pStyle w:val="Tables"/>
            </w:pPr>
            <w:r w:rsidRPr="003B4AEE">
              <w:t>Additional conventional and non-conventional</w:t>
            </w:r>
          </w:p>
        </w:tc>
        <w:tc>
          <w:tcPr>
            <w:tcW w:w="1287" w:type="dxa"/>
            <w:noWrap/>
          </w:tcPr>
          <w:p w14:paraId="2EB759DC" w14:textId="0D22D345" w:rsidR="00E17DFC" w:rsidRPr="003B4AEE" w:rsidRDefault="00E17DFC" w:rsidP="00EF2A49">
            <w:pPr>
              <w:pStyle w:val="Tables"/>
              <w:jc w:val="center"/>
            </w:pPr>
            <w:r w:rsidRPr="003B4AEE">
              <w:t>3</w:t>
            </w:r>
          </w:p>
        </w:tc>
        <w:tc>
          <w:tcPr>
            <w:tcW w:w="1620" w:type="dxa"/>
            <w:noWrap/>
          </w:tcPr>
          <w:p w14:paraId="4AFF221D" w14:textId="000196D2" w:rsidR="00E17DFC" w:rsidRPr="003B4AEE" w:rsidRDefault="00E17DFC" w:rsidP="00EF2A49">
            <w:pPr>
              <w:pStyle w:val="Tables"/>
              <w:jc w:val="center"/>
            </w:pPr>
            <w:r w:rsidRPr="003B4AEE">
              <w:t>$257</w:t>
            </w:r>
          </w:p>
        </w:tc>
        <w:tc>
          <w:tcPr>
            <w:tcW w:w="2038" w:type="dxa"/>
            <w:noWrap/>
          </w:tcPr>
          <w:p w14:paraId="38CCA088" w14:textId="6F9DE172" w:rsidR="00E17DFC" w:rsidRPr="003B4AEE" w:rsidRDefault="00E17DFC" w:rsidP="00EF2A49">
            <w:pPr>
              <w:pStyle w:val="Tables"/>
              <w:jc w:val="center"/>
            </w:pPr>
            <w:r w:rsidRPr="003B4AEE">
              <w:t>$287,583</w:t>
            </w:r>
          </w:p>
        </w:tc>
      </w:tr>
      <w:tr w:rsidR="00E17DFC" w:rsidRPr="003B4AEE" w14:paraId="14CE55CD" w14:textId="77777777" w:rsidTr="004F1834">
        <w:trPr>
          <w:trHeight w:val="255"/>
          <w:jc w:val="center"/>
        </w:trPr>
        <w:tc>
          <w:tcPr>
            <w:tcW w:w="3222" w:type="dxa"/>
            <w:noWrap/>
          </w:tcPr>
          <w:p w14:paraId="6DAEE8D6" w14:textId="5E80826D" w:rsidR="00E17DFC" w:rsidRPr="003B4AEE" w:rsidRDefault="00E17DFC" w:rsidP="00E17DFC">
            <w:pPr>
              <w:pStyle w:val="Tables"/>
            </w:pPr>
            <w:r w:rsidRPr="003B4AEE">
              <w:t>Priority pollutants/state WQS</w:t>
            </w:r>
          </w:p>
        </w:tc>
        <w:tc>
          <w:tcPr>
            <w:tcW w:w="1287" w:type="dxa"/>
            <w:noWrap/>
          </w:tcPr>
          <w:p w14:paraId="7ECFD767" w14:textId="20E31BD9" w:rsidR="00E17DFC" w:rsidRPr="003B4AEE" w:rsidRDefault="00E17DFC" w:rsidP="00EF2A49">
            <w:pPr>
              <w:pStyle w:val="Tables"/>
              <w:jc w:val="center"/>
            </w:pPr>
            <w:r w:rsidRPr="003B4AEE">
              <w:t>3</w:t>
            </w:r>
          </w:p>
        </w:tc>
        <w:tc>
          <w:tcPr>
            <w:tcW w:w="1620" w:type="dxa"/>
            <w:noWrap/>
          </w:tcPr>
          <w:p w14:paraId="06879796" w14:textId="36D71CFF" w:rsidR="00E17DFC" w:rsidRPr="003B4AEE" w:rsidRDefault="00E17DFC" w:rsidP="00EF2A49">
            <w:pPr>
              <w:pStyle w:val="Tables"/>
              <w:jc w:val="center"/>
            </w:pPr>
            <w:r w:rsidRPr="003B4AEE">
              <w:t>$1,475</w:t>
            </w:r>
          </w:p>
        </w:tc>
        <w:tc>
          <w:tcPr>
            <w:tcW w:w="2038" w:type="dxa"/>
            <w:noWrap/>
          </w:tcPr>
          <w:p w14:paraId="1ACF1110" w14:textId="33BB47E8" w:rsidR="00E17DFC" w:rsidRPr="003B4AEE" w:rsidRDefault="00E17DFC" w:rsidP="00EF2A49">
            <w:pPr>
              <w:pStyle w:val="Tables"/>
              <w:jc w:val="center"/>
            </w:pPr>
            <w:r w:rsidRPr="003B4AEE">
              <w:t>$3,752,400</w:t>
            </w:r>
          </w:p>
        </w:tc>
      </w:tr>
      <w:tr w:rsidR="00E17DFC" w:rsidRPr="003B4AEE" w14:paraId="4F53252F" w14:textId="77777777" w:rsidTr="004F1834">
        <w:trPr>
          <w:trHeight w:val="255"/>
          <w:jc w:val="center"/>
        </w:trPr>
        <w:tc>
          <w:tcPr>
            <w:tcW w:w="3222" w:type="dxa"/>
            <w:noWrap/>
          </w:tcPr>
          <w:p w14:paraId="4ABE5BC9" w14:textId="5F5D2823" w:rsidR="00E17DFC" w:rsidRPr="003B4AEE" w:rsidRDefault="00E17DFC" w:rsidP="00E17DFC">
            <w:pPr>
              <w:pStyle w:val="Tables"/>
            </w:pPr>
            <w:r w:rsidRPr="003B4AEE">
              <w:t>Multiple species biomonitoring</w:t>
            </w:r>
          </w:p>
        </w:tc>
        <w:tc>
          <w:tcPr>
            <w:tcW w:w="1287" w:type="dxa"/>
            <w:noWrap/>
          </w:tcPr>
          <w:p w14:paraId="76D14504" w14:textId="3512CC81" w:rsidR="00E17DFC" w:rsidRPr="003B4AEE" w:rsidRDefault="00E17DFC" w:rsidP="00EF2A49">
            <w:pPr>
              <w:pStyle w:val="Tables"/>
              <w:jc w:val="center"/>
            </w:pPr>
            <w:r w:rsidRPr="003B4AEE">
              <w:t>1</w:t>
            </w:r>
          </w:p>
        </w:tc>
        <w:tc>
          <w:tcPr>
            <w:tcW w:w="1620" w:type="dxa"/>
            <w:noWrap/>
          </w:tcPr>
          <w:p w14:paraId="55519C7E" w14:textId="1CA05703" w:rsidR="00E17DFC" w:rsidRPr="003B4AEE" w:rsidRDefault="00E17DFC" w:rsidP="00EF2A49">
            <w:pPr>
              <w:pStyle w:val="Tables"/>
              <w:jc w:val="center"/>
            </w:pPr>
            <w:r w:rsidRPr="003B4AEE">
              <w:t>$10,262</w:t>
            </w:r>
          </w:p>
        </w:tc>
        <w:tc>
          <w:tcPr>
            <w:tcW w:w="2038" w:type="dxa"/>
            <w:noWrap/>
          </w:tcPr>
          <w:p w14:paraId="36ED794C" w14:textId="07F94771" w:rsidR="00E17DFC" w:rsidRPr="003B4AEE" w:rsidRDefault="00E17DFC" w:rsidP="00EF2A49">
            <w:pPr>
              <w:pStyle w:val="Tables"/>
              <w:jc w:val="center"/>
            </w:pPr>
            <w:r w:rsidRPr="003B4AEE">
              <w:t>$2,421,832</w:t>
            </w:r>
          </w:p>
        </w:tc>
      </w:tr>
      <w:tr w:rsidR="000C34EF" w:rsidRPr="003B4AEE" w14:paraId="44568A23" w14:textId="77777777" w:rsidTr="004F1834">
        <w:trPr>
          <w:trHeight w:val="255"/>
          <w:jc w:val="center"/>
        </w:trPr>
        <w:tc>
          <w:tcPr>
            <w:tcW w:w="3222" w:type="dxa"/>
            <w:shd w:val="clear" w:color="auto" w:fill="D9D9D9" w:themeFill="background1" w:themeFillShade="D9"/>
            <w:noWrap/>
          </w:tcPr>
          <w:p w14:paraId="43C66E57" w14:textId="77777777" w:rsidR="000C34EF" w:rsidRPr="003B4AEE" w:rsidRDefault="000C34EF" w:rsidP="00C76096">
            <w:pPr>
              <w:pStyle w:val="TableHeading"/>
            </w:pPr>
            <w:r w:rsidRPr="003B4AEE">
              <w:t>Form 2S</w:t>
            </w:r>
          </w:p>
        </w:tc>
        <w:tc>
          <w:tcPr>
            <w:tcW w:w="1287" w:type="dxa"/>
            <w:shd w:val="clear" w:color="auto" w:fill="D9D9D9" w:themeFill="background1" w:themeFillShade="D9"/>
            <w:noWrap/>
          </w:tcPr>
          <w:p w14:paraId="133C9BF6" w14:textId="77777777" w:rsidR="000C34EF" w:rsidRPr="003B4AEE" w:rsidRDefault="000C34EF" w:rsidP="00397D44">
            <w:pPr>
              <w:pStyle w:val="TableHeading"/>
            </w:pPr>
          </w:p>
        </w:tc>
        <w:tc>
          <w:tcPr>
            <w:tcW w:w="1620" w:type="dxa"/>
            <w:shd w:val="clear" w:color="auto" w:fill="D9D9D9" w:themeFill="background1" w:themeFillShade="D9"/>
            <w:noWrap/>
          </w:tcPr>
          <w:p w14:paraId="1737DB46" w14:textId="77777777" w:rsidR="000C34EF" w:rsidRPr="003B4AEE" w:rsidRDefault="000C34EF" w:rsidP="00397D44">
            <w:pPr>
              <w:pStyle w:val="TableHeading"/>
            </w:pPr>
          </w:p>
        </w:tc>
        <w:tc>
          <w:tcPr>
            <w:tcW w:w="2038" w:type="dxa"/>
            <w:shd w:val="clear" w:color="auto" w:fill="D9D9D9" w:themeFill="background1" w:themeFillShade="D9"/>
            <w:noWrap/>
          </w:tcPr>
          <w:p w14:paraId="54E3DB07" w14:textId="77777777" w:rsidR="000C34EF" w:rsidRPr="003B4AEE" w:rsidRDefault="000C34EF" w:rsidP="00397D44">
            <w:pPr>
              <w:pStyle w:val="TableHeading"/>
            </w:pPr>
          </w:p>
        </w:tc>
      </w:tr>
      <w:tr w:rsidR="00C7119F" w:rsidRPr="003B4AEE" w14:paraId="590209AD" w14:textId="77777777" w:rsidTr="004F1834">
        <w:trPr>
          <w:trHeight w:val="255"/>
          <w:jc w:val="center"/>
        </w:trPr>
        <w:tc>
          <w:tcPr>
            <w:tcW w:w="3222" w:type="dxa"/>
            <w:noWrap/>
          </w:tcPr>
          <w:p w14:paraId="46FE3E73" w14:textId="77777777" w:rsidR="00C7119F" w:rsidRPr="003B4AEE" w:rsidRDefault="00C7119F" w:rsidP="00C7119F">
            <w:pPr>
              <w:pStyle w:val="Tables"/>
            </w:pPr>
            <w:r w:rsidRPr="003B4AEE">
              <w:t>NPDES and sludge-only facilities</w:t>
            </w:r>
          </w:p>
        </w:tc>
        <w:tc>
          <w:tcPr>
            <w:tcW w:w="1287" w:type="dxa"/>
            <w:noWrap/>
          </w:tcPr>
          <w:p w14:paraId="20EADEAF" w14:textId="6469DDFA" w:rsidR="00C7119F" w:rsidRPr="003B4AEE" w:rsidRDefault="00C7119F" w:rsidP="00EF2A49">
            <w:pPr>
              <w:pStyle w:val="Tables"/>
              <w:jc w:val="center"/>
            </w:pPr>
            <w:r w:rsidRPr="003B4AEE">
              <w:t>1</w:t>
            </w:r>
          </w:p>
        </w:tc>
        <w:tc>
          <w:tcPr>
            <w:tcW w:w="1620" w:type="dxa"/>
            <w:noWrap/>
          </w:tcPr>
          <w:p w14:paraId="6D6D9AEA" w14:textId="21F462AE" w:rsidR="00C7119F" w:rsidRPr="003B4AEE" w:rsidRDefault="00C7119F" w:rsidP="00EF2A49">
            <w:pPr>
              <w:pStyle w:val="Tables"/>
              <w:jc w:val="center"/>
            </w:pPr>
            <w:r w:rsidRPr="003B4AEE">
              <w:t>$257</w:t>
            </w:r>
          </w:p>
        </w:tc>
        <w:tc>
          <w:tcPr>
            <w:tcW w:w="2038" w:type="dxa"/>
            <w:noWrap/>
          </w:tcPr>
          <w:p w14:paraId="20DCFDD1" w14:textId="06C0D6C2" w:rsidR="00C7119F" w:rsidRPr="003B4AEE" w:rsidRDefault="00C7119F" w:rsidP="00EF2A49">
            <w:pPr>
              <w:pStyle w:val="Tables"/>
              <w:jc w:val="center"/>
            </w:pPr>
            <w:r w:rsidRPr="003B4AEE">
              <w:t>$80,184</w:t>
            </w:r>
          </w:p>
        </w:tc>
      </w:tr>
      <w:tr w:rsidR="000C34EF" w:rsidRPr="003B4AEE" w14:paraId="5FBB3886" w14:textId="77777777" w:rsidTr="004F1834">
        <w:trPr>
          <w:trHeight w:val="255"/>
          <w:jc w:val="center"/>
        </w:trPr>
        <w:tc>
          <w:tcPr>
            <w:tcW w:w="3222" w:type="dxa"/>
            <w:shd w:val="clear" w:color="auto" w:fill="D9D9D9" w:themeFill="background1" w:themeFillShade="D9"/>
            <w:noWrap/>
          </w:tcPr>
          <w:p w14:paraId="3E3A0804" w14:textId="77777777" w:rsidR="000C34EF" w:rsidRPr="003B4AEE" w:rsidRDefault="000C34EF" w:rsidP="00C76096">
            <w:pPr>
              <w:pStyle w:val="TableHeading"/>
            </w:pPr>
            <w:r w:rsidRPr="003B4AEE">
              <w:t>Section 308 Requests</w:t>
            </w:r>
          </w:p>
        </w:tc>
        <w:tc>
          <w:tcPr>
            <w:tcW w:w="1287" w:type="dxa"/>
            <w:shd w:val="clear" w:color="auto" w:fill="D9D9D9" w:themeFill="background1" w:themeFillShade="D9"/>
            <w:noWrap/>
          </w:tcPr>
          <w:p w14:paraId="18DE656C" w14:textId="77777777" w:rsidR="000C34EF" w:rsidRPr="003B4AEE" w:rsidRDefault="000C34EF" w:rsidP="00397D44">
            <w:pPr>
              <w:pStyle w:val="TableHeading"/>
            </w:pPr>
          </w:p>
        </w:tc>
        <w:tc>
          <w:tcPr>
            <w:tcW w:w="1620" w:type="dxa"/>
            <w:shd w:val="clear" w:color="auto" w:fill="D9D9D9" w:themeFill="background1" w:themeFillShade="D9"/>
            <w:noWrap/>
          </w:tcPr>
          <w:p w14:paraId="26E59C1B" w14:textId="77777777" w:rsidR="000C34EF" w:rsidRPr="003B4AEE" w:rsidRDefault="000C34EF" w:rsidP="00397D44">
            <w:pPr>
              <w:pStyle w:val="TableHeading"/>
            </w:pPr>
          </w:p>
        </w:tc>
        <w:tc>
          <w:tcPr>
            <w:tcW w:w="2038" w:type="dxa"/>
            <w:shd w:val="clear" w:color="auto" w:fill="D9D9D9" w:themeFill="background1" w:themeFillShade="D9"/>
            <w:noWrap/>
          </w:tcPr>
          <w:p w14:paraId="51A2704E" w14:textId="77777777" w:rsidR="000C34EF" w:rsidRPr="003B4AEE" w:rsidRDefault="000C34EF" w:rsidP="00397D44">
            <w:pPr>
              <w:pStyle w:val="TableHeading"/>
            </w:pPr>
          </w:p>
        </w:tc>
      </w:tr>
      <w:tr w:rsidR="00C7119F" w:rsidRPr="003B4AEE" w14:paraId="25F8C33E" w14:textId="77777777" w:rsidTr="004F1834">
        <w:trPr>
          <w:trHeight w:val="255"/>
          <w:jc w:val="center"/>
        </w:trPr>
        <w:tc>
          <w:tcPr>
            <w:tcW w:w="3222" w:type="dxa"/>
            <w:noWrap/>
          </w:tcPr>
          <w:p w14:paraId="2C7464DE" w14:textId="77777777" w:rsidR="00C7119F" w:rsidRPr="003B4AEE" w:rsidRDefault="00C7119F" w:rsidP="00C7119F">
            <w:pPr>
              <w:pStyle w:val="Tables"/>
            </w:pPr>
            <w:r w:rsidRPr="003B4AEE">
              <w:t>Municipal (complex)</w:t>
            </w:r>
          </w:p>
        </w:tc>
        <w:tc>
          <w:tcPr>
            <w:tcW w:w="1287" w:type="dxa"/>
            <w:noWrap/>
          </w:tcPr>
          <w:p w14:paraId="40D0A205" w14:textId="7F53BB1E" w:rsidR="00C7119F" w:rsidRPr="003B4AEE" w:rsidRDefault="00C7119F" w:rsidP="00EF2A49">
            <w:pPr>
              <w:pStyle w:val="Tables"/>
              <w:jc w:val="center"/>
            </w:pPr>
            <w:r w:rsidRPr="003B4AEE">
              <w:t>1</w:t>
            </w:r>
          </w:p>
        </w:tc>
        <w:tc>
          <w:tcPr>
            <w:tcW w:w="1620" w:type="dxa"/>
            <w:noWrap/>
          </w:tcPr>
          <w:p w14:paraId="1EE46652" w14:textId="657D8680" w:rsidR="00C7119F" w:rsidRPr="003B4AEE" w:rsidRDefault="00C7119F" w:rsidP="00EF2A49">
            <w:pPr>
              <w:pStyle w:val="Tables"/>
              <w:jc w:val="center"/>
            </w:pPr>
            <w:r w:rsidRPr="003B4AEE">
              <w:t>$1,475</w:t>
            </w:r>
          </w:p>
        </w:tc>
        <w:tc>
          <w:tcPr>
            <w:tcW w:w="2038" w:type="dxa"/>
            <w:noWrap/>
          </w:tcPr>
          <w:p w14:paraId="3B361CB9" w14:textId="18956A80" w:rsidR="00C7119F" w:rsidRPr="003B4AEE" w:rsidRDefault="00C7119F" w:rsidP="00EF2A49">
            <w:pPr>
              <w:pStyle w:val="Tables"/>
              <w:jc w:val="center"/>
            </w:pPr>
            <w:r w:rsidRPr="003B4AEE">
              <w:t>$5,900</w:t>
            </w:r>
          </w:p>
        </w:tc>
      </w:tr>
      <w:tr w:rsidR="00C7119F" w:rsidRPr="003B4AEE" w14:paraId="3A1D7911" w14:textId="77777777" w:rsidTr="004F1834">
        <w:trPr>
          <w:trHeight w:val="255"/>
          <w:jc w:val="center"/>
        </w:trPr>
        <w:tc>
          <w:tcPr>
            <w:tcW w:w="3222" w:type="dxa"/>
            <w:noWrap/>
          </w:tcPr>
          <w:p w14:paraId="5366F9CA" w14:textId="77777777" w:rsidR="00C7119F" w:rsidRPr="003B4AEE" w:rsidRDefault="00C7119F" w:rsidP="00C7119F">
            <w:pPr>
              <w:pStyle w:val="Tables"/>
            </w:pPr>
            <w:r w:rsidRPr="003B4AEE">
              <w:t>Nonmunicipal (medium)</w:t>
            </w:r>
          </w:p>
        </w:tc>
        <w:tc>
          <w:tcPr>
            <w:tcW w:w="1287" w:type="dxa"/>
            <w:noWrap/>
          </w:tcPr>
          <w:p w14:paraId="28DFE231" w14:textId="1BF0288C" w:rsidR="00C7119F" w:rsidRPr="003B4AEE" w:rsidRDefault="00C7119F" w:rsidP="00EF2A49">
            <w:pPr>
              <w:pStyle w:val="Tables"/>
              <w:jc w:val="center"/>
            </w:pPr>
            <w:r w:rsidRPr="003B4AEE">
              <w:t>1</w:t>
            </w:r>
          </w:p>
        </w:tc>
        <w:tc>
          <w:tcPr>
            <w:tcW w:w="1620" w:type="dxa"/>
            <w:noWrap/>
          </w:tcPr>
          <w:p w14:paraId="2FF53829" w14:textId="3E6B0971" w:rsidR="00C7119F" w:rsidRPr="003B4AEE" w:rsidRDefault="00C7119F" w:rsidP="00EF2A49">
            <w:pPr>
              <w:pStyle w:val="Tables"/>
              <w:jc w:val="center"/>
            </w:pPr>
            <w:r w:rsidRPr="003B4AEE">
              <w:t>$1,283</w:t>
            </w:r>
          </w:p>
        </w:tc>
        <w:tc>
          <w:tcPr>
            <w:tcW w:w="2038" w:type="dxa"/>
            <w:noWrap/>
          </w:tcPr>
          <w:p w14:paraId="6D7845DF" w14:textId="74CA7EAF" w:rsidR="00C7119F" w:rsidRPr="003B4AEE" w:rsidRDefault="00C7119F" w:rsidP="00EF2A49">
            <w:pPr>
              <w:pStyle w:val="Tables"/>
              <w:jc w:val="center"/>
            </w:pPr>
            <w:r w:rsidRPr="003B4AEE">
              <w:t>$5,774</w:t>
            </w:r>
          </w:p>
        </w:tc>
      </w:tr>
    </w:tbl>
    <w:p w14:paraId="293261FC" w14:textId="77777777" w:rsidR="006D298B" w:rsidRPr="003B4AEE" w:rsidRDefault="006D298B" w:rsidP="00EF2A49">
      <w:bookmarkStart w:id="444" w:name="_Hlk59435733"/>
    </w:p>
    <w:p w14:paraId="668DD571" w14:textId="4B73050C" w:rsidR="006D298B" w:rsidRPr="003B4AEE" w:rsidRDefault="006D298B" w:rsidP="00EF2A49">
      <w:pPr>
        <w:pStyle w:val="Heading5"/>
      </w:pPr>
      <w:r w:rsidRPr="003B4AEE">
        <w:t>A.2.2.</w:t>
      </w:r>
      <w:r w:rsidR="009B4DE5" w:rsidRPr="003B4AEE">
        <w:t>1.2</w:t>
      </w:r>
      <w:r w:rsidRPr="003B4AEE">
        <w:t>. Postage for all Application Forms Submittal</w:t>
      </w:r>
    </w:p>
    <w:p w14:paraId="5333749F" w14:textId="32F75DB3" w:rsidR="006D298B" w:rsidRPr="003B4AEE" w:rsidRDefault="00EC41C2" w:rsidP="00EF2A49">
      <w:pPr>
        <w:pStyle w:val="BodyText"/>
      </w:pPr>
      <w:r w:rsidRPr="003B4AEE">
        <w:t xml:space="preserve">Permittees currently must mail permit applications to the permitting authority for processing. </w:t>
      </w:r>
      <w:r w:rsidR="00CB2590" w:rsidRPr="003B4AEE">
        <w:t xml:space="preserve">Application forms range from </w:t>
      </w:r>
      <w:r w:rsidR="001352F4" w:rsidRPr="003B4AEE">
        <w:t xml:space="preserve">3-5 pages to more than 30. Permittees may </w:t>
      </w:r>
      <w:r w:rsidR="00E34396" w:rsidRPr="003B4AEE">
        <w:t xml:space="preserve">choose to </w:t>
      </w:r>
      <w:r w:rsidR="001352F4" w:rsidRPr="003B4AEE">
        <w:t xml:space="preserve">include additional monitoring data pages as well. </w:t>
      </w:r>
      <w:r w:rsidR="00AF54ED" w:rsidRPr="003B4AEE">
        <w:t>EPA assumes that it will cost $3.16 to mail each</w:t>
      </w:r>
      <w:r w:rsidR="004E1DFE" w:rsidRPr="003B4AEE">
        <w:t xml:space="preserve"> permit</w:t>
      </w:r>
      <w:r w:rsidR="00AF54ED" w:rsidRPr="003B4AEE">
        <w:t xml:space="preserve"> application (postage for an envelope with up to 60 sheets of paper)</w:t>
      </w:r>
      <w:r w:rsidR="004E1DFE" w:rsidRPr="003B4AEE">
        <w:t>.</w:t>
      </w:r>
    </w:p>
    <w:p w14:paraId="642E2F85" w14:textId="089A7976" w:rsidR="00786817" w:rsidRPr="003B4AEE" w:rsidRDefault="007875DF" w:rsidP="00DE1B27">
      <w:pPr>
        <w:pStyle w:val="Heading4"/>
      </w:pPr>
      <w:r w:rsidRPr="003B4AEE">
        <w:lastRenderedPageBreak/>
        <w:t xml:space="preserve">A.2.2.2. </w:t>
      </w:r>
      <w:r w:rsidR="00786817" w:rsidRPr="003B4AEE">
        <w:t xml:space="preserve">Baseline Determination and Estimate of the Incremental Monitoring Burden and Cost for Remining Sites </w:t>
      </w:r>
      <w:r w:rsidR="00F11BB6" w:rsidRPr="003B4AEE">
        <w:t>(DMR Sampling Analysis)</w:t>
      </w:r>
    </w:p>
    <w:bookmarkEnd w:id="444"/>
    <w:p w14:paraId="5AE1E20C" w14:textId="185C0DB7" w:rsidR="00786817" w:rsidRPr="003B4AEE" w:rsidRDefault="00786817" w:rsidP="00C1544E">
      <w:pPr>
        <w:pStyle w:val="BodyText"/>
      </w:pPr>
      <w:r w:rsidRPr="003B4AEE">
        <w:t>EPA assumes that baseline determination monitoring and annual monitoring costs will be required for all the reporting requirements for mining sites in Indiana (5), Kentucky (7), and Tennessee (9). EPA assumes a sample analysis and mileage cost of $</w:t>
      </w:r>
      <w:r w:rsidR="005A0595" w:rsidRPr="003B4AEE">
        <w:t>3</w:t>
      </w:r>
      <w:r w:rsidR="005A623B" w:rsidRPr="003B4AEE">
        <w:t>7</w:t>
      </w:r>
      <w:r w:rsidRPr="003B4AEE">
        <w:t xml:space="preserve">/sample </w:t>
      </w:r>
      <w:r w:rsidR="00A02128" w:rsidRPr="003B4AEE">
        <w:t xml:space="preserve">adjusted to </w:t>
      </w:r>
      <w:r w:rsidR="005A623B" w:rsidRPr="003B4AEE">
        <w:t>September 2020</w:t>
      </w:r>
      <w:r w:rsidR="00A02128" w:rsidRPr="003B4AEE">
        <w:t xml:space="preserve"> using the CPI </w:t>
      </w:r>
      <w:r w:rsidRPr="003B4AEE">
        <w:t>(</w:t>
      </w:r>
      <w:r w:rsidR="00A02128" w:rsidRPr="003B4AEE">
        <w:t xml:space="preserve">Source: </w:t>
      </w:r>
      <w:r w:rsidRPr="003B4AEE">
        <w:t xml:space="preserve">Baseline Standards and BMPs for the Coal Mining Point Source Category-Coal Remining Subcategory and Western Alkaline Coal Mining Subcategory ICR; OMB </w:t>
      </w:r>
      <w:r w:rsidR="00437796" w:rsidRPr="003B4AEE">
        <w:t>control no.</w:t>
      </w:r>
      <w:r w:rsidRPr="003B4AEE">
        <w:t xml:space="preserve"> 2040-0239; EPA ICR </w:t>
      </w:r>
      <w:r w:rsidR="00437796" w:rsidRPr="003B4AEE">
        <w:t>n</w:t>
      </w:r>
      <w:r w:rsidRPr="003B4AEE">
        <w:t>o. 1944.03).</w:t>
      </w:r>
    </w:p>
    <w:p w14:paraId="26A9D34F" w14:textId="448DE307" w:rsidR="00786817" w:rsidRPr="003B4AEE" w:rsidRDefault="007875DF" w:rsidP="00B101A0">
      <w:pPr>
        <w:pStyle w:val="Heading4"/>
      </w:pPr>
      <w:bookmarkStart w:id="445" w:name="_Hlk59435904"/>
      <w:r w:rsidRPr="003B4AEE">
        <w:t>A.2.2.3</w:t>
      </w:r>
      <w:r w:rsidR="00C04949" w:rsidRPr="003B4AEE">
        <w:t>.</w:t>
      </w:r>
      <w:r w:rsidRPr="003B4AEE">
        <w:t xml:space="preserve"> </w:t>
      </w:r>
      <w:r w:rsidR="00786817" w:rsidRPr="003B4AEE">
        <w:t xml:space="preserve">Minimum Monitoring Requirements for Direct Discharging Mills in the Bleached </w:t>
      </w:r>
      <w:proofErr w:type="spellStart"/>
      <w:r w:rsidR="00786817" w:rsidRPr="003B4AEE">
        <w:t>Papergrade</w:t>
      </w:r>
      <w:proofErr w:type="spellEnd"/>
      <w:r w:rsidR="00786817" w:rsidRPr="003B4AEE">
        <w:t xml:space="preserve"> Kraft and Soda Subcategory and the </w:t>
      </w:r>
      <w:proofErr w:type="spellStart"/>
      <w:r w:rsidR="00786817" w:rsidRPr="003B4AEE">
        <w:t>Papergrade</w:t>
      </w:r>
      <w:proofErr w:type="spellEnd"/>
      <w:r w:rsidR="00786817" w:rsidRPr="003B4AEE">
        <w:t xml:space="preserve"> Sulfite Subcategory of the Pulp, Paper, and Paperboard Point Source Category </w:t>
      </w:r>
      <w:r w:rsidR="00F11BB6" w:rsidRPr="003B4AEE">
        <w:t>(DMR Sampling Analysis)</w:t>
      </w:r>
    </w:p>
    <w:bookmarkEnd w:id="445"/>
    <w:p w14:paraId="33EC9ECF" w14:textId="77777777" w:rsidR="0085470C" w:rsidRPr="003B4AEE" w:rsidRDefault="00786817" w:rsidP="00C1544E">
      <w:pPr>
        <w:pStyle w:val="BodyText"/>
      </w:pPr>
      <w:r w:rsidRPr="003B4AEE">
        <w:t>To estimate O&amp;M costs associated with these activities, EPA assumes that mills will send their collected samples to outside laboratories for analysis. Some facilities could perform in-house analysis for some pollutants (i.e., adsorbable organic halides (AOX) and/or chloroform). However, for the purposes of this ICR, EPA assumed that all analyses will be contracted to outside laboratories to express the full potential analytical costs of minimum monitoring on Subparts B and E mills. In the future, facilities might elect to conduct analysis in house, particularly AOX analyses, because the monitoring requirement is daily.</w:t>
      </w:r>
    </w:p>
    <w:p w14:paraId="1856EA71" w14:textId="779DA057" w:rsidR="0085470C" w:rsidRPr="003B4AEE" w:rsidRDefault="00786817" w:rsidP="00C1544E">
      <w:pPr>
        <w:pStyle w:val="BodyText"/>
      </w:pPr>
      <w:r w:rsidRPr="003B4AEE">
        <w:t xml:space="preserve">Analytical costs performed at outside laboratories were taken from the Minimum Monitoring Requirements for Direct Discharging Mills in the Bleached </w:t>
      </w:r>
      <w:proofErr w:type="spellStart"/>
      <w:r w:rsidRPr="003B4AEE">
        <w:t>Papergrade</w:t>
      </w:r>
      <w:proofErr w:type="spellEnd"/>
      <w:r w:rsidRPr="003B4AEE">
        <w:t xml:space="preserve"> Kraft and Soda Subcategory and the </w:t>
      </w:r>
      <w:proofErr w:type="spellStart"/>
      <w:r w:rsidRPr="003B4AEE">
        <w:t>Papergrade</w:t>
      </w:r>
      <w:proofErr w:type="spellEnd"/>
      <w:r w:rsidRPr="003B4AEE">
        <w:t xml:space="preserve"> Sulfite Subcategory of the Pulp, Paper, and Paperboard Point Source Category ICR (OMB </w:t>
      </w:r>
      <w:r w:rsidR="00437796" w:rsidRPr="003B4AEE">
        <w:t>control no.</w:t>
      </w:r>
      <w:r w:rsidRPr="003B4AEE">
        <w:t xml:space="preserve"> 2040-0243; EPA ICR </w:t>
      </w:r>
      <w:r w:rsidR="00437796" w:rsidRPr="003B4AEE">
        <w:t>n</w:t>
      </w:r>
      <w:r w:rsidR="00F11BB6" w:rsidRPr="003B4AEE">
        <w:t>o. 1878.02). These costs are $</w:t>
      </w:r>
      <w:r w:rsidR="005A623B" w:rsidRPr="003B4AEE">
        <w:t>197</w:t>
      </w:r>
      <w:r w:rsidRPr="003B4AEE">
        <w:t xml:space="preserve"> for AOX, $1,</w:t>
      </w:r>
      <w:r w:rsidR="005A623B" w:rsidRPr="003B4AEE">
        <w:t>432</w:t>
      </w:r>
      <w:r w:rsidRPr="003B4AEE">
        <w:t xml:space="preserve"> for TCDD/TCDF, $</w:t>
      </w:r>
      <w:r w:rsidR="005A623B" w:rsidRPr="003B4AEE">
        <w:t>818</w:t>
      </w:r>
      <w:r w:rsidRPr="003B4AEE">
        <w:t xml:space="preserve"> for chlorinated phenolics, and $</w:t>
      </w:r>
      <w:r w:rsidR="005A623B" w:rsidRPr="003B4AEE">
        <w:t>441</w:t>
      </w:r>
      <w:r w:rsidRPr="003B4AEE">
        <w:t xml:space="preserve"> for chloroform.</w:t>
      </w:r>
    </w:p>
    <w:p w14:paraId="052EFD5E" w14:textId="75CB6E64" w:rsidR="00786817" w:rsidRPr="003B4AEE" w:rsidRDefault="00786817" w:rsidP="00C1544E">
      <w:pPr>
        <w:pStyle w:val="BodyText"/>
      </w:pPr>
      <w:r w:rsidRPr="003B4AEE">
        <w:t xml:space="preserve">Seventy-five Subpart B Bleached </w:t>
      </w:r>
      <w:proofErr w:type="spellStart"/>
      <w:r w:rsidRPr="003B4AEE">
        <w:t>Papergrade</w:t>
      </w:r>
      <w:proofErr w:type="spellEnd"/>
      <w:r w:rsidRPr="003B4AEE">
        <w:t xml:space="preserve"> Kraft &amp; Soda mills perform daily sampling for AOX, weekly sampling for chloroform, and monthly grab sampling for TCDD, TCDF, and chlorinated phenolics. Thirty-eight Subpart B Bleached </w:t>
      </w:r>
      <w:proofErr w:type="spellStart"/>
      <w:r w:rsidRPr="003B4AEE">
        <w:t>Papergrade</w:t>
      </w:r>
      <w:proofErr w:type="spellEnd"/>
      <w:r w:rsidRPr="003B4AEE">
        <w:t xml:space="preserve"> Kraft &amp; Soda mills perform monthly composite sampling for TCDD, TCDF, and chlorinated phenolics. Five of the Subpart E Ca / Sodium / Mg Sulfite mills perform daily AOX sampling. Two each for the Subpart E Ammonium Sulfite and Specialty Grade perform monthly sampling for TCDD, TCDF, and chlorinated phenolics</w:t>
      </w:r>
      <w:r w:rsidR="00A36C97" w:rsidRPr="003B4AEE">
        <w:t>.</w:t>
      </w:r>
    </w:p>
    <w:p w14:paraId="545D678A" w14:textId="13D9A521" w:rsidR="0048771B" w:rsidRPr="003B4AEE" w:rsidRDefault="0048771B" w:rsidP="00B101A0">
      <w:pPr>
        <w:pStyle w:val="Heading4"/>
      </w:pPr>
      <w:bookmarkStart w:id="446" w:name="_Hlk59436043"/>
      <w:r w:rsidRPr="003B4AEE">
        <w:t xml:space="preserve">A.2.2.4. Animal Sector </w:t>
      </w:r>
      <w:r w:rsidR="006311D0" w:rsidRPr="003B4AEE">
        <w:t>Testing/</w:t>
      </w:r>
      <w:r w:rsidR="00550926" w:rsidRPr="003B4AEE">
        <w:t>A</w:t>
      </w:r>
      <w:r w:rsidR="006311D0" w:rsidRPr="003B4AEE">
        <w:t xml:space="preserve">nalysis </w:t>
      </w:r>
      <w:r w:rsidR="0095673A" w:rsidRPr="003B4AEE">
        <w:t xml:space="preserve">and Public Notice </w:t>
      </w:r>
      <w:r w:rsidR="006311D0" w:rsidRPr="003B4AEE">
        <w:t>Costs</w:t>
      </w:r>
    </w:p>
    <w:bookmarkEnd w:id="446"/>
    <w:p w14:paraId="40FFA9E3" w14:textId="6D1F9A85" w:rsidR="007054CC" w:rsidRPr="003B4AEE" w:rsidRDefault="0048771B" w:rsidP="00C1544E">
      <w:pPr>
        <w:pStyle w:val="BodyText"/>
      </w:pPr>
      <w:r w:rsidRPr="003B4AEE">
        <w:t xml:space="preserve">The </w:t>
      </w:r>
      <w:r w:rsidR="006311D0" w:rsidRPr="003B4AEE">
        <w:t xml:space="preserve">Animal Sector includes </w:t>
      </w:r>
      <w:r w:rsidR="0095673A" w:rsidRPr="003B4AEE">
        <w:t xml:space="preserve">O&amp;M </w:t>
      </w:r>
      <w:r w:rsidR="006311D0" w:rsidRPr="003B4AEE">
        <w:t>cost</w:t>
      </w:r>
      <w:r w:rsidR="00550926" w:rsidRPr="003B4AEE">
        <w:t>s</w:t>
      </w:r>
      <w:r w:rsidR="006311D0" w:rsidRPr="003B4AEE">
        <w:t xml:space="preserve"> that a</w:t>
      </w:r>
      <w:r w:rsidRPr="003B4AEE">
        <w:t xml:space="preserve">ccount for </w:t>
      </w:r>
      <w:r w:rsidR="007054CC" w:rsidRPr="003B4AEE">
        <w:t xml:space="preserve">state agencies issuing public notices </w:t>
      </w:r>
      <w:r w:rsidRPr="003B4AEE">
        <w:t>and certain testing</w:t>
      </w:r>
      <w:r w:rsidR="00550926" w:rsidRPr="003B4AEE">
        <w:t xml:space="preserve"> and </w:t>
      </w:r>
      <w:r w:rsidRPr="003B4AEE">
        <w:t>analysis costs incurred by respondents that perform activities outside the normal operation practices</w:t>
      </w:r>
      <w:r w:rsidR="006311D0" w:rsidRPr="003B4AEE">
        <w:t>.</w:t>
      </w:r>
      <w:r w:rsidR="006A4856" w:rsidRPr="003B4AEE">
        <w:t xml:space="preserve"> O&amp;M costs are based on costs from the Consolidated Animal Sectors ICR (OMB </w:t>
      </w:r>
      <w:r w:rsidR="00437796" w:rsidRPr="003B4AEE">
        <w:t>control no.</w:t>
      </w:r>
      <w:r w:rsidR="006A4856" w:rsidRPr="003B4AEE">
        <w:t xml:space="preserve"> 2040-0250; EPA ICR </w:t>
      </w:r>
      <w:r w:rsidR="000106BF" w:rsidRPr="003B4AEE">
        <w:t xml:space="preserve">no. </w:t>
      </w:r>
      <w:r w:rsidR="006A4856" w:rsidRPr="003B4AEE">
        <w:t>1989.10). The average cost for state agencies to issue a public notice was $1,</w:t>
      </w:r>
      <w:r w:rsidR="00473457" w:rsidRPr="003B4AEE">
        <w:t>524</w:t>
      </w:r>
      <w:r w:rsidR="006A4856" w:rsidRPr="003B4AEE">
        <w:t xml:space="preserve"> per notice and t</w:t>
      </w:r>
      <w:r w:rsidR="00947C43" w:rsidRPr="003B4AEE">
        <w:t>he average testing and analysis cost was $</w:t>
      </w:r>
      <w:r w:rsidR="00473457" w:rsidRPr="003B4AEE">
        <w:t>82</w:t>
      </w:r>
      <w:r w:rsidR="00550926" w:rsidRPr="003B4AEE">
        <w:t xml:space="preserve"> per </w:t>
      </w:r>
      <w:r w:rsidR="00947C43" w:rsidRPr="003B4AEE">
        <w:t>event</w:t>
      </w:r>
      <w:r w:rsidR="006A4856" w:rsidRPr="003B4AEE">
        <w:t>.</w:t>
      </w:r>
      <w:r w:rsidR="00AB1D84" w:rsidRPr="003B4AEE">
        <w:t xml:space="preserve"> O&amp;M </w:t>
      </w:r>
      <w:r w:rsidR="0095673A" w:rsidRPr="003B4AEE">
        <w:t>for recordkeeping was assumed to be 10</w:t>
      </w:r>
      <w:r w:rsidR="00397D44" w:rsidRPr="003B4AEE">
        <w:t xml:space="preserve"> percent</w:t>
      </w:r>
      <w:r w:rsidR="0095673A" w:rsidRPr="003B4AEE">
        <w:t xml:space="preserve"> of recordkeeping labor costs.</w:t>
      </w:r>
    </w:p>
    <w:p w14:paraId="6A593D7D" w14:textId="385EC185" w:rsidR="009E665B" w:rsidRPr="003B4AEE" w:rsidRDefault="009E665B" w:rsidP="00B101A0">
      <w:pPr>
        <w:pStyle w:val="Heading4"/>
      </w:pPr>
      <w:bookmarkStart w:id="447" w:name="_Hlk59436215"/>
      <w:r w:rsidRPr="003B4AEE">
        <w:lastRenderedPageBreak/>
        <w:t>A.2.2.5</w:t>
      </w:r>
      <w:r w:rsidR="00C71FC3" w:rsidRPr="003B4AEE">
        <w:t>.</w:t>
      </w:r>
      <w:r w:rsidRPr="003B4AEE">
        <w:t xml:space="preserve"> Pretreatment </w:t>
      </w:r>
    </w:p>
    <w:bookmarkEnd w:id="447"/>
    <w:p w14:paraId="16EB2132" w14:textId="6D5D0B5B" w:rsidR="009E665B" w:rsidRPr="003B4AEE" w:rsidRDefault="001F37A7" w:rsidP="00C1544E">
      <w:pPr>
        <w:pStyle w:val="BodyText"/>
      </w:pPr>
      <w:r w:rsidRPr="003B4AEE">
        <w:t xml:space="preserve">There are </w:t>
      </w:r>
      <w:r w:rsidR="00242555" w:rsidRPr="003B4AEE">
        <w:t xml:space="preserve">O&amp;M </w:t>
      </w:r>
      <w:r w:rsidRPr="003B4AEE">
        <w:t xml:space="preserve">costs </w:t>
      </w:r>
      <w:r w:rsidR="00242555" w:rsidRPr="003B4AEE">
        <w:t xml:space="preserve">incurred by IUs </w:t>
      </w:r>
      <w:r w:rsidRPr="003B4AEE">
        <w:t>for discharge monitoring</w:t>
      </w:r>
      <w:r w:rsidR="00242555" w:rsidRPr="003B4AEE">
        <w:t xml:space="preserve">. The total annual </w:t>
      </w:r>
      <w:r w:rsidRPr="003B4AEE">
        <w:t>re</w:t>
      </w:r>
      <w:r w:rsidR="00242555" w:rsidRPr="003B4AEE">
        <w:t>spondent O&amp;M costs associated with this ICR are estimated to be $2,</w:t>
      </w:r>
      <w:r w:rsidR="00913822" w:rsidRPr="003B4AEE">
        <w:t>772</w:t>
      </w:r>
      <w:r w:rsidR="000C34EF" w:rsidRPr="003B4AEE">
        <w:t>,</w:t>
      </w:r>
      <w:r w:rsidR="00913822" w:rsidRPr="003B4AEE">
        <w:t>491</w:t>
      </w:r>
      <w:r w:rsidRPr="003B4AEE">
        <w:t>.</w:t>
      </w:r>
    </w:p>
    <w:p w14:paraId="2E9BB9C4" w14:textId="336ADC95" w:rsidR="0085470C" w:rsidRPr="003B4AEE" w:rsidRDefault="009E665B" w:rsidP="001814FD">
      <w:pPr>
        <w:pStyle w:val="Heading4"/>
      </w:pPr>
      <w:r w:rsidRPr="003B4AEE">
        <w:t>A.2.2.6</w:t>
      </w:r>
      <w:r w:rsidR="00C71FC3" w:rsidRPr="003B4AEE">
        <w:t>.</w:t>
      </w:r>
      <w:r w:rsidR="007054CC" w:rsidRPr="003B4AEE">
        <w:t xml:space="preserve"> </w:t>
      </w:r>
      <w:r w:rsidR="002B3F3A" w:rsidRPr="003B4AEE">
        <w:t xml:space="preserve">CWIS </w:t>
      </w:r>
      <w:r w:rsidR="00197619" w:rsidRPr="003B4AEE">
        <w:t>O&amp;M and ODC C</w:t>
      </w:r>
      <w:r w:rsidR="00E16FA4" w:rsidRPr="003B4AEE">
        <w:t>osts</w:t>
      </w:r>
    </w:p>
    <w:p w14:paraId="79E26FC9" w14:textId="1EC8BFE5" w:rsidR="00C5392D" w:rsidRPr="003B4AEE" w:rsidRDefault="00C5392D" w:rsidP="00425FEE">
      <w:pPr>
        <w:pStyle w:val="Heading5"/>
      </w:pPr>
      <w:r w:rsidRPr="003B4AEE">
        <w:t xml:space="preserve">A.2.2.6.1 </w:t>
      </w:r>
      <w:r w:rsidR="000C79D6" w:rsidRPr="003B4AEE">
        <w:t>CWIS Phase I O&amp;M and OCD Costs</w:t>
      </w:r>
    </w:p>
    <w:p w14:paraId="78BF53FF" w14:textId="0ADF3794" w:rsidR="0085470C" w:rsidRPr="003B4AEE" w:rsidRDefault="00CF28BD" w:rsidP="00C1544E">
      <w:pPr>
        <w:pStyle w:val="BodyText"/>
      </w:pPr>
      <w:r w:rsidRPr="003B4AEE">
        <w:t xml:space="preserve">O&amp;M and ODC costs are associated with multiple activities including flow, </w:t>
      </w:r>
      <w:proofErr w:type="gramStart"/>
      <w:r w:rsidRPr="003B4AEE">
        <w:t>velocity</w:t>
      </w:r>
      <w:proofErr w:type="gramEnd"/>
      <w:r w:rsidRPr="003B4AEE">
        <w:t xml:space="preserve"> and biological monitoring. </w:t>
      </w:r>
      <w:r w:rsidR="001377E5" w:rsidRPr="003B4AEE">
        <w:t>EPA assumes that samples taken for the Source Water Baseline Biological Characterization Study to be included with the application will be analyzed by a contracted laboratory</w:t>
      </w:r>
      <w:r w:rsidR="000D0E8D" w:rsidRPr="003B4AEE">
        <w:t xml:space="preserve">. For annual O&amp;M costs, EPA assumes that entrainment monitoring sampling analysis will be performed by an outside laboratory. </w:t>
      </w:r>
      <w:r w:rsidR="002E20B8" w:rsidRPr="003B4AEE">
        <w:t xml:space="preserve">Table </w:t>
      </w:r>
      <w:r w:rsidR="00E16FA4" w:rsidRPr="003B4AEE">
        <w:t>A</w:t>
      </w:r>
      <w:r w:rsidR="001A6DA0" w:rsidRPr="003B4AEE">
        <w:t>-</w:t>
      </w:r>
      <w:r w:rsidR="007F3A2F" w:rsidRPr="003B4AEE">
        <w:t>2</w:t>
      </w:r>
      <w:r w:rsidR="001A6DA0" w:rsidRPr="003B4AEE">
        <w:t>0</w:t>
      </w:r>
      <w:r w:rsidR="002E20B8" w:rsidRPr="003B4AEE">
        <w:t xml:space="preserve"> presents a summary of </w:t>
      </w:r>
      <w:r w:rsidR="00965B02" w:rsidRPr="003B4AEE">
        <w:t xml:space="preserve">average </w:t>
      </w:r>
      <w:r w:rsidR="002E20B8" w:rsidRPr="003B4AEE">
        <w:t xml:space="preserve">O&amp;M and ODC costs </w:t>
      </w:r>
      <w:r w:rsidR="000B2EE3" w:rsidRPr="003B4AEE">
        <w:t xml:space="preserve">per permit </w:t>
      </w:r>
      <w:r w:rsidR="002E20B8" w:rsidRPr="003B4AEE">
        <w:t xml:space="preserve">for each </w:t>
      </w:r>
      <w:r w:rsidR="00383121" w:rsidRPr="003B4AEE">
        <w:t xml:space="preserve">activity </w:t>
      </w:r>
      <w:r w:rsidR="002E20B8" w:rsidRPr="003B4AEE">
        <w:t>category</w:t>
      </w:r>
      <w:r w:rsidR="006523F5" w:rsidRPr="003B4AEE">
        <w:t>.</w:t>
      </w:r>
    </w:p>
    <w:p w14:paraId="36BCEFA1" w14:textId="108D3825" w:rsidR="00E16FA4" w:rsidRPr="003B4AEE" w:rsidRDefault="00E16FA4" w:rsidP="00C1544E">
      <w:pPr>
        <w:pStyle w:val="TableTitleAppendix"/>
      </w:pPr>
      <w:bookmarkStart w:id="448" w:name="_Toc61521431"/>
      <w:r w:rsidRPr="003B4AEE">
        <w:t>Table A</w:t>
      </w:r>
      <w:r w:rsidR="00054BE9" w:rsidRPr="003B4AEE">
        <w:t>-</w:t>
      </w:r>
      <w:r w:rsidR="007F3A2F" w:rsidRPr="003B4AEE">
        <w:t>2</w:t>
      </w:r>
      <w:r w:rsidR="001A6DA0" w:rsidRPr="003B4AEE">
        <w:t>0</w:t>
      </w:r>
      <w:r w:rsidR="00054BE9" w:rsidRPr="003B4AEE">
        <w:t>.</w:t>
      </w:r>
      <w:r w:rsidRPr="003B4AEE">
        <w:t xml:space="preserve"> Summary of CWIS Phase I O&amp;M and ODC </w:t>
      </w:r>
      <w:r w:rsidR="0005631A" w:rsidRPr="003B4AEE">
        <w:t>A</w:t>
      </w:r>
      <w:r w:rsidR="00965B02" w:rsidRPr="003B4AEE">
        <w:t xml:space="preserve">verage </w:t>
      </w:r>
      <w:r w:rsidR="0005631A" w:rsidRPr="003B4AEE">
        <w:t>A</w:t>
      </w:r>
      <w:r w:rsidR="00965B02" w:rsidRPr="003B4AEE">
        <w:t xml:space="preserve">nnual </w:t>
      </w:r>
      <w:r w:rsidR="0005631A" w:rsidRPr="003B4AEE">
        <w:t>C</w:t>
      </w:r>
      <w:r w:rsidR="00965B02" w:rsidRPr="003B4AEE">
        <w:t xml:space="preserve">osts </w:t>
      </w:r>
      <w:r w:rsidR="001A7BC4" w:rsidRPr="003B4AEE">
        <w:t xml:space="preserve">per </w:t>
      </w:r>
      <w:r w:rsidR="0005631A" w:rsidRPr="003B4AEE">
        <w:t>P</w:t>
      </w:r>
      <w:r w:rsidR="00965B02" w:rsidRPr="003B4AEE">
        <w:t>ermit</w:t>
      </w:r>
      <w:bookmarkEnd w:id="448"/>
    </w:p>
    <w:tbl>
      <w:tblPr>
        <w:tblStyle w:val="TableGrid"/>
        <w:tblW w:w="0" w:type="auto"/>
        <w:tblLook w:val="04A0" w:firstRow="1" w:lastRow="0" w:firstColumn="1" w:lastColumn="0" w:noHBand="0" w:noVBand="1"/>
      </w:tblPr>
      <w:tblGrid>
        <w:gridCol w:w="6565"/>
        <w:gridCol w:w="2160"/>
      </w:tblGrid>
      <w:tr w:rsidR="002E20B8" w:rsidRPr="003B4AEE" w14:paraId="26C5177A" w14:textId="714CD9FD" w:rsidTr="00C76096">
        <w:tc>
          <w:tcPr>
            <w:tcW w:w="6565" w:type="dxa"/>
            <w:shd w:val="clear" w:color="auto" w:fill="D9D9D9" w:themeFill="background1" w:themeFillShade="D9"/>
            <w:vAlign w:val="bottom"/>
          </w:tcPr>
          <w:p w14:paraId="6AF205CA" w14:textId="7772E548" w:rsidR="002E20B8" w:rsidRPr="003B4AEE" w:rsidRDefault="002E20B8" w:rsidP="00C76096">
            <w:pPr>
              <w:pStyle w:val="TableHeading"/>
            </w:pPr>
            <w:r w:rsidRPr="003B4AEE">
              <w:t xml:space="preserve">Activity </w:t>
            </w:r>
            <w:r w:rsidR="00965B02" w:rsidRPr="003B4AEE">
              <w:t>category</w:t>
            </w:r>
          </w:p>
        </w:tc>
        <w:tc>
          <w:tcPr>
            <w:tcW w:w="2160" w:type="dxa"/>
            <w:shd w:val="clear" w:color="auto" w:fill="D9D9D9" w:themeFill="background1" w:themeFillShade="D9"/>
            <w:vAlign w:val="bottom"/>
          </w:tcPr>
          <w:p w14:paraId="61D4FD42" w14:textId="5958FBFF" w:rsidR="00383121" w:rsidRPr="003B4AEE" w:rsidRDefault="002E20B8" w:rsidP="00AC5B6C">
            <w:pPr>
              <w:pStyle w:val="TableHeading"/>
            </w:pPr>
            <w:r w:rsidRPr="003B4AEE">
              <w:t>O&amp;M/ODC Cos</w:t>
            </w:r>
            <w:r w:rsidR="00AC5B6C" w:rsidRPr="003B4AEE">
              <w:t>t</w:t>
            </w:r>
          </w:p>
        </w:tc>
      </w:tr>
      <w:tr w:rsidR="00B04F2E" w:rsidRPr="003B4AEE" w14:paraId="66F06B55" w14:textId="201A586D" w:rsidTr="00C9153B">
        <w:tc>
          <w:tcPr>
            <w:tcW w:w="6565" w:type="dxa"/>
          </w:tcPr>
          <w:p w14:paraId="722261E2" w14:textId="0532B409" w:rsidR="00B04F2E" w:rsidRPr="003B4AEE" w:rsidRDefault="00B04F2E" w:rsidP="00B04F2E">
            <w:pPr>
              <w:pStyle w:val="Tables"/>
            </w:pPr>
            <w:r w:rsidRPr="003B4AEE">
              <w:t>Costs for NPDES permit application activities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120EA4" w14:textId="7775461E" w:rsidR="00B04F2E" w:rsidRPr="003B4AEE" w:rsidRDefault="00B04F2E" w:rsidP="00B04F2E">
            <w:pPr>
              <w:pStyle w:val="Tables"/>
              <w:jc w:val="right"/>
            </w:pPr>
            <w:r w:rsidRPr="003B4AEE">
              <w:t xml:space="preserve">$37,278 </w:t>
            </w:r>
          </w:p>
        </w:tc>
      </w:tr>
      <w:tr w:rsidR="00B04F2E" w:rsidRPr="003B4AEE" w14:paraId="0EF34EC7" w14:textId="77777777" w:rsidTr="00C9153B">
        <w:tc>
          <w:tcPr>
            <w:tcW w:w="6565" w:type="dxa"/>
          </w:tcPr>
          <w:p w14:paraId="2279A17A" w14:textId="7A1A64E8" w:rsidR="00B04F2E" w:rsidRPr="003B4AEE" w:rsidRDefault="00B04F2E" w:rsidP="00B04F2E">
            <w:pPr>
              <w:pStyle w:val="Tables"/>
            </w:pPr>
            <w:r w:rsidRPr="003B4AEE">
              <w:t>Costs for NPDES permit renewal activities</w:t>
            </w:r>
          </w:p>
        </w:tc>
        <w:tc>
          <w:tcPr>
            <w:tcW w:w="2160" w:type="dxa"/>
            <w:tcBorders>
              <w:top w:val="nil"/>
              <w:left w:val="single" w:sz="4" w:space="0" w:color="auto"/>
              <w:bottom w:val="single" w:sz="4" w:space="0" w:color="auto"/>
              <w:right w:val="single" w:sz="4" w:space="0" w:color="auto"/>
            </w:tcBorders>
            <w:shd w:val="clear" w:color="auto" w:fill="auto"/>
          </w:tcPr>
          <w:p w14:paraId="2F3492DF" w14:textId="245BC07C" w:rsidR="00B04F2E" w:rsidRPr="003B4AEE" w:rsidRDefault="00B04F2E" w:rsidP="00B04F2E">
            <w:pPr>
              <w:pStyle w:val="Tables"/>
              <w:jc w:val="right"/>
            </w:pPr>
            <w:r w:rsidRPr="003B4AEE">
              <w:t xml:space="preserve">$32,225 </w:t>
            </w:r>
          </w:p>
        </w:tc>
      </w:tr>
      <w:tr w:rsidR="00B04F2E" w:rsidRPr="003B4AEE" w14:paraId="0C49C9EC" w14:textId="77777777" w:rsidTr="00C9153B">
        <w:tc>
          <w:tcPr>
            <w:tcW w:w="6565" w:type="dxa"/>
          </w:tcPr>
          <w:p w14:paraId="68E9C5A7" w14:textId="16D33080" w:rsidR="00B04F2E" w:rsidRPr="003B4AEE" w:rsidRDefault="00B04F2E" w:rsidP="00B04F2E">
            <w:pPr>
              <w:pStyle w:val="Tables"/>
            </w:pPr>
            <w:r w:rsidRPr="003B4AEE">
              <w:t>Costs for NPDES permit annual activities</w:t>
            </w:r>
          </w:p>
        </w:tc>
        <w:tc>
          <w:tcPr>
            <w:tcW w:w="2160" w:type="dxa"/>
          </w:tcPr>
          <w:p w14:paraId="6B508D4E" w14:textId="0597E807" w:rsidR="00B04F2E" w:rsidRPr="003B4AEE" w:rsidRDefault="00B04F2E" w:rsidP="00B04F2E">
            <w:pPr>
              <w:pStyle w:val="Tables"/>
              <w:jc w:val="right"/>
            </w:pPr>
            <w:r w:rsidRPr="003B4AEE">
              <w:t xml:space="preserve">$11,729 </w:t>
            </w:r>
          </w:p>
        </w:tc>
      </w:tr>
    </w:tbl>
    <w:p w14:paraId="6CE703CB" w14:textId="136AC0D1" w:rsidR="00E16FA4" w:rsidRPr="003B4AEE" w:rsidRDefault="009E665B" w:rsidP="00425FEE">
      <w:pPr>
        <w:pStyle w:val="Heading5"/>
      </w:pPr>
      <w:bookmarkStart w:id="449" w:name="_Hlk59436300"/>
      <w:r w:rsidRPr="003B4AEE">
        <w:t>A.2.2.</w:t>
      </w:r>
      <w:r w:rsidR="000C79D6" w:rsidRPr="003B4AEE">
        <w:t>6.2</w:t>
      </w:r>
      <w:r w:rsidR="00C71FC3" w:rsidRPr="003B4AEE">
        <w:t>.</w:t>
      </w:r>
      <w:r w:rsidR="00E16FA4" w:rsidRPr="003B4AEE">
        <w:t xml:space="preserve"> </w:t>
      </w:r>
      <w:r w:rsidR="00781B46" w:rsidRPr="003B4AEE">
        <w:t>CWIS</w:t>
      </w:r>
      <w:r w:rsidR="00E16FA4" w:rsidRPr="003B4AEE">
        <w:t xml:space="preserve"> Phase III - New Offshore Oil and Gas Facilities</w:t>
      </w:r>
      <w:r w:rsidR="00197619" w:rsidRPr="003B4AEE">
        <w:t xml:space="preserve"> O&amp;M Costs</w:t>
      </w:r>
    </w:p>
    <w:bookmarkEnd w:id="449"/>
    <w:p w14:paraId="73A13457" w14:textId="7B9DAC87" w:rsidR="0085470C" w:rsidRPr="003B4AEE" w:rsidRDefault="009023BF" w:rsidP="00C1544E">
      <w:pPr>
        <w:pStyle w:val="BodyText"/>
      </w:pPr>
      <w:r w:rsidRPr="003B4AEE">
        <w:t xml:space="preserve">Estimated </w:t>
      </w:r>
      <w:r w:rsidR="004411E7" w:rsidRPr="003B4AEE">
        <w:t xml:space="preserve">O&amp;M costs for permit application </w:t>
      </w:r>
      <w:r w:rsidRPr="003B4AEE">
        <w:t xml:space="preserve">and permit renewal </w:t>
      </w:r>
      <w:r w:rsidR="004411E7" w:rsidRPr="003B4AEE">
        <w:t>activities include $</w:t>
      </w:r>
      <w:r w:rsidR="00624A8F" w:rsidRPr="003B4AEE">
        <w:t>1,073</w:t>
      </w:r>
      <w:r w:rsidR="004C4E94" w:rsidRPr="003B4AEE">
        <w:t xml:space="preserve"> </w:t>
      </w:r>
      <w:r w:rsidR="004411E7" w:rsidRPr="003B4AEE">
        <w:t xml:space="preserve">for </w:t>
      </w:r>
      <w:r w:rsidRPr="003B4AEE">
        <w:t xml:space="preserve">various </w:t>
      </w:r>
      <w:r w:rsidR="004411E7" w:rsidRPr="003B4AEE">
        <w:t>ODCs</w:t>
      </w:r>
      <w:r w:rsidRPr="003B4AEE">
        <w:t xml:space="preserve">. </w:t>
      </w:r>
      <w:r w:rsidR="004411E7" w:rsidRPr="003B4AEE">
        <w:t>For annual O&amp;M costs, EPA assumed that the analysis of impingement monitoring samples will be done on-site, while entrainment monitoring samples is performed by an outside laboratory. Laboratory analysis for entrainment samples is estimated to cost $</w:t>
      </w:r>
      <w:r w:rsidR="00473457" w:rsidRPr="003B4AEE">
        <w:t>4,283</w:t>
      </w:r>
      <w:r w:rsidR="004411E7" w:rsidRPr="003B4AEE">
        <w:t xml:space="preserve"> per year per facility. The ODCs associated with biological monitoring are estimated to be approximately $</w:t>
      </w:r>
      <w:r w:rsidR="00473457" w:rsidRPr="003B4AEE">
        <w:t xml:space="preserve">939 </w:t>
      </w:r>
      <w:r w:rsidR="004411E7" w:rsidRPr="003B4AEE">
        <w:t xml:space="preserve">per facility. </w:t>
      </w:r>
      <w:r w:rsidRPr="003B4AEE">
        <w:t>Table A</w:t>
      </w:r>
      <w:r w:rsidR="001A6DA0" w:rsidRPr="003B4AEE">
        <w:t>-</w:t>
      </w:r>
      <w:r w:rsidR="009A7DCF" w:rsidRPr="003B4AEE">
        <w:t>2</w:t>
      </w:r>
      <w:r w:rsidR="001A6DA0" w:rsidRPr="003B4AEE">
        <w:t>1</w:t>
      </w:r>
      <w:r w:rsidRPr="003B4AEE">
        <w:t xml:space="preserve"> presents a summary of the estimated annual O&amp;M costs across all CWIS Phase II</w:t>
      </w:r>
      <w:r w:rsidR="00A70D2D" w:rsidRPr="003B4AEE">
        <w:t>I</w:t>
      </w:r>
      <w:r w:rsidRPr="003B4AEE">
        <w:t xml:space="preserve"> Facilities</w:t>
      </w:r>
    </w:p>
    <w:p w14:paraId="4B741A4D" w14:textId="55CD513B" w:rsidR="00A70D2D" w:rsidRPr="003B4AEE" w:rsidRDefault="00A70D2D" w:rsidP="00C1544E">
      <w:pPr>
        <w:pStyle w:val="TableTitleAppendix"/>
      </w:pPr>
      <w:bookmarkStart w:id="450" w:name="_Toc61521432"/>
      <w:r w:rsidRPr="003B4AEE">
        <w:t>Table A</w:t>
      </w:r>
      <w:r w:rsidR="00054BE9" w:rsidRPr="003B4AEE">
        <w:t>-</w:t>
      </w:r>
      <w:r w:rsidR="009A7DCF" w:rsidRPr="003B4AEE">
        <w:t>2</w:t>
      </w:r>
      <w:r w:rsidR="001A6DA0" w:rsidRPr="003B4AEE">
        <w:t>1</w:t>
      </w:r>
      <w:r w:rsidR="00054BE9" w:rsidRPr="003B4AEE">
        <w:t>.</w:t>
      </w:r>
      <w:r w:rsidRPr="003B4AEE">
        <w:t xml:space="preserve"> Summary of </w:t>
      </w:r>
      <w:r w:rsidR="00E07DBB" w:rsidRPr="003B4AEE">
        <w:t>E</w:t>
      </w:r>
      <w:r w:rsidR="00965B02" w:rsidRPr="003B4AEE">
        <w:t xml:space="preserve">stimated </w:t>
      </w:r>
      <w:r w:rsidR="00E07DBB" w:rsidRPr="003B4AEE">
        <w:t>A</w:t>
      </w:r>
      <w:r w:rsidR="00965B02" w:rsidRPr="003B4AEE">
        <w:t xml:space="preserve">nnual </w:t>
      </w:r>
      <w:r w:rsidR="00E07DBB" w:rsidRPr="003B4AEE">
        <w:t>T</w:t>
      </w:r>
      <w:r w:rsidR="00965B02" w:rsidRPr="003B4AEE">
        <w:t xml:space="preserve">otal </w:t>
      </w:r>
      <w:r w:rsidRPr="003B4AEE">
        <w:t xml:space="preserve">O&amp;M </w:t>
      </w:r>
      <w:r w:rsidR="00E07DBB" w:rsidRPr="003B4AEE">
        <w:t>C</w:t>
      </w:r>
      <w:r w:rsidR="00965B02" w:rsidRPr="003B4AEE">
        <w:t xml:space="preserve">osts </w:t>
      </w:r>
      <w:r w:rsidRPr="003B4AEE">
        <w:t xml:space="preserve">for </w:t>
      </w:r>
      <w:r w:rsidR="00E07DBB" w:rsidRPr="003B4AEE">
        <w:t>A</w:t>
      </w:r>
      <w:r w:rsidR="00965B02" w:rsidRPr="003B4AEE">
        <w:t xml:space="preserve">ll </w:t>
      </w:r>
      <w:r w:rsidRPr="003B4AEE">
        <w:t xml:space="preserve">CWIS Phase III </w:t>
      </w:r>
      <w:r w:rsidR="00E07DBB" w:rsidRPr="003B4AEE">
        <w:t>F</w:t>
      </w:r>
      <w:r w:rsidR="00965B02" w:rsidRPr="003B4AEE">
        <w:t>acilities</w:t>
      </w:r>
      <w:bookmarkEnd w:id="450"/>
    </w:p>
    <w:tbl>
      <w:tblPr>
        <w:tblStyle w:val="TableGrid"/>
        <w:tblW w:w="0" w:type="auto"/>
        <w:jc w:val="center"/>
        <w:tblLook w:val="04A0" w:firstRow="1" w:lastRow="0" w:firstColumn="1" w:lastColumn="0" w:noHBand="0" w:noVBand="1"/>
      </w:tblPr>
      <w:tblGrid>
        <w:gridCol w:w="6385"/>
        <w:gridCol w:w="2340"/>
      </w:tblGrid>
      <w:tr w:rsidR="003E3D0D" w:rsidRPr="003B4AEE" w14:paraId="78740BC5" w14:textId="77777777" w:rsidTr="00C1544E">
        <w:trPr>
          <w:jc w:val="center"/>
        </w:trPr>
        <w:tc>
          <w:tcPr>
            <w:tcW w:w="6385" w:type="dxa"/>
            <w:shd w:val="clear" w:color="auto" w:fill="D9D9D9" w:themeFill="background1" w:themeFillShade="D9"/>
            <w:vAlign w:val="bottom"/>
          </w:tcPr>
          <w:p w14:paraId="125E6D33" w14:textId="5350AA32" w:rsidR="003E3D0D" w:rsidRPr="003B4AEE" w:rsidRDefault="000B2EE3" w:rsidP="00C76096">
            <w:pPr>
              <w:pStyle w:val="TableHeading"/>
            </w:pPr>
            <w:r w:rsidRPr="003B4AEE">
              <w:t xml:space="preserve">Activity </w:t>
            </w:r>
            <w:r w:rsidR="00E07DBB" w:rsidRPr="003B4AEE">
              <w:t>C</w:t>
            </w:r>
            <w:r w:rsidR="00965B02" w:rsidRPr="003B4AEE">
              <w:t>ategory</w:t>
            </w:r>
          </w:p>
        </w:tc>
        <w:tc>
          <w:tcPr>
            <w:tcW w:w="2340" w:type="dxa"/>
            <w:shd w:val="clear" w:color="auto" w:fill="D9D9D9" w:themeFill="background1" w:themeFillShade="D9"/>
            <w:vAlign w:val="bottom"/>
          </w:tcPr>
          <w:p w14:paraId="6D8A949C" w14:textId="1287840A" w:rsidR="003E3D0D" w:rsidRPr="003B4AEE" w:rsidRDefault="003E3D0D" w:rsidP="00AC5B6C">
            <w:pPr>
              <w:pStyle w:val="TableHeading"/>
            </w:pPr>
            <w:r w:rsidRPr="003B4AEE">
              <w:t>O&amp;M/ODC Cost</w:t>
            </w:r>
          </w:p>
        </w:tc>
      </w:tr>
      <w:tr w:rsidR="00B04F2E" w:rsidRPr="003B4AEE" w14:paraId="0106DFEC" w14:textId="77777777" w:rsidTr="00C1544E">
        <w:trPr>
          <w:jc w:val="center"/>
        </w:trPr>
        <w:tc>
          <w:tcPr>
            <w:tcW w:w="6385" w:type="dxa"/>
          </w:tcPr>
          <w:p w14:paraId="16F48260" w14:textId="035AABCB" w:rsidR="00B04F2E" w:rsidRPr="003B4AEE" w:rsidRDefault="00B04F2E" w:rsidP="00B04F2E">
            <w:pPr>
              <w:pStyle w:val="Tables"/>
            </w:pPr>
            <w:r w:rsidRPr="003B4AEE">
              <w:t>Total facility cost estimates for NPDES permit application activities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D3A4F74" w14:textId="6C162C10" w:rsidR="00B04F2E" w:rsidRPr="003B4AEE" w:rsidRDefault="00B04F2E" w:rsidP="00B04F2E">
            <w:pPr>
              <w:pStyle w:val="Tables"/>
              <w:jc w:val="right"/>
            </w:pPr>
            <w:r w:rsidRPr="003B4AEE">
              <w:t>$6,441</w:t>
            </w:r>
          </w:p>
        </w:tc>
      </w:tr>
      <w:tr w:rsidR="00B04F2E" w:rsidRPr="003B4AEE" w14:paraId="6BFA1148" w14:textId="77777777" w:rsidTr="00C1544E">
        <w:trPr>
          <w:jc w:val="center"/>
        </w:trPr>
        <w:tc>
          <w:tcPr>
            <w:tcW w:w="6385" w:type="dxa"/>
          </w:tcPr>
          <w:p w14:paraId="7FC91ED9" w14:textId="057E7CC4" w:rsidR="00B04F2E" w:rsidRPr="003B4AEE" w:rsidRDefault="00B04F2E" w:rsidP="00B04F2E">
            <w:pPr>
              <w:pStyle w:val="Tables"/>
            </w:pPr>
            <w:r w:rsidRPr="003B4AEE">
              <w:t>Total facility cost estimates for NPDES permit application activities (renewals)</w:t>
            </w:r>
          </w:p>
        </w:tc>
        <w:tc>
          <w:tcPr>
            <w:tcW w:w="2340" w:type="dxa"/>
            <w:tcBorders>
              <w:top w:val="nil"/>
              <w:left w:val="single" w:sz="4" w:space="0" w:color="auto"/>
              <w:bottom w:val="single" w:sz="4" w:space="0" w:color="auto"/>
              <w:right w:val="single" w:sz="4" w:space="0" w:color="auto"/>
            </w:tcBorders>
            <w:shd w:val="clear" w:color="auto" w:fill="auto"/>
          </w:tcPr>
          <w:p w14:paraId="61B15AED" w14:textId="6B142958" w:rsidR="00B04F2E" w:rsidRPr="003B4AEE" w:rsidRDefault="00B04F2E" w:rsidP="00B04F2E">
            <w:pPr>
              <w:pStyle w:val="Tables"/>
              <w:jc w:val="right"/>
            </w:pPr>
            <w:r w:rsidRPr="003B4AEE">
              <w:t>$6,441</w:t>
            </w:r>
          </w:p>
        </w:tc>
      </w:tr>
      <w:tr w:rsidR="00B04F2E" w:rsidRPr="003B4AEE" w14:paraId="6CB0AF03" w14:textId="77777777" w:rsidTr="00C1544E">
        <w:trPr>
          <w:jc w:val="center"/>
        </w:trPr>
        <w:tc>
          <w:tcPr>
            <w:tcW w:w="6385" w:type="dxa"/>
          </w:tcPr>
          <w:p w14:paraId="7375F987" w14:textId="60851AEE" w:rsidR="00B04F2E" w:rsidRPr="003B4AEE" w:rsidRDefault="00B04F2E" w:rsidP="00B04F2E">
            <w:pPr>
              <w:pStyle w:val="Tables"/>
            </w:pPr>
            <w:r w:rsidRPr="003B4AEE">
              <w:t>Total facility cost estimates for annual monitoring and inspection activities</w:t>
            </w:r>
          </w:p>
        </w:tc>
        <w:tc>
          <w:tcPr>
            <w:tcW w:w="2340" w:type="dxa"/>
            <w:tcBorders>
              <w:top w:val="nil"/>
              <w:left w:val="single" w:sz="4" w:space="0" w:color="auto"/>
              <w:bottom w:val="single" w:sz="4" w:space="0" w:color="auto"/>
              <w:right w:val="single" w:sz="4" w:space="0" w:color="auto"/>
            </w:tcBorders>
            <w:shd w:val="clear" w:color="auto" w:fill="auto"/>
          </w:tcPr>
          <w:p w14:paraId="0FF2B259" w14:textId="5A64805D" w:rsidR="00B04F2E" w:rsidRPr="003B4AEE" w:rsidRDefault="00B04F2E" w:rsidP="00B04F2E">
            <w:pPr>
              <w:pStyle w:val="Tables"/>
              <w:jc w:val="right"/>
            </w:pPr>
            <w:r w:rsidRPr="003B4AEE">
              <w:t>$916,327</w:t>
            </w:r>
          </w:p>
        </w:tc>
      </w:tr>
    </w:tbl>
    <w:p w14:paraId="73FCE0E5" w14:textId="77777777" w:rsidR="00C1544E" w:rsidRPr="003B4AEE" w:rsidRDefault="00C1544E" w:rsidP="00C1544E">
      <w:pPr>
        <w:spacing w:after="0"/>
      </w:pPr>
    </w:p>
    <w:p w14:paraId="76C3359C" w14:textId="2F112348" w:rsidR="009E665B" w:rsidRPr="003B4AEE" w:rsidRDefault="009E665B" w:rsidP="00F463D4">
      <w:pPr>
        <w:pStyle w:val="Heading5"/>
      </w:pPr>
      <w:r w:rsidRPr="003B4AEE">
        <w:t>A.2.2.</w:t>
      </w:r>
      <w:r w:rsidR="000C79D6" w:rsidRPr="003B4AEE">
        <w:t>6.3</w:t>
      </w:r>
      <w:r w:rsidR="00C71FC3" w:rsidRPr="003B4AEE">
        <w:t>.</w:t>
      </w:r>
      <w:r w:rsidRPr="003B4AEE">
        <w:t xml:space="preserve"> </w:t>
      </w:r>
      <w:r w:rsidR="00781B46" w:rsidRPr="003B4AEE">
        <w:t>CWIS</w:t>
      </w:r>
      <w:r w:rsidRPr="003B4AEE">
        <w:t xml:space="preserve"> Existing Facility O&amp;M Costs</w:t>
      </w:r>
    </w:p>
    <w:p w14:paraId="7C73480A" w14:textId="4869B11F" w:rsidR="0085470C" w:rsidRPr="003B4AEE" w:rsidRDefault="00A70D2D" w:rsidP="00C1544E">
      <w:pPr>
        <w:pStyle w:val="BodyText"/>
      </w:pPr>
      <w:r w:rsidRPr="003B4AEE">
        <w:t xml:space="preserve">O&amp;M costs include costs for the operation and upkeep of capital equipment, cost for the purchase of contracted services, such as laboratory analyses, and the purchase of supplies such as filing cabinets and services such as photocopying or boat rental which are referred to as other direct costs (ODCs). Table </w:t>
      </w:r>
      <w:r w:rsidR="00241CDF" w:rsidRPr="003B4AEE">
        <w:t>A</w:t>
      </w:r>
      <w:r w:rsidR="001A6DA0" w:rsidRPr="003B4AEE">
        <w:t>-</w:t>
      </w:r>
      <w:r w:rsidR="009A7DCF" w:rsidRPr="003B4AEE">
        <w:t>2</w:t>
      </w:r>
      <w:r w:rsidR="001A6DA0" w:rsidRPr="003B4AEE">
        <w:t>2</w:t>
      </w:r>
      <w:r w:rsidR="00241CDF" w:rsidRPr="003B4AEE">
        <w:t xml:space="preserve"> </w:t>
      </w:r>
      <w:r w:rsidR="00642035" w:rsidRPr="003B4AEE">
        <w:t xml:space="preserve">presents a summary of the </w:t>
      </w:r>
      <w:r w:rsidR="00641480" w:rsidRPr="003B4AEE">
        <w:t>estimated annual O&amp;M costs across all CWIS Existing Facilities.</w:t>
      </w:r>
    </w:p>
    <w:p w14:paraId="4488B442" w14:textId="113DB033" w:rsidR="00F81216" w:rsidRPr="003B4AEE" w:rsidRDefault="00F81216" w:rsidP="00C1544E">
      <w:pPr>
        <w:pStyle w:val="TableTitleAppendix"/>
      </w:pPr>
      <w:bookmarkStart w:id="451" w:name="_Toc61521433"/>
      <w:r w:rsidRPr="003B4AEE">
        <w:lastRenderedPageBreak/>
        <w:t>Table A</w:t>
      </w:r>
      <w:r w:rsidR="00054BE9" w:rsidRPr="003B4AEE">
        <w:t>-</w:t>
      </w:r>
      <w:r w:rsidR="009A7DCF" w:rsidRPr="003B4AEE">
        <w:t>2</w:t>
      </w:r>
      <w:r w:rsidR="001A6DA0" w:rsidRPr="003B4AEE">
        <w:t>2</w:t>
      </w:r>
      <w:r w:rsidR="00054BE9" w:rsidRPr="003B4AEE">
        <w:t>.</w:t>
      </w:r>
      <w:r w:rsidR="00835725" w:rsidRPr="003B4AEE">
        <w:t xml:space="preserve"> Estimated </w:t>
      </w:r>
      <w:r w:rsidR="00E07DBB" w:rsidRPr="003B4AEE">
        <w:t>A</w:t>
      </w:r>
      <w:r w:rsidR="00305979" w:rsidRPr="003B4AEE">
        <w:t xml:space="preserve">nnual </w:t>
      </w:r>
      <w:r w:rsidR="00835725" w:rsidRPr="003B4AEE">
        <w:t xml:space="preserve">O&amp;M </w:t>
      </w:r>
      <w:r w:rsidR="00E07DBB" w:rsidRPr="003B4AEE">
        <w:t>C</w:t>
      </w:r>
      <w:r w:rsidR="00305979" w:rsidRPr="003B4AEE">
        <w:t xml:space="preserve">osts </w:t>
      </w:r>
      <w:r w:rsidR="00835725" w:rsidRPr="003B4AEE">
        <w:t xml:space="preserve">for </w:t>
      </w:r>
      <w:r w:rsidR="00E07DBB" w:rsidRPr="003B4AEE">
        <w:t>E</w:t>
      </w:r>
      <w:r w:rsidR="00305979" w:rsidRPr="003B4AEE">
        <w:t xml:space="preserve">xisting </w:t>
      </w:r>
      <w:r w:rsidR="00E07DBB" w:rsidRPr="003B4AEE">
        <w:t>F</w:t>
      </w:r>
      <w:r w:rsidR="00305979" w:rsidRPr="003B4AEE">
        <w:t>acility</w:t>
      </w:r>
      <w:bookmarkEnd w:id="451"/>
    </w:p>
    <w:tbl>
      <w:tblPr>
        <w:tblStyle w:val="TableGrid"/>
        <w:tblW w:w="0" w:type="auto"/>
        <w:tblLook w:val="04A0" w:firstRow="1" w:lastRow="0" w:firstColumn="1" w:lastColumn="0" w:noHBand="0" w:noVBand="1"/>
      </w:tblPr>
      <w:tblGrid>
        <w:gridCol w:w="6385"/>
        <w:gridCol w:w="2520"/>
      </w:tblGrid>
      <w:tr w:rsidR="00D241E8" w:rsidRPr="003B4AEE" w14:paraId="5F56116E" w14:textId="77777777" w:rsidTr="001F6B4F">
        <w:tc>
          <w:tcPr>
            <w:tcW w:w="6385" w:type="dxa"/>
            <w:shd w:val="clear" w:color="auto" w:fill="D9D9D9" w:themeFill="background1" w:themeFillShade="D9"/>
          </w:tcPr>
          <w:p w14:paraId="25AD1CE4" w14:textId="32015885" w:rsidR="00D241E8" w:rsidRPr="003B4AEE" w:rsidRDefault="00266FBC" w:rsidP="009F1C6B">
            <w:pPr>
              <w:pStyle w:val="TableHeading"/>
            </w:pPr>
            <w:r w:rsidRPr="003B4AEE">
              <w:t>Activity Category</w:t>
            </w:r>
          </w:p>
        </w:tc>
        <w:tc>
          <w:tcPr>
            <w:tcW w:w="2520" w:type="dxa"/>
            <w:shd w:val="clear" w:color="auto" w:fill="D9D9D9" w:themeFill="background1" w:themeFillShade="D9"/>
          </w:tcPr>
          <w:p w14:paraId="382E328D" w14:textId="2AB3B3C2" w:rsidR="00D241E8" w:rsidRPr="003B4AEE" w:rsidRDefault="00266FBC" w:rsidP="009F1C6B">
            <w:pPr>
              <w:pStyle w:val="TableHeading"/>
            </w:pPr>
            <w:r w:rsidRPr="003B4AEE">
              <w:t>O&amp;M/ODC Cost (September 2020 Dollars)</w:t>
            </w:r>
          </w:p>
        </w:tc>
      </w:tr>
      <w:tr w:rsidR="00B04F2E" w:rsidRPr="003B4AEE" w14:paraId="6BE65FC9" w14:textId="77777777" w:rsidTr="001F6B4F">
        <w:tc>
          <w:tcPr>
            <w:tcW w:w="6385" w:type="dxa"/>
            <w:tcBorders>
              <w:bottom w:val="single" w:sz="4" w:space="0" w:color="auto"/>
            </w:tcBorders>
          </w:tcPr>
          <w:p w14:paraId="03E78A5F" w14:textId="4B03D20C" w:rsidR="00B04F2E" w:rsidRPr="003B4AEE" w:rsidRDefault="00266FBC" w:rsidP="00B04F2E">
            <w:pPr>
              <w:pStyle w:val="Tables"/>
            </w:pPr>
            <w:r w:rsidRPr="003B4AEE">
              <w:t>Total facility cost estimates for NPDES permit application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4B41715" w14:textId="60E46F0A" w:rsidR="00B04F2E" w:rsidRPr="003B4AEE" w:rsidRDefault="00266FBC" w:rsidP="00B04F2E">
            <w:pPr>
              <w:pStyle w:val="Tables"/>
              <w:jc w:val="right"/>
            </w:pPr>
            <w:r w:rsidRPr="003B4AEE">
              <w:t>$6,441</w:t>
            </w:r>
          </w:p>
        </w:tc>
      </w:tr>
      <w:tr w:rsidR="00B04F2E" w:rsidRPr="003B4AEE" w14:paraId="0B024D0D" w14:textId="77777777" w:rsidTr="001F6B4F">
        <w:tc>
          <w:tcPr>
            <w:tcW w:w="6385" w:type="dxa"/>
            <w:tcBorders>
              <w:top w:val="single" w:sz="4" w:space="0" w:color="auto"/>
              <w:bottom w:val="single" w:sz="4" w:space="0" w:color="auto"/>
            </w:tcBorders>
          </w:tcPr>
          <w:p w14:paraId="16B153F8" w14:textId="02E0BD05" w:rsidR="00B04F2E" w:rsidRPr="003B4AEE" w:rsidRDefault="00266FBC" w:rsidP="00B04F2E">
            <w:pPr>
              <w:pStyle w:val="Tables"/>
            </w:pPr>
            <w:r w:rsidRPr="003B4AEE">
              <w:t>Total facility cost estimates for NPDES permit application activities (renewals)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BEF00E6" w14:textId="59DA10FC" w:rsidR="00B04F2E" w:rsidRPr="003B4AEE" w:rsidRDefault="00266FBC" w:rsidP="00B04F2E">
            <w:pPr>
              <w:pStyle w:val="Tables"/>
              <w:jc w:val="right"/>
            </w:pPr>
            <w:r w:rsidRPr="003B4AEE">
              <w:t>$6,441</w:t>
            </w:r>
          </w:p>
        </w:tc>
      </w:tr>
      <w:tr w:rsidR="00266FBC" w:rsidRPr="003B4AEE" w14:paraId="06C224C8" w14:textId="77777777" w:rsidTr="001F6B4F">
        <w:tc>
          <w:tcPr>
            <w:tcW w:w="6385" w:type="dxa"/>
            <w:tcBorders>
              <w:top w:val="single" w:sz="4" w:space="0" w:color="auto"/>
            </w:tcBorders>
          </w:tcPr>
          <w:p w14:paraId="45E7F522" w14:textId="7D3479B5" w:rsidR="00266FBC" w:rsidRPr="003B4AEE" w:rsidRDefault="00266FBC" w:rsidP="00266FBC">
            <w:pPr>
              <w:pStyle w:val="Tables"/>
            </w:pPr>
            <w:r w:rsidRPr="003B4AEE">
              <w:t>Total facility cost estimates for annual monitoring and inspection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B3E76D" w14:textId="3DEA03B7" w:rsidR="00266FBC" w:rsidRPr="003B4AEE" w:rsidRDefault="00266FBC" w:rsidP="00266FBC">
            <w:pPr>
              <w:pStyle w:val="Tables"/>
              <w:jc w:val="right"/>
            </w:pPr>
            <w:r w:rsidRPr="003B4AEE">
              <w:t>$916,327</w:t>
            </w:r>
          </w:p>
        </w:tc>
      </w:tr>
    </w:tbl>
    <w:p w14:paraId="4A297478" w14:textId="3257C135" w:rsidR="00D20C92" w:rsidRPr="003B4AEE" w:rsidRDefault="00D20C92" w:rsidP="00D20C92">
      <w:bookmarkStart w:id="452" w:name="_Toc61289958"/>
      <w:bookmarkStart w:id="453" w:name="_Toc61348608"/>
      <w:bookmarkStart w:id="454" w:name="_Toc61350639"/>
      <w:bookmarkStart w:id="455" w:name="_Toc61350790"/>
      <w:bookmarkStart w:id="456" w:name="_Toc61350999"/>
      <w:bookmarkStart w:id="457" w:name="_Toc61351460"/>
      <w:bookmarkStart w:id="458" w:name="_Toc61351536"/>
      <w:bookmarkStart w:id="459" w:name="_Toc61512325"/>
      <w:bookmarkStart w:id="460" w:name="_Toc61518382"/>
      <w:bookmarkStart w:id="461" w:name="_Toc61521386"/>
      <w:bookmarkStart w:id="462" w:name="_Toc61289959"/>
      <w:bookmarkStart w:id="463" w:name="_Toc61348609"/>
      <w:bookmarkStart w:id="464" w:name="_Toc61350640"/>
      <w:bookmarkStart w:id="465" w:name="_Toc61350791"/>
      <w:bookmarkStart w:id="466" w:name="_Toc61351000"/>
      <w:bookmarkStart w:id="467" w:name="_Toc61351461"/>
      <w:bookmarkStart w:id="468" w:name="_Toc61351537"/>
      <w:bookmarkStart w:id="469" w:name="_Toc61512326"/>
      <w:bookmarkStart w:id="470" w:name="_Toc61518383"/>
      <w:bookmarkStart w:id="471" w:name="_Toc61521387"/>
      <w:bookmarkStart w:id="472" w:name="_Toc61289960"/>
      <w:bookmarkStart w:id="473" w:name="_Toc61348610"/>
      <w:bookmarkStart w:id="474" w:name="_Toc61350641"/>
      <w:bookmarkStart w:id="475" w:name="_Toc61350792"/>
      <w:bookmarkStart w:id="476" w:name="_Toc61351001"/>
      <w:bookmarkStart w:id="477" w:name="_Toc61351462"/>
      <w:bookmarkStart w:id="478" w:name="_Toc61351538"/>
      <w:bookmarkStart w:id="479" w:name="_Toc61512327"/>
      <w:bookmarkStart w:id="480" w:name="_Toc61518384"/>
      <w:bookmarkStart w:id="481" w:name="_Toc61521388"/>
      <w:bookmarkStart w:id="482" w:name="_Toc300908859"/>
      <w:bookmarkStart w:id="483" w:name="_Hlk59437152"/>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3D3B88A" w14:textId="316C5B04" w:rsidR="00D20C92" w:rsidRPr="003B4AEE" w:rsidRDefault="00D20C92" w:rsidP="00D20C92">
      <w:pPr>
        <w:pStyle w:val="Heading4"/>
      </w:pPr>
      <w:r w:rsidRPr="003B4AEE">
        <w:t>A.2.</w:t>
      </w:r>
      <w:r w:rsidR="00F568F4" w:rsidRPr="003B4AEE">
        <w:t>2.7</w:t>
      </w:r>
      <w:r w:rsidRPr="003B4AEE">
        <w:t xml:space="preserve">. </w:t>
      </w:r>
      <w:r w:rsidR="00F568F4" w:rsidRPr="003B4AEE">
        <w:t xml:space="preserve">Dental </w:t>
      </w:r>
      <w:r w:rsidR="009A3A65" w:rsidRPr="003B4AEE">
        <w:t>Amalgam O&amp;M Costs</w:t>
      </w:r>
    </w:p>
    <w:p w14:paraId="7C5B7A0B" w14:textId="77777777" w:rsidR="00D20C92" w:rsidRPr="003B4AEE" w:rsidRDefault="00D20C92" w:rsidP="00D20C92">
      <w:pPr>
        <w:pStyle w:val="BodyText"/>
      </w:pPr>
      <w:r w:rsidRPr="003B4AEE">
        <w:t>EPA estimates that annual O&amp;M costs to dental offices for reporting postage will be an average of $6,735 and to State and POTW Control Authorities for storage of files will be an average of $2,754.</w:t>
      </w:r>
    </w:p>
    <w:p w14:paraId="76BAA4AF" w14:textId="3F4B6333" w:rsidR="00786817" w:rsidRPr="003B4AEE" w:rsidRDefault="00786817" w:rsidP="006117F7">
      <w:pPr>
        <w:pStyle w:val="Heading9"/>
      </w:pPr>
      <w:bookmarkStart w:id="484" w:name="_Toc71729162"/>
      <w:r w:rsidRPr="003B4AEE">
        <w:t>Capital/Start-up Costs</w:t>
      </w:r>
      <w:bookmarkEnd w:id="482"/>
      <w:bookmarkEnd w:id="484"/>
    </w:p>
    <w:bookmarkEnd w:id="483"/>
    <w:p w14:paraId="714CCDD9" w14:textId="10DF43A9" w:rsidR="00786817" w:rsidRPr="003B4AEE" w:rsidRDefault="00786817" w:rsidP="00C1544E">
      <w:pPr>
        <w:pStyle w:val="BodyText"/>
        <w:rPr>
          <w:b/>
        </w:rPr>
      </w:pPr>
      <w:r w:rsidRPr="003B4AEE">
        <w:t xml:space="preserve">Most calculations in the ICR account for labor costs only. The ICR does, however, account for certain capital and start-up costs incurred by respondents that perform activities outside the normal operating practices. All costs presented in this section have been adjusted with the Consumer Price Index to </w:t>
      </w:r>
      <w:r w:rsidR="00734299" w:rsidRPr="003B4AEE">
        <w:t xml:space="preserve">September </w:t>
      </w:r>
      <w:r w:rsidR="00F420C9" w:rsidRPr="003B4AEE">
        <w:t>20</w:t>
      </w:r>
      <w:r w:rsidR="00734299" w:rsidRPr="003B4AEE">
        <w:t>20</w:t>
      </w:r>
      <w:r w:rsidRPr="003B4AEE">
        <w:t xml:space="preserve"> dollars. These costs are linked to </w:t>
      </w:r>
      <w:r w:rsidR="00A678D4" w:rsidRPr="003B4AEE">
        <w:t>several</w:t>
      </w:r>
      <w:r w:rsidRPr="003B4AEE">
        <w:t xml:space="preserve"> distinctive activities.</w:t>
      </w:r>
    </w:p>
    <w:p w14:paraId="2A81FCD6" w14:textId="4FD65121" w:rsidR="00786817" w:rsidRPr="003B4AEE" w:rsidRDefault="007875DF" w:rsidP="00B101A0">
      <w:pPr>
        <w:pStyle w:val="Heading4"/>
      </w:pPr>
      <w:bookmarkStart w:id="485" w:name="_Hlk59437164"/>
      <w:r w:rsidRPr="003B4AEE">
        <w:t>A.2.3.1</w:t>
      </w:r>
      <w:r w:rsidR="00F11BB6" w:rsidRPr="003B4AEE">
        <w:t>.</w:t>
      </w:r>
      <w:r w:rsidR="00786817" w:rsidRPr="003B4AEE">
        <w:t xml:space="preserve"> CSO Control Policy </w:t>
      </w:r>
      <w:r w:rsidR="00F11BB6" w:rsidRPr="003B4AEE">
        <w:t>(CSO Notification)</w:t>
      </w:r>
    </w:p>
    <w:bookmarkEnd w:id="485"/>
    <w:p w14:paraId="57CD7316" w14:textId="69F918DB" w:rsidR="00786817" w:rsidRPr="003B4AEE" w:rsidRDefault="00786817" w:rsidP="00C1544E">
      <w:pPr>
        <w:pStyle w:val="BodyText"/>
      </w:pPr>
      <w:r w:rsidRPr="003B4AEE">
        <w:fldChar w:fldCharType="begin"/>
      </w:r>
      <w:r w:rsidRPr="003B4AEE">
        <w:instrText xml:space="preserve"> SEQ CHAPTER \h \r 1</w:instrText>
      </w:r>
      <w:r w:rsidRPr="003B4AEE">
        <w:fldChar w:fldCharType="end"/>
      </w:r>
      <w:r w:rsidRPr="003B4AEE">
        <w:t xml:space="preserve">The capital costs associated with public notification of CSO locations, events, and public health and environmental effects are included in this ICR. The costs are for municipalities to </w:t>
      </w:r>
      <w:r w:rsidR="00634EDE" w:rsidRPr="003B4AEE">
        <w:t xml:space="preserve">replace </w:t>
      </w:r>
      <w:r w:rsidRPr="003B4AEE">
        <w:t xml:space="preserve">notification signs. From estimates presented in </w:t>
      </w:r>
      <w:r w:rsidR="00524C44" w:rsidRPr="003B4AEE">
        <w:t>previous ICRs</w:t>
      </w:r>
      <w:r w:rsidRPr="003B4AEE">
        <w:rPr>
          <w:bCs/>
        </w:rPr>
        <w:t xml:space="preserve"> </w:t>
      </w:r>
      <w:r w:rsidRPr="003B4AEE">
        <w:t xml:space="preserve">each sign </w:t>
      </w:r>
      <w:r w:rsidR="00634EDE" w:rsidRPr="003B4AEE">
        <w:t>will be replaced every 10 years which is equal to an average annual cost of $</w:t>
      </w:r>
      <w:r w:rsidR="0079287A" w:rsidRPr="003B4AEE">
        <w:t>13</w:t>
      </w:r>
      <w:r w:rsidR="00634EDE" w:rsidRPr="003B4AEE">
        <w:t>.</w:t>
      </w:r>
    </w:p>
    <w:p w14:paraId="7FC4E88F" w14:textId="69D7BF3A" w:rsidR="00786817" w:rsidRPr="003B4AEE" w:rsidRDefault="007875DF" w:rsidP="00B101A0">
      <w:pPr>
        <w:pStyle w:val="Heading4"/>
      </w:pPr>
      <w:bookmarkStart w:id="486" w:name="_Hlk59437200"/>
      <w:r w:rsidRPr="003B4AEE">
        <w:t>A.2.3.2</w:t>
      </w:r>
      <w:r w:rsidR="00C04949" w:rsidRPr="003B4AEE">
        <w:t>.</w:t>
      </w:r>
      <w:r w:rsidRPr="003B4AEE">
        <w:t xml:space="preserve"> </w:t>
      </w:r>
      <w:r w:rsidR="00786817" w:rsidRPr="003B4AEE">
        <w:t xml:space="preserve">Baseline Determination and Estimate of the Incremental Monitoring Burden and Cost for Remining Sites </w:t>
      </w:r>
      <w:r w:rsidR="005C0FAE" w:rsidRPr="003B4AEE">
        <w:t>(DMR Sampling Analysis)</w:t>
      </w:r>
    </w:p>
    <w:bookmarkEnd w:id="486"/>
    <w:p w14:paraId="1C3B53D1" w14:textId="77777777" w:rsidR="0085470C" w:rsidRPr="003B4AEE" w:rsidRDefault="00786817" w:rsidP="00C1544E">
      <w:pPr>
        <w:pStyle w:val="BodyText"/>
      </w:pPr>
      <w:r w:rsidRPr="003B4AEE">
        <w:t>EPA assumes that flow metering from an installed weir is required for mining sites in Indiana and Tennessee. For all other states, EPA assumes that flow metering is already required and installed as part of the state Rahall remining permit program.</w:t>
      </w:r>
    </w:p>
    <w:p w14:paraId="21A04813" w14:textId="07B7CEC6" w:rsidR="00786817" w:rsidRPr="003B4AEE" w:rsidRDefault="00786817" w:rsidP="00C1544E">
      <w:pPr>
        <w:pStyle w:val="BodyText"/>
      </w:pPr>
      <w:r w:rsidRPr="003B4AEE">
        <w:t>For Indiana and Tennessee, EPA assumes installed weir costs of $1,</w:t>
      </w:r>
      <w:r w:rsidR="00DB6FEE" w:rsidRPr="003B4AEE">
        <w:t>695</w:t>
      </w:r>
      <w:r w:rsidRPr="003B4AEE">
        <w:t xml:space="preserve"> on the basis of an escalation of </w:t>
      </w:r>
      <w:r w:rsidR="008012B3" w:rsidRPr="003B4AEE">
        <w:t>2004</w:t>
      </w:r>
      <w:r w:rsidRPr="003B4AEE">
        <w:t xml:space="preserve"> cost estimates from previous the Baseline Standards and BMPs for the Coal Mining Point Source Category-Coal Remining Subcategory and Western Alkaline Coal Mining Subcategory ICR (OMB </w:t>
      </w:r>
      <w:r w:rsidR="00437796" w:rsidRPr="003B4AEE">
        <w:t>control no.</w:t>
      </w:r>
      <w:r w:rsidRPr="003B4AEE">
        <w:t xml:space="preserve"> 2040-0239; EPA ICR </w:t>
      </w:r>
      <w:r w:rsidR="00437796" w:rsidRPr="003B4AEE">
        <w:t>n</w:t>
      </w:r>
      <w:r w:rsidRPr="003B4AEE">
        <w:t>o. 1944.03)</w:t>
      </w:r>
      <w:r w:rsidRPr="003B4AEE">
        <w:rPr>
          <w:bCs/>
        </w:rPr>
        <w:t xml:space="preserve"> (originally from </w:t>
      </w:r>
      <w:r w:rsidRPr="003B4AEE">
        <w:t xml:space="preserve">Weir &amp; Flume Sales Company and </w:t>
      </w:r>
      <w:proofErr w:type="spellStart"/>
      <w:r w:rsidRPr="003B4AEE">
        <w:t>Tarco</w:t>
      </w:r>
      <w:proofErr w:type="spellEnd"/>
      <w:r w:rsidRPr="003B4AEE">
        <w:t xml:space="preserve"> Tech Industries). Indiana will have 5 sites/year × 4 preexisting discharge points/site. Tennessee will have 9 sites/year × 4 preexisting discharge points/site. These costs are annualized using a 7 percent discount rate and an estimated 10-year life for the weir.</w:t>
      </w:r>
    </w:p>
    <w:p w14:paraId="5470CBBF" w14:textId="30D30B2A" w:rsidR="0002002D" w:rsidRPr="003B4AEE" w:rsidRDefault="0002002D" w:rsidP="00B101A0">
      <w:pPr>
        <w:pStyle w:val="Heading4"/>
      </w:pPr>
      <w:bookmarkStart w:id="487" w:name="_Hlk59437438"/>
      <w:r w:rsidRPr="003B4AEE">
        <w:t>A.2.3.3</w:t>
      </w:r>
      <w:r w:rsidR="00AC765F" w:rsidRPr="003B4AEE">
        <w:t>.</w:t>
      </w:r>
      <w:r w:rsidRPr="003B4AEE">
        <w:t xml:space="preserve"> </w:t>
      </w:r>
      <w:r w:rsidR="00AF481D" w:rsidRPr="003B4AEE">
        <w:t>Start-up Costs for the Animal Sector</w:t>
      </w:r>
    </w:p>
    <w:bookmarkEnd w:id="487"/>
    <w:p w14:paraId="2AA7426E" w14:textId="7FAAF8D4" w:rsidR="0002002D" w:rsidRPr="003B4AEE" w:rsidRDefault="001D64E1" w:rsidP="00C1544E">
      <w:pPr>
        <w:pStyle w:val="BodyText"/>
      </w:pPr>
      <w:r w:rsidRPr="003B4AEE">
        <w:t>S</w:t>
      </w:r>
      <w:r w:rsidR="00AB1D84" w:rsidRPr="003B4AEE">
        <w:t xml:space="preserve">tart-up </w:t>
      </w:r>
      <w:r w:rsidRPr="003B4AEE">
        <w:t xml:space="preserve">capital </w:t>
      </w:r>
      <w:r w:rsidR="00AB1D84" w:rsidRPr="003B4AEE">
        <w:t xml:space="preserve">costs </w:t>
      </w:r>
      <w:r w:rsidRPr="003B4AEE">
        <w:t xml:space="preserve">for </w:t>
      </w:r>
      <w:r w:rsidR="00AB1D84" w:rsidRPr="003B4AEE">
        <w:t xml:space="preserve">Animal Sector </w:t>
      </w:r>
      <w:r w:rsidRPr="003B4AEE">
        <w:t xml:space="preserve">facilities include </w:t>
      </w:r>
      <w:r w:rsidR="00AB1D84" w:rsidRPr="003B4AEE">
        <w:t>the $3</w:t>
      </w:r>
      <w:r w:rsidR="00DA5F3B" w:rsidRPr="003B4AEE">
        <w:t>9</w:t>
      </w:r>
      <w:r w:rsidR="00AB1D84" w:rsidRPr="003B4AEE">
        <w:t xml:space="preserve"> purchase of a soil auger to collect soil samples and the $4</w:t>
      </w:r>
      <w:r w:rsidR="00DA5F3B" w:rsidRPr="003B4AEE">
        <w:t>7</w:t>
      </w:r>
      <w:r w:rsidR="00AB1D84" w:rsidRPr="003B4AEE">
        <w:t xml:space="preserve"> purchase of a manure sampler. CAFOs will also need pay </w:t>
      </w:r>
      <w:r w:rsidR="00AB1D84" w:rsidRPr="003B4AEE">
        <w:lastRenderedPageBreak/>
        <w:t>$4</w:t>
      </w:r>
      <w:r w:rsidR="00DA5F3B" w:rsidRPr="003B4AEE">
        <w:t>7</w:t>
      </w:r>
      <w:r w:rsidR="00AB1D84" w:rsidRPr="003B4AEE">
        <w:t xml:space="preserve"> to install depth markers in their lagoons. All operations will need to expend an estimated </w:t>
      </w:r>
      <w:r w:rsidR="00AF481D" w:rsidRPr="003B4AEE">
        <w:t>$1,</w:t>
      </w:r>
      <w:r w:rsidR="00DA5F3B" w:rsidRPr="003B4AEE">
        <w:t>510</w:t>
      </w:r>
      <w:r w:rsidR="00AF481D" w:rsidRPr="003B4AEE">
        <w:t xml:space="preserve"> to </w:t>
      </w:r>
      <w:r w:rsidR="00AB1D84" w:rsidRPr="003B4AEE">
        <w:t>develop the NMP elements that pertain to the production area, including performing an engineering analysis of the waste storage volume requirements needed to comply with the CAFO rule</w:t>
      </w:r>
      <w:r w:rsidR="00AF481D" w:rsidRPr="003B4AEE">
        <w:t xml:space="preserve">. </w:t>
      </w:r>
    </w:p>
    <w:p w14:paraId="4098C25F" w14:textId="2B600BBF" w:rsidR="001D64E1" w:rsidRPr="003B4AEE" w:rsidRDefault="0002002D" w:rsidP="00B101A0">
      <w:pPr>
        <w:pStyle w:val="Heading4"/>
      </w:pPr>
      <w:bookmarkStart w:id="488" w:name="_Hlk59437567"/>
      <w:r w:rsidRPr="003B4AEE">
        <w:t>A.2.3.4</w:t>
      </w:r>
      <w:r w:rsidR="00AC765F" w:rsidRPr="003B4AEE">
        <w:t>.</w:t>
      </w:r>
      <w:r w:rsidRPr="003B4AEE">
        <w:t xml:space="preserve"> </w:t>
      </w:r>
      <w:r w:rsidR="001D64E1" w:rsidRPr="003B4AEE">
        <w:t xml:space="preserve">CWIS Phase I Purchase </w:t>
      </w:r>
      <w:r w:rsidR="007358A3" w:rsidRPr="003B4AEE">
        <w:t>and</w:t>
      </w:r>
      <w:r w:rsidR="001D64E1" w:rsidRPr="003B4AEE">
        <w:t xml:space="preserve"> Installation of Pilot Study Technology</w:t>
      </w:r>
    </w:p>
    <w:bookmarkEnd w:id="488"/>
    <w:p w14:paraId="16CF1099" w14:textId="09DE711C" w:rsidR="00F420C9" w:rsidRPr="003B4AEE" w:rsidRDefault="001D64E1" w:rsidP="00C1544E">
      <w:pPr>
        <w:pStyle w:val="BodyText"/>
      </w:pPr>
      <w:r w:rsidRPr="003B4AEE">
        <w:t xml:space="preserve">EPA anticipates that </w:t>
      </w:r>
      <w:r w:rsidR="00D51DC6" w:rsidRPr="003B4AEE">
        <w:t>Track II</w:t>
      </w:r>
      <w:r w:rsidRPr="003B4AEE">
        <w:t xml:space="preserve"> facilities that operate once-through </w:t>
      </w:r>
      <w:r w:rsidR="00F420C9" w:rsidRPr="003B4AEE">
        <w:t xml:space="preserve">cooling </w:t>
      </w:r>
      <w:r w:rsidRPr="003B4AEE">
        <w:t xml:space="preserve">intakes will perform pilot studies to determine the effectiveness of their chosen technology. For costing purposes, EPA is assuming that a pilot study will be performed using a </w:t>
      </w:r>
      <w:proofErr w:type="spellStart"/>
      <w:r w:rsidRPr="003B4AEE">
        <w:t>Gunderboom</w:t>
      </w:r>
      <w:proofErr w:type="spellEnd"/>
      <w:r w:rsidRPr="003B4AEE">
        <w:t xml:space="preserve"> system. EPA estimated the pilot study would cost $3</w:t>
      </w:r>
      <w:r w:rsidR="00DA5F3B" w:rsidRPr="003B4AEE">
        <w:t>31</w:t>
      </w:r>
      <w:r w:rsidRPr="003B4AEE">
        <w:t>,000.</w:t>
      </w:r>
    </w:p>
    <w:p w14:paraId="7743ED8D" w14:textId="1EAF6ECA" w:rsidR="00F420C9" w:rsidRPr="003B4AEE" w:rsidRDefault="00F420C9" w:rsidP="00B101A0">
      <w:pPr>
        <w:pStyle w:val="Heading4"/>
      </w:pPr>
      <w:bookmarkStart w:id="489" w:name="_Hlk59437597"/>
      <w:r w:rsidRPr="003B4AEE">
        <w:t>A.2.3.5</w:t>
      </w:r>
      <w:r w:rsidR="00AC765F" w:rsidRPr="003B4AEE">
        <w:t>.</w:t>
      </w:r>
      <w:r w:rsidRPr="003B4AEE">
        <w:t xml:space="preserve"> CWIS Phase III New Offshore Oil </w:t>
      </w:r>
      <w:r w:rsidR="007358A3" w:rsidRPr="003B4AEE">
        <w:t>and</w:t>
      </w:r>
      <w:r w:rsidRPr="003B4AEE">
        <w:t xml:space="preserve"> Gas </w:t>
      </w:r>
    </w:p>
    <w:bookmarkEnd w:id="489"/>
    <w:p w14:paraId="23BE500A" w14:textId="2AFD8D92" w:rsidR="005E3609" w:rsidRPr="003B4AEE" w:rsidRDefault="005E3609" w:rsidP="00C1544E">
      <w:pPr>
        <w:pStyle w:val="BodyText"/>
      </w:pPr>
      <w:r w:rsidRPr="003B4AEE">
        <w:t>EPA estimated that the initial permit application capital costs for installing a remote monitoring device for impingement monitoring at each facility was $2</w:t>
      </w:r>
      <w:r w:rsidR="000B7782" w:rsidRPr="003B4AEE">
        <w:t>7</w:t>
      </w:r>
      <w:r w:rsidR="00EE222C" w:rsidRPr="003B4AEE">
        <w:t>,</w:t>
      </w:r>
      <w:r w:rsidR="000B7782" w:rsidRPr="003B4AEE">
        <w:t>440</w:t>
      </w:r>
      <w:r w:rsidRPr="003B4AEE">
        <w:t>.</w:t>
      </w:r>
    </w:p>
    <w:p w14:paraId="43833082" w14:textId="77777777" w:rsidR="00C1544E" w:rsidRPr="003B4AEE" w:rsidRDefault="00C1544E" w:rsidP="00C1544E"/>
    <w:p w14:paraId="78CADD0B" w14:textId="77777777" w:rsidR="00C1544E" w:rsidRPr="003B4AEE" w:rsidRDefault="00C1544E" w:rsidP="00C1544E">
      <w:pPr>
        <w:sectPr w:rsidR="00C1544E" w:rsidRPr="003B4AEE" w:rsidSect="00A43E4B">
          <w:pgSz w:w="12240" w:h="15840" w:code="1"/>
          <w:pgMar w:top="1440" w:right="1440" w:bottom="1440" w:left="1440" w:header="720" w:footer="720" w:gutter="0"/>
          <w:pgNumType w:chapStyle="7"/>
          <w:cols w:space="720"/>
          <w:docGrid w:linePitch="360"/>
        </w:sectPr>
      </w:pPr>
    </w:p>
    <w:p w14:paraId="589C218F" w14:textId="30ED6F54" w:rsidR="003B787D" w:rsidRPr="003B4AEE" w:rsidRDefault="009C7DC3" w:rsidP="009C7DC3">
      <w:pPr>
        <w:spacing w:after="240"/>
        <w:jc w:val="center"/>
        <w:rPr>
          <w:rFonts w:ascii="Calibri" w:hAnsi="Calibri" w:cs="Calibri"/>
          <w:b/>
          <w:bCs/>
          <w:sz w:val="28"/>
          <w:szCs w:val="28"/>
        </w:rPr>
      </w:pPr>
      <w:bookmarkStart w:id="490" w:name="_Toc61348666"/>
      <w:r w:rsidRPr="003B4AEE">
        <w:rPr>
          <w:rFonts w:ascii="Calibri" w:hAnsi="Calibri" w:cs="Calibri"/>
          <w:b/>
          <w:bCs/>
          <w:sz w:val="28"/>
          <w:szCs w:val="28"/>
        </w:rPr>
        <w:lastRenderedPageBreak/>
        <w:t xml:space="preserve">Appendix B </w:t>
      </w:r>
      <w:r w:rsidR="00BB2406" w:rsidRPr="003B4AEE">
        <w:rPr>
          <w:rFonts w:ascii="Calibri" w:hAnsi="Calibri" w:cs="Calibri"/>
          <w:b/>
          <w:bCs/>
          <w:sz w:val="28"/>
          <w:szCs w:val="28"/>
        </w:rPr>
        <w:t>—</w:t>
      </w:r>
      <w:r w:rsidR="006117F7" w:rsidRPr="003B4AEE">
        <w:rPr>
          <w:rFonts w:ascii="Calibri" w:hAnsi="Calibri" w:cs="Calibri"/>
          <w:b/>
          <w:bCs/>
          <w:sz w:val="28"/>
          <w:szCs w:val="28"/>
        </w:rPr>
        <w:t xml:space="preserve"> </w:t>
      </w:r>
      <w:r w:rsidR="00A64B9D" w:rsidRPr="003B4AEE">
        <w:rPr>
          <w:rFonts w:ascii="Calibri" w:hAnsi="Calibri" w:cs="Calibri"/>
          <w:b/>
          <w:bCs/>
          <w:sz w:val="28"/>
          <w:szCs w:val="28"/>
        </w:rPr>
        <w:t xml:space="preserve">Detailed </w:t>
      </w:r>
      <w:r w:rsidR="003B787D" w:rsidRPr="003B4AEE">
        <w:rPr>
          <w:rFonts w:ascii="Calibri" w:hAnsi="Calibri" w:cs="Calibri"/>
          <w:b/>
          <w:bCs/>
          <w:sz w:val="28"/>
          <w:szCs w:val="28"/>
        </w:rPr>
        <w:t>Respondent Burden Results by Category</w:t>
      </w:r>
      <w:bookmarkEnd w:id="490"/>
    </w:p>
    <w:p w14:paraId="0AA0DB9A" w14:textId="136F49DB" w:rsidR="0085470C" w:rsidRPr="003B4AEE" w:rsidRDefault="004A2F42" w:rsidP="00C1544E">
      <w:pPr>
        <w:pStyle w:val="BodyText"/>
      </w:pPr>
      <w:r w:rsidRPr="003B4AEE">
        <w:t>Table B</w:t>
      </w:r>
      <w:r w:rsidR="00054BE9" w:rsidRPr="003B4AEE">
        <w:t>-</w:t>
      </w:r>
      <w:r w:rsidRPr="003B4AEE">
        <w:t>1 presents the calculated respondent burden and cost estimates grouped by activity type and respondent type. This table includes a section for respondents that are permit holders (which can include both private and municipal entities)</w:t>
      </w:r>
      <w:r w:rsidR="003C6AF7" w:rsidRPr="003B4AEE">
        <w:t xml:space="preserve"> and</w:t>
      </w:r>
      <w:r w:rsidRPr="003B4AEE">
        <w:t xml:space="preserve"> a section for respondents which are states acting as the NPDES permitting authority. </w:t>
      </w:r>
    </w:p>
    <w:p w14:paraId="78244D51" w14:textId="17434453" w:rsidR="00A64B9D" w:rsidRPr="003B4AEE" w:rsidRDefault="009E1602" w:rsidP="00C1544E">
      <w:pPr>
        <w:pStyle w:val="BodyText"/>
      </w:pPr>
      <w:r w:rsidRPr="003B4AEE">
        <w:t>(</w:t>
      </w:r>
      <w:r w:rsidR="0051630C" w:rsidRPr="003B4AEE">
        <w:t>S</w:t>
      </w:r>
      <w:r w:rsidR="003A188A" w:rsidRPr="003B4AEE">
        <w:t xml:space="preserve">ee attached </w:t>
      </w:r>
      <w:r w:rsidR="0048073A" w:rsidRPr="003B4AEE">
        <w:t xml:space="preserve">PDF </w:t>
      </w:r>
      <w:r w:rsidR="0051630C" w:rsidRPr="003B4AEE">
        <w:t>document</w:t>
      </w:r>
      <w:r w:rsidRPr="003B4AEE">
        <w:t>)</w:t>
      </w:r>
    </w:p>
    <w:p w14:paraId="7A0A9EE9" w14:textId="77777777" w:rsidR="001F11E1" w:rsidRPr="003B4AEE" w:rsidRDefault="001F11E1">
      <w:pPr>
        <w:autoSpaceDE/>
        <w:autoSpaceDN/>
        <w:adjustRightInd/>
        <w:spacing w:after="160" w:line="259" w:lineRule="auto"/>
        <w:rPr>
          <w:rFonts w:ascii="Arial" w:hAnsi="Arial" w:cs="Arial"/>
          <w:b/>
          <w:bCs/>
          <w:kern w:val="32"/>
          <w:sz w:val="32"/>
          <w:szCs w:val="32"/>
        </w:rPr>
      </w:pPr>
      <w:r w:rsidRPr="003B4AEE">
        <w:br w:type="page"/>
      </w:r>
    </w:p>
    <w:p w14:paraId="17580F69" w14:textId="46DC92CE" w:rsidR="00A64B9D" w:rsidRPr="003B4AEE" w:rsidRDefault="007B60F1" w:rsidP="009C7DC3">
      <w:pPr>
        <w:spacing w:after="240"/>
        <w:jc w:val="center"/>
        <w:rPr>
          <w:rFonts w:asciiTheme="minorHAnsi" w:hAnsiTheme="minorHAnsi" w:cstheme="minorHAnsi"/>
          <w:b/>
          <w:bCs/>
          <w:sz w:val="28"/>
          <w:szCs w:val="28"/>
        </w:rPr>
      </w:pPr>
      <w:bookmarkStart w:id="491" w:name="_Toc61348667"/>
      <w:r w:rsidRPr="003B4AEE">
        <w:rPr>
          <w:rFonts w:asciiTheme="minorHAnsi" w:hAnsiTheme="minorHAnsi" w:cstheme="minorHAnsi"/>
          <w:b/>
          <w:bCs/>
          <w:sz w:val="28"/>
          <w:szCs w:val="28"/>
        </w:rPr>
        <w:lastRenderedPageBreak/>
        <w:t xml:space="preserve">Appendix C </w:t>
      </w:r>
      <w:r w:rsidR="00BB2406" w:rsidRPr="003B4AEE">
        <w:rPr>
          <w:rFonts w:asciiTheme="minorHAnsi" w:hAnsiTheme="minorHAnsi" w:cstheme="minorHAnsi"/>
          <w:b/>
          <w:bCs/>
          <w:sz w:val="28"/>
          <w:szCs w:val="28"/>
        </w:rPr>
        <w:t>—</w:t>
      </w:r>
      <w:r w:rsidR="006117F7" w:rsidRPr="003B4AEE">
        <w:rPr>
          <w:rFonts w:asciiTheme="minorHAnsi" w:hAnsiTheme="minorHAnsi" w:cstheme="minorHAnsi"/>
          <w:b/>
          <w:bCs/>
          <w:sz w:val="28"/>
          <w:szCs w:val="28"/>
        </w:rPr>
        <w:t xml:space="preserve"> </w:t>
      </w:r>
      <w:r w:rsidR="00112C69" w:rsidRPr="003B4AEE">
        <w:rPr>
          <w:rFonts w:asciiTheme="minorHAnsi" w:hAnsiTheme="minorHAnsi" w:cstheme="minorHAnsi"/>
          <w:b/>
          <w:bCs/>
          <w:sz w:val="28"/>
          <w:szCs w:val="28"/>
        </w:rPr>
        <w:t>Detailed Agency Burden</w:t>
      </w:r>
      <w:r w:rsidR="004D0EF3" w:rsidRPr="003B4AEE">
        <w:rPr>
          <w:rFonts w:asciiTheme="minorHAnsi" w:hAnsiTheme="minorHAnsi" w:cstheme="minorHAnsi"/>
          <w:b/>
          <w:bCs/>
          <w:sz w:val="28"/>
          <w:szCs w:val="28"/>
        </w:rPr>
        <w:t xml:space="preserve"> Estimates</w:t>
      </w:r>
      <w:bookmarkEnd w:id="491"/>
    </w:p>
    <w:p w14:paraId="68407AC7" w14:textId="4D260EFE" w:rsidR="004A2F42" w:rsidRPr="003B4AEE" w:rsidRDefault="001660DE" w:rsidP="00C1544E">
      <w:pPr>
        <w:pStyle w:val="BodyText"/>
      </w:pPr>
      <w:r w:rsidRPr="003B4AEE">
        <w:t>Table C</w:t>
      </w:r>
      <w:r w:rsidR="00054BE9" w:rsidRPr="003B4AEE">
        <w:t>-</w:t>
      </w:r>
      <w:r w:rsidRPr="003B4AEE">
        <w:t xml:space="preserve">1 presents a summary of the Agency burden associated with administration of individual permits similar to the state activities in Appendix B. </w:t>
      </w:r>
      <w:r w:rsidR="004A2F42" w:rsidRPr="003B4AEE">
        <w:t>Table C</w:t>
      </w:r>
      <w:r w:rsidR="00054BE9" w:rsidRPr="003B4AEE">
        <w:t>-</w:t>
      </w:r>
      <w:r w:rsidR="00AC5B6C" w:rsidRPr="003B4AEE">
        <w:t>2</w:t>
      </w:r>
      <w:r w:rsidR="004A2F42" w:rsidRPr="003B4AEE">
        <w:t xml:space="preserve"> presents a summary of the Agency burden that is associated with NPDES program oversight</w:t>
      </w:r>
      <w:r w:rsidRPr="003B4AEE">
        <w:t>.</w:t>
      </w:r>
    </w:p>
    <w:p w14:paraId="04256E1C" w14:textId="00759DD9" w:rsidR="00112C69" w:rsidRPr="003B4AEE" w:rsidRDefault="009E1602" w:rsidP="00C1544E">
      <w:pPr>
        <w:pStyle w:val="BodyText"/>
      </w:pPr>
      <w:r w:rsidRPr="003B4AEE">
        <w:t>(S</w:t>
      </w:r>
      <w:r w:rsidR="003A188A" w:rsidRPr="003B4AEE">
        <w:t xml:space="preserve">ee attached </w:t>
      </w:r>
      <w:r w:rsidR="0048073A" w:rsidRPr="003B4AEE">
        <w:t xml:space="preserve">PDF </w:t>
      </w:r>
      <w:r w:rsidR="0051630C" w:rsidRPr="003B4AEE">
        <w:t>document</w:t>
      </w:r>
      <w:r w:rsidRPr="003B4AEE">
        <w:t>)</w:t>
      </w:r>
    </w:p>
    <w:p w14:paraId="152DCCDC" w14:textId="77777777" w:rsidR="001F11E1" w:rsidRPr="003B4AEE" w:rsidRDefault="001F11E1">
      <w:pPr>
        <w:autoSpaceDE/>
        <w:autoSpaceDN/>
        <w:adjustRightInd/>
        <w:spacing w:after="160" w:line="259" w:lineRule="auto"/>
        <w:rPr>
          <w:rFonts w:ascii="Arial" w:hAnsi="Arial" w:cs="Arial"/>
          <w:b/>
          <w:bCs/>
          <w:kern w:val="32"/>
          <w:sz w:val="32"/>
          <w:szCs w:val="32"/>
        </w:rPr>
      </w:pPr>
      <w:r w:rsidRPr="003B4AEE">
        <w:br w:type="page"/>
      </w:r>
    </w:p>
    <w:p w14:paraId="7CE13328" w14:textId="21113788" w:rsidR="00700765" w:rsidRPr="003B4AEE" w:rsidRDefault="007B60F1" w:rsidP="009C7DC3">
      <w:pPr>
        <w:spacing w:after="240"/>
        <w:jc w:val="center"/>
        <w:rPr>
          <w:rFonts w:asciiTheme="minorHAnsi" w:hAnsiTheme="minorHAnsi" w:cstheme="minorHAnsi"/>
          <w:b/>
          <w:bCs/>
          <w:sz w:val="28"/>
          <w:szCs w:val="28"/>
        </w:rPr>
      </w:pPr>
      <w:r w:rsidRPr="003B4AEE">
        <w:rPr>
          <w:rFonts w:asciiTheme="minorHAnsi" w:hAnsiTheme="minorHAnsi" w:cstheme="minorHAnsi"/>
          <w:b/>
          <w:bCs/>
          <w:sz w:val="28"/>
          <w:szCs w:val="28"/>
        </w:rPr>
        <w:lastRenderedPageBreak/>
        <w:t>Appendix D</w:t>
      </w:r>
      <w:r w:rsidR="006117F7" w:rsidRPr="003B4AEE">
        <w:rPr>
          <w:rFonts w:asciiTheme="minorHAnsi" w:hAnsiTheme="minorHAnsi" w:cstheme="minorHAnsi"/>
          <w:b/>
          <w:bCs/>
          <w:sz w:val="28"/>
          <w:szCs w:val="28"/>
        </w:rPr>
        <w:t xml:space="preserve"> </w:t>
      </w:r>
      <w:bookmarkStart w:id="492" w:name="_Toc61348668"/>
      <w:r w:rsidR="00BB2406" w:rsidRPr="003B4AEE">
        <w:rPr>
          <w:rFonts w:asciiTheme="minorHAnsi" w:hAnsiTheme="minorHAnsi" w:cstheme="minorHAnsi"/>
          <w:b/>
          <w:bCs/>
          <w:sz w:val="28"/>
          <w:szCs w:val="28"/>
        </w:rPr>
        <w:t>—</w:t>
      </w:r>
      <w:r w:rsidR="006117F7" w:rsidRPr="003B4AEE">
        <w:rPr>
          <w:rFonts w:asciiTheme="minorHAnsi" w:hAnsiTheme="minorHAnsi" w:cstheme="minorHAnsi"/>
          <w:b/>
          <w:bCs/>
          <w:sz w:val="28"/>
          <w:szCs w:val="28"/>
        </w:rPr>
        <w:t xml:space="preserve"> </w:t>
      </w:r>
      <w:r w:rsidR="00700765" w:rsidRPr="003B4AEE">
        <w:rPr>
          <w:rFonts w:asciiTheme="minorHAnsi" w:hAnsiTheme="minorHAnsi" w:cstheme="minorHAnsi"/>
          <w:b/>
          <w:bCs/>
          <w:sz w:val="28"/>
          <w:szCs w:val="28"/>
        </w:rPr>
        <w:t>Number of Respondent</w:t>
      </w:r>
      <w:r w:rsidR="00464677" w:rsidRPr="003B4AEE">
        <w:rPr>
          <w:rFonts w:asciiTheme="minorHAnsi" w:hAnsiTheme="minorHAnsi" w:cstheme="minorHAnsi"/>
          <w:b/>
          <w:bCs/>
          <w:sz w:val="28"/>
          <w:szCs w:val="28"/>
        </w:rPr>
        <w:t>s</w:t>
      </w:r>
      <w:r w:rsidR="00700765" w:rsidRPr="003B4AEE">
        <w:rPr>
          <w:rFonts w:asciiTheme="minorHAnsi" w:hAnsiTheme="minorHAnsi" w:cstheme="minorHAnsi"/>
          <w:b/>
          <w:bCs/>
          <w:sz w:val="28"/>
          <w:szCs w:val="28"/>
        </w:rPr>
        <w:t xml:space="preserve"> in Each Input Category</w:t>
      </w:r>
      <w:bookmarkEnd w:id="492"/>
      <w:r w:rsidR="00700765" w:rsidRPr="003B4AEE">
        <w:rPr>
          <w:rFonts w:asciiTheme="minorHAnsi" w:hAnsiTheme="minorHAnsi" w:cstheme="minorHAnsi"/>
          <w:b/>
          <w:bCs/>
          <w:sz w:val="28"/>
          <w:szCs w:val="28"/>
        </w:rPr>
        <w:t xml:space="preserve"> </w:t>
      </w:r>
    </w:p>
    <w:p w14:paraId="11CF8981" w14:textId="6C2B7444" w:rsidR="0085470C" w:rsidRPr="003B4AEE" w:rsidRDefault="00700765" w:rsidP="00C1544E">
      <w:pPr>
        <w:pStyle w:val="BodyText"/>
      </w:pPr>
      <w:r w:rsidRPr="003B4AEE">
        <w:t>Table D</w:t>
      </w:r>
      <w:r w:rsidR="00054BE9" w:rsidRPr="003B4AEE">
        <w:t>-</w:t>
      </w:r>
      <w:r w:rsidRPr="003B4AEE">
        <w:t xml:space="preserve">1 presents the number of respondents in each respondent input category. These values were used to derive the adjusted burden estimates to account for changes in the </w:t>
      </w:r>
      <w:r w:rsidR="00464677" w:rsidRPr="003B4AEE">
        <w:t xml:space="preserve">number of </w:t>
      </w:r>
      <w:r w:rsidRPr="003B4AEE">
        <w:t>respondent</w:t>
      </w:r>
      <w:r w:rsidR="00464677" w:rsidRPr="003B4AEE">
        <w:t>s</w:t>
      </w:r>
      <w:r w:rsidRPr="003B4AEE">
        <w:t xml:space="preserve"> from the previous ICR.</w:t>
      </w:r>
      <w:r w:rsidR="00E908B0" w:rsidRPr="003B4AEE">
        <w:t xml:space="preserve"> </w:t>
      </w:r>
      <w:r w:rsidR="00E20D41" w:rsidRPr="003B4AEE">
        <w:t>Estimates for the number of respondent</w:t>
      </w:r>
      <w:r w:rsidR="00AC5B6C" w:rsidRPr="003B4AEE">
        <w:t>s</w:t>
      </w:r>
      <w:r w:rsidR="00E20D41" w:rsidRPr="003B4AEE">
        <w:t xml:space="preserve"> for each type of permit are based on data from either queries to the ICIS</w:t>
      </w:r>
      <w:r w:rsidR="004B7E59" w:rsidRPr="003B4AEE">
        <w:t xml:space="preserve">-NPDES </w:t>
      </w:r>
      <w:r w:rsidR="00E20D41" w:rsidRPr="003B4AEE">
        <w:t xml:space="preserve">database conducted in </w:t>
      </w:r>
      <w:r w:rsidR="00AC5B6C" w:rsidRPr="003B4AEE">
        <w:t>November 2020</w:t>
      </w:r>
      <w:r w:rsidR="00E20D41" w:rsidRPr="003B4AEE">
        <w:t xml:space="preserve">, </w:t>
      </w:r>
      <w:r w:rsidR="00CA260A" w:rsidRPr="003B4AEE">
        <w:t xml:space="preserve">EPA estimates, or </w:t>
      </w:r>
      <w:r w:rsidR="00E20D41" w:rsidRPr="003B4AEE">
        <w:t xml:space="preserve">values from previous ICRs. </w:t>
      </w:r>
    </w:p>
    <w:p w14:paraId="20270471" w14:textId="739E0FC2" w:rsidR="00700765" w:rsidRPr="003B4AEE" w:rsidRDefault="00700765" w:rsidP="00C1544E">
      <w:pPr>
        <w:pStyle w:val="BodyText"/>
      </w:pPr>
      <w:r w:rsidRPr="003B4AEE">
        <w:t xml:space="preserve">(See attached PDF document) </w:t>
      </w:r>
      <w:r w:rsidRPr="003B4AEE">
        <w:br w:type="page"/>
      </w:r>
    </w:p>
    <w:p w14:paraId="393C6941" w14:textId="24182009" w:rsidR="003D47A5" w:rsidRPr="003B4AEE" w:rsidRDefault="007B60F1" w:rsidP="007B60F1">
      <w:pPr>
        <w:spacing w:after="240"/>
        <w:jc w:val="center"/>
        <w:rPr>
          <w:rFonts w:ascii="Calibri" w:hAnsi="Calibri" w:cs="Calibri"/>
          <w:b/>
          <w:bCs/>
          <w:sz w:val="28"/>
          <w:szCs w:val="28"/>
        </w:rPr>
      </w:pPr>
      <w:r w:rsidRPr="003B4AEE">
        <w:rPr>
          <w:rFonts w:ascii="Calibri" w:hAnsi="Calibri" w:cs="Calibri"/>
          <w:b/>
          <w:bCs/>
          <w:sz w:val="28"/>
          <w:szCs w:val="28"/>
        </w:rPr>
        <w:lastRenderedPageBreak/>
        <w:t>Appendix E</w:t>
      </w:r>
      <w:r w:rsidR="006117F7" w:rsidRPr="003B4AEE">
        <w:rPr>
          <w:rFonts w:ascii="Calibri" w:hAnsi="Calibri" w:cs="Calibri"/>
          <w:b/>
          <w:bCs/>
          <w:sz w:val="28"/>
          <w:szCs w:val="28"/>
        </w:rPr>
        <w:t xml:space="preserve"> </w:t>
      </w:r>
      <w:bookmarkStart w:id="493" w:name="_Toc61348669"/>
      <w:r w:rsidR="00BB2406" w:rsidRPr="003B4AEE">
        <w:rPr>
          <w:rFonts w:ascii="Calibri" w:hAnsi="Calibri" w:cs="Calibri"/>
          <w:b/>
          <w:bCs/>
          <w:sz w:val="28"/>
          <w:szCs w:val="28"/>
        </w:rPr>
        <w:t>—</w:t>
      </w:r>
      <w:r w:rsidR="006117F7" w:rsidRPr="003B4AEE">
        <w:rPr>
          <w:rFonts w:ascii="Calibri" w:hAnsi="Calibri" w:cs="Calibri"/>
          <w:b/>
          <w:bCs/>
          <w:sz w:val="28"/>
          <w:szCs w:val="28"/>
        </w:rPr>
        <w:t xml:space="preserve"> </w:t>
      </w:r>
      <w:r w:rsidR="00A7565E" w:rsidRPr="003B4AEE">
        <w:rPr>
          <w:rFonts w:ascii="Calibri" w:hAnsi="Calibri" w:cs="Calibri"/>
          <w:b/>
          <w:bCs/>
          <w:sz w:val="28"/>
          <w:szCs w:val="28"/>
        </w:rPr>
        <w:t xml:space="preserve">Number of </w:t>
      </w:r>
      <w:r w:rsidR="00F71E9B" w:rsidRPr="003B4AEE">
        <w:rPr>
          <w:rFonts w:ascii="Calibri" w:hAnsi="Calibri" w:cs="Calibri"/>
          <w:b/>
          <w:bCs/>
          <w:sz w:val="28"/>
          <w:szCs w:val="28"/>
        </w:rPr>
        <w:t xml:space="preserve">Unique </w:t>
      </w:r>
      <w:r w:rsidR="00A7565E" w:rsidRPr="003B4AEE">
        <w:rPr>
          <w:rFonts w:ascii="Calibri" w:hAnsi="Calibri" w:cs="Calibri"/>
          <w:b/>
          <w:bCs/>
          <w:sz w:val="28"/>
          <w:szCs w:val="28"/>
        </w:rPr>
        <w:t>Respondents</w:t>
      </w:r>
      <w:bookmarkEnd w:id="493"/>
    </w:p>
    <w:p w14:paraId="4A393707" w14:textId="0B648EE5" w:rsidR="0085470C" w:rsidRPr="003B4AEE" w:rsidRDefault="004A2F42" w:rsidP="00E86F4D">
      <w:pPr>
        <w:pStyle w:val="BodyText"/>
      </w:pPr>
      <w:r w:rsidRPr="003B4AEE">
        <w:t xml:space="preserve">Table </w:t>
      </w:r>
      <w:r w:rsidR="00700765" w:rsidRPr="003B4AEE">
        <w:t>E</w:t>
      </w:r>
      <w:r w:rsidR="00054BE9" w:rsidRPr="003B4AEE">
        <w:t>-</w:t>
      </w:r>
      <w:r w:rsidRPr="003B4AEE">
        <w:t xml:space="preserve">1 presents a summary of the number of respondents in each permit category. </w:t>
      </w:r>
      <w:r w:rsidR="00AC5B6C" w:rsidRPr="003B4AEE">
        <w:t xml:space="preserve">Based on 2019 </w:t>
      </w:r>
      <w:r w:rsidRPr="003B4AEE">
        <w:t>U.S. Census data, an estimated 9</w:t>
      </w:r>
      <w:r w:rsidR="00AC5B6C" w:rsidRPr="003B4AEE">
        <w:t>6.34</w:t>
      </w:r>
      <w:r w:rsidRPr="003B4AEE">
        <w:t xml:space="preserve"> percent of the </w:t>
      </w:r>
      <w:r w:rsidR="003C2BF3" w:rsidRPr="003B4AEE">
        <w:t xml:space="preserve">U.S. </w:t>
      </w:r>
      <w:r w:rsidRPr="003B4AEE">
        <w:t xml:space="preserve">population resides in </w:t>
      </w:r>
      <w:r w:rsidR="003C2BF3" w:rsidRPr="003B4AEE">
        <w:t>the 4</w:t>
      </w:r>
      <w:r w:rsidR="00AC5B6C" w:rsidRPr="003B4AEE">
        <w:t>8</w:t>
      </w:r>
      <w:r w:rsidR="003C2BF3" w:rsidRPr="003B4AEE">
        <w:t xml:space="preserve"> </w:t>
      </w:r>
      <w:r w:rsidRPr="003B4AEE">
        <w:t xml:space="preserve">states </w:t>
      </w:r>
      <w:r w:rsidR="003C2BF3" w:rsidRPr="003B4AEE">
        <w:t xml:space="preserve">and 1 territory </w:t>
      </w:r>
      <w:r w:rsidRPr="003B4AEE">
        <w:t xml:space="preserve">authorized to issue </w:t>
      </w:r>
      <w:r w:rsidR="00E908B0" w:rsidRPr="003B4AEE">
        <w:t xml:space="preserve">individual and </w:t>
      </w:r>
      <w:r w:rsidRPr="003B4AEE">
        <w:t xml:space="preserve">general permits. This population percentage has been applied to the respondent values to estimate </w:t>
      </w:r>
      <w:r w:rsidR="00E20D41" w:rsidRPr="003B4AEE">
        <w:t xml:space="preserve">the distribution of </w:t>
      </w:r>
      <w:r w:rsidRPr="003B4AEE">
        <w:t xml:space="preserve">those </w:t>
      </w:r>
      <w:r w:rsidR="00E20D41" w:rsidRPr="003B4AEE">
        <w:t xml:space="preserve">individual and </w:t>
      </w:r>
      <w:r w:rsidRPr="003B4AEE">
        <w:t>general permittees that report directly to authorized states.</w:t>
      </w:r>
      <w:r w:rsidR="00E20D41" w:rsidRPr="003B4AEE">
        <w:t xml:space="preserve"> As with the number of respondents in Appendix D, estimates for the number of unique respondent</w:t>
      </w:r>
      <w:r w:rsidR="00AC5B6C" w:rsidRPr="003B4AEE">
        <w:t>s</w:t>
      </w:r>
      <w:r w:rsidR="00E20D41" w:rsidRPr="003B4AEE">
        <w:t xml:space="preserve"> for each type of permit are based on data from either queries </w:t>
      </w:r>
      <w:r w:rsidR="00AC5B6C" w:rsidRPr="003B4AEE">
        <w:t xml:space="preserve">of </w:t>
      </w:r>
      <w:r w:rsidR="00E20D41" w:rsidRPr="003B4AEE">
        <w:t>the ICIS</w:t>
      </w:r>
      <w:r w:rsidR="00AD2141" w:rsidRPr="003B4AEE">
        <w:t>-NPDES-</w:t>
      </w:r>
      <w:r w:rsidR="00E20D41" w:rsidRPr="003B4AEE">
        <w:t xml:space="preserve">database conducted in </w:t>
      </w:r>
      <w:r w:rsidR="006C0171" w:rsidRPr="003B4AEE">
        <w:t>November 2020</w:t>
      </w:r>
      <w:r w:rsidR="00E20D41" w:rsidRPr="003B4AEE">
        <w:t xml:space="preserve">, </w:t>
      </w:r>
      <w:r w:rsidR="00CA260A" w:rsidRPr="003B4AEE">
        <w:t xml:space="preserve">EPA estimates, or </w:t>
      </w:r>
      <w:r w:rsidR="00E20D41" w:rsidRPr="003B4AEE">
        <w:t>values from previous ICRs</w:t>
      </w:r>
      <w:r w:rsidR="00CA260A" w:rsidRPr="003B4AEE">
        <w:t>.</w:t>
      </w:r>
    </w:p>
    <w:p w14:paraId="35418D4C" w14:textId="2B4326EE" w:rsidR="00A7565E" w:rsidRPr="003B4AEE" w:rsidRDefault="009E1602" w:rsidP="00C1544E">
      <w:pPr>
        <w:pStyle w:val="BodyText"/>
      </w:pPr>
      <w:r w:rsidRPr="003B4AEE">
        <w:t>(S</w:t>
      </w:r>
      <w:r w:rsidR="003A188A" w:rsidRPr="003B4AEE">
        <w:t xml:space="preserve">ee attached </w:t>
      </w:r>
      <w:r w:rsidR="001E54BE" w:rsidRPr="003B4AEE">
        <w:t xml:space="preserve">PDF </w:t>
      </w:r>
      <w:r w:rsidR="0051630C" w:rsidRPr="003B4AEE">
        <w:t>document</w:t>
      </w:r>
      <w:r w:rsidRPr="003B4AEE">
        <w:t>)</w:t>
      </w:r>
    </w:p>
    <w:p w14:paraId="077965B1" w14:textId="77777777" w:rsidR="005A54B0" w:rsidRPr="003B4AEE" w:rsidRDefault="005A54B0">
      <w:pPr>
        <w:autoSpaceDE/>
        <w:autoSpaceDN/>
        <w:adjustRightInd/>
        <w:spacing w:after="160" w:line="259" w:lineRule="auto"/>
        <w:rPr>
          <w:rFonts w:ascii="Arial" w:hAnsi="Arial" w:cs="Arial"/>
          <w:b/>
          <w:bCs/>
          <w:kern w:val="32"/>
          <w:sz w:val="32"/>
          <w:szCs w:val="32"/>
        </w:rPr>
      </w:pPr>
      <w:r w:rsidRPr="003B4AEE">
        <w:br w:type="page"/>
      </w:r>
    </w:p>
    <w:p w14:paraId="7043941B" w14:textId="2A777BC1" w:rsidR="0085470C" w:rsidRPr="003B4AEE" w:rsidRDefault="007B60F1" w:rsidP="00816C06">
      <w:pPr>
        <w:spacing w:after="320"/>
        <w:jc w:val="center"/>
        <w:rPr>
          <w:rFonts w:asciiTheme="minorHAnsi" w:hAnsiTheme="minorHAnsi" w:cstheme="minorHAnsi"/>
          <w:b/>
          <w:bCs/>
          <w:sz w:val="28"/>
          <w:szCs w:val="28"/>
        </w:rPr>
      </w:pPr>
      <w:r w:rsidRPr="003B4AEE">
        <w:rPr>
          <w:rFonts w:asciiTheme="minorHAnsi" w:hAnsiTheme="minorHAnsi" w:cstheme="minorHAnsi"/>
          <w:b/>
          <w:bCs/>
          <w:sz w:val="28"/>
          <w:szCs w:val="28"/>
        </w:rPr>
        <w:lastRenderedPageBreak/>
        <w:t xml:space="preserve">Appendix </w:t>
      </w:r>
      <w:r w:rsidR="00816C06" w:rsidRPr="003B4AEE">
        <w:rPr>
          <w:rFonts w:asciiTheme="minorHAnsi" w:hAnsiTheme="minorHAnsi" w:cstheme="minorHAnsi"/>
          <w:b/>
          <w:bCs/>
          <w:sz w:val="28"/>
          <w:szCs w:val="28"/>
        </w:rPr>
        <w:t>F</w:t>
      </w:r>
      <w:r w:rsidR="006117F7" w:rsidRPr="003B4AEE">
        <w:rPr>
          <w:rFonts w:asciiTheme="minorHAnsi" w:hAnsiTheme="minorHAnsi" w:cstheme="minorHAnsi"/>
          <w:b/>
          <w:bCs/>
          <w:sz w:val="28"/>
          <w:szCs w:val="28"/>
        </w:rPr>
        <w:t xml:space="preserve"> </w:t>
      </w:r>
      <w:bookmarkStart w:id="494" w:name="_Toc61348670"/>
      <w:r w:rsidR="00BB2406" w:rsidRPr="003B4AEE">
        <w:rPr>
          <w:rFonts w:asciiTheme="minorHAnsi" w:hAnsiTheme="minorHAnsi" w:cstheme="minorHAnsi"/>
          <w:b/>
          <w:bCs/>
          <w:sz w:val="28"/>
          <w:szCs w:val="28"/>
        </w:rPr>
        <w:t>—</w:t>
      </w:r>
      <w:r w:rsidR="006117F7" w:rsidRPr="003B4AEE">
        <w:rPr>
          <w:rFonts w:asciiTheme="minorHAnsi" w:hAnsiTheme="minorHAnsi" w:cstheme="minorHAnsi"/>
          <w:b/>
          <w:bCs/>
          <w:sz w:val="28"/>
          <w:szCs w:val="28"/>
        </w:rPr>
        <w:t xml:space="preserve"> </w:t>
      </w:r>
      <w:r w:rsidR="00321D7B" w:rsidRPr="003B4AEE">
        <w:rPr>
          <w:rFonts w:asciiTheme="minorHAnsi" w:hAnsiTheme="minorHAnsi" w:cstheme="minorHAnsi"/>
          <w:b/>
          <w:bCs/>
          <w:sz w:val="28"/>
          <w:szCs w:val="28"/>
        </w:rPr>
        <w:t>Copy of Regulation Authorizing Data Collection</w:t>
      </w:r>
      <w:r w:rsidR="00E35B6D" w:rsidRPr="003B4AEE">
        <w:rPr>
          <w:rFonts w:asciiTheme="minorHAnsi" w:hAnsiTheme="minorHAnsi" w:cstheme="minorHAnsi"/>
          <w:b/>
          <w:bCs/>
          <w:sz w:val="28"/>
          <w:szCs w:val="28"/>
        </w:rPr>
        <w:t xml:space="preserve"> and Federal Register Notice</w:t>
      </w:r>
      <w:bookmarkEnd w:id="494"/>
    </w:p>
    <w:p w14:paraId="40320AEC" w14:textId="2922E450" w:rsidR="00CC2786" w:rsidRPr="003B4AEE" w:rsidRDefault="00816C06" w:rsidP="00816C06">
      <w:pPr>
        <w:rPr>
          <w:rFonts w:ascii="Calibri" w:hAnsi="Calibri" w:cs="Calibri"/>
          <w:b/>
          <w:bCs/>
        </w:rPr>
      </w:pPr>
      <w:bookmarkStart w:id="495" w:name="_Toc61348671"/>
      <w:r w:rsidRPr="003B4AEE">
        <w:rPr>
          <w:rFonts w:ascii="Calibri" w:hAnsi="Calibri" w:cs="Calibri"/>
          <w:b/>
          <w:bCs/>
        </w:rPr>
        <w:t>F</w:t>
      </w:r>
      <w:r w:rsidR="009C7DC3" w:rsidRPr="003B4AEE">
        <w:rPr>
          <w:rFonts w:ascii="Calibri" w:hAnsi="Calibri" w:cs="Calibri"/>
          <w:b/>
          <w:bCs/>
        </w:rPr>
        <w:t>.1</w:t>
      </w:r>
      <w:r w:rsidR="009C7DC3" w:rsidRPr="003B4AEE">
        <w:rPr>
          <w:rFonts w:ascii="Calibri" w:hAnsi="Calibri" w:cs="Calibri"/>
          <w:b/>
          <w:bCs/>
        </w:rPr>
        <w:tab/>
      </w:r>
      <w:r w:rsidR="00CC2786" w:rsidRPr="003B4AEE">
        <w:rPr>
          <w:rFonts w:ascii="Calibri" w:hAnsi="Calibri" w:cs="Calibri"/>
          <w:b/>
          <w:bCs/>
        </w:rPr>
        <w:t>Clean Water Act Section 402</w:t>
      </w:r>
      <w:bookmarkEnd w:id="495"/>
    </w:p>
    <w:p w14:paraId="783BC249" w14:textId="77777777" w:rsidR="0085470C" w:rsidRPr="003B4AEE" w:rsidRDefault="009E1602" w:rsidP="007B60F1">
      <w:pPr>
        <w:pStyle w:val="BodyText"/>
        <w:tabs>
          <w:tab w:val="left" w:pos="630"/>
        </w:tabs>
      </w:pPr>
      <w:r w:rsidRPr="003B4AEE">
        <w:t xml:space="preserve">(See attached </w:t>
      </w:r>
      <w:r w:rsidR="009E2162" w:rsidRPr="003B4AEE">
        <w:t xml:space="preserve">PDF </w:t>
      </w:r>
      <w:r w:rsidR="0051630C" w:rsidRPr="003B4AEE">
        <w:t>document</w:t>
      </w:r>
      <w:r w:rsidRPr="003B4AEE">
        <w:t>)</w:t>
      </w:r>
    </w:p>
    <w:p w14:paraId="6A897F13" w14:textId="4A3159F0" w:rsidR="00CC2786" w:rsidRPr="003B4AEE" w:rsidRDefault="00816C06" w:rsidP="00816C06">
      <w:pPr>
        <w:rPr>
          <w:rFonts w:asciiTheme="minorHAnsi" w:hAnsiTheme="minorHAnsi" w:cstheme="minorHAnsi"/>
          <w:b/>
          <w:bCs/>
        </w:rPr>
      </w:pPr>
      <w:bookmarkStart w:id="496" w:name="_Toc61348672"/>
      <w:r w:rsidRPr="003B4AEE">
        <w:rPr>
          <w:rFonts w:asciiTheme="minorHAnsi" w:hAnsiTheme="minorHAnsi" w:cstheme="minorHAnsi"/>
          <w:b/>
          <w:bCs/>
        </w:rPr>
        <w:t>F</w:t>
      </w:r>
      <w:r w:rsidR="009C7DC3" w:rsidRPr="003B4AEE">
        <w:rPr>
          <w:rFonts w:asciiTheme="minorHAnsi" w:hAnsiTheme="minorHAnsi" w:cstheme="minorHAnsi"/>
          <w:b/>
          <w:bCs/>
        </w:rPr>
        <w:t>.2</w:t>
      </w:r>
      <w:r w:rsidR="009C7DC3" w:rsidRPr="003B4AEE">
        <w:rPr>
          <w:rFonts w:asciiTheme="minorHAnsi" w:hAnsiTheme="minorHAnsi" w:cstheme="minorHAnsi"/>
          <w:b/>
          <w:bCs/>
        </w:rPr>
        <w:tab/>
      </w:r>
      <w:r w:rsidR="00CC2786" w:rsidRPr="003B4AEE">
        <w:rPr>
          <w:rFonts w:asciiTheme="minorHAnsi" w:hAnsiTheme="minorHAnsi" w:cstheme="minorHAnsi"/>
          <w:b/>
          <w:bCs/>
        </w:rPr>
        <w:t>ICR Federal Register Notice</w:t>
      </w:r>
      <w:bookmarkEnd w:id="496"/>
    </w:p>
    <w:p w14:paraId="7E3CFA16" w14:textId="61B47395" w:rsidR="00654522" w:rsidRPr="003B4AEE" w:rsidRDefault="009E1602" w:rsidP="007B60F1">
      <w:pPr>
        <w:pStyle w:val="BodyText"/>
        <w:tabs>
          <w:tab w:val="left" w:pos="630"/>
        </w:tabs>
      </w:pPr>
      <w:r w:rsidRPr="003B4AEE">
        <w:t xml:space="preserve">(See attached </w:t>
      </w:r>
      <w:r w:rsidR="009E2162" w:rsidRPr="003B4AEE">
        <w:t xml:space="preserve">PDF </w:t>
      </w:r>
      <w:r w:rsidR="0051630C" w:rsidRPr="003B4AEE">
        <w:t>document</w:t>
      </w:r>
      <w:r w:rsidRPr="003B4AEE">
        <w:t>)</w:t>
      </w:r>
    </w:p>
    <w:p w14:paraId="62C2F4BE" w14:textId="77777777" w:rsidR="00654522" w:rsidRPr="003B4AEE" w:rsidRDefault="00654522">
      <w:pPr>
        <w:autoSpaceDE/>
        <w:autoSpaceDN/>
        <w:adjustRightInd/>
        <w:spacing w:after="160" w:line="259" w:lineRule="auto"/>
      </w:pPr>
      <w:r w:rsidRPr="003B4AEE">
        <w:br w:type="page"/>
      </w:r>
    </w:p>
    <w:p w14:paraId="6C340027" w14:textId="477F89CE" w:rsidR="00654522" w:rsidRPr="003B4AEE" w:rsidRDefault="00816C06" w:rsidP="00816C06">
      <w:pPr>
        <w:spacing w:after="240"/>
        <w:jc w:val="center"/>
        <w:rPr>
          <w:rFonts w:asciiTheme="minorHAnsi" w:hAnsiTheme="minorHAnsi" w:cstheme="minorHAnsi"/>
          <w:b/>
          <w:bCs/>
          <w:sz w:val="28"/>
          <w:szCs w:val="28"/>
        </w:rPr>
      </w:pPr>
      <w:bookmarkStart w:id="497" w:name="_Toc61348673"/>
      <w:r w:rsidRPr="003B4AEE">
        <w:rPr>
          <w:rFonts w:asciiTheme="minorHAnsi" w:hAnsiTheme="minorHAnsi" w:cstheme="minorHAnsi"/>
          <w:b/>
          <w:bCs/>
          <w:sz w:val="28"/>
          <w:szCs w:val="28"/>
        </w:rPr>
        <w:lastRenderedPageBreak/>
        <w:t xml:space="preserve">Appendix G </w:t>
      </w:r>
      <w:r w:rsidR="00BB2406" w:rsidRPr="003B4AEE">
        <w:rPr>
          <w:rFonts w:asciiTheme="minorHAnsi" w:hAnsiTheme="minorHAnsi" w:cstheme="minorHAnsi"/>
          <w:b/>
          <w:bCs/>
          <w:sz w:val="28"/>
          <w:szCs w:val="28"/>
        </w:rPr>
        <w:t>—</w:t>
      </w:r>
      <w:r w:rsidR="006117F7" w:rsidRPr="003B4AEE">
        <w:rPr>
          <w:rFonts w:asciiTheme="minorHAnsi" w:hAnsiTheme="minorHAnsi" w:cstheme="minorHAnsi"/>
          <w:b/>
          <w:bCs/>
          <w:sz w:val="28"/>
          <w:szCs w:val="28"/>
        </w:rPr>
        <w:t xml:space="preserve"> </w:t>
      </w:r>
      <w:r w:rsidR="00654522" w:rsidRPr="003B4AEE">
        <w:rPr>
          <w:rFonts w:asciiTheme="minorHAnsi" w:hAnsiTheme="minorHAnsi" w:cstheme="minorHAnsi"/>
          <w:b/>
          <w:bCs/>
          <w:sz w:val="28"/>
          <w:szCs w:val="28"/>
        </w:rPr>
        <w:t>Application Forms</w:t>
      </w:r>
      <w:bookmarkEnd w:id="497"/>
    </w:p>
    <w:p w14:paraId="10798149" w14:textId="77777777" w:rsidR="0092307F" w:rsidRPr="003B4AEE" w:rsidRDefault="0092307F" w:rsidP="00305558">
      <w:pPr>
        <w:pStyle w:val="BodyText"/>
      </w:pPr>
      <w:r w:rsidRPr="003B4AEE">
        <w:t xml:space="preserve">Forms included: </w:t>
      </w:r>
    </w:p>
    <w:p w14:paraId="20617C94" w14:textId="77777777" w:rsidR="0092307F" w:rsidRPr="003B4AEE" w:rsidRDefault="0092307F" w:rsidP="00305558">
      <w:pPr>
        <w:pStyle w:val="ListBulletsingle"/>
      </w:pPr>
      <w:r w:rsidRPr="003B4AEE">
        <w:t xml:space="preserve">Application Forms 1, 2A, 2B, 2C, 2D, 2E, 2F, </w:t>
      </w:r>
      <w:proofErr w:type="gramStart"/>
      <w:r w:rsidRPr="003B4AEE">
        <w:t>2S;</w:t>
      </w:r>
      <w:proofErr w:type="gramEnd"/>
      <w:r w:rsidRPr="003B4AEE">
        <w:t xml:space="preserve"> </w:t>
      </w:r>
    </w:p>
    <w:p w14:paraId="56F4EFF0" w14:textId="77777777" w:rsidR="0092307F" w:rsidRPr="003B4AEE" w:rsidRDefault="0092307F" w:rsidP="00305558">
      <w:pPr>
        <w:pStyle w:val="ListBulletsingle"/>
      </w:pPr>
      <w:r w:rsidRPr="003B4AEE">
        <w:t xml:space="preserve">Construction General Permit NOI, </w:t>
      </w:r>
      <w:proofErr w:type="gramStart"/>
      <w:r w:rsidRPr="003B4AEE">
        <w:t>NOT;</w:t>
      </w:r>
      <w:proofErr w:type="gramEnd"/>
      <w:r w:rsidRPr="003B4AEE">
        <w:t xml:space="preserve"> </w:t>
      </w:r>
    </w:p>
    <w:p w14:paraId="0DA5B08B" w14:textId="77777777" w:rsidR="0092307F" w:rsidRPr="003B4AEE" w:rsidRDefault="0092307F" w:rsidP="00305558">
      <w:pPr>
        <w:pStyle w:val="ListBulletsingle"/>
      </w:pPr>
      <w:r w:rsidRPr="003B4AEE">
        <w:t xml:space="preserve">Pesticide General Permit NOI, NOT, Annual </w:t>
      </w:r>
      <w:proofErr w:type="gramStart"/>
      <w:r w:rsidRPr="003B4AEE">
        <w:t>Report;</w:t>
      </w:r>
      <w:proofErr w:type="gramEnd"/>
      <w:r w:rsidRPr="003B4AEE">
        <w:t xml:space="preserve"> </w:t>
      </w:r>
    </w:p>
    <w:p w14:paraId="28727C9F" w14:textId="77777777" w:rsidR="0092307F" w:rsidRPr="003B4AEE" w:rsidRDefault="0092307F" w:rsidP="00420D9A">
      <w:pPr>
        <w:pStyle w:val="ListBulletsingle"/>
      </w:pPr>
      <w:r w:rsidRPr="003B4AEE">
        <w:t xml:space="preserve">Multi Sector General Permit NOI, NOT, DMR, Annual Report, No Exposure Certification </w:t>
      </w:r>
      <w:proofErr w:type="gramStart"/>
      <w:r w:rsidRPr="003B4AEE">
        <w:t>Form;</w:t>
      </w:r>
      <w:proofErr w:type="gramEnd"/>
      <w:r w:rsidRPr="003B4AEE">
        <w:t xml:space="preserve"> </w:t>
      </w:r>
    </w:p>
    <w:p w14:paraId="4B23951C" w14:textId="11EAEE09" w:rsidR="0092307F" w:rsidRPr="003B4AEE" w:rsidRDefault="0092307F" w:rsidP="00305558">
      <w:pPr>
        <w:pStyle w:val="ListBulletsingle"/>
      </w:pPr>
      <w:r w:rsidRPr="003B4AEE">
        <w:t xml:space="preserve">Vessel General Permit NOI, NOT, </w:t>
      </w:r>
      <w:proofErr w:type="gramStart"/>
      <w:r w:rsidRPr="003B4AEE">
        <w:t>PARI;</w:t>
      </w:r>
      <w:proofErr w:type="gramEnd"/>
      <w:r w:rsidRPr="003B4AEE">
        <w:t xml:space="preserve"> </w:t>
      </w:r>
    </w:p>
    <w:p w14:paraId="62F9DA42" w14:textId="77777777" w:rsidR="0085470C" w:rsidRPr="003B4AEE" w:rsidRDefault="0092307F" w:rsidP="00305558">
      <w:pPr>
        <w:pStyle w:val="ListBulletsingle"/>
      </w:pPr>
      <w:r w:rsidRPr="003B4AEE">
        <w:t>Uniform Federal Transportation/Utility System Application Form</w:t>
      </w:r>
    </w:p>
    <w:p w14:paraId="4533B599" w14:textId="1973E89B" w:rsidR="006A6322" w:rsidRPr="003B4AEE" w:rsidRDefault="000F7D97" w:rsidP="00305558">
      <w:pPr>
        <w:pStyle w:val="ListBulletlast"/>
      </w:pPr>
      <w:r w:rsidRPr="003B4AEE">
        <w:t>One-</w:t>
      </w:r>
      <w:r w:rsidR="00F173F0" w:rsidRPr="003B4AEE">
        <w:t>T</w:t>
      </w:r>
      <w:r w:rsidRPr="003B4AEE">
        <w:t xml:space="preserve">ime </w:t>
      </w:r>
      <w:r w:rsidR="00F173F0" w:rsidRPr="003B4AEE">
        <w:t>C</w:t>
      </w:r>
      <w:r w:rsidRPr="003B4AEE">
        <w:t xml:space="preserve">ompliance </w:t>
      </w:r>
      <w:r w:rsidR="00F173F0" w:rsidRPr="003B4AEE">
        <w:t>R</w:t>
      </w:r>
      <w:r w:rsidRPr="003B4AEE">
        <w:t>eport</w:t>
      </w:r>
      <w:r w:rsidR="00F463D4" w:rsidRPr="003B4AEE">
        <w:t xml:space="preserve">ing Form for Dental Dischargers </w:t>
      </w:r>
    </w:p>
    <w:p w14:paraId="0EB33DE0" w14:textId="09C2A0F2" w:rsidR="00722A06" w:rsidRDefault="00654522" w:rsidP="00C1544E">
      <w:pPr>
        <w:pStyle w:val="BodyText"/>
      </w:pPr>
      <w:r w:rsidRPr="003B4AEE">
        <w:t>(See attached PDF document)</w:t>
      </w:r>
    </w:p>
    <w:sectPr w:rsidR="00722A06" w:rsidSect="006A489B">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732C7" w14:textId="77777777" w:rsidR="0051404A" w:rsidRDefault="0051404A" w:rsidP="00A42E82">
      <w:r>
        <w:separator/>
      </w:r>
    </w:p>
  </w:endnote>
  <w:endnote w:type="continuationSeparator" w:id="0">
    <w:p w14:paraId="51252EBF" w14:textId="77777777" w:rsidR="0051404A" w:rsidRDefault="0051404A" w:rsidP="00A42E82">
      <w:r>
        <w:continuationSeparator/>
      </w:r>
    </w:p>
  </w:endnote>
  <w:endnote w:type="continuationNotice" w:id="1">
    <w:p w14:paraId="1F966F77" w14:textId="77777777" w:rsidR="0051404A" w:rsidRDefault="00514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5F2C" w14:textId="7C391C18" w:rsidR="00D917D0" w:rsidRDefault="002C02AF" w:rsidP="00241E34">
    <w:pPr>
      <w:pStyle w:val="Footer"/>
      <w:pBdr>
        <w:top w:val="single" w:sz="4" w:space="1" w:color="auto"/>
      </w:pBdr>
      <w:tabs>
        <w:tab w:val="clear" w:pos="4320"/>
        <w:tab w:val="clear" w:pos="8640"/>
        <w:tab w:val="center" w:pos="4680"/>
      </w:tabs>
    </w:pPr>
    <w:r>
      <w:t>December</w:t>
    </w:r>
    <w:r w:rsidR="00D917D0">
      <w:t xml:space="preserve"> 2021</w:t>
    </w:r>
    <w:r w:rsidR="00D917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AD5B2" w14:textId="4AC09CAF" w:rsidR="00D917D0" w:rsidRDefault="002C02AF" w:rsidP="00241E34">
    <w:pPr>
      <w:pStyle w:val="Footer"/>
      <w:pBdr>
        <w:top w:val="single" w:sz="4" w:space="1" w:color="auto"/>
      </w:pBdr>
      <w:tabs>
        <w:tab w:val="clear" w:pos="4320"/>
        <w:tab w:val="clear" w:pos="8640"/>
        <w:tab w:val="center" w:pos="4680"/>
      </w:tabs>
    </w:pPr>
    <w:r>
      <w:t>December</w:t>
    </w:r>
    <w:r w:rsidR="00D917D0">
      <w:t xml:space="preserve"> 2021</w:t>
    </w:r>
    <w:r w:rsidR="00D917D0">
      <w:tab/>
    </w:r>
    <w:r w:rsidR="00D917D0">
      <w:fldChar w:fldCharType="begin"/>
    </w:r>
    <w:r w:rsidR="00D917D0">
      <w:instrText xml:space="preserve"> PAGE   \* MERGEFORMAT </w:instrText>
    </w:r>
    <w:r w:rsidR="00D917D0">
      <w:fldChar w:fldCharType="separate"/>
    </w:r>
    <w:r w:rsidR="00D917D0">
      <w:rPr>
        <w:noProof/>
      </w:rPr>
      <w:t>74</w:t>
    </w:r>
    <w:r w:rsidR="00D917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203EC" w14:textId="5D798246" w:rsidR="00D917D0" w:rsidRDefault="00D917D0" w:rsidP="00241E34">
    <w:pPr>
      <w:pStyle w:val="Footer"/>
      <w:pBdr>
        <w:top w:val="single" w:sz="4" w:space="1" w:color="auto"/>
      </w:pBdr>
      <w:tabs>
        <w:tab w:val="clear" w:pos="4320"/>
        <w:tab w:val="clear" w:pos="8640"/>
        <w:tab w:val="center" w:pos="4680"/>
      </w:tabs>
    </w:pPr>
    <w:r>
      <w:t>May 2021</w:t>
    </w:r>
    <w:r>
      <w:tab/>
    </w:r>
    <w:r>
      <w:fldChar w:fldCharType="begin"/>
    </w:r>
    <w:r>
      <w:instrText xml:space="preserve"> PAGE   \* MERGEFORMAT </w:instrText>
    </w:r>
    <w:r>
      <w:fldChar w:fldCharType="separate"/>
    </w:r>
    <w:r>
      <w:rPr>
        <w:noProof/>
      </w:rPr>
      <w:t>74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C276" w14:textId="60427898" w:rsidR="00D917D0" w:rsidRDefault="00D917D0" w:rsidP="00241E34">
    <w:pPr>
      <w:pStyle w:val="Footer"/>
      <w:pBdr>
        <w:top w:val="single" w:sz="4" w:space="1" w:color="auto"/>
      </w:pBdr>
      <w:tabs>
        <w:tab w:val="clear" w:pos="4320"/>
        <w:tab w:val="clear" w:pos="8640"/>
        <w:tab w:val="center" w:pos="4680"/>
      </w:tabs>
    </w:pPr>
    <w:r>
      <w:t>May 2021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6AFC" w14:textId="77777777" w:rsidR="0051404A" w:rsidRDefault="0051404A" w:rsidP="00A42E82">
      <w:r>
        <w:separator/>
      </w:r>
    </w:p>
  </w:footnote>
  <w:footnote w:type="continuationSeparator" w:id="0">
    <w:p w14:paraId="03F7586C" w14:textId="77777777" w:rsidR="0051404A" w:rsidRDefault="0051404A" w:rsidP="00A42E82">
      <w:r>
        <w:continuationSeparator/>
      </w:r>
    </w:p>
  </w:footnote>
  <w:footnote w:type="continuationNotice" w:id="1">
    <w:p w14:paraId="1F7548C2" w14:textId="77777777" w:rsidR="0051404A" w:rsidRDefault="0051404A">
      <w:pPr>
        <w:spacing w:after="0"/>
      </w:pPr>
    </w:p>
  </w:footnote>
  <w:footnote w:id="2">
    <w:p w14:paraId="67D8E1B1" w14:textId="77777777" w:rsidR="00D917D0" w:rsidRDefault="00D917D0" w:rsidP="00A30867">
      <w:pPr>
        <w:pStyle w:val="FootnoteText"/>
      </w:pPr>
      <w:r>
        <w:rPr>
          <w:rStyle w:val="FootnoteReference"/>
        </w:rPr>
        <w:footnoteRef/>
      </w:r>
      <w:r>
        <w:t xml:space="preserve"> </w:t>
      </w:r>
      <w:r w:rsidRPr="00875E9B">
        <w:t xml:space="preserve">The criteria for when an antidegradation demonstration must be performed are different for bioaccumulative </w:t>
      </w:r>
      <w:r w:rsidRPr="00EF1FFC">
        <w:t>chemicals</w:t>
      </w:r>
      <w:r w:rsidRPr="00875E9B">
        <w:t xml:space="preserve"> of concern (BCCs) and non-BCCs</w:t>
      </w:r>
      <w:r>
        <w:t>.</w:t>
      </w:r>
    </w:p>
  </w:footnote>
  <w:footnote w:id="3">
    <w:p w14:paraId="37B1C34B" w14:textId="5A64A60D" w:rsidR="00D917D0" w:rsidRPr="0044160F" w:rsidRDefault="00D917D0" w:rsidP="00A30867">
      <w:pPr>
        <w:pStyle w:val="FootnoteText"/>
      </w:pPr>
      <w:r>
        <w:rPr>
          <w:rStyle w:val="FootnoteReference"/>
        </w:rPr>
        <w:footnoteRef/>
      </w:r>
      <w:r>
        <w:t xml:space="preserve"> B</w:t>
      </w:r>
      <w:r w:rsidRPr="005A1A1F">
        <w:t xml:space="preserve">ased on U.S. Department of Labor, Bureau of Labor Statistics, </w:t>
      </w:r>
      <w:r w:rsidRPr="00C457E0">
        <w:t>Table 3. Employer costs per hour worked for employee compensation and costs as a percent of total compensation: State and local</w:t>
      </w:r>
      <w:r>
        <w:t xml:space="preserve"> </w:t>
      </w:r>
      <w:r w:rsidRPr="00C457E0">
        <w:t>government workers, by major occupational and industry group</w:t>
      </w:r>
      <w:r w:rsidRPr="0044160F">
        <w:t>, June 2020.</w:t>
      </w:r>
    </w:p>
  </w:footnote>
  <w:footnote w:id="4">
    <w:p w14:paraId="4F5FE5D2" w14:textId="7E1BCCB0" w:rsidR="00D917D0" w:rsidRPr="0044160F" w:rsidRDefault="00D917D0" w:rsidP="00A30867">
      <w:pPr>
        <w:pStyle w:val="FootnoteText"/>
      </w:pPr>
      <w:r w:rsidRPr="0044160F">
        <w:rPr>
          <w:rStyle w:val="FootnoteReference"/>
        </w:rPr>
        <w:footnoteRef/>
      </w:r>
      <w:r w:rsidRPr="0044160F">
        <w:t xml:space="preserve"> Updated rates are derived from the U.S. Department of Labor, Bureau of Labor Statistics, in a table titled May 2015 National Industry-Specific Occupational Employment and Wage Estimates NAICS 999300 - Local Government, excluding schools and hospitals (OES Designation), and adjusted to June 2020 dollars using the not seasonally adjusted Employment Cost Index (ECI) for state and local government employees.</w:t>
      </w:r>
    </w:p>
  </w:footnote>
  <w:footnote w:id="5">
    <w:p w14:paraId="01621563" w14:textId="252C3DFB" w:rsidR="00D917D0" w:rsidRDefault="00D917D0" w:rsidP="00A30867">
      <w:pPr>
        <w:pStyle w:val="FootnoteText"/>
      </w:pPr>
      <w:r w:rsidRPr="0044160F">
        <w:rPr>
          <w:rStyle w:val="FootnoteReference"/>
        </w:rPr>
        <w:footnoteRef/>
      </w:r>
      <w:r w:rsidRPr="0044160F">
        <w:t xml:space="preserve"> Determined by the U.S. Department of Labor, Bureau of Labor Statistics, Total Compensation for Management, professional, and related; </w:t>
      </w:r>
      <w:r w:rsidRPr="0044160F">
        <w:rPr>
          <w:i/>
        </w:rPr>
        <w:t>Table 5. Employer costs per hour worked for employee compensation and costs as a percent of total compensation: Private industry workers, by major occupational group and bargaining unit status,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010F" w14:textId="77777777" w:rsidR="00D917D0" w:rsidRDefault="00D917D0" w:rsidP="00241E34">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A44E" w14:textId="2238FE6F" w:rsidR="00D917D0" w:rsidRPr="00241E34" w:rsidRDefault="00D917D0" w:rsidP="00241E34">
    <w:pPr>
      <w:pStyle w:val="Header"/>
      <w:pBdr>
        <w:bottom w:val="single" w:sz="4" w:space="1" w:color="auto"/>
      </w:pBdr>
      <w:jc w:val="right"/>
      <w:rPr>
        <w:i/>
        <w:iCs/>
        <w:sz w:val="20"/>
        <w:szCs w:val="20"/>
      </w:rPr>
    </w:pPr>
    <w:r w:rsidRPr="00241E34">
      <w:rPr>
        <w:i/>
        <w:iCs/>
        <w:sz w:val="20"/>
        <w:szCs w:val="20"/>
      </w:rPr>
      <w:t>ICR for NPDES</w:t>
    </w:r>
    <w:r>
      <w:rPr>
        <w:i/>
        <w:iCs/>
        <w:sz w:val="20"/>
        <w:szCs w:val="20"/>
      </w:rPr>
      <w:t xml:space="preserv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7233" w14:textId="495CF832" w:rsidR="00D917D0" w:rsidRPr="00241E34" w:rsidRDefault="00D917D0" w:rsidP="00241E34">
    <w:pPr>
      <w:pStyle w:val="Header"/>
      <w:pBdr>
        <w:bottom w:val="single" w:sz="4" w:space="1" w:color="auto"/>
      </w:pBdr>
      <w:jc w:val="right"/>
      <w:rPr>
        <w:i/>
        <w:iCs/>
        <w:sz w:val="20"/>
        <w:szCs w:val="20"/>
      </w:rPr>
    </w:pPr>
    <w:r w:rsidRPr="00241E34">
      <w:rPr>
        <w:i/>
        <w:iCs/>
        <w:sz w:val="20"/>
        <w:szCs w:val="20"/>
      </w:rPr>
      <w:t>ICR for NPDES</w:t>
    </w:r>
    <w:r>
      <w:rPr>
        <w:i/>
        <w:iCs/>
        <w:sz w:val="20"/>
        <w:szCs w:val="20"/>
      </w:rPr>
      <w:t xml:space="preserve">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62B1" w14:textId="6C3CE3F3" w:rsidR="00D917D0" w:rsidRPr="00241E34" w:rsidRDefault="00D917D0" w:rsidP="00241E34">
    <w:pPr>
      <w:pStyle w:val="Header"/>
      <w:pBdr>
        <w:bottom w:val="single" w:sz="4" w:space="1" w:color="auto"/>
      </w:pBdr>
      <w:jc w:val="right"/>
      <w:rPr>
        <w:i/>
        <w:iCs/>
        <w:sz w:val="20"/>
        <w:szCs w:val="20"/>
      </w:rPr>
    </w:pPr>
    <w:r w:rsidRPr="00241E34">
      <w:rPr>
        <w:i/>
        <w:iCs/>
        <w:sz w:val="20"/>
        <w:szCs w:val="20"/>
      </w:rPr>
      <w:t>ICR for NPDES</w:t>
    </w:r>
    <w:r>
      <w:rPr>
        <w:i/>
        <w:iCs/>
        <w:sz w:val="20"/>
        <w:szCs w:val="20"/>
      </w:rPr>
      <w:t xml:space="preserv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72214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F25CD"/>
    <w:multiLevelType w:val="hybridMultilevel"/>
    <w:tmpl w:val="B39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FCD"/>
    <w:multiLevelType w:val="hybridMultilevel"/>
    <w:tmpl w:val="D41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27BF8"/>
    <w:multiLevelType w:val="hybridMultilevel"/>
    <w:tmpl w:val="6424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43567"/>
    <w:multiLevelType w:val="hybridMultilevel"/>
    <w:tmpl w:val="0288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6312"/>
    <w:multiLevelType w:val="hybridMultilevel"/>
    <w:tmpl w:val="CCE4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F1D19"/>
    <w:multiLevelType w:val="hybridMultilevel"/>
    <w:tmpl w:val="10B8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451D7"/>
    <w:multiLevelType w:val="hybridMultilevel"/>
    <w:tmpl w:val="F6F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968D7"/>
    <w:multiLevelType w:val="hybridMultilevel"/>
    <w:tmpl w:val="ABA2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7571C"/>
    <w:multiLevelType w:val="hybridMultilevel"/>
    <w:tmpl w:val="27E04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F1EF3"/>
    <w:multiLevelType w:val="multilevel"/>
    <w:tmpl w:val="F9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65F58"/>
    <w:multiLevelType w:val="hybridMultilevel"/>
    <w:tmpl w:val="F8BA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3F1471F"/>
    <w:multiLevelType w:val="hybridMultilevel"/>
    <w:tmpl w:val="85BC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60F4C"/>
    <w:multiLevelType w:val="hybridMultilevel"/>
    <w:tmpl w:val="23CE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2E12E5"/>
    <w:multiLevelType w:val="hybridMultilevel"/>
    <w:tmpl w:val="1136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92243"/>
    <w:multiLevelType w:val="hybridMultilevel"/>
    <w:tmpl w:val="45DC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D514F"/>
    <w:multiLevelType w:val="hybridMultilevel"/>
    <w:tmpl w:val="101E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75935"/>
    <w:multiLevelType w:val="hybridMultilevel"/>
    <w:tmpl w:val="FF66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24410"/>
    <w:multiLevelType w:val="multilevel"/>
    <w:tmpl w:val="60DA1A74"/>
    <w:styleLink w:val="1ai"/>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A715FC5"/>
    <w:multiLevelType w:val="hybridMultilevel"/>
    <w:tmpl w:val="8EA4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708CC"/>
    <w:multiLevelType w:val="hybridMultilevel"/>
    <w:tmpl w:val="5AD0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E7533"/>
    <w:multiLevelType w:val="multilevel"/>
    <w:tmpl w:val="2D0814B2"/>
    <w:lvl w:ilvl="0">
      <w:start w:val="1"/>
      <w:numFmt w:val="upperLetter"/>
      <w:lvlText w:val="%1."/>
      <w:lvlJc w:val="left"/>
      <w:pPr>
        <w:tabs>
          <w:tab w:val="num" w:pos="360"/>
        </w:tabs>
        <w:ind w:left="720" w:hanging="720"/>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decimal"/>
      <w:pStyle w:val="Heading3"/>
      <w:lvlText w:val="%2.%3"/>
      <w:lvlJc w:val="left"/>
      <w:pPr>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D04301A"/>
    <w:multiLevelType w:val="hybridMultilevel"/>
    <w:tmpl w:val="0FDE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C9253E"/>
    <w:multiLevelType w:val="hybridMultilevel"/>
    <w:tmpl w:val="56B61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30DD3C2B"/>
    <w:multiLevelType w:val="hybridMultilevel"/>
    <w:tmpl w:val="1434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333C99"/>
    <w:multiLevelType w:val="hybridMultilevel"/>
    <w:tmpl w:val="023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804B6D"/>
    <w:multiLevelType w:val="hybridMultilevel"/>
    <w:tmpl w:val="9AB6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98096C"/>
    <w:multiLevelType w:val="hybridMultilevel"/>
    <w:tmpl w:val="4E70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44420F"/>
    <w:multiLevelType w:val="hybridMultilevel"/>
    <w:tmpl w:val="114E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83474"/>
    <w:multiLevelType w:val="hybridMultilevel"/>
    <w:tmpl w:val="EB4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F3F18"/>
    <w:multiLevelType w:val="hybridMultilevel"/>
    <w:tmpl w:val="8BF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E7A5CDD"/>
    <w:multiLevelType w:val="hybridMultilevel"/>
    <w:tmpl w:val="B3B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29522F"/>
    <w:multiLevelType w:val="hybridMultilevel"/>
    <w:tmpl w:val="4D72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ED642D"/>
    <w:multiLevelType w:val="hybridMultilevel"/>
    <w:tmpl w:val="AED6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93793"/>
    <w:multiLevelType w:val="hybridMultilevel"/>
    <w:tmpl w:val="8D54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C6C5B43"/>
    <w:multiLevelType w:val="hybridMultilevel"/>
    <w:tmpl w:val="C04E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B66996"/>
    <w:multiLevelType w:val="hybridMultilevel"/>
    <w:tmpl w:val="FBAE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DB69BE"/>
    <w:multiLevelType w:val="hybridMultilevel"/>
    <w:tmpl w:val="FDB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5647DB"/>
    <w:multiLevelType w:val="hybridMultilevel"/>
    <w:tmpl w:val="DF3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75DBB"/>
    <w:multiLevelType w:val="multilevel"/>
    <w:tmpl w:val="EFEA6A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pStyle w:val="Heading6"/>
      <w:lvlText w:val="%6."/>
      <w:lvlJc w:val="right"/>
      <w:pPr>
        <w:tabs>
          <w:tab w:val="num" w:pos="4320"/>
        </w:tabs>
        <w:ind w:left="4320" w:hanging="180"/>
      </w:pPr>
      <w:rPr>
        <w:rFonts w:hint="default"/>
      </w:rPr>
    </w:lvl>
    <w:lvl w:ilvl="6">
      <w:start w:val="1"/>
      <w:numFmt w:val="upperLetter"/>
      <w:pStyle w:val="Heading7"/>
      <w:suff w:val="nothing"/>
      <w:lvlText w:val="Appendix %7"/>
      <w:lvlJc w:val="left"/>
      <w:pPr>
        <w:ind w:left="720" w:hanging="720"/>
      </w:pPr>
      <w:rPr>
        <w:rFonts w:hint="default"/>
      </w:rPr>
    </w:lvl>
    <w:lvl w:ilvl="7">
      <w:start w:val="1"/>
      <w:numFmt w:val="decimal"/>
      <w:pStyle w:val="Heading8"/>
      <w:lvlText w:val="%7.%8"/>
      <w:lvlJc w:val="left"/>
      <w:pPr>
        <w:tabs>
          <w:tab w:val="num" w:pos="0"/>
        </w:tabs>
        <w:ind w:left="720" w:hanging="720"/>
      </w:pPr>
      <w:rPr>
        <w:rFonts w:hint="default"/>
      </w:rPr>
    </w:lvl>
    <w:lvl w:ilvl="8">
      <w:start w:val="1"/>
      <w:numFmt w:val="decimal"/>
      <w:pStyle w:val="Heading9"/>
      <w:lvlText w:val="%7.%8.%9"/>
      <w:lvlJc w:val="left"/>
      <w:pPr>
        <w:tabs>
          <w:tab w:val="num" w:pos="720"/>
        </w:tabs>
        <w:ind w:left="720" w:hanging="720"/>
      </w:pPr>
      <w:rPr>
        <w:rFonts w:hint="default"/>
      </w:rPr>
    </w:lvl>
  </w:abstractNum>
  <w:abstractNum w:abstractNumId="44" w15:restartNumberingAfterBreak="0">
    <w:nsid w:val="6751569B"/>
    <w:multiLevelType w:val="hybridMultilevel"/>
    <w:tmpl w:val="BF300A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15:restartNumberingAfterBreak="0">
    <w:nsid w:val="6EED4D9A"/>
    <w:multiLevelType w:val="hybridMultilevel"/>
    <w:tmpl w:val="C7D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57257"/>
    <w:multiLevelType w:val="hybridMultilevel"/>
    <w:tmpl w:val="98F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83697"/>
    <w:multiLevelType w:val="hybridMultilevel"/>
    <w:tmpl w:val="12DC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63222"/>
    <w:multiLevelType w:val="hybridMultilevel"/>
    <w:tmpl w:val="DFE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692F64"/>
    <w:multiLevelType w:val="hybridMultilevel"/>
    <w:tmpl w:val="A55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12"/>
  </w:num>
  <w:num w:numId="4">
    <w:abstractNumId w:val="19"/>
  </w:num>
  <w:num w:numId="5">
    <w:abstractNumId w:val="33"/>
  </w:num>
  <w:num w:numId="6">
    <w:abstractNumId w:val="35"/>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6"/>
  </w:num>
  <w:num w:numId="12">
    <w:abstractNumId w:val="22"/>
  </w:num>
  <w:num w:numId="13">
    <w:abstractNumId w:val="27"/>
  </w:num>
  <w:num w:numId="14">
    <w:abstractNumId w:val="49"/>
  </w:num>
  <w:num w:numId="15">
    <w:abstractNumId w:val="3"/>
  </w:num>
  <w:num w:numId="16">
    <w:abstractNumId w:val="31"/>
  </w:num>
  <w:num w:numId="17">
    <w:abstractNumId w:val="39"/>
  </w:num>
  <w:num w:numId="18">
    <w:abstractNumId w:val="48"/>
  </w:num>
  <w:num w:numId="19">
    <w:abstractNumId w:val="36"/>
  </w:num>
  <w:num w:numId="20">
    <w:abstractNumId w:val="13"/>
  </w:num>
  <w:num w:numId="21">
    <w:abstractNumId w:val="17"/>
  </w:num>
  <w:num w:numId="22">
    <w:abstractNumId w:val="16"/>
  </w:num>
  <w:num w:numId="23">
    <w:abstractNumId w:val="29"/>
  </w:num>
  <w:num w:numId="24">
    <w:abstractNumId w:val="37"/>
  </w:num>
  <w:num w:numId="25">
    <w:abstractNumId w:val="41"/>
  </w:num>
  <w:num w:numId="26">
    <w:abstractNumId w:val="34"/>
  </w:num>
  <w:num w:numId="27">
    <w:abstractNumId w:val="15"/>
  </w:num>
  <w:num w:numId="28">
    <w:abstractNumId w:val="4"/>
  </w:num>
  <w:num w:numId="29">
    <w:abstractNumId w:val="8"/>
  </w:num>
  <w:num w:numId="30">
    <w:abstractNumId w:val="45"/>
  </w:num>
  <w:num w:numId="31">
    <w:abstractNumId w:val="18"/>
  </w:num>
  <w:num w:numId="32">
    <w:abstractNumId w:val="47"/>
  </w:num>
  <w:num w:numId="33">
    <w:abstractNumId w:val="26"/>
  </w:num>
  <w:num w:numId="34">
    <w:abstractNumId w:val="46"/>
  </w:num>
  <w:num w:numId="35">
    <w:abstractNumId w:val="1"/>
  </w:num>
  <w:num w:numId="36">
    <w:abstractNumId w:val="42"/>
  </w:num>
  <w:num w:numId="37">
    <w:abstractNumId w:val="7"/>
  </w:num>
  <w:num w:numId="38">
    <w:abstractNumId w:val="32"/>
  </w:num>
  <w:num w:numId="39">
    <w:abstractNumId w:val="21"/>
  </w:num>
  <w:num w:numId="40">
    <w:abstractNumId w:val="28"/>
  </w:num>
  <w:num w:numId="41">
    <w:abstractNumId w:val="11"/>
  </w:num>
  <w:num w:numId="42">
    <w:abstractNumId w:val="44"/>
  </w:num>
  <w:num w:numId="43">
    <w:abstractNumId w:val="25"/>
  </w:num>
  <w:num w:numId="44">
    <w:abstractNumId w:val="30"/>
  </w:num>
  <w:num w:numId="45">
    <w:abstractNumId w:val="0"/>
  </w:num>
  <w:num w:numId="46">
    <w:abstractNumId w:val="9"/>
  </w:num>
  <w:num w:numId="47">
    <w:abstractNumId w:val="2"/>
  </w:num>
  <w:num w:numId="48">
    <w:abstractNumId w:val="38"/>
  </w:num>
  <w:num w:numId="49">
    <w:abstractNumId w:val="5"/>
  </w:num>
  <w:num w:numId="50">
    <w:abstractNumId w:val="14"/>
  </w:num>
  <w:num w:numId="51">
    <w:abstractNumId w:val="24"/>
  </w:num>
  <w:num w:numId="52">
    <w:abstractNumId w:val="10"/>
  </w:num>
  <w:num w:numId="5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jI1NzA0sTQ0M7FU0lEKTi0uzszPAykwrAUATAVFmCwAAAA="/>
  </w:docVars>
  <w:rsids>
    <w:rsidRoot w:val="007F2877"/>
    <w:rsid w:val="00000231"/>
    <w:rsid w:val="00000AF0"/>
    <w:rsid w:val="00001F1A"/>
    <w:rsid w:val="000022E8"/>
    <w:rsid w:val="00002380"/>
    <w:rsid w:val="00002688"/>
    <w:rsid w:val="000041BC"/>
    <w:rsid w:val="000051BE"/>
    <w:rsid w:val="00005555"/>
    <w:rsid w:val="00006138"/>
    <w:rsid w:val="00006973"/>
    <w:rsid w:val="00006C12"/>
    <w:rsid w:val="00006FE2"/>
    <w:rsid w:val="0000700B"/>
    <w:rsid w:val="000076A9"/>
    <w:rsid w:val="00007CFD"/>
    <w:rsid w:val="00007F89"/>
    <w:rsid w:val="000106BF"/>
    <w:rsid w:val="000106D0"/>
    <w:rsid w:val="00010F51"/>
    <w:rsid w:val="00011016"/>
    <w:rsid w:val="00012731"/>
    <w:rsid w:val="00013981"/>
    <w:rsid w:val="00014934"/>
    <w:rsid w:val="0001539D"/>
    <w:rsid w:val="000155E2"/>
    <w:rsid w:val="00015813"/>
    <w:rsid w:val="00016002"/>
    <w:rsid w:val="00016758"/>
    <w:rsid w:val="00016AE4"/>
    <w:rsid w:val="00016E13"/>
    <w:rsid w:val="00017169"/>
    <w:rsid w:val="000177D1"/>
    <w:rsid w:val="00017C72"/>
    <w:rsid w:val="00017EA5"/>
    <w:rsid w:val="00017F9B"/>
    <w:rsid w:val="0002002D"/>
    <w:rsid w:val="00020114"/>
    <w:rsid w:val="00020501"/>
    <w:rsid w:val="000217B0"/>
    <w:rsid w:val="0002342A"/>
    <w:rsid w:val="00023876"/>
    <w:rsid w:val="00023967"/>
    <w:rsid w:val="00023E15"/>
    <w:rsid w:val="00023FB4"/>
    <w:rsid w:val="00025B14"/>
    <w:rsid w:val="00026415"/>
    <w:rsid w:val="00030545"/>
    <w:rsid w:val="0003104C"/>
    <w:rsid w:val="000311C5"/>
    <w:rsid w:val="000311E4"/>
    <w:rsid w:val="00031867"/>
    <w:rsid w:val="00031C20"/>
    <w:rsid w:val="00031E94"/>
    <w:rsid w:val="00032DA1"/>
    <w:rsid w:val="00034D54"/>
    <w:rsid w:val="00034D67"/>
    <w:rsid w:val="00034E81"/>
    <w:rsid w:val="00035229"/>
    <w:rsid w:val="0003525F"/>
    <w:rsid w:val="0003528C"/>
    <w:rsid w:val="0003528E"/>
    <w:rsid w:val="000357C1"/>
    <w:rsid w:val="00035C1F"/>
    <w:rsid w:val="00035EFF"/>
    <w:rsid w:val="000369E8"/>
    <w:rsid w:val="000372E1"/>
    <w:rsid w:val="00040099"/>
    <w:rsid w:val="00041B6F"/>
    <w:rsid w:val="00041C13"/>
    <w:rsid w:val="00042EFD"/>
    <w:rsid w:val="000436DA"/>
    <w:rsid w:val="00043987"/>
    <w:rsid w:val="00044771"/>
    <w:rsid w:val="000451D4"/>
    <w:rsid w:val="000453F9"/>
    <w:rsid w:val="00045AD2"/>
    <w:rsid w:val="0004626D"/>
    <w:rsid w:val="000467D4"/>
    <w:rsid w:val="00047193"/>
    <w:rsid w:val="00047848"/>
    <w:rsid w:val="000478F3"/>
    <w:rsid w:val="00047F83"/>
    <w:rsid w:val="00050107"/>
    <w:rsid w:val="00051655"/>
    <w:rsid w:val="00052A46"/>
    <w:rsid w:val="00052F5F"/>
    <w:rsid w:val="0005309E"/>
    <w:rsid w:val="00053313"/>
    <w:rsid w:val="0005388D"/>
    <w:rsid w:val="0005396A"/>
    <w:rsid w:val="00054087"/>
    <w:rsid w:val="00054102"/>
    <w:rsid w:val="000546C5"/>
    <w:rsid w:val="00054BE9"/>
    <w:rsid w:val="00054C33"/>
    <w:rsid w:val="0005631A"/>
    <w:rsid w:val="0005671B"/>
    <w:rsid w:val="00056CFB"/>
    <w:rsid w:val="000574E8"/>
    <w:rsid w:val="00060B95"/>
    <w:rsid w:val="00060CE3"/>
    <w:rsid w:val="00060D96"/>
    <w:rsid w:val="000616D2"/>
    <w:rsid w:val="00061ACC"/>
    <w:rsid w:val="00062A02"/>
    <w:rsid w:val="00062DFD"/>
    <w:rsid w:val="00062F81"/>
    <w:rsid w:val="00063359"/>
    <w:rsid w:val="00063BCC"/>
    <w:rsid w:val="0006410A"/>
    <w:rsid w:val="00064B4D"/>
    <w:rsid w:val="00065A10"/>
    <w:rsid w:val="00065D8A"/>
    <w:rsid w:val="00066787"/>
    <w:rsid w:val="000671F8"/>
    <w:rsid w:val="000673BB"/>
    <w:rsid w:val="00067F02"/>
    <w:rsid w:val="0007121B"/>
    <w:rsid w:val="000718B4"/>
    <w:rsid w:val="000718B8"/>
    <w:rsid w:val="00072139"/>
    <w:rsid w:val="000725BB"/>
    <w:rsid w:val="0007423B"/>
    <w:rsid w:val="00074E4A"/>
    <w:rsid w:val="000755CE"/>
    <w:rsid w:val="00075BFB"/>
    <w:rsid w:val="00075F80"/>
    <w:rsid w:val="000772BC"/>
    <w:rsid w:val="00077A10"/>
    <w:rsid w:val="0008077E"/>
    <w:rsid w:val="00080BCB"/>
    <w:rsid w:val="00081065"/>
    <w:rsid w:val="000821B6"/>
    <w:rsid w:val="0008363E"/>
    <w:rsid w:val="000838D9"/>
    <w:rsid w:val="00083936"/>
    <w:rsid w:val="000839CA"/>
    <w:rsid w:val="00083F80"/>
    <w:rsid w:val="0008489B"/>
    <w:rsid w:val="0008495E"/>
    <w:rsid w:val="000849B3"/>
    <w:rsid w:val="00084B0D"/>
    <w:rsid w:val="00084CF7"/>
    <w:rsid w:val="00085324"/>
    <w:rsid w:val="000853DE"/>
    <w:rsid w:val="0008544B"/>
    <w:rsid w:val="000854BE"/>
    <w:rsid w:val="00086457"/>
    <w:rsid w:val="0008669A"/>
    <w:rsid w:val="00086BD8"/>
    <w:rsid w:val="00087B5A"/>
    <w:rsid w:val="00087F50"/>
    <w:rsid w:val="000922A7"/>
    <w:rsid w:val="00093E48"/>
    <w:rsid w:val="0009496B"/>
    <w:rsid w:val="00095E24"/>
    <w:rsid w:val="00096538"/>
    <w:rsid w:val="0009668D"/>
    <w:rsid w:val="000967EB"/>
    <w:rsid w:val="00096FE6"/>
    <w:rsid w:val="000A0C92"/>
    <w:rsid w:val="000A0CF3"/>
    <w:rsid w:val="000A1142"/>
    <w:rsid w:val="000A1B5D"/>
    <w:rsid w:val="000A1C14"/>
    <w:rsid w:val="000A1D4E"/>
    <w:rsid w:val="000A24BD"/>
    <w:rsid w:val="000A28CD"/>
    <w:rsid w:val="000A2BA1"/>
    <w:rsid w:val="000A2E16"/>
    <w:rsid w:val="000A2FC4"/>
    <w:rsid w:val="000A3ED0"/>
    <w:rsid w:val="000A40E9"/>
    <w:rsid w:val="000A4AD6"/>
    <w:rsid w:val="000A4F9F"/>
    <w:rsid w:val="000B050A"/>
    <w:rsid w:val="000B0D81"/>
    <w:rsid w:val="000B1438"/>
    <w:rsid w:val="000B1827"/>
    <w:rsid w:val="000B253B"/>
    <w:rsid w:val="000B2EE3"/>
    <w:rsid w:val="000B38BE"/>
    <w:rsid w:val="000B4692"/>
    <w:rsid w:val="000B4F81"/>
    <w:rsid w:val="000B5B7F"/>
    <w:rsid w:val="000B5D4C"/>
    <w:rsid w:val="000B6B16"/>
    <w:rsid w:val="000B6DC6"/>
    <w:rsid w:val="000B7782"/>
    <w:rsid w:val="000C0574"/>
    <w:rsid w:val="000C0602"/>
    <w:rsid w:val="000C0AB3"/>
    <w:rsid w:val="000C1705"/>
    <w:rsid w:val="000C1A43"/>
    <w:rsid w:val="000C1DE6"/>
    <w:rsid w:val="000C32BA"/>
    <w:rsid w:val="000C34EF"/>
    <w:rsid w:val="000C38A6"/>
    <w:rsid w:val="000C431A"/>
    <w:rsid w:val="000C4400"/>
    <w:rsid w:val="000C46A2"/>
    <w:rsid w:val="000C48DC"/>
    <w:rsid w:val="000C4A15"/>
    <w:rsid w:val="000C4CE5"/>
    <w:rsid w:val="000C50CD"/>
    <w:rsid w:val="000C5B2E"/>
    <w:rsid w:val="000C647C"/>
    <w:rsid w:val="000C7863"/>
    <w:rsid w:val="000C79D6"/>
    <w:rsid w:val="000C7ADD"/>
    <w:rsid w:val="000D00D1"/>
    <w:rsid w:val="000D080C"/>
    <w:rsid w:val="000D0912"/>
    <w:rsid w:val="000D09F7"/>
    <w:rsid w:val="000D0E8D"/>
    <w:rsid w:val="000D134B"/>
    <w:rsid w:val="000D173B"/>
    <w:rsid w:val="000D29E2"/>
    <w:rsid w:val="000D391F"/>
    <w:rsid w:val="000D41D8"/>
    <w:rsid w:val="000D4D42"/>
    <w:rsid w:val="000D4F01"/>
    <w:rsid w:val="000D503E"/>
    <w:rsid w:val="000D51B3"/>
    <w:rsid w:val="000D57D5"/>
    <w:rsid w:val="000D6C42"/>
    <w:rsid w:val="000D6C62"/>
    <w:rsid w:val="000D7F69"/>
    <w:rsid w:val="000E0424"/>
    <w:rsid w:val="000E0C68"/>
    <w:rsid w:val="000E18C6"/>
    <w:rsid w:val="000E2A59"/>
    <w:rsid w:val="000E2B84"/>
    <w:rsid w:val="000E2DEF"/>
    <w:rsid w:val="000E319F"/>
    <w:rsid w:val="000E40B4"/>
    <w:rsid w:val="000E4E0B"/>
    <w:rsid w:val="000E5E9B"/>
    <w:rsid w:val="000E631D"/>
    <w:rsid w:val="000E6742"/>
    <w:rsid w:val="000E6E5F"/>
    <w:rsid w:val="000E711E"/>
    <w:rsid w:val="000E74D1"/>
    <w:rsid w:val="000F01BF"/>
    <w:rsid w:val="000F049E"/>
    <w:rsid w:val="000F06DB"/>
    <w:rsid w:val="000F0813"/>
    <w:rsid w:val="000F0893"/>
    <w:rsid w:val="000F0900"/>
    <w:rsid w:val="000F134A"/>
    <w:rsid w:val="000F1D71"/>
    <w:rsid w:val="000F23E8"/>
    <w:rsid w:val="000F24DD"/>
    <w:rsid w:val="000F2D5E"/>
    <w:rsid w:val="000F2F42"/>
    <w:rsid w:val="000F3097"/>
    <w:rsid w:val="000F38FC"/>
    <w:rsid w:val="000F4836"/>
    <w:rsid w:val="000F496D"/>
    <w:rsid w:val="000F4A0F"/>
    <w:rsid w:val="000F4A37"/>
    <w:rsid w:val="000F5166"/>
    <w:rsid w:val="000F65C4"/>
    <w:rsid w:val="000F7BB4"/>
    <w:rsid w:val="000F7D97"/>
    <w:rsid w:val="00100879"/>
    <w:rsid w:val="00100BD9"/>
    <w:rsid w:val="00100C13"/>
    <w:rsid w:val="0010104E"/>
    <w:rsid w:val="00101289"/>
    <w:rsid w:val="001016C9"/>
    <w:rsid w:val="00101978"/>
    <w:rsid w:val="001019E6"/>
    <w:rsid w:val="00101E17"/>
    <w:rsid w:val="00103DD0"/>
    <w:rsid w:val="00104114"/>
    <w:rsid w:val="00104278"/>
    <w:rsid w:val="0010448B"/>
    <w:rsid w:val="00104D2F"/>
    <w:rsid w:val="001055B7"/>
    <w:rsid w:val="0010581D"/>
    <w:rsid w:val="00106A35"/>
    <w:rsid w:val="00106ACF"/>
    <w:rsid w:val="00106D67"/>
    <w:rsid w:val="00110AB2"/>
    <w:rsid w:val="00110EC4"/>
    <w:rsid w:val="001122BB"/>
    <w:rsid w:val="001123AA"/>
    <w:rsid w:val="00112C69"/>
    <w:rsid w:val="00113126"/>
    <w:rsid w:val="00113CF6"/>
    <w:rsid w:val="00113D2D"/>
    <w:rsid w:val="00114167"/>
    <w:rsid w:val="001144E6"/>
    <w:rsid w:val="001146F0"/>
    <w:rsid w:val="00114BFE"/>
    <w:rsid w:val="00114E70"/>
    <w:rsid w:val="001153D1"/>
    <w:rsid w:val="0011559C"/>
    <w:rsid w:val="00117B63"/>
    <w:rsid w:val="00117DDB"/>
    <w:rsid w:val="00120219"/>
    <w:rsid w:val="00120A76"/>
    <w:rsid w:val="00120C0B"/>
    <w:rsid w:val="00122D65"/>
    <w:rsid w:val="0012302E"/>
    <w:rsid w:val="00123B84"/>
    <w:rsid w:val="00123DE1"/>
    <w:rsid w:val="00124354"/>
    <w:rsid w:val="001245CB"/>
    <w:rsid w:val="0012494D"/>
    <w:rsid w:val="00124A36"/>
    <w:rsid w:val="00124C4C"/>
    <w:rsid w:val="00124DCA"/>
    <w:rsid w:val="0012501A"/>
    <w:rsid w:val="00125967"/>
    <w:rsid w:val="00125FE3"/>
    <w:rsid w:val="00126742"/>
    <w:rsid w:val="001301A3"/>
    <w:rsid w:val="001303AB"/>
    <w:rsid w:val="00130D8A"/>
    <w:rsid w:val="00130F41"/>
    <w:rsid w:val="00132521"/>
    <w:rsid w:val="00133063"/>
    <w:rsid w:val="00134A7F"/>
    <w:rsid w:val="00134DFD"/>
    <w:rsid w:val="00134E29"/>
    <w:rsid w:val="00135034"/>
    <w:rsid w:val="0013504C"/>
    <w:rsid w:val="001352F4"/>
    <w:rsid w:val="00135674"/>
    <w:rsid w:val="00135A79"/>
    <w:rsid w:val="001365EF"/>
    <w:rsid w:val="001377E5"/>
    <w:rsid w:val="00137E5C"/>
    <w:rsid w:val="00140E02"/>
    <w:rsid w:val="00141859"/>
    <w:rsid w:val="00141AEC"/>
    <w:rsid w:val="00141CC0"/>
    <w:rsid w:val="001420C9"/>
    <w:rsid w:val="001421BC"/>
    <w:rsid w:val="00142AD6"/>
    <w:rsid w:val="001433AC"/>
    <w:rsid w:val="00144545"/>
    <w:rsid w:val="001445CD"/>
    <w:rsid w:val="00145D00"/>
    <w:rsid w:val="00145F14"/>
    <w:rsid w:val="001467B3"/>
    <w:rsid w:val="00146F63"/>
    <w:rsid w:val="001477FE"/>
    <w:rsid w:val="00147818"/>
    <w:rsid w:val="00150188"/>
    <w:rsid w:val="001506FA"/>
    <w:rsid w:val="00150786"/>
    <w:rsid w:val="001507AA"/>
    <w:rsid w:val="00150883"/>
    <w:rsid w:val="00151837"/>
    <w:rsid w:val="00151D55"/>
    <w:rsid w:val="00151FFA"/>
    <w:rsid w:val="00152169"/>
    <w:rsid w:val="0015284E"/>
    <w:rsid w:val="00152AB5"/>
    <w:rsid w:val="00152B88"/>
    <w:rsid w:val="0015314D"/>
    <w:rsid w:val="0015409A"/>
    <w:rsid w:val="001547DA"/>
    <w:rsid w:val="00154907"/>
    <w:rsid w:val="00154BC9"/>
    <w:rsid w:val="001554CE"/>
    <w:rsid w:val="00160584"/>
    <w:rsid w:val="00160690"/>
    <w:rsid w:val="00160757"/>
    <w:rsid w:val="0016108B"/>
    <w:rsid w:val="0016112D"/>
    <w:rsid w:val="0016179B"/>
    <w:rsid w:val="00163713"/>
    <w:rsid w:val="0016381C"/>
    <w:rsid w:val="00164189"/>
    <w:rsid w:val="00164D19"/>
    <w:rsid w:val="001660DE"/>
    <w:rsid w:val="001669BF"/>
    <w:rsid w:val="0016776A"/>
    <w:rsid w:val="00167BE1"/>
    <w:rsid w:val="00167C1A"/>
    <w:rsid w:val="00167F8B"/>
    <w:rsid w:val="001701BC"/>
    <w:rsid w:val="001701CE"/>
    <w:rsid w:val="001706D5"/>
    <w:rsid w:val="001709A1"/>
    <w:rsid w:val="001710DA"/>
    <w:rsid w:val="0017116A"/>
    <w:rsid w:val="0017119C"/>
    <w:rsid w:val="0017120E"/>
    <w:rsid w:val="001715A3"/>
    <w:rsid w:val="001721B7"/>
    <w:rsid w:val="00172D81"/>
    <w:rsid w:val="00172F23"/>
    <w:rsid w:val="00173011"/>
    <w:rsid w:val="00173081"/>
    <w:rsid w:val="001730BD"/>
    <w:rsid w:val="00173456"/>
    <w:rsid w:val="00173597"/>
    <w:rsid w:val="00173910"/>
    <w:rsid w:val="00173BC4"/>
    <w:rsid w:val="00174DB0"/>
    <w:rsid w:val="00174FBC"/>
    <w:rsid w:val="00175000"/>
    <w:rsid w:val="001751E6"/>
    <w:rsid w:val="00175205"/>
    <w:rsid w:val="001757E1"/>
    <w:rsid w:val="00175A04"/>
    <w:rsid w:val="00175B0E"/>
    <w:rsid w:val="00175B36"/>
    <w:rsid w:val="0017706B"/>
    <w:rsid w:val="001770FD"/>
    <w:rsid w:val="0017745D"/>
    <w:rsid w:val="00177A23"/>
    <w:rsid w:val="00177B92"/>
    <w:rsid w:val="00177FD2"/>
    <w:rsid w:val="001803C3"/>
    <w:rsid w:val="001803C6"/>
    <w:rsid w:val="00180641"/>
    <w:rsid w:val="00180820"/>
    <w:rsid w:val="001810CE"/>
    <w:rsid w:val="0018142E"/>
    <w:rsid w:val="001814FD"/>
    <w:rsid w:val="00181F7D"/>
    <w:rsid w:val="0018239C"/>
    <w:rsid w:val="001828FF"/>
    <w:rsid w:val="00184168"/>
    <w:rsid w:val="0018553D"/>
    <w:rsid w:val="00185819"/>
    <w:rsid w:val="0018582C"/>
    <w:rsid w:val="00185D2A"/>
    <w:rsid w:val="00185DEA"/>
    <w:rsid w:val="00185DEE"/>
    <w:rsid w:val="001875E7"/>
    <w:rsid w:val="0019008D"/>
    <w:rsid w:val="001903C3"/>
    <w:rsid w:val="0019157D"/>
    <w:rsid w:val="00191ED8"/>
    <w:rsid w:val="00192159"/>
    <w:rsid w:val="0019239A"/>
    <w:rsid w:val="00192645"/>
    <w:rsid w:val="00193CE0"/>
    <w:rsid w:val="00194826"/>
    <w:rsid w:val="00194A80"/>
    <w:rsid w:val="00194C17"/>
    <w:rsid w:val="00194D79"/>
    <w:rsid w:val="00195759"/>
    <w:rsid w:val="0019693A"/>
    <w:rsid w:val="0019709A"/>
    <w:rsid w:val="00197114"/>
    <w:rsid w:val="00197619"/>
    <w:rsid w:val="001979A9"/>
    <w:rsid w:val="00197BD1"/>
    <w:rsid w:val="00197DDD"/>
    <w:rsid w:val="001A0437"/>
    <w:rsid w:val="001A0C24"/>
    <w:rsid w:val="001A1386"/>
    <w:rsid w:val="001A186A"/>
    <w:rsid w:val="001A1A6C"/>
    <w:rsid w:val="001A1AAE"/>
    <w:rsid w:val="001A2C55"/>
    <w:rsid w:val="001A2D27"/>
    <w:rsid w:val="001A2D34"/>
    <w:rsid w:val="001A2DEF"/>
    <w:rsid w:val="001A2F6C"/>
    <w:rsid w:val="001A3067"/>
    <w:rsid w:val="001A3283"/>
    <w:rsid w:val="001A368D"/>
    <w:rsid w:val="001A3B22"/>
    <w:rsid w:val="001A3B3D"/>
    <w:rsid w:val="001A3BD2"/>
    <w:rsid w:val="001A3D24"/>
    <w:rsid w:val="001A6012"/>
    <w:rsid w:val="001A6137"/>
    <w:rsid w:val="001A67D7"/>
    <w:rsid w:val="001A699E"/>
    <w:rsid w:val="001A6B5F"/>
    <w:rsid w:val="001A6DA0"/>
    <w:rsid w:val="001A71A7"/>
    <w:rsid w:val="001A727B"/>
    <w:rsid w:val="001A72F4"/>
    <w:rsid w:val="001A7378"/>
    <w:rsid w:val="001A7489"/>
    <w:rsid w:val="001A79F6"/>
    <w:rsid w:val="001A7BA2"/>
    <w:rsid w:val="001A7BC4"/>
    <w:rsid w:val="001A7DD4"/>
    <w:rsid w:val="001B116D"/>
    <w:rsid w:val="001B13C7"/>
    <w:rsid w:val="001B194F"/>
    <w:rsid w:val="001B1A22"/>
    <w:rsid w:val="001B2149"/>
    <w:rsid w:val="001B284D"/>
    <w:rsid w:val="001B3919"/>
    <w:rsid w:val="001B3B94"/>
    <w:rsid w:val="001B467C"/>
    <w:rsid w:val="001B467F"/>
    <w:rsid w:val="001B4B70"/>
    <w:rsid w:val="001B4C30"/>
    <w:rsid w:val="001B5014"/>
    <w:rsid w:val="001B5187"/>
    <w:rsid w:val="001B5B00"/>
    <w:rsid w:val="001B5F50"/>
    <w:rsid w:val="001B6078"/>
    <w:rsid w:val="001B68A0"/>
    <w:rsid w:val="001B7343"/>
    <w:rsid w:val="001B7FE5"/>
    <w:rsid w:val="001C00F6"/>
    <w:rsid w:val="001C1394"/>
    <w:rsid w:val="001C1B25"/>
    <w:rsid w:val="001C2358"/>
    <w:rsid w:val="001C2631"/>
    <w:rsid w:val="001C2EC7"/>
    <w:rsid w:val="001C3C9E"/>
    <w:rsid w:val="001C458E"/>
    <w:rsid w:val="001C4686"/>
    <w:rsid w:val="001C481D"/>
    <w:rsid w:val="001C4981"/>
    <w:rsid w:val="001C4B48"/>
    <w:rsid w:val="001C4C9A"/>
    <w:rsid w:val="001C4F51"/>
    <w:rsid w:val="001C5308"/>
    <w:rsid w:val="001C56F9"/>
    <w:rsid w:val="001C5E71"/>
    <w:rsid w:val="001C6305"/>
    <w:rsid w:val="001C6996"/>
    <w:rsid w:val="001C6A37"/>
    <w:rsid w:val="001C6D93"/>
    <w:rsid w:val="001C741C"/>
    <w:rsid w:val="001C7D04"/>
    <w:rsid w:val="001D00D1"/>
    <w:rsid w:val="001D05DE"/>
    <w:rsid w:val="001D0745"/>
    <w:rsid w:val="001D1224"/>
    <w:rsid w:val="001D163F"/>
    <w:rsid w:val="001D1A4B"/>
    <w:rsid w:val="001D1D96"/>
    <w:rsid w:val="001D23C8"/>
    <w:rsid w:val="001D2B9F"/>
    <w:rsid w:val="001D2D0B"/>
    <w:rsid w:val="001D30B3"/>
    <w:rsid w:val="001D3519"/>
    <w:rsid w:val="001D357C"/>
    <w:rsid w:val="001D3696"/>
    <w:rsid w:val="001D42D0"/>
    <w:rsid w:val="001D56B6"/>
    <w:rsid w:val="001D57A7"/>
    <w:rsid w:val="001D64E1"/>
    <w:rsid w:val="001D6CF8"/>
    <w:rsid w:val="001D7375"/>
    <w:rsid w:val="001D79AB"/>
    <w:rsid w:val="001D7A56"/>
    <w:rsid w:val="001E00D4"/>
    <w:rsid w:val="001E0E97"/>
    <w:rsid w:val="001E134F"/>
    <w:rsid w:val="001E15B4"/>
    <w:rsid w:val="001E1826"/>
    <w:rsid w:val="001E1ADB"/>
    <w:rsid w:val="001E22DB"/>
    <w:rsid w:val="001E3120"/>
    <w:rsid w:val="001E3D45"/>
    <w:rsid w:val="001E3F88"/>
    <w:rsid w:val="001E40C5"/>
    <w:rsid w:val="001E42A8"/>
    <w:rsid w:val="001E44B0"/>
    <w:rsid w:val="001E44D8"/>
    <w:rsid w:val="001E4F9D"/>
    <w:rsid w:val="001E4FC2"/>
    <w:rsid w:val="001E5193"/>
    <w:rsid w:val="001E521D"/>
    <w:rsid w:val="001E5224"/>
    <w:rsid w:val="001E54BE"/>
    <w:rsid w:val="001E583A"/>
    <w:rsid w:val="001E6310"/>
    <w:rsid w:val="001E6F0B"/>
    <w:rsid w:val="001E7008"/>
    <w:rsid w:val="001E75DD"/>
    <w:rsid w:val="001E79D6"/>
    <w:rsid w:val="001F03C9"/>
    <w:rsid w:val="001F0E04"/>
    <w:rsid w:val="001F11E1"/>
    <w:rsid w:val="001F1BF7"/>
    <w:rsid w:val="001F1E44"/>
    <w:rsid w:val="001F2018"/>
    <w:rsid w:val="001F2AD4"/>
    <w:rsid w:val="001F2C49"/>
    <w:rsid w:val="001F36AA"/>
    <w:rsid w:val="001F36D7"/>
    <w:rsid w:val="001F37A7"/>
    <w:rsid w:val="001F3FA5"/>
    <w:rsid w:val="001F3FDF"/>
    <w:rsid w:val="001F4A9D"/>
    <w:rsid w:val="001F4D1D"/>
    <w:rsid w:val="001F562C"/>
    <w:rsid w:val="001F5AB0"/>
    <w:rsid w:val="001F6782"/>
    <w:rsid w:val="001F6B4F"/>
    <w:rsid w:val="001F6C4B"/>
    <w:rsid w:val="001F6C5A"/>
    <w:rsid w:val="001F6DBB"/>
    <w:rsid w:val="001F73E8"/>
    <w:rsid w:val="00200F70"/>
    <w:rsid w:val="002017BC"/>
    <w:rsid w:val="00202339"/>
    <w:rsid w:val="00202584"/>
    <w:rsid w:val="00202B9C"/>
    <w:rsid w:val="00202F03"/>
    <w:rsid w:val="002030E4"/>
    <w:rsid w:val="002031C4"/>
    <w:rsid w:val="00203C14"/>
    <w:rsid w:val="00203CD0"/>
    <w:rsid w:val="00203D10"/>
    <w:rsid w:val="0020447B"/>
    <w:rsid w:val="002049E1"/>
    <w:rsid w:val="00204C57"/>
    <w:rsid w:val="00205490"/>
    <w:rsid w:val="002057FE"/>
    <w:rsid w:val="002057FF"/>
    <w:rsid w:val="0020604F"/>
    <w:rsid w:val="002068C8"/>
    <w:rsid w:val="00206EC4"/>
    <w:rsid w:val="002071E3"/>
    <w:rsid w:val="00207FF7"/>
    <w:rsid w:val="002102F1"/>
    <w:rsid w:val="002105C4"/>
    <w:rsid w:val="00210702"/>
    <w:rsid w:val="00210876"/>
    <w:rsid w:val="002109DA"/>
    <w:rsid w:val="00211607"/>
    <w:rsid w:val="00211C6A"/>
    <w:rsid w:val="00212163"/>
    <w:rsid w:val="00212898"/>
    <w:rsid w:val="00212BB1"/>
    <w:rsid w:val="00213C32"/>
    <w:rsid w:val="0021439F"/>
    <w:rsid w:val="00214F12"/>
    <w:rsid w:val="00215A79"/>
    <w:rsid w:val="00215B30"/>
    <w:rsid w:val="0021647D"/>
    <w:rsid w:val="002170D8"/>
    <w:rsid w:val="00220CA8"/>
    <w:rsid w:val="002219C2"/>
    <w:rsid w:val="00221DA9"/>
    <w:rsid w:val="002223D9"/>
    <w:rsid w:val="00222A57"/>
    <w:rsid w:val="00222E65"/>
    <w:rsid w:val="00222E7B"/>
    <w:rsid w:val="0022351E"/>
    <w:rsid w:val="002239C9"/>
    <w:rsid w:val="00223B3B"/>
    <w:rsid w:val="00223D44"/>
    <w:rsid w:val="002243F3"/>
    <w:rsid w:val="00224D1F"/>
    <w:rsid w:val="00224DA9"/>
    <w:rsid w:val="00224DD4"/>
    <w:rsid w:val="002251D1"/>
    <w:rsid w:val="002254F6"/>
    <w:rsid w:val="00225716"/>
    <w:rsid w:val="0022606C"/>
    <w:rsid w:val="00226702"/>
    <w:rsid w:val="0022713C"/>
    <w:rsid w:val="00227945"/>
    <w:rsid w:val="00227A7C"/>
    <w:rsid w:val="00227D4A"/>
    <w:rsid w:val="00230188"/>
    <w:rsid w:val="002304DD"/>
    <w:rsid w:val="002307FC"/>
    <w:rsid w:val="00230EC6"/>
    <w:rsid w:val="00230F2C"/>
    <w:rsid w:val="00231576"/>
    <w:rsid w:val="002316FE"/>
    <w:rsid w:val="002321B4"/>
    <w:rsid w:val="00232889"/>
    <w:rsid w:val="00232B83"/>
    <w:rsid w:val="00232C3F"/>
    <w:rsid w:val="00232F43"/>
    <w:rsid w:val="0023491F"/>
    <w:rsid w:val="00235755"/>
    <w:rsid w:val="00236E21"/>
    <w:rsid w:val="00237096"/>
    <w:rsid w:val="002379B1"/>
    <w:rsid w:val="00240127"/>
    <w:rsid w:val="002409E4"/>
    <w:rsid w:val="00240FB4"/>
    <w:rsid w:val="00241CDF"/>
    <w:rsid w:val="00241D36"/>
    <w:rsid w:val="00241E34"/>
    <w:rsid w:val="00242325"/>
    <w:rsid w:val="00242555"/>
    <w:rsid w:val="00243554"/>
    <w:rsid w:val="002436F1"/>
    <w:rsid w:val="0024383C"/>
    <w:rsid w:val="00244F1E"/>
    <w:rsid w:val="00245285"/>
    <w:rsid w:val="00245860"/>
    <w:rsid w:val="00245D90"/>
    <w:rsid w:val="002462B9"/>
    <w:rsid w:val="002464E2"/>
    <w:rsid w:val="00246745"/>
    <w:rsid w:val="00246C2C"/>
    <w:rsid w:val="00247081"/>
    <w:rsid w:val="002474A8"/>
    <w:rsid w:val="002513F2"/>
    <w:rsid w:val="002524CB"/>
    <w:rsid w:val="0025351D"/>
    <w:rsid w:val="00254523"/>
    <w:rsid w:val="00254627"/>
    <w:rsid w:val="00254AF9"/>
    <w:rsid w:val="00255BFC"/>
    <w:rsid w:val="0025608D"/>
    <w:rsid w:val="00256180"/>
    <w:rsid w:val="00256497"/>
    <w:rsid w:val="00257D83"/>
    <w:rsid w:val="00260F80"/>
    <w:rsid w:val="002610A7"/>
    <w:rsid w:val="00261E98"/>
    <w:rsid w:val="002626BC"/>
    <w:rsid w:val="00262A2D"/>
    <w:rsid w:val="00263CB0"/>
    <w:rsid w:val="00264450"/>
    <w:rsid w:val="002659A5"/>
    <w:rsid w:val="00265EC7"/>
    <w:rsid w:val="0026672F"/>
    <w:rsid w:val="00266CAF"/>
    <w:rsid w:val="00266DBD"/>
    <w:rsid w:val="00266FBC"/>
    <w:rsid w:val="00267BA4"/>
    <w:rsid w:val="002701AE"/>
    <w:rsid w:val="00270C8C"/>
    <w:rsid w:val="00271556"/>
    <w:rsid w:val="00271A7B"/>
    <w:rsid w:val="00271D0E"/>
    <w:rsid w:val="00271EBC"/>
    <w:rsid w:val="00272AF3"/>
    <w:rsid w:val="00272CE1"/>
    <w:rsid w:val="00273005"/>
    <w:rsid w:val="002742BA"/>
    <w:rsid w:val="002770E3"/>
    <w:rsid w:val="0027719F"/>
    <w:rsid w:val="00277220"/>
    <w:rsid w:val="0027764E"/>
    <w:rsid w:val="00277823"/>
    <w:rsid w:val="00280477"/>
    <w:rsid w:val="002807B0"/>
    <w:rsid w:val="00280A90"/>
    <w:rsid w:val="00282AE7"/>
    <w:rsid w:val="00282E8F"/>
    <w:rsid w:val="00282F61"/>
    <w:rsid w:val="00283242"/>
    <w:rsid w:val="002835EF"/>
    <w:rsid w:val="00283A06"/>
    <w:rsid w:val="0028423D"/>
    <w:rsid w:val="00284A43"/>
    <w:rsid w:val="002853EE"/>
    <w:rsid w:val="0028576C"/>
    <w:rsid w:val="00286512"/>
    <w:rsid w:val="002873E2"/>
    <w:rsid w:val="002875BB"/>
    <w:rsid w:val="00290A17"/>
    <w:rsid w:val="00290B7F"/>
    <w:rsid w:val="00290DED"/>
    <w:rsid w:val="00290E6C"/>
    <w:rsid w:val="00291468"/>
    <w:rsid w:val="00291C40"/>
    <w:rsid w:val="00291FA6"/>
    <w:rsid w:val="00292047"/>
    <w:rsid w:val="002923F6"/>
    <w:rsid w:val="00293174"/>
    <w:rsid w:val="002934B4"/>
    <w:rsid w:val="00293C27"/>
    <w:rsid w:val="00293D16"/>
    <w:rsid w:val="00294848"/>
    <w:rsid w:val="002948D5"/>
    <w:rsid w:val="002949B3"/>
    <w:rsid w:val="00295440"/>
    <w:rsid w:val="00295513"/>
    <w:rsid w:val="00295B44"/>
    <w:rsid w:val="00295D01"/>
    <w:rsid w:val="00296109"/>
    <w:rsid w:val="002961C6"/>
    <w:rsid w:val="002961D9"/>
    <w:rsid w:val="00296D7A"/>
    <w:rsid w:val="00297645"/>
    <w:rsid w:val="002976F8"/>
    <w:rsid w:val="00297CC5"/>
    <w:rsid w:val="00297CC9"/>
    <w:rsid w:val="002A06BF"/>
    <w:rsid w:val="002A0729"/>
    <w:rsid w:val="002A0C26"/>
    <w:rsid w:val="002A2B5D"/>
    <w:rsid w:val="002A2CA9"/>
    <w:rsid w:val="002A3E05"/>
    <w:rsid w:val="002A3FD9"/>
    <w:rsid w:val="002A4587"/>
    <w:rsid w:val="002A4BCE"/>
    <w:rsid w:val="002A568A"/>
    <w:rsid w:val="002A586D"/>
    <w:rsid w:val="002A6EAA"/>
    <w:rsid w:val="002A7271"/>
    <w:rsid w:val="002A7A7B"/>
    <w:rsid w:val="002A7B90"/>
    <w:rsid w:val="002B0EF3"/>
    <w:rsid w:val="002B20E1"/>
    <w:rsid w:val="002B35B8"/>
    <w:rsid w:val="002B3F3A"/>
    <w:rsid w:val="002B4132"/>
    <w:rsid w:val="002B46D5"/>
    <w:rsid w:val="002B4950"/>
    <w:rsid w:val="002B4D78"/>
    <w:rsid w:val="002B552F"/>
    <w:rsid w:val="002B5F86"/>
    <w:rsid w:val="002B649B"/>
    <w:rsid w:val="002B788B"/>
    <w:rsid w:val="002C02AF"/>
    <w:rsid w:val="002C0E78"/>
    <w:rsid w:val="002C1A3F"/>
    <w:rsid w:val="002C1A8A"/>
    <w:rsid w:val="002C22A6"/>
    <w:rsid w:val="002C267A"/>
    <w:rsid w:val="002C268A"/>
    <w:rsid w:val="002C27D1"/>
    <w:rsid w:val="002C2937"/>
    <w:rsid w:val="002C2A47"/>
    <w:rsid w:val="002C3274"/>
    <w:rsid w:val="002C39FB"/>
    <w:rsid w:val="002C4B0E"/>
    <w:rsid w:val="002C4D4C"/>
    <w:rsid w:val="002C5386"/>
    <w:rsid w:val="002C54D6"/>
    <w:rsid w:val="002C5AAE"/>
    <w:rsid w:val="002C6411"/>
    <w:rsid w:val="002C6F42"/>
    <w:rsid w:val="002C724C"/>
    <w:rsid w:val="002C72C9"/>
    <w:rsid w:val="002C7588"/>
    <w:rsid w:val="002C7C4A"/>
    <w:rsid w:val="002D025B"/>
    <w:rsid w:val="002D1079"/>
    <w:rsid w:val="002D1C59"/>
    <w:rsid w:val="002D2E0A"/>
    <w:rsid w:val="002D2F8D"/>
    <w:rsid w:val="002D4424"/>
    <w:rsid w:val="002D5B4E"/>
    <w:rsid w:val="002D5E65"/>
    <w:rsid w:val="002D69BD"/>
    <w:rsid w:val="002D6B9C"/>
    <w:rsid w:val="002D7929"/>
    <w:rsid w:val="002D7999"/>
    <w:rsid w:val="002E0D05"/>
    <w:rsid w:val="002E114A"/>
    <w:rsid w:val="002E123D"/>
    <w:rsid w:val="002E16EF"/>
    <w:rsid w:val="002E1CAF"/>
    <w:rsid w:val="002E1FED"/>
    <w:rsid w:val="002E20B8"/>
    <w:rsid w:val="002E2653"/>
    <w:rsid w:val="002E29FE"/>
    <w:rsid w:val="002E2A3B"/>
    <w:rsid w:val="002E361C"/>
    <w:rsid w:val="002E384D"/>
    <w:rsid w:val="002E4ED4"/>
    <w:rsid w:val="002E4EEE"/>
    <w:rsid w:val="002E54C6"/>
    <w:rsid w:val="002E5E2B"/>
    <w:rsid w:val="002E686E"/>
    <w:rsid w:val="002E6D9D"/>
    <w:rsid w:val="002E6EF5"/>
    <w:rsid w:val="002E74EC"/>
    <w:rsid w:val="002E7511"/>
    <w:rsid w:val="002E780A"/>
    <w:rsid w:val="002F02DA"/>
    <w:rsid w:val="002F0421"/>
    <w:rsid w:val="002F0CC6"/>
    <w:rsid w:val="002F0D0A"/>
    <w:rsid w:val="002F1134"/>
    <w:rsid w:val="002F11A1"/>
    <w:rsid w:val="002F1ADA"/>
    <w:rsid w:val="002F1AE9"/>
    <w:rsid w:val="002F37AE"/>
    <w:rsid w:val="002F428A"/>
    <w:rsid w:val="002F4753"/>
    <w:rsid w:val="002F568F"/>
    <w:rsid w:val="002F6ACF"/>
    <w:rsid w:val="002F79C6"/>
    <w:rsid w:val="00300002"/>
    <w:rsid w:val="00300259"/>
    <w:rsid w:val="00300F09"/>
    <w:rsid w:val="0030167D"/>
    <w:rsid w:val="00301D0A"/>
    <w:rsid w:val="003026CE"/>
    <w:rsid w:val="00302A7E"/>
    <w:rsid w:val="00302E5A"/>
    <w:rsid w:val="00303AA6"/>
    <w:rsid w:val="003044E1"/>
    <w:rsid w:val="003048ED"/>
    <w:rsid w:val="00305558"/>
    <w:rsid w:val="0030589E"/>
    <w:rsid w:val="00305979"/>
    <w:rsid w:val="00306716"/>
    <w:rsid w:val="00306F74"/>
    <w:rsid w:val="00307AF0"/>
    <w:rsid w:val="0031060A"/>
    <w:rsid w:val="00310650"/>
    <w:rsid w:val="003107E4"/>
    <w:rsid w:val="00310BCA"/>
    <w:rsid w:val="00311C8E"/>
    <w:rsid w:val="00311D9F"/>
    <w:rsid w:val="00311F20"/>
    <w:rsid w:val="00312DBF"/>
    <w:rsid w:val="003131D5"/>
    <w:rsid w:val="003142F0"/>
    <w:rsid w:val="003143CC"/>
    <w:rsid w:val="00315451"/>
    <w:rsid w:val="00315877"/>
    <w:rsid w:val="00315BB5"/>
    <w:rsid w:val="003168AB"/>
    <w:rsid w:val="00316933"/>
    <w:rsid w:val="003174A3"/>
    <w:rsid w:val="00321D7B"/>
    <w:rsid w:val="00321E11"/>
    <w:rsid w:val="0032207D"/>
    <w:rsid w:val="0032248F"/>
    <w:rsid w:val="003224FC"/>
    <w:rsid w:val="003228BA"/>
    <w:rsid w:val="003233AC"/>
    <w:rsid w:val="00323C94"/>
    <w:rsid w:val="00324634"/>
    <w:rsid w:val="00324954"/>
    <w:rsid w:val="00324DCF"/>
    <w:rsid w:val="00324E2C"/>
    <w:rsid w:val="00325676"/>
    <w:rsid w:val="00325876"/>
    <w:rsid w:val="00325C84"/>
    <w:rsid w:val="00325ECC"/>
    <w:rsid w:val="003264B6"/>
    <w:rsid w:val="00326910"/>
    <w:rsid w:val="003278F6"/>
    <w:rsid w:val="00327A30"/>
    <w:rsid w:val="00330982"/>
    <w:rsid w:val="00330D07"/>
    <w:rsid w:val="003311B8"/>
    <w:rsid w:val="003318B3"/>
    <w:rsid w:val="003333F7"/>
    <w:rsid w:val="00333494"/>
    <w:rsid w:val="00333DFE"/>
    <w:rsid w:val="003341B7"/>
    <w:rsid w:val="0033431E"/>
    <w:rsid w:val="003343F9"/>
    <w:rsid w:val="0033522D"/>
    <w:rsid w:val="0033559B"/>
    <w:rsid w:val="00335FE5"/>
    <w:rsid w:val="0033679D"/>
    <w:rsid w:val="00337E2F"/>
    <w:rsid w:val="003403E7"/>
    <w:rsid w:val="00340759"/>
    <w:rsid w:val="00340B94"/>
    <w:rsid w:val="00341C64"/>
    <w:rsid w:val="00342311"/>
    <w:rsid w:val="00342BFD"/>
    <w:rsid w:val="003438F6"/>
    <w:rsid w:val="00343F0D"/>
    <w:rsid w:val="003441E7"/>
    <w:rsid w:val="00344C4C"/>
    <w:rsid w:val="003457CF"/>
    <w:rsid w:val="00345F8F"/>
    <w:rsid w:val="003468EB"/>
    <w:rsid w:val="0034766B"/>
    <w:rsid w:val="003477F2"/>
    <w:rsid w:val="003478FE"/>
    <w:rsid w:val="00350034"/>
    <w:rsid w:val="003512B8"/>
    <w:rsid w:val="00351AF5"/>
    <w:rsid w:val="00351F59"/>
    <w:rsid w:val="003520AB"/>
    <w:rsid w:val="003523C7"/>
    <w:rsid w:val="00352E6F"/>
    <w:rsid w:val="00353001"/>
    <w:rsid w:val="00353147"/>
    <w:rsid w:val="003533DF"/>
    <w:rsid w:val="00353F72"/>
    <w:rsid w:val="0035426E"/>
    <w:rsid w:val="003549F2"/>
    <w:rsid w:val="0035534B"/>
    <w:rsid w:val="003563CE"/>
    <w:rsid w:val="00356DE4"/>
    <w:rsid w:val="0035700C"/>
    <w:rsid w:val="003573E0"/>
    <w:rsid w:val="0035780D"/>
    <w:rsid w:val="00360642"/>
    <w:rsid w:val="00361DA2"/>
    <w:rsid w:val="00361E01"/>
    <w:rsid w:val="00361F6B"/>
    <w:rsid w:val="00361FC2"/>
    <w:rsid w:val="00362147"/>
    <w:rsid w:val="00362426"/>
    <w:rsid w:val="00362A63"/>
    <w:rsid w:val="00363156"/>
    <w:rsid w:val="003634A5"/>
    <w:rsid w:val="0036374E"/>
    <w:rsid w:val="00363A5D"/>
    <w:rsid w:val="00363BBD"/>
    <w:rsid w:val="00363F86"/>
    <w:rsid w:val="00364FEB"/>
    <w:rsid w:val="003659A4"/>
    <w:rsid w:val="003661CA"/>
    <w:rsid w:val="003667B0"/>
    <w:rsid w:val="00366B58"/>
    <w:rsid w:val="00367228"/>
    <w:rsid w:val="00367615"/>
    <w:rsid w:val="003676E8"/>
    <w:rsid w:val="003707BB"/>
    <w:rsid w:val="00370B04"/>
    <w:rsid w:val="00370FF8"/>
    <w:rsid w:val="003716C2"/>
    <w:rsid w:val="00371BF5"/>
    <w:rsid w:val="00372B22"/>
    <w:rsid w:val="00372F3A"/>
    <w:rsid w:val="00373C11"/>
    <w:rsid w:val="003748CC"/>
    <w:rsid w:val="00374959"/>
    <w:rsid w:val="00374AF7"/>
    <w:rsid w:val="00374D0E"/>
    <w:rsid w:val="003753DB"/>
    <w:rsid w:val="003759E0"/>
    <w:rsid w:val="00375C66"/>
    <w:rsid w:val="00376C27"/>
    <w:rsid w:val="00376DA5"/>
    <w:rsid w:val="003778E0"/>
    <w:rsid w:val="00377E39"/>
    <w:rsid w:val="00380EBB"/>
    <w:rsid w:val="0038124B"/>
    <w:rsid w:val="0038148C"/>
    <w:rsid w:val="0038156B"/>
    <w:rsid w:val="003817DF"/>
    <w:rsid w:val="00381AF2"/>
    <w:rsid w:val="00381B62"/>
    <w:rsid w:val="00382183"/>
    <w:rsid w:val="00382A10"/>
    <w:rsid w:val="00382B58"/>
    <w:rsid w:val="00382CF5"/>
    <w:rsid w:val="00383121"/>
    <w:rsid w:val="003834CA"/>
    <w:rsid w:val="00384321"/>
    <w:rsid w:val="00384705"/>
    <w:rsid w:val="0038479A"/>
    <w:rsid w:val="00385328"/>
    <w:rsid w:val="003854BD"/>
    <w:rsid w:val="00385A38"/>
    <w:rsid w:val="00385E6B"/>
    <w:rsid w:val="0038645D"/>
    <w:rsid w:val="003864DC"/>
    <w:rsid w:val="00386575"/>
    <w:rsid w:val="00386B28"/>
    <w:rsid w:val="00387D1A"/>
    <w:rsid w:val="00387F59"/>
    <w:rsid w:val="00387FA6"/>
    <w:rsid w:val="003912B4"/>
    <w:rsid w:val="003935CF"/>
    <w:rsid w:val="003937D2"/>
    <w:rsid w:val="003942D4"/>
    <w:rsid w:val="00395C42"/>
    <w:rsid w:val="00396466"/>
    <w:rsid w:val="003969C0"/>
    <w:rsid w:val="003971D8"/>
    <w:rsid w:val="0039755C"/>
    <w:rsid w:val="003976C5"/>
    <w:rsid w:val="00397D44"/>
    <w:rsid w:val="003A0DB4"/>
    <w:rsid w:val="003A188A"/>
    <w:rsid w:val="003A1F6A"/>
    <w:rsid w:val="003A2A73"/>
    <w:rsid w:val="003A2D58"/>
    <w:rsid w:val="003A2DB8"/>
    <w:rsid w:val="003A3E87"/>
    <w:rsid w:val="003A4028"/>
    <w:rsid w:val="003A404D"/>
    <w:rsid w:val="003A4257"/>
    <w:rsid w:val="003A56EB"/>
    <w:rsid w:val="003A64A1"/>
    <w:rsid w:val="003A6C3A"/>
    <w:rsid w:val="003A7067"/>
    <w:rsid w:val="003A7401"/>
    <w:rsid w:val="003A745C"/>
    <w:rsid w:val="003A7B71"/>
    <w:rsid w:val="003B11E8"/>
    <w:rsid w:val="003B1A98"/>
    <w:rsid w:val="003B21D7"/>
    <w:rsid w:val="003B2395"/>
    <w:rsid w:val="003B2FEC"/>
    <w:rsid w:val="003B39A4"/>
    <w:rsid w:val="003B4103"/>
    <w:rsid w:val="003B4149"/>
    <w:rsid w:val="003B4440"/>
    <w:rsid w:val="003B4AEE"/>
    <w:rsid w:val="003B5873"/>
    <w:rsid w:val="003B5F56"/>
    <w:rsid w:val="003B6952"/>
    <w:rsid w:val="003B6BC5"/>
    <w:rsid w:val="003B7073"/>
    <w:rsid w:val="003B72E2"/>
    <w:rsid w:val="003B787D"/>
    <w:rsid w:val="003B7A7B"/>
    <w:rsid w:val="003B7DC4"/>
    <w:rsid w:val="003B7FF6"/>
    <w:rsid w:val="003C0440"/>
    <w:rsid w:val="003C05BD"/>
    <w:rsid w:val="003C0B30"/>
    <w:rsid w:val="003C1205"/>
    <w:rsid w:val="003C2170"/>
    <w:rsid w:val="003C21D2"/>
    <w:rsid w:val="003C224A"/>
    <w:rsid w:val="003C2BF3"/>
    <w:rsid w:val="003C3B3E"/>
    <w:rsid w:val="003C3E45"/>
    <w:rsid w:val="003C42E7"/>
    <w:rsid w:val="003C4440"/>
    <w:rsid w:val="003C4519"/>
    <w:rsid w:val="003C47B2"/>
    <w:rsid w:val="003C47E8"/>
    <w:rsid w:val="003C4948"/>
    <w:rsid w:val="003C4D34"/>
    <w:rsid w:val="003C5100"/>
    <w:rsid w:val="003C5280"/>
    <w:rsid w:val="003C574C"/>
    <w:rsid w:val="003C5DAA"/>
    <w:rsid w:val="003C6AF7"/>
    <w:rsid w:val="003C6D01"/>
    <w:rsid w:val="003C73AD"/>
    <w:rsid w:val="003C77DA"/>
    <w:rsid w:val="003C7FD9"/>
    <w:rsid w:val="003D0332"/>
    <w:rsid w:val="003D04FB"/>
    <w:rsid w:val="003D089D"/>
    <w:rsid w:val="003D139B"/>
    <w:rsid w:val="003D16AA"/>
    <w:rsid w:val="003D1A26"/>
    <w:rsid w:val="003D1E99"/>
    <w:rsid w:val="003D263B"/>
    <w:rsid w:val="003D33D7"/>
    <w:rsid w:val="003D399F"/>
    <w:rsid w:val="003D3E54"/>
    <w:rsid w:val="003D3EC4"/>
    <w:rsid w:val="003D47A5"/>
    <w:rsid w:val="003D4A3F"/>
    <w:rsid w:val="003D5004"/>
    <w:rsid w:val="003D5168"/>
    <w:rsid w:val="003D52A5"/>
    <w:rsid w:val="003D6433"/>
    <w:rsid w:val="003E1657"/>
    <w:rsid w:val="003E2E4B"/>
    <w:rsid w:val="003E351A"/>
    <w:rsid w:val="003E3B2E"/>
    <w:rsid w:val="003E3D0D"/>
    <w:rsid w:val="003E4141"/>
    <w:rsid w:val="003E4663"/>
    <w:rsid w:val="003E5304"/>
    <w:rsid w:val="003E56BB"/>
    <w:rsid w:val="003E5A79"/>
    <w:rsid w:val="003E5B40"/>
    <w:rsid w:val="003E6467"/>
    <w:rsid w:val="003E6D0B"/>
    <w:rsid w:val="003E71A0"/>
    <w:rsid w:val="003E7C48"/>
    <w:rsid w:val="003F019B"/>
    <w:rsid w:val="003F0723"/>
    <w:rsid w:val="003F1408"/>
    <w:rsid w:val="003F1E18"/>
    <w:rsid w:val="003F286A"/>
    <w:rsid w:val="003F32A7"/>
    <w:rsid w:val="003F393F"/>
    <w:rsid w:val="003F473B"/>
    <w:rsid w:val="003F54A7"/>
    <w:rsid w:val="003F54E4"/>
    <w:rsid w:val="003F5A12"/>
    <w:rsid w:val="003F5B63"/>
    <w:rsid w:val="003F65D6"/>
    <w:rsid w:val="003F6CB5"/>
    <w:rsid w:val="003F7208"/>
    <w:rsid w:val="003F7669"/>
    <w:rsid w:val="003F780C"/>
    <w:rsid w:val="003F785A"/>
    <w:rsid w:val="00400773"/>
    <w:rsid w:val="00400A0F"/>
    <w:rsid w:val="00401993"/>
    <w:rsid w:val="004029FA"/>
    <w:rsid w:val="00402F18"/>
    <w:rsid w:val="00403753"/>
    <w:rsid w:val="004063EF"/>
    <w:rsid w:val="004077DE"/>
    <w:rsid w:val="004077E8"/>
    <w:rsid w:val="00407ABD"/>
    <w:rsid w:val="00407CA8"/>
    <w:rsid w:val="0041000C"/>
    <w:rsid w:val="00410677"/>
    <w:rsid w:val="0041098B"/>
    <w:rsid w:val="00410E6F"/>
    <w:rsid w:val="00411267"/>
    <w:rsid w:val="004115A6"/>
    <w:rsid w:val="00412C6B"/>
    <w:rsid w:val="004135A7"/>
    <w:rsid w:val="00413CC0"/>
    <w:rsid w:val="00414747"/>
    <w:rsid w:val="004147E1"/>
    <w:rsid w:val="00415591"/>
    <w:rsid w:val="0041594D"/>
    <w:rsid w:val="004167D4"/>
    <w:rsid w:val="004168B8"/>
    <w:rsid w:val="00417A0D"/>
    <w:rsid w:val="004209F1"/>
    <w:rsid w:val="00420A05"/>
    <w:rsid w:val="00420D9A"/>
    <w:rsid w:val="004213AB"/>
    <w:rsid w:val="0042272F"/>
    <w:rsid w:val="0042318B"/>
    <w:rsid w:val="0042370A"/>
    <w:rsid w:val="004237ED"/>
    <w:rsid w:val="004239F4"/>
    <w:rsid w:val="004243C9"/>
    <w:rsid w:val="0042471E"/>
    <w:rsid w:val="00424C0E"/>
    <w:rsid w:val="00425FEE"/>
    <w:rsid w:val="00426902"/>
    <w:rsid w:val="00426F60"/>
    <w:rsid w:val="0042743F"/>
    <w:rsid w:val="004279B7"/>
    <w:rsid w:val="00427FD1"/>
    <w:rsid w:val="0043004F"/>
    <w:rsid w:val="004304D1"/>
    <w:rsid w:val="00430CBB"/>
    <w:rsid w:val="004313BB"/>
    <w:rsid w:val="00431739"/>
    <w:rsid w:val="0043216C"/>
    <w:rsid w:val="00432394"/>
    <w:rsid w:val="004331DF"/>
    <w:rsid w:val="00433D40"/>
    <w:rsid w:val="00433E80"/>
    <w:rsid w:val="00434A64"/>
    <w:rsid w:val="004356B9"/>
    <w:rsid w:val="004357A9"/>
    <w:rsid w:val="00436313"/>
    <w:rsid w:val="004366AF"/>
    <w:rsid w:val="004366C5"/>
    <w:rsid w:val="004367D7"/>
    <w:rsid w:val="0043689A"/>
    <w:rsid w:val="00436AB4"/>
    <w:rsid w:val="00436B24"/>
    <w:rsid w:val="0043701B"/>
    <w:rsid w:val="00437796"/>
    <w:rsid w:val="00437867"/>
    <w:rsid w:val="00437ACF"/>
    <w:rsid w:val="00440494"/>
    <w:rsid w:val="004411E7"/>
    <w:rsid w:val="0044160F"/>
    <w:rsid w:val="00441DF0"/>
    <w:rsid w:val="00442659"/>
    <w:rsid w:val="0044279E"/>
    <w:rsid w:val="00442974"/>
    <w:rsid w:val="00442C98"/>
    <w:rsid w:val="00442CD4"/>
    <w:rsid w:val="00442E18"/>
    <w:rsid w:val="00443465"/>
    <w:rsid w:val="00443499"/>
    <w:rsid w:val="00443840"/>
    <w:rsid w:val="0044395E"/>
    <w:rsid w:val="00443AC8"/>
    <w:rsid w:val="00443B3B"/>
    <w:rsid w:val="0044409A"/>
    <w:rsid w:val="0044486D"/>
    <w:rsid w:val="00444A00"/>
    <w:rsid w:val="00444BA1"/>
    <w:rsid w:val="00445615"/>
    <w:rsid w:val="00445C8C"/>
    <w:rsid w:val="004462CB"/>
    <w:rsid w:val="00446657"/>
    <w:rsid w:val="00446D5E"/>
    <w:rsid w:val="004474A1"/>
    <w:rsid w:val="00450203"/>
    <w:rsid w:val="0045043F"/>
    <w:rsid w:val="004505A5"/>
    <w:rsid w:val="00450CA1"/>
    <w:rsid w:val="00451E6A"/>
    <w:rsid w:val="00452C96"/>
    <w:rsid w:val="00452D14"/>
    <w:rsid w:val="0045315F"/>
    <w:rsid w:val="00453482"/>
    <w:rsid w:val="00455338"/>
    <w:rsid w:val="00456769"/>
    <w:rsid w:val="00456888"/>
    <w:rsid w:val="00456EDF"/>
    <w:rsid w:val="004573E6"/>
    <w:rsid w:val="00457960"/>
    <w:rsid w:val="00460268"/>
    <w:rsid w:val="0046075E"/>
    <w:rsid w:val="004607F3"/>
    <w:rsid w:val="00460D06"/>
    <w:rsid w:val="00460DB6"/>
    <w:rsid w:val="004612D2"/>
    <w:rsid w:val="004616FB"/>
    <w:rsid w:val="00461E2C"/>
    <w:rsid w:val="0046211E"/>
    <w:rsid w:val="004623A8"/>
    <w:rsid w:val="00462408"/>
    <w:rsid w:val="004635D3"/>
    <w:rsid w:val="0046376F"/>
    <w:rsid w:val="004637BC"/>
    <w:rsid w:val="00463AAB"/>
    <w:rsid w:val="00463CB2"/>
    <w:rsid w:val="00463ED2"/>
    <w:rsid w:val="00464181"/>
    <w:rsid w:val="00464509"/>
    <w:rsid w:val="00464677"/>
    <w:rsid w:val="00464961"/>
    <w:rsid w:val="00465EEF"/>
    <w:rsid w:val="00466114"/>
    <w:rsid w:val="00466767"/>
    <w:rsid w:val="00467271"/>
    <w:rsid w:val="00467C92"/>
    <w:rsid w:val="00467F1B"/>
    <w:rsid w:val="004700CB"/>
    <w:rsid w:val="0047028F"/>
    <w:rsid w:val="00470A5E"/>
    <w:rsid w:val="00471DF8"/>
    <w:rsid w:val="00473443"/>
    <w:rsid w:val="00473457"/>
    <w:rsid w:val="00473808"/>
    <w:rsid w:val="0047391D"/>
    <w:rsid w:val="00473F79"/>
    <w:rsid w:val="00474486"/>
    <w:rsid w:val="004749AB"/>
    <w:rsid w:val="00474E10"/>
    <w:rsid w:val="00475351"/>
    <w:rsid w:val="00475756"/>
    <w:rsid w:val="0047647D"/>
    <w:rsid w:val="00476925"/>
    <w:rsid w:val="004769B6"/>
    <w:rsid w:val="004773BB"/>
    <w:rsid w:val="00477811"/>
    <w:rsid w:val="00477D89"/>
    <w:rsid w:val="00477EEC"/>
    <w:rsid w:val="00477FD7"/>
    <w:rsid w:val="0048073A"/>
    <w:rsid w:val="00480BE5"/>
    <w:rsid w:val="00481059"/>
    <w:rsid w:val="00481BF9"/>
    <w:rsid w:val="00481DE1"/>
    <w:rsid w:val="00481F47"/>
    <w:rsid w:val="00481F7D"/>
    <w:rsid w:val="00482884"/>
    <w:rsid w:val="004832AB"/>
    <w:rsid w:val="00483DC3"/>
    <w:rsid w:val="00484AD9"/>
    <w:rsid w:val="00485DBB"/>
    <w:rsid w:val="00485FC0"/>
    <w:rsid w:val="0048621C"/>
    <w:rsid w:val="00486720"/>
    <w:rsid w:val="004874B4"/>
    <w:rsid w:val="004874EC"/>
    <w:rsid w:val="004876A7"/>
    <w:rsid w:val="0048771B"/>
    <w:rsid w:val="00487C13"/>
    <w:rsid w:val="00487D96"/>
    <w:rsid w:val="004902B2"/>
    <w:rsid w:val="0049037A"/>
    <w:rsid w:val="004906D2"/>
    <w:rsid w:val="004908CC"/>
    <w:rsid w:val="004909DA"/>
    <w:rsid w:val="00490E7D"/>
    <w:rsid w:val="004919F0"/>
    <w:rsid w:val="0049204B"/>
    <w:rsid w:val="004923A3"/>
    <w:rsid w:val="00492971"/>
    <w:rsid w:val="00492E11"/>
    <w:rsid w:val="00493536"/>
    <w:rsid w:val="00494361"/>
    <w:rsid w:val="004945BF"/>
    <w:rsid w:val="0049478E"/>
    <w:rsid w:val="004956A4"/>
    <w:rsid w:val="00495FB3"/>
    <w:rsid w:val="004967B5"/>
    <w:rsid w:val="00496FB8"/>
    <w:rsid w:val="00497A47"/>
    <w:rsid w:val="004A0792"/>
    <w:rsid w:val="004A098B"/>
    <w:rsid w:val="004A1037"/>
    <w:rsid w:val="004A16A8"/>
    <w:rsid w:val="004A2A9C"/>
    <w:rsid w:val="004A2F42"/>
    <w:rsid w:val="004A350C"/>
    <w:rsid w:val="004A3706"/>
    <w:rsid w:val="004A3A49"/>
    <w:rsid w:val="004A40B1"/>
    <w:rsid w:val="004A4F90"/>
    <w:rsid w:val="004A59C2"/>
    <w:rsid w:val="004A65AF"/>
    <w:rsid w:val="004A79AE"/>
    <w:rsid w:val="004A7F83"/>
    <w:rsid w:val="004B06E2"/>
    <w:rsid w:val="004B0FBB"/>
    <w:rsid w:val="004B18E6"/>
    <w:rsid w:val="004B1B49"/>
    <w:rsid w:val="004B201E"/>
    <w:rsid w:val="004B3514"/>
    <w:rsid w:val="004B3857"/>
    <w:rsid w:val="004B3DBC"/>
    <w:rsid w:val="004B4232"/>
    <w:rsid w:val="004B444D"/>
    <w:rsid w:val="004B5007"/>
    <w:rsid w:val="004B5CBF"/>
    <w:rsid w:val="004B7E59"/>
    <w:rsid w:val="004C042F"/>
    <w:rsid w:val="004C04C6"/>
    <w:rsid w:val="004C07D6"/>
    <w:rsid w:val="004C14C6"/>
    <w:rsid w:val="004C1524"/>
    <w:rsid w:val="004C1A3F"/>
    <w:rsid w:val="004C289F"/>
    <w:rsid w:val="004C2B7F"/>
    <w:rsid w:val="004C34A6"/>
    <w:rsid w:val="004C352D"/>
    <w:rsid w:val="004C3640"/>
    <w:rsid w:val="004C3750"/>
    <w:rsid w:val="004C4096"/>
    <w:rsid w:val="004C4764"/>
    <w:rsid w:val="004C4E94"/>
    <w:rsid w:val="004C50FD"/>
    <w:rsid w:val="004C54F7"/>
    <w:rsid w:val="004C6351"/>
    <w:rsid w:val="004C64F3"/>
    <w:rsid w:val="004C6720"/>
    <w:rsid w:val="004C6729"/>
    <w:rsid w:val="004C6D76"/>
    <w:rsid w:val="004C70A5"/>
    <w:rsid w:val="004C738A"/>
    <w:rsid w:val="004C7C3E"/>
    <w:rsid w:val="004C7F05"/>
    <w:rsid w:val="004D0EF3"/>
    <w:rsid w:val="004D0F6A"/>
    <w:rsid w:val="004D2333"/>
    <w:rsid w:val="004D29EA"/>
    <w:rsid w:val="004D389C"/>
    <w:rsid w:val="004D38C5"/>
    <w:rsid w:val="004D3A49"/>
    <w:rsid w:val="004D43E9"/>
    <w:rsid w:val="004D4CDB"/>
    <w:rsid w:val="004D50B4"/>
    <w:rsid w:val="004D53A8"/>
    <w:rsid w:val="004D5802"/>
    <w:rsid w:val="004D5815"/>
    <w:rsid w:val="004D5D28"/>
    <w:rsid w:val="004D5E0F"/>
    <w:rsid w:val="004D785A"/>
    <w:rsid w:val="004D7F6F"/>
    <w:rsid w:val="004E01E6"/>
    <w:rsid w:val="004E05CF"/>
    <w:rsid w:val="004E068E"/>
    <w:rsid w:val="004E0AD5"/>
    <w:rsid w:val="004E1DFE"/>
    <w:rsid w:val="004E26E8"/>
    <w:rsid w:val="004E29A1"/>
    <w:rsid w:val="004E2B60"/>
    <w:rsid w:val="004E3DA2"/>
    <w:rsid w:val="004E4592"/>
    <w:rsid w:val="004E53DA"/>
    <w:rsid w:val="004E57D0"/>
    <w:rsid w:val="004E6342"/>
    <w:rsid w:val="004E651D"/>
    <w:rsid w:val="004E6998"/>
    <w:rsid w:val="004E6FA4"/>
    <w:rsid w:val="004E707F"/>
    <w:rsid w:val="004E7467"/>
    <w:rsid w:val="004E79AC"/>
    <w:rsid w:val="004E7C2B"/>
    <w:rsid w:val="004E7DBD"/>
    <w:rsid w:val="004F044C"/>
    <w:rsid w:val="004F0A56"/>
    <w:rsid w:val="004F0DE0"/>
    <w:rsid w:val="004F1834"/>
    <w:rsid w:val="004F1ECC"/>
    <w:rsid w:val="004F230D"/>
    <w:rsid w:val="004F2E06"/>
    <w:rsid w:val="004F2E4C"/>
    <w:rsid w:val="004F2E7B"/>
    <w:rsid w:val="004F3199"/>
    <w:rsid w:val="004F4B0A"/>
    <w:rsid w:val="004F7369"/>
    <w:rsid w:val="005002D7"/>
    <w:rsid w:val="0050036D"/>
    <w:rsid w:val="00500567"/>
    <w:rsid w:val="005008EE"/>
    <w:rsid w:val="00500C14"/>
    <w:rsid w:val="00500C45"/>
    <w:rsid w:val="00501EBD"/>
    <w:rsid w:val="00502093"/>
    <w:rsid w:val="005022FD"/>
    <w:rsid w:val="0050244F"/>
    <w:rsid w:val="00504780"/>
    <w:rsid w:val="00505B84"/>
    <w:rsid w:val="00505FAA"/>
    <w:rsid w:val="00506279"/>
    <w:rsid w:val="00506C9B"/>
    <w:rsid w:val="005077DF"/>
    <w:rsid w:val="0051049C"/>
    <w:rsid w:val="00511316"/>
    <w:rsid w:val="00511623"/>
    <w:rsid w:val="00511B26"/>
    <w:rsid w:val="00512137"/>
    <w:rsid w:val="005121DD"/>
    <w:rsid w:val="0051283F"/>
    <w:rsid w:val="005129E0"/>
    <w:rsid w:val="00512B7F"/>
    <w:rsid w:val="0051374E"/>
    <w:rsid w:val="0051404A"/>
    <w:rsid w:val="00514699"/>
    <w:rsid w:val="00514EE4"/>
    <w:rsid w:val="00515289"/>
    <w:rsid w:val="005155A4"/>
    <w:rsid w:val="00515A43"/>
    <w:rsid w:val="00515AD6"/>
    <w:rsid w:val="0051630C"/>
    <w:rsid w:val="005163C1"/>
    <w:rsid w:val="00517135"/>
    <w:rsid w:val="00517B85"/>
    <w:rsid w:val="00520585"/>
    <w:rsid w:val="00520899"/>
    <w:rsid w:val="0052098A"/>
    <w:rsid w:val="005209FD"/>
    <w:rsid w:val="005219FA"/>
    <w:rsid w:val="00521AC0"/>
    <w:rsid w:val="00523A13"/>
    <w:rsid w:val="00523EFF"/>
    <w:rsid w:val="005240CF"/>
    <w:rsid w:val="00524A7A"/>
    <w:rsid w:val="00524C44"/>
    <w:rsid w:val="00524E71"/>
    <w:rsid w:val="00524EAE"/>
    <w:rsid w:val="0052505F"/>
    <w:rsid w:val="00525114"/>
    <w:rsid w:val="005258C0"/>
    <w:rsid w:val="0052594A"/>
    <w:rsid w:val="00525C59"/>
    <w:rsid w:val="00525D5F"/>
    <w:rsid w:val="00525FA3"/>
    <w:rsid w:val="00526028"/>
    <w:rsid w:val="00526103"/>
    <w:rsid w:val="00526767"/>
    <w:rsid w:val="0052681B"/>
    <w:rsid w:val="00527806"/>
    <w:rsid w:val="00527DEC"/>
    <w:rsid w:val="005304FC"/>
    <w:rsid w:val="00530D86"/>
    <w:rsid w:val="00530E04"/>
    <w:rsid w:val="00530E5A"/>
    <w:rsid w:val="005310BC"/>
    <w:rsid w:val="0053290E"/>
    <w:rsid w:val="00533116"/>
    <w:rsid w:val="00533213"/>
    <w:rsid w:val="00534F10"/>
    <w:rsid w:val="005353B2"/>
    <w:rsid w:val="005353B8"/>
    <w:rsid w:val="00535F9E"/>
    <w:rsid w:val="00536378"/>
    <w:rsid w:val="00536699"/>
    <w:rsid w:val="00536FB0"/>
    <w:rsid w:val="005411D0"/>
    <w:rsid w:val="0054131C"/>
    <w:rsid w:val="00541938"/>
    <w:rsid w:val="00541BB0"/>
    <w:rsid w:val="005421C1"/>
    <w:rsid w:val="00542933"/>
    <w:rsid w:val="005429EB"/>
    <w:rsid w:val="00542AA2"/>
    <w:rsid w:val="005437E9"/>
    <w:rsid w:val="00543B35"/>
    <w:rsid w:val="00543C13"/>
    <w:rsid w:val="00543C90"/>
    <w:rsid w:val="00543C94"/>
    <w:rsid w:val="0054425A"/>
    <w:rsid w:val="00546588"/>
    <w:rsid w:val="00546EEF"/>
    <w:rsid w:val="00547B57"/>
    <w:rsid w:val="00547CB3"/>
    <w:rsid w:val="00547D47"/>
    <w:rsid w:val="0055021C"/>
    <w:rsid w:val="00550478"/>
    <w:rsid w:val="005505D2"/>
    <w:rsid w:val="005506F5"/>
    <w:rsid w:val="00550926"/>
    <w:rsid w:val="005509DE"/>
    <w:rsid w:val="0055156E"/>
    <w:rsid w:val="00551B5B"/>
    <w:rsid w:val="0055220D"/>
    <w:rsid w:val="005528E7"/>
    <w:rsid w:val="00552E6F"/>
    <w:rsid w:val="00552E7E"/>
    <w:rsid w:val="00552F40"/>
    <w:rsid w:val="00554A9E"/>
    <w:rsid w:val="00554CE0"/>
    <w:rsid w:val="0055550B"/>
    <w:rsid w:val="005555C0"/>
    <w:rsid w:val="00555D5A"/>
    <w:rsid w:val="00555F26"/>
    <w:rsid w:val="005563BB"/>
    <w:rsid w:val="00556593"/>
    <w:rsid w:val="0055679E"/>
    <w:rsid w:val="00556A13"/>
    <w:rsid w:val="005570E5"/>
    <w:rsid w:val="00557479"/>
    <w:rsid w:val="00557619"/>
    <w:rsid w:val="00557FE5"/>
    <w:rsid w:val="00560318"/>
    <w:rsid w:val="005603E9"/>
    <w:rsid w:val="00560FD0"/>
    <w:rsid w:val="0056143E"/>
    <w:rsid w:val="0056168C"/>
    <w:rsid w:val="00561910"/>
    <w:rsid w:val="00561A8F"/>
    <w:rsid w:val="00561E58"/>
    <w:rsid w:val="0056204C"/>
    <w:rsid w:val="00563527"/>
    <w:rsid w:val="00563791"/>
    <w:rsid w:val="00563F79"/>
    <w:rsid w:val="005640D5"/>
    <w:rsid w:val="00564FAE"/>
    <w:rsid w:val="00565193"/>
    <w:rsid w:val="005652BB"/>
    <w:rsid w:val="005659E1"/>
    <w:rsid w:val="00565B07"/>
    <w:rsid w:val="00565C9F"/>
    <w:rsid w:val="005667CE"/>
    <w:rsid w:val="00566C8E"/>
    <w:rsid w:val="00566E77"/>
    <w:rsid w:val="00566F0F"/>
    <w:rsid w:val="005704EA"/>
    <w:rsid w:val="00570A38"/>
    <w:rsid w:val="00570BE8"/>
    <w:rsid w:val="00571698"/>
    <w:rsid w:val="005729DC"/>
    <w:rsid w:val="00572B57"/>
    <w:rsid w:val="00572DCA"/>
    <w:rsid w:val="005740EF"/>
    <w:rsid w:val="00574CC8"/>
    <w:rsid w:val="00574FED"/>
    <w:rsid w:val="00575121"/>
    <w:rsid w:val="00575FB9"/>
    <w:rsid w:val="005772C5"/>
    <w:rsid w:val="00577303"/>
    <w:rsid w:val="005773CB"/>
    <w:rsid w:val="00577898"/>
    <w:rsid w:val="0057789A"/>
    <w:rsid w:val="005809D3"/>
    <w:rsid w:val="00580CC1"/>
    <w:rsid w:val="00581132"/>
    <w:rsid w:val="005812AC"/>
    <w:rsid w:val="0058266F"/>
    <w:rsid w:val="00582766"/>
    <w:rsid w:val="0058299F"/>
    <w:rsid w:val="00582E79"/>
    <w:rsid w:val="005834F5"/>
    <w:rsid w:val="00583D50"/>
    <w:rsid w:val="005842E5"/>
    <w:rsid w:val="00584A1F"/>
    <w:rsid w:val="00584B79"/>
    <w:rsid w:val="00584F76"/>
    <w:rsid w:val="0058527F"/>
    <w:rsid w:val="00585BD0"/>
    <w:rsid w:val="00586294"/>
    <w:rsid w:val="005862B6"/>
    <w:rsid w:val="00586775"/>
    <w:rsid w:val="00586A4F"/>
    <w:rsid w:val="00586FEF"/>
    <w:rsid w:val="00587516"/>
    <w:rsid w:val="00587E02"/>
    <w:rsid w:val="00591116"/>
    <w:rsid w:val="0059130A"/>
    <w:rsid w:val="0059130D"/>
    <w:rsid w:val="0059296C"/>
    <w:rsid w:val="00592F90"/>
    <w:rsid w:val="00594900"/>
    <w:rsid w:val="00595301"/>
    <w:rsid w:val="00595E79"/>
    <w:rsid w:val="00597B63"/>
    <w:rsid w:val="00597EDE"/>
    <w:rsid w:val="005A0595"/>
    <w:rsid w:val="005A0965"/>
    <w:rsid w:val="005A0F00"/>
    <w:rsid w:val="005A160B"/>
    <w:rsid w:val="005A26C1"/>
    <w:rsid w:val="005A2B66"/>
    <w:rsid w:val="005A2FFB"/>
    <w:rsid w:val="005A3560"/>
    <w:rsid w:val="005A37B2"/>
    <w:rsid w:val="005A4A4B"/>
    <w:rsid w:val="005A5035"/>
    <w:rsid w:val="005A54B0"/>
    <w:rsid w:val="005A623B"/>
    <w:rsid w:val="005A680E"/>
    <w:rsid w:val="005A6BAA"/>
    <w:rsid w:val="005A6F7C"/>
    <w:rsid w:val="005A7FD0"/>
    <w:rsid w:val="005B00E4"/>
    <w:rsid w:val="005B00F6"/>
    <w:rsid w:val="005B060B"/>
    <w:rsid w:val="005B1070"/>
    <w:rsid w:val="005B16DA"/>
    <w:rsid w:val="005B199A"/>
    <w:rsid w:val="005B1B4B"/>
    <w:rsid w:val="005B1D1F"/>
    <w:rsid w:val="005B1DCF"/>
    <w:rsid w:val="005B1E2E"/>
    <w:rsid w:val="005B20BE"/>
    <w:rsid w:val="005B2442"/>
    <w:rsid w:val="005B268F"/>
    <w:rsid w:val="005B4061"/>
    <w:rsid w:val="005B4187"/>
    <w:rsid w:val="005B4296"/>
    <w:rsid w:val="005B476F"/>
    <w:rsid w:val="005B4A1C"/>
    <w:rsid w:val="005B4FEB"/>
    <w:rsid w:val="005B5028"/>
    <w:rsid w:val="005B5584"/>
    <w:rsid w:val="005B6DFE"/>
    <w:rsid w:val="005B70AE"/>
    <w:rsid w:val="005B7A4D"/>
    <w:rsid w:val="005C0561"/>
    <w:rsid w:val="005C0FAE"/>
    <w:rsid w:val="005C11C9"/>
    <w:rsid w:val="005C1913"/>
    <w:rsid w:val="005C1975"/>
    <w:rsid w:val="005C1D3E"/>
    <w:rsid w:val="005C22C4"/>
    <w:rsid w:val="005C27E4"/>
    <w:rsid w:val="005C2A26"/>
    <w:rsid w:val="005C2E2D"/>
    <w:rsid w:val="005C3C79"/>
    <w:rsid w:val="005C3E37"/>
    <w:rsid w:val="005C460A"/>
    <w:rsid w:val="005C4A31"/>
    <w:rsid w:val="005C4A33"/>
    <w:rsid w:val="005C6336"/>
    <w:rsid w:val="005C64BC"/>
    <w:rsid w:val="005C677A"/>
    <w:rsid w:val="005C7766"/>
    <w:rsid w:val="005C7A24"/>
    <w:rsid w:val="005C7D97"/>
    <w:rsid w:val="005D0BD0"/>
    <w:rsid w:val="005D0C0F"/>
    <w:rsid w:val="005D0CC8"/>
    <w:rsid w:val="005D13CC"/>
    <w:rsid w:val="005D1400"/>
    <w:rsid w:val="005D1B49"/>
    <w:rsid w:val="005D1CDE"/>
    <w:rsid w:val="005D2051"/>
    <w:rsid w:val="005D20F1"/>
    <w:rsid w:val="005D2905"/>
    <w:rsid w:val="005D2B87"/>
    <w:rsid w:val="005D2F9B"/>
    <w:rsid w:val="005D325D"/>
    <w:rsid w:val="005D3384"/>
    <w:rsid w:val="005D339E"/>
    <w:rsid w:val="005D394C"/>
    <w:rsid w:val="005D397E"/>
    <w:rsid w:val="005D3C18"/>
    <w:rsid w:val="005D3CA0"/>
    <w:rsid w:val="005D466C"/>
    <w:rsid w:val="005D46D0"/>
    <w:rsid w:val="005D52C3"/>
    <w:rsid w:val="005D55B5"/>
    <w:rsid w:val="005D5C63"/>
    <w:rsid w:val="005D5DA0"/>
    <w:rsid w:val="005D6354"/>
    <w:rsid w:val="005D6697"/>
    <w:rsid w:val="005D763C"/>
    <w:rsid w:val="005D7B6D"/>
    <w:rsid w:val="005E03E5"/>
    <w:rsid w:val="005E097E"/>
    <w:rsid w:val="005E09B2"/>
    <w:rsid w:val="005E0FCB"/>
    <w:rsid w:val="005E1AC7"/>
    <w:rsid w:val="005E1D31"/>
    <w:rsid w:val="005E2005"/>
    <w:rsid w:val="005E247B"/>
    <w:rsid w:val="005E28E4"/>
    <w:rsid w:val="005E2EB2"/>
    <w:rsid w:val="005E2FA8"/>
    <w:rsid w:val="005E3041"/>
    <w:rsid w:val="005E3609"/>
    <w:rsid w:val="005E37E6"/>
    <w:rsid w:val="005E42E9"/>
    <w:rsid w:val="005E43D8"/>
    <w:rsid w:val="005E4876"/>
    <w:rsid w:val="005E5554"/>
    <w:rsid w:val="005E5A0B"/>
    <w:rsid w:val="005E6079"/>
    <w:rsid w:val="005E65DC"/>
    <w:rsid w:val="005E74F0"/>
    <w:rsid w:val="005E7FBC"/>
    <w:rsid w:val="005E7FC8"/>
    <w:rsid w:val="005F0329"/>
    <w:rsid w:val="005F0804"/>
    <w:rsid w:val="005F0BB0"/>
    <w:rsid w:val="005F100E"/>
    <w:rsid w:val="005F1390"/>
    <w:rsid w:val="005F14B7"/>
    <w:rsid w:val="005F1BD6"/>
    <w:rsid w:val="005F2021"/>
    <w:rsid w:val="005F2CFC"/>
    <w:rsid w:val="005F3001"/>
    <w:rsid w:val="005F3CF1"/>
    <w:rsid w:val="005F44FC"/>
    <w:rsid w:val="005F454E"/>
    <w:rsid w:val="005F5A20"/>
    <w:rsid w:val="005F79B4"/>
    <w:rsid w:val="005F7E05"/>
    <w:rsid w:val="00600709"/>
    <w:rsid w:val="00600A52"/>
    <w:rsid w:val="00601555"/>
    <w:rsid w:val="00602958"/>
    <w:rsid w:val="00602CEB"/>
    <w:rsid w:val="00603A5D"/>
    <w:rsid w:val="00604888"/>
    <w:rsid w:val="00605265"/>
    <w:rsid w:val="00605E12"/>
    <w:rsid w:val="00606560"/>
    <w:rsid w:val="006066D8"/>
    <w:rsid w:val="00606B18"/>
    <w:rsid w:val="0060775A"/>
    <w:rsid w:val="00607773"/>
    <w:rsid w:val="0060784B"/>
    <w:rsid w:val="006101E2"/>
    <w:rsid w:val="00610C56"/>
    <w:rsid w:val="00610C63"/>
    <w:rsid w:val="00610CD1"/>
    <w:rsid w:val="0061150E"/>
    <w:rsid w:val="006117F7"/>
    <w:rsid w:val="00612259"/>
    <w:rsid w:val="0061273A"/>
    <w:rsid w:val="006134AF"/>
    <w:rsid w:val="00613C7C"/>
    <w:rsid w:val="00614AF9"/>
    <w:rsid w:val="006150BD"/>
    <w:rsid w:val="006162FB"/>
    <w:rsid w:val="0061653C"/>
    <w:rsid w:val="00617124"/>
    <w:rsid w:val="0061716B"/>
    <w:rsid w:val="006209A4"/>
    <w:rsid w:val="00623DB0"/>
    <w:rsid w:val="00623F37"/>
    <w:rsid w:val="00624720"/>
    <w:rsid w:val="00624A8F"/>
    <w:rsid w:val="00624E4F"/>
    <w:rsid w:val="00625544"/>
    <w:rsid w:val="006257E3"/>
    <w:rsid w:val="00625AE2"/>
    <w:rsid w:val="00626B24"/>
    <w:rsid w:val="00627388"/>
    <w:rsid w:val="00627658"/>
    <w:rsid w:val="00627768"/>
    <w:rsid w:val="00627C20"/>
    <w:rsid w:val="006306B7"/>
    <w:rsid w:val="006306F0"/>
    <w:rsid w:val="00630D6C"/>
    <w:rsid w:val="006311D0"/>
    <w:rsid w:val="006314CE"/>
    <w:rsid w:val="006316FB"/>
    <w:rsid w:val="00631B7A"/>
    <w:rsid w:val="00631D32"/>
    <w:rsid w:val="00632906"/>
    <w:rsid w:val="00632B46"/>
    <w:rsid w:val="00633264"/>
    <w:rsid w:val="00634164"/>
    <w:rsid w:val="0063467A"/>
    <w:rsid w:val="00634753"/>
    <w:rsid w:val="00634A35"/>
    <w:rsid w:val="00634EDE"/>
    <w:rsid w:val="006351CB"/>
    <w:rsid w:val="00635BAD"/>
    <w:rsid w:val="00636D87"/>
    <w:rsid w:val="00637430"/>
    <w:rsid w:val="00637AA1"/>
    <w:rsid w:val="00640509"/>
    <w:rsid w:val="00640860"/>
    <w:rsid w:val="00641480"/>
    <w:rsid w:val="00641680"/>
    <w:rsid w:val="006416E2"/>
    <w:rsid w:val="00641D74"/>
    <w:rsid w:val="00641E36"/>
    <w:rsid w:val="00642035"/>
    <w:rsid w:val="0064232C"/>
    <w:rsid w:val="0064275D"/>
    <w:rsid w:val="00643543"/>
    <w:rsid w:val="00643A78"/>
    <w:rsid w:val="00644D74"/>
    <w:rsid w:val="00644F3C"/>
    <w:rsid w:val="00644F4D"/>
    <w:rsid w:val="00645072"/>
    <w:rsid w:val="006452EC"/>
    <w:rsid w:val="0064656C"/>
    <w:rsid w:val="00646ADE"/>
    <w:rsid w:val="00646C30"/>
    <w:rsid w:val="006514AD"/>
    <w:rsid w:val="00651598"/>
    <w:rsid w:val="00651E26"/>
    <w:rsid w:val="006523F5"/>
    <w:rsid w:val="00652EC9"/>
    <w:rsid w:val="006539E6"/>
    <w:rsid w:val="00653DCE"/>
    <w:rsid w:val="00653E22"/>
    <w:rsid w:val="00654522"/>
    <w:rsid w:val="006545CB"/>
    <w:rsid w:val="00654916"/>
    <w:rsid w:val="00654B8B"/>
    <w:rsid w:val="00655758"/>
    <w:rsid w:val="0065596C"/>
    <w:rsid w:val="00655AF7"/>
    <w:rsid w:val="00657B6D"/>
    <w:rsid w:val="00660385"/>
    <w:rsid w:val="006609A3"/>
    <w:rsid w:val="0066153C"/>
    <w:rsid w:val="00661542"/>
    <w:rsid w:val="00661B26"/>
    <w:rsid w:val="0066261B"/>
    <w:rsid w:val="006629BB"/>
    <w:rsid w:val="006630F2"/>
    <w:rsid w:val="006640D5"/>
    <w:rsid w:val="00664FA7"/>
    <w:rsid w:val="00665095"/>
    <w:rsid w:val="0066541A"/>
    <w:rsid w:val="006656CF"/>
    <w:rsid w:val="006656F7"/>
    <w:rsid w:val="0066588F"/>
    <w:rsid w:val="00665E98"/>
    <w:rsid w:val="00665F49"/>
    <w:rsid w:val="00666773"/>
    <w:rsid w:val="006667C9"/>
    <w:rsid w:val="00666EF9"/>
    <w:rsid w:val="00667BEB"/>
    <w:rsid w:val="00670054"/>
    <w:rsid w:val="006703A9"/>
    <w:rsid w:val="00670F96"/>
    <w:rsid w:val="0067107B"/>
    <w:rsid w:val="0067112A"/>
    <w:rsid w:val="00672BA3"/>
    <w:rsid w:val="006730CB"/>
    <w:rsid w:val="006732C5"/>
    <w:rsid w:val="006737FE"/>
    <w:rsid w:val="00673A96"/>
    <w:rsid w:val="00673B79"/>
    <w:rsid w:val="00673CB1"/>
    <w:rsid w:val="00674F8E"/>
    <w:rsid w:val="0067562E"/>
    <w:rsid w:val="006770A9"/>
    <w:rsid w:val="006800CB"/>
    <w:rsid w:val="00680ABB"/>
    <w:rsid w:val="00680F49"/>
    <w:rsid w:val="0068144F"/>
    <w:rsid w:val="00682C59"/>
    <w:rsid w:val="0068325D"/>
    <w:rsid w:val="00683745"/>
    <w:rsid w:val="00683869"/>
    <w:rsid w:val="0068462D"/>
    <w:rsid w:val="0068522B"/>
    <w:rsid w:val="006857F4"/>
    <w:rsid w:val="00685F1D"/>
    <w:rsid w:val="00686AD7"/>
    <w:rsid w:val="00686BDB"/>
    <w:rsid w:val="0068714F"/>
    <w:rsid w:val="00687A2A"/>
    <w:rsid w:val="00687B5D"/>
    <w:rsid w:val="00690C0F"/>
    <w:rsid w:val="00691FA7"/>
    <w:rsid w:val="00693057"/>
    <w:rsid w:val="006946C3"/>
    <w:rsid w:val="00694CDF"/>
    <w:rsid w:val="0069551A"/>
    <w:rsid w:val="00696004"/>
    <w:rsid w:val="00696E0F"/>
    <w:rsid w:val="00696E9A"/>
    <w:rsid w:val="006972A3"/>
    <w:rsid w:val="006977AC"/>
    <w:rsid w:val="00697DAF"/>
    <w:rsid w:val="00697DFA"/>
    <w:rsid w:val="006A10D8"/>
    <w:rsid w:val="006A13D8"/>
    <w:rsid w:val="006A18C8"/>
    <w:rsid w:val="006A195A"/>
    <w:rsid w:val="006A243D"/>
    <w:rsid w:val="006A24F1"/>
    <w:rsid w:val="006A2708"/>
    <w:rsid w:val="006A30BF"/>
    <w:rsid w:val="006A329B"/>
    <w:rsid w:val="006A33DD"/>
    <w:rsid w:val="006A4856"/>
    <w:rsid w:val="006A489B"/>
    <w:rsid w:val="006A5383"/>
    <w:rsid w:val="006A6322"/>
    <w:rsid w:val="006A6D1F"/>
    <w:rsid w:val="006A7273"/>
    <w:rsid w:val="006A73CB"/>
    <w:rsid w:val="006A7443"/>
    <w:rsid w:val="006A7A6D"/>
    <w:rsid w:val="006B0856"/>
    <w:rsid w:val="006B0F4C"/>
    <w:rsid w:val="006B1046"/>
    <w:rsid w:val="006B1119"/>
    <w:rsid w:val="006B2DE6"/>
    <w:rsid w:val="006B3066"/>
    <w:rsid w:val="006B3A50"/>
    <w:rsid w:val="006B4074"/>
    <w:rsid w:val="006B4622"/>
    <w:rsid w:val="006B48E0"/>
    <w:rsid w:val="006B591C"/>
    <w:rsid w:val="006B6514"/>
    <w:rsid w:val="006B6C76"/>
    <w:rsid w:val="006B6CC8"/>
    <w:rsid w:val="006B6D0C"/>
    <w:rsid w:val="006C00D3"/>
    <w:rsid w:val="006C0171"/>
    <w:rsid w:val="006C0A34"/>
    <w:rsid w:val="006C1583"/>
    <w:rsid w:val="006C18EA"/>
    <w:rsid w:val="006C227D"/>
    <w:rsid w:val="006C2E35"/>
    <w:rsid w:val="006C2F5D"/>
    <w:rsid w:val="006C39FE"/>
    <w:rsid w:val="006C3B2B"/>
    <w:rsid w:val="006C476D"/>
    <w:rsid w:val="006C4BC4"/>
    <w:rsid w:val="006C4ECB"/>
    <w:rsid w:val="006C4FC4"/>
    <w:rsid w:val="006C551F"/>
    <w:rsid w:val="006C5C00"/>
    <w:rsid w:val="006C65A0"/>
    <w:rsid w:val="006C6D54"/>
    <w:rsid w:val="006C7DBB"/>
    <w:rsid w:val="006C7E71"/>
    <w:rsid w:val="006D0395"/>
    <w:rsid w:val="006D06E3"/>
    <w:rsid w:val="006D0731"/>
    <w:rsid w:val="006D08C1"/>
    <w:rsid w:val="006D0BE5"/>
    <w:rsid w:val="006D0BEE"/>
    <w:rsid w:val="006D24A3"/>
    <w:rsid w:val="006D298B"/>
    <w:rsid w:val="006D2C87"/>
    <w:rsid w:val="006D4064"/>
    <w:rsid w:val="006D4555"/>
    <w:rsid w:val="006D4F92"/>
    <w:rsid w:val="006D5055"/>
    <w:rsid w:val="006D51DF"/>
    <w:rsid w:val="006D5D0D"/>
    <w:rsid w:val="006D5E3E"/>
    <w:rsid w:val="006D6694"/>
    <w:rsid w:val="006D75E9"/>
    <w:rsid w:val="006D762E"/>
    <w:rsid w:val="006D76B0"/>
    <w:rsid w:val="006D77FF"/>
    <w:rsid w:val="006D794A"/>
    <w:rsid w:val="006D7D85"/>
    <w:rsid w:val="006D7DA7"/>
    <w:rsid w:val="006E0786"/>
    <w:rsid w:val="006E1615"/>
    <w:rsid w:val="006E17F6"/>
    <w:rsid w:val="006E1EBC"/>
    <w:rsid w:val="006E2136"/>
    <w:rsid w:val="006E2B99"/>
    <w:rsid w:val="006E2F03"/>
    <w:rsid w:val="006E33A2"/>
    <w:rsid w:val="006E3962"/>
    <w:rsid w:val="006E3982"/>
    <w:rsid w:val="006E3D87"/>
    <w:rsid w:val="006E52B4"/>
    <w:rsid w:val="006E59BF"/>
    <w:rsid w:val="006E627B"/>
    <w:rsid w:val="006E64AD"/>
    <w:rsid w:val="006E7278"/>
    <w:rsid w:val="006E75E7"/>
    <w:rsid w:val="006E7A89"/>
    <w:rsid w:val="006E7DD0"/>
    <w:rsid w:val="006E7FE0"/>
    <w:rsid w:val="006F0651"/>
    <w:rsid w:val="006F0D2D"/>
    <w:rsid w:val="006F144E"/>
    <w:rsid w:val="006F175A"/>
    <w:rsid w:val="006F2362"/>
    <w:rsid w:val="006F272B"/>
    <w:rsid w:val="006F2AE5"/>
    <w:rsid w:val="006F34DB"/>
    <w:rsid w:val="006F3A6C"/>
    <w:rsid w:val="006F3D2E"/>
    <w:rsid w:val="006F3DA3"/>
    <w:rsid w:val="006F40C9"/>
    <w:rsid w:val="006F510F"/>
    <w:rsid w:val="006F5411"/>
    <w:rsid w:val="006F5AB7"/>
    <w:rsid w:val="006F5D74"/>
    <w:rsid w:val="006F6263"/>
    <w:rsid w:val="006F6526"/>
    <w:rsid w:val="006F6A79"/>
    <w:rsid w:val="006F6F5C"/>
    <w:rsid w:val="006F73CB"/>
    <w:rsid w:val="006F7796"/>
    <w:rsid w:val="00700250"/>
    <w:rsid w:val="00700765"/>
    <w:rsid w:val="00702C8D"/>
    <w:rsid w:val="00702E72"/>
    <w:rsid w:val="00703681"/>
    <w:rsid w:val="007038C7"/>
    <w:rsid w:val="007052FA"/>
    <w:rsid w:val="007054CC"/>
    <w:rsid w:val="00705569"/>
    <w:rsid w:val="007055A5"/>
    <w:rsid w:val="00705868"/>
    <w:rsid w:val="00705E13"/>
    <w:rsid w:val="00705F71"/>
    <w:rsid w:val="007066F5"/>
    <w:rsid w:val="00710578"/>
    <w:rsid w:val="00711E07"/>
    <w:rsid w:val="007127F7"/>
    <w:rsid w:val="00713477"/>
    <w:rsid w:val="00713999"/>
    <w:rsid w:val="007157D3"/>
    <w:rsid w:val="00715DD9"/>
    <w:rsid w:val="00715F46"/>
    <w:rsid w:val="0071604A"/>
    <w:rsid w:val="0071644A"/>
    <w:rsid w:val="00716EFE"/>
    <w:rsid w:val="00717693"/>
    <w:rsid w:val="00717BB1"/>
    <w:rsid w:val="00717D05"/>
    <w:rsid w:val="00720534"/>
    <w:rsid w:val="00720592"/>
    <w:rsid w:val="00720DA5"/>
    <w:rsid w:val="00720F69"/>
    <w:rsid w:val="007212F0"/>
    <w:rsid w:val="0072148A"/>
    <w:rsid w:val="007215AD"/>
    <w:rsid w:val="007217F3"/>
    <w:rsid w:val="007219AC"/>
    <w:rsid w:val="00722518"/>
    <w:rsid w:val="007225CC"/>
    <w:rsid w:val="00722A06"/>
    <w:rsid w:val="007244BF"/>
    <w:rsid w:val="00726D5B"/>
    <w:rsid w:val="00727FC5"/>
    <w:rsid w:val="00730602"/>
    <w:rsid w:val="00730FB4"/>
    <w:rsid w:val="007310B9"/>
    <w:rsid w:val="00731640"/>
    <w:rsid w:val="007318B5"/>
    <w:rsid w:val="00731B56"/>
    <w:rsid w:val="007324C1"/>
    <w:rsid w:val="00732FE1"/>
    <w:rsid w:val="00733729"/>
    <w:rsid w:val="00734299"/>
    <w:rsid w:val="00734448"/>
    <w:rsid w:val="0073457D"/>
    <w:rsid w:val="00734893"/>
    <w:rsid w:val="00734E3B"/>
    <w:rsid w:val="00735449"/>
    <w:rsid w:val="007357DC"/>
    <w:rsid w:val="007358A3"/>
    <w:rsid w:val="007361FD"/>
    <w:rsid w:val="00736D49"/>
    <w:rsid w:val="00737190"/>
    <w:rsid w:val="00737431"/>
    <w:rsid w:val="007375B8"/>
    <w:rsid w:val="007401A8"/>
    <w:rsid w:val="00740C98"/>
    <w:rsid w:val="00740E5B"/>
    <w:rsid w:val="00740E9E"/>
    <w:rsid w:val="007410A0"/>
    <w:rsid w:val="007413A1"/>
    <w:rsid w:val="00741405"/>
    <w:rsid w:val="0074168B"/>
    <w:rsid w:val="00742217"/>
    <w:rsid w:val="00742B72"/>
    <w:rsid w:val="00742D32"/>
    <w:rsid w:val="007432EF"/>
    <w:rsid w:val="0074454D"/>
    <w:rsid w:val="00744EBB"/>
    <w:rsid w:val="00745310"/>
    <w:rsid w:val="0074594F"/>
    <w:rsid w:val="007461CD"/>
    <w:rsid w:val="007464B0"/>
    <w:rsid w:val="00746813"/>
    <w:rsid w:val="00746B42"/>
    <w:rsid w:val="00746F74"/>
    <w:rsid w:val="00747AEF"/>
    <w:rsid w:val="00747D38"/>
    <w:rsid w:val="0075070B"/>
    <w:rsid w:val="007516FE"/>
    <w:rsid w:val="007519FB"/>
    <w:rsid w:val="007528CE"/>
    <w:rsid w:val="00752FF5"/>
    <w:rsid w:val="0075324F"/>
    <w:rsid w:val="00753E12"/>
    <w:rsid w:val="0075498C"/>
    <w:rsid w:val="00754AED"/>
    <w:rsid w:val="00754DC2"/>
    <w:rsid w:val="007551CA"/>
    <w:rsid w:val="00755EFF"/>
    <w:rsid w:val="00755F99"/>
    <w:rsid w:val="00756AEC"/>
    <w:rsid w:val="00756CDD"/>
    <w:rsid w:val="00757229"/>
    <w:rsid w:val="00757CC0"/>
    <w:rsid w:val="00757D0F"/>
    <w:rsid w:val="00757EC9"/>
    <w:rsid w:val="00760266"/>
    <w:rsid w:val="00760384"/>
    <w:rsid w:val="0076289A"/>
    <w:rsid w:val="00763CEB"/>
    <w:rsid w:val="00763DB7"/>
    <w:rsid w:val="0076515B"/>
    <w:rsid w:val="00765208"/>
    <w:rsid w:val="007658FF"/>
    <w:rsid w:val="00765A09"/>
    <w:rsid w:val="00765A95"/>
    <w:rsid w:val="007660FD"/>
    <w:rsid w:val="00766EA3"/>
    <w:rsid w:val="00766EC7"/>
    <w:rsid w:val="007672F4"/>
    <w:rsid w:val="00770669"/>
    <w:rsid w:val="00770DDB"/>
    <w:rsid w:val="00771961"/>
    <w:rsid w:val="00772153"/>
    <w:rsid w:val="007724D8"/>
    <w:rsid w:val="00772A8A"/>
    <w:rsid w:val="00774074"/>
    <w:rsid w:val="00774860"/>
    <w:rsid w:val="007755F3"/>
    <w:rsid w:val="0077594F"/>
    <w:rsid w:val="00775D22"/>
    <w:rsid w:val="007761DB"/>
    <w:rsid w:val="0077656D"/>
    <w:rsid w:val="0077681A"/>
    <w:rsid w:val="00776C7B"/>
    <w:rsid w:val="00777D92"/>
    <w:rsid w:val="00777E07"/>
    <w:rsid w:val="00777F7F"/>
    <w:rsid w:val="0078182C"/>
    <w:rsid w:val="00781B46"/>
    <w:rsid w:val="00782980"/>
    <w:rsid w:val="007829A2"/>
    <w:rsid w:val="00783650"/>
    <w:rsid w:val="00783A2E"/>
    <w:rsid w:val="00783CDF"/>
    <w:rsid w:val="007840CD"/>
    <w:rsid w:val="00784FA2"/>
    <w:rsid w:val="007853DA"/>
    <w:rsid w:val="00786817"/>
    <w:rsid w:val="00786A73"/>
    <w:rsid w:val="00786C04"/>
    <w:rsid w:val="00786F01"/>
    <w:rsid w:val="007874F0"/>
    <w:rsid w:val="007875DF"/>
    <w:rsid w:val="007876F9"/>
    <w:rsid w:val="007903A3"/>
    <w:rsid w:val="0079044B"/>
    <w:rsid w:val="0079058E"/>
    <w:rsid w:val="00790B0E"/>
    <w:rsid w:val="0079142E"/>
    <w:rsid w:val="00791C1A"/>
    <w:rsid w:val="00791DEB"/>
    <w:rsid w:val="0079201D"/>
    <w:rsid w:val="0079287A"/>
    <w:rsid w:val="00792F8F"/>
    <w:rsid w:val="0079316E"/>
    <w:rsid w:val="007931D3"/>
    <w:rsid w:val="00795551"/>
    <w:rsid w:val="00795686"/>
    <w:rsid w:val="00796236"/>
    <w:rsid w:val="0079664D"/>
    <w:rsid w:val="00796AEF"/>
    <w:rsid w:val="007976EF"/>
    <w:rsid w:val="007A0EFC"/>
    <w:rsid w:val="007A0F85"/>
    <w:rsid w:val="007A10CF"/>
    <w:rsid w:val="007A2D9C"/>
    <w:rsid w:val="007A3058"/>
    <w:rsid w:val="007A3DD9"/>
    <w:rsid w:val="007A4342"/>
    <w:rsid w:val="007A45B1"/>
    <w:rsid w:val="007A59E5"/>
    <w:rsid w:val="007A5B9F"/>
    <w:rsid w:val="007A6595"/>
    <w:rsid w:val="007A6A31"/>
    <w:rsid w:val="007A7B53"/>
    <w:rsid w:val="007A7D02"/>
    <w:rsid w:val="007B0D98"/>
    <w:rsid w:val="007B0E5C"/>
    <w:rsid w:val="007B0EB6"/>
    <w:rsid w:val="007B1CDC"/>
    <w:rsid w:val="007B1EFF"/>
    <w:rsid w:val="007B2493"/>
    <w:rsid w:val="007B339F"/>
    <w:rsid w:val="007B4E8B"/>
    <w:rsid w:val="007B563D"/>
    <w:rsid w:val="007B5A1D"/>
    <w:rsid w:val="007B60F1"/>
    <w:rsid w:val="007B6837"/>
    <w:rsid w:val="007B7441"/>
    <w:rsid w:val="007B7E3A"/>
    <w:rsid w:val="007C02DC"/>
    <w:rsid w:val="007C087B"/>
    <w:rsid w:val="007C0955"/>
    <w:rsid w:val="007C164E"/>
    <w:rsid w:val="007C2D17"/>
    <w:rsid w:val="007C3419"/>
    <w:rsid w:val="007C36EA"/>
    <w:rsid w:val="007C404B"/>
    <w:rsid w:val="007C494A"/>
    <w:rsid w:val="007C51A9"/>
    <w:rsid w:val="007C5A21"/>
    <w:rsid w:val="007C7191"/>
    <w:rsid w:val="007C7FF3"/>
    <w:rsid w:val="007D03D1"/>
    <w:rsid w:val="007D053D"/>
    <w:rsid w:val="007D0DA4"/>
    <w:rsid w:val="007D0DA6"/>
    <w:rsid w:val="007D1B2A"/>
    <w:rsid w:val="007D1F75"/>
    <w:rsid w:val="007D231F"/>
    <w:rsid w:val="007D2F2C"/>
    <w:rsid w:val="007D32B7"/>
    <w:rsid w:val="007D523A"/>
    <w:rsid w:val="007D57A8"/>
    <w:rsid w:val="007D5CD8"/>
    <w:rsid w:val="007D6387"/>
    <w:rsid w:val="007D64A7"/>
    <w:rsid w:val="007D6B3C"/>
    <w:rsid w:val="007D7684"/>
    <w:rsid w:val="007E0D38"/>
    <w:rsid w:val="007E1305"/>
    <w:rsid w:val="007E16CD"/>
    <w:rsid w:val="007E1840"/>
    <w:rsid w:val="007E25F9"/>
    <w:rsid w:val="007E3351"/>
    <w:rsid w:val="007E4120"/>
    <w:rsid w:val="007E4181"/>
    <w:rsid w:val="007E46FC"/>
    <w:rsid w:val="007E5DA9"/>
    <w:rsid w:val="007E6388"/>
    <w:rsid w:val="007E6D64"/>
    <w:rsid w:val="007E7F36"/>
    <w:rsid w:val="007F114B"/>
    <w:rsid w:val="007F11D6"/>
    <w:rsid w:val="007F1432"/>
    <w:rsid w:val="007F2877"/>
    <w:rsid w:val="007F2D16"/>
    <w:rsid w:val="007F3A2F"/>
    <w:rsid w:val="007F4185"/>
    <w:rsid w:val="007F490C"/>
    <w:rsid w:val="007F4ED0"/>
    <w:rsid w:val="007F51D2"/>
    <w:rsid w:val="007F5227"/>
    <w:rsid w:val="007F5AF9"/>
    <w:rsid w:val="007F5D04"/>
    <w:rsid w:val="007F6EA9"/>
    <w:rsid w:val="007F773A"/>
    <w:rsid w:val="007F77D3"/>
    <w:rsid w:val="007F7C12"/>
    <w:rsid w:val="007F7CAE"/>
    <w:rsid w:val="00800147"/>
    <w:rsid w:val="0080029E"/>
    <w:rsid w:val="00800DD5"/>
    <w:rsid w:val="008012B3"/>
    <w:rsid w:val="00801703"/>
    <w:rsid w:val="00801FA1"/>
    <w:rsid w:val="008020C4"/>
    <w:rsid w:val="00802140"/>
    <w:rsid w:val="008033BC"/>
    <w:rsid w:val="0080349D"/>
    <w:rsid w:val="008037FF"/>
    <w:rsid w:val="008049BF"/>
    <w:rsid w:val="00804E61"/>
    <w:rsid w:val="008054F3"/>
    <w:rsid w:val="00805A58"/>
    <w:rsid w:val="00805AC0"/>
    <w:rsid w:val="00805C72"/>
    <w:rsid w:val="00806791"/>
    <w:rsid w:val="0080699D"/>
    <w:rsid w:val="00806EE2"/>
    <w:rsid w:val="00807536"/>
    <w:rsid w:val="00810059"/>
    <w:rsid w:val="00810A91"/>
    <w:rsid w:val="00811A91"/>
    <w:rsid w:val="00811D26"/>
    <w:rsid w:val="00811FCD"/>
    <w:rsid w:val="00812A7C"/>
    <w:rsid w:val="008130D0"/>
    <w:rsid w:val="00813933"/>
    <w:rsid w:val="00813BB6"/>
    <w:rsid w:val="00813E38"/>
    <w:rsid w:val="00814F01"/>
    <w:rsid w:val="00815421"/>
    <w:rsid w:val="008162DF"/>
    <w:rsid w:val="00816707"/>
    <w:rsid w:val="0081690A"/>
    <w:rsid w:val="00816C06"/>
    <w:rsid w:val="008172A8"/>
    <w:rsid w:val="008172C5"/>
    <w:rsid w:val="008177BE"/>
    <w:rsid w:val="00820480"/>
    <w:rsid w:val="008204D5"/>
    <w:rsid w:val="008205A2"/>
    <w:rsid w:val="0082149D"/>
    <w:rsid w:val="008224E7"/>
    <w:rsid w:val="00822590"/>
    <w:rsid w:val="00822CF2"/>
    <w:rsid w:val="00822F9E"/>
    <w:rsid w:val="00823E63"/>
    <w:rsid w:val="00825090"/>
    <w:rsid w:val="008251A7"/>
    <w:rsid w:val="0082568A"/>
    <w:rsid w:val="00825B71"/>
    <w:rsid w:val="00825E24"/>
    <w:rsid w:val="0082654C"/>
    <w:rsid w:val="0082676E"/>
    <w:rsid w:val="0082679C"/>
    <w:rsid w:val="0082689C"/>
    <w:rsid w:val="00826B15"/>
    <w:rsid w:val="00827FA0"/>
    <w:rsid w:val="00830007"/>
    <w:rsid w:val="00830324"/>
    <w:rsid w:val="00830BDC"/>
    <w:rsid w:val="00830CBC"/>
    <w:rsid w:val="00831B9C"/>
    <w:rsid w:val="00831C69"/>
    <w:rsid w:val="008325E7"/>
    <w:rsid w:val="00833212"/>
    <w:rsid w:val="008337A7"/>
    <w:rsid w:val="00834D0E"/>
    <w:rsid w:val="00834E06"/>
    <w:rsid w:val="008351FA"/>
    <w:rsid w:val="00835725"/>
    <w:rsid w:val="00835A5F"/>
    <w:rsid w:val="00835B3B"/>
    <w:rsid w:val="0083691D"/>
    <w:rsid w:val="008372AB"/>
    <w:rsid w:val="008375C8"/>
    <w:rsid w:val="0083782B"/>
    <w:rsid w:val="00837843"/>
    <w:rsid w:val="008409BC"/>
    <w:rsid w:val="00840BAD"/>
    <w:rsid w:val="00841467"/>
    <w:rsid w:val="00841484"/>
    <w:rsid w:val="00841A56"/>
    <w:rsid w:val="0084214B"/>
    <w:rsid w:val="0084220F"/>
    <w:rsid w:val="008428AE"/>
    <w:rsid w:val="008431EB"/>
    <w:rsid w:val="008432D8"/>
    <w:rsid w:val="00844293"/>
    <w:rsid w:val="008443EA"/>
    <w:rsid w:val="008446E0"/>
    <w:rsid w:val="008452C1"/>
    <w:rsid w:val="00845A63"/>
    <w:rsid w:val="00847A89"/>
    <w:rsid w:val="00847C02"/>
    <w:rsid w:val="00847FE5"/>
    <w:rsid w:val="00851119"/>
    <w:rsid w:val="0085268B"/>
    <w:rsid w:val="0085275E"/>
    <w:rsid w:val="0085303F"/>
    <w:rsid w:val="00854134"/>
    <w:rsid w:val="0085416B"/>
    <w:rsid w:val="0085470C"/>
    <w:rsid w:val="00854A40"/>
    <w:rsid w:val="0085552C"/>
    <w:rsid w:val="00855EEA"/>
    <w:rsid w:val="008568B8"/>
    <w:rsid w:val="00856C62"/>
    <w:rsid w:val="00857B5A"/>
    <w:rsid w:val="00860B11"/>
    <w:rsid w:val="00861380"/>
    <w:rsid w:val="008613DE"/>
    <w:rsid w:val="00861ABE"/>
    <w:rsid w:val="008625D4"/>
    <w:rsid w:val="00862A5A"/>
    <w:rsid w:val="00862FC8"/>
    <w:rsid w:val="00863242"/>
    <w:rsid w:val="0086346E"/>
    <w:rsid w:val="0086383B"/>
    <w:rsid w:val="00863F96"/>
    <w:rsid w:val="00863FDE"/>
    <w:rsid w:val="00864215"/>
    <w:rsid w:val="008647E4"/>
    <w:rsid w:val="00864CD5"/>
    <w:rsid w:val="0086689D"/>
    <w:rsid w:val="00866E45"/>
    <w:rsid w:val="008677FC"/>
    <w:rsid w:val="00867FDB"/>
    <w:rsid w:val="008708A5"/>
    <w:rsid w:val="00870C7A"/>
    <w:rsid w:val="00871EB9"/>
    <w:rsid w:val="00871F94"/>
    <w:rsid w:val="00872DA2"/>
    <w:rsid w:val="00872EE3"/>
    <w:rsid w:val="008744FB"/>
    <w:rsid w:val="00874BD4"/>
    <w:rsid w:val="00874C6E"/>
    <w:rsid w:val="00875526"/>
    <w:rsid w:val="008755E8"/>
    <w:rsid w:val="00875E9B"/>
    <w:rsid w:val="008769C5"/>
    <w:rsid w:val="00876A28"/>
    <w:rsid w:val="0087708F"/>
    <w:rsid w:val="00880A93"/>
    <w:rsid w:val="00881E07"/>
    <w:rsid w:val="0088265B"/>
    <w:rsid w:val="008826BE"/>
    <w:rsid w:val="00882D98"/>
    <w:rsid w:val="00883638"/>
    <w:rsid w:val="0088380F"/>
    <w:rsid w:val="00884698"/>
    <w:rsid w:val="0088473F"/>
    <w:rsid w:val="00884A8B"/>
    <w:rsid w:val="008853C5"/>
    <w:rsid w:val="00885B9E"/>
    <w:rsid w:val="00885D0F"/>
    <w:rsid w:val="0088609F"/>
    <w:rsid w:val="00886167"/>
    <w:rsid w:val="008861FD"/>
    <w:rsid w:val="00886670"/>
    <w:rsid w:val="00886C33"/>
    <w:rsid w:val="00887EF6"/>
    <w:rsid w:val="008908BE"/>
    <w:rsid w:val="00890D4D"/>
    <w:rsid w:val="00891797"/>
    <w:rsid w:val="008919ED"/>
    <w:rsid w:val="00891DA5"/>
    <w:rsid w:val="00892CD4"/>
    <w:rsid w:val="00892D63"/>
    <w:rsid w:val="00893178"/>
    <w:rsid w:val="00893606"/>
    <w:rsid w:val="0089404A"/>
    <w:rsid w:val="00894D92"/>
    <w:rsid w:val="00894E7C"/>
    <w:rsid w:val="0089536C"/>
    <w:rsid w:val="0089547A"/>
    <w:rsid w:val="0089592D"/>
    <w:rsid w:val="00895D8C"/>
    <w:rsid w:val="00896938"/>
    <w:rsid w:val="00896B29"/>
    <w:rsid w:val="00896C79"/>
    <w:rsid w:val="00897148"/>
    <w:rsid w:val="008974EF"/>
    <w:rsid w:val="008978CF"/>
    <w:rsid w:val="00897D13"/>
    <w:rsid w:val="008A03AA"/>
    <w:rsid w:val="008A089A"/>
    <w:rsid w:val="008A19C3"/>
    <w:rsid w:val="008A1A2F"/>
    <w:rsid w:val="008A2A0D"/>
    <w:rsid w:val="008A2B11"/>
    <w:rsid w:val="008A2B69"/>
    <w:rsid w:val="008A37C7"/>
    <w:rsid w:val="008A59C5"/>
    <w:rsid w:val="008A5B46"/>
    <w:rsid w:val="008A6978"/>
    <w:rsid w:val="008A6A61"/>
    <w:rsid w:val="008A6FB2"/>
    <w:rsid w:val="008A729D"/>
    <w:rsid w:val="008A7389"/>
    <w:rsid w:val="008A73BF"/>
    <w:rsid w:val="008A7827"/>
    <w:rsid w:val="008A7EBE"/>
    <w:rsid w:val="008B008A"/>
    <w:rsid w:val="008B143E"/>
    <w:rsid w:val="008B170D"/>
    <w:rsid w:val="008B193C"/>
    <w:rsid w:val="008B2C94"/>
    <w:rsid w:val="008B381A"/>
    <w:rsid w:val="008B3B49"/>
    <w:rsid w:val="008B3F02"/>
    <w:rsid w:val="008B3F63"/>
    <w:rsid w:val="008B42F9"/>
    <w:rsid w:val="008B4BAD"/>
    <w:rsid w:val="008B5158"/>
    <w:rsid w:val="008B590B"/>
    <w:rsid w:val="008B5B53"/>
    <w:rsid w:val="008B5C60"/>
    <w:rsid w:val="008B5E9D"/>
    <w:rsid w:val="008B6496"/>
    <w:rsid w:val="008B6A5B"/>
    <w:rsid w:val="008B6C6A"/>
    <w:rsid w:val="008B7A21"/>
    <w:rsid w:val="008B7D7B"/>
    <w:rsid w:val="008B7EFB"/>
    <w:rsid w:val="008C1BD8"/>
    <w:rsid w:val="008C2C73"/>
    <w:rsid w:val="008C3DAE"/>
    <w:rsid w:val="008C4F7B"/>
    <w:rsid w:val="008C54FD"/>
    <w:rsid w:val="008C7581"/>
    <w:rsid w:val="008C77F6"/>
    <w:rsid w:val="008D0124"/>
    <w:rsid w:val="008D0332"/>
    <w:rsid w:val="008D08F4"/>
    <w:rsid w:val="008D15F4"/>
    <w:rsid w:val="008D1B36"/>
    <w:rsid w:val="008D2134"/>
    <w:rsid w:val="008D2911"/>
    <w:rsid w:val="008D29CD"/>
    <w:rsid w:val="008D3D19"/>
    <w:rsid w:val="008D42BF"/>
    <w:rsid w:val="008D4625"/>
    <w:rsid w:val="008D4628"/>
    <w:rsid w:val="008D471B"/>
    <w:rsid w:val="008D52A8"/>
    <w:rsid w:val="008D5A64"/>
    <w:rsid w:val="008D5B77"/>
    <w:rsid w:val="008D6167"/>
    <w:rsid w:val="008D6259"/>
    <w:rsid w:val="008D63B6"/>
    <w:rsid w:val="008D7186"/>
    <w:rsid w:val="008D72F4"/>
    <w:rsid w:val="008D766A"/>
    <w:rsid w:val="008E08D5"/>
    <w:rsid w:val="008E15D1"/>
    <w:rsid w:val="008E1833"/>
    <w:rsid w:val="008E2BDA"/>
    <w:rsid w:val="008E40C4"/>
    <w:rsid w:val="008E4BAB"/>
    <w:rsid w:val="008E69D8"/>
    <w:rsid w:val="008E7052"/>
    <w:rsid w:val="008E73B0"/>
    <w:rsid w:val="008F0478"/>
    <w:rsid w:val="008F04BB"/>
    <w:rsid w:val="008F0A95"/>
    <w:rsid w:val="008F1ADE"/>
    <w:rsid w:val="008F264F"/>
    <w:rsid w:val="008F2A53"/>
    <w:rsid w:val="008F2E29"/>
    <w:rsid w:val="008F2FBD"/>
    <w:rsid w:val="008F34D8"/>
    <w:rsid w:val="008F3C9E"/>
    <w:rsid w:val="008F47C9"/>
    <w:rsid w:val="008F4BE6"/>
    <w:rsid w:val="008F4C66"/>
    <w:rsid w:val="008F54C5"/>
    <w:rsid w:val="008F59B8"/>
    <w:rsid w:val="008F6679"/>
    <w:rsid w:val="008F69FE"/>
    <w:rsid w:val="008F70A9"/>
    <w:rsid w:val="008F712B"/>
    <w:rsid w:val="008F72FF"/>
    <w:rsid w:val="008F74CC"/>
    <w:rsid w:val="008F7686"/>
    <w:rsid w:val="008F7D16"/>
    <w:rsid w:val="008F7E23"/>
    <w:rsid w:val="009001DA"/>
    <w:rsid w:val="00900385"/>
    <w:rsid w:val="0090178D"/>
    <w:rsid w:val="00901953"/>
    <w:rsid w:val="009023BF"/>
    <w:rsid w:val="0090271A"/>
    <w:rsid w:val="00902C43"/>
    <w:rsid w:val="0090353D"/>
    <w:rsid w:val="00903623"/>
    <w:rsid w:val="00903C14"/>
    <w:rsid w:val="00904E5E"/>
    <w:rsid w:val="00905047"/>
    <w:rsid w:val="00905056"/>
    <w:rsid w:val="00905417"/>
    <w:rsid w:val="009055FD"/>
    <w:rsid w:val="009057A6"/>
    <w:rsid w:val="009059B5"/>
    <w:rsid w:val="00905BF9"/>
    <w:rsid w:val="00906099"/>
    <w:rsid w:val="00907099"/>
    <w:rsid w:val="009104D8"/>
    <w:rsid w:val="00910CBC"/>
    <w:rsid w:val="0091115A"/>
    <w:rsid w:val="009111AA"/>
    <w:rsid w:val="00911C81"/>
    <w:rsid w:val="00911D11"/>
    <w:rsid w:val="009137B7"/>
    <w:rsid w:val="00913822"/>
    <w:rsid w:val="00913E2B"/>
    <w:rsid w:val="00914022"/>
    <w:rsid w:val="009145D7"/>
    <w:rsid w:val="00914A55"/>
    <w:rsid w:val="00914B75"/>
    <w:rsid w:val="00915217"/>
    <w:rsid w:val="009153E0"/>
    <w:rsid w:val="009156C7"/>
    <w:rsid w:val="009160A8"/>
    <w:rsid w:val="00916DD6"/>
    <w:rsid w:val="00916F1D"/>
    <w:rsid w:val="0091727A"/>
    <w:rsid w:val="00917628"/>
    <w:rsid w:val="009176CB"/>
    <w:rsid w:val="009178D3"/>
    <w:rsid w:val="00920075"/>
    <w:rsid w:val="00920715"/>
    <w:rsid w:val="00920D8E"/>
    <w:rsid w:val="00920E01"/>
    <w:rsid w:val="00921002"/>
    <w:rsid w:val="009224D1"/>
    <w:rsid w:val="00922D89"/>
    <w:rsid w:val="0092307F"/>
    <w:rsid w:val="009235C9"/>
    <w:rsid w:val="00923A0E"/>
    <w:rsid w:val="00923C51"/>
    <w:rsid w:val="00924D6F"/>
    <w:rsid w:val="009257F6"/>
    <w:rsid w:val="009263E3"/>
    <w:rsid w:val="009264D0"/>
    <w:rsid w:val="00927680"/>
    <w:rsid w:val="00927F89"/>
    <w:rsid w:val="00927F93"/>
    <w:rsid w:val="009308C9"/>
    <w:rsid w:val="00931530"/>
    <w:rsid w:val="00932494"/>
    <w:rsid w:val="009324E4"/>
    <w:rsid w:val="00932519"/>
    <w:rsid w:val="0093415F"/>
    <w:rsid w:val="00934D52"/>
    <w:rsid w:val="0093548A"/>
    <w:rsid w:val="0093634E"/>
    <w:rsid w:val="009363A2"/>
    <w:rsid w:val="0093655F"/>
    <w:rsid w:val="009365C8"/>
    <w:rsid w:val="00936726"/>
    <w:rsid w:val="00936737"/>
    <w:rsid w:val="00936789"/>
    <w:rsid w:val="00936916"/>
    <w:rsid w:val="0093706A"/>
    <w:rsid w:val="009378EC"/>
    <w:rsid w:val="009379E6"/>
    <w:rsid w:val="00937DE7"/>
    <w:rsid w:val="0094026A"/>
    <w:rsid w:val="0094067C"/>
    <w:rsid w:val="009409E6"/>
    <w:rsid w:val="00940BA3"/>
    <w:rsid w:val="00940BCC"/>
    <w:rsid w:val="00941103"/>
    <w:rsid w:val="009412AB"/>
    <w:rsid w:val="00941A45"/>
    <w:rsid w:val="0094283C"/>
    <w:rsid w:val="009428E8"/>
    <w:rsid w:val="00944A10"/>
    <w:rsid w:val="00944F17"/>
    <w:rsid w:val="009459D6"/>
    <w:rsid w:val="00945B81"/>
    <w:rsid w:val="00945D67"/>
    <w:rsid w:val="00946840"/>
    <w:rsid w:val="009469B6"/>
    <w:rsid w:val="00946AF6"/>
    <w:rsid w:val="00946B97"/>
    <w:rsid w:val="009472A2"/>
    <w:rsid w:val="0094748A"/>
    <w:rsid w:val="00947A64"/>
    <w:rsid w:val="00947C43"/>
    <w:rsid w:val="0095084A"/>
    <w:rsid w:val="00950D3B"/>
    <w:rsid w:val="00951060"/>
    <w:rsid w:val="009513AC"/>
    <w:rsid w:val="00951579"/>
    <w:rsid w:val="00951FD9"/>
    <w:rsid w:val="00953273"/>
    <w:rsid w:val="00953417"/>
    <w:rsid w:val="00953758"/>
    <w:rsid w:val="0095491F"/>
    <w:rsid w:val="00955469"/>
    <w:rsid w:val="009556F7"/>
    <w:rsid w:val="00955AED"/>
    <w:rsid w:val="0095673A"/>
    <w:rsid w:val="0095695C"/>
    <w:rsid w:val="0096057B"/>
    <w:rsid w:val="00960B12"/>
    <w:rsid w:val="0096161F"/>
    <w:rsid w:val="009616C5"/>
    <w:rsid w:val="009616EC"/>
    <w:rsid w:val="00963650"/>
    <w:rsid w:val="00963653"/>
    <w:rsid w:val="00963800"/>
    <w:rsid w:val="0096381D"/>
    <w:rsid w:val="009645FE"/>
    <w:rsid w:val="00964A30"/>
    <w:rsid w:val="00964A83"/>
    <w:rsid w:val="009653E8"/>
    <w:rsid w:val="00965460"/>
    <w:rsid w:val="00965823"/>
    <w:rsid w:val="00965B02"/>
    <w:rsid w:val="00965EBF"/>
    <w:rsid w:val="009665CE"/>
    <w:rsid w:val="00966A8A"/>
    <w:rsid w:val="009673F2"/>
    <w:rsid w:val="0096752F"/>
    <w:rsid w:val="00967664"/>
    <w:rsid w:val="0096775D"/>
    <w:rsid w:val="00967A43"/>
    <w:rsid w:val="00967DB7"/>
    <w:rsid w:val="00970263"/>
    <w:rsid w:val="009704B4"/>
    <w:rsid w:val="00970D2E"/>
    <w:rsid w:val="00970FB2"/>
    <w:rsid w:val="00971BF0"/>
    <w:rsid w:val="00972D14"/>
    <w:rsid w:val="009730AE"/>
    <w:rsid w:val="009734C9"/>
    <w:rsid w:val="00973A40"/>
    <w:rsid w:val="009741CD"/>
    <w:rsid w:val="00974913"/>
    <w:rsid w:val="00974B05"/>
    <w:rsid w:val="00975ABE"/>
    <w:rsid w:val="00975AE6"/>
    <w:rsid w:val="00976455"/>
    <w:rsid w:val="0097698F"/>
    <w:rsid w:val="00977209"/>
    <w:rsid w:val="0097723B"/>
    <w:rsid w:val="00977358"/>
    <w:rsid w:val="0098040C"/>
    <w:rsid w:val="00981368"/>
    <w:rsid w:val="00981EED"/>
    <w:rsid w:val="00982103"/>
    <w:rsid w:val="00984A30"/>
    <w:rsid w:val="00984C01"/>
    <w:rsid w:val="00984E76"/>
    <w:rsid w:val="0098538B"/>
    <w:rsid w:val="00985674"/>
    <w:rsid w:val="00985DCA"/>
    <w:rsid w:val="009863CA"/>
    <w:rsid w:val="00987215"/>
    <w:rsid w:val="009878EC"/>
    <w:rsid w:val="00990328"/>
    <w:rsid w:val="00991146"/>
    <w:rsid w:val="0099167B"/>
    <w:rsid w:val="00991A05"/>
    <w:rsid w:val="0099291C"/>
    <w:rsid w:val="00992A5D"/>
    <w:rsid w:val="00993060"/>
    <w:rsid w:val="0099472E"/>
    <w:rsid w:val="009948B3"/>
    <w:rsid w:val="00996B61"/>
    <w:rsid w:val="009974BC"/>
    <w:rsid w:val="009974E8"/>
    <w:rsid w:val="0099783B"/>
    <w:rsid w:val="00997B45"/>
    <w:rsid w:val="009A050B"/>
    <w:rsid w:val="009A09CD"/>
    <w:rsid w:val="009A0B5B"/>
    <w:rsid w:val="009A10E9"/>
    <w:rsid w:val="009A1B1E"/>
    <w:rsid w:val="009A2B37"/>
    <w:rsid w:val="009A316E"/>
    <w:rsid w:val="009A3770"/>
    <w:rsid w:val="009A3A65"/>
    <w:rsid w:val="009A508A"/>
    <w:rsid w:val="009A5755"/>
    <w:rsid w:val="009A6401"/>
    <w:rsid w:val="009A668B"/>
    <w:rsid w:val="009A701C"/>
    <w:rsid w:val="009A7087"/>
    <w:rsid w:val="009A7DCF"/>
    <w:rsid w:val="009B0BA6"/>
    <w:rsid w:val="009B0DA2"/>
    <w:rsid w:val="009B0DBF"/>
    <w:rsid w:val="009B1FA1"/>
    <w:rsid w:val="009B2624"/>
    <w:rsid w:val="009B2A54"/>
    <w:rsid w:val="009B2B5F"/>
    <w:rsid w:val="009B2E92"/>
    <w:rsid w:val="009B3F96"/>
    <w:rsid w:val="009B40A4"/>
    <w:rsid w:val="009B4B91"/>
    <w:rsid w:val="009B4D0E"/>
    <w:rsid w:val="009B4DE5"/>
    <w:rsid w:val="009B5721"/>
    <w:rsid w:val="009B5E2C"/>
    <w:rsid w:val="009B632C"/>
    <w:rsid w:val="009B6642"/>
    <w:rsid w:val="009B7078"/>
    <w:rsid w:val="009C0BF7"/>
    <w:rsid w:val="009C140F"/>
    <w:rsid w:val="009C1ED8"/>
    <w:rsid w:val="009C1FCA"/>
    <w:rsid w:val="009C3AE3"/>
    <w:rsid w:val="009C3D0F"/>
    <w:rsid w:val="009C3DF8"/>
    <w:rsid w:val="009C3EF2"/>
    <w:rsid w:val="009C4EA8"/>
    <w:rsid w:val="009C5956"/>
    <w:rsid w:val="009C632C"/>
    <w:rsid w:val="009C77F7"/>
    <w:rsid w:val="009C7DC3"/>
    <w:rsid w:val="009D1AFF"/>
    <w:rsid w:val="009D1B37"/>
    <w:rsid w:val="009D2458"/>
    <w:rsid w:val="009D247F"/>
    <w:rsid w:val="009D2F89"/>
    <w:rsid w:val="009D3061"/>
    <w:rsid w:val="009D3911"/>
    <w:rsid w:val="009D3F9D"/>
    <w:rsid w:val="009D49CF"/>
    <w:rsid w:val="009D4ACC"/>
    <w:rsid w:val="009D57FA"/>
    <w:rsid w:val="009D58AD"/>
    <w:rsid w:val="009D59A1"/>
    <w:rsid w:val="009D665B"/>
    <w:rsid w:val="009D7240"/>
    <w:rsid w:val="009D76BF"/>
    <w:rsid w:val="009D7C5B"/>
    <w:rsid w:val="009D7CFC"/>
    <w:rsid w:val="009E01C6"/>
    <w:rsid w:val="009E1602"/>
    <w:rsid w:val="009E1D2F"/>
    <w:rsid w:val="009E1D5C"/>
    <w:rsid w:val="009E2162"/>
    <w:rsid w:val="009E229A"/>
    <w:rsid w:val="009E2687"/>
    <w:rsid w:val="009E33BB"/>
    <w:rsid w:val="009E5846"/>
    <w:rsid w:val="009E665B"/>
    <w:rsid w:val="009E68FD"/>
    <w:rsid w:val="009E7D2D"/>
    <w:rsid w:val="009E7D66"/>
    <w:rsid w:val="009F09AD"/>
    <w:rsid w:val="009F0A4F"/>
    <w:rsid w:val="009F0F14"/>
    <w:rsid w:val="009F1826"/>
    <w:rsid w:val="009F1C6B"/>
    <w:rsid w:val="009F2CDA"/>
    <w:rsid w:val="009F31BB"/>
    <w:rsid w:val="009F3273"/>
    <w:rsid w:val="009F3302"/>
    <w:rsid w:val="009F3B81"/>
    <w:rsid w:val="009F3D64"/>
    <w:rsid w:val="009F3F0C"/>
    <w:rsid w:val="009F4BD9"/>
    <w:rsid w:val="009F50CF"/>
    <w:rsid w:val="009F5180"/>
    <w:rsid w:val="009F54A4"/>
    <w:rsid w:val="009F5E74"/>
    <w:rsid w:val="009F6628"/>
    <w:rsid w:val="009F685A"/>
    <w:rsid w:val="009F6BA6"/>
    <w:rsid w:val="009F6DDF"/>
    <w:rsid w:val="009F7106"/>
    <w:rsid w:val="009F7EE6"/>
    <w:rsid w:val="00A001E7"/>
    <w:rsid w:val="00A00A5F"/>
    <w:rsid w:val="00A00BE8"/>
    <w:rsid w:val="00A00C20"/>
    <w:rsid w:val="00A00D08"/>
    <w:rsid w:val="00A010F4"/>
    <w:rsid w:val="00A0114C"/>
    <w:rsid w:val="00A01A88"/>
    <w:rsid w:val="00A02128"/>
    <w:rsid w:val="00A02221"/>
    <w:rsid w:val="00A0493D"/>
    <w:rsid w:val="00A04AF9"/>
    <w:rsid w:val="00A04E1A"/>
    <w:rsid w:val="00A05329"/>
    <w:rsid w:val="00A06D74"/>
    <w:rsid w:val="00A1017E"/>
    <w:rsid w:val="00A1055F"/>
    <w:rsid w:val="00A10601"/>
    <w:rsid w:val="00A12663"/>
    <w:rsid w:val="00A12B2D"/>
    <w:rsid w:val="00A132A8"/>
    <w:rsid w:val="00A132DA"/>
    <w:rsid w:val="00A13C37"/>
    <w:rsid w:val="00A13C87"/>
    <w:rsid w:val="00A13ED1"/>
    <w:rsid w:val="00A1431A"/>
    <w:rsid w:val="00A1453D"/>
    <w:rsid w:val="00A145CD"/>
    <w:rsid w:val="00A15224"/>
    <w:rsid w:val="00A160A3"/>
    <w:rsid w:val="00A160C4"/>
    <w:rsid w:val="00A1678B"/>
    <w:rsid w:val="00A178CE"/>
    <w:rsid w:val="00A17927"/>
    <w:rsid w:val="00A17DD8"/>
    <w:rsid w:val="00A20543"/>
    <w:rsid w:val="00A2070E"/>
    <w:rsid w:val="00A20C79"/>
    <w:rsid w:val="00A2135E"/>
    <w:rsid w:val="00A2211B"/>
    <w:rsid w:val="00A23F01"/>
    <w:rsid w:val="00A24157"/>
    <w:rsid w:val="00A24675"/>
    <w:rsid w:val="00A24E66"/>
    <w:rsid w:val="00A250F4"/>
    <w:rsid w:val="00A25F59"/>
    <w:rsid w:val="00A26708"/>
    <w:rsid w:val="00A2753F"/>
    <w:rsid w:val="00A27618"/>
    <w:rsid w:val="00A27D46"/>
    <w:rsid w:val="00A30867"/>
    <w:rsid w:val="00A30AED"/>
    <w:rsid w:val="00A31BB3"/>
    <w:rsid w:val="00A32659"/>
    <w:rsid w:val="00A32D5E"/>
    <w:rsid w:val="00A336E4"/>
    <w:rsid w:val="00A33EC0"/>
    <w:rsid w:val="00A34504"/>
    <w:rsid w:val="00A34559"/>
    <w:rsid w:val="00A350ED"/>
    <w:rsid w:val="00A358A4"/>
    <w:rsid w:val="00A358DE"/>
    <w:rsid w:val="00A35B95"/>
    <w:rsid w:val="00A35D49"/>
    <w:rsid w:val="00A361CB"/>
    <w:rsid w:val="00A36C97"/>
    <w:rsid w:val="00A36F66"/>
    <w:rsid w:val="00A37744"/>
    <w:rsid w:val="00A40FC1"/>
    <w:rsid w:val="00A416BF"/>
    <w:rsid w:val="00A41A20"/>
    <w:rsid w:val="00A41AAD"/>
    <w:rsid w:val="00A41EED"/>
    <w:rsid w:val="00A42116"/>
    <w:rsid w:val="00A426DF"/>
    <w:rsid w:val="00A42D5C"/>
    <w:rsid w:val="00A42E82"/>
    <w:rsid w:val="00A433BC"/>
    <w:rsid w:val="00A43759"/>
    <w:rsid w:val="00A43E4B"/>
    <w:rsid w:val="00A44AE7"/>
    <w:rsid w:val="00A44C31"/>
    <w:rsid w:val="00A44CC8"/>
    <w:rsid w:val="00A45610"/>
    <w:rsid w:val="00A456D0"/>
    <w:rsid w:val="00A46A1E"/>
    <w:rsid w:val="00A50D77"/>
    <w:rsid w:val="00A50FBA"/>
    <w:rsid w:val="00A515CF"/>
    <w:rsid w:val="00A51C06"/>
    <w:rsid w:val="00A51E84"/>
    <w:rsid w:val="00A533AA"/>
    <w:rsid w:val="00A53CFF"/>
    <w:rsid w:val="00A53DBE"/>
    <w:rsid w:val="00A53F5D"/>
    <w:rsid w:val="00A5416E"/>
    <w:rsid w:val="00A54386"/>
    <w:rsid w:val="00A54E13"/>
    <w:rsid w:val="00A5524B"/>
    <w:rsid w:val="00A55378"/>
    <w:rsid w:val="00A554A5"/>
    <w:rsid w:val="00A55D47"/>
    <w:rsid w:val="00A56B7A"/>
    <w:rsid w:val="00A5729F"/>
    <w:rsid w:val="00A57565"/>
    <w:rsid w:val="00A576D4"/>
    <w:rsid w:val="00A60435"/>
    <w:rsid w:val="00A609E8"/>
    <w:rsid w:val="00A60B49"/>
    <w:rsid w:val="00A60C9D"/>
    <w:rsid w:val="00A623A1"/>
    <w:rsid w:val="00A629C8"/>
    <w:rsid w:val="00A630A7"/>
    <w:rsid w:val="00A63613"/>
    <w:rsid w:val="00A63A5A"/>
    <w:rsid w:val="00A6400B"/>
    <w:rsid w:val="00A64284"/>
    <w:rsid w:val="00A64A1F"/>
    <w:rsid w:val="00A64B9D"/>
    <w:rsid w:val="00A64CE7"/>
    <w:rsid w:val="00A657E7"/>
    <w:rsid w:val="00A666A9"/>
    <w:rsid w:val="00A66826"/>
    <w:rsid w:val="00A66843"/>
    <w:rsid w:val="00A678D4"/>
    <w:rsid w:val="00A678EB"/>
    <w:rsid w:val="00A70068"/>
    <w:rsid w:val="00A70CE4"/>
    <w:rsid w:val="00A70D2D"/>
    <w:rsid w:val="00A72AA5"/>
    <w:rsid w:val="00A7565E"/>
    <w:rsid w:val="00A7608E"/>
    <w:rsid w:val="00A76111"/>
    <w:rsid w:val="00A7646D"/>
    <w:rsid w:val="00A76623"/>
    <w:rsid w:val="00A766BB"/>
    <w:rsid w:val="00A76AE8"/>
    <w:rsid w:val="00A76F88"/>
    <w:rsid w:val="00A7708A"/>
    <w:rsid w:val="00A779BC"/>
    <w:rsid w:val="00A77D9D"/>
    <w:rsid w:val="00A80F93"/>
    <w:rsid w:val="00A810F5"/>
    <w:rsid w:val="00A81AB0"/>
    <w:rsid w:val="00A82834"/>
    <w:rsid w:val="00A8294C"/>
    <w:rsid w:val="00A82FF7"/>
    <w:rsid w:val="00A8376D"/>
    <w:rsid w:val="00A85186"/>
    <w:rsid w:val="00A85B9D"/>
    <w:rsid w:val="00A8662C"/>
    <w:rsid w:val="00A87024"/>
    <w:rsid w:val="00A87F09"/>
    <w:rsid w:val="00A87F57"/>
    <w:rsid w:val="00A90C8B"/>
    <w:rsid w:val="00A9100E"/>
    <w:rsid w:val="00A910C0"/>
    <w:rsid w:val="00A91260"/>
    <w:rsid w:val="00A9179F"/>
    <w:rsid w:val="00A92F42"/>
    <w:rsid w:val="00A93044"/>
    <w:rsid w:val="00A9306C"/>
    <w:rsid w:val="00A939E8"/>
    <w:rsid w:val="00A93D39"/>
    <w:rsid w:val="00A93DEA"/>
    <w:rsid w:val="00A94399"/>
    <w:rsid w:val="00A95822"/>
    <w:rsid w:val="00A95A11"/>
    <w:rsid w:val="00A96890"/>
    <w:rsid w:val="00A96FEF"/>
    <w:rsid w:val="00AA0A03"/>
    <w:rsid w:val="00AA0BBC"/>
    <w:rsid w:val="00AA1346"/>
    <w:rsid w:val="00AA2478"/>
    <w:rsid w:val="00AA2AC4"/>
    <w:rsid w:val="00AA324F"/>
    <w:rsid w:val="00AA3E7C"/>
    <w:rsid w:val="00AA5090"/>
    <w:rsid w:val="00AA58AC"/>
    <w:rsid w:val="00AA59E6"/>
    <w:rsid w:val="00AA5B72"/>
    <w:rsid w:val="00AA5E12"/>
    <w:rsid w:val="00AA6738"/>
    <w:rsid w:val="00AA6FD2"/>
    <w:rsid w:val="00AA7B62"/>
    <w:rsid w:val="00AA7E16"/>
    <w:rsid w:val="00AB07A1"/>
    <w:rsid w:val="00AB0ECF"/>
    <w:rsid w:val="00AB11B2"/>
    <w:rsid w:val="00AB14CD"/>
    <w:rsid w:val="00AB1678"/>
    <w:rsid w:val="00AB1A14"/>
    <w:rsid w:val="00AB1BCC"/>
    <w:rsid w:val="00AB1D84"/>
    <w:rsid w:val="00AB1F22"/>
    <w:rsid w:val="00AB2A62"/>
    <w:rsid w:val="00AB2C07"/>
    <w:rsid w:val="00AB3E3E"/>
    <w:rsid w:val="00AB4A22"/>
    <w:rsid w:val="00AB5F01"/>
    <w:rsid w:val="00AB617D"/>
    <w:rsid w:val="00AB62CC"/>
    <w:rsid w:val="00AB62D4"/>
    <w:rsid w:val="00AB65FC"/>
    <w:rsid w:val="00AB6A2D"/>
    <w:rsid w:val="00AB7402"/>
    <w:rsid w:val="00AC03F1"/>
    <w:rsid w:val="00AC052A"/>
    <w:rsid w:val="00AC064E"/>
    <w:rsid w:val="00AC0B7C"/>
    <w:rsid w:val="00AC0F8B"/>
    <w:rsid w:val="00AC1615"/>
    <w:rsid w:val="00AC191A"/>
    <w:rsid w:val="00AC1A9B"/>
    <w:rsid w:val="00AC2B85"/>
    <w:rsid w:val="00AC328A"/>
    <w:rsid w:val="00AC336C"/>
    <w:rsid w:val="00AC38A5"/>
    <w:rsid w:val="00AC38B6"/>
    <w:rsid w:val="00AC38EA"/>
    <w:rsid w:val="00AC4761"/>
    <w:rsid w:val="00AC4812"/>
    <w:rsid w:val="00AC5300"/>
    <w:rsid w:val="00AC5B6C"/>
    <w:rsid w:val="00AC5C8A"/>
    <w:rsid w:val="00AC6523"/>
    <w:rsid w:val="00AC6528"/>
    <w:rsid w:val="00AC664B"/>
    <w:rsid w:val="00AC6BF6"/>
    <w:rsid w:val="00AC70B6"/>
    <w:rsid w:val="00AC729F"/>
    <w:rsid w:val="00AC738C"/>
    <w:rsid w:val="00AC765F"/>
    <w:rsid w:val="00AC7E76"/>
    <w:rsid w:val="00AC7F9B"/>
    <w:rsid w:val="00AD08ED"/>
    <w:rsid w:val="00AD1FB3"/>
    <w:rsid w:val="00AD2141"/>
    <w:rsid w:val="00AD2626"/>
    <w:rsid w:val="00AD2AB0"/>
    <w:rsid w:val="00AD2B99"/>
    <w:rsid w:val="00AD2C68"/>
    <w:rsid w:val="00AD3296"/>
    <w:rsid w:val="00AD3567"/>
    <w:rsid w:val="00AD3EC4"/>
    <w:rsid w:val="00AD44F7"/>
    <w:rsid w:val="00AD5B42"/>
    <w:rsid w:val="00AD5DAF"/>
    <w:rsid w:val="00AD5EE2"/>
    <w:rsid w:val="00AD5F3A"/>
    <w:rsid w:val="00AD5FCD"/>
    <w:rsid w:val="00AD69DA"/>
    <w:rsid w:val="00AD7E5D"/>
    <w:rsid w:val="00AD7F3D"/>
    <w:rsid w:val="00AE0F1F"/>
    <w:rsid w:val="00AE10C1"/>
    <w:rsid w:val="00AE115C"/>
    <w:rsid w:val="00AE1332"/>
    <w:rsid w:val="00AE133F"/>
    <w:rsid w:val="00AE2509"/>
    <w:rsid w:val="00AE2C30"/>
    <w:rsid w:val="00AE303A"/>
    <w:rsid w:val="00AE3197"/>
    <w:rsid w:val="00AE31B0"/>
    <w:rsid w:val="00AE3A09"/>
    <w:rsid w:val="00AE46F1"/>
    <w:rsid w:val="00AE4D70"/>
    <w:rsid w:val="00AE5CFC"/>
    <w:rsid w:val="00AE63F1"/>
    <w:rsid w:val="00AE65C7"/>
    <w:rsid w:val="00AE720C"/>
    <w:rsid w:val="00AF0A6D"/>
    <w:rsid w:val="00AF0F4F"/>
    <w:rsid w:val="00AF12ED"/>
    <w:rsid w:val="00AF17C4"/>
    <w:rsid w:val="00AF3024"/>
    <w:rsid w:val="00AF3122"/>
    <w:rsid w:val="00AF3A2A"/>
    <w:rsid w:val="00AF3CA2"/>
    <w:rsid w:val="00AF46B4"/>
    <w:rsid w:val="00AF481D"/>
    <w:rsid w:val="00AF54ED"/>
    <w:rsid w:val="00AF5536"/>
    <w:rsid w:val="00AF57F1"/>
    <w:rsid w:val="00AF6693"/>
    <w:rsid w:val="00AF6FD1"/>
    <w:rsid w:val="00AF7469"/>
    <w:rsid w:val="00AF746B"/>
    <w:rsid w:val="00AF7593"/>
    <w:rsid w:val="00AF7DCC"/>
    <w:rsid w:val="00B0011A"/>
    <w:rsid w:val="00B006D7"/>
    <w:rsid w:val="00B00AA1"/>
    <w:rsid w:val="00B0213E"/>
    <w:rsid w:val="00B026D8"/>
    <w:rsid w:val="00B02C60"/>
    <w:rsid w:val="00B0307A"/>
    <w:rsid w:val="00B04107"/>
    <w:rsid w:val="00B043A9"/>
    <w:rsid w:val="00B04A73"/>
    <w:rsid w:val="00B04F2E"/>
    <w:rsid w:val="00B05003"/>
    <w:rsid w:val="00B05ABC"/>
    <w:rsid w:val="00B05FA9"/>
    <w:rsid w:val="00B0617D"/>
    <w:rsid w:val="00B0664F"/>
    <w:rsid w:val="00B074E1"/>
    <w:rsid w:val="00B075C1"/>
    <w:rsid w:val="00B101A0"/>
    <w:rsid w:val="00B10BD8"/>
    <w:rsid w:val="00B11A7B"/>
    <w:rsid w:val="00B1289E"/>
    <w:rsid w:val="00B12B11"/>
    <w:rsid w:val="00B12EDB"/>
    <w:rsid w:val="00B12F22"/>
    <w:rsid w:val="00B13615"/>
    <w:rsid w:val="00B13AEB"/>
    <w:rsid w:val="00B14642"/>
    <w:rsid w:val="00B148EA"/>
    <w:rsid w:val="00B14EC9"/>
    <w:rsid w:val="00B14ECF"/>
    <w:rsid w:val="00B162D4"/>
    <w:rsid w:val="00B162E2"/>
    <w:rsid w:val="00B1684D"/>
    <w:rsid w:val="00B172BE"/>
    <w:rsid w:val="00B17956"/>
    <w:rsid w:val="00B17ECF"/>
    <w:rsid w:val="00B2001A"/>
    <w:rsid w:val="00B20294"/>
    <w:rsid w:val="00B203F1"/>
    <w:rsid w:val="00B2052D"/>
    <w:rsid w:val="00B20CA0"/>
    <w:rsid w:val="00B21787"/>
    <w:rsid w:val="00B21BD7"/>
    <w:rsid w:val="00B22807"/>
    <w:rsid w:val="00B22F48"/>
    <w:rsid w:val="00B23531"/>
    <w:rsid w:val="00B2365B"/>
    <w:rsid w:val="00B24579"/>
    <w:rsid w:val="00B251CC"/>
    <w:rsid w:val="00B251FD"/>
    <w:rsid w:val="00B25783"/>
    <w:rsid w:val="00B266D6"/>
    <w:rsid w:val="00B26E6E"/>
    <w:rsid w:val="00B276B0"/>
    <w:rsid w:val="00B2777E"/>
    <w:rsid w:val="00B31572"/>
    <w:rsid w:val="00B31E29"/>
    <w:rsid w:val="00B324C5"/>
    <w:rsid w:val="00B32570"/>
    <w:rsid w:val="00B32AB1"/>
    <w:rsid w:val="00B32EF8"/>
    <w:rsid w:val="00B3309F"/>
    <w:rsid w:val="00B33478"/>
    <w:rsid w:val="00B338C0"/>
    <w:rsid w:val="00B33BD1"/>
    <w:rsid w:val="00B33CEF"/>
    <w:rsid w:val="00B340F2"/>
    <w:rsid w:val="00B34692"/>
    <w:rsid w:val="00B347FB"/>
    <w:rsid w:val="00B34DF7"/>
    <w:rsid w:val="00B353FD"/>
    <w:rsid w:val="00B354AC"/>
    <w:rsid w:val="00B3675F"/>
    <w:rsid w:val="00B36841"/>
    <w:rsid w:val="00B36F72"/>
    <w:rsid w:val="00B37079"/>
    <w:rsid w:val="00B3729E"/>
    <w:rsid w:val="00B37EB6"/>
    <w:rsid w:val="00B41D1E"/>
    <w:rsid w:val="00B42D7C"/>
    <w:rsid w:val="00B43059"/>
    <w:rsid w:val="00B43914"/>
    <w:rsid w:val="00B43ADD"/>
    <w:rsid w:val="00B461EE"/>
    <w:rsid w:val="00B46F36"/>
    <w:rsid w:val="00B4758B"/>
    <w:rsid w:val="00B50009"/>
    <w:rsid w:val="00B50213"/>
    <w:rsid w:val="00B51B56"/>
    <w:rsid w:val="00B51CE8"/>
    <w:rsid w:val="00B52727"/>
    <w:rsid w:val="00B527B6"/>
    <w:rsid w:val="00B5297A"/>
    <w:rsid w:val="00B52C02"/>
    <w:rsid w:val="00B56084"/>
    <w:rsid w:val="00B5654F"/>
    <w:rsid w:val="00B5698A"/>
    <w:rsid w:val="00B57095"/>
    <w:rsid w:val="00B57873"/>
    <w:rsid w:val="00B57CF1"/>
    <w:rsid w:val="00B57D7D"/>
    <w:rsid w:val="00B6087A"/>
    <w:rsid w:val="00B608F9"/>
    <w:rsid w:val="00B60EBB"/>
    <w:rsid w:val="00B60FA7"/>
    <w:rsid w:val="00B61475"/>
    <w:rsid w:val="00B615BE"/>
    <w:rsid w:val="00B6173A"/>
    <w:rsid w:val="00B61CF2"/>
    <w:rsid w:val="00B62DB5"/>
    <w:rsid w:val="00B62E35"/>
    <w:rsid w:val="00B635CB"/>
    <w:rsid w:val="00B65886"/>
    <w:rsid w:val="00B7083D"/>
    <w:rsid w:val="00B70BF6"/>
    <w:rsid w:val="00B70CA3"/>
    <w:rsid w:val="00B7103A"/>
    <w:rsid w:val="00B71B5A"/>
    <w:rsid w:val="00B720D6"/>
    <w:rsid w:val="00B733E5"/>
    <w:rsid w:val="00B73ADA"/>
    <w:rsid w:val="00B73CAA"/>
    <w:rsid w:val="00B73D5D"/>
    <w:rsid w:val="00B73EE7"/>
    <w:rsid w:val="00B750DC"/>
    <w:rsid w:val="00B752E7"/>
    <w:rsid w:val="00B76D3E"/>
    <w:rsid w:val="00B76FE6"/>
    <w:rsid w:val="00B77233"/>
    <w:rsid w:val="00B77B36"/>
    <w:rsid w:val="00B77EC0"/>
    <w:rsid w:val="00B8031C"/>
    <w:rsid w:val="00B80FE0"/>
    <w:rsid w:val="00B811B7"/>
    <w:rsid w:val="00B81397"/>
    <w:rsid w:val="00B8185D"/>
    <w:rsid w:val="00B8198B"/>
    <w:rsid w:val="00B81A94"/>
    <w:rsid w:val="00B81AB8"/>
    <w:rsid w:val="00B81E5E"/>
    <w:rsid w:val="00B82655"/>
    <w:rsid w:val="00B83507"/>
    <w:rsid w:val="00B83F45"/>
    <w:rsid w:val="00B84AD5"/>
    <w:rsid w:val="00B85859"/>
    <w:rsid w:val="00B85BD7"/>
    <w:rsid w:val="00B8635F"/>
    <w:rsid w:val="00B8666E"/>
    <w:rsid w:val="00B86DE4"/>
    <w:rsid w:val="00B86EC0"/>
    <w:rsid w:val="00B87322"/>
    <w:rsid w:val="00B87881"/>
    <w:rsid w:val="00B87FA1"/>
    <w:rsid w:val="00B90196"/>
    <w:rsid w:val="00B9099B"/>
    <w:rsid w:val="00B91580"/>
    <w:rsid w:val="00B91746"/>
    <w:rsid w:val="00B91781"/>
    <w:rsid w:val="00B91911"/>
    <w:rsid w:val="00B920C7"/>
    <w:rsid w:val="00B92122"/>
    <w:rsid w:val="00B922B2"/>
    <w:rsid w:val="00B9255F"/>
    <w:rsid w:val="00B92CF7"/>
    <w:rsid w:val="00B9302A"/>
    <w:rsid w:val="00B93CC3"/>
    <w:rsid w:val="00B93F6C"/>
    <w:rsid w:val="00B94152"/>
    <w:rsid w:val="00B9428B"/>
    <w:rsid w:val="00B964AB"/>
    <w:rsid w:val="00B96675"/>
    <w:rsid w:val="00B96C90"/>
    <w:rsid w:val="00B97A77"/>
    <w:rsid w:val="00BA080B"/>
    <w:rsid w:val="00BA23B9"/>
    <w:rsid w:val="00BA24FB"/>
    <w:rsid w:val="00BA29D5"/>
    <w:rsid w:val="00BA2F16"/>
    <w:rsid w:val="00BA307A"/>
    <w:rsid w:val="00BA3A1C"/>
    <w:rsid w:val="00BA4E74"/>
    <w:rsid w:val="00BA4E9B"/>
    <w:rsid w:val="00BA567F"/>
    <w:rsid w:val="00BA5765"/>
    <w:rsid w:val="00BA5C97"/>
    <w:rsid w:val="00BA5CD8"/>
    <w:rsid w:val="00BA5ECA"/>
    <w:rsid w:val="00BA6E5C"/>
    <w:rsid w:val="00BA7198"/>
    <w:rsid w:val="00BB0CD8"/>
    <w:rsid w:val="00BB1A52"/>
    <w:rsid w:val="00BB1E46"/>
    <w:rsid w:val="00BB204F"/>
    <w:rsid w:val="00BB2406"/>
    <w:rsid w:val="00BB264F"/>
    <w:rsid w:val="00BB2D73"/>
    <w:rsid w:val="00BB3695"/>
    <w:rsid w:val="00BB37F6"/>
    <w:rsid w:val="00BB41B1"/>
    <w:rsid w:val="00BB4299"/>
    <w:rsid w:val="00BB43F0"/>
    <w:rsid w:val="00BB4F34"/>
    <w:rsid w:val="00BB5002"/>
    <w:rsid w:val="00BB601A"/>
    <w:rsid w:val="00BB79F1"/>
    <w:rsid w:val="00BB7A71"/>
    <w:rsid w:val="00BB7CED"/>
    <w:rsid w:val="00BB7F25"/>
    <w:rsid w:val="00BC01D3"/>
    <w:rsid w:val="00BC14BB"/>
    <w:rsid w:val="00BC15DB"/>
    <w:rsid w:val="00BC2333"/>
    <w:rsid w:val="00BC2C1D"/>
    <w:rsid w:val="00BC348A"/>
    <w:rsid w:val="00BC3FD8"/>
    <w:rsid w:val="00BC49E2"/>
    <w:rsid w:val="00BC4D7F"/>
    <w:rsid w:val="00BC5314"/>
    <w:rsid w:val="00BC53F7"/>
    <w:rsid w:val="00BC5438"/>
    <w:rsid w:val="00BC5682"/>
    <w:rsid w:val="00BC6A1F"/>
    <w:rsid w:val="00BC7EE9"/>
    <w:rsid w:val="00BD0935"/>
    <w:rsid w:val="00BD0B03"/>
    <w:rsid w:val="00BD113E"/>
    <w:rsid w:val="00BD189F"/>
    <w:rsid w:val="00BD2242"/>
    <w:rsid w:val="00BD270C"/>
    <w:rsid w:val="00BD3FEF"/>
    <w:rsid w:val="00BD4002"/>
    <w:rsid w:val="00BD42AC"/>
    <w:rsid w:val="00BD441E"/>
    <w:rsid w:val="00BD4BB9"/>
    <w:rsid w:val="00BD4E24"/>
    <w:rsid w:val="00BD5995"/>
    <w:rsid w:val="00BD662E"/>
    <w:rsid w:val="00BD66F8"/>
    <w:rsid w:val="00BD67C9"/>
    <w:rsid w:val="00BD67E4"/>
    <w:rsid w:val="00BD6F42"/>
    <w:rsid w:val="00BD70AD"/>
    <w:rsid w:val="00BD7669"/>
    <w:rsid w:val="00BD7766"/>
    <w:rsid w:val="00BD7B3F"/>
    <w:rsid w:val="00BE0045"/>
    <w:rsid w:val="00BE0630"/>
    <w:rsid w:val="00BE109E"/>
    <w:rsid w:val="00BE2478"/>
    <w:rsid w:val="00BE3875"/>
    <w:rsid w:val="00BE3F79"/>
    <w:rsid w:val="00BE5D94"/>
    <w:rsid w:val="00BE6253"/>
    <w:rsid w:val="00BE62BE"/>
    <w:rsid w:val="00BE6913"/>
    <w:rsid w:val="00BE760A"/>
    <w:rsid w:val="00BE7717"/>
    <w:rsid w:val="00BF03FB"/>
    <w:rsid w:val="00BF0439"/>
    <w:rsid w:val="00BF150F"/>
    <w:rsid w:val="00BF1A20"/>
    <w:rsid w:val="00BF2617"/>
    <w:rsid w:val="00BF27B4"/>
    <w:rsid w:val="00BF27CA"/>
    <w:rsid w:val="00BF3AD1"/>
    <w:rsid w:val="00BF4AA0"/>
    <w:rsid w:val="00BF4E41"/>
    <w:rsid w:val="00BF5653"/>
    <w:rsid w:val="00BF759D"/>
    <w:rsid w:val="00BF7F5B"/>
    <w:rsid w:val="00C00E95"/>
    <w:rsid w:val="00C010D5"/>
    <w:rsid w:val="00C02618"/>
    <w:rsid w:val="00C04949"/>
    <w:rsid w:val="00C06125"/>
    <w:rsid w:val="00C061D7"/>
    <w:rsid w:val="00C06545"/>
    <w:rsid w:val="00C06769"/>
    <w:rsid w:val="00C06EDF"/>
    <w:rsid w:val="00C078F4"/>
    <w:rsid w:val="00C1036D"/>
    <w:rsid w:val="00C10F0C"/>
    <w:rsid w:val="00C1198F"/>
    <w:rsid w:val="00C121AC"/>
    <w:rsid w:val="00C124DC"/>
    <w:rsid w:val="00C12C56"/>
    <w:rsid w:val="00C12E40"/>
    <w:rsid w:val="00C136B2"/>
    <w:rsid w:val="00C13BF0"/>
    <w:rsid w:val="00C14369"/>
    <w:rsid w:val="00C1544E"/>
    <w:rsid w:val="00C164E0"/>
    <w:rsid w:val="00C16C3B"/>
    <w:rsid w:val="00C16FBF"/>
    <w:rsid w:val="00C1797E"/>
    <w:rsid w:val="00C17DF4"/>
    <w:rsid w:val="00C20528"/>
    <w:rsid w:val="00C207F0"/>
    <w:rsid w:val="00C20D51"/>
    <w:rsid w:val="00C21690"/>
    <w:rsid w:val="00C22965"/>
    <w:rsid w:val="00C22DBF"/>
    <w:rsid w:val="00C23055"/>
    <w:rsid w:val="00C23A7B"/>
    <w:rsid w:val="00C23C7E"/>
    <w:rsid w:val="00C2425A"/>
    <w:rsid w:val="00C242AA"/>
    <w:rsid w:val="00C24D81"/>
    <w:rsid w:val="00C24F69"/>
    <w:rsid w:val="00C25249"/>
    <w:rsid w:val="00C2547A"/>
    <w:rsid w:val="00C255C4"/>
    <w:rsid w:val="00C25833"/>
    <w:rsid w:val="00C26048"/>
    <w:rsid w:val="00C261C3"/>
    <w:rsid w:val="00C2631E"/>
    <w:rsid w:val="00C2635D"/>
    <w:rsid w:val="00C263A6"/>
    <w:rsid w:val="00C2688C"/>
    <w:rsid w:val="00C26960"/>
    <w:rsid w:val="00C26E48"/>
    <w:rsid w:val="00C274D2"/>
    <w:rsid w:val="00C27B68"/>
    <w:rsid w:val="00C306DA"/>
    <w:rsid w:val="00C308AE"/>
    <w:rsid w:val="00C30D32"/>
    <w:rsid w:val="00C316A5"/>
    <w:rsid w:val="00C319B5"/>
    <w:rsid w:val="00C3211C"/>
    <w:rsid w:val="00C32722"/>
    <w:rsid w:val="00C32CB5"/>
    <w:rsid w:val="00C32F94"/>
    <w:rsid w:val="00C343B7"/>
    <w:rsid w:val="00C34411"/>
    <w:rsid w:val="00C344C5"/>
    <w:rsid w:val="00C34934"/>
    <w:rsid w:val="00C34B45"/>
    <w:rsid w:val="00C357D0"/>
    <w:rsid w:val="00C35839"/>
    <w:rsid w:val="00C35B56"/>
    <w:rsid w:val="00C35CF0"/>
    <w:rsid w:val="00C35F58"/>
    <w:rsid w:val="00C366C2"/>
    <w:rsid w:val="00C36854"/>
    <w:rsid w:val="00C36D04"/>
    <w:rsid w:val="00C4033F"/>
    <w:rsid w:val="00C40702"/>
    <w:rsid w:val="00C40B1B"/>
    <w:rsid w:val="00C40D5A"/>
    <w:rsid w:val="00C42317"/>
    <w:rsid w:val="00C42E9E"/>
    <w:rsid w:val="00C42FE5"/>
    <w:rsid w:val="00C4464B"/>
    <w:rsid w:val="00C448E7"/>
    <w:rsid w:val="00C44E6D"/>
    <w:rsid w:val="00C451DC"/>
    <w:rsid w:val="00C4565F"/>
    <w:rsid w:val="00C457E0"/>
    <w:rsid w:val="00C46048"/>
    <w:rsid w:val="00C46059"/>
    <w:rsid w:val="00C461EB"/>
    <w:rsid w:val="00C471DF"/>
    <w:rsid w:val="00C47B0E"/>
    <w:rsid w:val="00C47D52"/>
    <w:rsid w:val="00C47EE6"/>
    <w:rsid w:val="00C50109"/>
    <w:rsid w:val="00C50376"/>
    <w:rsid w:val="00C50579"/>
    <w:rsid w:val="00C51015"/>
    <w:rsid w:val="00C510AD"/>
    <w:rsid w:val="00C5191F"/>
    <w:rsid w:val="00C52019"/>
    <w:rsid w:val="00C527CD"/>
    <w:rsid w:val="00C52964"/>
    <w:rsid w:val="00C52D24"/>
    <w:rsid w:val="00C52FC9"/>
    <w:rsid w:val="00C531BB"/>
    <w:rsid w:val="00C536A5"/>
    <w:rsid w:val="00C5392D"/>
    <w:rsid w:val="00C5470A"/>
    <w:rsid w:val="00C5476E"/>
    <w:rsid w:val="00C54796"/>
    <w:rsid w:val="00C5543E"/>
    <w:rsid w:val="00C55586"/>
    <w:rsid w:val="00C556DA"/>
    <w:rsid w:val="00C557DD"/>
    <w:rsid w:val="00C5609C"/>
    <w:rsid w:val="00C56FFC"/>
    <w:rsid w:val="00C57484"/>
    <w:rsid w:val="00C603AE"/>
    <w:rsid w:val="00C60A0B"/>
    <w:rsid w:val="00C613A4"/>
    <w:rsid w:val="00C618D7"/>
    <w:rsid w:val="00C61D7A"/>
    <w:rsid w:val="00C634A3"/>
    <w:rsid w:val="00C6373D"/>
    <w:rsid w:val="00C63CA5"/>
    <w:rsid w:val="00C640FB"/>
    <w:rsid w:val="00C643EF"/>
    <w:rsid w:val="00C64938"/>
    <w:rsid w:val="00C6496A"/>
    <w:rsid w:val="00C64FAC"/>
    <w:rsid w:val="00C6520E"/>
    <w:rsid w:val="00C6668C"/>
    <w:rsid w:val="00C66A50"/>
    <w:rsid w:val="00C67BBA"/>
    <w:rsid w:val="00C707EA"/>
    <w:rsid w:val="00C7119F"/>
    <w:rsid w:val="00C7178F"/>
    <w:rsid w:val="00C71FC3"/>
    <w:rsid w:val="00C72D25"/>
    <w:rsid w:val="00C72E37"/>
    <w:rsid w:val="00C7362A"/>
    <w:rsid w:val="00C73667"/>
    <w:rsid w:val="00C738FF"/>
    <w:rsid w:val="00C73AE0"/>
    <w:rsid w:val="00C73B33"/>
    <w:rsid w:val="00C742DA"/>
    <w:rsid w:val="00C743E2"/>
    <w:rsid w:val="00C75477"/>
    <w:rsid w:val="00C759EA"/>
    <w:rsid w:val="00C75BFF"/>
    <w:rsid w:val="00C76096"/>
    <w:rsid w:val="00C76097"/>
    <w:rsid w:val="00C76241"/>
    <w:rsid w:val="00C76303"/>
    <w:rsid w:val="00C76FF1"/>
    <w:rsid w:val="00C771ED"/>
    <w:rsid w:val="00C774FA"/>
    <w:rsid w:val="00C77888"/>
    <w:rsid w:val="00C77C5F"/>
    <w:rsid w:val="00C77DED"/>
    <w:rsid w:val="00C80888"/>
    <w:rsid w:val="00C80F55"/>
    <w:rsid w:val="00C8246E"/>
    <w:rsid w:val="00C824B6"/>
    <w:rsid w:val="00C82ABC"/>
    <w:rsid w:val="00C83D4B"/>
    <w:rsid w:val="00C849D8"/>
    <w:rsid w:val="00C861F6"/>
    <w:rsid w:val="00C8624F"/>
    <w:rsid w:val="00C86F4D"/>
    <w:rsid w:val="00C873D4"/>
    <w:rsid w:val="00C8750B"/>
    <w:rsid w:val="00C9153B"/>
    <w:rsid w:val="00C92118"/>
    <w:rsid w:val="00C929C5"/>
    <w:rsid w:val="00C92C97"/>
    <w:rsid w:val="00C93044"/>
    <w:rsid w:val="00C93049"/>
    <w:rsid w:val="00C93478"/>
    <w:rsid w:val="00C93911"/>
    <w:rsid w:val="00C93C8F"/>
    <w:rsid w:val="00C94008"/>
    <w:rsid w:val="00C949F5"/>
    <w:rsid w:val="00C94BF8"/>
    <w:rsid w:val="00C94CD3"/>
    <w:rsid w:val="00C95173"/>
    <w:rsid w:val="00C95663"/>
    <w:rsid w:val="00C9588D"/>
    <w:rsid w:val="00C979D4"/>
    <w:rsid w:val="00CA0977"/>
    <w:rsid w:val="00CA0B91"/>
    <w:rsid w:val="00CA0FC1"/>
    <w:rsid w:val="00CA234C"/>
    <w:rsid w:val="00CA2398"/>
    <w:rsid w:val="00CA24A1"/>
    <w:rsid w:val="00CA260A"/>
    <w:rsid w:val="00CA28DA"/>
    <w:rsid w:val="00CA2A1D"/>
    <w:rsid w:val="00CA2D41"/>
    <w:rsid w:val="00CA35BA"/>
    <w:rsid w:val="00CA3859"/>
    <w:rsid w:val="00CA3D39"/>
    <w:rsid w:val="00CA5536"/>
    <w:rsid w:val="00CA5732"/>
    <w:rsid w:val="00CA5CA1"/>
    <w:rsid w:val="00CA5EBF"/>
    <w:rsid w:val="00CA6428"/>
    <w:rsid w:val="00CA65FD"/>
    <w:rsid w:val="00CA662A"/>
    <w:rsid w:val="00CA69A6"/>
    <w:rsid w:val="00CA6E62"/>
    <w:rsid w:val="00CA726A"/>
    <w:rsid w:val="00CA7ADC"/>
    <w:rsid w:val="00CB04A8"/>
    <w:rsid w:val="00CB1013"/>
    <w:rsid w:val="00CB18BC"/>
    <w:rsid w:val="00CB1AF9"/>
    <w:rsid w:val="00CB1D50"/>
    <w:rsid w:val="00CB2590"/>
    <w:rsid w:val="00CB3163"/>
    <w:rsid w:val="00CB3BE6"/>
    <w:rsid w:val="00CB42D7"/>
    <w:rsid w:val="00CB46C8"/>
    <w:rsid w:val="00CB5381"/>
    <w:rsid w:val="00CB5FB9"/>
    <w:rsid w:val="00CB67AF"/>
    <w:rsid w:val="00CB6BDA"/>
    <w:rsid w:val="00CB6DD1"/>
    <w:rsid w:val="00CB70F6"/>
    <w:rsid w:val="00CC03BA"/>
    <w:rsid w:val="00CC0963"/>
    <w:rsid w:val="00CC0D3A"/>
    <w:rsid w:val="00CC1D5C"/>
    <w:rsid w:val="00CC21CC"/>
    <w:rsid w:val="00CC2474"/>
    <w:rsid w:val="00CC2786"/>
    <w:rsid w:val="00CC343C"/>
    <w:rsid w:val="00CC3489"/>
    <w:rsid w:val="00CC40F3"/>
    <w:rsid w:val="00CC4FDC"/>
    <w:rsid w:val="00CC5BB0"/>
    <w:rsid w:val="00CC6C19"/>
    <w:rsid w:val="00CC7C3D"/>
    <w:rsid w:val="00CD0843"/>
    <w:rsid w:val="00CD0A30"/>
    <w:rsid w:val="00CD0EC5"/>
    <w:rsid w:val="00CD14CC"/>
    <w:rsid w:val="00CD19E0"/>
    <w:rsid w:val="00CD1C5B"/>
    <w:rsid w:val="00CD1E11"/>
    <w:rsid w:val="00CD2A1C"/>
    <w:rsid w:val="00CD3862"/>
    <w:rsid w:val="00CD443C"/>
    <w:rsid w:val="00CD4B26"/>
    <w:rsid w:val="00CD50D1"/>
    <w:rsid w:val="00CD5139"/>
    <w:rsid w:val="00CD5AFC"/>
    <w:rsid w:val="00CD6201"/>
    <w:rsid w:val="00CD6614"/>
    <w:rsid w:val="00CD6A02"/>
    <w:rsid w:val="00CD7029"/>
    <w:rsid w:val="00CD70D2"/>
    <w:rsid w:val="00CD789F"/>
    <w:rsid w:val="00CD793E"/>
    <w:rsid w:val="00CE10D0"/>
    <w:rsid w:val="00CE1A54"/>
    <w:rsid w:val="00CE1AB4"/>
    <w:rsid w:val="00CE2038"/>
    <w:rsid w:val="00CE2ED9"/>
    <w:rsid w:val="00CE2F06"/>
    <w:rsid w:val="00CE3388"/>
    <w:rsid w:val="00CE3A8C"/>
    <w:rsid w:val="00CE3CCA"/>
    <w:rsid w:val="00CE4099"/>
    <w:rsid w:val="00CE45AB"/>
    <w:rsid w:val="00CE4840"/>
    <w:rsid w:val="00CE50B0"/>
    <w:rsid w:val="00CE5150"/>
    <w:rsid w:val="00CE5BA4"/>
    <w:rsid w:val="00CE6263"/>
    <w:rsid w:val="00CE6C75"/>
    <w:rsid w:val="00CE78EF"/>
    <w:rsid w:val="00CE7B8B"/>
    <w:rsid w:val="00CF0024"/>
    <w:rsid w:val="00CF0231"/>
    <w:rsid w:val="00CF0261"/>
    <w:rsid w:val="00CF0FE6"/>
    <w:rsid w:val="00CF13B2"/>
    <w:rsid w:val="00CF1A55"/>
    <w:rsid w:val="00CF1D39"/>
    <w:rsid w:val="00CF28BD"/>
    <w:rsid w:val="00CF3290"/>
    <w:rsid w:val="00CF342B"/>
    <w:rsid w:val="00CF37E4"/>
    <w:rsid w:val="00CF3C88"/>
    <w:rsid w:val="00CF4990"/>
    <w:rsid w:val="00CF551B"/>
    <w:rsid w:val="00CF5E29"/>
    <w:rsid w:val="00CF685C"/>
    <w:rsid w:val="00CF6A8B"/>
    <w:rsid w:val="00CF7521"/>
    <w:rsid w:val="00CF7678"/>
    <w:rsid w:val="00CF7D2D"/>
    <w:rsid w:val="00D017DC"/>
    <w:rsid w:val="00D01E36"/>
    <w:rsid w:val="00D023AD"/>
    <w:rsid w:val="00D030D3"/>
    <w:rsid w:val="00D03157"/>
    <w:rsid w:val="00D03F3E"/>
    <w:rsid w:val="00D051A9"/>
    <w:rsid w:val="00D05426"/>
    <w:rsid w:val="00D05732"/>
    <w:rsid w:val="00D0689D"/>
    <w:rsid w:val="00D06AF4"/>
    <w:rsid w:val="00D07674"/>
    <w:rsid w:val="00D07F05"/>
    <w:rsid w:val="00D105F0"/>
    <w:rsid w:val="00D10A51"/>
    <w:rsid w:val="00D10CF5"/>
    <w:rsid w:val="00D10F4C"/>
    <w:rsid w:val="00D11123"/>
    <w:rsid w:val="00D1132A"/>
    <w:rsid w:val="00D11441"/>
    <w:rsid w:val="00D1157A"/>
    <w:rsid w:val="00D118F2"/>
    <w:rsid w:val="00D11C94"/>
    <w:rsid w:val="00D12A11"/>
    <w:rsid w:val="00D13796"/>
    <w:rsid w:val="00D13F7B"/>
    <w:rsid w:val="00D141CC"/>
    <w:rsid w:val="00D14D24"/>
    <w:rsid w:val="00D1619D"/>
    <w:rsid w:val="00D16C93"/>
    <w:rsid w:val="00D177EC"/>
    <w:rsid w:val="00D200A5"/>
    <w:rsid w:val="00D2012B"/>
    <w:rsid w:val="00D203DA"/>
    <w:rsid w:val="00D207B2"/>
    <w:rsid w:val="00D208EF"/>
    <w:rsid w:val="00D20C92"/>
    <w:rsid w:val="00D2143D"/>
    <w:rsid w:val="00D21AFF"/>
    <w:rsid w:val="00D2240E"/>
    <w:rsid w:val="00D233B0"/>
    <w:rsid w:val="00D241E8"/>
    <w:rsid w:val="00D247B9"/>
    <w:rsid w:val="00D24D34"/>
    <w:rsid w:val="00D24D39"/>
    <w:rsid w:val="00D25239"/>
    <w:rsid w:val="00D254DA"/>
    <w:rsid w:val="00D2564C"/>
    <w:rsid w:val="00D25760"/>
    <w:rsid w:val="00D26006"/>
    <w:rsid w:val="00D260B9"/>
    <w:rsid w:val="00D26A1D"/>
    <w:rsid w:val="00D26C99"/>
    <w:rsid w:val="00D26CEC"/>
    <w:rsid w:val="00D2711F"/>
    <w:rsid w:val="00D27695"/>
    <w:rsid w:val="00D2792B"/>
    <w:rsid w:val="00D3084F"/>
    <w:rsid w:val="00D30D00"/>
    <w:rsid w:val="00D30F1F"/>
    <w:rsid w:val="00D316EF"/>
    <w:rsid w:val="00D33F8F"/>
    <w:rsid w:val="00D34004"/>
    <w:rsid w:val="00D34D5C"/>
    <w:rsid w:val="00D34D7E"/>
    <w:rsid w:val="00D351D1"/>
    <w:rsid w:val="00D35427"/>
    <w:rsid w:val="00D3634A"/>
    <w:rsid w:val="00D36A8B"/>
    <w:rsid w:val="00D37B90"/>
    <w:rsid w:val="00D400E1"/>
    <w:rsid w:val="00D403C0"/>
    <w:rsid w:val="00D40CA6"/>
    <w:rsid w:val="00D427A2"/>
    <w:rsid w:val="00D43066"/>
    <w:rsid w:val="00D431D4"/>
    <w:rsid w:val="00D43A10"/>
    <w:rsid w:val="00D43ECC"/>
    <w:rsid w:val="00D4452C"/>
    <w:rsid w:val="00D4495F"/>
    <w:rsid w:val="00D44A92"/>
    <w:rsid w:val="00D44E15"/>
    <w:rsid w:val="00D473BC"/>
    <w:rsid w:val="00D47E71"/>
    <w:rsid w:val="00D5083F"/>
    <w:rsid w:val="00D5152B"/>
    <w:rsid w:val="00D51DC6"/>
    <w:rsid w:val="00D5283D"/>
    <w:rsid w:val="00D532C0"/>
    <w:rsid w:val="00D53307"/>
    <w:rsid w:val="00D53709"/>
    <w:rsid w:val="00D55510"/>
    <w:rsid w:val="00D55746"/>
    <w:rsid w:val="00D55D99"/>
    <w:rsid w:val="00D56550"/>
    <w:rsid w:val="00D570EF"/>
    <w:rsid w:val="00D600D2"/>
    <w:rsid w:val="00D60200"/>
    <w:rsid w:val="00D604B3"/>
    <w:rsid w:val="00D6073F"/>
    <w:rsid w:val="00D61273"/>
    <w:rsid w:val="00D61A3D"/>
    <w:rsid w:val="00D61B9B"/>
    <w:rsid w:val="00D61C1D"/>
    <w:rsid w:val="00D629CD"/>
    <w:rsid w:val="00D634EC"/>
    <w:rsid w:val="00D63FAC"/>
    <w:rsid w:val="00D640D6"/>
    <w:rsid w:val="00D644A2"/>
    <w:rsid w:val="00D64526"/>
    <w:rsid w:val="00D6469F"/>
    <w:rsid w:val="00D651E6"/>
    <w:rsid w:val="00D6575D"/>
    <w:rsid w:val="00D65D9A"/>
    <w:rsid w:val="00D65E45"/>
    <w:rsid w:val="00D65ED5"/>
    <w:rsid w:val="00D6666F"/>
    <w:rsid w:val="00D667E8"/>
    <w:rsid w:val="00D67E56"/>
    <w:rsid w:val="00D7088C"/>
    <w:rsid w:val="00D713F5"/>
    <w:rsid w:val="00D71899"/>
    <w:rsid w:val="00D71C30"/>
    <w:rsid w:val="00D72092"/>
    <w:rsid w:val="00D7237E"/>
    <w:rsid w:val="00D7286A"/>
    <w:rsid w:val="00D72AF4"/>
    <w:rsid w:val="00D73881"/>
    <w:rsid w:val="00D751EF"/>
    <w:rsid w:val="00D75215"/>
    <w:rsid w:val="00D75370"/>
    <w:rsid w:val="00D7618F"/>
    <w:rsid w:val="00D762D9"/>
    <w:rsid w:val="00D806E0"/>
    <w:rsid w:val="00D80C55"/>
    <w:rsid w:val="00D80F07"/>
    <w:rsid w:val="00D8131F"/>
    <w:rsid w:val="00D8136E"/>
    <w:rsid w:val="00D817BD"/>
    <w:rsid w:val="00D81ACE"/>
    <w:rsid w:val="00D82146"/>
    <w:rsid w:val="00D823DB"/>
    <w:rsid w:val="00D82605"/>
    <w:rsid w:val="00D828EB"/>
    <w:rsid w:val="00D8370B"/>
    <w:rsid w:val="00D83786"/>
    <w:rsid w:val="00D83DB2"/>
    <w:rsid w:val="00D841C7"/>
    <w:rsid w:val="00D850DA"/>
    <w:rsid w:val="00D85290"/>
    <w:rsid w:val="00D8628D"/>
    <w:rsid w:val="00D86F96"/>
    <w:rsid w:val="00D877F8"/>
    <w:rsid w:val="00D87DE5"/>
    <w:rsid w:val="00D90ACB"/>
    <w:rsid w:val="00D917CB"/>
    <w:rsid w:val="00D917D0"/>
    <w:rsid w:val="00D91D64"/>
    <w:rsid w:val="00D91DBE"/>
    <w:rsid w:val="00D91F90"/>
    <w:rsid w:val="00D925AA"/>
    <w:rsid w:val="00D92A1C"/>
    <w:rsid w:val="00D92A5C"/>
    <w:rsid w:val="00D933B8"/>
    <w:rsid w:val="00D93751"/>
    <w:rsid w:val="00D93A38"/>
    <w:rsid w:val="00D93A45"/>
    <w:rsid w:val="00D93F8C"/>
    <w:rsid w:val="00D93FDE"/>
    <w:rsid w:val="00D94313"/>
    <w:rsid w:val="00D94B95"/>
    <w:rsid w:val="00D94D14"/>
    <w:rsid w:val="00D95245"/>
    <w:rsid w:val="00D95A28"/>
    <w:rsid w:val="00D95D25"/>
    <w:rsid w:val="00D95E54"/>
    <w:rsid w:val="00D9618B"/>
    <w:rsid w:val="00D966B6"/>
    <w:rsid w:val="00D96815"/>
    <w:rsid w:val="00D96BAD"/>
    <w:rsid w:val="00D97324"/>
    <w:rsid w:val="00D97A03"/>
    <w:rsid w:val="00DA0A68"/>
    <w:rsid w:val="00DA1785"/>
    <w:rsid w:val="00DA1989"/>
    <w:rsid w:val="00DA274D"/>
    <w:rsid w:val="00DA30B4"/>
    <w:rsid w:val="00DA350B"/>
    <w:rsid w:val="00DA3910"/>
    <w:rsid w:val="00DA3957"/>
    <w:rsid w:val="00DA3CFF"/>
    <w:rsid w:val="00DA47CD"/>
    <w:rsid w:val="00DA499F"/>
    <w:rsid w:val="00DA4E25"/>
    <w:rsid w:val="00DA51D0"/>
    <w:rsid w:val="00DA521A"/>
    <w:rsid w:val="00DA5F3B"/>
    <w:rsid w:val="00DA64C8"/>
    <w:rsid w:val="00DA68D2"/>
    <w:rsid w:val="00DA7354"/>
    <w:rsid w:val="00DB2303"/>
    <w:rsid w:val="00DB23E8"/>
    <w:rsid w:val="00DB339D"/>
    <w:rsid w:val="00DB36A7"/>
    <w:rsid w:val="00DB3C74"/>
    <w:rsid w:val="00DB4555"/>
    <w:rsid w:val="00DB476C"/>
    <w:rsid w:val="00DB4B30"/>
    <w:rsid w:val="00DB4ED1"/>
    <w:rsid w:val="00DB50BE"/>
    <w:rsid w:val="00DB5767"/>
    <w:rsid w:val="00DB6378"/>
    <w:rsid w:val="00DB6FCD"/>
    <w:rsid w:val="00DB6FEE"/>
    <w:rsid w:val="00DB7964"/>
    <w:rsid w:val="00DB79F5"/>
    <w:rsid w:val="00DC032A"/>
    <w:rsid w:val="00DC0A8D"/>
    <w:rsid w:val="00DC0ED1"/>
    <w:rsid w:val="00DC2BF9"/>
    <w:rsid w:val="00DC3067"/>
    <w:rsid w:val="00DC33B9"/>
    <w:rsid w:val="00DC3889"/>
    <w:rsid w:val="00DC4113"/>
    <w:rsid w:val="00DC4556"/>
    <w:rsid w:val="00DC4563"/>
    <w:rsid w:val="00DC45AE"/>
    <w:rsid w:val="00DC5D5D"/>
    <w:rsid w:val="00DC5F1F"/>
    <w:rsid w:val="00DC7033"/>
    <w:rsid w:val="00DC7374"/>
    <w:rsid w:val="00DD0183"/>
    <w:rsid w:val="00DD0493"/>
    <w:rsid w:val="00DD07C5"/>
    <w:rsid w:val="00DD097A"/>
    <w:rsid w:val="00DD0DB3"/>
    <w:rsid w:val="00DD13DE"/>
    <w:rsid w:val="00DD17F0"/>
    <w:rsid w:val="00DD1AC0"/>
    <w:rsid w:val="00DD200C"/>
    <w:rsid w:val="00DD2AA5"/>
    <w:rsid w:val="00DD3A09"/>
    <w:rsid w:val="00DD3E47"/>
    <w:rsid w:val="00DD459E"/>
    <w:rsid w:val="00DD4921"/>
    <w:rsid w:val="00DD51FD"/>
    <w:rsid w:val="00DD5212"/>
    <w:rsid w:val="00DD5AA2"/>
    <w:rsid w:val="00DD5D98"/>
    <w:rsid w:val="00DD65EB"/>
    <w:rsid w:val="00DD6C0D"/>
    <w:rsid w:val="00DD6D01"/>
    <w:rsid w:val="00DE0828"/>
    <w:rsid w:val="00DE0AA4"/>
    <w:rsid w:val="00DE0DB7"/>
    <w:rsid w:val="00DE0FEA"/>
    <w:rsid w:val="00DE1033"/>
    <w:rsid w:val="00DE1256"/>
    <w:rsid w:val="00DE1B27"/>
    <w:rsid w:val="00DE1B3A"/>
    <w:rsid w:val="00DE1E2E"/>
    <w:rsid w:val="00DE22FA"/>
    <w:rsid w:val="00DE3CC3"/>
    <w:rsid w:val="00DE59D5"/>
    <w:rsid w:val="00DE5B3B"/>
    <w:rsid w:val="00DE5B53"/>
    <w:rsid w:val="00DE646B"/>
    <w:rsid w:val="00DE68B6"/>
    <w:rsid w:val="00DF1B7A"/>
    <w:rsid w:val="00DF1C28"/>
    <w:rsid w:val="00DF21B9"/>
    <w:rsid w:val="00DF26A1"/>
    <w:rsid w:val="00DF28A8"/>
    <w:rsid w:val="00DF2D46"/>
    <w:rsid w:val="00DF2E36"/>
    <w:rsid w:val="00DF3ADE"/>
    <w:rsid w:val="00DF40C0"/>
    <w:rsid w:val="00DF53EF"/>
    <w:rsid w:val="00DF64CF"/>
    <w:rsid w:val="00DF714A"/>
    <w:rsid w:val="00DF7211"/>
    <w:rsid w:val="00DF75E2"/>
    <w:rsid w:val="00DF769A"/>
    <w:rsid w:val="00DF79E9"/>
    <w:rsid w:val="00DF7B76"/>
    <w:rsid w:val="00E003AC"/>
    <w:rsid w:val="00E00659"/>
    <w:rsid w:val="00E01449"/>
    <w:rsid w:val="00E0187E"/>
    <w:rsid w:val="00E01AAC"/>
    <w:rsid w:val="00E02336"/>
    <w:rsid w:val="00E02FC5"/>
    <w:rsid w:val="00E0458C"/>
    <w:rsid w:val="00E046A2"/>
    <w:rsid w:val="00E04B3F"/>
    <w:rsid w:val="00E04CA0"/>
    <w:rsid w:val="00E04CB6"/>
    <w:rsid w:val="00E05261"/>
    <w:rsid w:val="00E05965"/>
    <w:rsid w:val="00E0608D"/>
    <w:rsid w:val="00E06558"/>
    <w:rsid w:val="00E0697C"/>
    <w:rsid w:val="00E06EE5"/>
    <w:rsid w:val="00E06F67"/>
    <w:rsid w:val="00E077FD"/>
    <w:rsid w:val="00E07935"/>
    <w:rsid w:val="00E07BFF"/>
    <w:rsid w:val="00E07DBB"/>
    <w:rsid w:val="00E10494"/>
    <w:rsid w:val="00E110B8"/>
    <w:rsid w:val="00E115D0"/>
    <w:rsid w:val="00E1183D"/>
    <w:rsid w:val="00E11B1F"/>
    <w:rsid w:val="00E1259D"/>
    <w:rsid w:val="00E12AFA"/>
    <w:rsid w:val="00E12BB2"/>
    <w:rsid w:val="00E13024"/>
    <w:rsid w:val="00E138BB"/>
    <w:rsid w:val="00E141A2"/>
    <w:rsid w:val="00E14260"/>
    <w:rsid w:val="00E14662"/>
    <w:rsid w:val="00E149D2"/>
    <w:rsid w:val="00E14BEA"/>
    <w:rsid w:val="00E152CC"/>
    <w:rsid w:val="00E15A36"/>
    <w:rsid w:val="00E15DC9"/>
    <w:rsid w:val="00E16B14"/>
    <w:rsid w:val="00E16D10"/>
    <w:rsid w:val="00E16D4A"/>
    <w:rsid w:val="00E16FA4"/>
    <w:rsid w:val="00E17650"/>
    <w:rsid w:val="00E1789C"/>
    <w:rsid w:val="00E178C0"/>
    <w:rsid w:val="00E179F6"/>
    <w:rsid w:val="00E17DFC"/>
    <w:rsid w:val="00E20BEB"/>
    <w:rsid w:val="00E20D41"/>
    <w:rsid w:val="00E21224"/>
    <w:rsid w:val="00E21F0E"/>
    <w:rsid w:val="00E21F83"/>
    <w:rsid w:val="00E223BA"/>
    <w:rsid w:val="00E22AEC"/>
    <w:rsid w:val="00E22C3E"/>
    <w:rsid w:val="00E22EAF"/>
    <w:rsid w:val="00E23275"/>
    <w:rsid w:val="00E23C1C"/>
    <w:rsid w:val="00E24112"/>
    <w:rsid w:val="00E2446B"/>
    <w:rsid w:val="00E255C3"/>
    <w:rsid w:val="00E265BF"/>
    <w:rsid w:val="00E26705"/>
    <w:rsid w:val="00E2670A"/>
    <w:rsid w:val="00E27263"/>
    <w:rsid w:val="00E27A85"/>
    <w:rsid w:val="00E30334"/>
    <w:rsid w:val="00E30741"/>
    <w:rsid w:val="00E30980"/>
    <w:rsid w:val="00E31689"/>
    <w:rsid w:val="00E31CDC"/>
    <w:rsid w:val="00E31D33"/>
    <w:rsid w:val="00E31F23"/>
    <w:rsid w:val="00E32685"/>
    <w:rsid w:val="00E329D2"/>
    <w:rsid w:val="00E33781"/>
    <w:rsid w:val="00E33DF9"/>
    <w:rsid w:val="00E3406B"/>
    <w:rsid w:val="00E34396"/>
    <w:rsid w:val="00E34A20"/>
    <w:rsid w:val="00E35864"/>
    <w:rsid w:val="00E3593C"/>
    <w:rsid w:val="00E35B6D"/>
    <w:rsid w:val="00E360A9"/>
    <w:rsid w:val="00E36A2D"/>
    <w:rsid w:val="00E36B92"/>
    <w:rsid w:val="00E3721F"/>
    <w:rsid w:val="00E37424"/>
    <w:rsid w:val="00E37721"/>
    <w:rsid w:val="00E40545"/>
    <w:rsid w:val="00E40A12"/>
    <w:rsid w:val="00E40C25"/>
    <w:rsid w:val="00E40C57"/>
    <w:rsid w:val="00E4136A"/>
    <w:rsid w:val="00E41A3E"/>
    <w:rsid w:val="00E42462"/>
    <w:rsid w:val="00E43D21"/>
    <w:rsid w:val="00E44248"/>
    <w:rsid w:val="00E447A5"/>
    <w:rsid w:val="00E44D16"/>
    <w:rsid w:val="00E457E3"/>
    <w:rsid w:val="00E45BB0"/>
    <w:rsid w:val="00E45F7F"/>
    <w:rsid w:val="00E46001"/>
    <w:rsid w:val="00E461D6"/>
    <w:rsid w:val="00E50BEE"/>
    <w:rsid w:val="00E50F2B"/>
    <w:rsid w:val="00E51897"/>
    <w:rsid w:val="00E519D1"/>
    <w:rsid w:val="00E51F9F"/>
    <w:rsid w:val="00E52453"/>
    <w:rsid w:val="00E53E0B"/>
    <w:rsid w:val="00E542EC"/>
    <w:rsid w:val="00E54711"/>
    <w:rsid w:val="00E5488B"/>
    <w:rsid w:val="00E54B91"/>
    <w:rsid w:val="00E54F06"/>
    <w:rsid w:val="00E55075"/>
    <w:rsid w:val="00E552FC"/>
    <w:rsid w:val="00E556B3"/>
    <w:rsid w:val="00E5587B"/>
    <w:rsid w:val="00E578C2"/>
    <w:rsid w:val="00E600FC"/>
    <w:rsid w:val="00E617AE"/>
    <w:rsid w:val="00E6228E"/>
    <w:rsid w:val="00E62578"/>
    <w:rsid w:val="00E62A10"/>
    <w:rsid w:val="00E62DDB"/>
    <w:rsid w:val="00E62E6C"/>
    <w:rsid w:val="00E62F59"/>
    <w:rsid w:val="00E63181"/>
    <w:rsid w:val="00E63719"/>
    <w:rsid w:val="00E63978"/>
    <w:rsid w:val="00E63AD0"/>
    <w:rsid w:val="00E63BC6"/>
    <w:rsid w:val="00E6458C"/>
    <w:rsid w:val="00E646AB"/>
    <w:rsid w:val="00E65AAB"/>
    <w:rsid w:val="00E65C85"/>
    <w:rsid w:val="00E665C8"/>
    <w:rsid w:val="00E6674F"/>
    <w:rsid w:val="00E66990"/>
    <w:rsid w:val="00E66AC0"/>
    <w:rsid w:val="00E66AE1"/>
    <w:rsid w:val="00E66B49"/>
    <w:rsid w:val="00E67282"/>
    <w:rsid w:val="00E672B8"/>
    <w:rsid w:val="00E677B3"/>
    <w:rsid w:val="00E67B3F"/>
    <w:rsid w:val="00E702FC"/>
    <w:rsid w:val="00E704A8"/>
    <w:rsid w:val="00E70626"/>
    <w:rsid w:val="00E71392"/>
    <w:rsid w:val="00E71BA5"/>
    <w:rsid w:val="00E7220F"/>
    <w:rsid w:val="00E7284C"/>
    <w:rsid w:val="00E72E92"/>
    <w:rsid w:val="00E7426E"/>
    <w:rsid w:val="00E74A5C"/>
    <w:rsid w:val="00E74D44"/>
    <w:rsid w:val="00E75319"/>
    <w:rsid w:val="00E75860"/>
    <w:rsid w:val="00E75C01"/>
    <w:rsid w:val="00E760C8"/>
    <w:rsid w:val="00E76103"/>
    <w:rsid w:val="00E76652"/>
    <w:rsid w:val="00E768CE"/>
    <w:rsid w:val="00E76ECB"/>
    <w:rsid w:val="00E76EF8"/>
    <w:rsid w:val="00E77807"/>
    <w:rsid w:val="00E778C4"/>
    <w:rsid w:val="00E801E1"/>
    <w:rsid w:val="00E80718"/>
    <w:rsid w:val="00E80DD2"/>
    <w:rsid w:val="00E81BDB"/>
    <w:rsid w:val="00E82C20"/>
    <w:rsid w:val="00E82CAF"/>
    <w:rsid w:val="00E83202"/>
    <w:rsid w:val="00E833CE"/>
    <w:rsid w:val="00E85381"/>
    <w:rsid w:val="00E8571E"/>
    <w:rsid w:val="00E86425"/>
    <w:rsid w:val="00E867CF"/>
    <w:rsid w:val="00E86F4D"/>
    <w:rsid w:val="00E875B2"/>
    <w:rsid w:val="00E908B0"/>
    <w:rsid w:val="00E90EAF"/>
    <w:rsid w:val="00E90FCC"/>
    <w:rsid w:val="00E91754"/>
    <w:rsid w:val="00E91ADA"/>
    <w:rsid w:val="00E9259A"/>
    <w:rsid w:val="00E932C0"/>
    <w:rsid w:val="00E94324"/>
    <w:rsid w:val="00E94CBC"/>
    <w:rsid w:val="00E94ECE"/>
    <w:rsid w:val="00E94FD5"/>
    <w:rsid w:val="00E95373"/>
    <w:rsid w:val="00E959E6"/>
    <w:rsid w:val="00E960B0"/>
    <w:rsid w:val="00E96E81"/>
    <w:rsid w:val="00E97149"/>
    <w:rsid w:val="00E97CE4"/>
    <w:rsid w:val="00EA015F"/>
    <w:rsid w:val="00EA0FEA"/>
    <w:rsid w:val="00EA19E0"/>
    <w:rsid w:val="00EA1C7B"/>
    <w:rsid w:val="00EA1FE0"/>
    <w:rsid w:val="00EA221B"/>
    <w:rsid w:val="00EA22C1"/>
    <w:rsid w:val="00EA2FD7"/>
    <w:rsid w:val="00EA3A52"/>
    <w:rsid w:val="00EA3BDE"/>
    <w:rsid w:val="00EA4C80"/>
    <w:rsid w:val="00EA5512"/>
    <w:rsid w:val="00EA7872"/>
    <w:rsid w:val="00EA7AF0"/>
    <w:rsid w:val="00EA7BD2"/>
    <w:rsid w:val="00EAB047"/>
    <w:rsid w:val="00EB0055"/>
    <w:rsid w:val="00EB17F2"/>
    <w:rsid w:val="00EB2BD7"/>
    <w:rsid w:val="00EB30D3"/>
    <w:rsid w:val="00EB3706"/>
    <w:rsid w:val="00EB3B02"/>
    <w:rsid w:val="00EB3D59"/>
    <w:rsid w:val="00EB444B"/>
    <w:rsid w:val="00EB480C"/>
    <w:rsid w:val="00EB4A9B"/>
    <w:rsid w:val="00EB6335"/>
    <w:rsid w:val="00EB7492"/>
    <w:rsid w:val="00EC0B23"/>
    <w:rsid w:val="00EC1DA1"/>
    <w:rsid w:val="00EC279B"/>
    <w:rsid w:val="00EC2A36"/>
    <w:rsid w:val="00EC2BE0"/>
    <w:rsid w:val="00EC3065"/>
    <w:rsid w:val="00EC3AC8"/>
    <w:rsid w:val="00EC41C2"/>
    <w:rsid w:val="00EC4695"/>
    <w:rsid w:val="00EC4B53"/>
    <w:rsid w:val="00EC4D1F"/>
    <w:rsid w:val="00EC6993"/>
    <w:rsid w:val="00EC6AE8"/>
    <w:rsid w:val="00EC7134"/>
    <w:rsid w:val="00EC7536"/>
    <w:rsid w:val="00EC775A"/>
    <w:rsid w:val="00EC7E1B"/>
    <w:rsid w:val="00ED0421"/>
    <w:rsid w:val="00ED066C"/>
    <w:rsid w:val="00ED080E"/>
    <w:rsid w:val="00ED0CE0"/>
    <w:rsid w:val="00ED0E3C"/>
    <w:rsid w:val="00ED1C25"/>
    <w:rsid w:val="00ED211E"/>
    <w:rsid w:val="00ED2DAA"/>
    <w:rsid w:val="00ED35A4"/>
    <w:rsid w:val="00ED43EA"/>
    <w:rsid w:val="00ED452E"/>
    <w:rsid w:val="00ED4B49"/>
    <w:rsid w:val="00ED5E4D"/>
    <w:rsid w:val="00ED65C5"/>
    <w:rsid w:val="00ED6608"/>
    <w:rsid w:val="00ED69CA"/>
    <w:rsid w:val="00ED6F70"/>
    <w:rsid w:val="00ED74DF"/>
    <w:rsid w:val="00ED7594"/>
    <w:rsid w:val="00ED7ECA"/>
    <w:rsid w:val="00EE08A4"/>
    <w:rsid w:val="00EE0CD3"/>
    <w:rsid w:val="00EE0EE7"/>
    <w:rsid w:val="00EE10F6"/>
    <w:rsid w:val="00EE120D"/>
    <w:rsid w:val="00EE169C"/>
    <w:rsid w:val="00EE1943"/>
    <w:rsid w:val="00EE222C"/>
    <w:rsid w:val="00EE2C57"/>
    <w:rsid w:val="00EE4792"/>
    <w:rsid w:val="00EE4957"/>
    <w:rsid w:val="00EE4BA8"/>
    <w:rsid w:val="00EE4DCD"/>
    <w:rsid w:val="00EE5E25"/>
    <w:rsid w:val="00EF001E"/>
    <w:rsid w:val="00EF07D1"/>
    <w:rsid w:val="00EF0991"/>
    <w:rsid w:val="00EF1990"/>
    <w:rsid w:val="00EF1ABF"/>
    <w:rsid w:val="00EF1FFC"/>
    <w:rsid w:val="00EF204E"/>
    <w:rsid w:val="00EF206C"/>
    <w:rsid w:val="00EF2400"/>
    <w:rsid w:val="00EF2A49"/>
    <w:rsid w:val="00EF30AB"/>
    <w:rsid w:val="00EF3892"/>
    <w:rsid w:val="00EF461B"/>
    <w:rsid w:val="00EF49F4"/>
    <w:rsid w:val="00EF59BA"/>
    <w:rsid w:val="00EF63E1"/>
    <w:rsid w:val="00EF646C"/>
    <w:rsid w:val="00EF6F43"/>
    <w:rsid w:val="00EF7DEC"/>
    <w:rsid w:val="00EF7F1B"/>
    <w:rsid w:val="00F01D91"/>
    <w:rsid w:val="00F01E47"/>
    <w:rsid w:val="00F02467"/>
    <w:rsid w:val="00F024EF"/>
    <w:rsid w:val="00F0253C"/>
    <w:rsid w:val="00F03534"/>
    <w:rsid w:val="00F04403"/>
    <w:rsid w:val="00F0476C"/>
    <w:rsid w:val="00F0499E"/>
    <w:rsid w:val="00F05181"/>
    <w:rsid w:val="00F058BE"/>
    <w:rsid w:val="00F068AB"/>
    <w:rsid w:val="00F06FE3"/>
    <w:rsid w:val="00F077FF"/>
    <w:rsid w:val="00F07AAB"/>
    <w:rsid w:val="00F07E08"/>
    <w:rsid w:val="00F10702"/>
    <w:rsid w:val="00F110B2"/>
    <w:rsid w:val="00F11ACE"/>
    <w:rsid w:val="00F11B46"/>
    <w:rsid w:val="00F11BB6"/>
    <w:rsid w:val="00F1223B"/>
    <w:rsid w:val="00F125BF"/>
    <w:rsid w:val="00F12CC2"/>
    <w:rsid w:val="00F12EF4"/>
    <w:rsid w:val="00F13140"/>
    <w:rsid w:val="00F13CB7"/>
    <w:rsid w:val="00F14661"/>
    <w:rsid w:val="00F14781"/>
    <w:rsid w:val="00F1524A"/>
    <w:rsid w:val="00F16461"/>
    <w:rsid w:val="00F1698A"/>
    <w:rsid w:val="00F16C7E"/>
    <w:rsid w:val="00F17306"/>
    <w:rsid w:val="00F173F0"/>
    <w:rsid w:val="00F17C83"/>
    <w:rsid w:val="00F17D04"/>
    <w:rsid w:val="00F17D8C"/>
    <w:rsid w:val="00F2046A"/>
    <w:rsid w:val="00F20A1C"/>
    <w:rsid w:val="00F20CFB"/>
    <w:rsid w:val="00F2144A"/>
    <w:rsid w:val="00F21D52"/>
    <w:rsid w:val="00F2257C"/>
    <w:rsid w:val="00F2289F"/>
    <w:rsid w:val="00F22AC4"/>
    <w:rsid w:val="00F22CF0"/>
    <w:rsid w:val="00F22E66"/>
    <w:rsid w:val="00F23385"/>
    <w:rsid w:val="00F23640"/>
    <w:rsid w:val="00F236A8"/>
    <w:rsid w:val="00F2387E"/>
    <w:rsid w:val="00F245D7"/>
    <w:rsid w:val="00F253DA"/>
    <w:rsid w:val="00F27042"/>
    <w:rsid w:val="00F277C3"/>
    <w:rsid w:val="00F27A7C"/>
    <w:rsid w:val="00F27D75"/>
    <w:rsid w:val="00F3051D"/>
    <w:rsid w:val="00F3093C"/>
    <w:rsid w:val="00F3190C"/>
    <w:rsid w:val="00F3305D"/>
    <w:rsid w:val="00F33232"/>
    <w:rsid w:val="00F34388"/>
    <w:rsid w:val="00F34FEE"/>
    <w:rsid w:val="00F372AF"/>
    <w:rsid w:val="00F3740E"/>
    <w:rsid w:val="00F37F07"/>
    <w:rsid w:val="00F40706"/>
    <w:rsid w:val="00F40A06"/>
    <w:rsid w:val="00F40B41"/>
    <w:rsid w:val="00F40F26"/>
    <w:rsid w:val="00F412AD"/>
    <w:rsid w:val="00F41354"/>
    <w:rsid w:val="00F41CC6"/>
    <w:rsid w:val="00F420C9"/>
    <w:rsid w:val="00F42DC0"/>
    <w:rsid w:val="00F44684"/>
    <w:rsid w:val="00F44871"/>
    <w:rsid w:val="00F44AEE"/>
    <w:rsid w:val="00F44EA7"/>
    <w:rsid w:val="00F45D34"/>
    <w:rsid w:val="00F4601B"/>
    <w:rsid w:val="00F463D4"/>
    <w:rsid w:val="00F46507"/>
    <w:rsid w:val="00F46AD0"/>
    <w:rsid w:val="00F47359"/>
    <w:rsid w:val="00F47B1E"/>
    <w:rsid w:val="00F47B3D"/>
    <w:rsid w:val="00F5019F"/>
    <w:rsid w:val="00F50F21"/>
    <w:rsid w:val="00F51A99"/>
    <w:rsid w:val="00F52141"/>
    <w:rsid w:val="00F525C2"/>
    <w:rsid w:val="00F534F1"/>
    <w:rsid w:val="00F53B59"/>
    <w:rsid w:val="00F53B6C"/>
    <w:rsid w:val="00F5420D"/>
    <w:rsid w:val="00F5532D"/>
    <w:rsid w:val="00F55A88"/>
    <w:rsid w:val="00F568F4"/>
    <w:rsid w:val="00F57510"/>
    <w:rsid w:val="00F575B3"/>
    <w:rsid w:val="00F57F0A"/>
    <w:rsid w:val="00F60221"/>
    <w:rsid w:val="00F60704"/>
    <w:rsid w:val="00F60AC7"/>
    <w:rsid w:val="00F60B46"/>
    <w:rsid w:val="00F6190E"/>
    <w:rsid w:val="00F621FA"/>
    <w:rsid w:val="00F62339"/>
    <w:rsid w:val="00F62D40"/>
    <w:rsid w:val="00F6304C"/>
    <w:rsid w:val="00F6341F"/>
    <w:rsid w:val="00F6346E"/>
    <w:rsid w:val="00F63684"/>
    <w:rsid w:val="00F63866"/>
    <w:rsid w:val="00F64465"/>
    <w:rsid w:val="00F6462B"/>
    <w:rsid w:val="00F6610B"/>
    <w:rsid w:val="00F66FE3"/>
    <w:rsid w:val="00F67288"/>
    <w:rsid w:val="00F67923"/>
    <w:rsid w:val="00F67952"/>
    <w:rsid w:val="00F67CCD"/>
    <w:rsid w:val="00F707B1"/>
    <w:rsid w:val="00F70FDF"/>
    <w:rsid w:val="00F713B5"/>
    <w:rsid w:val="00F713BF"/>
    <w:rsid w:val="00F71E9B"/>
    <w:rsid w:val="00F722F9"/>
    <w:rsid w:val="00F72A47"/>
    <w:rsid w:val="00F72A92"/>
    <w:rsid w:val="00F732C1"/>
    <w:rsid w:val="00F7357A"/>
    <w:rsid w:val="00F745C7"/>
    <w:rsid w:val="00F747CB"/>
    <w:rsid w:val="00F75E5A"/>
    <w:rsid w:val="00F762B0"/>
    <w:rsid w:val="00F768B8"/>
    <w:rsid w:val="00F768BA"/>
    <w:rsid w:val="00F76B3D"/>
    <w:rsid w:val="00F76BB5"/>
    <w:rsid w:val="00F77119"/>
    <w:rsid w:val="00F8009E"/>
    <w:rsid w:val="00F8068F"/>
    <w:rsid w:val="00F81216"/>
    <w:rsid w:val="00F812EB"/>
    <w:rsid w:val="00F83BAF"/>
    <w:rsid w:val="00F83C9F"/>
    <w:rsid w:val="00F84DF6"/>
    <w:rsid w:val="00F851F2"/>
    <w:rsid w:val="00F85EE1"/>
    <w:rsid w:val="00F86051"/>
    <w:rsid w:val="00F865BD"/>
    <w:rsid w:val="00F86911"/>
    <w:rsid w:val="00F87162"/>
    <w:rsid w:val="00F87BBA"/>
    <w:rsid w:val="00F87D5D"/>
    <w:rsid w:val="00F902B0"/>
    <w:rsid w:val="00F935BC"/>
    <w:rsid w:val="00F938DF"/>
    <w:rsid w:val="00F94211"/>
    <w:rsid w:val="00F944C9"/>
    <w:rsid w:val="00F949B2"/>
    <w:rsid w:val="00F94C8E"/>
    <w:rsid w:val="00F94CD1"/>
    <w:rsid w:val="00F94D94"/>
    <w:rsid w:val="00F94FDC"/>
    <w:rsid w:val="00F951D9"/>
    <w:rsid w:val="00F967AD"/>
    <w:rsid w:val="00F973C0"/>
    <w:rsid w:val="00F9752C"/>
    <w:rsid w:val="00F9773E"/>
    <w:rsid w:val="00F97812"/>
    <w:rsid w:val="00FA0B00"/>
    <w:rsid w:val="00FA0CDC"/>
    <w:rsid w:val="00FA0F58"/>
    <w:rsid w:val="00FA1280"/>
    <w:rsid w:val="00FA1491"/>
    <w:rsid w:val="00FA1C26"/>
    <w:rsid w:val="00FA26EC"/>
    <w:rsid w:val="00FA376F"/>
    <w:rsid w:val="00FA3B45"/>
    <w:rsid w:val="00FA42B9"/>
    <w:rsid w:val="00FA6190"/>
    <w:rsid w:val="00FA6387"/>
    <w:rsid w:val="00FA6657"/>
    <w:rsid w:val="00FA6EC8"/>
    <w:rsid w:val="00FB0518"/>
    <w:rsid w:val="00FB12B2"/>
    <w:rsid w:val="00FB20C3"/>
    <w:rsid w:val="00FB25F6"/>
    <w:rsid w:val="00FB2BB0"/>
    <w:rsid w:val="00FB307F"/>
    <w:rsid w:val="00FB339B"/>
    <w:rsid w:val="00FB69A9"/>
    <w:rsid w:val="00FC010B"/>
    <w:rsid w:val="00FC024A"/>
    <w:rsid w:val="00FC0425"/>
    <w:rsid w:val="00FC0F16"/>
    <w:rsid w:val="00FC1731"/>
    <w:rsid w:val="00FC19DB"/>
    <w:rsid w:val="00FC23EF"/>
    <w:rsid w:val="00FC26CC"/>
    <w:rsid w:val="00FC39BC"/>
    <w:rsid w:val="00FC3F14"/>
    <w:rsid w:val="00FC3F88"/>
    <w:rsid w:val="00FC4238"/>
    <w:rsid w:val="00FC43C9"/>
    <w:rsid w:val="00FC45C7"/>
    <w:rsid w:val="00FC4DB7"/>
    <w:rsid w:val="00FC5574"/>
    <w:rsid w:val="00FC5FCD"/>
    <w:rsid w:val="00FC6BF7"/>
    <w:rsid w:val="00FC7621"/>
    <w:rsid w:val="00FC76B1"/>
    <w:rsid w:val="00FD00D9"/>
    <w:rsid w:val="00FD044A"/>
    <w:rsid w:val="00FD16A5"/>
    <w:rsid w:val="00FD17C6"/>
    <w:rsid w:val="00FD1D71"/>
    <w:rsid w:val="00FD29BB"/>
    <w:rsid w:val="00FD29D3"/>
    <w:rsid w:val="00FD2A60"/>
    <w:rsid w:val="00FD3529"/>
    <w:rsid w:val="00FD3563"/>
    <w:rsid w:val="00FD3C3B"/>
    <w:rsid w:val="00FD4A0B"/>
    <w:rsid w:val="00FD61E0"/>
    <w:rsid w:val="00FD6992"/>
    <w:rsid w:val="00FD7095"/>
    <w:rsid w:val="00FD7298"/>
    <w:rsid w:val="00FD7488"/>
    <w:rsid w:val="00FD7518"/>
    <w:rsid w:val="00FD751F"/>
    <w:rsid w:val="00FD7DE3"/>
    <w:rsid w:val="00FE00D0"/>
    <w:rsid w:val="00FE0BAA"/>
    <w:rsid w:val="00FE14F9"/>
    <w:rsid w:val="00FE2BF3"/>
    <w:rsid w:val="00FE4799"/>
    <w:rsid w:val="00FE4C28"/>
    <w:rsid w:val="00FE562B"/>
    <w:rsid w:val="00FE59EF"/>
    <w:rsid w:val="00FE63A8"/>
    <w:rsid w:val="00FE6C6D"/>
    <w:rsid w:val="00FE7026"/>
    <w:rsid w:val="00FE745C"/>
    <w:rsid w:val="00FE7F37"/>
    <w:rsid w:val="00FF03E2"/>
    <w:rsid w:val="00FF0883"/>
    <w:rsid w:val="00FF0D49"/>
    <w:rsid w:val="00FF1297"/>
    <w:rsid w:val="00FF1843"/>
    <w:rsid w:val="00FF1AAB"/>
    <w:rsid w:val="00FF2166"/>
    <w:rsid w:val="00FF2225"/>
    <w:rsid w:val="00FF2476"/>
    <w:rsid w:val="00FF284E"/>
    <w:rsid w:val="00FF2D96"/>
    <w:rsid w:val="00FF31B4"/>
    <w:rsid w:val="00FF33F3"/>
    <w:rsid w:val="00FF43AB"/>
    <w:rsid w:val="00FF43C8"/>
    <w:rsid w:val="00FF442D"/>
    <w:rsid w:val="00FF5B74"/>
    <w:rsid w:val="00FF6918"/>
    <w:rsid w:val="00FF6AA0"/>
    <w:rsid w:val="00FF6B7C"/>
    <w:rsid w:val="00FF6EB4"/>
    <w:rsid w:val="00FF70A1"/>
    <w:rsid w:val="00FF7647"/>
    <w:rsid w:val="00FF7FE5"/>
    <w:rsid w:val="02B06F2C"/>
    <w:rsid w:val="03835B43"/>
    <w:rsid w:val="062F512F"/>
    <w:rsid w:val="07153D08"/>
    <w:rsid w:val="0947075F"/>
    <w:rsid w:val="0980E15B"/>
    <w:rsid w:val="0B67003B"/>
    <w:rsid w:val="0B87DAAF"/>
    <w:rsid w:val="0C954226"/>
    <w:rsid w:val="0DBB2C65"/>
    <w:rsid w:val="0EEB87BC"/>
    <w:rsid w:val="13637EB1"/>
    <w:rsid w:val="15C86B33"/>
    <w:rsid w:val="16C16167"/>
    <w:rsid w:val="17B1FA6E"/>
    <w:rsid w:val="18BF6FC5"/>
    <w:rsid w:val="1DC65956"/>
    <w:rsid w:val="1DDD8C6D"/>
    <w:rsid w:val="1E30072D"/>
    <w:rsid w:val="1E654B49"/>
    <w:rsid w:val="1EC7AC9E"/>
    <w:rsid w:val="1FF3051F"/>
    <w:rsid w:val="24C0E0D3"/>
    <w:rsid w:val="257C7D28"/>
    <w:rsid w:val="25DB29C1"/>
    <w:rsid w:val="2640E465"/>
    <w:rsid w:val="27E5BF03"/>
    <w:rsid w:val="28868D7A"/>
    <w:rsid w:val="28F43D90"/>
    <w:rsid w:val="29075118"/>
    <w:rsid w:val="2991877E"/>
    <w:rsid w:val="2A08487E"/>
    <w:rsid w:val="2B0DFD49"/>
    <w:rsid w:val="2C59F8B4"/>
    <w:rsid w:val="2C9DB0B2"/>
    <w:rsid w:val="2CE88857"/>
    <w:rsid w:val="2F0F651B"/>
    <w:rsid w:val="2F164EDA"/>
    <w:rsid w:val="3048A579"/>
    <w:rsid w:val="3190C41A"/>
    <w:rsid w:val="31976DB0"/>
    <w:rsid w:val="326282B8"/>
    <w:rsid w:val="3572E774"/>
    <w:rsid w:val="3579C1C1"/>
    <w:rsid w:val="35CA1954"/>
    <w:rsid w:val="36A9D92C"/>
    <w:rsid w:val="3A30E074"/>
    <w:rsid w:val="3A9A50E2"/>
    <w:rsid w:val="3E1B80FD"/>
    <w:rsid w:val="3FE9443D"/>
    <w:rsid w:val="41530909"/>
    <w:rsid w:val="41A120D8"/>
    <w:rsid w:val="4610CA39"/>
    <w:rsid w:val="486711CF"/>
    <w:rsid w:val="49038A3F"/>
    <w:rsid w:val="4A537F2D"/>
    <w:rsid w:val="4AFC799C"/>
    <w:rsid w:val="4B1E44D5"/>
    <w:rsid w:val="4CFC51EC"/>
    <w:rsid w:val="4D9060E9"/>
    <w:rsid w:val="4F86563C"/>
    <w:rsid w:val="4FD3E866"/>
    <w:rsid w:val="5214589C"/>
    <w:rsid w:val="522F2537"/>
    <w:rsid w:val="529CA750"/>
    <w:rsid w:val="52E280EB"/>
    <w:rsid w:val="54560AA1"/>
    <w:rsid w:val="55CC149B"/>
    <w:rsid w:val="56D33F73"/>
    <w:rsid w:val="570FCEA3"/>
    <w:rsid w:val="58EEAC92"/>
    <w:rsid w:val="59508BF6"/>
    <w:rsid w:val="5955FF2F"/>
    <w:rsid w:val="596367B8"/>
    <w:rsid w:val="596920FB"/>
    <w:rsid w:val="5A24B12B"/>
    <w:rsid w:val="5A3E16F1"/>
    <w:rsid w:val="5BCA2CA4"/>
    <w:rsid w:val="5D3CAA69"/>
    <w:rsid w:val="5D68F725"/>
    <w:rsid w:val="60B57B5B"/>
    <w:rsid w:val="624BEA62"/>
    <w:rsid w:val="62CF89E4"/>
    <w:rsid w:val="632FF594"/>
    <w:rsid w:val="64683321"/>
    <w:rsid w:val="66CC2AAC"/>
    <w:rsid w:val="67ADB468"/>
    <w:rsid w:val="69366EA3"/>
    <w:rsid w:val="6943EC2F"/>
    <w:rsid w:val="6A09E5FC"/>
    <w:rsid w:val="6D0B6DC1"/>
    <w:rsid w:val="6D160760"/>
    <w:rsid w:val="6D9CE383"/>
    <w:rsid w:val="6E8FC87C"/>
    <w:rsid w:val="70148191"/>
    <w:rsid w:val="7368C69F"/>
    <w:rsid w:val="73BC1A5F"/>
    <w:rsid w:val="7466DD3C"/>
    <w:rsid w:val="776062BA"/>
    <w:rsid w:val="7877738D"/>
    <w:rsid w:val="78954CFE"/>
    <w:rsid w:val="79685518"/>
    <w:rsid w:val="7A989944"/>
    <w:rsid w:val="7B7CF5BF"/>
    <w:rsid w:val="7EADED7D"/>
    <w:rsid w:val="7F8003BF"/>
    <w:rsid w:val="7FD22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A7FC"/>
  <w15:docId w15:val="{69F5AE43-5C4C-4EA7-955B-38B80B7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54"/>
    <w:pPr>
      <w:autoSpaceDE w:val="0"/>
      <w:autoSpaceDN w:val="0"/>
      <w:adjustRightInd w:val="0"/>
      <w:spacing w:after="120" w:line="240" w:lineRule="auto"/>
    </w:pPr>
    <w:rPr>
      <w:rFonts w:ascii="Cambria" w:eastAsia="Times New Roman" w:hAnsi="Cambria" w:cs="Times New Roman"/>
      <w:sz w:val="24"/>
      <w:szCs w:val="24"/>
    </w:rPr>
  </w:style>
  <w:style w:type="paragraph" w:styleId="Heading1">
    <w:name w:val="heading 1"/>
    <w:link w:val="Heading1Char"/>
    <w:qFormat/>
    <w:rsid w:val="00AF6693"/>
    <w:pPr>
      <w:keepNext/>
      <w:numPr>
        <w:numId w:val="7"/>
      </w:numPr>
      <w:spacing w:before="240" w:after="60"/>
      <w:outlineLvl w:val="0"/>
    </w:pPr>
    <w:rPr>
      <w:rFonts w:eastAsia="Times New Roman" w:cs="Arial"/>
      <w:b/>
      <w:bCs/>
      <w:kern w:val="32"/>
      <w:sz w:val="32"/>
      <w:szCs w:val="32"/>
    </w:rPr>
  </w:style>
  <w:style w:type="paragraph" w:styleId="Heading2">
    <w:name w:val="heading 2"/>
    <w:link w:val="Heading2Char"/>
    <w:qFormat/>
    <w:rsid w:val="006A489B"/>
    <w:pPr>
      <w:keepNext/>
      <w:numPr>
        <w:ilvl w:val="1"/>
        <w:numId w:val="9"/>
      </w:numPr>
      <w:spacing w:before="240" w:after="80" w:line="240" w:lineRule="auto"/>
      <w:outlineLvl w:val="1"/>
    </w:pPr>
    <w:rPr>
      <w:rFonts w:eastAsia="Times New Roman" w:cs="Arial"/>
      <w:b/>
      <w:bCs/>
      <w:i/>
      <w:iCs/>
      <w:sz w:val="26"/>
      <w:szCs w:val="28"/>
    </w:rPr>
  </w:style>
  <w:style w:type="paragraph" w:styleId="Heading3">
    <w:name w:val="heading 3"/>
    <w:basedOn w:val="Normal"/>
    <w:next w:val="Normal"/>
    <w:link w:val="Heading3Char"/>
    <w:qFormat/>
    <w:rsid w:val="001814FD"/>
    <w:pPr>
      <w:keepNext/>
      <w:numPr>
        <w:ilvl w:val="2"/>
        <w:numId w:val="9"/>
      </w:numPr>
      <w:spacing w:before="240" w:after="60"/>
      <w:outlineLvl w:val="2"/>
    </w:pPr>
    <w:rPr>
      <w:rFonts w:asciiTheme="minorHAnsi" w:hAnsiTheme="minorHAnsi" w:cs="Arial"/>
      <w:b/>
      <w:bCs/>
      <w:szCs w:val="26"/>
    </w:rPr>
  </w:style>
  <w:style w:type="paragraph" w:styleId="Heading4">
    <w:name w:val="heading 4"/>
    <w:link w:val="Heading4Char"/>
    <w:qFormat/>
    <w:rsid w:val="00273005"/>
    <w:pPr>
      <w:keepNext/>
      <w:spacing w:before="240" w:after="80" w:line="240" w:lineRule="auto"/>
      <w:ind w:left="936" w:hanging="936"/>
      <w:outlineLvl w:val="3"/>
    </w:pPr>
    <w:rPr>
      <w:rFonts w:eastAsia="Times New Roman" w:cs="Times New Roman"/>
      <w:b/>
      <w:i/>
      <w:sz w:val="24"/>
      <w:szCs w:val="24"/>
    </w:rPr>
  </w:style>
  <w:style w:type="paragraph" w:styleId="Heading5">
    <w:name w:val="heading 5"/>
    <w:link w:val="Heading5Char"/>
    <w:qFormat/>
    <w:rsid w:val="00D11C94"/>
    <w:pPr>
      <w:keepNext/>
      <w:spacing w:before="240" w:after="100" w:line="240" w:lineRule="auto"/>
      <w:outlineLvl w:val="4"/>
    </w:pPr>
    <w:rPr>
      <w:rFonts w:ascii="Cambria" w:eastAsia="Times New Roman" w:hAnsi="Cambria" w:cs="Times New Roman"/>
      <w:b/>
      <w:i/>
      <w:szCs w:val="24"/>
    </w:rPr>
  </w:style>
  <w:style w:type="paragraph" w:styleId="Heading6">
    <w:name w:val="heading 6"/>
    <w:basedOn w:val="Normal"/>
    <w:next w:val="Normal"/>
    <w:link w:val="Heading6Char"/>
    <w:qFormat/>
    <w:rsid w:val="00A42E82"/>
    <w:pPr>
      <w:keepNext/>
      <w:keepLines/>
      <w:numPr>
        <w:ilvl w:val="5"/>
        <w:numId w:val="2"/>
      </w:numPr>
      <w:autoSpaceDE/>
      <w:autoSpaceDN/>
      <w:adjustRightInd/>
      <w:spacing w:before="40"/>
      <w:outlineLvl w:val="5"/>
    </w:pPr>
    <w:rPr>
      <w:rFonts w:asciiTheme="majorHAnsi" w:eastAsiaTheme="majorEastAsia" w:hAnsiTheme="majorHAnsi" w:cstheme="majorBidi"/>
      <w:color w:val="1F4D78" w:themeColor="accent1" w:themeShade="7F"/>
    </w:rPr>
  </w:style>
  <w:style w:type="paragraph" w:styleId="Heading7">
    <w:name w:val="heading 7"/>
    <w:link w:val="Heading7Char"/>
    <w:qFormat/>
    <w:rsid w:val="00D96BAD"/>
    <w:pPr>
      <w:keepNext/>
      <w:keepLines/>
      <w:numPr>
        <w:ilvl w:val="6"/>
        <w:numId w:val="2"/>
      </w:numPr>
      <w:spacing w:before="40"/>
      <w:jc w:val="center"/>
      <w:outlineLvl w:val="6"/>
    </w:pPr>
    <w:rPr>
      <w:rFonts w:ascii="Calibri" w:eastAsiaTheme="majorEastAsia" w:hAnsi="Calibri" w:cstheme="majorBidi"/>
      <w:b/>
      <w:iCs/>
      <w:sz w:val="28"/>
      <w:szCs w:val="24"/>
    </w:rPr>
  </w:style>
  <w:style w:type="paragraph" w:styleId="Heading8">
    <w:name w:val="heading 8"/>
    <w:link w:val="Heading8Char"/>
    <w:qFormat/>
    <w:rsid w:val="00D96BAD"/>
    <w:pPr>
      <w:keepNext/>
      <w:keepLines/>
      <w:numPr>
        <w:ilvl w:val="7"/>
        <w:numId w:val="2"/>
      </w:numPr>
      <w:spacing w:before="240" w:after="80" w:line="240" w:lineRule="auto"/>
      <w:outlineLvl w:val="7"/>
    </w:pPr>
    <w:rPr>
      <w:rFonts w:ascii="Calibri" w:eastAsiaTheme="majorEastAsia" w:hAnsi="Calibri" w:cstheme="majorBidi"/>
      <w:b/>
      <w:color w:val="272727" w:themeColor="text1" w:themeTint="D8"/>
      <w:sz w:val="24"/>
      <w:szCs w:val="21"/>
    </w:rPr>
  </w:style>
  <w:style w:type="paragraph" w:styleId="Heading9">
    <w:name w:val="heading 9"/>
    <w:link w:val="Heading9Char"/>
    <w:qFormat/>
    <w:rsid w:val="00D96BAD"/>
    <w:pPr>
      <w:keepNext/>
      <w:keepLines/>
      <w:numPr>
        <w:ilvl w:val="8"/>
        <w:numId w:val="2"/>
      </w:numPr>
      <w:spacing w:before="240" w:after="80" w:line="240" w:lineRule="auto"/>
      <w:outlineLvl w:val="8"/>
    </w:pPr>
    <w:rPr>
      <w:rFonts w:ascii="Calibri" w:eastAsiaTheme="majorEastAsia" w:hAnsi="Calibri" w:cstheme="majorBidi"/>
      <w:b/>
      <w:i/>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693"/>
    <w:rPr>
      <w:rFonts w:eastAsia="Times New Roman" w:cs="Arial"/>
      <w:b/>
      <w:bCs/>
      <w:kern w:val="32"/>
      <w:sz w:val="32"/>
      <w:szCs w:val="32"/>
    </w:rPr>
  </w:style>
  <w:style w:type="character" w:customStyle="1" w:styleId="Heading2Char">
    <w:name w:val="Heading 2 Char"/>
    <w:basedOn w:val="DefaultParagraphFont"/>
    <w:link w:val="Heading2"/>
    <w:rsid w:val="006A489B"/>
    <w:rPr>
      <w:rFonts w:eastAsia="Times New Roman" w:cs="Arial"/>
      <w:b/>
      <w:bCs/>
      <w:i/>
      <w:iCs/>
      <w:sz w:val="26"/>
      <w:szCs w:val="28"/>
    </w:rPr>
  </w:style>
  <w:style w:type="paragraph" w:styleId="Title">
    <w:name w:val="Title"/>
    <w:basedOn w:val="Normal"/>
    <w:next w:val="Normal"/>
    <w:link w:val="TitleChar"/>
    <w:uiPriority w:val="10"/>
    <w:qFormat/>
    <w:rsid w:val="001814FD"/>
    <w:pPr>
      <w:spacing w:before="240" w:after="60"/>
      <w:jc w:val="center"/>
      <w:outlineLvl w:val="0"/>
    </w:pPr>
    <w:rPr>
      <w:rFonts w:asciiTheme="majorHAnsi" w:eastAsiaTheme="majorEastAsia" w:hAnsiTheme="majorHAnsi"/>
      <w:b/>
      <w:bCs/>
      <w:kern w:val="28"/>
      <w:sz w:val="40"/>
      <w:szCs w:val="40"/>
    </w:rPr>
  </w:style>
  <w:style w:type="character" w:customStyle="1" w:styleId="TitleChar">
    <w:name w:val="Title Char"/>
    <w:basedOn w:val="DefaultParagraphFont"/>
    <w:link w:val="Title"/>
    <w:uiPriority w:val="10"/>
    <w:rsid w:val="001814FD"/>
    <w:rPr>
      <w:rFonts w:asciiTheme="majorHAnsi" w:eastAsiaTheme="majorEastAsia" w:hAnsiTheme="majorHAnsi" w:cs="Times New Roman"/>
      <w:b/>
      <w:bCs/>
      <w:kern w:val="28"/>
      <w:sz w:val="40"/>
      <w:szCs w:val="40"/>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rsid w:val="00B36F72"/>
    <w:rPr>
      <w:sz w:val="16"/>
      <w:szCs w:val="16"/>
    </w:rPr>
  </w:style>
  <w:style w:type="paragraph" w:styleId="CommentText">
    <w:name w:val="annotation text"/>
    <w:basedOn w:val="Normal"/>
    <w:link w:val="CommentTextChar"/>
    <w:rsid w:val="00B36F72"/>
    <w:rPr>
      <w:sz w:val="20"/>
      <w:szCs w:val="20"/>
    </w:rPr>
  </w:style>
  <w:style w:type="character" w:customStyle="1" w:styleId="CommentTextChar">
    <w:name w:val="Comment Text Char"/>
    <w:basedOn w:val="DefaultParagraphFont"/>
    <w:link w:val="CommentText"/>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1814FD"/>
    <w:pPr>
      <w:tabs>
        <w:tab w:val="center" w:pos="4320"/>
        <w:tab w:val="right" w:pos="8640"/>
      </w:tabs>
      <w:spacing w:after="0"/>
    </w:pPr>
  </w:style>
  <w:style w:type="character" w:customStyle="1" w:styleId="FooterChar">
    <w:name w:val="Footer Char"/>
    <w:basedOn w:val="DefaultParagraphFont"/>
    <w:link w:val="Footer"/>
    <w:uiPriority w:val="99"/>
    <w:rsid w:val="001814FD"/>
    <w:rPr>
      <w:rFonts w:ascii="Cambria" w:eastAsia="Times New Roman" w:hAnsi="Cambria"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A30867"/>
    <w:pPr>
      <w:spacing w:after="60"/>
      <w:ind w:left="90" w:hanging="90"/>
    </w:pPr>
    <w:rPr>
      <w:sz w:val="20"/>
      <w:szCs w:val="20"/>
    </w:rPr>
  </w:style>
  <w:style w:type="character" w:customStyle="1" w:styleId="FootnoteTextChar">
    <w:name w:val="Footnote Text Char"/>
    <w:basedOn w:val="DefaultParagraphFont"/>
    <w:link w:val="FootnoteText"/>
    <w:rsid w:val="00A30867"/>
    <w:rPr>
      <w:rFonts w:ascii="Cambria" w:eastAsia="Times New Roman" w:hAnsi="Cambria"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814FD"/>
    <w:rPr>
      <w:rFonts w:eastAsia="Times New Roman"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qFormat/>
    <w:rsid w:val="00273005"/>
    <w:pPr>
      <w:keepNext/>
      <w:keepLines/>
      <w:spacing w:before="120" w:after="80"/>
      <w:jc w:val="center"/>
    </w:pPr>
    <w:rPr>
      <w:rFonts w:eastAsia="Times New Roman" w:cs="Arial"/>
      <w:b/>
      <w:szCs w:val="20"/>
    </w:rPr>
  </w:style>
  <w:style w:type="paragraph" w:styleId="TOC1">
    <w:name w:val="toc 1"/>
    <w:basedOn w:val="Normal"/>
    <w:next w:val="Normal"/>
    <w:uiPriority w:val="39"/>
    <w:rsid w:val="00F747CB"/>
    <w:pPr>
      <w:tabs>
        <w:tab w:val="left" w:pos="720"/>
        <w:tab w:val="right" w:leader="dot" w:pos="9360"/>
      </w:tabs>
      <w:spacing w:before="240" w:after="0"/>
      <w:ind w:left="360" w:hanging="360"/>
    </w:pPr>
    <w:rPr>
      <w:b/>
    </w:rPr>
  </w:style>
  <w:style w:type="paragraph" w:styleId="TOC2">
    <w:name w:val="toc 2"/>
    <w:basedOn w:val="Normal"/>
    <w:next w:val="Normal"/>
    <w:uiPriority w:val="39"/>
    <w:rsid w:val="00C36854"/>
    <w:pPr>
      <w:spacing w:before="120" w:after="0"/>
      <w:ind w:left="720" w:right="360" w:hanging="360"/>
    </w:pPr>
    <w:rPr>
      <w:sz w:val="20"/>
    </w:rPr>
  </w:style>
  <w:style w:type="paragraph" w:styleId="TOC3">
    <w:name w:val="toc 3"/>
    <w:basedOn w:val="Normal"/>
    <w:next w:val="Normal"/>
    <w:uiPriority w:val="39"/>
    <w:rsid w:val="001A6DA0"/>
    <w:pPr>
      <w:tabs>
        <w:tab w:val="right" w:leader="dot" w:pos="9350"/>
      </w:tabs>
      <w:spacing w:before="60" w:after="0"/>
      <w:ind w:left="1080" w:hanging="360"/>
    </w:pPr>
    <w:rPr>
      <w:noProof/>
      <w:sz w:val="20"/>
    </w:rPr>
  </w:style>
  <w:style w:type="character" w:customStyle="1" w:styleId="Heading4Char">
    <w:name w:val="Heading 4 Char"/>
    <w:basedOn w:val="DefaultParagraphFont"/>
    <w:link w:val="Heading4"/>
    <w:rsid w:val="00273005"/>
    <w:rPr>
      <w:rFonts w:eastAsia="Times New Roman" w:cs="Times New Roman"/>
      <w:b/>
      <w:i/>
      <w:sz w:val="24"/>
      <w:szCs w:val="24"/>
    </w:rPr>
  </w:style>
  <w:style w:type="character" w:customStyle="1" w:styleId="Heading5Char">
    <w:name w:val="Heading 5 Char"/>
    <w:basedOn w:val="DefaultParagraphFont"/>
    <w:link w:val="Heading5"/>
    <w:rsid w:val="00D11C94"/>
    <w:rPr>
      <w:rFonts w:ascii="Cambria" w:eastAsia="Times New Roman" w:hAnsi="Cambria" w:cs="Times New Roman"/>
      <w:b/>
      <w:i/>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D96BAD"/>
    <w:rPr>
      <w:rFonts w:ascii="Calibri" w:eastAsiaTheme="majorEastAsia" w:hAnsi="Calibri" w:cstheme="majorBidi"/>
      <w:b/>
      <w:iCs/>
      <w:sz w:val="28"/>
      <w:szCs w:val="24"/>
    </w:rPr>
  </w:style>
  <w:style w:type="character" w:customStyle="1" w:styleId="Heading8Char">
    <w:name w:val="Heading 8 Char"/>
    <w:basedOn w:val="DefaultParagraphFont"/>
    <w:link w:val="Heading8"/>
    <w:rsid w:val="00D96BAD"/>
    <w:rPr>
      <w:rFonts w:ascii="Calibri" w:eastAsiaTheme="majorEastAsia" w:hAnsi="Calibri" w:cstheme="majorBidi"/>
      <w:b/>
      <w:color w:val="272727" w:themeColor="text1" w:themeTint="D8"/>
      <w:sz w:val="24"/>
      <w:szCs w:val="21"/>
    </w:rPr>
  </w:style>
  <w:style w:type="character" w:customStyle="1" w:styleId="Heading9Char">
    <w:name w:val="Heading 9 Char"/>
    <w:basedOn w:val="DefaultParagraphFont"/>
    <w:link w:val="Heading9"/>
    <w:rsid w:val="00D96BAD"/>
    <w:rPr>
      <w:rFonts w:ascii="Calibri" w:eastAsiaTheme="majorEastAsia" w:hAnsi="Calibri" w:cstheme="majorBidi"/>
      <w:b/>
      <w:i/>
      <w:iCs/>
      <w:color w:val="272727" w:themeColor="text1" w:themeTint="D8"/>
      <w:sz w:val="24"/>
      <w:szCs w:val="21"/>
    </w:rPr>
  </w:style>
  <w:style w:type="table" w:styleId="TableGrid">
    <w:name w:val="Table Grid"/>
    <w:basedOn w:val="TableNormal"/>
    <w:rsid w:val="00E15A3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10nonumber">
    <w:name w:val="Heading 10_no number"/>
    <w:rsid w:val="00D96BAD"/>
    <w:pPr>
      <w:keepNext/>
      <w:spacing w:before="240" w:after="40" w:line="240" w:lineRule="auto"/>
    </w:pPr>
    <w:rPr>
      <w:rFonts w:ascii="Calibri" w:eastAsia="Times New Roman" w:hAnsi="Calibri" w:cs="Times New Roman"/>
      <w:b/>
      <w:sz w:val="24"/>
      <w:szCs w:val="24"/>
    </w:rPr>
  </w:style>
  <w:style w:type="paragraph" w:customStyle="1" w:styleId="Style1">
    <w:name w:val="Style1"/>
    <w:qFormat/>
    <w:rsid w:val="00E15A36"/>
    <w:pPr>
      <w:spacing w:line="240" w:lineRule="auto"/>
    </w:pPr>
    <w:rPr>
      <w:rFonts w:ascii="Calibri" w:eastAsia="Times New Roman" w:hAnsi="Calibri" w:cs="Arial"/>
      <w:b/>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EF1FFC"/>
    <w:pPr>
      <w:widowControl w:val="0"/>
      <w:spacing w:after="0"/>
    </w:pPr>
    <w:rPr>
      <w:rFonts w:asciiTheme="minorHAnsi" w:hAnsiTheme="minorHAnsi" w:cs="Arial"/>
      <w:sz w:val="20"/>
      <w:szCs w:val="20"/>
    </w:rPr>
  </w:style>
  <w:style w:type="character" w:customStyle="1" w:styleId="TablesChar">
    <w:name w:val="Tables Char"/>
    <w:link w:val="Tables"/>
    <w:semiHidden/>
    <w:rsid w:val="00EF1FFC"/>
    <w:rPr>
      <w:rFonts w:eastAsia="Times New Roman" w:cs="Arial"/>
      <w:sz w:val="20"/>
      <w:szCs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ListBulletsingle">
    <w:name w:val="List Bullet_single"/>
    <w:basedOn w:val="ListBullet"/>
    <w:qFormat/>
    <w:rsid w:val="00273005"/>
    <w:pPr>
      <w:spacing w:after="40"/>
    </w:pPr>
  </w:style>
  <w:style w:type="paragraph" w:customStyle="1" w:styleId="ListBulletlast">
    <w:name w:val="List Bullet_last"/>
    <w:basedOn w:val="ListBullet"/>
    <w:qFormat/>
    <w:rsid w:val="00273005"/>
    <w:pPr>
      <w:spacing w:after="240"/>
    </w:pPr>
  </w:style>
  <w:style w:type="paragraph" w:customStyle="1" w:styleId="TableTitleAppendix">
    <w:name w:val="Table Title_Appendix"/>
    <w:qFormat/>
    <w:rsid w:val="004F1834"/>
    <w:pPr>
      <w:keepNext/>
      <w:spacing w:before="120" w:after="60" w:line="240" w:lineRule="auto"/>
      <w:jc w:val="center"/>
    </w:pPr>
    <w:rPr>
      <w:rFonts w:eastAsia="Times New Roman" w:cs="Arial"/>
      <w:b/>
      <w:szCs w:val="20"/>
    </w:rPr>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ind w:left="1440" w:right="1440"/>
    </w:pPr>
  </w:style>
  <w:style w:type="paragraph" w:styleId="BodyText">
    <w:name w:val="Body Text"/>
    <w:link w:val="BodyTextChar"/>
    <w:rsid w:val="00273005"/>
    <w:pPr>
      <w:spacing w:after="240" w:line="240" w:lineRule="auto"/>
    </w:pPr>
    <w:rPr>
      <w:rFonts w:ascii="Cambria" w:eastAsia="Times New Roman" w:hAnsi="Cambria" w:cs="Times New Roman"/>
      <w:sz w:val="24"/>
      <w:szCs w:val="24"/>
    </w:rPr>
  </w:style>
  <w:style w:type="character" w:customStyle="1" w:styleId="BodyTextChar">
    <w:name w:val="Body Text Char"/>
    <w:basedOn w:val="DefaultParagraphFont"/>
    <w:link w:val="BodyText"/>
    <w:rsid w:val="00273005"/>
    <w:rPr>
      <w:rFonts w:ascii="Cambria" w:eastAsia="Times New Roman" w:hAnsi="Cambria" w:cs="Times New Roman"/>
      <w:sz w:val="24"/>
      <w:szCs w:val="24"/>
    </w:rPr>
  </w:style>
  <w:style w:type="paragraph" w:styleId="BodyText2">
    <w:name w:val="Body Text 2"/>
    <w:basedOn w:val="Normal"/>
    <w:link w:val="BodyText2Char"/>
    <w:semiHidden/>
    <w:rsid w:val="00A42E82"/>
    <w:pPr>
      <w:spacing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shd w:val="clear" w:color="auto" w:fill="DEEAF6" w:themeFill="accent1" w:themeFillTint="33"/>
    </w:rPr>
  </w:style>
  <w:style w:type="paragraph" w:styleId="BodyTextIndent">
    <w:name w:val="Body Text Indent"/>
    <w:basedOn w:val="Normal"/>
    <w:link w:val="BodyTextIndentChar"/>
    <w:semiHidden/>
    <w:rsid w:val="00A42E82"/>
    <w:pPr>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rsid w:val="00273005"/>
    <w:pPr>
      <w:tabs>
        <w:tab w:val="num" w:pos="360"/>
      </w:tabs>
      <w:spacing w:after="100" w:line="240" w:lineRule="auto"/>
      <w:ind w:left="360" w:hanging="360"/>
    </w:pPr>
    <w:rPr>
      <w:rFonts w:ascii="Cambria" w:eastAsia="Times New Roman" w:hAnsi="Cambria" w:cs="Times New Roman"/>
      <w:sz w:val="24"/>
      <w:szCs w:val="24"/>
    </w:r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ind w:left="360"/>
    </w:pPr>
  </w:style>
  <w:style w:type="paragraph" w:styleId="ListContinue2">
    <w:name w:val="List Continue 2"/>
    <w:basedOn w:val="Normal"/>
    <w:semiHidden/>
    <w:rsid w:val="00A42E82"/>
    <w:pPr>
      <w:ind w:left="720"/>
    </w:pPr>
  </w:style>
  <w:style w:type="paragraph" w:styleId="ListContinue3">
    <w:name w:val="List Continue 3"/>
    <w:basedOn w:val="Normal"/>
    <w:semiHidden/>
    <w:rsid w:val="00A42E82"/>
    <w:pPr>
      <w:ind w:left="1080"/>
    </w:pPr>
  </w:style>
  <w:style w:type="paragraph" w:styleId="ListContinue4">
    <w:name w:val="List Continue 4"/>
    <w:basedOn w:val="Normal"/>
    <w:semiHidden/>
    <w:rsid w:val="00A42E82"/>
    <w:pPr>
      <w:ind w:left="1440"/>
    </w:pPr>
  </w:style>
  <w:style w:type="paragraph" w:styleId="ListContinue5">
    <w:name w:val="List Continue 5"/>
    <w:basedOn w:val="Normal"/>
    <w:semiHidden/>
    <w:rsid w:val="00A42E82"/>
    <w:pPr>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uiPriority w:val="99"/>
    <w:semiHidden/>
    <w:rsid w:val="00A42E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8E08D5"/>
    <w:pPr>
      <w:tabs>
        <w:tab w:val="left" w:pos="2250"/>
        <w:tab w:val="right" w:leader="dot" w:pos="9350"/>
      </w:tabs>
      <w:ind w:left="1980" w:hanging="630"/>
    </w:pPr>
    <w:rPr>
      <w:sz w:val="20"/>
      <w:szCs w:val="20"/>
    </w:rPr>
  </w:style>
  <w:style w:type="paragraph" w:styleId="TOC5">
    <w:name w:val="toc 5"/>
    <w:basedOn w:val="Normal"/>
    <w:next w:val="Normal"/>
    <w:autoRedefine/>
    <w:uiPriority w:val="39"/>
    <w:rsid w:val="00A42E82"/>
    <w:pPr>
      <w:ind w:left="960"/>
    </w:pPr>
    <w:rPr>
      <w:sz w:val="20"/>
      <w:szCs w:val="20"/>
    </w:rPr>
  </w:style>
  <w:style w:type="paragraph" w:styleId="TOC6">
    <w:name w:val="toc 6"/>
    <w:basedOn w:val="Normal"/>
    <w:next w:val="Normal"/>
    <w:autoRedefine/>
    <w:uiPriority w:val="39"/>
    <w:rsid w:val="008E08D5"/>
    <w:pPr>
      <w:ind w:left="1200"/>
    </w:pPr>
    <w:rPr>
      <w:b/>
      <w:sz w:val="20"/>
      <w:szCs w:val="20"/>
    </w:rPr>
  </w:style>
  <w:style w:type="paragraph" w:styleId="TOC7">
    <w:name w:val="toc 7"/>
    <w:basedOn w:val="Normal"/>
    <w:next w:val="Normal"/>
    <w:autoRedefine/>
    <w:uiPriority w:val="39"/>
    <w:rsid w:val="008E08D5"/>
    <w:pPr>
      <w:ind w:left="1440"/>
    </w:pPr>
    <w:rPr>
      <w:b/>
      <w:sz w:val="20"/>
      <w:szCs w:val="20"/>
    </w:rPr>
  </w:style>
  <w:style w:type="paragraph" w:styleId="TOC8">
    <w:name w:val="toc 8"/>
    <w:basedOn w:val="Normal"/>
    <w:next w:val="Normal"/>
    <w:autoRedefine/>
    <w:uiPriority w:val="39"/>
    <w:rsid w:val="00A42E82"/>
    <w:pPr>
      <w:ind w:left="1680"/>
    </w:pPr>
    <w:rPr>
      <w:sz w:val="20"/>
      <w:szCs w:val="20"/>
    </w:rPr>
  </w:style>
  <w:style w:type="paragraph" w:styleId="TOC9">
    <w:name w:val="toc 9"/>
    <w:basedOn w:val="Normal"/>
    <w:next w:val="Normal"/>
    <w:autoRedefine/>
    <w:uiPriority w:val="39"/>
    <w:rsid w:val="00A42E82"/>
    <w:pPr>
      <w:ind w:left="1920"/>
    </w:pPr>
    <w:rPr>
      <w:sz w:val="20"/>
      <w:szCs w:val="20"/>
    </w:rPr>
  </w:style>
  <w:style w:type="paragraph" w:styleId="TableofFigures">
    <w:name w:val="table of figures"/>
    <w:basedOn w:val="Normal"/>
    <w:next w:val="Normal"/>
    <w:uiPriority w:val="99"/>
    <w:rsid w:val="008E08D5"/>
    <w:pPr>
      <w:ind w:right="360"/>
    </w:pPr>
    <w:rPr>
      <w:sz w:val="22"/>
    </w:rPr>
  </w:style>
  <w:style w:type="paragraph" w:customStyle="1" w:styleId="TableHeading">
    <w:name w:val="Table Heading"/>
    <w:rsid w:val="00273005"/>
    <w:pPr>
      <w:numPr>
        <w:ilvl w:val="12"/>
      </w:numPr>
      <w:spacing w:before="40" w:after="40" w:line="240" w:lineRule="auto"/>
      <w:jc w:val="center"/>
    </w:pPr>
    <w:rPr>
      <w:rFonts w:eastAsia="Times New Roman" w:cs="Times New Roman"/>
      <w:b/>
      <w:bCs/>
      <w:sz w:val="20"/>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Bullet1">
    <w:name w:val="Bullet 1"/>
    <w:basedOn w:val="Normal"/>
    <w:rsid w:val="00B36F72"/>
    <w:pPr>
      <w:keepNext/>
      <w:numPr>
        <w:numId w:val="6"/>
      </w:numPr>
      <w:autoSpaceDE/>
      <w:autoSpaceDN/>
      <w:adjustRightInd/>
      <w:spacing w:after="40"/>
    </w:pPr>
  </w:style>
  <w:style w:type="paragraph" w:customStyle="1" w:styleId="Bullet2">
    <w:name w:val="Bullet 2"/>
    <w:basedOn w:val="Normal"/>
    <w:rsid w:val="00A42E82"/>
    <w:pPr>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autoSpaceDE/>
      <w:autoSpaceDN/>
      <w:adjustRightInd/>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273005"/>
    <w:pPr>
      <w:keepNext/>
      <w:spacing w:after="60"/>
    </w:pPr>
    <w:rPr>
      <w:rFonts w:asciiTheme="minorHAnsi" w:hAnsiTheme="minorHAnsi"/>
      <w:b/>
      <w:bCs/>
      <w:color w:val="FF0000"/>
      <w:sz w:val="22"/>
      <w:szCs w:val="22"/>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1814FD"/>
    <w:pPr>
      <w:keepLines/>
      <w:outlineLvl w:val="9"/>
    </w:pPr>
    <w:rPr>
      <w:rFonts w:asciiTheme="majorHAnsi" w:eastAsiaTheme="majorEastAsia" w:hAnsiTheme="majorHAnsi" w:cstheme="majorBidi"/>
      <w:bCs w:val="0"/>
      <w:kern w:val="0"/>
    </w:rPr>
  </w:style>
  <w:style w:type="table" w:customStyle="1" w:styleId="TableGrid10">
    <w:name w:val="Table Grid1"/>
    <w:basedOn w:val="TableNormal"/>
    <w:next w:val="TableGrid"/>
    <w:uiPriority w:val="39"/>
    <w:rsid w:val="00E4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B1438"/>
    <w:rPr>
      <w:color w:val="2B579A"/>
      <w:shd w:val="clear" w:color="auto" w:fill="E6E6E6"/>
    </w:rPr>
  </w:style>
  <w:style w:type="paragraph" w:customStyle="1" w:styleId="Tablenote">
    <w:name w:val="Table note"/>
    <w:basedOn w:val="Normal"/>
    <w:qFormat/>
    <w:rsid w:val="00A30867"/>
    <w:pPr>
      <w:spacing w:before="60"/>
      <w:contextualSpacing/>
    </w:pPr>
    <w:rPr>
      <w:rFonts w:asciiTheme="minorHAnsi" w:hAnsiTheme="minorHAnsi" w:cs="Arial"/>
      <w:sz w:val="18"/>
      <w:szCs w:val="18"/>
    </w:rPr>
  </w:style>
  <w:style w:type="character" w:styleId="UnresolvedMention">
    <w:name w:val="Unresolved Mention"/>
    <w:basedOn w:val="DefaultParagraphFont"/>
    <w:uiPriority w:val="99"/>
    <w:unhideWhenUsed/>
    <w:rsid w:val="00871EB9"/>
    <w:rPr>
      <w:color w:val="605E5C"/>
      <w:shd w:val="clear" w:color="auto" w:fill="E1DFDD"/>
    </w:rPr>
  </w:style>
  <w:style w:type="character" w:customStyle="1" w:styleId="normaltextrun">
    <w:name w:val="normaltextrun"/>
    <w:basedOn w:val="DefaultParagraphFont"/>
    <w:rsid w:val="00DA3CFF"/>
  </w:style>
  <w:style w:type="paragraph" w:customStyle="1" w:styleId="xmsonormal">
    <w:name w:val="x_msonormal"/>
    <w:basedOn w:val="Normal"/>
    <w:rsid w:val="00E115D0"/>
    <w:pPr>
      <w:autoSpaceDE/>
      <w:autoSpaceDN/>
      <w:adjustRightInd/>
      <w:spacing w:after="0"/>
    </w:pPr>
    <w:rPr>
      <w:rFonts w:ascii="Calibri" w:eastAsiaTheme="minorHAnsi" w:hAnsi="Calibri" w:cs="Calibri"/>
      <w:sz w:val="22"/>
      <w:szCs w:val="22"/>
    </w:rPr>
  </w:style>
  <w:style w:type="paragraph" w:customStyle="1" w:styleId="paragraph">
    <w:name w:val="paragraph"/>
    <w:basedOn w:val="Normal"/>
    <w:rsid w:val="001146F0"/>
    <w:pPr>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1146F0"/>
  </w:style>
  <w:style w:type="character" w:customStyle="1" w:styleId="tabchar">
    <w:name w:val="tabchar"/>
    <w:basedOn w:val="DefaultParagraphFont"/>
    <w:rsid w:val="00CE2F06"/>
  </w:style>
  <w:style w:type="character" w:styleId="Mention">
    <w:name w:val="Mention"/>
    <w:basedOn w:val="DefaultParagraphFont"/>
    <w:uiPriority w:val="99"/>
    <w:unhideWhenUsed/>
    <w:rsid w:val="00F977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52290">
      <w:bodyDiv w:val="1"/>
      <w:marLeft w:val="0"/>
      <w:marRight w:val="0"/>
      <w:marTop w:val="0"/>
      <w:marBottom w:val="0"/>
      <w:divBdr>
        <w:top w:val="none" w:sz="0" w:space="0" w:color="auto"/>
        <w:left w:val="none" w:sz="0" w:space="0" w:color="auto"/>
        <w:bottom w:val="none" w:sz="0" w:space="0" w:color="auto"/>
        <w:right w:val="none" w:sz="0" w:space="0" w:color="auto"/>
      </w:divBdr>
    </w:div>
    <w:div w:id="148256073">
      <w:bodyDiv w:val="1"/>
      <w:marLeft w:val="0"/>
      <w:marRight w:val="0"/>
      <w:marTop w:val="0"/>
      <w:marBottom w:val="0"/>
      <w:divBdr>
        <w:top w:val="none" w:sz="0" w:space="0" w:color="auto"/>
        <w:left w:val="none" w:sz="0" w:space="0" w:color="auto"/>
        <w:bottom w:val="none" w:sz="0" w:space="0" w:color="auto"/>
        <w:right w:val="none" w:sz="0" w:space="0" w:color="auto"/>
      </w:divBdr>
    </w:div>
    <w:div w:id="172770828">
      <w:bodyDiv w:val="1"/>
      <w:marLeft w:val="0"/>
      <w:marRight w:val="0"/>
      <w:marTop w:val="0"/>
      <w:marBottom w:val="0"/>
      <w:divBdr>
        <w:top w:val="none" w:sz="0" w:space="0" w:color="auto"/>
        <w:left w:val="none" w:sz="0" w:space="0" w:color="auto"/>
        <w:bottom w:val="none" w:sz="0" w:space="0" w:color="auto"/>
        <w:right w:val="none" w:sz="0" w:space="0" w:color="auto"/>
      </w:divBdr>
    </w:div>
    <w:div w:id="189075460">
      <w:bodyDiv w:val="1"/>
      <w:marLeft w:val="0"/>
      <w:marRight w:val="0"/>
      <w:marTop w:val="0"/>
      <w:marBottom w:val="0"/>
      <w:divBdr>
        <w:top w:val="none" w:sz="0" w:space="0" w:color="auto"/>
        <w:left w:val="none" w:sz="0" w:space="0" w:color="auto"/>
        <w:bottom w:val="none" w:sz="0" w:space="0" w:color="auto"/>
        <w:right w:val="none" w:sz="0" w:space="0" w:color="auto"/>
      </w:divBdr>
    </w:div>
    <w:div w:id="237831312">
      <w:bodyDiv w:val="1"/>
      <w:marLeft w:val="0"/>
      <w:marRight w:val="0"/>
      <w:marTop w:val="0"/>
      <w:marBottom w:val="0"/>
      <w:divBdr>
        <w:top w:val="none" w:sz="0" w:space="0" w:color="auto"/>
        <w:left w:val="none" w:sz="0" w:space="0" w:color="auto"/>
        <w:bottom w:val="none" w:sz="0" w:space="0" w:color="auto"/>
        <w:right w:val="none" w:sz="0" w:space="0" w:color="auto"/>
      </w:divBdr>
    </w:div>
    <w:div w:id="377752522">
      <w:bodyDiv w:val="1"/>
      <w:marLeft w:val="0"/>
      <w:marRight w:val="0"/>
      <w:marTop w:val="0"/>
      <w:marBottom w:val="0"/>
      <w:divBdr>
        <w:top w:val="none" w:sz="0" w:space="0" w:color="auto"/>
        <w:left w:val="none" w:sz="0" w:space="0" w:color="auto"/>
        <w:bottom w:val="none" w:sz="0" w:space="0" w:color="auto"/>
        <w:right w:val="none" w:sz="0" w:space="0" w:color="auto"/>
      </w:divBdr>
    </w:div>
    <w:div w:id="432823725">
      <w:bodyDiv w:val="1"/>
      <w:marLeft w:val="0"/>
      <w:marRight w:val="0"/>
      <w:marTop w:val="0"/>
      <w:marBottom w:val="0"/>
      <w:divBdr>
        <w:top w:val="none" w:sz="0" w:space="0" w:color="auto"/>
        <w:left w:val="none" w:sz="0" w:space="0" w:color="auto"/>
        <w:bottom w:val="none" w:sz="0" w:space="0" w:color="auto"/>
        <w:right w:val="none" w:sz="0" w:space="0" w:color="auto"/>
      </w:divBdr>
    </w:div>
    <w:div w:id="480390068">
      <w:bodyDiv w:val="1"/>
      <w:marLeft w:val="0"/>
      <w:marRight w:val="0"/>
      <w:marTop w:val="0"/>
      <w:marBottom w:val="0"/>
      <w:divBdr>
        <w:top w:val="none" w:sz="0" w:space="0" w:color="auto"/>
        <w:left w:val="none" w:sz="0" w:space="0" w:color="auto"/>
        <w:bottom w:val="none" w:sz="0" w:space="0" w:color="auto"/>
        <w:right w:val="none" w:sz="0" w:space="0" w:color="auto"/>
      </w:divBdr>
    </w:div>
    <w:div w:id="527527875">
      <w:bodyDiv w:val="1"/>
      <w:marLeft w:val="0"/>
      <w:marRight w:val="0"/>
      <w:marTop w:val="0"/>
      <w:marBottom w:val="0"/>
      <w:divBdr>
        <w:top w:val="none" w:sz="0" w:space="0" w:color="auto"/>
        <w:left w:val="none" w:sz="0" w:space="0" w:color="auto"/>
        <w:bottom w:val="none" w:sz="0" w:space="0" w:color="auto"/>
        <w:right w:val="none" w:sz="0" w:space="0" w:color="auto"/>
      </w:divBdr>
    </w:div>
    <w:div w:id="638925518">
      <w:bodyDiv w:val="1"/>
      <w:marLeft w:val="0"/>
      <w:marRight w:val="0"/>
      <w:marTop w:val="0"/>
      <w:marBottom w:val="0"/>
      <w:divBdr>
        <w:top w:val="none" w:sz="0" w:space="0" w:color="auto"/>
        <w:left w:val="none" w:sz="0" w:space="0" w:color="auto"/>
        <w:bottom w:val="none" w:sz="0" w:space="0" w:color="auto"/>
        <w:right w:val="none" w:sz="0" w:space="0" w:color="auto"/>
      </w:divBdr>
    </w:div>
    <w:div w:id="655575225">
      <w:bodyDiv w:val="1"/>
      <w:marLeft w:val="0"/>
      <w:marRight w:val="0"/>
      <w:marTop w:val="0"/>
      <w:marBottom w:val="0"/>
      <w:divBdr>
        <w:top w:val="none" w:sz="0" w:space="0" w:color="auto"/>
        <w:left w:val="none" w:sz="0" w:space="0" w:color="auto"/>
        <w:bottom w:val="none" w:sz="0" w:space="0" w:color="auto"/>
        <w:right w:val="none" w:sz="0" w:space="0" w:color="auto"/>
      </w:divBdr>
    </w:div>
    <w:div w:id="822240680">
      <w:bodyDiv w:val="1"/>
      <w:marLeft w:val="0"/>
      <w:marRight w:val="0"/>
      <w:marTop w:val="0"/>
      <w:marBottom w:val="0"/>
      <w:divBdr>
        <w:top w:val="none" w:sz="0" w:space="0" w:color="auto"/>
        <w:left w:val="none" w:sz="0" w:space="0" w:color="auto"/>
        <w:bottom w:val="none" w:sz="0" w:space="0" w:color="auto"/>
        <w:right w:val="none" w:sz="0" w:space="0" w:color="auto"/>
      </w:divBdr>
    </w:div>
    <w:div w:id="846020420">
      <w:bodyDiv w:val="1"/>
      <w:marLeft w:val="0"/>
      <w:marRight w:val="0"/>
      <w:marTop w:val="0"/>
      <w:marBottom w:val="0"/>
      <w:divBdr>
        <w:top w:val="none" w:sz="0" w:space="0" w:color="auto"/>
        <w:left w:val="none" w:sz="0" w:space="0" w:color="auto"/>
        <w:bottom w:val="none" w:sz="0" w:space="0" w:color="auto"/>
        <w:right w:val="none" w:sz="0" w:space="0" w:color="auto"/>
      </w:divBdr>
    </w:div>
    <w:div w:id="1048797938">
      <w:bodyDiv w:val="1"/>
      <w:marLeft w:val="0"/>
      <w:marRight w:val="0"/>
      <w:marTop w:val="0"/>
      <w:marBottom w:val="0"/>
      <w:divBdr>
        <w:top w:val="none" w:sz="0" w:space="0" w:color="auto"/>
        <w:left w:val="none" w:sz="0" w:space="0" w:color="auto"/>
        <w:bottom w:val="none" w:sz="0" w:space="0" w:color="auto"/>
        <w:right w:val="none" w:sz="0" w:space="0" w:color="auto"/>
      </w:divBdr>
    </w:div>
    <w:div w:id="1084104519">
      <w:bodyDiv w:val="1"/>
      <w:marLeft w:val="0"/>
      <w:marRight w:val="0"/>
      <w:marTop w:val="0"/>
      <w:marBottom w:val="0"/>
      <w:divBdr>
        <w:top w:val="none" w:sz="0" w:space="0" w:color="auto"/>
        <w:left w:val="none" w:sz="0" w:space="0" w:color="auto"/>
        <w:bottom w:val="none" w:sz="0" w:space="0" w:color="auto"/>
        <w:right w:val="none" w:sz="0" w:space="0" w:color="auto"/>
      </w:divBdr>
    </w:div>
    <w:div w:id="1109399296">
      <w:bodyDiv w:val="1"/>
      <w:marLeft w:val="0"/>
      <w:marRight w:val="0"/>
      <w:marTop w:val="0"/>
      <w:marBottom w:val="0"/>
      <w:divBdr>
        <w:top w:val="none" w:sz="0" w:space="0" w:color="auto"/>
        <w:left w:val="none" w:sz="0" w:space="0" w:color="auto"/>
        <w:bottom w:val="none" w:sz="0" w:space="0" w:color="auto"/>
        <w:right w:val="none" w:sz="0" w:space="0" w:color="auto"/>
      </w:divBdr>
    </w:div>
    <w:div w:id="1177840734">
      <w:bodyDiv w:val="1"/>
      <w:marLeft w:val="0"/>
      <w:marRight w:val="0"/>
      <w:marTop w:val="0"/>
      <w:marBottom w:val="0"/>
      <w:divBdr>
        <w:top w:val="none" w:sz="0" w:space="0" w:color="auto"/>
        <w:left w:val="none" w:sz="0" w:space="0" w:color="auto"/>
        <w:bottom w:val="none" w:sz="0" w:space="0" w:color="auto"/>
        <w:right w:val="none" w:sz="0" w:space="0" w:color="auto"/>
      </w:divBdr>
    </w:div>
    <w:div w:id="1418289648">
      <w:bodyDiv w:val="1"/>
      <w:marLeft w:val="0"/>
      <w:marRight w:val="0"/>
      <w:marTop w:val="0"/>
      <w:marBottom w:val="0"/>
      <w:divBdr>
        <w:top w:val="none" w:sz="0" w:space="0" w:color="auto"/>
        <w:left w:val="none" w:sz="0" w:space="0" w:color="auto"/>
        <w:bottom w:val="none" w:sz="0" w:space="0" w:color="auto"/>
        <w:right w:val="none" w:sz="0" w:space="0" w:color="auto"/>
      </w:divBdr>
      <w:divsChild>
        <w:div w:id="727725102">
          <w:marLeft w:val="0"/>
          <w:marRight w:val="0"/>
          <w:marTop w:val="0"/>
          <w:marBottom w:val="0"/>
          <w:divBdr>
            <w:top w:val="none" w:sz="0" w:space="0" w:color="auto"/>
            <w:left w:val="none" w:sz="0" w:space="0" w:color="auto"/>
            <w:bottom w:val="none" w:sz="0" w:space="0" w:color="auto"/>
            <w:right w:val="none" w:sz="0" w:space="0" w:color="auto"/>
          </w:divBdr>
        </w:div>
        <w:div w:id="837426760">
          <w:marLeft w:val="0"/>
          <w:marRight w:val="0"/>
          <w:marTop w:val="0"/>
          <w:marBottom w:val="0"/>
          <w:divBdr>
            <w:top w:val="none" w:sz="0" w:space="0" w:color="auto"/>
            <w:left w:val="none" w:sz="0" w:space="0" w:color="auto"/>
            <w:bottom w:val="none" w:sz="0" w:space="0" w:color="auto"/>
            <w:right w:val="none" w:sz="0" w:space="0" w:color="auto"/>
          </w:divBdr>
        </w:div>
        <w:div w:id="1112897637">
          <w:marLeft w:val="0"/>
          <w:marRight w:val="0"/>
          <w:marTop w:val="0"/>
          <w:marBottom w:val="0"/>
          <w:divBdr>
            <w:top w:val="none" w:sz="0" w:space="0" w:color="auto"/>
            <w:left w:val="none" w:sz="0" w:space="0" w:color="auto"/>
            <w:bottom w:val="none" w:sz="0" w:space="0" w:color="auto"/>
            <w:right w:val="none" w:sz="0" w:space="0" w:color="auto"/>
          </w:divBdr>
        </w:div>
        <w:div w:id="1723554380">
          <w:marLeft w:val="0"/>
          <w:marRight w:val="0"/>
          <w:marTop w:val="0"/>
          <w:marBottom w:val="0"/>
          <w:divBdr>
            <w:top w:val="none" w:sz="0" w:space="0" w:color="auto"/>
            <w:left w:val="none" w:sz="0" w:space="0" w:color="auto"/>
            <w:bottom w:val="none" w:sz="0" w:space="0" w:color="auto"/>
            <w:right w:val="none" w:sz="0" w:space="0" w:color="auto"/>
          </w:divBdr>
        </w:div>
      </w:divsChild>
    </w:div>
    <w:div w:id="1598826452">
      <w:bodyDiv w:val="1"/>
      <w:marLeft w:val="0"/>
      <w:marRight w:val="0"/>
      <w:marTop w:val="0"/>
      <w:marBottom w:val="0"/>
      <w:divBdr>
        <w:top w:val="none" w:sz="0" w:space="0" w:color="auto"/>
        <w:left w:val="none" w:sz="0" w:space="0" w:color="auto"/>
        <w:bottom w:val="none" w:sz="0" w:space="0" w:color="auto"/>
        <w:right w:val="none" w:sz="0" w:space="0" w:color="auto"/>
      </w:divBdr>
    </w:div>
    <w:div w:id="1614825642">
      <w:bodyDiv w:val="1"/>
      <w:marLeft w:val="0"/>
      <w:marRight w:val="0"/>
      <w:marTop w:val="0"/>
      <w:marBottom w:val="0"/>
      <w:divBdr>
        <w:top w:val="none" w:sz="0" w:space="0" w:color="auto"/>
        <w:left w:val="none" w:sz="0" w:space="0" w:color="auto"/>
        <w:bottom w:val="none" w:sz="0" w:space="0" w:color="auto"/>
        <w:right w:val="none" w:sz="0" w:space="0" w:color="auto"/>
      </w:divBdr>
      <w:divsChild>
        <w:div w:id="1380326271">
          <w:marLeft w:val="0"/>
          <w:marRight w:val="0"/>
          <w:marTop w:val="0"/>
          <w:marBottom w:val="0"/>
          <w:divBdr>
            <w:top w:val="none" w:sz="0" w:space="0" w:color="auto"/>
            <w:left w:val="none" w:sz="0" w:space="0" w:color="auto"/>
            <w:bottom w:val="none" w:sz="0" w:space="0" w:color="auto"/>
            <w:right w:val="none" w:sz="0" w:space="0" w:color="auto"/>
          </w:divBdr>
        </w:div>
      </w:divsChild>
    </w:div>
    <w:div w:id="1811899954">
      <w:bodyDiv w:val="1"/>
      <w:marLeft w:val="0"/>
      <w:marRight w:val="0"/>
      <w:marTop w:val="0"/>
      <w:marBottom w:val="0"/>
      <w:divBdr>
        <w:top w:val="none" w:sz="0" w:space="0" w:color="auto"/>
        <w:left w:val="none" w:sz="0" w:space="0" w:color="auto"/>
        <w:bottom w:val="none" w:sz="0" w:space="0" w:color="auto"/>
        <w:right w:val="none" w:sz="0" w:space="0" w:color="auto"/>
      </w:divBdr>
    </w:div>
    <w:div w:id="1833332135">
      <w:bodyDiv w:val="1"/>
      <w:marLeft w:val="0"/>
      <w:marRight w:val="0"/>
      <w:marTop w:val="0"/>
      <w:marBottom w:val="0"/>
      <w:divBdr>
        <w:top w:val="none" w:sz="0" w:space="0" w:color="auto"/>
        <w:left w:val="none" w:sz="0" w:space="0" w:color="auto"/>
        <w:bottom w:val="none" w:sz="0" w:space="0" w:color="auto"/>
        <w:right w:val="none" w:sz="0" w:space="0" w:color="auto"/>
      </w:divBdr>
    </w:div>
    <w:div w:id="1876575630">
      <w:bodyDiv w:val="1"/>
      <w:marLeft w:val="0"/>
      <w:marRight w:val="0"/>
      <w:marTop w:val="0"/>
      <w:marBottom w:val="0"/>
      <w:divBdr>
        <w:top w:val="none" w:sz="0" w:space="0" w:color="auto"/>
        <w:left w:val="none" w:sz="0" w:space="0" w:color="auto"/>
        <w:bottom w:val="none" w:sz="0" w:space="0" w:color="auto"/>
        <w:right w:val="none" w:sz="0" w:space="0" w:color="auto"/>
      </w:divBdr>
    </w:div>
    <w:div w:id="1929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ho.epa.gov/" TargetMode="External"/><Relationship Id="rId2" Type="http://schemas.openxmlformats.org/officeDocument/2006/relationships/customXml" Target="../customXml/item2.xml"/><Relationship Id="rId16" Type="http://schemas.openxmlformats.org/officeDocument/2006/relationships/hyperlink" Target="https://enviro.epa.gov/" TargetMode="External"/><Relationship Id="rId20" Type="http://schemas.openxmlformats.org/officeDocument/2006/relationships/hyperlink" Target="https://www.epa.gov/compliance/clean-water-act-national-pollutant-discharge-elimination-system-compliance-monito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31BD0C33BAD64288857839A46BF86B" ma:contentTypeVersion="8" ma:contentTypeDescription="Create a new document." ma:contentTypeScope="" ma:versionID="e28120222ee3988fc4099c7aeb1ad5a9">
  <xsd:schema xmlns:xsd="http://www.w3.org/2001/XMLSchema" xmlns:xs="http://www.w3.org/2001/XMLSchema" xmlns:p="http://schemas.microsoft.com/office/2006/metadata/properties" xmlns:ns2="ed983d5d-4605-47b3-9553-ae8f996e7008" xmlns:ns3="7138c699-0ba8-4221-bcb1-0839d67cf982" targetNamespace="http://schemas.microsoft.com/office/2006/metadata/properties" ma:root="true" ma:fieldsID="c6fb90282a817f4755a8a6bfacdccc31" ns2:_="" ns3:_="">
    <xsd:import namespace="ed983d5d-4605-47b3-9553-ae8f996e7008"/>
    <xsd:import namespace="7138c699-0ba8-4221-bcb1-0839d67c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3d5d-4605-47b3-9553-ae8f996e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8c699-0ba8-4221-bcb1-0839d67cf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B24C4-9A4D-4B86-A2F3-E37E03D56DF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0818814C-7A6F-4AFD-8ED0-9E08C016E072}">
  <ds:schemaRefs>
    <ds:schemaRef ds:uri="http://schemas.openxmlformats.org/officeDocument/2006/bibliography"/>
  </ds:schemaRefs>
</ds:datastoreItem>
</file>

<file path=customXml/itemProps3.xml><?xml version="1.0" encoding="utf-8"?>
<ds:datastoreItem xmlns:ds="http://schemas.openxmlformats.org/officeDocument/2006/customXml" ds:itemID="{7AAD0E89-9506-4DEF-AE46-554DE6B51835}">
  <ds:schemaRefs>
    <ds:schemaRef ds:uri="http://schemas.microsoft.com/sharepoint/v3/contenttype/forms"/>
  </ds:schemaRefs>
</ds:datastoreItem>
</file>

<file path=customXml/itemProps4.xml><?xml version="1.0" encoding="utf-8"?>
<ds:datastoreItem xmlns:ds="http://schemas.openxmlformats.org/officeDocument/2006/customXml" ds:itemID="{C3F8C38F-ECA1-4FAE-B62E-783336C5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3d5d-4605-47b3-9553-ae8f996e7008"/>
    <ds:schemaRef ds:uri="7138c699-0ba8-4221-bcb1-0839d67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77</Pages>
  <Words>26361</Words>
  <Characters>150262</Characters>
  <Application>Microsoft Office Word</Application>
  <DocSecurity>4</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176271</CharactersWithSpaces>
  <SharedDoc>false</SharedDoc>
  <HLinks>
    <vt:vector size="426" baseType="variant">
      <vt:variant>
        <vt:i4>5570578</vt:i4>
      </vt:variant>
      <vt:variant>
        <vt:i4>504</vt:i4>
      </vt:variant>
      <vt:variant>
        <vt:i4>0</vt:i4>
      </vt:variant>
      <vt:variant>
        <vt:i4>5</vt:i4>
      </vt:variant>
      <vt:variant>
        <vt:lpwstr>http://www2.epa.gov/compliance/clean-water-act-national-pollutant-discharge-elimination-system-compliance-monitoring</vt:lpwstr>
      </vt:variant>
      <vt:variant>
        <vt:lpwstr/>
      </vt:variant>
      <vt:variant>
        <vt:i4>1245233</vt:i4>
      </vt:variant>
      <vt:variant>
        <vt:i4>494</vt:i4>
      </vt:variant>
      <vt:variant>
        <vt:i4>0</vt:i4>
      </vt:variant>
      <vt:variant>
        <vt:i4>5</vt:i4>
      </vt:variant>
      <vt:variant>
        <vt:lpwstr/>
      </vt:variant>
      <vt:variant>
        <vt:lpwstr>_Toc61521433</vt:lpwstr>
      </vt:variant>
      <vt:variant>
        <vt:i4>1179697</vt:i4>
      </vt:variant>
      <vt:variant>
        <vt:i4>488</vt:i4>
      </vt:variant>
      <vt:variant>
        <vt:i4>0</vt:i4>
      </vt:variant>
      <vt:variant>
        <vt:i4>5</vt:i4>
      </vt:variant>
      <vt:variant>
        <vt:lpwstr/>
      </vt:variant>
      <vt:variant>
        <vt:lpwstr>_Toc61521432</vt:lpwstr>
      </vt:variant>
      <vt:variant>
        <vt:i4>1114161</vt:i4>
      </vt:variant>
      <vt:variant>
        <vt:i4>482</vt:i4>
      </vt:variant>
      <vt:variant>
        <vt:i4>0</vt:i4>
      </vt:variant>
      <vt:variant>
        <vt:i4>5</vt:i4>
      </vt:variant>
      <vt:variant>
        <vt:lpwstr/>
      </vt:variant>
      <vt:variant>
        <vt:lpwstr>_Toc61521431</vt:lpwstr>
      </vt:variant>
      <vt:variant>
        <vt:i4>1048625</vt:i4>
      </vt:variant>
      <vt:variant>
        <vt:i4>476</vt:i4>
      </vt:variant>
      <vt:variant>
        <vt:i4>0</vt:i4>
      </vt:variant>
      <vt:variant>
        <vt:i4>5</vt:i4>
      </vt:variant>
      <vt:variant>
        <vt:lpwstr/>
      </vt:variant>
      <vt:variant>
        <vt:lpwstr>_Toc61521430</vt:lpwstr>
      </vt:variant>
      <vt:variant>
        <vt:i4>1638448</vt:i4>
      </vt:variant>
      <vt:variant>
        <vt:i4>470</vt:i4>
      </vt:variant>
      <vt:variant>
        <vt:i4>0</vt:i4>
      </vt:variant>
      <vt:variant>
        <vt:i4>5</vt:i4>
      </vt:variant>
      <vt:variant>
        <vt:lpwstr/>
      </vt:variant>
      <vt:variant>
        <vt:lpwstr>_Toc61521429</vt:lpwstr>
      </vt:variant>
      <vt:variant>
        <vt:i4>1572912</vt:i4>
      </vt:variant>
      <vt:variant>
        <vt:i4>464</vt:i4>
      </vt:variant>
      <vt:variant>
        <vt:i4>0</vt:i4>
      </vt:variant>
      <vt:variant>
        <vt:i4>5</vt:i4>
      </vt:variant>
      <vt:variant>
        <vt:lpwstr/>
      </vt:variant>
      <vt:variant>
        <vt:lpwstr>_Toc61521428</vt:lpwstr>
      </vt:variant>
      <vt:variant>
        <vt:i4>1507376</vt:i4>
      </vt:variant>
      <vt:variant>
        <vt:i4>458</vt:i4>
      </vt:variant>
      <vt:variant>
        <vt:i4>0</vt:i4>
      </vt:variant>
      <vt:variant>
        <vt:i4>5</vt:i4>
      </vt:variant>
      <vt:variant>
        <vt:lpwstr/>
      </vt:variant>
      <vt:variant>
        <vt:lpwstr>_Toc61521427</vt:lpwstr>
      </vt:variant>
      <vt:variant>
        <vt:i4>1441840</vt:i4>
      </vt:variant>
      <vt:variant>
        <vt:i4>452</vt:i4>
      </vt:variant>
      <vt:variant>
        <vt:i4>0</vt:i4>
      </vt:variant>
      <vt:variant>
        <vt:i4>5</vt:i4>
      </vt:variant>
      <vt:variant>
        <vt:lpwstr/>
      </vt:variant>
      <vt:variant>
        <vt:lpwstr>_Toc61521426</vt:lpwstr>
      </vt:variant>
      <vt:variant>
        <vt:i4>1376304</vt:i4>
      </vt:variant>
      <vt:variant>
        <vt:i4>446</vt:i4>
      </vt:variant>
      <vt:variant>
        <vt:i4>0</vt:i4>
      </vt:variant>
      <vt:variant>
        <vt:i4>5</vt:i4>
      </vt:variant>
      <vt:variant>
        <vt:lpwstr/>
      </vt:variant>
      <vt:variant>
        <vt:lpwstr>_Toc61521425</vt:lpwstr>
      </vt:variant>
      <vt:variant>
        <vt:i4>1310768</vt:i4>
      </vt:variant>
      <vt:variant>
        <vt:i4>440</vt:i4>
      </vt:variant>
      <vt:variant>
        <vt:i4>0</vt:i4>
      </vt:variant>
      <vt:variant>
        <vt:i4>5</vt:i4>
      </vt:variant>
      <vt:variant>
        <vt:lpwstr/>
      </vt:variant>
      <vt:variant>
        <vt:lpwstr>_Toc61521424</vt:lpwstr>
      </vt:variant>
      <vt:variant>
        <vt:i4>1245232</vt:i4>
      </vt:variant>
      <vt:variant>
        <vt:i4>434</vt:i4>
      </vt:variant>
      <vt:variant>
        <vt:i4>0</vt:i4>
      </vt:variant>
      <vt:variant>
        <vt:i4>5</vt:i4>
      </vt:variant>
      <vt:variant>
        <vt:lpwstr/>
      </vt:variant>
      <vt:variant>
        <vt:lpwstr>_Toc61521423</vt:lpwstr>
      </vt:variant>
      <vt:variant>
        <vt:i4>1179696</vt:i4>
      </vt:variant>
      <vt:variant>
        <vt:i4>428</vt:i4>
      </vt:variant>
      <vt:variant>
        <vt:i4>0</vt:i4>
      </vt:variant>
      <vt:variant>
        <vt:i4>5</vt:i4>
      </vt:variant>
      <vt:variant>
        <vt:lpwstr/>
      </vt:variant>
      <vt:variant>
        <vt:lpwstr>_Toc61521422</vt:lpwstr>
      </vt:variant>
      <vt:variant>
        <vt:i4>1114160</vt:i4>
      </vt:variant>
      <vt:variant>
        <vt:i4>422</vt:i4>
      </vt:variant>
      <vt:variant>
        <vt:i4>0</vt:i4>
      </vt:variant>
      <vt:variant>
        <vt:i4>5</vt:i4>
      </vt:variant>
      <vt:variant>
        <vt:lpwstr/>
      </vt:variant>
      <vt:variant>
        <vt:lpwstr>_Toc61521421</vt:lpwstr>
      </vt:variant>
      <vt:variant>
        <vt:i4>1048624</vt:i4>
      </vt:variant>
      <vt:variant>
        <vt:i4>416</vt:i4>
      </vt:variant>
      <vt:variant>
        <vt:i4>0</vt:i4>
      </vt:variant>
      <vt:variant>
        <vt:i4>5</vt:i4>
      </vt:variant>
      <vt:variant>
        <vt:lpwstr/>
      </vt:variant>
      <vt:variant>
        <vt:lpwstr>_Toc61521420</vt:lpwstr>
      </vt:variant>
      <vt:variant>
        <vt:i4>1638451</vt:i4>
      </vt:variant>
      <vt:variant>
        <vt:i4>410</vt:i4>
      </vt:variant>
      <vt:variant>
        <vt:i4>0</vt:i4>
      </vt:variant>
      <vt:variant>
        <vt:i4>5</vt:i4>
      </vt:variant>
      <vt:variant>
        <vt:lpwstr/>
      </vt:variant>
      <vt:variant>
        <vt:lpwstr>_Toc61521419</vt:lpwstr>
      </vt:variant>
      <vt:variant>
        <vt:i4>1572915</vt:i4>
      </vt:variant>
      <vt:variant>
        <vt:i4>404</vt:i4>
      </vt:variant>
      <vt:variant>
        <vt:i4>0</vt:i4>
      </vt:variant>
      <vt:variant>
        <vt:i4>5</vt:i4>
      </vt:variant>
      <vt:variant>
        <vt:lpwstr/>
      </vt:variant>
      <vt:variant>
        <vt:lpwstr>_Toc61521418</vt:lpwstr>
      </vt:variant>
      <vt:variant>
        <vt:i4>1507379</vt:i4>
      </vt:variant>
      <vt:variant>
        <vt:i4>398</vt:i4>
      </vt:variant>
      <vt:variant>
        <vt:i4>0</vt:i4>
      </vt:variant>
      <vt:variant>
        <vt:i4>5</vt:i4>
      </vt:variant>
      <vt:variant>
        <vt:lpwstr/>
      </vt:variant>
      <vt:variant>
        <vt:lpwstr>_Toc61521417</vt:lpwstr>
      </vt:variant>
      <vt:variant>
        <vt:i4>1441843</vt:i4>
      </vt:variant>
      <vt:variant>
        <vt:i4>392</vt:i4>
      </vt:variant>
      <vt:variant>
        <vt:i4>0</vt:i4>
      </vt:variant>
      <vt:variant>
        <vt:i4>5</vt:i4>
      </vt:variant>
      <vt:variant>
        <vt:lpwstr/>
      </vt:variant>
      <vt:variant>
        <vt:lpwstr>_Toc61521416</vt:lpwstr>
      </vt:variant>
      <vt:variant>
        <vt:i4>1376307</vt:i4>
      </vt:variant>
      <vt:variant>
        <vt:i4>386</vt:i4>
      </vt:variant>
      <vt:variant>
        <vt:i4>0</vt:i4>
      </vt:variant>
      <vt:variant>
        <vt:i4>5</vt:i4>
      </vt:variant>
      <vt:variant>
        <vt:lpwstr/>
      </vt:variant>
      <vt:variant>
        <vt:lpwstr>_Toc61521415</vt:lpwstr>
      </vt:variant>
      <vt:variant>
        <vt:i4>1310771</vt:i4>
      </vt:variant>
      <vt:variant>
        <vt:i4>380</vt:i4>
      </vt:variant>
      <vt:variant>
        <vt:i4>0</vt:i4>
      </vt:variant>
      <vt:variant>
        <vt:i4>5</vt:i4>
      </vt:variant>
      <vt:variant>
        <vt:lpwstr/>
      </vt:variant>
      <vt:variant>
        <vt:lpwstr>_Toc61521414</vt:lpwstr>
      </vt:variant>
      <vt:variant>
        <vt:i4>1245235</vt:i4>
      </vt:variant>
      <vt:variant>
        <vt:i4>374</vt:i4>
      </vt:variant>
      <vt:variant>
        <vt:i4>0</vt:i4>
      </vt:variant>
      <vt:variant>
        <vt:i4>5</vt:i4>
      </vt:variant>
      <vt:variant>
        <vt:lpwstr/>
      </vt:variant>
      <vt:variant>
        <vt:lpwstr>_Toc61521413</vt:lpwstr>
      </vt:variant>
      <vt:variant>
        <vt:i4>1179699</vt:i4>
      </vt:variant>
      <vt:variant>
        <vt:i4>368</vt:i4>
      </vt:variant>
      <vt:variant>
        <vt:i4>0</vt:i4>
      </vt:variant>
      <vt:variant>
        <vt:i4>5</vt:i4>
      </vt:variant>
      <vt:variant>
        <vt:lpwstr/>
      </vt:variant>
      <vt:variant>
        <vt:lpwstr>_Toc61521412</vt:lpwstr>
      </vt:variant>
      <vt:variant>
        <vt:i4>1507391</vt:i4>
      </vt:variant>
      <vt:variant>
        <vt:i4>359</vt:i4>
      </vt:variant>
      <vt:variant>
        <vt:i4>0</vt:i4>
      </vt:variant>
      <vt:variant>
        <vt:i4>5</vt:i4>
      </vt:variant>
      <vt:variant>
        <vt:lpwstr/>
      </vt:variant>
      <vt:variant>
        <vt:lpwstr>_Toc71729162</vt:lpwstr>
      </vt:variant>
      <vt:variant>
        <vt:i4>1310783</vt:i4>
      </vt:variant>
      <vt:variant>
        <vt:i4>353</vt:i4>
      </vt:variant>
      <vt:variant>
        <vt:i4>0</vt:i4>
      </vt:variant>
      <vt:variant>
        <vt:i4>5</vt:i4>
      </vt:variant>
      <vt:variant>
        <vt:lpwstr/>
      </vt:variant>
      <vt:variant>
        <vt:lpwstr>_Toc71729161</vt:lpwstr>
      </vt:variant>
      <vt:variant>
        <vt:i4>1376319</vt:i4>
      </vt:variant>
      <vt:variant>
        <vt:i4>347</vt:i4>
      </vt:variant>
      <vt:variant>
        <vt:i4>0</vt:i4>
      </vt:variant>
      <vt:variant>
        <vt:i4>5</vt:i4>
      </vt:variant>
      <vt:variant>
        <vt:lpwstr/>
      </vt:variant>
      <vt:variant>
        <vt:lpwstr>_Toc71729160</vt:lpwstr>
      </vt:variant>
      <vt:variant>
        <vt:i4>1835068</vt:i4>
      </vt:variant>
      <vt:variant>
        <vt:i4>341</vt:i4>
      </vt:variant>
      <vt:variant>
        <vt:i4>0</vt:i4>
      </vt:variant>
      <vt:variant>
        <vt:i4>5</vt:i4>
      </vt:variant>
      <vt:variant>
        <vt:lpwstr/>
      </vt:variant>
      <vt:variant>
        <vt:lpwstr>_Toc71729159</vt:lpwstr>
      </vt:variant>
      <vt:variant>
        <vt:i4>1900604</vt:i4>
      </vt:variant>
      <vt:variant>
        <vt:i4>335</vt:i4>
      </vt:variant>
      <vt:variant>
        <vt:i4>0</vt:i4>
      </vt:variant>
      <vt:variant>
        <vt:i4>5</vt:i4>
      </vt:variant>
      <vt:variant>
        <vt:lpwstr/>
      </vt:variant>
      <vt:variant>
        <vt:lpwstr>_Toc71729158</vt:lpwstr>
      </vt:variant>
      <vt:variant>
        <vt:i4>1179708</vt:i4>
      </vt:variant>
      <vt:variant>
        <vt:i4>329</vt:i4>
      </vt:variant>
      <vt:variant>
        <vt:i4>0</vt:i4>
      </vt:variant>
      <vt:variant>
        <vt:i4>5</vt:i4>
      </vt:variant>
      <vt:variant>
        <vt:lpwstr/>
      </vt:variant>
      <vt:variant>
        <vt:lpwstr>_Toc71729157</vt:lpwstr>
      </vt:variant>
      <vt:variant>
        <vt:i4>1245244</vt:i4>
      </vt:variant>
      <vt:variant>
        <vt:i4>323</vt:i4>
      </vt:variant>
      <vt:variant>
        <vt:i4>0</vt:i4>
      </vt:variant>
      <vt:variant>
        <vt:i4>5</vt:i4>
      </vt:variant>
      <vt:variant>
        <vt:lpwstr/>
      </vt:variant>
      <vt:variant>
        <vt:lpwstr>_Toc71729156</vt:lpwstr>
      </vt:variant>
      <vt:variant>
        <vt:i4>1048636</vt:i4>
      </vt:variant>
      <vt:variant>
        <vt:i4>317</vt:i4>
      </vt:variant>
      <vt:variant>
        <vt:i4>0</vt:i4>
      </vt:variant>
      <vt:variant>
        <vt:i4>5</vt:i4>
      </vt:variant>
      <vt:variant>
        <vt:lpwstr/>
      </vt:variant>
      <vt:variant>
        <vt:lpwstr>_Toc71729155</vt:lpwstr>
      </vt:variant>
      <vt:variant>
        <vt:i4>1114172</vt:i4>
      </vt:variant>
      <vt:variant>
        <vt:i4>311</vt:i4>
      </vt:variant>
      <vt:variant>
        <vt:i4>0</vt:i4>
      </vt:variant>
      <vt:variant>
        <vt:i4>5</vt:i4>
      </vt:variant>
      <vt:variant>
        <vt:lpwstr/>
      </vt:variant>
      <vt:variant>
        <vt:lpwstr>_Toc71729154</vt:lpwstr>
      </vt:variant>
      <vt:variant>
        <vt:i4>1441852</vt:i4>
      </vt:variant>
      <vt:variant>
        <vt:i4>305</vt:i4>
      </vt:variant>
      <vt:variant>
        <vt:i4>0</vt:i4>
      </vt:variant>
      <vt:variant>
        <vt:i4>5</vt:i4>
      </vt:variant>
      <vt:variant>
        <vt:lpwstr/>
      </vt:variant>
      <vt:variant>
        <vt:lpwstr>_Toc71729153</vt:lpwstr>
      </vt:variant>
      <vt:variant>
        <vt:i4>1507388</vt:i4>
      </vt:variant>
      <vt:variant>
        <vt:i4>299</vt:i4>
      </vt:variant>
      <vt:variant>
        <vt:i4>0</vt:i4>
      </vt:variant>
      <vt:variant>
        <vt:i4>5</vt:i4>
      </vt:variant>
      <vt:variant>
        <vt:lpwstr/>
      </vt:variant>
      <vt:variant>
        <vt:lpwstr>_Toc71729152</vt:lpwstr>
      </vt:variant>
      <vt:variant>
        <vt:i4>1310780</vt:i4>
      </vt:variant>
      <vt:variant>
        <vt:i4>293</vt:i4>
      </vt:variant>
      <vt:variant>
        <vt:i4>0</vt:i4>
      </vt:variant>
      <vt:variant>
        <vt:i4>5</vt:i4>
      </vt:variant>
      <vt:variant>
        <vt:lpwstr/>
      </vt:variant>
      <vt:variant>
        <vt:lpwstr>_Toc71729151</vt:lpwstr>
      </vt:variant>
      <vt:variant>
        <vt:i4>1376316</vt:i4>
      </vt:variant>
      <vt:variant>
        <vt:i4>287</vt:i4>
      </vt:variant>
      <vt:variant>
        <vt:i4>0</vt:i4>
      </vt:variant>
      <vt:variant>
        <vt:i4>5</vt:i4>
      </vt:variant>
      <vt:variant>
        <vt:lpwstr/>
      </vt:variant>
      <vt:variant>
        <vt:lpwstr>_Toc71729150</vt:lpwstr>
      </vt:variant>
      <vt:variant>
        <vt:i4>1835069</vt:i4>
      </vt:variant>
      <vt:variant>
        <vt:i4>281</vt:i4>
      </vt:variant>
      <vt:variant>
        <vt:i4>0</vt:i4>
      </vt:variant>
      <vt:variant>
        <vt:i4>5</vt:i4>
      </vt:variant>
      <vt:variant>
        <vt:lpwstr/>
      </vt:variant>
      <vt:variant>
        <vt:lpwstr>_Toc71729149</vt:lpwstr>
      </vt:variant>
      <vt:variant>
        <vt:i4>1900605</vt:i4>
      </vt:variant>
      <vt:variant>
        <vt:i4>275</vt:i4>
      </vt:variant>
      <vt:variant>
        <vt:i4>0</vt:i4>
      </vt:variant>
      <vt:variant>
        <vt:i4>5</vt:i4>
      </vt:variant>
      <vt:variant>
        <vt:lpwstr/>
      </vt:variant>
      <vt:variant>
        <vt:lpwstr>_Toc71729148</vt:lpwstr>
      </vt:variant>
      <vt:variant>
        <vt:i4>524370</vt:i4>
      </vt:variant>
      <vt:variant>
        <vt:i4>270</vt:i4>
      </vt:variant>
      <vt:variant>
        <vt:i4>0</vt:i4>
      </vt:variant>
      <vt:variant>
        <vt:i4>5</vt:i4>
      </vt:variant>
      <vt:variant>
        <vt:lpwstr>https://echo.epa.gov/</vt:lpwstr>
      </vt:variant>
      <vt:variant>
        <vt:lpwstr/>
      </vt:variant>
      <vt:variant>
        <vt:i4>917528</vt:i4>
      </vt:variant>
      <vt:variant>
        <vt:i4>267</vt:i4>
      </vt:variant>
      <vt:variant>
        <vt:i4>0</vt:i4>
      </vt:variant>
      <vt:variant>
        <vt:i4>5</vt:i4>
      </vt:variant>
      <vt:variant>
        <vt:lpwstr>https://www3.epa.gov/enviro/</vt:lpwstr>
      </vt:variant>
      <vt:variant>
        <vt:lpwstr/>
      </vt:variant>
      <vt:variant>
        <vt:i4>1114166</vt:i4>
      </vt:variant>
      <vt:variant>
        <vt:i4>185</vt:i4>
      </vt:variant>
      <vt:variant>
        <vt:i4>0</vt:i4>
      </vt:variant>
      <vt:variant>
        <vt:i4>5</vt:i4>
      </vt:variant>
      <vt:variant>
        <vt:lpwstr/>
      </vt:variant>
      <vt:variant>
        <vt:lpwstr>_Toc61521441</vt:lpwstr>
      </vt:variant>
      <vt:variant>
        <vt:i4>1048630</vt:i4>
      </vt:variant>
      <vt:variant>
        <vt:i4>179</vt:i4>
      </vt:variant>
      <vt:variant>
        <vt:i4>0</vt:i4>
      </vt:variant>
      <vt:variant>
        <vt:i4>5</vt:i4>
      </vt:variant>
      <vt:variant>
        <vt:lpwstr/>
      </vt:variant>
      <vt:variant>
        <vt:lpwstr>_Toc61521440</vt:lpwstr>
      </vt:variant>
      <vt:variant>
        <vt:i4>1638449</vt:i4>
      </vt:variant>
      <vt:variant>
        <vt:i4>173</vt:i4>
      </vt:variant>
      <vt:variant>
        <vt:i4>0</vt:i4>
      </vt:variant>
      <vt:variant>
        <vt:i4>5</vt:i4>
      </vt:variant>
      <vt:variant>
        <vt:lpwstr/>
      </vt:variant>
      <vt:variant>
        <vt:lpwstr>_Toc61521439</vt:lpwstr>
      </vt:variant>
      <vt:variant>
        <vt:i4>1572913</vt:i4>
      </vt:variant>
      <vt:variant>
        <vt:i4>167</vt:i4>
      </vt:variant>
      <vt:variant>
        <vt:i4>0</vt:i4>
      </vt:variant>
      <vt:variant>
        <vt:i4>5</vt:i4>
      </vt:variant>
      <vt:variant>
        <vt:lpwstr/>
      </vt:variant>
      <vt:variant>
        <vt:lpwstr>_Toc61521438</vt:lpwstr>
      </vt:variant>
      <vt:variant>
        <vt:i4>1507377</vt:i4>
      </vt:variant>
      <vt:variant>
        <vt:i4>161</vt:i4>
      </vt:variant>
      <vt:variant>
        <vt:i4>0</vt:i4>
      </vt:variant>
      <vt:variant>
        <vt:i4>5</vt:i4>
      </vt:variant>
      <vt:variant>
        <vt:lpwstr/>
      </vt:variant>
      <vt:variant>
        <vt:lpwstr>_Toc61521437</vt:lpwstr>
      </vt:variant>
      <vt:variant>
        <vt:i4>1441841</vt:i4>
      </vt:variant>
      <vt:variant>
        <vt:i4>155</vt:i4>
      </vt:variant>
      <vt:variant>
        <vt:i4>0</vt:i4>
      </vt:variant>
      <vt:variant>
        <vt:i4>5</vt:i4>
      </vt:variant>
      <vt:variant>
        <vt:lpwstr/>
      </vt:variant>
      <vt:variant>
        <vt:lpwstr>_Toc61521436</vt:lpwstr>
      </vt:variant>
      <vt:variant>
        <vt:i4>1376305</vt:i4>
      </vt:variant>
      <vt:variant>
        <vt:i4>149</vt:i4>
      </vt:variant>
      <vt:variant>
        <vt:i4>0</vt:i4>
      </vt:variant>
      <vt:variant>
        <vt:i4>5</vt:i4>
      </vt:variant>
      <vt:variant>
        <vt:lpwstr/>
      </vt:variant>
      <vt:variant>
        <vt:lpwstr>_Toc61521435</vt:lpwstr>
      </vt:variant>
      <vt:variant>
        <vt:i4>1310769</vt:i4>
      </vt:variant>
      <vt:variant>
        <vt:i4>143</vt:i4>
      </vt:variant>
      <vt:variant>
        <vt:i4>0</vt:i4>
      </vt:variant>
      <vt:variant>
        <vt:i4>5</vt:i4>
      </vt:variant>
      <vt:variant>
        <vt:lpwstr/>
      </vt:variant>
      <vt:variant>
        <vt:lpwstr>_Toc61521434</vt:lpwstr>
      </vt:variant>
      <vt:variant>
        <vt:i4>1114168</vt:i4>
      </vt:variant>
      <vt:variant>
        <vt:i4>137</vt:i4>
      </vt:variant>
      <vt:variant>
        <vt:i4>0</vt:i4>
      </vt:variant>
      <vt:variant>
        <vt:i4>5</vt:i4>
      </vt:variant>
      <vt:variant>
        <vt:lpwstr/>
      </vt:variant>
      <vt:variant>
        <vt:lpwstr>_Toc61512294</vt:lpwstr>
      </vt:variant>
      <vt:variant>
        <vt:i4>1900592</vt:i4>
      </vt:variant>
      <vt:variant>
        <vt:i4>128</vt:i4>
      </vt:variant>
      <vt:variant>
        <vt:i4>0</vt:i4>
      </vt:variant>
      <vt:variant>
        <vt:i4>5</vt:i4>
      </vt:variant>
      <vt:variant>
        <vt:lpwstr/>
      </vt:variant>
      <vt:variant>
        <vt:lpwstr>_Toc71730008</vt:lpwstr>
      </vt:variant>
      <vt:variant>
        <vt:i4>1179696</vt:i4>
      </vt:variant>
      <vt:variant>
        <vt:i4>122</vt:i4>
      </vt:variant>
      <vt:variant>
        <vt:i4>0</vt:i4>
      </vt:variant>
      <vt:variant>
        <vt:i4>5</vt:i4>
      </vt:variant>
      <vt:variant>
        <vt:lpwstr/>
      </vt:variant>
      <vt:variant>
        <vt:lpwstr>_Toc71730007</vt:lpwstr>
      </vt:variant>
      <vt:variant>
        <vt:i4>1245232</vt:i4>
      </vt:variant>
      <vt:variant>
        <vt:i4>116</vt:i4>
      </vt:variant>
      <vt:variant>
        <vt:i4>0</vt:i4>
      </vt:variant>
      <vt:variant>
        <vt:i4>5</vt:i4>
      </vt:variant>
      <vt:variant>
        <vt:lpwstr/>
      </vt:variant>
      <vt:variant>
        <vt:lpwstr>_Toc71730006</vt:lpwstr>
      </vt:variant>
      <vt:variant>
        <vt:i4>1048624</vt:i4>
      </vt:variant>
      <vt:variant>
        <vt:i4>110</vt:i4>
      </vt:variant>
      <vt:variant>
        <vt:i4>0</vt:i4>
      </vt:variant>
      <vt:variant>
        <vt:i4>5</vt:i4>
      </vt:variant>
      <vt:variant>
        <vt:lpwstr/>
      </vt:variant>
      <vt:variant>
        <vt:lpwstr>_Toc71730005</vt:lpwstr>
      </vt:variant>
      <vt:variant>
        <vt:i4>1114160</vt:i4>
      </vt:variant>
      <vt:variant>
        <vt:i4>104</vt:i4>
      </vt:variant>
      <vt:variant>
        <vt:i4>0</vt:i4>
      </vt:variant>
      <vt:variant>
        <vt:i4>5</vt:i4>
      </vt:variant>
      <vt:variant>
        <vt:lpwstr/>
      </vt:variant>
      <vt:variant>
        <vt:lpwstr>_Toc71730004</vt:lpwstr>
      </vt:variant>
      <vt:variant>
        <vt:i4>1441840</vt:i4>
      </vt:variant>
      <vt:variant>
        <vt:i4>98</vt:i4>
      </vt:variant>
      <vt:variant>
        <vt:i4>0</vt:i4>
      </vt:variant>
      <vt:variant>
        <vt:i4>5</vt:i4>
      </vt:variant>
      <vt:variant>
        <vt:lpwstr/>
      </vt:variant>
      <vt:variant>
        <vt:lpwstr>_Toc71730003</vt:lpwstr>
      </vt:variant>
      <vt:variant>
        <vt:i4>1507376</vt:i4>
      </vt:variant>
      <vt:variant>
        <vt:i4>92</vt:i4>
      </vt:variant>
      <vt:variant>
        <vt:i4>0</vt:i4>
      </vt:variant>
      <vt:variant>
        <vt:i4>5</vt:i4>
      </vt:variant>
      <vt:variant>
        <vt:lpwstr/>
      </vt:variant>
      <vt:variant>
        <vt:lpwstr>_Toc71730002</vt:lpwstr>
      </vt:variant>
      <vt:variant>
        <vt:i4>1310768</vt:i4>
      </vt:variant>
      <vt:variant>
        <vt:i4>86</vt:i4>
      </vt:variant>
      <vt:variant>
        <vt:i4>0</vt:i4>
      </vt:variant>
      <vt:variant>
        <vt:i4>5</vt:i4>
      </vt:variant>
      <vt:variant>
        <vt:lpwstr/>
      </vt:variant>
      <vt:variant>
        <vt:lpwstr>_Toc71730001</vt:lpwstr>
      </vt:variant>
      <vt:variant>
        <vt:i4>1376304</vt:i4>
      </vt:variant>
      <vt:variant>
        <vt:i4>80</vt:i4>
      </vt:variant>
      <vt:variant>
        <vt:i4>0</vt:i4>
      </vt:variant>
      <vt:variant>
        <vt:i4>5</vt:i4>
      </vt:variant>
      <vt:variant>
        <vt:lpwstr/>
      </vt:variant>
      <vt:variant>
        <vt:lpwstr>_Toc71730000</vt:lpwstr>
      </vt:variant>
      <vt:variant>
        <vt:i4>1310768</vt:i4>
      </vt:variant>
      <vt:variant>
        <vt:i4>74</vt:i4>
      </vt:variant>
      <vt:variant>
        <vt:i4>0</vt:i4>
      </vt:variant>
      <vt:variant>
        <vt:i4>5</vt:i4>
      </vt:variant>
      <vt:variant>
        <vt:lpwstr/>
      </vt:variant>
      <vt:variant>
        <vt:lpwstr>_Toc71729999</vt:lpwstr>
      </vt:variant>
      <vt:variant>
        <vt:i4>1376304</vt:i4>
      </vt:variant>
      <vt:variant>
        <vt:i4>68</vt:i4>
      </vt:variant>
      <vt:variant>
        <vt:i4>0</vt:i4>
      </vt:variant>
      <vt:variant>
        <vt:i4>5</vt:i4>
      </vt:variant>
      <vt:variant>
        <vt:lpwstr/>
      </vt:variant>
      <vt:variant>
        <vt:lpwstr>_Toc71729998</vt:lpwstr>
      </vt:variant>
      <vt:variant>
        <vt:i4>1703984</vt:i4>
      </vt:variant>
      <vt:variant>
        <vt:i4>62</vt:i4>
      </vt:variant>
      <vt:variant>
        <vt:i4>0</vt:i4>
      </vt:variant>
      <vt:variant>
        <vt:i4>5</vt:i4>
      </vt:variant>
      <vt:variant>
        <vt:lpwstr/>
      </vt:variant>
      <vt:variant>
        <vt:lpwstr>_Toc71729997</vt:lpwstr>
      </vt:variant>
      <vt:variant>
        <vt:i4>1769520</vt:i4>
      </vt:variant>
      <vt:variant>
        <vt:i4>56</vt:i4>
      </vt:variant>
      <vt:variant>
        <vt:i4>0</vt:i4>
      </vt:variant>
      <vt:variant>
        <vt:i4>5</vt:i4>
      </vt:variant>
      <vt:variant>
        <vt:lpwstr/>
      </vt:variant>
      <vt:variant>
        <vt:lpwstr>_Toc71729996</vt:lpwstr>
      </vt:variant>
      <vt:variant>
        <vt:i4>1572912</vt:i4>
      </vt:variant>
      <vt:variant>
        <vt:i4>50</vt:i4>
      </vt:variant>
      <vt:variant>
        <vt:i4>0</vt:i4>
      </vt:variant>
      <vt:variant>
        <vt:i4>5</vt:i4>
      </vt:variant>
      <vt:variant>
        <vt:lpwstr/>
      </vt:variant>
      <vt:variant>
        <vt:lpwstr>_Toc71729995</vt:lpwstr>
      </vt:variant>
      <vt:variant>
        <vt:i4>1638448</vt:i4>
      </vt:variant>
      <vt:variant>
        <vt:i4>44</vt:i4>
      </vt:variant>
      <vt:variant>
        <vt:i4>0</vt:i4>
      </vt:variant>
      <vt:variant>
        <vt:i4>5</vt:i4>
      </vt:variant>
      <vt:variant>
        <vt:lpwstr/>
      </vt:variant>
      <vt:variant>
        <vt:lpwstr>_Toc71729994</vt:lpwstr>
      </vt:variant>
      <vt:variant>
        <vt:i4>1966128</vt:i4>
      </vt:variant>
      <vt:variant>
        <vt:i4>38</vt:i4>
      </vt:variant>
      <vt:variant>
        <vt:i4>0</vt:i4>
      </vt:variant>
      <vt:variant>
        <vt:i4>5</vt:i4>
      </vt:variant>
      <vt:variant>
        <vt:lpwstr/>
      </vt:variant>
      <vt:variant>
        <vt:lpwstr>_Toc71729993</vt:lpwstr>
      </vt:variant>
      <vt:variant>
        <vt:i4>2031664</vt:i4>
      </vt:variant>
      <vt:variant>
        <vt:i4>32</vt:i4>
      </vt:variant>
      <vt:variant>
        <vt:i4>0</vt:i4>
      </vt:variant>
      <vt:variant>
        <vt:i4>5</vt:i4>
      </vt:variant>
      <vt:variant>
        <vt:lpwstr/>
      </vt:variant>
      <vt:variant>
        <vt:lpwstr>_Toc71729992</vt:lpwstr>
      </vt:variant>
      <vt:variant>
        <vt:i4>1900592</vt:i4>
      </vt:variant>
      <vt:variant>
        <vt:i4>26</vt:i4>
      </vt:variant>
      <vt:variant>
        <vt:i4>0</vt:i4>
      </vt:variant>
      <vt:variant>
        <vt:i4>5</vt:i4>
      </vt:variant>
      <vt:variant>
        <vt:lpwstr/>
      </vt:variant>
      <vt:variant>
        <vt:lpwstr>_Toc71729990</vt:lpwstr>
      </vt:variant>
      <vt:variant>
        <vt:i4>1310769</vt:i4>
      </vt:variant>
      <vt:variant>
        <vt:i4>20</vt:i4>
      </vt:variant>
      <vt:variant>
        <vt:i4>0</vt:i4>
      </vt:variant>
      <vt:variant>
        <vt:i4>5</vt:i4>
      </vt:variant>
      <vt:variant>
        <vt:lpwstr/>
      </vt:variant>
      <vt:variant>
        <vt:lpwstr>_Toc71729989</vt:lpwstr>
      </vt:variant>
      <vt:variant>
        <vt:i4>1376305</vt:i4>
      </vt:variant>
      <vt:variant>
        <vt:i4>14</vt:i4>
      </vt:variant>
      <vt:variant>
        <vt:i4>0</vt:i4>
      </vt:variant>
      <vt:variant>
        <vt:i4>5</vt:i4>
      </vt:variant>
      <vt:variant>
        <vt:lpwstr/>
      </vt:variant>
      <vt:variant>
        <vt:lpwstr>_Toc71729988</vt:lpwstr>
      </vt:variant>
      <vt:variant>
        <vt:i4>1703985</vt:i4>
      </vt:variant>
      <vt:variant>
        <vt:i4>8</vt:i4>
      </vt:variant>
      <vt:variant>
        <vt:i4>0</vt:i4>
      </vt:variant>
      <vt:variant>
        <vt:i4>5</vt:i4>
      </vt:variant>
      <vt:variant>
        <vt:lpwstr/>
      </vt:variant>
      <vt:variant>
        <vt:lpwstr>_Toc71729987</vt:lpwstr>
      </vt:variant>
      <vt:variant>
        <vt:i4>1769521</vt:i4>
      </vt:variant>
      <vt:variant>
        <vt:i4>2</vt:i4>
      </vt:variant>
      <vt:variant>
        <vt:i4>0</vt:i4>
      </vt:variant>
      <vt:variant>
        <vt:i4>5</vt:i4>
      </vt:variant>
      <vt:variant>
        <vt:lpwstr/>
      </vt:variant>
      <vt:variant>
        <vt:lpwstr>_Toc71729986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dc:description/>
  <cp:lastModifiedBy>Purdy, Mark</cp:lastModifiedBy>
  <cp:revision>2</cp:revision>
  <cp:lastPrinted>2017-08-24T21:18:00Z</cp:lastPrinted>
  <dcterms:created xsi:type="dcterms:W3CDTF">2022-01-12T16:03:00Z</dcterms:created>
  <dcterms:modified xsi:type="dcterms:W3CDTF">2022-01-12T16:03:00Z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0x0101008131BD0C33BAD64288857839A46BF86B</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