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A1612F" w:rsidRDefault="00A1612F" w14:paraId="782074A6" w14:textId="77777777">
      <w:pPr>
        <w:widowControl/>
        <w:ind w:left="446"/>
        <w:jc w:val="center"/>
        <w:rPr>
          <w:b/>
          <w:bCs/>
          <w:sz w:val="28"/>
          <w:szCs w:val="28"/>
        </w:rPr>
      </w:pPr>
    </w:p>
    <w:p w:rsidR="00A1612F" w:rsidRDefault="00A1612F" w14:paraId="1027F8BF" w14:textId="77777777">
      <w:pPr>
        <w:widowControl/>
        <w:ind w:left="446"/>
        <w:jc w:val="center"/>
        <w:rPr>
          <w:b/>
          <w:bCs/>
          <w:sz w:val="28"/>
          <w:szCs w:val="28"/>
        </w:rPr>
      </w:pPr>
    </w:p>
    <w:p w:rsidR="00A1612F" w:rsidRDefault="00A1612F" w14:paraId="687E755A" w14:textId="77777777">
      <w:pPr>
        <w:widowControl/>
        <w:ind w:left="446"/>
        <w:jc w:val="center"/>
        <w:rPr>
          <w:b/>
          <w:bCs/>
          <w:sz w:val="28"/>
          <w:szCs w:val="28"/>
        </w:rPr>
      </w:pPr>
    </w:p>
    <w:p w:rsidR="00A1612F" w:rsidRDefault="00A1612F" w14:paraId="5668DFDA" w14:textId="77777777">
      <w:pPr>
        <w:widowControl/>
        <w:ind w:left="446"/>
        <w:jc w:val="center"/>
        <w:rPr>
          <w:b/>
          <w:bCs/>
          <w:sz w:val="28"/>
          <w:szCs w:val="28"/>
        </w:rPr>
      </w:pPr>
    </w:p>
    <w:p w:rsidR="00A1612F" w:rsidRDefault="00A1612F" w14:paraId="10608617" w14:textId="77777777">
      <w:pPr>
        <w:widowControl/>
        <w:ind w:left="446"/>
        <w:jc w:val="center"/>
        <w:rPr>
          <w:b/>
          <w:bCs/>
          <w:sz w:val="28"/>
          <w:szCs w:val="28"/>
        </w:rPr>
      </w:pPr>
    </w:p>
    <w:p w:rsidR="00A1612F" w:rsidRDefault="00A1612F" w14:paraId="6204D64D" w14:textId="77777777">
      <w:pPr>
        <w:widowControl/>
        <w:ind w:left="446"/>
        <w:jc w:val="center"/>
        <w:rPr>
          <w:b/>
          <w:bCs/>
          <w:sz w:val="28"/>
          <w:szCs w:val="28"/>
        </w:rPr>
      </w:pPr>
    </w:p>
    <w:p w:rsidR="00A1612F" w:rsidRDefault="00A1612F" w14:paraId="6E9E3FC8" w14:textId="77777777">
      <w:pPr>
        <w:widowControl/>
        <w:ind w:left="446"/>
        <w:jc w:val="center"/>
        <w:rPr>
          <w:b/>
          <w:bCs/>
          <w:sz w:val="28"/>
          <w:szCs w:val="28"/>
        </w:rPr>
      </w:pPr>
    </w:p>
    <w:p w:rsidR="00A1612F" w:rsidRDefault="00A1612F" w14:paraId="4801C681" w14:textId="77777777">
      <w:pPr>
        <w:widowControl/>
        <w:ind w:left="446"/>
        <w:jc w:val="center"/>
        <w:rPr>
          <w:b/>
          <w:bCs/>
          <w:sz w:val="28"/>
          <w:szCs w:val="28"/>
        </w:rPr>
      </w:pPr>
    </w:p>
    <w:p w:rsidR="00A1612F" w:rsidRDefault="00A1612F" w14:paraId="07291D9B" w14:textId="77777777">
      <w:pPr>
        <w:widowControl/>
        <w:ind w:left="446"/>
        <w:jc w:val="center"/>
        <w:rPr>
          <w:b/>
          <w:bCs/>
          <w:sz w:val="28"/>
          <w:szCs w:val="28"/>
        </w:rPr>
      </w:pPr>
    </w:p>
    <w:p w:rsidR="00A1612F" w:rsidRDefault="00A1612F" w14:paraId="4F617583" w14:textId="77777777">
      <w:pPr>
        <w:widowControl/>
        <w:ind w:left="446"/>
        <w:jc w:val="center"/>
        <w:rPr>
          <w:b/>
          <w:bCs/>
          <w:sz w:val="28"/>
          <w:szCs w:val="28"/>
        </w:rPr>
      </w:pPr>
    </w:p>
    <w:p w:rsidR="00A1612F" w:rsidRDefault="00A1612F" w14:paraId="68E5F0E3" w14:textId="77777777">
      <w:pPr>
        <w:widowControl/>
        <w:ind w:left="446"/>
        <w:jc w:val="center"/>
        <w:rPr>
          <w:b/>
          <w:bCs/>
          <w:sz w:val="28"/>
          <w:szCs w:val="28"/>
        </w:rPr>
      </w:pPr>
    </w:p>
    <w:p w:rsidR="00A1612F" w:rsidRDefault="00A1612F" w14:paraId="58572D8C" w14:textId="77777777">
      <w:pPr>
        <w:widowControl/>
        <w:ind w:left="446"/>
        <w:jc w:val="center"/>
        <w:rPr>
          <w:b/>
          <w:bCs/>
          <w:sz w:val="28"/>
          <w:szCs w:val="28"/>
        </w:rPr>
      </w:pPr>
    </w:p>
    <w:p w:rsidR="00A1612F" w:rsidRDefault="00A1612F" w14:paraId="237B4215" w14:textId="77777777">
      <w:pPr>
        <w:widowControl/>
        <w:jc w:val="center"/>
        <w:rPr>
          <w:b/>
          <w:bCs/>
          <w:sz w:val="28"/>
          <w:szCs w:val="28"/>
        </w:rPr>
      </w:pPr>
      <w:r>
        <w:rPr>
          <w:b/>
          <w:bCs/>
          <w:sz w:val="28"/>
          <w:szCs w:val="28"/>
        </w:rPr>
        <w:t xml:space="preserve">INFORMATION COLLECTION REQUEST </w:t>
      </w:r>
    </w:p>
    <w:p w:rsidR="00A1612F" w:rsidRDefault="00A1612F" w14:paraId="4AA2DA86" w14:textId="77777777">
      <w:pPr>
        <w:widowControl/>
        <w:jc w:val="center"/>
        <w:rPr>
          <w:b/>
          <w:bCs/>
          <w:sz w:val="28"/>
          <w:szCs w:val="28"/>
        </w:rPr>
      </w:pPr>
    </w:p>
    <w:p w:rsidR="00A1612F" w:rsidRDefault="00A1612F" w14:paraId="64A617AD" w14:textId="77777777">
      <w:pPr>
        <w:widowControl/>
        <w:jc w:val="center"/>
        <w:rPr>
          <w:b/>
          <w:bCs/>
          <w:sz w:val="28"/>
          <w:szCs w:val="28"/>
        </w:rPr>
      </w:pPr>
      <w:r>
        <w:rPr>
          <w:b/>
          <w:bCs/>
          <w:sz w:val="28"/>
          <w:szCs w:val="28"/>
        </w:rPr>
        <w:t>SUPPORTING STATEMENT FOR</w:t>
      </w:r>
    </w:p>
    <w:p w:rsidR="00A1612F" w:rsidP="002A59C2" w:rsidRDefault="00A1612F" w14:paraId="52E72F3F" w14:textId="77777777">
      <w:pPr>
        <w:widowControl/>
        <w:jc w:val="center"/>
        <w:rPr>
          <w:b/>
          <w:bCs/>
          <w:sz w:val="28"/>
          <w:szCs w:val="28"/>
        </w:rPr>
      </w:pPr>
      <w:r>
        <w:rPr>
          <w:b/>
          <w:bCs/>
          <w:sz w:val="28"/>
          <w:szCs w:val="28"/>
        </w:rPr>
        <w:t>RCRA DEFINITION OF SOLID WASTE</w:t>
      </w:r>
      <w:r w:rsidR="00750446">
        <w:rPr>
          <w:b/>
          <w:bCs/>
          <w:sz w:val="28"/>
          <w:szCs w:val="28"/>
        </w:rPr>
        <w:t xml:space="preserve"> </w:t>
      </w:r>
    </w:p>
    <w:p w:rsidRPr="00FA2DC7" w:rsidR="00A1612F" w:rsidP="002F0370" w:rsidRDefault="00A1612F" w14:paraId="0A0C7734" w14:textId="77777777">
      <w:pPr>
        <w:widowControl/>
        <w:shd w:val="clear" w:color="auto" w:fill="FFFFFF"/>
        <w:jc w:val="center"/>
        <w:rPr>
          <w:b/>
          <w:bCs/>
          <w:sz w:val="28"/>
          <w:szCs w:val="28"/>
          <w:shd w:val="clear" w:color="auto" w:fill="FFFF00"/>
        </w:rPr>
      </w:pPr>
      <w:r w:rsidRPr="00FA2DC7">
        <w:rPr>
          <w:b/>
          <w:bCs/>
          <w:sz w:val="28"/>
          <w:szCs w:val="28"/>
        </w:rPr>
        <w:t>OMB Control No. 2050-</w:t>
      </w:r>
      <w:r w:rsidRPr="00FA2DC7">
        <w:rPr>
          <w:b/>
          <w:bCs/>
          <w:sz w:val="28"/>
          <w:szCs w:val="28"/>
          <w:shd w:val="clear" w:color="auto" w:fill="FFFFFF"/>
        </w:rPr>
        <w:t>0202</w:t>
      </w:r>
      <w:r w:rsidRPr="00FA2DC7">
        <w:rPr>
          <w:b/>
          <w:bCs/>
          <w:sz w:val="28"/>
          <w:szCs w:val="28"/>
        </w:rPr>
        <w:t xml:space="preserve">, EPA ICR No. </w:t>
      </w:r>
      <w:r w:rsidRPr="00FA2DC7" w:rsidR="002F0370">
        <w:rPr>
          <w:b/>
          <w:bCs/>
          <w:sz w:val="28"/>
          <w:szCs w:val="28"/>
          <w:shd w:val="clear" w:color="auto" w:fill="FFFFFF"/>
        </w:rPr>
        <w:t>2310.0</w:t>
      </w:r>
      <w:r w:rsidRPr="00FA2DC7" w:rsidR="00011B03">
        <w:rPr>
          <w:b/>
          <w:bCs/>
          <w:sz w:val="28"/>
          <w:szCs w:val="28"/>
          <w:shd w:val="clear" w:color="auto" w:fill="FFFFFF"/>
        </w:rPr>
        <w:t>7</w:t>
      </w:r>
    </w:p>
    <w:p w:rsidRPr="00FA2DC7" w:rsidR="00A1612F" w:rsidRDefault="00A1612F" w14:paraId="1B45CE46" w14:textId="77777777">
      <w:pPr>
        <w:widowControl/>
        <w:jc w:val="center"/>
        <w:rPr>
          <w:b/>
          <w:bCs/>
          <w:sz w:val="28"/>
          <w:szCs w:val="28"/>
        </w:rPr>
      </w:pPr>
    </w:p>
    <w:p w:rsidRPr="00A91BA5" w:rsidR="00A1612F" w:rsidP="00A91BA5" w:rsidRDefault="00011B03" w14:paraId="600718BD" w14:textId="77777777">
      <w:pPr>
        <w:jc w:val="center"/>
        <w:rPr>
          <w:b/>
          <w:sz w:val="28"/>
          <w:szCs w:val="28"/>
        </w:rPr>
      </w:pPr>
      <w:r>
        <w:rPr>
          <w:b/>
          <w:sz w:val="28"/>
          <w:szCs w:val="28"/>
        </w:rPr>
        <w:t xml:space="preserve">November </w:t>
      </w:r>
      <w:r w:rsidR="008E1762">
        <w:rPr>
          <w:b/>
          <w:sz w:val="28"/>
          <w:szCs w:val="28"/>
        </w:rPr>
        <w:t xml:space="preserve">22, </w:t>
      </w:r>
      <w:r>
        <w:rPr>
          <w:b/>
          <w:sz w:val="28"/>
          <w:szCs w:val="28"/>
        </w:rPr>
        <w:t>2021</w:t>
      </w:r>
    </w:p>
    <w:p w:rsidRPr="008E1762" w:rsidR="00A1612F" w:rsidRDefault="00A1612F" w14:paraId="0B4CE52D" w14:textId="77777777">
      <w:pPr>
        <w:widowControl/>
        <w:rPr>
          <w:sz w:val="24"/>
        </w:rPr>
      </w:pPr>
    </w:p>
    <w:p w:rsidRPr="008E1762" w:rsidR="0060183A" w:rsidRDefault="0060183A" w14:paraId="2000B303" w14:textId="77777777">
      <w:pPr>
        <w:widowControl/>
        <w:rPr>
          <w:sz w:val="24"/>
        </w:rPr>
      </w:pPr>
    </w:p>
    <w:p w:rsidRPr="008E1762" w:rsidR="0060183A" w:rsidRDefault="0060183A" w14:paraId="55E02E64" w14:textId="77777777">
      <w:pPr>
        <w:widowControl/>
        <w:rPr>
          <w:sz w:val="24"/>
        </w:rPr>
      </w:pPr>
    </w:p>
    <w:p w:rsidRPr="008E1762" w:rsidR="0060183A" w:rsidRDefault="0060183A" w14:paraId="146083EE" w14:textId="77777777">
      <w:pPr>
        <w:widowControl/>
        <w:rPr>
          <w:sz w:val="24"/>
        </w:rPr>
      </w:pPr>
    </w:p>
    <w:p w:rsidRPr="00B728F7" w:rsidR="0060183A" w:rsidRDefault="0060183A" w14:paraId="55B1ED85" w14:textId="77777777">
      <w:pPr>
        <w:widowControl/>
        <w:rPr>
          <w:sz w:val="24"/>
        </w:rPr>
      </w:pPr>
    </w:p>
    <w:p w:rsidRPr="00082EC1" w:rsidR="0060183A" w:rsidRDefault="0060183A" w14:paraId="25F1D9AA" w14:textId="77777777">
      <w:pPr>
        <w:widowControl/>
        <w:rPr>
          <w:sz w:val="24"/>
        </w:rPr>
      </w:pPr>
    </w:p>
    <w:p w:rsidRPr="00FA2DC7" w:rsidR="00A1612F" w:rsidRDefault="00A1612F" w14:paraId="4A381A23" w14:textId="77777777">
      <w:pPr>
        <w:widowControl/>
        <w:jc w:val="center"/>
        <w:rPr>
          <w:sz w:val="24"/>
        </w:rPr>
      </w:pPr>
    </w:p>
    <w:p w:rsidRPr="00FA2DC7" w:rsidR="00A1612F" w:rsidRDefault="00A1612F" w14:paraId="654F8036" w14:textId="77777777">
      <w:pPr>
        <w:widowControl/>
        <w:jc w:val="center"/>
        <w:rPr>
          <w:sz w:val="24"/>
        </w:rPr>
      </w:pPr>
    </w:p>
    <w:p w:rsidRPr="00FA2DC7" w:rsidR="00A1612F" w:rsidRDefault="00A1612F" w14:paraId="35F68D1B" w14:textId="77777777">
      <w:pPr>
        <w:widowControl/>
        <w:jc w:val="center"/>
        <w:rPr>
          <w:sz w:val="24"/>
        </w:rPr>
      </w:pPr>
    </w:p>
    <w:p w:rsidRPr="008E1762" w:rsidR="00A1612F" w:rsidRDefault="00A1612F" w14:paraId="4E901774" w14:textId="77777777">
      <w:pPr>
        <w:widowControl/>
        <w:jc w:val="center"/>
        <w:rPr>
          <w:b/>
          <w:sz w:val="24"/>
        </w:rPr>
      </w:pPr>
    </w:p>
    <w:p w:rsidRPr="008E1762" w:rsidR="00A1612F" w:rsidRDefault="00A1612F" w14:paraId="08E0A465" w14:textId="77777777">
      <w:pPr>
        <w:widowControl/>
        <w:jc w:val="center"/>
        <w:rPr>
          <w:b/>
          <w:sz w:val="24"/>
        </w:rPr>
      </w:pPr>
    </w:p>
    <w:p w:rsidRPr="008E1762" w:rsidR="00A1612F" w:rsidRDefault="00A1612F" w14:paraId="2D0F75B5" w14:textId="77777777">
      <w:pPr>
        <w:widowControl/>
        <w:jc w:val="center"/>
        <w:rPr>
          <w:b/>
          <w:sz w:val="24"/>
        </w:rPr>
      </w:pPr>
    </w:p>
    <w:p w:rsidRPr="008E1762" w:rsidR="00A1612F" w:rsidRDefault="00A1612F" w14:paraId="45237160" w14:textId="77777777">
      <w:pPr>
        <w:widowControl/>
        <w:jc w:val="center"/>
        <w:rPr>
          <w:b/>
          <w:sz w:val="24"/>
        </w:rPr>
      </w:pPr>
    </w:p>
    <w:p w:rsidRPr="008E1762" w:rsidR="00A1612F" w:rsidRDefault="00A1612F" w14:paraId="7BC15ACB" w14:textId="77777777">
      <w:pPr>
        <w:widowControl/>
        <w:jc w:val="center"/>
        <w:rPr>
          <w:b/>
          <w:sz w:val="24"/>
        </w:rPr>
      </w:pPr>
    </w:p>
    <w:p w:rsidRPr="008E1762" w:rsidR="00A1612F" w:rsidRDefault="00A1612F" w14:paraId="43C525AB" w14:textId="77777777">
      <w:pPr>
        <w:widowControl/>
        <w:jc w:val="center"/>
        <w:rPr>
          <w:b/>
          <w:sz w:val="24"/>
        </w:rPr>
      </w:pPr>
    </w:p>
    <w:p w:rsidRPr="008E1762" w:rsidR="00A1612F" w:rsidRDefault="00A1612F" w14:paraId="7D42D7C6" w14:textId="77777777">
      <w:pPr>
        <w:widowControl/>
        <w:jc w:val="center"/>
        <w:rPr>
          <w:b/>
          <w:sz w:val="24"/>
        </w:rPr>
      </w:pPr>
    </w:p>
    <w:p w:rsidRPr="008E1762" w:rsidR="00A1612F" w:rsidRDefault="00A1612F" w14:paraId="085CD226" w14:textId="77777777">
      <w:pPr>
        <w:widowControl/>
        <w:jc w:val="center"/>
        <w:rPr>
          <w:b/>
          <w:sz w:val="24"/>
        </w:rPr>
      </w:pPr>
    </w:p>
    <w:p w:rsidR="00A1612F" w:rsidRDefault="00A1612F" w14:paraId="6BF6C229" w14:textId="77777777">
      <w:pPr>
        <w:widowControl/>
        <w:tabs>
          <w:tab w:val="center" w:pos="4680"/>
        </w:tabs>
        <w:jc w:val="center"/>
        <w:rPr>
          <w:sz w:val="24"/>
        </w:rPr>
      </w:pPr>
      <w:r>
        <w:rPr>
          <w:sz w:val="24"/>
        </w:rPr>
        <w:t>Office of Resource Conservation and Recovery</w:t>
      </w:r>
    </w:p>
    <w:p w:rsidR="00A1612F" w:rsidRDefault="00A1612F" w14:paraId="74838E3C" w14:textId="77777777">
      <w:pPr>
        <w:widowControl/>
        <w:tabs>
          <w:tab w:val="center" w:pos="4680"/>
        </w:tabs>
        <w:jc w:val="center"/>
        <w:rPr>
          <w:sz w:val="24"/>
        </w:rPr>
      </w:pPr>
      <w:r>
        <w:rPr>
          <w:sz w:val="24"/>
        </w:rPr>
        <w:t>United States Environmental Protection Agency</w:t>
      </w:r>
    </w:p>
    <w:p w:rsidR="00A1612F" w:rsidRDefault="00A1612F" w14:paraId="75F49100" w14:textId="77777777">
      <w:pPr>
        <w:widowControl/>
        <w:tabs>
          <w:tab w:val="center" w:pos="4680"/>
        </w:tabs>
        <w:jc w:val="center"/>
        <w:rPr>
          <w:sz w:val="24"/>
        </w:rPr>
      </w:pPr>
      <w:r>
        <w:rPr>
          <w:sz w:val="24"/>
        </w:rPr>
        <w:t>Washington, D.C. 20460</w:t>
      </w:r>
    </w:p>
    <w:p w:rsidR="00011B03" w:rsidP="00C06092" w:rsidRDefault="00011B03" w14:paraId="426B9AEC" w14:textId="77777777">
      <w:pPr>
        <w:pStyle w:val="TOC1"/>
        <w:tabs>
          <w:tab w:val="clear" w:pos="9350"/>
          <w:tab w:val="right" w:leader="dot" w:pos="9360"/>
        </w:tabs>
        <w:jc w:val="center"/>
        <w:rPr>
          <w:sz w:val="22"/>
          <w:szCs w:val="22"/>
        </w:rPr>
      </w:pPr>
      <w:r>
        <w:rPr>
          <w:sz w:val="24"/>
        </w:rPr>
        <w:br w:type="page"/>
      </w:r>
    </w:p>
    <w:p w:rsidR="00011B03" w:rsidP="00C06092" w:rsidRDefault="00011B03" w14:paraId="35231532" w14:textId="77777777">
      <w:pPr>
        <w:pStyle w:val="TOC1"/>
        <w:tabs>
          <w:tab w:val="clear" w:pos="9350"/>
          <w:tab w:val="right" w:leader="dot" w:pos="9360"/>
        </w:tabs>
        <w:jc w:val="center"/>
        <w:rPr>
          <w:sz w:val="22"/>
          <w:szCs w:val="22"/>
        </w:rPr>
      </w:pPr>
    </w:p>
    <w:p w:rsidR="00011B03" w:rsidP="00C06092" w:rsidRDefault="00011B03" w14:paraId="1DF0E141" w14:textId="77777777">
      <w:pPr>
        <w:pStyle w:val="TOC1"/>
        <w:tabs>
          <w:tab w:val="clear" w:pos="9350"/>
          <w:tab w:val="right" w:leader="dot" w:pos="9360"/>
        </w:tabs>
        <w:jc w:val="center"/>
        <w:rPr>
          <w:sz w:val="22"/>
          <w:szCs w:val="22"/>
        </w:rPr>
      </w:pPr>
    </w:p>
    <w:p w:rsidR="00011B03" w:rsidP="00C06092" w:rsidRDefault="00011B03" w14:paraId="3CFE3608" w14:textId="77777777">
      <w:pPr>
        <w:pStyle w:val="TOC1"/>
        <w:tabs>
          <w:tab w:val="clear" w:pos="9350"/>
          <w:tab w:val="right" w:leader="dot" w:pos="9360"/>
        </w:tabs>
        <w:jc w:val="center"/>
        <w:rPr>
          <w:sz w:val="22"/>
          <w:szCs w:val="22"/>
        </w:rPr>
      </w:pPr>
    </w:p>
    <w:p w:rsidR="00011B03" w:rsidP="00C06092" w:rsidRDefault="00011B03" w14:paraId="7F6BAC51" w14:textId="77777777">
      <w:pPr>
        <w:pStyle w:val="TOC1"/>
        <w:tabs>
          <w:tab w:val="clear" w:pos="9350"/>
          <w:tab w:val="right" w:leader="dot" w:pos="9360"/>
        </w:tabs>
        <w:jc w:val="center"/>
        <w:rPr>
          <w:sz w:val="22"/>
          <w:szCs w:val="22"/>
        </w:rPr>
      </w:pPr>
    </w:p>
    <w:p w:rsidR="00011B03" w:rsidP="00C06092" w:rsidRDefault="00011B03" w14:paraId="60BE9057" w14:textId="77777777">
      <w:pPr>
        <w:pStyle w:val="TOC1"/>
        <w:tabs>
          <w:tab w:val="clear" w:pos="9350"/>
          <w:tab w:val="right" w:leader="dot" w:pos="9360"/>
        </w:tabs>
        <w:jc w:val="center"/>
        <w:rPr>
          <w:sz w:val="22"/>
          <w:szCs w:val="22"/>
        </w:rPr>
      </w:pPr>
    </w:p>
    <w:p w:rsidR="00011B03" w:rsidP="00C06092" w:rsidRDefault="00011B03" w14:paraId="09B44F9F" w14:textId="77777777">
      <w:pPr>
        <w:pStyle w:val="TOC1"/>
        <w:tabs>
          <w:tab w:val="clear" w:pos="9350"/>
          <w:tab w:val="right" w:leader="dot" w:pos="9360"/>
        </w:tabs>
        <w:jc w:val="center"/>
        <w:rPr>
          <w:sz w:val="22"/>
          <w:szCs w:val="22"/>
        </w:rPr>
      </w:pPr>
    </w:p>
    <w:p w:rsidR="00011B03" w:rsidP="00C06092" w:rsidRDefault="00011B03" w14:paraId="655F3D75" w14:textId="77777777">
      <w:pPr>
        <w:pStyle w:val="TOC1"/>
        <w:tabs>
          <w:tab w:val="clear" w:pos="9350"/>
          <w:tab w:val="right" w:leader="dot" w:pos="9360"/>
        </w:tabs>
        <w:jc w:val="center"/>
        <w:rPr>
          <w:sz w:val="22"/>
          <w:szCs w:val="22"/>
        </w:rPr>
      </w:pPr>
    </w:p>
    <w:p w:rsidR="00011B03" w:rsidP="00C06092" w:rsidRDefault="00011B03" w14:paraId="11C5A246" w14:textId="77777777">
      <w:pPr>
        <w:pStyle w:val="TOC1"/>
        <w:tabs>
          <w:tab w:val="clear" w:pos="9350"/>
          <w:tab w:val="right" w:leader="dot" w:pos="9360"/>
        </w:tabs>
        <w:jc w:val="center"/>
        <w:rPr>
          <w:sz w:val="22"/>
          <w:szCs w:val="22"/>
        </w:rPr>
      </w:pPr>
    </w:p>
    <w:p w:rsidR="00011B03" w:rsidP="00C06092" w:rsidRDefault="00011B03" w14:paraId="65EF1911" w14:textId="77777777">
      <w:pPr>
        <w:pStyle w:val="TOC1"/>
        <w:tabs>
          <w:tab w:val="clear" w:pos="9350"/>
          <w:tab w:val="right" w:leader="dot" w:pos="9360"/>
        </w:tabs>
        <w:jc w:val="center"/>
        <w:rPr>
          <w:sz w:val="22"/>
          <w:szCs w:val="22"/>
        </w:rPr>
      </w:pPr>
    </w:p>
    <w:p w:rsidR="00011B03" w:rsidP="00C06092" w:rsidRDefault="00011B03" w14:paraId="20A17F83" w14:textId="77777777">
      <w:pPr>
        <w:pStyle w:val="TOC1"/>
        <w:tabs>
          <w:tab w:val="clear" w:pos="9350"/>
          <w:tab w:val="right" w:leader="dot" w:pos="9360"/>
        </w:tabs>
        <w:jc w:val="center"/>
        <w:rPr>
          <w:sz w:val="22"/>
          <w:szCs w:val="22"/>
        </w:rPr>
      </w:pPr>
    </w:p>
    <w:p w:rsidR="00011B03" w:rsidP="00C06092" w:rsidRDefault="00011B03" w14:paraId="6EA5925D" w14:textId="77777777">
      <w:pPr>
        <w:pStyle w:val="TOC1"/>
        <w:tabs>
          <w:tab w:val="clear" w:pos="9350"/>
          <w:tab w:val="right" w:leader="dot" w:pos="9360"/>
        </w:tabs>
        <w:jc w:val="center"/>
        <w:rPr>
          <w:sz w:val="22"/>
          <w:szCs w:val="22"/>
        </w:rPr>
      </w:pPr>
    </w:p>
    <w:p w:rsidR="00011B03" w:rsidP="00C06092" w:rsidRDefault="00011B03" w14:paraId="60ECE874" w14:textId="77777777">
      <w:pPr>
        <w:pStyle w:val="TOC1"/>
        <w:tabs>
          <w:tab w:val="clear" w:pos="9350"/>
          <w:tab w:val="right" w:leader="dot" w:pos="9360"/>
        </w:tabs>
        <w:jc w:val="center"/>
        <w:rPr>
          <w:sz w:val="22"/>
          <w:szCs w:val="22"/>
        </w:rPr>
      </w:pPr>
    </w:p>
    <w:p w:rsidR="00011B03" w:rsidP="00C06092" w:rsidRDefault="00011B03" w14:paraId="7B9E8EEA" w14:textId="77777777">
      <w:pPr>
        <w:pStyle w:val="TOC1"/>
        <w:tabs>
          <w:tab w:val="clear" w:pos="9350"/>
          <w:tab w:val="right" w:leader="dot" w:pos="9360"/>
        </w:tabs>
        <w:jc w:val="center"/>
        <w:rPr>
          <w:sz w:val="22"/>
          <w:szCs w:val="22"/>
        </w:rPr>
      </w:pPr>
    </w:p>
    <w:p w:rsidR="00011B03" w:rsidP="00C06092" w:rsidRDefault="00011B03" w14:paraId="0CDDB2FA" w14:textId="77777777">
      <w:pPr>
        <w:pStyle w:val="TOC1"/>
        <w:tabs>
          <w:tab w:val="clear" w:pos="9350"/>
          <w:tab w:val="right" w:leader="dot" w:pos="9360"/>
        </w:tabs>
        <w:jc w:val="center"/>
        <w:rPr>
          <w:sz w:val="22"/>
          <w:szCs w:val="22"/>
        </w:rPr>
      </w:pPr>
    </w:p>
    <w:p w:rsidR="00011B03" w:rsidP="00C06092" w:rsidRDefault="00011B03" w14:paraId="3027DFFC" w14:textId="77777777">
      <w:pPr>
        <w:pStyle w:val="TOC1"/>
        <w:tabs>
          <w:tab w:val="clear" w:pos="9350"/>
          <w:tab w:val="right" w:leader="dot" w:pos="9360"/>
        </w:tabs>
        <w:jc w:val="center"/>
        <w:rPr>
          <w:sz w:val="22"/>
          <w:szCs w:val="22"/>
        </w:rPr>
      </w:pPr>
    </w:p>
    <w:p w:rsidR="00011B03" w:rsidP="00C06092" w:rsidRDefault="00011B03" w14:paraId="04C8A51C" w14:textId="77777777">
      <w:pPr>
        <w:pStyle w:val="TOC1"/>
        <w:tabs>
          <w:tab w:val="clear" w:pos="9350"/>
          <w:tab w:val="right" w:leader="dot" w:pos="9360"/>
        </w:tabs>
        <w:jc w:val="center"/>
        <w:rPr>
          <w:sz w:val="22"/>
          <w:szCs w:val="22"/>
        </w:rPr>
      </w:pPr>
    </w:p>
    <w:p w:rsidR="00011B03" w:rsidP="00C06092" w:rsidRDefault="00011B03" w14:paraId="2072DF7E" w14:textId="77777777">
      <w:pPr>
        <w:pStyle w:val="TOC1"/>
        <w:tabs>
          <w:tab w:val="clear" w:pos="9350"/>
          <w:tab w:val="right" w:leader="dot" w:pos="9360"/>
        </w:tabs>
        <w:jc w:val="center"/>
        <w:rPr>
          <w:sz w:val="22"/>
          <w:szCs w:val="22"/>
        </w:rPr>
      </w:pPr>
    </w:p>
    <w:p w:rsidR="00011B03" w:rsidP="00C06092" w:rsidRDefault="00011B03" w14:paraId="71F4A0B7" w14:textId="77777777">
      <w:pPr>
        <w:pStyle w:val="TOC1"/>
        <w:tabs>
          <w:tab w:val="clear" w:pos="9350"/>
          <w:tab w:val="right" w:leader="dot" w:pos="9360"/>
        </w:tabs>
        <w:jc w:val="center"/>
        <w:rPr>
          <w:sz w:val="22"/>
          <w:szCs w:val="22"/>
        </w:rPr>
      </w:pPr>
    </w:p>
    <w:p w:rsidR="00011B03" w:rsidP="00C06092" w:rsidRDefault="00011B03" w14:paraId="50C6724F" w14:textId="77777777">
      <w:pPr>
        <w:pStyle w:val="TOC1"/>
        <w:tabs>
          <w:tab w:val="clear" w:pos="9350"/>
          <w:tab w:val="right" w:leader="dot" w:pos="9360"/>
        </w:tabs>
        <w:jc w:val="center"/>
        <w:rPr>
          <w:sz w:val="22"/>
          <w:szCs w:val="22"/>
        </w:rPr>
      </w:pPr>
    </w:p>
    <w:p w:rsidR="00011B03" w:rsidP="00C06092" w:rsidRDefault="00011B03" w14:paraId="681C14D7" w14:textId="77777777">
      <w:pPr>
        <w:pStyle w:val="TOC1"/>
        <w:tabs>
          <w:tab w:val="clear" w:pos="9350"/>
          <w:tab w:val="right" w:leader="dot" w:pos="9360"/>
        </w:tabs>
        <w:jc w:val="center"/>
        <w:rPr>
          <w:sz w:val="22"/>
          <w:szCs w:val="22"/>
        </w:rPr>
      </w:pPr>
    </w:p>
    <w:p w:rsidRPr="001D27C3" w:rsidR="00011B03" w:rsidP="00011B03" w:rsidRDefault="00011B03" w14:paraId="18587BA3" w14:textId="77777777">
      <w:pPr>
        <w:pStyle w:val="TOC1"/>
        <w:tabs>
          <w:tab w:val="clear" w:pos="9350"/>
          <w:tab w:val="right" w:leader="dot" w:pos="9360"/>
        </w:tabs>
        <w:jc w:val="center"/>
        <w:rPr>
          <w:sz w:val="22"/>
          <w:szCs w:val="22"/>
        </w:rPr>
      </w:pPr>
      <w:r>
        <w:rPr>
          <w:sz w:val="22"/>
          <w:szCs w:val="22"/>
        </w:rPr>
        <w:t>[Page intentionally left blank.]</w:t>
      </w:r>
    </w:p>
    <w:p w:rsidR="00011B03" w:rsidP="00C06092" w:rsidRDefault="00011B03" w14:paraId="158BD58A" w14:textId="77777777"/>
    <w:p w:rsidR="00A1612F" w:rsidRDefault="00A1612F" w14:paraId="308BC0E3" w14:textId="77777777">
      <w:pPr>
        <w:widowControl/>
        <w:tabs>
          <w:tab w:val="center" w:pos="4680"/>
        </w:tabs>
        <w:rPr>
          <w:sz w:val="24"/>
        </w:rPr>
      </w:pPr>
    </w:p>
    <w:p w:rsidR="00A1612F" w:rsidRDefault="00A1612F" w14:paraId="7C738F51" w14:textId="77777777">
      <w:pPr>
        <w:sectPr w:rsidR="00A1612F" w:rsidSect="00EB1D8C">
          <w:footerReference w:type="default" r:id="rId8"/>
          <w:pgSz w:w="12240" w:h="15840"/>
          <w:pgMar w:top="1440" w:right="1440" w:bottom="1496" w:left="1440" w:header="720" w:footer="1440" w:gutter="0"/>
          <w:pgNumType w:start="1"/>
          <w:cols w:space="720"/>
          <w:docGrid w:linePitch="360"/>
        </w:sectPr>
      </w:pPr>
    </w:p>
    <w:p w:rsidR="00A1612F" w:rsidRDefault="00A1612F" w14:paraId="784E01DF" w14:textId="77777777">
      <w:pPr>
        <w:widowControl/>
        <w:jc w:val="center"/>
        <w:rPr>
          <w:b/>
          <w:bCs/>
          <w:sz w:val="28"/>
          <w:szCs w:val="28"/>
        </w:rPr>
      </w:pPr>
      <w:r>
        <w:rPr>
          <w:b/>
          <w:bCs/>
          <w:sz w:val="28"/>
          <w:szCs w:val="28"/>
        </w:rPr>
        <w:lastRenderedPageBreak/>
        <w:t>TABLE OF CONTENTS</w:t>
      </w:r>
    </w:p>
    <w:p w:rsidR="00011B03" w:rsidRDefault="00011B03" w14:paraId="63AAB422" w14:textId="77777777">
      <w:pPr>
        <w:widowControl/>
        <w:jc w:val="center"/>
        <w:rPr>
          <w:b/>
          <w:bCs/>
          <w:sz w:val="28"/>
          <w:szCs w:val="28"/>
        </w:rPr>
      </w:pPr>
    </w:p>
    <w:p w:rsidR="00A1612F" w:rsidRDefault="00A1612F" w14:paraId="26CD5A63" w14:textId="77777777">
      <w:pPr>
        <w:widowControl/>
        <w:ind w:firstLine="8640"/>
        <w:rPr>
          <w:sz w:val="24"/>
        </w:rPr>
      </w:pPr>
    </w:p>
    <w:p w:rsidR="00A1612F" w:rsidRDefault="00A1612F" w14:paraId="2F11603B" w14:textId="77777777">
      <w:pPr>
        <w:sectPr w:rsidR="00A1612F" w:rsidSect="008A60C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fmt="lowerRoman" w:start="1"/>
          <w:cols w:space="720"/>
          <w:docGrid w:linePitch="360"/>
        </w:sectPr>
      </w:pPr>
    </w:p>
    <w:p w:rsidRPr="008A60C1" w:rsidR="00AB3E29" w:rsidRDefault="00A1612F" w14:paraId="48A59039" w14:textId="77777777">
      <w:pPr>
        <w:pStyle w:val="TOC1"/>
        <w:rPr>
          <w:rFonts w:ascii="Calibri" w:hAnsi="Calibri"/>
          <w:noProof/>
          <w:sz w:val="24"/>
          <w:lang w:eastAsia="en-US"/>
        </w:rPr>
      </w:pPr>
      <w:r w:rsidRPr="008A60C1">
        <w:rPr>
          <w:sz w:val="24"/>
        </w:rPr>
        <w:fldChar w:fldCharType="begin"/>
      </w:r>
      <w:r w:rsidRPr="008A60C1">
        <w:rPr>
          <w:sz w:val="24"/>
        </w:rPr>
        <w:instrText xml:space="preserve"> TOC </w:instrText>
      </w:r>
      <w:r w:rsidRPr="008A60C1">
        <w:rPr>
          <w:sz w:val="24"/>
        </w:rPr>
        <w:fldChar w:fldCharType="separate"/>
      </w:r>
      <w:r w:rsidRPr="008A60C1" w:rsidR="00AB3E29">
        <w:rPr>
          <w:noProof/>
          <w:sz w:val="24"/>
        </w:rPr>
        <w:t>1.</w:t>
      </w:r>
      <w:r w:rsidRPr="008A60C1" w:rsidR="00AB3E29">
        <w:rPr>
          <w:rFonts w:ascii="Calibri" w:hAnsi="Calibri"/>
          <w:noProof/>
          <w:sz w:val="24"/>
          <w:lang w:eastAsia="en-US"/>
        </w:rPr>
        <w:tab/>
      </w:r>
      <w:r w:rsidRPr="008A60C1" w:rsidR="00AB3E29">
        <w:rPr>
          <w:noProof/>
          <w:sz w:val="24"/>
        </w:rPr>
        <w:t>IDENTIFICATION OF THE INFORMATION COLLECTION</w:t>
      </w:r>
      <w:r w:rsidRPr="008A60C1" w:rsidR="00AB3E29">
        <w:rPr>
          <w:noProof/>
          <w:sz w:val="24"/>
        </w:rPr>
        <w:tab/>
      </w:r>
      <w:r w:rsidRPr="008A60C1" w:rsidR="00AB3E29">
        <w:rPr>
          <w:noProof/>
          <w:sz w:val="24"/>
        </w:rPr>
        <w:fldChar w:fldCharType="begin"/>
      </w:r>
      <w:r w:rsidRPr="008A60C1" w:rsidR="00AB3E29">
        <w:rPr>
          <w:noProof/>
          <w:sz w:val="24"/>
        </w:rPr>
        <w:instrText xml:space="preserve"> PAGEREF _Toc404344898 \h </w:instrText>
      </w:r>
      <w:r w:rsidRPr="008A60C1" w:rsidR="00AB3E29">
        <w:rPr>
          <w:noProof/>
          <w:sz w:val="24"/>
        </w:rPr>
      </w:r>
      <w:r w:rsidRPr="008A60C1" w:rsidR="00AB3E29">
        <w:rPr>
          <w:noProof/>
          <w:sz w:val="24"/>
        </w:rPr>
        <w:fldChar w:fldCharType="separate"/>
      </w:r>
      <w:r w:rsidR="00CC3175">
        <w:rPr>
          <w:noProof/>
          <w:sz w:val="24"/>
        </w:rPr>
        <w:t>1</w:t>
      </w:r>
      <w:r w:rsidRPr="008A60C1" w:rsidR="00AB3E29">
        <w:rPr>
          <w:noProof/>
          <w:sz w:val="24"/>
        </w:rPr>
        <w:fldChar w:fldCharType="end"/>
      </w:r>
    </w:p>
    <w:p w:rsidRPr="008A60C1" w:rsidR="00AB3E29" w:rsidRDefault="00AB3E29" w14:paraId="129ABDEA" w14:textId="77777777">
      <w:pPr>
        <w:pStyle w:val="TOC2"/>
        <w:rPr>
          <w:rFonts w:ascii="Calibri" w:hAnsi="Calibri"/>
          <w:noProof/>
          <w:sz w:val="24"/>
          <w:lang w:eastAsia="en-US"/>
        </w:rPr>
      </w:pPr>
      <w:r w:rsidRPr="008A60C1">
        <w:rPr>
          <w:noProof/>
          <w:sz w:val="24"/>
        </w:rPr>
        <w:t>1(a)</w:t>
      </w:r>
      <w:r w:rsidRPr="008A60C1">
        <w:rPr>
          <w:rFonts w:ascii="Calibri" w:hAnsi="Calibri"/>
          <w:noProof/>
          <w:sz w:val="24"/>
          <w:lang w:eastAsia="en-US"/>
        </w:rPr>
        <w:tab/>
      </w:r>
      <w:r w:rsidRPr="008A60C1">
        <w:rPr>
          <w:noProof/>
          <w:sz w:val="24"/>
        </w:rPr>
        <w:t>Title and Number of the Information Collection</w:t>
      </w:r>
      <w:r w:rsidRPr="008A60C1">
        <w:rPr>
          <w:noProof/>
          <w:sz w:val="24"/>
        </w:rPr>
        <w:tab/>
      </w:r>
      <w:r w:rsidRPr="008A60C1">
        <w:rPr>
          <w:noProof/>
          <w:sz w:val="24"/>
        </w:rPr>
        <w:fldChar w:fldCharType="begin"/>
      </w:r>
      <w:r w:rsidRPr="008A60C1">
        <w:rPr>
          <w:noProof/>
          <w:sz w:val="24"/>
        </w:rPr>
        <w:instrText xml:space="preserve"> PAGEREF _Toc404344899 \h </w:instrText>
      </w:r>
      <w:r w:rsidRPr="008A60C1">
        <w:rPr>
          <w:noProof/>
          <w:sz w:val="24"/>
        </w:rPr>
      </w:r>
      <w:r w:rsidRPr="008A60C1">
        <w:rPr>
          <w:noProof/>
          <w:sz w:val="24"/>
        </w:rPr>
        <w:fldChar w:fldCharType="separate"/>
      </w:r>
      <w:r w:rsidR="00CC3175">
        <w:rPr>
          <w:noProof/>
          <w:sz w:val="24"/>
        </w:rPr>
        <w:t>1</w:t>
      </w:r>
      <w:r w:rsidRPr="008A60C1">
        <w:rPr>
          <w:noProof/>
          <w:sz w:val="24"/>
        </w:rPr>
        <w:fldChar w:fldCharType="end"/>
      </w:r>
    </w:p>
    <w:p w:rsidRPr="008A60C1" w:rsidR="00AB3E29" w:rsidRDefault="00AB3E29" w14:paraId="5574805D" w14:textId="77777777">
      <w:pPr>
        <w:pStyle w:val="TOC2"/>
        <w:rPr>
          <w:rFonts w:ascii="Calibri" w:hAnsi="Calibri"/>
          <w:noProof/>
          <w:sz w:val="24"/>
          <w:lang w:eastAsia="en-US"/>
        </w:rPr>
      </w:pPr>
      <w:r w:rsidRPr="008A60C1">
        <w:rPr>
          <w:noProof/>
          <w:sz w:val="24"/>
        </w:rPr>
        <w:t>1(b)</w:t>
      </w:r>
      <w:r w:rsidRPr="008A60C1">
        <w:rPr>
          <w:rFonts w:ascii="Calibri" w:hAnsi="Calibri"/>
          <w:noProof/>
          <w:sz w:val="24"/>
          <w:lang w:eastAsia="en-US"/>
        </w:rPr>
        <w:tab/>
      </w:r>
      <w:r w:rsidRPr="008A60C1">
        <w:rPr>
          <w:noProof/>
          <w:sz w:val="24"/>
        </w:rPr>
        <w:t>Short Characterization</w:t>
      </w:r>
      <w:r w:rsidRPr="008A60C1">
        <w:rPr>
          <w:noProof/>
          <w:sz w:val="24"/>
        </w:rPr>
        <w:tab/>
      </w:r>
      <w:r w:rsidRPr="008A60C1">
        <w:rPr>
          <w:noProof/>
          <w:sz w:val="24"/>
        </w:rPr>
        <w:fldChar w:fldCharType="begin"/>
      </w:r>
      <w:r w:rsidRPr="008A60C1">
        <w:rPr>
          <w:noProof/>
          <w:sz w:val="24"/>
        </w:rPr>
        <w:instrText xml:space="preserve"> PAGEREF _Toc404344900 \h </w:instrText>
      </w:r>
      <w:r w:rsidRPr="008A60C1">
        <w:rPr>
          <w:noProof/>
          <w:sz w:val="24"/>
        </w:rPr>
      </w:r>
      <w:r w:rsidRPr="008A60C1">
        <w:rPr>
          <w:noProof/>
          <w:sz w:val="24"/>
        </w:rPr>
        <w:fldChar w:fldCharType="separate"/>
      </w:r>
      <w:r w:rsidR="00CC3175">
        <w:rPr>
          <w:noProof/>
          <w:sz w:val="24"/>
        </w:rPr>
        <w:t>1</w:t>
      </w:r>
      <w:r w:rsidRPr="008A60C1">
        <w:rPr>
          <w:noProof/>
          <w:sz w:val="24"/>
        </w:rPr>
        <w:fldChar w:fldCharType="end"/>
      </w:r>
    </w:p>
    <w:p w:rsidRPr="008A60C1" w:rsidR="00AB3E29" w:rsidRDefault="00AB3E29" w14:paraId="716D5F20" w14:textId="77777777">
      <w:pPr>
        <w:pStyle w:val="TOC1"/>
        <w:rPr>
          <w:rFonts w:ascii="Calibri" w:hAnsi="Calibri"/>
          <w:noProof/>
          <w:sz w:val="24"/>
          <w:lang w:eastAsia="en-US"/>
        </w:rPr>
      </w:pPr>
      <w:r w:rsidRPr="008A60C1">
        <w:rPr>
          <w:noProof/>
          <w:sz w:val="24"/>
        </w:rPr>
        <w:t>2.</w:t>
      </w:r>
      <w:r w:rsidRPr="008A60C1">
        <w:rPr>
          <w:rFonts w:ascii="Calibri" w:hAnsi="Calibri"/>
          <w:noProof/>
          <w:sz w:val="24"/>
          <w:lang w:eastAsia="en-US"/>
        </w:rPr>
        <w:tab/>
      </w:r>
      <w:r w:rsidRPr="008A60C1">
        <w:rPr>
          <w:noProof/>
          <w:sz w:val="24"/>
        </w:rPr>
        <w:t>NEED FOR AND USE OF THE COLLECTION</w:t>
      </w:r>
      <w:r w:rsidRPr="008A60C1">
        <w:rPr>
          <w:noProof/>
          <w:sz w:val="24"/>
        </w:rPr>
        <w:tab/>
      </w:r>
      <w:r w:rsidRPr="008A60C1">
        <w:rPr>
          <w:noProof/>
          <w:sz w:val="24"/>
        </w:rPr>
        <w:fldChar w:fldCharType="begin"/>
      </w:r>
      <w:r w:rsidRPr="008A60C1">
        <w:rPr>
          <w:noProof/>
          <w:sz w:val="24"/>
        </w:rPr>
        <w:instrText xml:space="preserve"> PAGEREF _Toc404344901 \h </w:instrText>
      </w:r>
      <w:r w:rsidRPr="008A60C1">
        <w:rPr>
          <w:noProof/>
          <w:sz w:val="24"/>
        </w:rPr>
      </w:r>
      <w:r w:rsidRPr="008A60C1">
        <w:rPr>
          <w:noProof/>
          <w:sz w:val="24"/>
        </w:rPr>
        <w:fldChar w:fldCharType="separate"/>
      </w:r>
      <w:r w:rsidR="00CC3175">
        <w:rPr>
          <w:noProof/>
          <w:sz w:val="24"/>
        </w:rPr>
        <w:t>2</w:t>
      </w:r>
      <w:r w:rsidRPr="008A60C1">
        <w:rPr>
          <w:noProof/>
          <w:sz w:val="24"/>
        </w:rPr>
        <w:fldChar w:fldCharType="end"/>
      </w:r>
    </w:p>
    <w:p w:rsidRPr="008A60C1" w:rsidR="00AB3E29" w:rsidRDefault="00AB3E29" w14:paraId="0BE74BAF" w14:textId="77777777">
      <w:pPr>
        <w:pStyle w:val="TOC2"/>
        <w:rPr>
          <w:rFonts w:ascii="Calibri" w:hAnsi="Calibri"/>
          <w:noProof/>
          <w:sz w:val="24"/>
          <w:lang w:eastAsia="en-US"/>
        </w:rPr>
      </w:pPr>
      <w:r w:rsidRPr="008A60C1">
        <w:rPr>
          <w:noProof/>
          <w:sz w:val="24"/>
        </w:rPr>
        <w:t>2(a)</w:t>
      </w:r>
      <w:r w:rsidRPr="008A60C1">
        <w:rPr>
          <w:rFonts w:ascii="Calibri" w:hAnsi="Calibri"/>
          <w:noProof/>
          <w:sz w:val="24"/>
          <w:lang w:eastAsia="en-US"/>
        </w:rPr>
        <w:tab/>
      </w:r>
      <w:r w:rsidRPr="008A60C1">
        <w:rPr>
          <w:noProof/>
          <w:sz w:val="24"/>
        </w:rPr>
        <w:t>Need and Authority for the Collection</w:t>
      </w:r>
      <w:r w:rsidRPr="008A60C1">
        <w:rPr>
          <w:noProof/>
          <w:sz w:val="24"/>
        </w:rPr>
        <w:tab/>
      </w:r>
      <w:r w:rsidRPr="008A60C1">
        <w:rPr>
          <w:noProof/>
          <w:sz w:val="24"/>
        </w:rPr>
        <w:fldChar w:fldCharType="begin"/>
      </w:r>
      <w:r w:rsidRPr="008A60C1">
        <w:rPr>
          <w:noProof/>
          <w:sz w:val="24"/>
        </w:rPr>
        <w:instrText xml:space="preserve"> PAGEREF _Toc404344902 \h </w:instrText>
      </w:r>
      <w:r w:rsidRPr="008A60C1">
        <w:rPr>
          <w:noProof/>
          <w:sz w:val="24"/>
        </w:rPr>
      </w:r>
      <w:r w:rsidRPr="008A60C1">
        <w:rPr>
          <w:noProof/>
          <w:sz w:val="24"/>
        </w:rPr>
        <w:fldChar w:fldCharType="separate"/>
      </w:r>
      <w:r w:rsidR="00CC3175">
        <w:rPr>
          <w:noProof/>
          <w:sz w:val="24"/>
        </w:rPr>
        <w:t>2</w:t>
      </w:r>
      <w:r w:rsidRPr="008A60C1">
        <w:rPr>
          <w:noProof/>
          <w:sz w:val="24"/>
        </w:rPr>
        <w:fldChar w:fldCharType="end"/>
      </w:r>
    </w:p>
    <w:p w:rsidRPr="008A60C1" w:rsidR="00AB3E29" w:rsidRDefault="00AB3E29" w14:paraId="434F3232" w14:textId="77777777">
      <w:pPr>
        <w:pStyle w:val="TOC2"/>
        <w:rPr>
          <w:rFonts w:ascii="Calibri" w:hAnsi="Calibri"/>
          <w:noProof/>
          <w:sz w:val="24"/>
          <w:lang w:eastAsia="en-US"/>
        </w:rPr>
      </w:pPr>
      <w:r w:rsidRPr="008A60C1">
        <w:rPr>
          <w:noProof/>
          <w:sz w:val="24"/>
        </w:rPr>
        <w:t>2(b)</w:t>
      </w:r>
      <w:r w:rsidRPr="008A60C1">
        <w:rPr>
          <w:rFonts w:ascii="Calibri" w:hAnsi="Calibri"/>
          <w:noProof/>
          <w:sz w:val="24"/>
          <w:lang w:eastAsia="en-US"/>
        </w:rPr>
        <w:tab/>
      </w:r>
      <w:r w:rsidRPr="008A60C1">
        <w:rPr>
          <w:noProof/>
          <w:sz w:val="24"/>
        </w:rPr>
        <w:t>Practical Utility and Users of the Data</w:t>
      </w:r>
      <w:r w:rsidRPr="008A60C1">
        <w:rPr>
          <w:noProof/>
          <w:sz w:val="24"/>
        </w:rPr>
        <w:tab/>
      </w:r>
      <w:r w:rsidRPr="008A60C1">
        <w:rPr>
          <w:noProof/>
          <w:sz w:val="24"/>
        </w:rPr>
        <w:fldChar w:fldCharType="begin"/>
      </w:r>
      <w:r w:rsidRPr="008A60C1">
        <w:rPr>
          <w:noProof/>
          <w:sz w:val="24"/>
        </w:rPr>
        <w:instrText xml:space="preserve"> PAGEREF _Toc404344903 \h </w:instrText>
      </w:r>
      <w:r w:rsidRPr="008A60C1">
        <w:rPr>
          <w:noProof/>
          <w:sz w:val="24"/>
        </w:rPr>
      </w:r>
      <w:r w:rsidRPr="008A60C1">
        <w:rPr>
          <w:noProof/>
          <w:sz w:val="24"/>
        </w:rPr>
        <w:fldChar w:fldCharType="separate"/>
      </w:r>
      <w:r w:rsidR="00CC3175">
        <w:rPr>
          <w:noProof/>
          <w:sz w:val="24"/>
        </w:rPr>
        <w:t>4</w:t>
      </w:r>
      <w:r w:rsidRPr="008A60C1">
        <w:rPr>
          <w:noProof/>
          <w:sz w:val="24"/>
        </w:rPr>
        <w:fldChar w:fldCharType="end"/>
      </w:r>
    </w:p>
    <w:p w:rsidRPr="008A60C1" w:rsidR="00AB3E29" w:rsidRDefault="00AB3E29" w14:paraId="504575CA" w14:textId="77777777">
      <w:pPr>
        <w:pStyle w:val="TOC1"/>
        <w:rPr>
          <w:rFonts w:ascii="Calibri" w:hAnsi="Calibri"/>
          <w:noProof/>
          <w:sz w:val="24"/>
          <w:lang w:eastAsia="en-US"/>
        </w:rPr>
      </w:pPr>
      <w:r w:rsidRPr="008A60C1">
        <w:rPr>
          <w:noProof/>
          <w:sz w:val="24"/>
        </w:rPr>
        <w:t>3.</w:t>
      </w:r>
      <w:r w:rsidRPr="008A60C1">
        <w:rPr>
          <w:rFonts w:ascii="Calibri" w:hAnsi="Calibri"/>
          <w:noProof/>
          <w:sz w:val="24"/>
          <w:lang w:eastAsia="en-US"/>
        </w:rPr>
        <w:tab/>
      </w:r>
      <w:r w:rsidRPr="008A60C1">
        <w:rPr>
          <w:noProof/>
          <w:sz w:val="24"/>
        </w:rPr>
        <w:t>NONDUPLICATION, CONSULTATIONS, AND OTHER COLLECTION CRITERIA</w:t>
      </w:r>
      <w:r w:rsidRPr="008A60C1">
        <w:rPr>
          <w:noProof/>
          <w:sz w:val="24"/>
        </w:rPr>
        <w:tab/>
      </w:r>
      <w:r w:rsidRPr="008A60C1">
        <w:rPr>
          <w:noProof/>
          <w:sz w:val="24"/>
        </w:rPr>
        <w:fldChar w:fldCharType="begin"/>
      </w:r>
      <w:r w:rsidRPr="008A60C1">
        <w:rPr>
          <w:noProof/>
          <w:sz w:val="24"/>
        </w:rPr>
        <w:instrText xml:space="preserve"> PAGEREF _Toc404344904 \h </w:instrText>
      </w:r>
      <w:r w:rsidRPr="008A60C1">
        <w:rPr>
          <w:noProof/>
          <w:sz w:val="24"/>
        </w:rPr>
      </w:r>
      <w:r w:rsidRPr="008A60C1">
        <w:rPr>
          <w:noProof/>
          <w:sz w:val="24"/>
        </w:rPr>
        <w:fldChar w:fldCharType="separate"/>
      </w:r>
      <w:r w:rsidR="00CC3175">
        <w:rPr>
          <w:noProof/>
          <w:sz w:val="24"/>
        </w:rPr>
        <w:t>6</w:t>
      </w:r>
      <w:r w:rsidRPr="008A60C1">
        <w:rPr>
          <w:noProof/>
          <w:sz w:val="24"/>
        </w:rPr>
        <w:fldChar w:fldCharType="end"/>
      </w:r>
    </w:p>
    <w:p w:rsidRPr="008A60C1" w:rsidR="00AB3E29" w:rsidRDefault="00AB3E29" w14:paraId="13C4A71E" w14:textId="77777777">
      <w:pPr>
        <w:pStyle w:val="TOC2"/>
        <w:rPr>
          <w:rFonts w:ascii="Calibri" w:hAnsi="Calibri"/>
          <w:noProof/>
          <w:sz w:val="24"/>
          <w:lang w:eastAsia="en-US"/>
        </w:rPr>
      </w:pPr>
      <w:r w:rsidRPr="008A60C1">
        <w:rPr>
          <w:noProof/>
          <w:sz w:val="24"/>
        </w:rPr>
        <w:t>3(a)</w:t>
      </w:r>
      <w:r w:rsidRPr="008A60C1">
        <w:rPr>
          <w:rFonts w:ascii="Calibri" w:hAnsi="Calibri"/>
          <w:noProof/>
          <w:sz w:val="24"/>
          <w:lang w:eastAsia="en-US"/>
        </w:rPr>
        <w:tab/>
      </w:r>
      <w:r w:rsidRPr="008A60C1">
        <w:rPr>
          <w:noProof/>
          <w:sz w:val="24"/>
        </w:rPr>
        <w:t>Nonduplication</w:t>
      </w:r>
      <w:r w:rsidRPr="008A60C1">
        <w:rPr>
          <w:noProof/>
          <w:sz w:val="24"/>
        </w:rPr>
        <w:tab/>
      </w:r>
      <w:r w:rsidRPr="008A60C1">
        <w:rPr>
          <w:noProof/>
          <w:sz w:val="24"/>
        </w:rPr>
        <w:fldChar w:fldCharType="begin"/>
      </w:r>
      <w:r w:rsidRPr="008A60C1">
        <w:rPr>
          <w:noProof/>
          <w:sz w:val="24"/>
        </w:rPr>
        <w:instrText xml:space="preserve"> PAGEREF _Toc404344905 \h </w:instrText>
      </w:r>
      <w:r w:rsidRPr="008A60C1">
        <w:rPr>
          <w:noProof/>
          <w:sz w:val="24"/>
        </w:rPr>
      </w:r>
      <w:r w:rsidRPr="008A60C1">
        <w:rPr>
          <w:noProof/>
          <w:sz w:val="24"/>
        </w:rPr>
        <w:fldChar w:fldCharType="separate"/>
      </w:r>
      <w:r w:rsidR="00CC3175">
        <w:rPr>
          <w:noProof/>
          <w:sz w:val="24"/>
        </w:rPr>
        <w:t>6</w:t>
      </w:r>
      <w:r w:rsidRPr="008A60C1">
        <w:rPr>
          <w:noProof/>
          <w:sz w:val="24"/>
        </w:rPr>
        <w:fldChar w:fldCharType="end"/>
      </w:r>
    </w:p>
    <w:p w:rsidRPr="008A60C1" w:rsidR="00AB3E29" w:rsidRDefault="00AB3E29" w14:paraId="7A4BF07A" w14:textId="77777777">
      <w:pPr>
        <w:pStyle w:val="TOC2"/>
        <w:rPr>
          <w:rFonts w:ascii="Calibri" w:hAnsi="Calibri"/>
          <w:noProof/>
          <w:sz w:val="24"/>
          <w:lang w:eastAsia="en-US"/>
        </w:rPr>
      </w:pPr>
      <w:r w:rsidRPr="008A60C1">
        <w:rPr>
          <w:noProof/>
          <w:sz w:val="24"/>
        </w:rPr>
        <w:t>3(b)</w:t>
      </w:r>
      <w:r w:rsidRPr="008A60C1">
        <w:rPr>
          <w:rFonts w:ascii="Calibri" w:hAnsi="Calibri"/>
          <w:noProof/>
          <w:sz w:val="24"/>
          <w:lang w:eastAsia="en-US"/>
        </w:rPr>
        <w:tab/>
      </w:r>
      <w:r w:rsidRPr="008A60C1">
        <w:rPr>
          <w:noProof/>
          <w:sz w:val="24"/>
        </w:rPr>
        <w:t>Public Notice</w:t>
      </w:r>
      <w:r w:rsidRPr="008A60C1">
        <w:rPr>
          <w:noProof/>
          <w:sz w:val="24"/>
        </w:rPr>
        <w:tab/>
      </w:r>
      <w:r w:rsidRPr="008A60C1">
        <w:rPr>
          <w:noProof/>
          <w:sz w:val="24"/>
        </w:rPr>
        <w:fldChar w:fldCharType="begin"/>
      </w:r>
      <w:r w:rsidRPr="008A60C1">
        <w:rPr>
          <w:noProof/>
          <w:sz w:val="24"/>
        </w:rPr>
        <w:instrText xml:space="preserve"> PAGEREF _Toc404344906 \h </w:instrText>
      </w:r>
      <w:r w:rsidRPr="008A60C1">
        <w:rPr>
          <w:noProof/>
          <w:sz w:val="24"/>
        </w:rPr>
      </w:r>
      <w:r w:rsidRPr="008A60C1">
        <w:rPr>
          <w:noProof/>
          <w:sz w:val="24"/>
        </w:rPr>
        <w:fldChar w:fldCharType="separate"/>
      </w:r>
      <w:r w:rsidR="00CC3175">
        <w:rPr>
          <w:noProof/>
          <w:sz w:val="24"/>
        </w:rPr>
        <w:t>6</w:t>
      </w:r>
      <w:r w:rsidRPr="008A60C1">
        <w:rPr>
          <w:noProof/>
          <w:sz w:val="24"/>
        </w:rPr>
        <w:fldChar w:fldCharType="end"/>
      </w:r>
    </w:p>
    <w:p w:rsidRPr="008A60C1" w:rsidR="00AB3E29" w:rsidRDefault="00AB3E29" w14:paraId="4E557C91" w14:textId="77777777">
      <w:pPr>
        <w:pStyle w:val="TOC2"/>
        <w:rPr>
          <w:rFonts w:ascii="Calibri" w:hAnsi="Calibri"/>
          <w:noProof/>
          <w:sz w:val="24"/>
          <w:lang w:eastAsia="en-US"/>
        </w:rPr>
      </w:pPr>
      <w:r w:rsidRPr="008A60C1">
        <w:rPr>
          <w:noProof/>
          <w:sz w:val="24"/>
        </w:rPr>
        <w:t>3(c)</w:t>
      </w:r>
      <w:r w:rsidRPr="008A60C1">
        <w:rPr>
          <w:rFonts w:ascii="Calibri" w:hAnsi="Calibri"/>
          <w:noProof/>
          <w:sz w:val="24"/>
          <w:lang w:eastAsia="en-US"/>
        </w:rPr>
        <w:tab/>
      </w:r>
      <w:r w:rsidRPr="008A60C1">
        <w:rPr>
          <w:noProof/>
          <w:sz w:val="24"/>
        </w:rPr>
        <w:t>Consultations</w:t>
      </w:r>
      <w:r w:rsidRPr="008A60C1">
        <w:rPr>
          <w:noProof/>
          <w:sz w:val="24"/>
        </w:rPr>
        <w:tab/>
      </w:r>
      <w:r w:rsidRPr="008A60C1">
        <w:rPr>
          <w:noProof/>
          <w:sz w:val="24"/>
        </w:rPr>
        <w:fldChar w:fldCharType="begin"/>
      </w:r>
      <w:r w:rsidRPr="008A60C1">
        <w:rPr>
          <w:noProof/>
          <w:sz w:val="24"/>
        </w:rPr>
        <w:instrText xml:space="preserve"> PAGEREF _Toc404344907 \h </w:instrText>
      </w:r>
      <w:r w:rsidRPr="008A60C1">
        <w:rPr>
          <w:noProof/>
          <w:sz w:val="24"/>
        </w:rPr>
      </w:r>
      <w:r w:rsidRPr="008A60C1">
        <w:rPr>
          <w:noProof/>
          <w:sz w:val="24"/>
        </w:rPr>
        <w:fldChar w:fldCharType="separate"/>
      </w:r>
      <w:r w:rsidR="00CC3175">
        <w:rPr>
          <w:noProof/>
          <w:sz w:val="24"/>
        </w:rPr>
        <w:t>6</w:t>
      </w:r>
      <w:r w:rsidRPr="008A60C1">
        <w:rPr>
          <w:noProof/>
          <w:sz w:val="24"/>
        </w:rPr>
        <w:fldChar w:fldCharType="end"/>
      </w:r>
    </w:p>
    <w:p w:rsidRPr="008A60C1" w:rsidR="00AB3E29" w:rsidRDefault="00AB3E29" w14:paraId="4098B771" w14:textId="77777777">
      <w:pPr>
        <w:pStyle w:val="TOC2"/>
        <w:rPr>
          <w:rFonts w:ascii="Calibri" w:hAnsi="Calibri"/>
          <w:noProof/>
          <w:sz w:val="24"/>
          <w:lang w:eastAsia="en-US"/>
        </w:rPr>
      </w:pPr>
      <w:r w:rsidRPr="008A60C1">
        <w:rPr>
          <w:noProof/>
          <w:sz w:val="24"/>
        </w:rPr>
        <w:t>3(d)</w:t>
      </w:r>
      <w:r w:rsidRPr="008A60C1">
        <w:rPr>
          <w:rFonts w:ascii="Calibri" w:hAnsi="Calibri"/>
          <w:noProof/>
          <w:sz w:val="24"/>
          <w:lang w:eastAsia="en-US"/>
        </w:rPr>
        <w:tab/>
      </w:r>
      <w:r w:rsidRPr="008A60C1">
        <w:rPr>
          <w:noProof/>
          <w:sz w:val="24"/>
        </w:rPr>
        <w:t>Effects of Less Frequent Collection</w:t>
      </w:r>
      <w:r w:rsidRPr="008A60C1">
        <w:rPr>
          <w:noProof/>
          <w:sz w:val="24"/>
        </w:rPr>
        <w:tab/>
      </w:r>
      <w:r w:rsidRPr="008A60C1">
        <w:rPr>
          <w:noProof/>
          <w:sz w:val="24"/>
        </w:rPr>
        <w:fldChar w:fldCharType="begin"/>
      </w:r>
      <w:r w:rsidRPr="008A60C1">
        <w:rPr>
          <w:noProof/>
          <w:sz w:val="24"/>
        </w:rPr>
        <w:instrText xml:space="preserve"> PAGEREF _Toc404344908 \h </w:instrText>
      </w:r>
      <w:r w:rsidRPr="008A60C1">
        <w:rPr>
          <w:noProof/>
          <w:sz w:val="24"/>
        </w:rPr>
      </w:r>
      <w:r w:rsidRPr="008A60C1">
        <w:rPr>
          <w:noProof/>
          <w:sz w:val="24"/>
        </w:rPr>
        <w:fldChar w:fldCharType="separate"/>
      </w:r>
      <w:r w:rsidR="00CC3175">
        <w:rPr>
          <w:noProof/>
          <w:sz w:val="24"/>
        </w:rPr>
        <w:t>6</w:t>
      </w:r>
      <w:r w:rsidRPr="008A60C1">
        <w:rPr>
          <w:noProof/>
          <w:sz w:val="24"/>
        </w:rPr>
        <w:fldChar w:fldCharType="end"/>
      </w:r>
    </w:p>
    <w:p w:rsidRPr="008A60C1" w:rsidR="00AB3E29" w:rsidRDefault="00AB3E29" w14:paraId="3DC2520D" w14:textId="77777777">
      <w:pPr>
        <w:pStyle w:val="TOC2"/>
        <w:rPr>
          <w:rFonts w:ascii="Calibri" w:hAnsi="Calibri"/>
          <w:noProof/>
          <w:sz w:val="24"/>
          <w:lang w:eastAsia="en-US"/>
        </w:rPr>
      </w:pPr>
      <w:r w:rsidRPr="008A60C1">
        <w:rPr>
          <w:noProof/>
          <w:sz w:val="24"/>
        </w:rPr>
        <w:t>3(e)</w:t>
      </w:r>
      <w:r w:rsidRPr="008A60C1">
        <w:rPr>
          <w:rFonts w:ascii="Calibri" w:hAnsi="Calibri"/>
          <w:noProof/>
          <w:sz w:val="24"/>
          <w:lang w:eastAsia="en-US"/>
        </w:rPr>
        <w:tab/>
      </w:r>
      <w:r w:rsidRPr="008A60C1">
        <w:rPr>
          <w:noProof/>
          <w:sz w:val="24"/>
        </w:rPr>
        <w:t>General Guidelines</w:t>
      </w:r>
      <w:r w:rsidRPr="008A60C1">
        <w:rPr>
          <w:noProof/>
          <w:sz w:val="24"/>
        </w:rPr>
        <w:tab/>
      </w:r>
      <w:r w:rsidRPr="008A60C1">
        <w:rPr>
          <w:noProof/>
          <w:sz w:val="24"/>
        </w:rPr>
        <w:fldChar w:fldCharType="begin"/>
      </w:r>
      <w:r w:rsidRPr="008A60C1">
        <w:rPr>
          <w:noProof/>
          <w:sz w:val="24"/>
        </w:rPr>
        <w:instrText xml:space="preserve"> PAGEREF _Toc404344909 \h </w:instrText>
      </w:r>
      <w:r w:rsidRPr="008A60C1">
        <w:rPr>
          <w:noProof/>
          <w:sz w:val="24"/>
        </w:rPr>
      </w:r>
      <w:r w:rsidRPr="008A60C1">
        <w:rPr>
          <w:noProof/>
          <w:sz w:val="24"/>
        </w:rPr>
        <w:fldChar w:fldCharType="separate"/>
      </w:r>
      <w:r w:rsidR="00CC3175">
        <w:rPr>
          <w:noProof/>
          <w:sz w:val="24"/>
        </w:rPr>
        <w:t>6</w:t>
      </w:r>
      <w:r w:rsidRPr="008A60C1">
        <w:rPr>
          <w:noProof/>
          <w:sz w:val="24"/>
        </w:rPr>
        <w:fldChar w:fldCharType="end"/>
      </w:r>
    </w:p>
    <w:p w:rsidRPr="008A60C1" w:rsidR="00AB3E29" w:rsidRDefault="00AB3E29" w14:paraId="62D29B0E" w14:textId="77777777">
      <w:pPr>
        <w:pStyle w:val="TOC2"/>
        <w:rPr>
          <w:rFonts w:ascii="Calibri" w:hAnsi="Calibri"/>
          <w:noProof/>
          <w:sz w:val="24"/>
          <w:lang w:eastAsia="en-US"/>
        </w:rPr>
      </w:pPr>
      <w:r w:rsidRPr="008A60C1">
        <w:rPr>
          <w:noProof/>
          <w:sz w:val="24"/>
        </w:rPr>
        <w:t>3(f)</w:t>
      </w:r>
      <w:r w:rsidRPr="008A60C1">
        <w:rPr>
          <w:rFonts w:ascii="Calibri" w:hAnsi="Calibri"/>
          <w:noProof/>
          <w:sz w:val="24"/>
          <w:lang w:eastAsia="en-US"/>
        </w:rPr>
        <w:tab/>
      </w:r>
      <w:r w:rsidRPr="008A60C1">
        <w:rPr>
          <w:noProof/>
          <w:sz w:val="24"/>
        </w:rPr>
        <w:t>Confidentiality</w:t>
      </w:r>
      <w:r w:rsidRPr="008A60C1">
        <w:rPr>
          <w:noProof/>
          <w:sz w:val="24"/>
        </w:rPr>
        <w:tab/>
      </w:r>
      <w:r w:rsidRPr="008A60C1">
        <w:rPr>
          <w:noProof/>
          <w:sz w:val="24"/>
        </w:rPr>
        <w:fldChar w:fldCharType="begin"/>
      </w:r>
      <w:r w:rsidRPr="008A60C1">
        <w:rPr>
          <w:noProof/>
          <w:sz w:val="24"/>
        </w:rPr>
        <w:instrText xml:space="preserve"> PAGEREF _Toc404344910 \h </w:instrText>
      </w:r>
      <w:r w:rsidRPr="008A60C1">
        <w:rPr>
          <w:noProof/>
          <w:sz w:val="24"/>
        </w:rPr>
      </w:r>
      <w:r w:rsidRPr="008A60C1">
        <w:rPr>
          <w:noProof/>
          <w:sz w:val="24"/>
        </w:rPr>
        <w:fldChar w:fldCharType="separate"/>
      </w:r>
      <w:r w:rsidR="00CC3175">
        <w:rPr>
          <w:noProof/>
          <w:sz w:val="24"/>
        </w:rPr>
        <w:t>7</w:t>
      </w:r>
      <w:r w:rsidRPr="008A60C1">
        <w:rPr>
          <w:noProof/>
          <w:sz w:val="24"/>
        </w:rPr>
        <w:fldChar w:fldCharType="end"/>
      </w:r>
    </w:p>
    <w:p w:rsidRPr="008A60C1" w:rsidR="00AB3E29" w:rsidRDefault="00AB3E29" w14:paraId="44935C3A" w14:textId="77777777">
      <w:pPr>
        <w:pStyle w:val="TOC2"/>
        <w:rPr>
          <w:rFonts w:ascii="Calibri" w:hAnsi="Calibri"/>
          <w:noProof/>
          <w:sz w:val="24"/>
          <w:lang w:eastAsia="en-US"/>
        </w:rPr>
      </w:pPr>
      <w:r w:rsidRPr="008A60C1">
        <w:rPr>
          <w:noProof/>
          <w:sz w:val="24"/>
        </w:rPr>
        <w:t>3(g)</w:t>
      </w:r>
      <w:r w:rsidRPr="008A60C1">
        <w:rPr>
          <w:rFonts w:ascii="Calibri" w:hAnsi="Calibri"/>
          <w:noProof/>
          <w:sz w:val="24"/>
          <w:lang w:eastAsia="en-US"/>
        </w:rPr>
        <w:tab/>
      </w:r>
      <w:r w:rsidRPr="008A60C1">
        <w:rPr>
          <w:noProof/>
          <w:sz w:val="24"/>
        </w:rPr>
        <w:t>Sensitive Questions</w:t>
      </w:r>
      <w:r w:rsidRPr="008A60C1">
        <w:rPr>
          <w:noProof/>
          <w:sz w:val="24"/>
        </w:rPr>
        <w:tab/>
      </w:r>
      <w:r w:rsidRPr="008A60C1">
        <w:rPr>
          <w:noProof/>
          <w:sz w:val="24"/>
        </w:rPr>
        <w:fldChar w:fldCharType="begin"/>
      </w:r>
      <w:r w:rsidRPr="008A60C1">
        <w:rPr>
          <w:noProof/>
          <w:sz w:val="24"/>
        </w:rPr>
        <w:instrText xml:space="preserve"> PAGEREF _Toc404344911 \h </w:instrText>
      </w:r>
      <w:r w:rsidRPr="008A60C1">
        <w:rPr>
          <w:noProof/>
          <w:sz w:val="24"/>
        </w:rPr>
      </w:r>
      <w:r w:rsidRPr="008A60C1">
        <w:rPr>
          <w:noProof/>
          <w:sz w:val="24"/>
        </w:rPr>
        <w:fldChar w:fldCharType="separate"/>
      </w:r>
      <w:r w:rsidR="00CC3175">
        <w:rPr>
          <w:noProof/>
          <w:sz w:val="24"/>
        </w:rPr>
        <w:t>7</w:t>
      </w:r>
      <w:r w:rsidRPr="008A60C1">
        <w:rPr>
          <w:noProof/>
          <w:sz w:val="24"/>
        </w:rPr>
        <w:fldChar w:fldCharType="end"/>
      </w:r>
    </w:p>
    <w:p w:rsidRPr="008A60C1" w:rsidR="00AB3E29" w:rsidRDefault="00AB3E29" w14:paraId="6445E560" w14:textId="77777777">
      <w:pPr>
        <w:pStyle w:val="TOC1"/>
        <w:rPr>
          <w:rFonts w:ascii="Calibri" w:hAnsi="Calibri"/>
          <w:noProof/>
          <w:sz w:val="24"/>
          <w:lang w:eastAsia="en-US"/>
        </w:rPr>
      </w:pPr>
      <w:r w:rsidRPr="008A60C1">
        <w:rPr>
          <w:noProof/>
          <w:sz w:val="24"/>
        </w:rPr>
        <w:t>4.</w:t>
      </w:r>
      <w:r w:rsidRPr="008A60C1">
        <w:rPr>
          <w:rFonts w:ascii="Calibri" w:hAnsi="Calibri"/>
          <w:noProof/>
          <w:sz w:val="24"/>
          <w:lang w:eastAsia="en-US"/>
        </w:rPr>
        <w:tab/>
      </w:r>
      <w:r w:rsidRPr="008A60C1">
        <w:rPr>
          <w:noProof/>
          <w:sz w:val="24"/>
        </w:rPr>
        <w:t>THE RESPONDENTS AND THE INFORMATION REQUESTED</w:t>
      </w:r>
      <w:r w:rsidRPr="008A60C1">
        <w:rPr>
          <w:noProof/>
          <w:sz w:val="24"/>
        </w:rPr>
        <w:tab/>
      </w:r>
      <w:r w:rsidRPr="008A60C1">
        <w:rPr>
          <w:noProof/>
          <w:sz w:val="24"/>
        </w:rPr>
        <w:fldChar w:fldCharType="begin"/>
      </w:r>
      <w:r w:rsidRPr="008A60C1">
        <w:rPr>
          <w:noProof/>
          <w:sz w:val="24"/>
        </w:rPr>
        <w:instrText xml:space="preserve"> PAGEREF _Toc404344912 \h </w:instrText>
      </w:r>
      <w:r w:rsidRPr="008A60C1">
        <w:rPr>
          <w:noProof/>
          <w:sz w:val="24"/>
        </w:rPr>
      </w:r>
      <w:r w:rsidRPr="008A60C1">
        <w:rPr>
          <w:noProof/>
          <w:sz w:val="24"/>
        </w:rPr>
        <w:fldChar w:fldCharType="separate"/>
      </w:r>
      <w:r w:rsidR="00CC3175">
        <w:rPr>
          <w:noProof/>
          <w:sz w:val="24"/>
        </w:rPr>
        <w:t>8</w:t>
      </w:r>
      <w:r w:rsidRPr="008A60C1">
        <w:rPr>
          <w:noProof/>
          <w:sz w:val="24"/>
        </w:rPr>
        <w:fldChar w:fldCharType="end"/>
      </w:r>
    </w:p>
    <w:p w:rsidRPr="008A60C1" w:rsidR="00AB3E29" w:rsidRDefault="00AB3E29" w14:paraId="687D7894" w14:textId="77777777">
      <w:pPr>
        <w:pStyle w:val="TOC2"/>
        <w:rPr>
          <w:rFonts w:ascii="Calibri" w:hAnsi="Calibri"/>
          <w:noProof/>
          <w:sz w:val="24"/>
          <w:lang w:eastAsia="en-US"/>
        </w:rPr>
      </w:pPr>
      <w:r w:rsidRPr="008A60C1">
        <w:rPr>
          <w:noProof/>
          <w:sz w:val="24"/>
        </w:rPr>
        <w:t>4(a)</w:t>
      </w:r>
      <w:r w:rsidRPr="008A60C1">
        <w:rPr>
          <w:rFonts w:ascii="Calibri" w:hAnsi="Calibri"/>
          <w:noProof/>
          <w:sz w:val="24"/>
          <w:lang w:eastAsia="en-US"/>
        </w:rPr>
        <w:tab/>
      </w:r>
      <w:r w:rsidRPr="008A60C1">
        <w:rPr>
          <w:noProof/>
          <w:sz w:val="24"/>
        </w:rPr>
        <w:t>Respondents and NAICS Codes</w:t>
      </w:r>
      <w:r w:rsidRPr="008A60C1">
        <w:rPr>
          <w:noProof/>
          <w:sz w:val="24"/>
        </w:rPr>
        <w:tab/>
      </w:r>
      <w:r w:rsidRPr="008A60C1">
        <w:rPr>
          <w:noProof/>
          <w:sz w:val="24"/>
        </w:rPr>
        <w:fldChar w:fldCharType="begin"/>
      </w:r>
      <w:r w:rsidRPr="008A60C1">
        <w:rPr>
          <w:noProof/>
          <w:sz w:val="24"/>
        </w:rPr>
        <w:instrText xml:space="preserve"> PAGEREF _Toc404344913 \h </w:instrText>
      </w:r>
      <w:r w:rsidRPr="008A60C1">
        <w:rPr>
          <w:noProof/>
          <w:sz w:val="24"/>
        </w:rPr>
      </w:r>
      <w:r w:rsidRPr="008A60C1">
        <w:rPr>
          <w:noProof/>
          <w:sz w:val="24"/>
        </w:rPr>
        <w:fldChar w:fldCharType="separate"/>
      </w:r>
      <w:r w:rsidR="00CC3175">
        <w:rPr>
          <w:noProof/>
          <w:sz w:val="24"/>
        </w:rPr>
        <w:t>8</w:t>
      </w:r>
      <w:r w:rsidRPr="008A60C1">
        <w:rPr>
          <w:noProof/>
          <w:sz w:val="24"/>
        </w:rPr>
        <w:fldChar w:fldCharType="end"/>
      </w:r>
    </w:p>
    <w:p w:rsidRPr="008A60C1" w:rsidR="00AB3E29" w:rsidRDefault="00AB3E29" w14:paraId="3087A467" w14:textId="77777777">
      <w:pPr>
        <w:pStyle w:val="TOC2"/>
        <w:rPr>
          <w:rFonts w:ascii="Calibri" w:hAnsi="Calibri"/>
          <w:noProof/>
          <w:sz w:val="24"/>
          <w:lang w:eastAsia="en-US"/>
        </w:rPr>
      </w:pPr>
      <w:r w:rsidRPr="008A60C1">
        <w:rPr>
          <w:noProof/>
          <w:sz w:val="24"/>
        </w:rPr>
        <w:t>4(b)</w:t>
      </w:r>
      <w:r w:rsidRPr="008A60C1">
        <w:rPr>
          <w:rFonts w:ascii="Calibri" w:hAnsi="Calibri"/>
          <w:noProof/>
          <w:sz w:val="24"/>
          <w:lang w:eastAsia="en-US"/>
        </w:rPr>
        <w:tab/>
      </w:r>
      <w:r w:rsidRPr="008A60C1">
        <w:rPr>
          <w:noProof/>
          <w:sz w:val="24"/>
        </w:rPr>
        <w:t>Information Requested</w:t>
      </w:r>
      <w:r w:rsidRPr="008A60C1">
        <w:rPr>
          <w:noProof/>
          <w:sz w:val="24"/>
        </w:rPr>
        <w:tab/>
      </w:r>
      <w:r w:rsidRPr="008A60C1">
        <w:rPr>
          <w:noProof/>
          <w:sz w:val="24"/>
        </w:rPr>
        <w:fldChar w:fldCharType="begin"/>
      </w:r>
      <w:r w:rsidRPr="008A60C1">
        <w:rPr>
          <w:noProof/>
          <w:sz w:val="24"/>
        </w:rPr>
        <w:instrText xml:space="preserve"> PAGEREF _Toc404344914 \h </w:instrText>
      </w:r>
      <w:r w:rsidRPr="008A60C1">
        <w:rPr>
          <w:noProof/>
          <w:sz w:val="24"/>
        </w:rPr>
      </w:r>
      <w:r w:rsidRPr="008A60C1">
        <w:rPr>
          <w:noProof/>
          <w:sz w:val="24"/>
        </w:rPr>
        <w:fldChar w:fldCharType="separate"/>
      </w:r>
      <w:r w:rsidR="00CC3175">
        <w:rPr>
          <w:noProof/>
          <w:sz w:val="24"/>
        </w:rPr>
        <w:t>9</w:t>
      </w:r>
      <w:r w:rsidRPr="008A60C1">
        <w:rPr>
          <w:noProof/>
          <w:sz w:val="24"/>
        </w:rPr>
        <w:fldChar w:fldCharType="end"/>
      </w:r>
    </w:p>
    <w:p w:rsidRPr="008A60C1" w:rsidR="00AB3E29" w:rsidRDefault="00AB3E29" w14:paraId="5EBAC6B4" w14:textId="77777777">
      <w:pPr>
        <w:pStyle w:val="TOC1"/>
        <w:rPr>
          <w:rFonts w:ascii="Calibri" w:hAnsi="Calibri"/>
          <w:noProof/>
          <w:sz w:val="24"/>
          <w:lang w:eastAsia="en-US"/>
        </w:rPr>
      </w:pPr>
      <w:r w:rsidRPr="008A60C1">
        <w:rPr>
          <w:noProof/>
          <w:sz w:val="24"/>
        </w:rPr>
        <w:t>5.</w:t>
      </w:r>
      <w:r w:rsidRPr="008A60C1">
        <w:rPr>
          <w:rFonts w:ascii="Calibri" w:hAnsi="Calibri"/>
          <w:noProof/>
          <w:sz w:val="24"/>
          <w:lang w:eastAsia="en-US"/>
        </w:rPr>
        <w:tab/>
      </w:r>
      <w:r w:rsidRPr="008A60C1">
        <w:rPr>
          <w:noProof/>
          <w:sz w:val="24"/>
        </w:rPr>
        <w:t>THE INFORMATION COLLECTED: AGENCY ACTIVITIES, COLLECTION METHODOLOGY, AND INFORMATION MANAGEMENT</w:t>
      </w:r>
      <w:r w:rsidRPr="008A60C1">
        <w:rPr>
          <w:noProof/>
          <w:sz w:val="24"/>
        </w:rPr>
        <w:tab/>
      </w:r>
      <w:r w:rsidRPr="008A60C1">
        <w:rPr>
          <w:noProof/>
          <w:sz w:val="24"/>
        </w:rPr>
        <w:fldChar w:fldCharType="begin"/>
      </w:r>
      <w:r w:rsidRPr="008A60C1">
        <w:rPr>
          <w:noProof/>
          <w:sz w:val="24"/>
        </w:rPr>
        <w:instrText xml:space="preserve"> PAGEREF _Toc404344915 \h </w:instrText>
      </w:r>
      <w:r w:rsidRPr="008A60C1">
        <w:rPr>
          <w:noProof/>
          <w:sz w:val="24"/>
        </w:rPr>
      </w:r>
      <w:r w:rsidRPr="008A60C1">
        <w:rPr>
          <w:noProof/>
          <w:sz w:val="24"/>
        </w:rPr>
        <w:fldChar w:fldCharType="separate"/>
      </w:r>
      <w:r w:rsidR="00CC3175">
        <w:rPr>
          <w:noProof/>
          <w:sz w:val="24"/>
        </w:rPr>
        <w:t>24</w:t>
      </w:r>
      <w:r w:rsidRPr="008A60C1">
        <w:rPr>
          <w:noProof/>
          <w:sz w:val="24"/>
        </w:rPr>
        <w:fldChar w:fldCharType="end"/>
      </w:r>
    </w:p>
    <w:p w:rsidRPr="008A60C1" w:rsidR="00AB3E29" w:rsidRDefault="00AB3E29" w14:paraId="3E65C593" w14:textId="77777777">
      <w:pPr>
        <w:pStyle w:val="TOC2"/>
        <w:rPr>
          <w:rFonts w:ascii="Calibri" w:hAnsi="Calibri"/>
          <w:noProof/>
          <w:sz w:val="24"/>
          <w:lang w:eastAsia="en-US"/>
        </w:rPr>
      </w:pPr>
      <w:r w:rsidRPr="008A60C1">
        <w:rPr>
          <w:noProof/>
          <w:sz w:val="24"/>
        </w:rPr>
        <w:t>5(a)</w:t>
      </w:r>
      <w:r w:rsidRPr="008A60C1">
        <w:rPr>
          <w:rFonts w:ascii="Calibri" w:hAnsi="Calibri"/>
          <w:noProof/>
          <w:sz w:val="24"/>
          <w:lang w:eastAsia="en-US"/>
        </w:rPr>
        <w:tab/>
      </w:r>
      <w:r w:rsidRPr="008A60C1">
        <w:rPr>
          <w:noProof/>
          <w:sz w:val="24"/>
        </w:rPr>
        <w:t>Agency Activities</w:t>
      </w:r>
      <w:r w:rsidRPr="008A60C1">
        <w:rPr>
          <w:noProof/>
          <w:sz w:val="24"/>
        </w:rPr>
        <w:tab/>
      </w:r>
      <w:r w:rsidRPr="008A60C1">
        <w:rPr>
          <w:noProof/>
          <w:sz w:val="24"/>
        </w:rPr>
        <w:fldChar w:fldCharType="begin"/>
      </w:r>
      <w:r w:rsidRPr="008A60C1">
        <w:rPr>
          <w:noProof/>
          <w:sz w:val="24"/>
        </w:rPr>
        <w:instrText xml:space="preserve"> PAGEREF _Toc404344916 \h </w:instrText>
      </w:r>
      <w:r w:rsidRPr="008A60C1">
        <w:rPr>
          <w:noProof/>
          <w:sz w:val="24"/>
        </w:rPr>
      </w:r>
      <w:r w:rsidRPr="008A60C1">
        <w:rPr>
          <w:noProof/>
          <w:sz w:val="24"/>
        </w:rPr>
        <w:fldChar w:fldCharType="separate"/>
      </w:r>
      <w:r w:rsidR="00CC3175">
        <w:rPr>
          <w:noProof/>
          <w:sz w:val="24"/>
        </w:rPr>
        <w:t>24</w:t>
      </w:r>
      <w:r w:rsidRPr="008A60C1">
        <w:rPr>
          <w:noProof/>
          <w:sz w:val="24"/>
        </w:rPr>
        <w:fldChar w:fldCharType="end"/>
      </w:r>
    </w:p>
    <w:p w:rsidRPr="008A60C1" w:rsidR="00AB3E29" w:rsidRDefault="00AB3E29" w14:paraId="61597E9A" w14:textId="77777777">
      <w:pPr>
        <w:pStyle w:val="TOC2"/>
        <w:rPr>
          <w:rFonts w:ascii="Calibri" w:hAnsi="Calibri"/>
          <w:noProof/>
          <w:sz w:val="24"/>
          <w:lang w:eastAsia="en-US"/>
        </w:rPr>
      </w:pPr>
      <w:r w:rsidRPr="008A60C1">
        <w:rPr>
          <w:noProof/>
          <w:sz w:val="24"/>
        </w:rPr>
        <w:t>5(b)</w:t>
      </w:r>
      <w:r w:rsidRPr="008A60C1">
        <w:rPr>
          <w:rFonts w:ascii="Calibri" w:hAnsi="Calibri"/>
          <w:noProof/>
          <w:sz w:val="24"/>
          <w:lang w:eastAsia="en-US"/>
        </w:rPr>
        <w:tab/>
      </w:r>
      <w:r w:rsidRPr="008A60C1">
        <w:rPr>
          <w:noProof/>
          <w:sz w:val="24"/>
        </w:rPr>
        <w:t>Collection Methodology and Management</w:t>
      </w:r>
      <w:r w:rsidRPr="008A60C1">
        <w:rPr>
          <w:noProof/>
          <w:sz w:val="24"/>
        </w:rPr>
        <w:tab/>
      </w:r>
      <w:r w:rsidRPr="008A60C1">
        <w:rPr>
          <w:noProof/>
          <w:sz w:val="24"/>
        </w:rPr>
        <w:fldChar w:fldCharType="begin"/>
      </w:r>
      <w:r w:rsidRPr="008A60C1">
        <w:rPr>
          <w:noProof/>
          <w:sz w:val="24"/>
        </w:rPr>
        <w:instrText xml:space="preserve"> PAGEREF _Toc404344917 \h </w:instrText>
      </w:r>
      <w:r w:rsidRPr="008A60C1">
        <w:rPr>
          <w:noProof/>
          <w:sz w:val="24"/>
        </w:rPr>
      </w:r>
      <w:r w:rsidRPr="008A60C1">
        <w:rPr>
          <w:noProof/>
          <w:sz w:val="24"/>
        </w:rPr>
        <w:fldChar w:fldCharType="separate"/>
      </w:r>
      <w:r w:rsidR="00CC3175">
        <w:rPr>
          <w:noProof/>
          <w:sz w:val="24"/>
        </w:rPr>
        <w:t>27</w:t>
      </w:r>
      <w:r w:rsidRPr="008A60C1">
        <w:rPr>
          <w:noProof/>
          <w:sz w:val="24"/>
        </w:rPr>
        <w:fldChar w:fldCharType="end"/>
      </w:r>
    </w:p>
    <w:p w:rsidRPr="008A60C1" w:rsidR="00AB3E29" w:rsidRDefault="00AB3E29" w14:paraId="415AD0DB" w14:textId="77777777">
      <w:pPr>
        <w:pStyle w:val="TOC2"/>
        <w:rPr>
          <w:rFonts w:ascii="Calibri" w:hAnsi="Calibri"/>
          <w:noProof/>
          <w:sz w:val="24"/>
          <w:lang w:eastAsia="en-US"/>
        </w:rPr>
      </w:pPr>
      <w:r w:rsidRPr="008A60C1">
        <w:rPr>
          <w:noProof/>
          <w:sz w:val="24"/>
        </w:rPr>
        <w:t>5(c)</w:t>
      </w:r>
      <w:r w:rsidRPr="008A60C1">
        <w:rPr>
          <w:rFonts w:ascii="Calibri" w:hAnsi="Calibri"/>
          <w:noProof/>
          <w:sz w:val="24"/>
          <w:lang w:eastAsia="en-US"/>
        </w:rPr>
        <w:tab/>
      </w:r>
      <w:r w:rsidRPr="008A60C1">
        <w:rPr>
          <w:noProof/>
          <w:sz w:val="24"/>
        </w:rPr>
        <w:t>Small Entity Flexibility</w:t>
      </w:r>
      <w:r w:rsidRPr="008A60C1">
        <w:rPr>
          <w:noProof/>
          <w:sz w:val="24"/>
        </w:rPr>
        <w:tab/>
      </w:r>
      <w:r w:rsidRPr="008A60C1">
        <w:rPr>
          <w:noProof/>
          <w:sz w:val="24"/>
        </w:rPr>
        <w:fldChar w:fldCharType="begin"/>
      </w:r>
      <w:r w:rsidRPr="008A60C1">
        <w:rPr>
          <w:noProof/>
          <w:sz w:val="24"/>
        </w:rPr>
        <w:instrText xml:space="preserve"> PAGEREF _Toc404344918 \h </w:instrText>
      </w:r>
      <w:r w:rsidRPr="008A60C1">
        <w:rPr>
          <w:noProof/>
          <w:sz w:val="24"/>
        </w:rPr>
      </w:r>
      <w:r w:rsidRPr="008A60C1">
        <w:rPr>
          <w:noProof/>
          <w:sz w:val="24"/>
        </w:rPr>
        <w:fldChar w:fldCharType="separate"/>
      </w:r>
      <w:r w:rsidR="00CC3175">
        <w:rPr>
          <w:noProof/>
          <w:sz w:val="24"/>
        </w:rPr>
        <w:t>27</w:t>
      </w:r>
      <w:r w:rsidRPr="008A60C1">
        <w:rPr>
          <w:noProof/>
          <w:sz w:val="24"/>
        </w:rPr>
        <w:fldChar w:fldCharType="end"/>
      </w:r>
    </w:p>
    <w:p w:rsidRPr="008A60C1" w:rsidR="00AB3E29" w:rsidRDefault="00AB3E29" w14:paraId="540B4583" w14:textId="77777777">
      <w:pPr>
        <w:pStyle w:val="TOC2"/>
        <w:rPr>
          <w:rFonts w:ascii="Calibri" w:hAnsi="Calibri"/>
          <w:noProof/>
          <w:sz w:val="24"/>
          <w:lang w:eastAsia="en-US"/>
        </w:rPr>
      </w:pPr>
      <w:r w:rsidRPr="008A60C1">
        <w:rPr>
          <w:noProof/>
          <w:sz w:val="24"/>
        </w:rPr>
        <w:t>5(d)</w:t>
      </w:r>
      <w:r w:rsidRPr="008A60C1">
        <w:rPr>
          <w:rFonts w:ascii="Calibri" w:hAnsi="Calibri"/>
          <w:noProof/>
          <w:sz w:val="24"/>
          <w:lang w:eastAsia="en-US"/>
        </w:rPr>
        <w:tab/>
      </w:r>
      <w:r w:rsidRPr="008A60C1">
        <w:rPr>
          <w:noProof/>
          <w:sz w:val="24"/>
        </w:rPr>
        <w:t>Collection Schedule</w:t>
      </w:r>
      <w:r w:rsidRPr="008A60C1">
        <w:rPr>
          <w:noProof/>
          <w:sz w:val="24"/>
        </w:rPr>
        <w:tab/>
      </w:r>
      <w:r w:rsidRPr="008A60C1">
        <w:rPr>
          <w:noProof/>
          <w:sz w:val="24"/>
        </w:rPr>
        <w:fldChar w:fldCharType="begin"/>
      </w:r>
      <w:r w:rsidRPr="008A60C1">
        <w:rPr>
          <w:noProof/>
          <w:sz w:val="24"/>
        </w:rPr>
        <w:instrText xml:space="preserve"> PAGEREF _Toc404344919 \h </w:instrText>
      </w:r>
      <w:r w:rsidRPr="008A60C1">
        <w:rPr>
          <w:noProof/>
          <w:sz w:val="24"/>
        </w:rPr>
      </w:r>
      <w:r w:rsidRPr="008A60C1">
        <w:rPr>
          <w:noProof/>
          <w:sz w:val="24"/>
        </w:rPr>
        <w:fldChar w:fldCharType="separate"/>
      </w:r>
      <w:r w:rsidR="00CC3175">
        <w:rPr>
          <w:noProof/>
          <w:sz w:val="24"/>
        </w:rPr>
        <w:t>28</w:t>
      </w:r>
      <w:r w:rsidRPr="008A60C1">
        <w:rPr>
          <w:noProof/>
          <w:sz w:val="24"/>
        </w:rPr>
        <w:fldChar w:fldCharType="end"/>
      </w:r>
    </w:p>
    <w:p w:rsidRPr="008A60C1" w:rsidR="00AB3E29" w:rsidRDefault="00AB3E29" w14:paraId="4F769844" w14:textId="77777777">
      <w:pPr>
        <w:pStyle w:val="TOC1"/>
        <w:rPr>
          <w:rFonts w:ascii="Calibri" w:hAnsi="Calibri"/>
          <w:noProof/>
          <w:sz w:val="24"/>
          <w:lang w:eastAsia="en-US"/>
        </w:rPr>
      </w:pPr>
      <w:r w:rsidRPr="008A60C1">
        <w:rPr>
          <w:noProof/>
          <w:sz w:val="24"/>
        </w:rPr>
        <w:t>6.</w:t>
      </w:r>
      <w:r w:rsidRPr="008A60C1">
        <w:rPr>
          <w:rFonts w:ascii="Calibri" w:hAnsi="Calibri"/>
          <w:noProof/>
          <w:sz w:val="24"/>
          <w:lang w:eastAsia="en-US"/>
        </w:rPr>
        <w:tab/>
      </w:r>
      <w:r w:rsidRPr="008A60C1">
        <w:rPr>
          <w:noProof/>
          <w:sz w:val="24"/>
        </w:rPr>
        <w:t>ESTIMATING THE HOUR AND COST BURDEN OF THE COLLECTION</w:t>
      </w:r>
      <w:r w:rsidRPr="008A60C1">
        <w:rPr>
          <w:noProof/>
          <w:sz w:val="24"/>
        </w:rPr>
        <w:tab/>
      </w:r>
      <w:r w:rsidRPr="008A60C1">
        <w:rPr>
          <w:noProof/>
          <w:sz w:val="24"/>
        </w:rPr>
        <w:fldChar w:fldCharType="begin"/>
      </w:r>
      <w:r w:rsidRPr="008A60C1">
        <w:rPr>
          <w:noProof/>
          <w:sz w:val="24"/>
        </w:rPr>
        <w:instrText xml:space="preserve"> PAGEREF _Toc404344920 \h </w:instrText>
      </w:r>
      <w:r w:rsidRPr="008A60C1">
        <w:rPr>
          <w:noProof/>
          <w:sz w:val="24"/>
        </w:rPr>
      </w:r>
      <w:r w:rsidRPr="008A60C1">
        <w:rPr>
          <w:noProof/>
          <w:sz w:val="24"/>
        </w:rPr>
        <w:fldChar w:fldCharType="separate"/>
      </w:r>
      <w:r w:rsidR="00CC3175">
        <w:rPr>
          <w:noProof/>
          <w:sz w:val="24"/>
        </w:rPr>
        <w:t>29</w:t>
      </w:r>
      <w:r w:rsidRPr="008A60C1">
        <w:rPr>
          <w:noProof/>
          <w:sz w:val="24"/>
        </w:rPr>
        <w:fldChar w:fldCharType="end"/>
      </w:r>
    </w:p>
    <w:p w:rsidRPr="008A60C1" w:rsidR="00AB3E29" w:rsidRDefault="00AB3E29" w14:paraId="13BC5534" w14:textId="77777777">
      <w:pPr>
        <w:pStyle w:val="TOC2"/>
        <w:rPr>
          <w:rFonts w:ascii="Calibri" w:hAnsi="Calibri"/>
          <w:noProof/>
          <w:sz w:val="24"/>
          <w:lang w:eastAsia="en-US"/>
        </w:rPr>
      </w:pPr>
      <w:r w:rsidRPr="008A60C1">
        <w:rPr>
          <w:noProof/>
          <w:sz w:val="24"/>
        </w:rPr>
        <w:t>6(a)</w:t>
      </w:r>
      <w:r w:rsidRPr="008A60C1">
        <w:rPr>
          <w:rFonts w:ascii="Calibri" w:hAnsi="Calibri"/>
          <w:noProof/>
          <w:sz w:val="24"/>
          <w:lang w:eastAsia="en-US"/>
        </w:rPr>
        <w:tab/>
      </w:r>
      <w:r w:rsidRPr="008A60C1">
        <w:rPr>
          <w:noProof/>
          <w:sz w:val="24"/>
        </w:rPr>
        <w:t>Estimating Respondent Burden Hours</w:t>
      </w:r>
      <w:r w:rsidRPr="008A60C1">
        <w:rPr>
          <w:noProof/>
          <w:sz w:val="24"/>
        </w:rPr>
        <w:tab/>
      </w:r>
      <w:r w:rsidRPr="008A60C1">
        <w:rPr>
          <w:noProof/>
          <w:sz w:val="24"/>
        </w:rPr>
        <w:fldChar w:fldCharType="begin"/>
      </w:r>
      <w:r w:rsidRPr="008A60C1">
        <w:rPr>
          <w:noProof/>
          <w:sz w:val="24"/>
        </w:rPr>
        <w:instrText xml:space="preserve"> PAGEREF _Toc404344921 \h </w:instrText>
      </w:r>
      <w:r w:rsidRPr="008A60C1">
        <w:rPr>
          <w:noProof/>
          <w:sz w:val="24"/>
        </w:rPr>
      </w:r>
      <w:r w:rsidRPr="008A60C1">
        <w:rPr>
          <w:noProof/>
          <w:sz w:val="24"/>
        </w:rPr>
        <w:fldChar w:fldCharType="separate"/>
      </w:r>
      <w:r w:rsidR="00CC3175">
        <w:rPr>
          <w:noProof/>
          <w:sz w:val="24"/>
        </w:rPr>
        <w:t>29</w:t>
      </w:r>
      <w:r w:rsidRPr="008A60C1">
        <w:rPr>
          <w:noProof/>
          <w:sz w:val="24"/>
        </w:rPr>
        <w:fldChar w:fldCharType="end"/>
      </w:r>
    </w:p>
    <w:p w:rsidRPr="008A60C1" w:rsidR="00AB3E29" w:rsidRDefault="00AB3E29" w14:paraId="3B1D5FF7" w14:textId="77777777">
      <w:pPr>
        <w:pStyle w:val="TOC2"/>
        <w:rPr>
          <w:rFonts w:ascii="Calibri" w:hAnsi="Calibri"/>
          <w:noProof/>
          <w:sz w:val="24"/>
          <w:lang w:eastAsia="en-US"/>
        </w:rPr>
      </w:pPr>
      <w:r w:rsidRPr="008A60C1">
        <w:rPr>
          <w:noProof/>
          <w:sz w:val="24"/>
        </w:rPr>
        <w:t>6(b)</w:t>
      </w:r>
      <w:r w:rsidRPr="008A60C1">
        <w:rPr>
          <w:rFonts w:ascii="Calibri" w:hAnsi="Calibri"/>
          <w:noProof/>
          <w:sz w:val="24"/>
          <w:lang w:eastAsia="en-US"/>
        </w:rPr>
        <w:tab/>
      </w:r>
      <w:r w:rsidRPr="008A60C1">
        <w:rPr>
          <w:noProof/>
          <w:sz w:val="24"/>
        </w:rPr>
        <w:t>Estimating Respondent Costs</w:t>
      </w:r>
      <w:r w:rsidRPr="008A60C1">
        <w:rPr>
          <w:noProof/>
          <w:sz w:val="24"/>
        </w:rPr>
        <w:tab/>
      </w:r>
      <w:r w:rsidRPr="008A60C1">
        <w:rPr>
          <w:noProof/>
          <w:sz w:val="24"/>
        </w:rPr>
        <w:fldChar w:fldCharType="begin"/>
      </w:r>
      <w:r w:rsidRPr="008A60C1">
        <w:rPr>
          <w:noProof/>
          <w:sz w:val="24"/>
        </w:rPr>
        <w:instrText xml:space="preserve"> PAGEREF _Toc404344922 \h </w:instrText>
      </w:r>
      <w:r w:rsidRPr="008A60C1">
        <w:rPr>
          <w:noProof/>
          <w:sz w:val="24"/>
        </w:rPr>
      </w:r>
      <w:r w:rsidRPr="008A60C1">
        <w:rPr>
          <w:noProof/>
          <w:sz w:val="24"/>
        </w:rPr>
        <w:fldChar w:fldCharType="separate"/>
      </w:r>
      <w:r w:rsidR="00CC3175">
        <w:rPr>
          <w:noProof/>
          <w:sz w:val="24"/>
        </w:rPr>
        <w:t>29</w:t>
      </w:r>
      <w:r w:rsidRPr="008A60C1">
        <w:rPr>
          <w:noProof/>
          <w:sz w:val="24"/>
        </w:rPr>
        <w:fldChar w:fldCharType="end"/>
      </w:r>
    </w:p>
    <w:p w:rsidRPr="008A60C1" w:rsidR="00AB3E29" w:rsidRDefault="00AB3E29" w14:paraId="70F769C8" w14:textId="77777777">
      <w:pPr>
        <w:pStyle w:val="TOC2"/>
        <w:rPr>
          <w:rFonts w:ascii="Calibri" w:hAnsi="Calibri"/>
          <w:noProof/>
          <w:sz w:val="24"/>
          <w:lang w:eastAsia="en-US"/>
        </w:rPr>
      </w:pPr>
      <w:r w:rsidRPr="008A60C1">
        <w:rPr>
          <w:noProof/>
          <w:sz w:val="24"/>
        </w:rPr>
        <w:t>6(c)</w:t>
      </w:r>
      <w:r w:rsidRPr="008A60C1">
        <w:rPr>
          <w:rFonts w:ascii="Calibri" w:hAnsi="Calibri"/>
          <w:noProof/>
          <w:sz w:val="24"/>
          <w:lang w:eastAsia="en-US"/>
        </w:rPr>
        <w:tab/>
      </w:r>
      <w:r w:rsidRPr="008A60C1">
        <w:rPr>
          <w:noProof/>
          <w:sz w:val="24"/>
        </w:rPr>
        <w:t>Estimating Agency Hour and Cost Burden</w:t>
      </w:r>
      <w:r w:rsidRPr="008A60C1">
        <w:rPr>
          <w:noProof/>
          <w:sz w:val="24"/>
        </w:rPr>
        <w:tab/>
      </w:r>
      <w:r w:rsidRPr="008A60C1">
        <w:rPr>
          <w:noProof/>
          <w:sz w:val="24"/>
        </w:rPr>
        <w:fldChar w:fldCharType="begin"/>
      </w:r>
      <w:r w:rsidRPr="008A60C1">
        <w:rPr>
          <w:noProof/>
          <w:sz w:val="24"/>
        </w:rPr>
        <w:instrText xml:space="preserve"> PAGEREF _Toc404344923 \h </w:instrText>
      </w:r>
      <w:r w:rsidRPr="008A60C1">
        <w:rPr>
          <w:noProof/>
          <w:sz w:val="24"/>
        </w:rPr>
      </w:r>
      <w:r w:rsidRPr="008A60C1">
        <w:rPr>
          <w:noProof/>
          <w:sz w:val="24"/>
        </w:rPr>
        <w:fldChar w:fldCharType="separate"/>
      </w:r>
      <w:r w:rsidR="00CC3175">
        <w:rPr>
          <w:noProof/>
          <w:sz w:val="24"/>
        </w:rPr>
        <w:t>32</w:t>
      </w:r>
      <w:r w:rsidRPr="008A60C1">
        <w:rPr>
          <w:noProof/>
          <w:sz w:val="24"/>
        </w:rPr>
        <w:fldChar w:fldCharType="end"/>
      </w:r>
    </w:p>
    <w:p w:rsidRPr="008A60C1" w:rsidR="00AB3E29" w:rsidRDefault="00AB3E29" w14:paraId="5EA222CD" w14:textId="77777777">
      <w:pPr>
        <w:pStyle w:val="TOC2"/>
        <w:rPr>
          <w:rFonts w:ascii="Calibri" w:hAnsi="Calibri"/>
          <w:noProof/>
          <w:sz w:val="24"/>
          <w:lang w:eastAsia="en-US"/>
        </w:rPr>
      </w:pPr>
      <w:r w:rsidRPr="008A60C1">
        <w:rPr>
          <w:noProof/>
          <w:sz w:val="24"/>
        </w:rPr>
        <w:t>6(d)</w:t>
      </w:r>
      <w:r w:rsidRPr="008A60C1">
        <w:rPr>
          <w:rFonts w:ascii="Calibri" w:hAnsi="Calibri"/>
          <w:noProof/>
          <w:sz w:val="24"/>
          <w:lang w:eastAsia="en-US"/>
        </w:rPr>
        <w:tab/>
      </w:r>
      <w:r w:rsidRPr="008A60C1">
        <w:rPr>
          <w:noProof/>
          <w:sz w:val="24"/>
        </w:rPr>
        <w:t>Estimating the Annual Respondent Universe and Total Hour and Cost Burden</w:t>
      </w:r>
      <w:r w:rsidRPr="008A60C1">
        <w:rPr>
          <w:noProof/>
          <w:sz w:val="24"/>
        </w:rPr>
        <w:tab/>
      </w:r>
      <w:r w:rsidRPr="008A60C1">
        <w:rPr>
          <w:noProof/>
          <w:sz w:val="24"/>
        </w:rPr>
        <w:fldChar w:fldCharType="begin"/>
      </w:r>
      <w:r w:rsidRPr="008A60C1">
        <w:rPr>
          <w:noProof/>
          <w:sz w:val="24"/>
        </w:rPr>
        <w:instrText xml:space="preserve"> PAGEREF _Toc404344924 \h </w:instrText>
      </w:r>
      <w:r w:rsidRPr="008A60C1">
        <w:rPr>
          <w:noProof/>
          <w:sz w:val="24"/>
        </w:rPr>
      </w:r>
      <w:r w:rsidRPr="008A60C1">
        <w:rPr>
          <w:noProof/>
          <w:sz w:val="24"/>
        </w:rPr>
        <w:fldChar w:fldCharType="separate"/>
      </w:r>
      <w:r w:rsidR="00CC3175">
        <w:rPr>
          <w:noProof/>
          <w:sz w:val="24"/>
        </w:rPr>
        <w:t>33</w:t>
      </w:r>
      <w:r w:rsidRPr="008A60C1">
        <w:rPr>
          <w:noProof/>
          <w:sz w:val="24"/>
        </w:rPr>
        <w:fldChar w:fldCharType="end"/>
      </w:r>
    </w:p>
    <w:p w:rsidRPr="008A60C1" w:rsidR="00AB3E29" w:rsidRDefault="00AB3E29" w14:paraId="0D1E0A23" w14:textId="77777777">
      <w:pPr>
        <w:pStyle w:val="TOC2"/>
        <w:rPr>
          <w:rFonts w:ascii="Calibri" w:hAnsi="Calibri"/>
          <w:noProof/>
          <w:sz w:val="24"/>
          <w:lang w:eastAsia="en-US"/>
        </w:rPr>
      </w:pPr>
      <w:r w:rsidRPr="008A60C1">
        <w:rPr>
          <w:noProof/>
          <w:sz w:val="24"/>
        </w:rPr>
        <w:t>6(e)</w:t>
      </w:r>
      <w:r w:rsidRPr="008A60C1">
        <w:rPr>
          <w:rFonts w:ascii="Calibri" w:hAnsi="Calibri"/>
          <w:noProof/>
          <w:sz w:val="24"/>
          <w:lang w:eastAsia="en-US"/>
        </w:rPr>
        <w:tab/>
      </w:r>
      <w:r w:rsidRPr="008A60C1">
        <w:rPr>
          <w:noProof/>
          <w:sz w:val="24"/>
        </w:rPr>
        <w:t>Bottom Line Hour and Cost Burden</w:t>
      </w:r>
      <w:r w:rsidRPr="008A60C1">
        <w:rPr>
          <w:noProof/>
          <w:sz w:val="24"/>
        </w:rPr>
        <w:tab/>
      </w:r>
      <w:r w:rsidRPr="008A60C1">
        <w:rPr>
          <w:noProof/>
          <w:sz w:val="24"/>
        </w:rPr>
        <w:fldChar w:fldCharType="begin"/>
      </w:r>
      <w:r w:rsidRPr="008A60C1">
        <w:rPr>
          <w:noProof/>
          <w:sz w:val="24"/>
        </w:rPr>
        <w:instrText xml:space="preserve"> PAGEREF _Toc404344925 \h </w:instrText>
      </w:r>
      <w:r w:rsidRPr="008A60C1">
        <w:rPr>
          <w:noProof/>
          <w:sz w:val="24"/>
        </w:rPr>
      </w:r>
      <w:r w:rsidRPr="008A60C1">
        <w:rPr>
          <w:noProof/>
          <w:sz w:val="24"/>
        </w:rPr>
        <w:fldChar w:fldCharType="separate"/>
      </w:r>
      <w:r w:rsidR="00CC3175">
        <w:rPr>
          <w:noProof/>
          <w:sz w:val="24"/>
        </w:rPr>
        <w:t>41</w:t>
      </w:r>
      <w:r w:rsidRPr="008A60C1">
        <w:rPr>
          <w:noProof/>
          <w:sz w:val="24"/>
        </w:rPr>
        <w:fldChar w:fldCharType="end"/>
      </w:r>
    </w:p>
    <w:p w:rsidRPr="008A60C1" w:rsidR="00AB3E29" w:rsidRDefault="00AB3E29" w14:paraId="54779743" w14:textId="77777777">
      <w:pPr>
        <w:pStyle w:val="TOC2"/>
        <w:rPr>
          <w:rFonts w:ascii="Calibri" w:hAnsi="Calibri"/>
          <w:noProof/>
          <w:sz w:val="24"/>
          <w:lang w:eastAsia="en-US"/>
        </w:rPr>
      </w:pPr>
      <w:r w:rsidRPr="008A60C1">
        <w:rPr>
          <w:noProof/>
          <w:sz w:val="24"/>
        </w:rPr>
        <w:t>6(f)</w:t>
      </w:r>
      <w:r w:rsidRPr="008A60C1">
        <w:rPr>
          <w:rFonts w:ascii="Calibri" w:hAnsi="Calibri"/>
          <w:noProof/>
          <w:sz w:val="24"/>
          <w:lang w:eastAsia="en-US"/>
        </w:rPr>
        <w:tab/>
      </w:r>
      <w:r w:rsidRPr="008A60C1">
        <w:rPr>
          <w:noProof/>
          <w:sz w:val="24"/>
        </w:rPr>
        <w:t>Reasons for Change in Burden</w:t>
      </w:r>
      <w:r w:rsidRPr="008A60C1">
        <w:rPr>
          <w:noProof/>
          <w:sz w:val="24"/>
        </w:rPr>
        <w:tab/>
      </w:r>
      <w:r w:rsidRPr="008A60C1">
        <w:rPr>
          <w:noProof/>
          <w:sz w:val="24"/>
        </w:rPr>
        <w:fldChar w:fldCharType="begin"/>
      </w:r>
      <w:r w:rsidRPr="008A60C1">
        <w:rPr>
          <w:noProof/>
          <w:sz w:val="24"/>
        </w:rPr>
        <w:instrText xml:space="preserve"> PAGEREF _Toc404344926 \h </w:instrText>
      </w:r>
      <w:r w:rsidRPr="008A60C1">
        <w:rPr>
          <w:noProof/>
          <w:sz w:val="24"/>
        </w:rPr>
      </w:r>
      <w:r w:rsidRPr="008A60C1">
        <w:rPr>
          <w:noProof/>
          <w:sz w:val="24"/>
        </w:rPr>
        <w:fldChar w:fldCharType="separate"/>
      </w:r>
      <w:r w:rsidR="00CC3175">
        <w:rPr>
          <w:noProof/>
          <w:sz w:val="24"/>
        </w:rPr>
        <w:t>41</w:t>
      </w:r>
      <w:r w:rsidRPr="008A60C1">
        <w:rPr>
          <w:noProof/>
          <w:sz w:val="24"/>
        </w:rPr>
        <w:fldChar w:fldCharType="end"/>
      </w:r>
    </w:p>
    <w:p w:rsidRPr="008A60C1" w:rsidR="00AB3E29" w:rsidRDefault="00AB3E29" w14:paraId="0AF2C82C" w14:textId="77777777">
      <w:pPr>
        <w:pStyle w:val="TOC2"/>
        <w:rPr>
          <w:rFonts w:ascii="Calibri" w:hAnsi="Calibri"/>
          <w:noProof/>
          <w:sz w:val="24"/>
          <w:lang w:eastAsia="en-US"/>
        </w:rPr>
      </w:pPr>
      <w:r w:rsidRPr="008A60C1">
        <w:rPr>
          <w:noProof/>
          <w:sz w:val="24"/>
        </w:rPr>
        <w:t>6(g)</w:t>
      </w:r>
      <w:r w:rsidRPr="008A60C1">
        <w:rPr>
          <w:rFonts w:ascii="Calibri" w:hAnsi="Calibri"/>
          <w:noProof/>
          <w:sz w:val="24"/>
          <w:lang w:eastAsia="en-US"/>
        </w:rPr>
        <w:tab/>
      </w:r>
      <w:r w:rsidRPr="008A60C1">
        <w:rPr>
          <w:noProof/>
          <w:sz w:val="24"/>
        </w:rPr>
        <w:t>Public Burden Statement</w:t>
      </w:r>
      <w:r w:rsidRPr="008A60C1">
        <w:rPr>
          <w:noProof/>
          <w:sz w:val="24"/>
        </w:rPr>
        <w:tab/>
      </w:r>
      <w:r w:rsidRPr="008A60C1">
        <w:rPr>
          <w:noProof/>
          <w:sz w:val="24"/>
        </w:rPr>
        <w:fldChar w:fldCharType="begin"/>
      </w:r>
      <w:r w:rsidRPr="008A60C1">
        <w:rPr>
          <w:noProof/>
          <w:sz w:val="24"/>
        </w:rPr>
        <w:instrText xml:space="preserve"> PAGEREF _Toc404344927 \h </w:instrText>
      </w:r>
      <w:r w:rsidRPr="008A60C1">
        <w:rPr>
          <w:noProof/>
          <w:sz w:val="24"/>
        </w:rPr>
      </w:r>
      <w:r w:rsidRPr="008A60C1">
        <w:rPr>
          <w:noProof/>
          <w:sz w:val="24"/>
        </w:rPr>
        <w:fldChar w:fldCharType="separate"/>
      </w:r>
      <w:r w:rsidR="00CC3175">
        <w:rPr>
          <w:noProof/>
          <w:sz w:val="24"/>
        </w:rPr>
        <w:t>42</w:t>
      </w:r>
      <w:r w:rsidRPr="008A60C1">
        <w:rPr>
          <w:noProof/>
          <w:sz w:val="24"/>
        </w:rPr>
        <w:fldChar w:fldCharType="end"/>
      </w:r>
    </w:p>
    <w:p w:rsidR="00011B03" w:rsidRDefault="00A1612F" w14:paraId="1EF609DE" w14:textId="77777777">
      <w:pPr>
        <w:pStyle w:val="TOC1"/>
        <w:tabs>
          <w:tab w:val="clear" w:pos="9350"/>
          <w:tab w:val="right" w:leader="dot" w:pos="9360"/>
        </w:tabs>
        <w:rPr>
          <w:sz w:val="22"/>
          <w:szCs w:val="22"/>
        </w:rPr>
      </w:pPr>
      <w:r w:rsidRPr="008A60C1">
        <w:rPr>
          <w:sz w:val="24"/>
        </w:rPr>
        <w:fldChar w:fldCharType="end"/>
      </w:r>
    </w:p>
    <w:p w:rsidR="00011B03" w:rsidP="00C06092" w:rsidRDefault="00011B03" w14:paraId="5FE540DE" w14:textId="77777777">
      <w:pPr>
        <w:pStyle w:val="TOC1"/>
        <w:tabs>
          <w:tab w:val="clear" w:pos="9350"/>
          <w:tab w:val="right" w:leader="dot" w:pos="9360"/>
        </w:tabs>
        <w:jc w:val="center"/>
        <w:rPr>
          <w:sz w:val="22"/>
          <w:szCs w:val="22"/>
        </w:rPr>
      </w:pPr>
      <w:r>
        <w:rPr>
          <w:sz w:val="22"/>
          <w:szCs w:val="22"/>
        </w:rPr>
        <w:br w:type="page"/>
      </w:r>
    </w:p>
    <w:p w:rsidR="00011B03" w:rsidP="00C06092" w:rsidRDefault="00011B03" w14:paraId="78F67FD4" w14:textId="77777777">
      <w:pPr>
        <w:pStyle w:val="TOC1"/>
        <w:tabs>
          <w:tab w:val="clear" w:pos="9350"/>
          <w:tab w:val="right" w:leader="dot" w:pos="9360"/>
        </w:tabs>
        <w:jc w:val="center"/>
        <w:rPr>
          <w:sz w:val="22"/>
          <w:szCs w:val="22"/>
        </w:rPr>
      </w:pPr>
    </w:p>
    <w:p w:rsidR="00011B03" w:rsidP="00C06092" w:rsidRDefault="00011B03" w14:paraId="2392D989" w14:textId="77777777">
      <w:pPr>
        <w:pStyle w:val="TOC1"/>
        <w:tabs>
          <w:tab w:val="clear" w:pos="9350"/>
          <w:tab w:val="right" w:leader="dot" w:pos="9360"/>
        </w:tabs>
        <w:jc w:val="center"/>
        <w:rPr>
          <w:sz w:val="22"/>
          <w:szCs w:val="22"/>
        </w:rPr>
      </w:pPr>
    </w:p>
    <w:p w:rsidR="00011B03" w:rsidP="00C06092" w:rsidRDefault="00011B03" w14:paraId="53B01770" w14:textId="77777777">
      <w:pPr>
        <w:pStyle w:val="TOC1"/>
        <w:tabs>
          <w:tab w:val="clear" w:pos="9350"/>
          <w:tab w:val="right" w:leader="dot" w:pos="9360"/>
        </w:tabs>
        <w:jc w:val="center"/>
        <w:rPr>
          <w:sz w:val="22"/>
          <w:szCs w:val="22"/>
        </w:rPr>
      </w:pPr>
    </w:p>
    <w:p w:rsidR="00011B03" w:rsidP="00C06092" w:rsidRDefault="00011B03" w14:paraId="25800625" w14:textId="77777777">
      <w:pPr>
        <w:pStyle w:val="TOC1"/>
        <w:tabs>
          <w:tab w:val="clear" w:pos="9350"/>
          <w:tab w:val="right" w:leader="dot" w:pos="9360"/>
        </w:tabs>
        <w:jc w:val="center"/>
        <w:rPr>
          <w:sz w:val="22"/>
          <w:szCs w:val="22"/>
        </w:rPr>
      </w:pPr>
    </w:p>
    <w:p w:rsidR="00011B03" w:rsidP="00C06092" w:rsidRDefault="00011B03" w14:paraId="3B7886D8" w14:textId="77777777">
      <w:pPr>
        <w:pStyle w:val="TOC1"/>
        <w:tabs>
          <w:tab w:val="clear" w:pos="9350"/>
          <w:tab w:val="right" w:leader="dot" w:pos="9360"/>
        </w:tabs>
        <w:jc w:val="center"/>
        <w:rPr>
          <w:sz w:val="22"/>
          <w:szCs w:val="22"/>
        </w:rPr>
      </w:pPr>
    </w:p>
    <w:p w:rsidR="00011B03" w:rsidP="00C06092" w:rsidRDefault="00011B03" w14:paraId="19D9D84D" w14:textId="77777777">
      <w:pPr>
        <w:pStyle w:val="TOC1"/>
        <w:tabs>
          <w:tab w:val="clear" w:pos="9350"/>
          <w:tab w:val="right" w:leader="dot" w:pos="9360"/>
        </w:tabs>
        <w:jc w:val="center"/>
        <w:rPr>
          <w:sz w:val="22"/>
          <w:szCs w:val="22"/>
        </w:rPr>
      </w:pPr>
    </w:p>
    <w:p w:rsidR="00011B03" w:rsidP="00C06092" w:rsidRDefault="00011B03" w14:paraId="554BAE8E" w14:textId="77777777">
      <w:pPr>
        <w:pStyle w:val="TOC1"/>
        <w:tabs>
          <w:tab w:val="clear" w:pos="9350"/>
          <w:tab w:val="right" w:leader="dot" w:pos="9360"/>
        </w:tabs>
        <w:jc w:val="center"/>
        <w:rPr>
          <w:sz w:val="22"/>
          <w:szCs w:val="22"/>
        </w:rPr>
      </w:pPr>
    </w:p>
    <w:p w:rsidR="00011B03" w:rsidP="00C06092" w:rsidRDefault="00011B03" w14:paraId="53745A59" w14:textId="77777777">
      <w:pPr>
        <w:pStyle w:val="TOC1"/>
        <w:tabs>
          <w:tab w:val="clear" w:pos="9350"/>
          <w:tab w:val="right" w:leader="dot" w:pos="9360"/>
        </w:tabs>
        <w:jc w:val="center"/>
        <w:rPr>
          <w:sz w:val="22"/>
          <w:szCs w:val="22"/>
        </w:rPr>
      </w:pPr>
    </w:p>
    <w:p w:rsidR="00011B03" w:rsidP="00C06092" w:rsidRDefault="00011B03" w14:paraId="31BADD3A" w14:textId="77777777">
      <w:pPr>
        <w:pStyle w:val="TOC1"/>
        <w:tabs>
          <w:tab w:val="clear" w:pos="9350"/>
          <w:tab w:val="right" w:leader="dot" w:pos="9360"/>
        </w:tabs>
        <w:jc w:val="center"/>
        <w:rPr>
          <w:sz w:val="22"/>
          <w:szCs w:val="22"/>
        </w:rPr>
      </w:pPr>
    </w:p>
    <w:p w:rsidR="00011B03" w:rsidP="00C06092" w:rsidRDefault="00011B03" w14:paraId="68C5CC31" w14:textId="77777777">
      <w:pPr>
        <w:pStyle w:val="TOC1"/>
        <w:tabs>
          <w:tab w:val="clear" w:pos="9350"/>
          <w:tab w:val="right" w:leader="dot" w:pos="9360"/>
        </w:tabs>
        <w:jc w:val="center"/>
        <w:rPr>
          <w:sz w:val="22"/>
          <w:szCs w:val="22"/>
        </w:rPr>
      </w:pPr>
    </w:p>
    <w:p w:rsidR="00011B03" w:rsidP="00C06092" w:rsidRDefault="00011B03" w14:paraId="073750A4" w14:textId="77777777">
      <w:pPr>
        <w:pStyle w:val="TOC1"/>
        <w:tabs>
          <w:tab w:val="clear" w:pos="9350"/>
          <w:tab w:val="right" w:leader="dot" w:pos="9360"/>
        </w:tabs>
        <w:jc w:val="center"/>
        <w:rPr>
          <w:sz w:val="22"/>
          <w:szCs w:val="22"/>
        </w:rPr>
      </w:pPr>
    </w:p>
    <w:p w:rsidR="00011B03" w:rsidP="00C06092" w:rsidRDefault="00011B03" w14:paraId="701D5913" w14:textId="77777777">
      <w:pPr>
        <w:pStyle w:val="TOC1"/>
        <w:tabs>
          <w:tab w:val="clear" w:pos="9350"/>
          <w:tab w:val="right" w:leader="dot" w:pos="9360"/>
        </w:tabs>
        <w:jc w:val="center"/>
        <w:rPr>
          <w:sz w:val="22"/>
          <w:szCs w:val="22"/>
        </w:rPr>
      </w:pPr>
    </w:p>
    <w:p w:rsidR="00011B03" w:rsidP="00C06092" w:rsidRDefault="00011B03" w14:paraId="30EF2244" w14:textId="77777777">
      <w:pPr>
        <w:pStyle w:val="TOC1"/>
        <w:tabs>
          <w:tab w:val="clear" w:pos="9350"/>
          <w:tab w:val="right" w:leader="dot" w:pos="9360"/>
        </w:tabs>
        <w:jc w:val="center"/>
        <w:rPr>
          <w:sz w:val="22"/>
          <w:szCs w:val="22"/>
        </w:rPr>
      </w:pPr>
    </w:p>
    <w:p w:rsidR="00011B03" w:rsidP="00C06092" w:rsidRDefault="00011B03" w14:paraId="610267FD" w14:textId="77777777">
      <w:pPr>
        <w:pStyle w:val="TOC1"/>
        <w:tabs>
          <w:tab w:val="clear" w:pos="9350"/>
          <w:tab w:val="right" w:leader="dot" w:pos="9360"/>
        </w:tabs>
        <w:jc w:val="center"/>
        <w:rPr>
          <w:sz w:val="22"/>
          <w:szCs w:val="22"/>
        </w:rPr>
      </w:pPr>
    </w:p>
    <w:p w:rsidR="00011B03" w:rsidP="00C06092" w:rsidRDefault="00011B03" w14:paraId="345C3438" w14:textId="77777777">
      <w:pPr>
        <w:pStyle w:val="TOC1"/>
        <w:tabs>
          <w:tab w:val="clear" w:pos="9350"/>
          <w:tab w:val="right" w:leader="dot" w:pos="9360"/>
        </w:tabs>
        <w:jc w:val="center"/>
        <w:rPr>
          <w:sz w:val="22"/>
          <w:szCs w:val="22"/>
        </w:rPr>
      </w:pPr>
    </w:p>
    <w:p w:rsidR="00011B03" w:rsidP="00C06092" w:rsidRDefault="00011B03" w14:paraId="504C23FB" w14:textId="77777777">
      <w:pPr>
        <w:pStyle w:val="TOC1"/>
        <w:tabs>
          <w:tab w:val="clear" w:pos="9350"/>
          <w:tab w:val="right" w:leader="dot" w:pos="9360"/>
        </w:tabs>
        <w:jc w:val="center"/>
        <w:rPr>
          <w:sz w:val="22"/>
          <w:szCs w:val="22"/>
        </w:rPr>
      </w:pPr>
    </w:p>
    <w:p w:rsidR="00011B03" w:rsidP="00C06092" w:rsidRDefault="00011B03" w14:paraId="140D33A5" w14:textId="77777777">
      <w:pPr>
        <w:pStyle w:val="TOC1"/>
        <w:tabs>
          <w:tab w:val="clear" w:pos="9350"/>
          <w:tab w:val="right" w:leader="dot" w:pos="9360"/>
        </w:tabs>
        <w:jc w:val="center"/>
        <w:rPr>
          <w:sz w:val="22"/>
          <w:szCs w:val="22"/>
        </w:rPr>
      </w:pPr>
    </w:p>
    <w:p w:rsidR="00011B03" w:rsidP="00C06092" w:rsidRDefault="00011B03" w14:paraId="59830427" w14:textId="77777777">
      <w:pPr>
        <w:pStyle w:val="TOC1"/>
        <w:tabs>
          <w:tab w:val="clear" w:pos="9350"/>
          <w:tab w:val="right" w:leader="dot" w:pos="9360"/>
        </w:tabs>
        <w:jc w:val="center"/>
        <w:rPr>
          <w:sz w:val="22"/>
          <w:szCs w:val="22"/>
        </w:rPr>
      </w:pPr>
    </w:p>
    <w:p w:rsidR="00011B03" w:rsidP="00C06092" w:rsidRDefault="00011B03" w14:paraId="12432363" w14:textId="77777777">
      <w:pPr>
        <w:pStyle w:val="TOC1"/>
        <w:tabs>
          <w:tab w:val="clear" w:pos="9350"/>
          <w:tab w:val="right" w:leader="dot" w:pos="9360"/>
        </w:tabs>
        <w:jc w:val="center"/>
        <w:rPr>
          <w:sz w:val="22"/>
          <w:szCs w:val="22"/>
        </w:rPr>
      </w:pPr>
    </w:p>
    <w:p w:rsidR="00011B03" w:rsidP="00C06092" w:rsidRDefault="00011B03" w14:paraId="34B150ED" w14:textId="77777777">
      <w:pPr>
        <w:pStyle w:val="TOC1"/>
        <w:tabs>
          <w:tab w:val="clear" w:pos="9350"/>
          <w:tab w:val="right" w:leader="dot" w:pos="9360"/>
        </w:tabs>
        <w:jc w:val="center"/>
        <w:rPr>
          <w:sz w:val="22"/>
          <w:szCs w:val="22"/>
        </w:rPr>
      </w:pPr>
    </w:p>
    <w:p w:rsidRPr="008A60C1" w:rsidR="00A1612F" w:rsidP="008A60C1" w:rsidRDefault="00011B03" w14:paraId="117A6446" w14:textId="77777777">
      <w:pPr>
        <w:pStyle w:val="TOC1"/>
        <w:tabs>
          <w:tab w:val="clear" w:pos="9350"/>
          <w:tab w:val="right" w:leader="dot" w:pos="9360"/>
        </w:tabs>
        <w:jc w:val="center"/>
        <w:rPr>
          <w:sz w:val="22"/>
          <w:szCs w:val="22"/>
        </w:rPr>
      </w:pPr>
      <w:r>
        <w:rPr>
          <w:sz w:val="22"/>
          <w:szCs w:val="22"/>
        </w:rPr>
        <w:t>[Page intentionally left blank.]</w:t>
      </w:r>
    </w:p>
    <w:p w:rsidR="00011B03" w:rsidP="00C06092" w:rsidRDefault="00011B03" w14:paraId="1F65928B" w14:textId="77777777"/>
    <w:p w:rsidRPr="008A60C1" w:rsidR="00011B03" w:rsidP="008A60C1" w:rsidRDefault="00011B03" w14:paraId="16B3B26B" w14:textId="77777777">
      <w:pPr>
        <w:sectPr w:rsidRPr="008A60C1" w:rsidR="00011B03" w:rsidSect="008A60C1">
          <w:type w:val="continuous"/>
          <w:pgSz w:w="12240" w:h="15840"/>
          <w:pgMar w:top="1440" w:right="1440" w:bottom="1498" w:left="1440" w:header="720" w:footer="720" w:gutter="0"/>
          <w:pgNumType w:fmt="lowerRoman"/>
          <w:cols w:space="720"/>
          <w:docGrid w:linePitch="360"/>
        </w:sectPr>
      </w:pPr>
    </w:p>
    <w:p w:rsidR="00A1612F" w:rsidRDefault="00A1612F" w14:paraId="06D07722" w14:textId="77777777">
      <w:pPr>
        <w:pStyle w:val="Heading1DSW"/>
      </w:pPr>
      <w:bookmarkStart w:name="__RefHeading__152_717627523" w:id="0"/>
      <w:bookmarkStart w:name="_Toc404344898" w:id="1"/>
      <w:bookmarkEnd w:id="0"/>
      <w:r>
        <w:lastRenderedPageBreak/>
        <w:t>1.</w:t>
      </w:r>
      <w:r>
        <w:tab/>
        <w:t>IDENTIFICATION OF THE INFORMATION COLLECTION</w:t>
      </w:r>
      <w:bookmarkEnd w:id="1"/>
    </w:p>
    <w:p w:rsidR="00A1612F" w:rsidRDefault="00A1612F" w14:paraId="0677190A" w14:textId="77777777">
      <w:pPr>
        <w:pStyle w:val="Heading2"/>
      </w:pPr>
      <w:bookmarkStart w:name="__RefHeading__154_717627523" w:id="2"/>
      <w:bookmarkStart w:name="_Toc404344899" w:id="3"/>
      <w:bookmarkEnd w:id="2"/>
      <w:r>
        <w:t>1(a)</w:t>
      </w:r>
      <w:r>
        <w:tab/>
        <w:t>Title and Number of the Information Collection</w:t>
      </w:r>
      <w:bookmarkEnd w:id="3"/>
    </w:p>
    <w:p w:rsidR="00A1612F" w:rsidRDefault="00A1612F" w14:paraId="22084543" w14:textId="77777777">
      <w:pPr>
        <w:pStyle w:val="BodyTextDSW"/>
      </w:pPr>
      <w:r>
        <w:t xml:space="preserve">This Information Collection Request (ICR) is entitled </w:t>
      </w:r>
      <w:r w:rsidR="00281E55">
        <w:t>“</w:t>
      </w:r>
      <w:r w:rsidR="00B5444A">
        <w:t xml:space="preserve">RCRA </w:t>
      </w:r>
      <w:r w:rsidRPr="00990BF5" w:rsidR="00B5444A">
        <w:t>Definition of Solid Waste</w:t>
      </w:r>
      <w:r w:rsidR="00B24978">
        <w:t>,</w:t>
      </w:r>
      <w:r w:rsidRPr="00990BF5" w:rsidR="00281E55">
        <w:t>”</w:t>
      </w:r>
      <w:r w:rsidRPr="00990BF5">
        <w:t xml:space="preserve"> </w:t>
      </w:r>
      <w:r w:rsidR="00220B8E">
        <w:t>Office of Management and Budget (</w:t>
      </w:r>
      <w:r w:rsidRPr="00990BF5">
        <w:t>OMB</w:t>
      </w:r>
      <w:r w:rsidR="00220B8E">
        <w:t>)</w:t>
      </w:r>
      <w:r w:rsidRPr="00990BF5">
        <w:t xml:space="preserve"> Control No. </w:t>
      </w:r>
      <w:r w:rsidRPr="00DD3CD7">
        <w:t>2050-0202</w:t>
      </w:r>
      <w:r w:rsidRPr="00990BF5">
        <w:t xml:space="preserve">, EPA ICR Number </w:t>
      </w:r>
      <w:r w:rsidRPr="00812182">
        <w:rPr>
          <w:shd w:val="clear" w:color="auto" w:fill="FFFFFF"/>
        </w:rPr>
        <w:t>2310.0</w:t>
      </w:r>
      <w:r w:rsidR="00525D61">
        <w:rPr>
          <w:shd w:val="clear" w:color="auto" w:fill="FFFFFF"/>
        </w:rPr>
        <w:t>7</w:t>
      </w:r>
      <w:r w:rsidRPr="00F37842">
        <w:t xml:space="preserve">. </w:t>
      </w:r>
    </w:p>
    <w:p w:rsidR="00D91C14" w:rsidP="00D91C14" w:rsidRDefault="00A1612F" w14:paraId="3255F0C2" w14:textId="77777777">
      <w:pPr>
        <w:pStyle w:val="Heading2"/>
      </w:pPr>
      <w:bookmarkStart w:name="__RefHeading__156_717627523" w:id="4"/>
      <w:bookmarkStart w:name="_Toc404344900" w:id="5"/>
      <w:bookmarkEnd w:id="4"/>
      <w:r>
        <w:t>1(b)</w:t>
      </w:r>
      <w:r>
        <w:tab/>
        <w:t>Short Characterization</w:t>
      </w:r>
      <w:bookmarkEnd w:id="5"/>
    </w:p>
    <w:p w:rsidR="00A1612F" w:rsidP="00D91C14" w:rsidRDefault="00D91C14" w14:paraId="26021F04" w14:textId="77777777">
      <w:pPr>
        <w:pStyle w:val="BodyTextDSW"/>
      </w:pPr>
      <w:r>
        <w:t>In 2015</w:t>
      </w:r>
      <w:r w:rsidR="00A1612F">
        <w:t xml:space="preserve">, the U.S. Environmental Protection Agency (EPA) published revisions to the </w:t>
      </w:r>
      <w:r w:rsidR="00281E55">
        <w:t>“</w:t>
      </w:r>
      <w:r w:rsidR="00A1612F">
        <w:t>definition of solid waste</w:t>
      </w:r>
      <w:r w:rsidR="00281E55">
        <w:t>”</w:t>
      </w:r>
      <w:r w:rsidR="00A1612F">
        <w:t xml:space="preserve"> (DSW) that exclude certain industrial hazardous secondary materials from regulation as </w:t>
      </w:r>
      <w:r w:rsidR="00281E55">
        <w:t>“</w:t>
      </w:r>
      <w:r w:rsidR="00A1612F">
        <w:t>solid waste</w:t>
      </w:r>
      <w:r w:rsidR="00281E55">
        <w:t>”</w:t>
      </w:r>
      <w:r w:rsidR="00A1612F">
        <w:t xml:space="preserve"> and </w:t>
      </w:r>
      <w:r w:rsidR="00281E55">
        <w:t>“</w:t>
      </w:r>
      <w:r w:rsidR="00A1612F">
        <w:t>hazardous waste</w:t>
      </w:r>
      <w:r w:rsidR="00281E55">
        <w:t>”</w:t>
      </w:r>
      <w:r w:rsidR="00A1612F">
        <w:t xml:space="preserve"> under Subtitle C of the Resource Conservation and Recovery Act </w:t>
      </w:r>
      <w:r w:rsidR="00ED2764">
        <w:t xml:space="preserve">of 1976 </w:t>
      </w:r>
      <w:r w:rsidR="00A1612F">
        <w:t>(RCRA), as amended</w:t>
      </w:r>
      <w:r w:rsidR="003A1085">
        <w:t xml:space="preserve"> (</w:t>
      </w:r>
      <w:hyperlink w:history="1" r:id="rId15">
        <w:r w:rsidRPr="00B24978" w:rsidR="003A1085">
          <w:rPr>
            <w:rStyle w:val="Hyperlink"/>
          </w:rPr>
          <w:t>73 FR 64688</w:t>
        </w:r>
      </w:hyperlink>
      <w:r w:rsidRPr="00B305D7">
        <w:t>, October 30,</w:t>
      </w:r>
      <w:r>
        <w:t xml:space="preserve"> 2015</w:t>
      </w:r>
      <w:r w:rsidR="003A1085">
        <w:t>)</w:t>
      </w:r>
      <w:r>
        <w:t xml:space="preserve">. </w:t>
      </w:r>
      <w:r w:rsidR="00A1612F">
        <w:t xml:space="preserve">Specifically, EPA amended 40 CFR Part 261 to provide </w:t>
      </w:r>
      <w:proofErr w:type="gramStart"/>
      <w:r w:rsidR="00A1612F">
        <w:t>that hazardous secondary materials</w:t>
      </w:r>
      <w:proofErr w:type="gramEnd"/>
      <w:r w:rsidR="00A1612F">
        <w:t xml:space="preserve"> reclaimed under the control of the generator are not solid wastes</w:t>
      </w:r>
      <w:r w:rsidR="00B24978">
        <w:t>,</w:t>
      </w:r>
      <w:r w:rsidR="00A1612F">
        <w:t xml:space="preserve"> if specified conditions are met. EPA also amended </w:t>
      </w:r>
      <w:r w:rsidR="00B24978">
        <w:t xml:space="preserve">40 CFR </w:t>
      </w:r>
      <w:r w:rsidR="00A1612F">
        <w:t xml:space="preserve">Part 261 to provide that hazardous secondary materials that are generated and then transferred to another person for the purpose of reclamation are not solid waste, provided that specified conditions are met. Finally, EPA finalized other amendments to address </w:t>
      </w:r>
      <w:proofErr w:type="gramStart"/>
      <w:r w:rsidR="00A1612F">
        <w:t>particular issues</w:t>
      </w:r>
      <w:proofErr w:type="gramEnd"/>
      <w:r w:rsidR="00A1612F">
        <w:t xml:space="preserve">, including standards in </w:t>
      </w:r>
      <w:r w:rsidR="00B24978">
        <w:t xml:space="preserve">40 CFR </w:t>
      </w:r>
      <w:r w:rsidR="00A1612F">
        <w:t>Part 260</w:t>
      </w:r>
      <w:r w:rsidR="00B24978">
        <w:t>,</w:t>
      </w:r>
      <w:r w:rsidR="00A1612F">
        <w:t xml:space="preserve"> to enable a person to apply to EPA for a formal determination that a material is not discarded and therefore not a solid waste and to codify the RCRA concept of </w:t>
      </w:r>
      <w:r w:rsidR="00281E55">
        <w:t>“</w:t>
      </w:r>
      <w:r w:rsidR="00A1612F">
        <w:t>legitimate recycling</w:t>
      </w:r>
      <w:r w:rsidR="00281E55">
        <w:t>”</w:t>
      </w:r>
      <w:r w:rsidR="00A1612F">
        <w:t xml:space="preserve"> for recycling</w:t>
      </w:r>
      <w:r w:rsidR="00F63286">
        <w:t xml:space="preserve"> under the final rule</w:t>
      </w:r>
      <w:r w:rsidR="00841AE1">
        <w:t>.</w:t>
      </w:r>
    </w:p>
    <w:p w:rsidR="00D91C14" w:rsidRDefault="00D91C14" w14:paraId="3A6C9C71" w14:textId="0437BBD6">
      <w:pPr>
        <w:pStyle w:val="BodyTextDSW"/>
      </w:pPr>
      <w:bookmarkStart w:name="_Hlk93565541" w:id="6"/>
      <w:r>
        <w:t xml:space="preserve">As a </w:t>
      </w:r>
      <w:r w:rsidR="007C1552">
        <w:t>matter of law, the orders issue</w:t>
      </w:r>
      <w:r w:rsidR="00495BD4">
        <w:t>d</w:t>
      </w:r>
      <w:r>
        <w:t xml:space="preserve"> by the United States Court of appeals for the District of Colombia Circuit on July 7, 2014 and amended on March 6, 2018: (1) vacated the 2015 verified recycler exclusion for hazardous waste that is recycled off-site (except for certain provisions); (2) reinstate the transfer-based exclusion from the 2008 rule to replace the now vacated 2015 verified recycler exclusion; (3) upheld the containment and emergency preparedness provisions and the eligibility of spent petroleum catalysts for the reinstated transfer-based exclusion; (4) vacated factor 4 of the 2015 definition of legitimate recycling in its entirety; and (5) reinstated the 2008 version of factor 4 to replace the now-vacated 2015 version of factor 4</w:t>
      </w:r>
      <w:r w:rsidR="00CC388F">
        <w:t>; the rule is non-HSWA and implemented by the states</w:t>
      </w:r>
      <w:r>
        <w:t>.</w:t>
      </w:r>
      <w:r w:rsidR="00495BD4">
        <w:t xml:space="preserve"> </w:t>
      </w:r>
      <w:bookmarkEnd w:id="6"/>
      <w:r w:rsidR="00495BD4">
        <w:t xml:space="preserve">The </w:t>
      </w:r>
      <w:r w:rsidR="00B24978">
        <w:t>C</w:t>
      </w:r>
      <w:r w:rsidR="00495BD4">
        <w:t>ourt issued the mandate for its decision on March 14, 2018, at which point the orders became effective.</w:t>
      </w:r>
    </w:p>
    <w:p w:rsidR="00A1612F" w:rsidP="008A60C1" w:rsidRDefault="00495BD4" w14:paraId="73BA7988" w14:textId="77777777">
      <w:pPr>
        <w:pStyle w:val="BodyTextDSW"/>
      </w:pPr>
      <w:r>
        <w:t>Following the orders issued</w:t>
      </w:r>
      <w:r w:rsidR="00D91C14">
        <w:t xml:space="preserve"> </w:t>
      </w:r>
      <w:r>
        <w:t xml:space="preserve">by the United States Court of appeals for the District of Colombia Circuit on July 7, 2014 and amended on March 6, 2018, the existing </w:t>
      </w:r>
      <w:r w:rsidR="00D91C14">
        <w:t>paperwork</w:t>
      </w:r>
      <w:r w:rsidR="00A1612F">
        <w:t xml:space="preserve"> </w:t>
      </w:r>
      <w:r w:rsidR="00D91C14">
        <w:t xml:space="preserve">requirements for the </w:t>
      </w:r>
      <w:r w:rsidR="00136C6B">
        <w:t xml:space="preserve">RCRA </w:t>
      </w:r>
      <w:r w:rsidR="00E36F68">
        <w:t>DSW</w:t>
      </w:r>
      <w:r w:rsidR="00D91C14">
        <w:t xml:space="preserve"> exclusions </w:t>
      </w:r>
      <w:r w:rsidR="00E36F68">
        <w:t>are</w:t>
      </w:r>
      <w:r w:rsidR="00D91C14">
        <w:t xml:space="preserve"> </w:t>
      </w:r>
      <w:r w:rsidR="00136C6B">
        <w:t xml:space="preserve">currently </w:t>
      </w:r>
      <w:r w:rsidR="00D91C14">
        <w:t xml:space="preserve">organized around </w:t>
      </w:r>
      <w:r w:rsidR="007E45F9">
        <w:t>six</w:t>
      </w:r>
      <w:r w:rsidR="00D91C14">
        <w:t xml:space="preserve"> requirements:</w:t>
      </w:r>
    </w:p>
    <w:p w:rsidR="00F87D80" w:rsidP="009D4845" w:rsidRDefault="00495BD4" w14:paraId="53D5587B" w14:textId="77777777">
      <w:pPr>
        <w:pStyle w:val="BodyTextDSW"/>
        <w:ind w:left="1440" w:firstLine="0"/>
      </w:pPr>
      <w:r>
        <w:t>Requirement</w:t>
      </w:r>
      <w:r w:rsidR="00F87D80">
        <w:t xml:space="preserve"> 1</w:t>
      </w:r>
      <w:r w:rsidR="006F0334">
        <w:t>:</w:t>
      </w:r>
      <w:r w:rsidR="00F87D80">
        <w:t xml:space="preserve"> </w:t>
      </w:r>
      <w:r w:rsidRPr="00E0783A" w:rsidR="00F87D80">
        <w:t>DSW of</w:t>
      </w:r>
      <w:r>
        <w:t xml:space="preserve">f-site transfer-based </w:t>
      </w:r>
      <w:proofErr w:type="gramStart"/>
      <w:r>
        <w:t>exclusion</w:t>
      </w:r>
      <w:r w:rsidR="00F87D80">
        <w:t>;</w:t>
      </w:r>
      <w:proofErr w:type="gramEnd"/>
    </w:p>
    <w:p w:rsidRPr="00423B37" w:rsidR="00A1612F" w:rsidP="009D4845" w:rsidRDefault="00495BD4" w14:paraId="3AB04D1C" w14:textId="77777777">
      <w:pPr>
        <w:pStyle w:val="BodyTextDSW"/>
        <w:ind w:left="1440" w:firstLine="0"/>
      </w:pPr>
      <w:r>
        <w:t>Requirement</w:t>
      </w:r>
      <w:r w:rsidR="00F87D80">
        <w:t xml:space="preserve"> 2</w:t>
      </w:r>
      <w:r w:rsidR="006F0334">
        <w:t>:</w:t>
      </w:r>
      <w:r w:rsidR="006653D9">
        <w:t xml:space="preserve"> </w:t>
      </w:r>
      <w:r w:rsidRPr="00423B37" w:rsidR="00A1612F">
        <w:t>DSW</w:t>
      </w:r>
      <w:r w:rsidR="00C41B69">
        <w:t xml:space="preserve"> generator-controlled </w:t>
      </w:r>
      <w:proofErr w:type="gramStart"/>
      <w:r w:rsidR="00C41B69">
        <w:t>exclusion</w:t>
      </w:r>
      <w:r w:rsidRPr="00423B37" w:rsidR="00A1612F">
        <w:t>;</w:t>
      </w:r>
      <w:proofErr w:type="gramEnd"/>
    </w:p>
    <w:p w:rsidRPr="009D7DF2" w:rsidR="00515EA3" w:rsidP="009D4845" w:rsidRDefault="00495BD4" w14:paraId="188B10A1" w14:textId="77777777">
      <w:pPr>
        <w:pStyle w:val="BodyTextDSW"/>
        <w:ind w:left="1440" w:firstLine="0"/>
      </w:pPr>
      <w:r>
        <w:t>Requirement 3</w:t>
      </w:r>
      <w:r w:rsidR="006F0334">
        <w:t>:</w:t>
      </w:r>
      <w:r w:rsidR="006653D9">
        <w:t xml:space="preserve"> </w:t>
      </w:r>
      <w:r w:rsidR="00E36F68">
        <w:t>S</w:t>
      </w:r>
      <w:r w:rsidR="00F63286">
        <w:t xml:space="preserve">olid waste </w:t>
      </w:r>
      <w:r w:rsidR="00C41B69">
        <w:t>varianc</w:t>
      </w:r>
      <w:r w:rsidR="00E36F68">
        <w:t>es and non-waste determinations</w:t>
      </w:r>
    </w:p>
    <w:p w:rsidR="00B64622" w:rsidP="00B64622" w:rsidRDefault="00495BD4" w14:paraId="2A09A1B8" w14:textId="77777777">
      <w:pPr>
        <w:pStyle w:val="BodyTextDSW"/>
        <w:ind w:left="1440" w:firstLine="0"/>
      </w:pPr>
      <w:r>
        <w:t xml:space="preserve">Requirement </w:t>
      </w:r>
      <w:r w:rsidR="00E36F68">
        <w:t>4</w:t>
      </w:r>
      <w:r w:rsidR="006F0334">
        <w:t>:</w:t>
      </w:r>
      <w:r w:rsidR="00E36F68">
        <w:t xml:space="preserve"> DSW</w:t>
      </w:r>
      <w:r w:rsidRPr="000E2F54" w:rsidR="00A1612F">
        <w:t xml:space="preserve"> </w:t>
      </w:r>
      <w:r w:rsidRPr="002101D4" w:rsidR="00281E55">
        <w:t>“</w:t>
      </w:r>
      <w:r w:rsidRPr="0028564C" w:rsidR="00A1612F">
        <w:t>remanufacturing</w:t>
      </w:r>
      <w:r w:rsidRPr="00D51346" w:rsidR="00281E55">
        <w:t>”</w:t>
      </w:r>
      <w:r w:rsidRPr="004E7DF3" w:rsidR="00A1612F">
        <w:t xml:space="preserve"> </w:t>
      </w:r>
      <w:proofErr w:type="gramStart"/>
      <w:r w:rsidRPr="004E7DF3" w:rsidR="00A1612F">
        <w:t>exclusion</w:t>
      </w:r>
      <w:r w:rsidR="008E42E4">
        <w:t>;</w:t>
      </w:r>
      <w:proofErr w:type="gramEnd"/>
      <w:r w:rsidRPr="004E7DF3" w:rsidR="00A1612F">
        <w:t xml:space="preserve"> </w:t>
      </w:r>
    </w:p>
    <w:p w:rsidR="00EE6EBC" w:rsidP="00F87D80" w:rsidRDefault="00495BD4" w14:paraId="4E8DD048" w14:textId="77777777">
      <w:pPr>
        <w:pStyle w:val="BodyTextDSW"/>
        <w:ind w:left="1440" w:firstLine="0"/>
      </w:pPr>
      <w:r>
        <w:t xml:space="preserve">Requirement </w:t>
      </w:r>
      <w:r w:rsidR="00E36F68">
        <w:t>5</w:t>
      </w:r>
      <w:r w:rsidR="00EE6EBC">
        <w:t>: Require</w:t>
      </w:r>
      <w:r w:rsidR="00E36F68">
        <w:t>d</w:t>
      </w:r>
      <w:r w:rsidR="00EE6EBC">
        <w:t xml:space="preserve"> recordkeeping for speculative accumulation.</w:t>
      </w:r>
    </w:p>
    <w:p w:rsidRPr="00B64622" w:rsidR="00E36F68" w:rsidP="00F87D80" w:rsidRDefault="00E36F68" w14:paraId="317C3C17" w14:textId="77777777">
      <w:pPr>
        <w:pStyle w:val="BodyTextDSW"/>
        <w:ind w:left="1440" w:firstLine="0"/>
      </w:pPr>
      <w:r>
        <w:t xml:space="preserve">Requirement 6: Export </w:t>
      </w:r>
      <w:r w:rsidR="007E45F9">
        <w:t>r</w:t>
      </w:r>
      <w:r>
        <w:t>equirements</w:t>
      </w:r>
    </w:p>
    <w:p w:rsidR="00A1612F" w:rsidP="00863109" w:rsidRDefault="008A595E" w14:paraId="061A0158" w14:textId="77777777">
      <w:pPr>
        <w:pStyle w:val="Heading1DSW"/>
        <w:keepNext w:val="0"/>
        <w:widowControl/>
        <w:ind w:left="0" w:firstLine="0"/>
      </w:pPr>
      <w:bookmarkStart w:name="__RefHeading__158_717627523" w:id="7"/>
      <w:bookmarkStart w:name="_Toc404344901" w:id="8"/>
      <w:bookmarkEnd w:id="7"/>
      <w:r>
        <w:br w:type="page"/>
      </w:r>
      <w:r w:rsidR="00A1612F">
        <w:lastRenderedPageBreak/>
        <w:t>2.</w:t>
      </w:r>
      <w:r w:rsidR="00A1612F">
        <w:tab/>
        <w:t>NEED FOR AND USE OF THE COLLECTION</w:t>
      </w:r>
      <w:bookmarkEnd w:id="8"/>
    </w:p>
    <w:p w:rsidR="00A1612F" w:rsidRDefault="00A1612F" w14:paraId="2EB24F48" w14:textId="77777777">
      <w:pPr>
        <w:pStyle w:val="Heading2"/>
      </w:pPr>
      <w:bookmarkStart w:name="__RefHeading__160_717627523" w:id="9"/>
      <w:bookmarkStart w:name="_Toc404344902" w:id="10"/>
      <w:bookmarkEnd w:id="9"/>
      <w:r>
        <w:t>2(a)</w:t>
      </w:r>
      <w:r>
        <w:tab/>
        <w:t>Need and Authority for the Collection</w:t>
      </w:r>
      <w:bookmarkEnd w:id="10"/>
    </w:p>
    <w:p w:rsidR="00A1612F" w:rsidRDefault="00DC6633" w14:paraId="09984D7C" w14:textId="77777777">
      <w:pPr>
        <w:pStyle w:val="BodyTextDSW"/>
      </w:pPr>
      <w:r>
        <w:t>EPA promulgated the DSW</w:t>
      </w:r>
      <w:r w:rsidR="00A1612F">
        <w:t xml:space="preserve"> regulations under the authority of </w:t>
      </w:r>
      <w:r w:rsidR="00ED2764">
        <w:t>S</w:t>
      </w:r>
      <w:r w:rsidR="00A1612F">
        <w:t>ections 2002, 3001, 3002, 3003, 3004, 3007, 3010, and 3017 of the Solid Waste Disposal Act of 1970, as amended by RCRA, and as amended by the Hazardous and Solid Waste Amendments of 1984 (HSWA), 42</w:t>
      </w:r>
      <w:r w:rsidR="00ED2764">
        <w:t> </w:t>
      </w:r>
      <w:r w:rsidR="00A1612F">
        <w:t xml:space="preserve">U.S.C. 6921, 6922, 6923, and 6924. </w:t>
      </w:r>
      <w:r>
        <w:t xml:space="preserve">The information requested under the DSW regulations is the minimum information </w:t>
      </w:r>
      <w:r w:rsidR="007C1552">
        <w:t>n</w:t>
      </w:r>
      <w:r>
        <w:t xml:space="preserve">ecessary to ensure </w:t>
      </w:r>
      <w:r w:rsidR="007C1552">
        <w:t>that hazardous secondary material is being managed in a manner protective of human health and the environment.</w:t>
      </w:r>
    </w:p>
    <w:p w:rsidR="00A1612F" w:rsidP="007C1552" w:rsidRDefault="00A1612F" w14:paraId="32E136BC" w14:textId="77777777">
      <w:pPr>
        <w:pStyle w:val="BodyTextDSW"/>
      </w:pPr>
      <w:r>
        <w:t>Following are brief summaries of the need for the p</w:t>
      </w:r>
      <w:r w:rsidR="007C1552">
        <w:t>aperwork requirements for RCRA DSW</w:t>
      </w:r>
      <w:r>
        <w:t>:</w:t>
      </w:r>
    </w:p>
    <w:p w:rsidR="007C1552" w:rsidP="008A60C1" w:rsidRDefault="00ED1B00" w14:paraId="04FD95FA" w14:textId="77777777">
      <w:pPr>
        <w:pStyle w:val="BodyTextDSW"/>
        <w:numPr>
          <w:ilvl w:val="0"/>
          <w:numId w:val="36"/>
        </w:numPr>
      </w:pPr>
      <w:r w:rsidRPr="00ED1B00">
        <w:rPr>
          <w:i/>
        </w:rPr>
        <w:t>Off-site Transfer Based Exclusion for Hazardous Secondary Material</w:t>
      </w:r>
      <w:r w:rsidR="007C1552">
        <w:t>: Generators that send their hazardous secondary materials to facilities that do not have a permit are required to conduct a “reasonable efforts” environmental audit of the receiving facilities. EPA considers this to be the minimum information needed to enable a creditable audit of the receiving facility.</w:t>
      </w:r>
      <w:r w:rsidR="008805C9">
        <w:t xml:space="preserve"> </w:t>
      </w:r>
      <w:r w:rsidR="001C3F1B">
        <w:t xml:space="preserve">EPA requires </w:t>
      </w:r>
      <w:r w:rsidRPr="00E03D61" w:rsidR="008805C9">
        <w:t xml:space="preserve">generators </w:t>
      </w:r>
      <w:r w:rsidR="008805C9">
        <w:t>to</w:t>
      </w:r>
      <w:r w:rsidRPr="00E03D61" w:rsidR="008805C9">
        <w:t xml:space="preserve"> follow certain emergency preparedness and response regulations </w:t>
      </w:r>
      <w:r w:rsidR="008805C9">
        <w:t xml:space="preserve">as </w:t>
      </w:r>
      <w:r w:rsidRPr="00E03D61" w:rsidR="008805C9">
        <w:t xml:space="preserve">a condition </w:t>
      </w:r>
      <w:r w:rsidR="008805C9">
        <w:t xml:space="preserve">of the </w:t>
      </w:r>
      <w:r w:rsidR="001C3F1B">
        <w:t>transfer-based exclusion</w:t>
      </w:r>
      <w:r w:rsidR="008805C9">
        <w:t>. G</w:t>
      </w:r>
      <w:r w:rsidRPr="00E03D61" w:rsidR="008805C9">
        <w:t xml:space="preserve">enerators that accumulate less than 6,000 </w:t>
      </w:r>
      <w:r w:rsidR="00B5096B">
        <w:t>kilograms (</w:t>
      </w:r>
      <w:r w:rsidRPr="00E03D61" w:rsidR="008805C9">
        <w:t>kg</w:t>
      </w:r>
      <w:r w:rsidR="00B5096B">
        <w:t>)</w:t>
      </w:r>
      <w:r w:rsidRPr="00E03D61" w:rsidR="008805C9">
        <w:t xml:space="preserve"> of hazardous secondary material on site must </w:t>
      </w:r>
      <w:r w:rsidR="008805C9">
        <w:t xml:space="preserve">comply with the emergency preparedness and response requirements in </w:t>
      </w:r>
      <w:r w:rsidR="00B5096B">
        <w:t>40 CFR P</w:t>
      </w:r>
      <w:r w:rsidR="008805C9">
        <w:t>art 265</w:t>
      </w:r>
      <w:r w:rsidR="00B5096B">
        <w:t>,</w:t>
      </w:r>
      <w:r w:rsidR="008805C9">
        <w:t xml:space="preserve"> </w:t>
      </w:r>
      <w:r w:rsidR="00B5096B">
        <w:t>S</w:t>
      </w:r>
      <w:r w:rsidR="008805C9">
        <w:t>ubpart C, while g</w:t>
      </w:r>
      <w:r w:rsidRPr="00E03D61" w:rsidR="008805C9">
        <w:t xml:space="preserve">enerators </w:t>
      </w:r>
      <w:r w:rsidR="008805C9">
        <w:t>accumulating</w:t>
      </w:r>
      <w:r w:rsidRPr="00E03D61" w:rsidR="008805C9">
        <w:t xml:space="preserve"> more </w:t>
      </w:r>
      <w:r w:rsidRPr="00955B7F" w:rsidR="008805C9">
        <w:t xml:space="preserve">than 6,000 kg of hazardous secondary material on site must comply with </w:t>
      </w:r>
      <w:r w:rsidR="00B5096B">
        <w:t>40 CFR P</w:t>
      </w:r>
      <w:r w:rsidRPr="00955B7F" w:rsidR="008805C9">
        <w:t>art 265</w:t>
      </w:r>
      <w:r w:rsidR="00B5096B">
        <w:t>,</w:t>
      </w:r>
      <w:r w:rsidRPr="00955B7F" w:rsidR="008805C9">
        <w:t xml:space="preserve"> </w:t>
      </w:r>
      <w:r w:rsidR="00B5096B">
        <w:t>S</w:t>
      </w:r>
      <w:r w:rsidRPr="00955B7F" w:rsidR="008805C9">
        <w:t xml:space="preserve">ubparts C and D. These emergency preparedness and response conditions include recordkeeping requirements for personnel training, as well as recordkeeping and reporting requirements for contingency planning and emergency procedures. These conditions contribute to EPA’s goal of minimizing the potential for employee-related mistakes that may threaten human health and the environment, as well as </w:t>
      </w:r>
      <w:r w:rsidRPr="00021333" w:rsidR="008805C9">
        <w:t>minimizing unanticipated damage from the accumulation of hazardous waste at generator sites</w:t>
      </w:r>
      <w:r w:rsidRPr="00955B7F" w:rsidR="008805C9">
        <w:t>.</w:t>
      </w:r>
      <w:r w:rsidR="00F64C06">
        <w:t xml:space="preserve"> EPA also has financial assurance requirements as a condition of exclusion. The associated paperwork requirements for these provisions are the minimal requirements needed to ensure owners/operators use a financial mechanism.</w:t>
      </w:r>
    </w:p>
    <w:p w:rsidR="007C1552" w:rsidP="008A60C1" w:rsidRDefault="00ED1B00" w14:paraId="0F6F5CD5" w14:textId="77777777">
      <w:pPr>
        <w:pStyle w:val="BodyTextDSW"/>
        <w:numPr>
          <w:ilvl w:val="0"/>
          <w:numId w:val="36"/>
        </w:numPr>
      </w:pPr>
      <w:r>
        <w:rPr>
          <w:i/>
        </w:rPr>
        <w:t>Hazardous Secondary Material Generated and Reclaimed under the Control of the Generator</w:t>
      </w:r>
      <w:r w:rsidR="007C1552">
        <w:t xml:space="preserve">: </w:t>
      </w:r>
      <w:r>
        <w:t>EPA has certification requirement for materials that are generated and reclaimed under the control of the generator because of existing complexities in corporate ownership and liability. The certification is needed for hazardous secondary materials that are generated and reclaimed within the same company and under certain tolling arrangements. The certification increases the company</w:t>
      </w:r>
      <w:r>
        <w:rPr>
          <w:rFonts w:ascii="Times" w:hAnsi="Times"/>
        </w:rPr>
        <w:t>’</w:t>
      </w:r>
      <w:r>
        <w:t>s awareness and accountability for ensuring that the generator and reclamation facilities are in fact under its ownership. The certification also may be needed by regulators (e.g., on-site inspectors) to verify compliance. Under the generator-controlled exclusion at 40 CFR 261.4(a)(23), EPA requires t</w:t>
      </w:r>
      <w:r w:rsidRPr="009F2747">
        <w:t xml:space="preserve">he tolling contractor </w:t>
      </w:r>
      <w:r>
        <w:t xml:space="preserve">to </w:t>
      </w:r>
      <w:r w:rsidRPr="009F2747">
        <w:t>maintain at its facility for no less than three years records of hazardous secondary materials received pursuant to its written contract with the tolling manufacturer, and the tolling manufacturer must maintain at its facility for no less than three years records of hazardous secondary materials shipped pursuant to its written contract with the tolling contractor. In both cases, the records must contain the name of the transporter, the date of the shipment, and the type and quantity of the hazardous secondary material shipped or received pursuant to the written contract.</w:t>
      </w:r>
      <w:r>
        <w:t xml:space="preserve"> </w:t>
      </w:r>
      <w:r w:rsidR="002B7A48">
        <w:t xml:space="preserve">EPA </w:t>
      </w:r>
      <w:r w:rsidR="002B7A48">
        <w:lastRenderedPageBreak/>
        <w:t xml:space="preserve">also requires </w:t>
      </w:r>
      <w:r w:rsidRPr="00E03D61" w:rsidR="008805C9">
        <w:t xml:space="preserve">generators </w:t>
      </w:r>
      <w:r w:rsidR="008805C9">
        <w:t>to</w:t>
      </w:r>
      <w:r w:rsidRPr="00E03D61" w:rsidR="008805C9">
        <w:t xml:space="preserve"> follow certain emergency preparedness and response regulations </w:t>
      </w:r>
      <w:r w:rsidR="008805C9">
        <w:t xml:space="preserve">as </w:t>
      </w:r>
      <w:r w:rsidRPr="00E03D61" w:rsidR="008805C9">
        <w:t xml:space="preserve">a condition </w:t>
      </w:r>
      <w:r w:rsidR="008805C9">
        <w:t xml:space="preserve">of the </w:t>
      </w:r>
      <w:r w:rsidRPr="00E03D61" w:rsidR="008805C9">
        <w:t>generator-controlled exclusion</w:t>
      </w:r>
      <w:r w:rsidR="008805C9">
        <w:t>. G</w:t>
      </w:r>
      <w:r w:rsidRPr="00E03D61" w:rsidR="008805C9">
        <w:t xml:space="preserve">enerators that accumulate less than 6,000 kg of hazardous secondary material on site must </w:t>
      </w:r>
      <w:r w:rsidR="008805C9">
        <w:t xml:space="preserve">comply with the emergency preparedness and response requirements in </w:t>
      </w:r>
      <w:r w:rsidR="00D700BE">
        <w:t>40 CFR P</w:t>
      </w:r>
      <w:r w:rsidR="008805C9">
        <w:t>art 265</w:t>
      </w:r>
      <w:r w:rsidR="00D700BE">
        <w:t>,</w:t>
      </w:r>
      <w:r w:rsidR="008805C9">
        <w:t xml:space="preserve"> </w:t>
      </w:r>
      <w:r w:rsidR="00D700BE">
        <w:t>S</w:t>
      </w:r>
      <w:r w:rsidR="008805C9">
        <w:t>ubpart C, while g</w:t>
      </w:r>
      <w:r w:rsidRPr="00E03D61" w:rsidR="008805C9">
        <w:t xml:space="preserve">enerators </w:t>
      </w:r>
      <w:r w:rsidR="008805C9">
        <w:t>accumulating</w:t>
      </w:r>
      <w:r w:rsidRPr="00E03D61" w:rsidR="008805C9">
        <w:t xml:space="preserve"> more </w:t>
      </w:r>
      <w:r w:rsidRPr="00955B7F" w:rsidR="008805C9">
        <w:t>than 6,000 kg of hazardous secondary material on site must comply with</w:t>
      </w:r>
      <w:r w:rsidR="00D700BE">
        <w:t xml:space="preserve"> 40 CFR</w:t>
      </w:r>
      <w:r w:rsidRPr="00955B7F" w:rsidR="008805C9">
        <w:t xml:space="preserve"> </w:t>
      </w:r>
      <w:r w:rsidR="00D700BE">
        <w:t>P</w:t>
      </w:r>
      <w:r w:rsidRPr="00955B7F" w:rsidR="008805C9">
        <w:t>art 265</w:t>
      </w:r>
      <w:r w:rsidR="00D700BE">
        <w:t>,</w:t>
      </w:r>
      <w:r w:rsidRPr="00955B7F" w:rsidR="008805C9">
        <w:t xml:space="preserve"> </w:t>
      </w:r>
      <w:r w:rsidR="00D700BE">
        <w:t>S</w:t>
      </w:r>
      <w:r w:rsidRPr="00955B7F" w:rsidR="008805C9">
        <w:t xml:space="preserve">ubparts C and D. These emergency preparedness and response conditions include recordkeeping requirements for personnel training, as well as recordkeeping and reporting requirements for contingency planning and emergency procedures. These conditions contribute to EPA’s goal of minimizing the potential for employee-related mistakes that may threaten human health and the environment, as well as </w:t>
      </w:r>
      <w:r w:rsidRPr="00021333" w:rsidR="008805C9">
        <w:t>minimizing unanticipated damage from the accumulation of hazardous waste at generator sites</w:t>
      </w:r>
      <w:r w:rsidRPr="00955B7F" w:rsidR="008805C9">
        <w:t>.</w:t>
      </w:r>
    </w:p>
    <w:p w:rsidRPr="00ED1B00" w:rsidR="00ED1B00" w:rsidP="008A60C1" w:rsidRDefault="00ED1B00" w14:paraId="3E491605" w14:textId="77777777">
      <w:pPr>
        <w:pStyle w:val="BodyTextDSW"/>
        <w:numPr>
          <w:ilvl w:val="0"/>
          <w:numId w:val="36"/>
        </w:numPr>
      </w:pPr>
      <w:r>
        <w:rPr>
          <w:i/>
        </w:rPr>
        <w:t>Solid Waste Variances and Non-Waste Determinations:</w:t>
      </w:r>
      <w:r w:rsidRPr="00861562" w:rsidR="00861562">
        <w:t xml:space="preserve"> </w:t>
      </w:r>
      <w:r w:rsidR="00861562">
        <w:t>The intent of the solid waste variance and non</w:t>
      </w:r>
      <w:r w:rsidR="00861562">
        <w:noBreakHyphen/>
        <w:t xml:space="preserve">waste determination petition process is to provide petitioners with an administrative procedure for receiving a formal determination that their material is not a solid waste. For cases where there is ambiguity about whether a secondary material is a solid waste, this process may be needed to provide regulatory certainty for both the facility and </w:t>
      </w:r>
      <w:r w:rsidR="00FD5738">
        <w:t xml:space="preserve">the </w:t>
      </w:r>
      <w:r w:rsidR="00861562">
        <w:t xml:space="preserve">Agency. EPA has the following requirements in </w:t>
      </w:r>
      <w:r w:rsidR="00FD5738">
        <w:t xml:space="preserve">40 CFR </w:t>
      </w:r>
      <w:r w:rsidR="00861562">
        <w:t>Part 260: (1)</w:t>
      </w:r>
      <w:r w:rsidR="00FD5738">
        <w:t> </w:t>
      </w:r>
      <w:r w:rsidR="00861562">
        <w:t xml:space="preserve">requiring facilities to send notice to the Administrator and potentially </w:t>
      </w:r>
      <w:r w:rsidRPr="0094400E" w:rsidR="00861562">
        <w:t>re-apply for a variance</w:t>
      </w:r>
      <w:r w:rsidR="00861562">
        <w:t xml:space="preserve"> i</w:t>
      </w:r>
      <w:r w:rsidRPr="00215C2A" w:rsidR="00861562">
        <w:t>n the event of a change in circumstances that affect how a hazardous secondary material meets the criteria upon which a variance or non-waste determination has been based</w:t>
      </w:r>
      <w:r w:rsidR="00861562">
        <w:t>; (2)</w:t>
      </w:r>
      <w:r w:rsidRPr="009B515C" w:rsidR="00861562">
        <w:t xml:space="preserve"> </w:t>
      </w:r>
      <w:r w:rsidR="00861562">
        <w:t>establishing a fixed term not to exceed ten years for variance and non-waste determinations, at the end of which facilities must re-apply for a variance or non-waste determination; (</w:t>
      </w:r>
      <w:r w:rsidR="006D2EE7">
        <w:t>3</w:t>
      </w:r>
      <w:r w:rsidRPr="009879E6" w:rsidR="00861562">
        <w:t xml:space="preserve">) </w:t>
      </w:r>
      <w:r w:rsidR="00EA0961">
        <w:t>requirements that all the criteria for a partial reclamation variance must be met</w:t>
      </w:r>
      <w:r w:rsidRPr="009879E6" w:rsidR="00861562">
        <w:t xml:space="preserve">; </w:t>
      </w:r>
      <w:r w:rsidRPr="004656BF" w:rsidR="00861562">
        <w:t>and (</w:t>
      </w:r>
      <w:r w:rsidR="006D2EE7">
        <w:t>4</w:t>
      </w:r>
      <w:r w:rsidRPr="009879E6" w:rsidR="00861562">
        <w:t xml:space="preserve">) </w:t>
      </w:r>
      <w:r w:rsidR="00EA0961">
        <w:t xml:space="preserve">requirements that </w:t>
      </w:r>
      <w:r w:rsidRPr="009879E6" w:rsidR="00861562">
        <w:t xml:space="preserve">that petitioners demonstrate why they cannot meet, or should not have to meet, existing solid waste exclusions under </w:t>
      </w:r>
      <w:r w:rsidR="00FD5738">
        <w:t xml:space="preserve">40 CFR </w:t>
      </w:r>
      <w:r w:rsidRPr="009879E6" w:rsidR="00861562">
        <w:t>261.2 or 261.4</w:t>
      </w:r>
      <w:r w:rsidRPr="004656BF" w:rsidR="00861562">
        <w:t>.</w:t>
      </w:r>
    </w:p>
    <w:p w:rsidR="007C1552" w:rsidP="008A60C1" w:rsidRDefault="001C3F1B" w14:paraId="14DE91F7" w14:textId="77777777">
      <w:pPr>
        <w:pStyle w:val="BodyTextDSW"/>
        <w:numPr>
          <w:ilvl w:val="0"/>
          <w:numId w:val="36"/>
        </w:numPr>
      </w:pPr>
      <w:r w:rsidRPr="001C3F1B">
        <w:rPr>
          <w:i/>
        </w:rPr>
        <w:t>Remanufacturing Exclusion</w:t>
      </w:r>
      <w:r>
        <w:t>: Under the remanufacturing exclusion at 40 CFR 261.4(a)(27), both the hazardous secondary material generator and the remanufacturer must m</w:t>
      </w:r>
      <w:r w:rsidRPr="009F2747">
        <w:t>aintain records of shipments and confirmations of receipts for a period of three years from the dates of the shipments</w:t>
      </w:r>
      <w:r>
        <w:t>. Regulatory authorities need such recordkeeping requirements to determine if ensures that hazardous secondary materials are being transferred to their intended destinations in accordance with the exclusions.</w:t>
      </w:r>
    </w:p>
    <w:p w:rsidR="008805C9" w:rsidP="008A60C1" w:rsidRDefault="008805C9" w14:paraId="39926388" w14:textId="77777777">
      <w:pPr>
        <w:pStyle w:val="BodyTextDSW"/>
        <w:numPr>
          <w:ilvl w:val="0"/>
          <w:numId w:val="36"/>
        </w:numPr>
      </w:pPr>
      <w:r>
        <w:rPr>
          <w:i/>
        </w:rPr>
        <w:t>Recordkeeping and Labeling for Speculative Accumulation:</w:t>
      </w:r>
      <w:r w:rsidRPr="008805C9">
        <w:t xml:space="preserve"> </w:t>
      </w:r>
      <w:r>
        <w:t>Under the revised speculative accumulation requirement</w:t>
      </w:r>
      <w:r w:rsidRPr="00990950">
        <w:t xml:space="preserve"> </w:t>
      </w:r>
      <w:r w:rsidR="000830FD">
        <w:t xml:space="preserve">at 40 CFR </w:t>
      </w:r>
      <w:r>
        <w:t xml:space="preserve">261.1(c)(8), all persons subject to the speculative accumulation requirements (including but not limited to persons operating under the generator-controlled exclusions </w:t>
      </w:r>
      <w:r w:rsidR="000830FD">
        <w:t xml:space="preserve">at 40 CFR </w:t>
      </w:r>
      <w:r>
        <w:t>261.4(a)(23)) must labe</w:t>
      </w:r>
      <w:r w:rsidRPr="00492708">
        <w:t>l</w:t>
      </w:r>
      <w:r>
        <w:t xml:space="preserve"> the storage unit by</w:t>
      </w:r>
      <w:r w:rsidRPr="00492708">
        <w:t xml:space="preserve"> indicating the first date that the material began to be accumulated.</w:t>
      </w:r>
      <w:r>
        <w:t xml:space="preserve"> If placing a label on the storage unit is not practicable, the accumulation period must be documented through an inventory log or other appropriate method. Such information is needed by inspectors and other regulatory authorities to quickly ascertain how long a facility has been storing an excluded hazardous secondary material, and, therefore, whether that facility </w:t>
      </w:r>
      <w:proofErr w:type="gramStart"/>
      <w:r>
        <w:t>was in compliance with</w:t>
      </w:r>
      <w:proofErr w:type="gramEnd"/>
      <w:r>
        <w:t xml:space="preserve"> the storage time limits of 40 CFR 261.1(c)(8).</w:t>
      </w:r>
    </w:p>
    <w:p w:rsidR="00136C6B" w:rsidP="008A60C1" w:rsidRDefault="008805C9" w14:paraId="40013817" w14:textId="77777777">
      <w:pPr>
        <w:pStyle w:val="BodyTextDSW"/>
        <w:keepLines/>
        <w:numPr>
          <w:ilvl w:val="0"/>
          <w:numId w:val="36"/>
        </w:numPr>
      </w:pPr>
      <w:r w:rsidRPr="008805C9">
        <w:rPr>
          <w:i/>
        </w:rPr>
        <w:lastRenderedPageBreak/>
        <w:t>Recordkeeping for</w:t>
      </w:r>
      <w:r w:rsidRPr="008805C9" w:rsidR="007C1552">
        <w:rPr>
          <w:i/>
        </w:rPr>
        <w:t xml:space="preserve"> Export</w:t>
      </w:r>
      <w:r w:rsidRPr="008805C9">
        <w:rPr>
          <w:i/>
        </w:rPr>
        <w:t xml:space="preserve"> under the Transfer-Based Exclusion</w:t>
      </w:r>
      <w:r w:rsidR="007C1552">
        <w:t xml:space="preserve">: Generators </w:t>
      </w:r>
      <w:r w:rsidR="008671AF">
        <w:t>can</w:t>
      </w:r>
      <w:r w:rsidR="007C1552">
        <w:t xml:space="preserve"> export their hazardous waste secondary materials under the transfer-based exclusion if they provide notice and obtain consent of the receiving </w:t>
      </w:r>
      <w:proofErr w:type="gramStart"/>
      <w:r w:rsidR="007C1552">
        <w:t>country, and</w:t>
      </w:r>
      <w:proofErr w:type="gramEnd"/>
      <w:r w:rsidR="007C1552">
        <w:t xml:space="preserve"> file an annual report. </w:t>
      </w:r>
      <w:r w:rsidR="000A7C41">
        <w:t>Such procedures help ensure, for example, that the materials will not be discarded and give the receiving country an opportunity to respond to the intended shipment (e.g.,</w:t>
      </w:r>
      <w:r w:rsidR="008671AF">
        <w:t> </w:t>
      </w:r>
      <w:r w:rsidR="000A7C41">
        <w:t xml:space="preserve">request additional information).  </w:t>
      </w:r>
    </w:p>
    <w:p w:rsidR="00A1612F" w:rsidRDefault="00A1612F" w14:paraId="09D1A27A" w14:textId="77777777">
      <w:pPr>
        <w:pStyle w:val="Heading2"/>
      </w:pPr>
      <w:bookmarkStart w:name="__RefHeading__162_717627523" w:id="11"/>
      <w:bookmarkStart w:name="_Toc404344903" w:id="12"/>
      <w:bookmarkEnd w:id="11"/>
      <w:r>
        <w:t>2(b)</w:t>
      </w:r>
      <w:r>
        <w:tab/>
        <w:t>Practical Utility and Users of the Data</w:t>
      </w:r>
      <w:bookmarkEnd w:id="12"/>
    </w:p>
    <w:p w:rsidR="002F7A09" w:rsidP="008A60C1" w:rsidRDefault="002F7A09" w14:paraId="4A52C6CF" w14:textId="77777777">
      <w:pPr>
        <w:pStyle w:val="BodyTextDSW"/>
        <w:numPr>
          <w:ilvl w:val="0"/>
          <w:numId w:val="35"/>
        </w:numPr>
        <w:rPr>
          <w:b/>
        </w:rPr>
      </w:pPr>
      <w:r w:rsidRPr="002F7A09">
        <w:rPr>
          <w:b/>
        </w:rPr>
        <w:t>Off-</w:t>
      </w:r>
      <w:r w:rsidR="00F50C87">
        <w:rPr>
          <w:b/>
        </w:rPr>
        <w:t>S</w:t>
      </w:r>
      <w:r w:rsidRPr="002F7A09">
        <w:rPr>
          <w:b/>
        </w:rPr>
        <w:t>ite Transfer Based Exclusion for Hazardous Secondary Material</w:t>
      </w:r>
    </w:p>
    <w:p w:rsidRPr="002F7A09" w:rsidR="002F7A09" w:rsidP="002F7A09" w:rsidRDefault="00C7527C" w14:paraId="64A1DEA5" w14:textId="77777777">
      <w:pPr>
        <w:pStyle w:val="BodyTextDSW"/>
      </w:pPr>
      <w:r>
        <w:t xml:space="preserve">Generators that send their hazardous secondary materials to facilities that do not have a permit are required to conduct a “reasonable efforts” environmental audit of the receiving facilities. This information will be made available upon request by a regulatory authority to ensure generators conducted a creditable audit of the receiving facility. </w:t>
      </w:r>
      <w:r w:rsidR="002F7A09">
        <w:t>The</w:t>
      </w:r>
      <w:r w:rsidRPr="004D4199" w:rsidR="002F7A09">
        <w:rPr>
          <w:sz w:val="20"/>
        </w:rPr>
        <w:t xml:space="preserve"> </w:t>
      </w:r>
      <w:r w:rsidRPr="004D4199" w:rsidR="002F7A09">
        <w:t>emergency preparedness and response conditions include recordkeeping requirements for personnel training</w:t>
      </w:r>
      <w:r w:rsidR="002F7A09">
        <w:t>. This information will be used by b</w:t>
      </w:r>
      <w:r w:rsidRPr="004D4199" w:rsidR="002F7A09">
        <w:t xml:space="preserve">oth EPA and </w:t>
      </w:r>
      <w:r w:rsidR="002F7A09">
        <w:t>generators</w:t>
      </w:r>
      <w:r w:rsidRPr="004D4199" w:rsidR="002F7A09">
        <w:t xml:space="preserve"> to determine whether employees have acquired the necessary expertise to perform their jobs. EPA also needs this information to review personnel records to determine whether employees are receiving a level of training that is commensurate with their duties and responsibilities as well as their ability to respond to any emergency situations at the facility.</w:t>
      </w:r>
      <w:r w:rsidR="002F7A09">
        <w:t xml:space="preserve"> In addition, the</w:t>
      </w:r>
      <w:r w:rsidRPr="004D4199" w:rsidR="002F7A09">
        <w:t xml:space="preserve"> contingency </w:t>
      </w:r>
      <w:r w:rsidR="002F7A09">
        <w:t xml:space="preserve">plans may be reviewed by </w:t>
      </w:r>
      <w:r w:rsidRPr="004D4199" w:rsidR="002F7A09">
        <w:t xml:space="preserve">EPA inspectors to determine whether </w:t>
      </w:r>
      <w:r w:rsidR="002F7A09">
        <w:t>generators</w:t>
      </w:r>
      <w:r w:rsidRPr="004D4199" w:rsidR="002F7A09">
        <w:t xml:space="preserve"> have developed adequate procedures to respond to unplanned sudden or non-sudden releases of hazardous waste or hazardous constituents to air, soil, or surface water.</w:t>
      </w:r>
      <w:r w:rsidR="00F64C06">
        <w:t xml:space="preserve"> EPA also has financial assurance requirements as a condition of exclusion. The associated paperwork requirements will be used by EPA to ensure owners/operators use a financial mechanism.</w:t>
      </w:r>
    </w:p>
    <w:p w:rsidR="002F7A09" w:rsidP="008A60C1" w:rsidRDefault="002F7A09" w14:paraId="30E74BEA" w14:textId="77777777">
      <w:pPr>
        <w:pStyle w:val="BodyTextDSW"/>
        <w:numPr>
          <w:ilvl w:val="0"/>
          <w:numId w:val="35"/>
        </w:numPr>
        <w:rPr>
          <w:b/>
        </w:rPr>
      </w:pPr>
      <w:r w:rsidRPr="002F7A09">
        <w:rPr>
          <w:b/>
        </w:rPr>
        <w:t>Hazardous Secondary Material Generated and Reclaimed under the Control of the Generator</w:t>
      </w:r>
    </w:p>
    <w:p w:rsidRPr="002F7A09" w:rsidR="002F7A09" w:rsidP="002F7A09" w:rsidRDefault="002F7A09" w14:paraId="34582008" w14:textId="77777777">
      <w:pPr>
        <w:pStyle w:val="BodyTextDSW"/>
      </w:pPr>
      <w:r>
        <w:t xml:space="preserve">EPA has certification requirements for certain materials that are generated and reclaimed under the control of the generator (i.e., within the same company and under certain tolling arrangements) because of existing complexities in corporate ownership and liability. The certification will be used to hold the company accountable for knowing and complying with the definition of “hazardous secondary materials generated and reclaimed under the control of the generator” and to enable regulatory authorities to determine when facilities are eligible for this exclusion. The certification </w:t>
      </w:r>
      <w:r w:rsidR="00D06222">
        <w:t xml:space="preserve">also </w:t>
      </w:r>
      <w:r>
        <w:t>will be used by the generator to increase the company</w:t>
      </w:r>
      <w:r>
        <w:rPr>
          <w:rFonts w:ascii="Times" w:hAnsi="Times"/>
        </w:rPr>
        <w:t>’</w:t>
      </w:r>
      <w:r>
        <w:t>s awareness and accountability for ensuring that the generator and reclamation facilities are in fact under its ownership. The</w:t>
      </w:r>
      <w:r w:rsidRPr="004D4199">
        <w:rPr>
          <w:sz w:val="20"/>
        </w:rPr>
        <w:t xml:space="preserve"> </w:t>
      </w:r>
      <w:r w:rsidRPr="004D4199">
        <w:t>emergency preparedness and response conditions include recordkeeping requirements for personnel training</w:t>
      </w:r>
      <w:r>
        <w:t>. This information will be used by b</w:t>
      </w:r>
      <w:r w:rsidRPr="004D4199">
        <w:t xml:space="preserve">oth EPA and </w:t>
      </w:r>
      <w:r>
        <w:t>generators</w:t>
      </w:r>
      <w:r w:rsidRPr="004D4199">
        <w:t xml:space="preserve"> to determine whether employees have acquired the necessary expertise to perform their jobs. EPA also needs this information to review personnel records to determine whether employees are receiving a level of training that is commensurate with their duties and responsibilities as well as their ability to respond to any emergency situations at the facility.</w:t>
      </w:r>
      <w:r>
        <w:t xml:space="preserve"> In addition, the</w:t>
      </w:r>
      <w:r w:rsidRPr="004D4199">
        <w:t xml:space="preserve"> contingency </w:t>
      </w:r>
      <w:r>
        <w:t xml:space="preserve">plans may be reviewed by </w:t>
      </w:r>
      <w:r w:rsidRPr="004D4199">
        <w:t xml:space="preserve">EPA inspectors to determine whether </w:t>
      </w:r>
      <w:r>
        <w:t>generators</w:t>
      </w:r>
      <w:r w:rsidRPr="004D4199">
        <w:t xml:space="preserve"> have developed adequate procedures to respond to unplanned sudden or non-sudden releases of hazardous waste or hazardous constituents to air, soil, or surface water.</w:t>
      </w:r>
    </w:p>
    <w:p w:rsidR="002F7A09" w:rsidP="008A60C1" w:rsidRDefault="002F7A09" w14:paraId="33D1AC72" w14:textId="77777777">
      <w:pPr>
        <w:pStyle w:val="BodyTextDSW"/>
        <w:keepNext/>
        <w:numPr>
          <w:ilvl w:val="0"/>
          <w:numId w:val="35"/>
        </w:numPr>
        <w:rPr>
          <w:b/>
        </w:rPr>
      </w:pPr>
      <w:r w:rsidRPr="002F7A09">
        <w:rPr>
          <w:b/>
        </w:rPr>
        <w:lastRenderedPageBreak/>
        <w:t>Solid Waste Variances and Non-Waste Determinations</w:t>
      </w:r>
    </w:p>
    <w:p w:rsidRPr="002F7A09" w:rsidR="002F7A09" w:rsidP="002F7A09" w:rsidRDefault="002F7A09" w14:paraId="0DD16D94" w14:textId="77777777">
      <w:pPr>
        <w:pStyle w:val="BodyTextDSW"/>
      </w:pPr>
      <w:r>
        <w:t>The non</w:t>
      </w:r>
      <w:r>
        <w:noBreakHyphen/>
        <w:t xml:space="preserve">waste determination and solid waste variance petition process provides petitioners with an administrative procedure for receiving a formal determination that their material is not a solid waste. For cases where there is ambiguity about whether a secondary material is a solid waste, this process may provide regulatory certainty for both the facility and Agency. The non-waste determination and variance requirements in </w:t>
      </w:r>
      <w:r w:rsidR="00EC7341">
        <w:t xml:space="preserve">40 CFR </w:t>
      </w:r>
      <w:r>
        <w:t>Part 260 will foster greater consistency on the part of implementing agencies and help ensure the protectiveness of the implementation of the solid waste variances and non-waste determinations.</w:t>
      </w:r>
    </w:p>
    <w:p w:rsidR="002F7A09" w:rsidP="008A60C1" w:rsidRDefault="002F7A09" w14:paraId="36658A47" w14:textId="77777777">
      <w:pPr>
        <w:pStyle w:val="BodyTextDSW"/>
        <w:numPr>
          <w:ilvl w:val="0"/>
          <w:numId w:val="35"/>
        </w:numPr>
        <w:rPr>
          <w:b/>
        </w:rPr>
      </w:pPr>
      <w:r w:rsidRPr="002F7A09">
        <w:rPr>
          <w:b/>
        </w:rPr>
        <w:t>Remanufacturing Exclusion</w:t>
      </w:r>
    </w:p>
    <w:p w:rsidRPr="002F7A09" w:rsidR="000A7C41" w:rsidP="000A7C41" w:rsidRDefault="000A7C41" w14:paraId="70769284" w14:textId="77777777">
      <w:pPr>
        <w:pStyle w:val="BodyTextDSW"/>
        <w:rPr>
          <w:b/>
        </w:rPr>
      </w:pPr>
      <w:r>
        <w:t>Under the remanufacturing exclusion at 40 CFR 261.4(a)(27), both the hazardous secondary material generator and the remanufacturer must m</w:t>
      </w:r>
      <w:r w:rsidRPr="009F2747">
        <w:t>aintain records of shipments and confirmations of receipts for a period of three years from the dates of the shipments</w:t>
      </w:r>
      <w:r>
        <w:t>. Regulatory authorities need such recordkeeping requirements to ensure that hazardous secondary materials are being transferred to their intended destinations in accordance with the exclusions.</w:t>
      </w:r>
    </w:p>
    <w:p w:rsidR="002F7A09" w:rsidP="008A60C1" w:rsidRDefault="002F7A09" w14:paraId="0FDFD229" w14:textId="77777777">
      <w:pPr>
        <w:pStyle w:val="BodyTextDSW"/>
        <w:numPr>
          <w:ilvl w:val="0"/>
          <w:numId w:val="35"/>
        </w:numPr>
        <w:rPr>
          <w:b/>
        </w:rPr>
      </w:pPr>
      <w:r w:rsidRPr="002F7A09">
        <w:rPr>
          <w:b/>
        </w:rPr>
        <w:t>Recordkeeping and Labeling for Speculative Accumulation</w:t>
      </w:r>
    </w:p>
    <w:p w:rsidRPr="00C7527C" w:rsidR="00C7527C" w:rsidP="00C7527C" w:rsidRDefault="00C7527C" w14:paraId="188E1A48" w14:textId="77777777">
      <w:pPr>
        <w:pStyle w:val="BodyTextDSW"/>
      </w:pPr>
      <w:r>
        <w:t xml:space="preserve">Persons subject to the speculative accumulation requirements (including but not limited to persons operating under the generator-controlled exclusions of </w:t>
      </w:r>
      <w:r w:rsidR="007170AE">
        <w:t xml:space="preserve">40 CFR </w:t>
      </w:r>
      <w:r>
        <w:t xml:space="preserve">261.4(a)(23)) must place a label on the storage unit indicating the first date that the excluded hazardous secondary material began to be accumulated. If placing a label on the storage unit is not practicable, the accumulation period must be documented through an inventory log or other appropriate method. Inspectors and other regulatory authorities will use this information to quickly ascertain how long a facility has been storing an excluded hazardous secondary material, and, therefore, whether that facility </w:t>
      </w:r>
      <w:proofErr w:type="gramStart"/>
      <w:r>
        <w:t>was in compliance with</w:t>
      </w:r>
      <w:proofErr w:type="gramEnd"/>
      <w:r>
        <w:t xml:space="preserve"> storage time limits.</w:t>
      </w:r>
    </w:p>
    <w:p w:rsidR="002F7A09" w:rsidP="008A60C1" w:rsidRDefault="002F7A09" w14:paraId="1E92F627" w14:textId="77777777">
      <w:pPr>
        <w:pStyle w:val="BodyTextDSW"/>
        <w:numPr>
          <w:ilvl w:val="0"/>
          <w:numId w:val="35"/>
        </w:numPr>
        <w:rPr>
          <w:b/>
        </w:rPr>
      </w:pPr>
      <w:r w:rsidRPr="002F7A09">
        <w:rPr>
          <w:b/>
        </w:rPr>
        <w:t>Recordkeeping for Export under the Transfer-Based Exclusion</w:t>
      </w:r>
    </w:p>
    <w:p w:rsidRPr="002F7A09" w:rsidR="000A7C41" w:rsidP="000A7C41" w:rsidRDefault="000A7C41" w14:paraId="06FA0047" w14:textId="77777777">
      <w:pPr>
        <w:pStyle w:val="BodyTextDSW"/>
        <w:rPr>
          <w:b/>
        </w:rPr>
      </w:pPr>
      <w:r>
        <w:t xml:space="preserve">Generators </w:t>
      </w:r>
      <w:r w:rsidR="00704C48">
        <w:t>can</w:t>
      </w:r>
      <w:r>
        <w:t xml:space="preserve"> export their hazardous waste secondary materials under the transfer-based exclusion if they provide notice and obtain consent of the receiving </w:t>
      </w:r>
      <w:proofErr w:type="gramStart"/>
      <w:r>
        <w:t>country, and</w:t>
      </w:r>
      <w:proofErr w:type="gramEnd"/>
      <w:r>
        <w:t xml:space="preserve"> file an annual report. Such procedures help ensure, for example, that the materials will not be discarded and give the receiving country an opportunity to respond to the intended shipment (e.g., request additional information).  </w:t>
      </w:r>
    </w:p>
    <w:p w:rsidR="00A1612F" w:rsidP="00863109" w:rsidRDefault="008A595E" w14:paraId="3FE9498F" w14:textId="77777777">
      <w:pPr>
        <w:pStyle w:val="Heading1DSW"/>
        <w:keepNext w:val="0"/>
        <w:widowControl/>
        <w:ind w:left="0" w:firstLine="0"/>
      </w:pPr>
      <w:bookmarkStart w:name="__RefHeading__164_717627523" w:id="13"/>
      <w:bookmarkStart w:name="_Toc404344904" w:id="14"/>
      <w:bookmarkEnd w:id="13"/>
      <w:r>
        <w:br w:type="page"/>
      </w:r>
      <w:r w:rsidR="00A1612F">
        <w:lastRenderedPageBreak/>
        <w:t>3.</w:t>
      </w:r>
      <w:r w:rsidR="00A1612F">
        <w:tab/>
        <w:t>NONDUPLICATION, CONSULTATIONS, AND OTHER COLLECTION CRITERIA</w:t>
      </w:r>
      <w:bookmarkEnd w:id="14"/>
    </w:p>
    <w:p w:rsidR="00A1612F" w:rsidRDefault="00A1612F" w14:paraId="73B7BB67" w14:textId="77777777">
      <w:pPr>
        <w:pStyle w:val="Heading2"/>
      </w:pPr>
      <w:bookmarkStart w:name="__RefHeading__166_717627523" w:id="15"/>
      <w:bookmarkStart w:name="_Toc404344905" w:id="16"/>
      <w:bookmarkEnd w:id="15"/>
      <w:r>
        <w:t>3(a)</w:t>
      </w:r>
      <w:r>
        <w:tab/>
        <w:t>Nonduplication</w:t>
      </w:r>
      <w:bookmarkEnd w:id="16"/>
    </w:p>
    <w:p w:rsidR="00A1612F" w:rsidRDefault="00A1612F" w14:paraId="6A9D510E" w14:textId="77777777">
      <w:pPr>
        <w:widowControl/>
        <w:ind w:firstLine="720"/>
        <w:rPr>
          <w:sz w:val="24"/>
        </w:rPr>
      </w:pPr>
      <w:r>
        <w:rPr>
          <w:sz w:val="24"/>
        </w:rPr>
        <w:t>None of the informa</w:t>
      </w:r>
      <w:r>
        <w:rPr>
          <w:rStyle w:val="BodyTextDSWChar"/>
        </w:rPr>
        <w:t>t</w:t>
      </w:r>
      <w:r>
        <w:rPr>
          <w:sz w:val="24"/>
        </w:rPr>
        <w:t xml:space="preserve">ion </w:t>
      </w:r>
      <w:r w:rsidR="003D5E47">
        <w:rPr>
          <w:sz w:val="24"/>
        </w:rPr>
        <w:t xml:space="preserve">covered in this information collection </w:t>
      </w:r>
      <w:r>
        <w:rPr>
          <w:sz w:val="24"/>
        </w:rPr>
        <w:t xml:space="preserve">is duplicative with information required by other existing </w:t>
      </w:r>
      <w:r w:rsidR="003D5E47">
        <w:rPr>
          <w:sz w:val="24"/>
        </w:rPr>
        <w:t>F</w:t>
      </w:r>
      <w:r>
        <w:rPr>
          <w:sz w:val="24"/>
        </w:rPr>
        <w:t>ederal regulations.</w:t>
      </w:r>
    </w:p>
    <w:p w:rsidR="00A1612F" w:rsidRDefault="00A1612F" w14:paraId="303B82FE" w14:textId="77777777">
      <w:pPr>
        <w:pStyle w:val="Heading2"/>
      </w:pPr>
      <w:bookmarkStart w:name="__RefHeading__168_717627523" w:id="17"/>
      <w:bookmarkStart w:name="_Toc404344906" w:id="18"/>
      <w:bookmarkEnd w:id="17"/>
      <w:r>
        <w:t>3(b)</w:t>
      </w:r>
      <w:r>
        <w:tab/>
        <w:t>Public Notice</w:t>
      </w:r>
      <w:bookmarkEnd w:id="18"/>
    </w:p>
    <w:p w:rsidRPr="00863109" w:rsidR="00A36CD3" w:rsidP="008A60C1" w:rsidRDefault="00A36CD3" w14:paraId="761D1C3E" w14:textId="7086298B">
      <w:pPr>
        <w:rPr>
          <w:sz w:val="24"/>
        </w:rPr>
      </w:pPr>
      <w:r w:rsidRPr="00863109">
        <w:rPr>
          <w:sz w:val="24"/>
        </w:rPr>
        <w:tab/>
        <w:t xml:space="preserve">In compliance with the Paperwork Reduction Act of 1995, EPA issued a public notice in the Federal Register on </w:t>
      </w:r>
      <w:r w:rsidRPr="00863109" w:rsidR="00900084">
        <w:rPr>
          <w:sz w:val="24"/>
        </w:rPr>
        <w:t>June 28, 2021</w:t>
      </w:r>
      <w:r w:rsidRPr="00863109">
        <w:rPr>
          <w:sz w:val="24"/>
        </w:rPr>
        <w:t xml:space="preserve"> (</w:t>
      </w:r>
      <w:hyperlink w:history="1" r:id="rId16">
        <w:r w:rsidRPr="00863109" w:rsidR="00900084">
          <w:rPr>
            <w:rStyle w:val="Hyperlink"/>
            <w:sz w:val="24"/>
          </w:rPr>
          <w:t>86 FR 34008</w:t>
        </w:r>
      </w:hyperlink>
      <w:r w:rsidRPr="00863109">
        <w:rPr>
          <w:sz w:val="24"/>
        </w:rPr>
        <w:t xml:space="preserve">). The public comment period extended through </w:t>
      </w:r>
      <w:r w:rsidRPr="00863109" w:rsidR="00900084">
        <w:rPr>
          <w:sz w:val="24"/>
        </w:rPr>
        <w:t>August 27, 2021</w:t>
      </w:r>
      <w:r w:rsidRPr="00863109">
        <w:rPr>
          <w:sz w:val="24"/>
        </w:rPr>
        <w:t>.</w:t>
      </w:r>
      <w:r w:rsidRPr="008A60C1">
        <w:rPr>
          <w:sz w:val="24"/>
        </w:rPr>
        <w:t xml:space="preserve"> </w:t>
      </w:r>
      <w:r w:rsidRPr="00863109" w:rsidR="00FF1078">
        <w:rPr>
          <w:sz w:val="24"/>
        </w:rPr>
        <w:t xml:space="preserve">No </w:t>
      </w:r>
      <w:r w:rsidRPr="00863109">
        <w:rPr>
          <w:sz w:val="24"/>
        </w:rPr>
        <w:t xml:space="preserve">comments </w:t>
      </w:r>
      <w:r w:rsidRPr="00863109" w:rsidR="00FF1078">
        <w:rPr>
          <w:sz w:val="24"/>
        </w:rPr>
        <w:t xml:space="preserve">were received </w:t>
      </w:r>
      <w:r w:rsidRPr="00863109">
        <w:rPr>
          <w:sz w:val="24"/>
        </w:rPr>
        <w:t>in response to the Federal Register notice.</w:t>
      </w:r>
    </w:p>
    <w:p w:rsidR="00A1612F" w:rsidRDefault="00A1612F" w14:paraId="55D16BC9" w14:textId="77777777">
      <w:pPr>
        <w:pStyle w:val="Heading2"/>
      </w:pPr>
      <w:bookmarkStart w:name="__RefHeading__170_717627523" w:id="19"/>
      <w:bookmarkStart w:name="_Toc404344907" w:id="20"/>
      <w:bookmarkEnd w:id="19"/>
      <w:r>
        <w:t>3(c)</w:t>
      </w:r>
      <w:r>
        <w:tab/>
        <w:t>Consultations</w:t>
      </w:r>
      <w:bookmarkEnd w:id="20"/>
    </w:p>
    <w:p w:rsidR="00A1612F" w:rsidRDefault="00A1612F" w14:paraId="5E20E232" w14:textId="77777777">
      <w:pPr>
        <w:pStyle w:val="BodyTextDSW"/>
      </w:pPr>
      <w:r>
        <w:t xml:space="preserve">The table below identifies the </w:t>
      </w:r>
      <w:r w:rsidR="00A62102">
        <w:t xml:space="preserve">hazardous secondary materials </w:t>
      </w:r>
      <w:r w:rsidR="007A575D">
        <w:t>facilities</w:t>
      </w:r>
      <w:r w:rsidR="00A62102">
        <w:t xml:space="preserve"> </w:t>
      </w:r>
      <w:r>
        <w:t xml:space="preserve">contacted </w:t>
      </w:r>
      <w:r w:rsidR="00A62102">
        <w:t xml:space="preserve">by EPA to solicit input </w:t>
      </w:r>
      <w:r>
        <w:t xml:space="preserve">for </w:t>
      </w:r>
      <w:r w:rsidR="00550E46">
        <w:t>this ICR</w:t>
      </w:r>
      <w:r>
        <w:t xml:space="preserve">. </w:t>
      </w:r>
      <w:r w:rsidR="007A575D">
        <w:t>F</w:t>
      </w:r>
      <w:r>
        <w:t xml:space="preserve">eedback </w:t>
      </w:r>
      <w:r w:rsidR="00A35494">
        <w:t>from the</w:t>
      </w:r>
      <w:r w:rsidR="007A575D">
        <w:t>se</w:t>
      </w:r>
      <w:r w:rsidR="00A35494">
        <w:t xml:space="preserve"> facilities </w:t>
      </w:r>
      <w:r>
        <w:t>is reflected in the burden and cost assumptions of this ICR</w:t>
      </w:r>
      <w:r w:rsidR="00A35494">
        <w:t>.</w:t>
      </w:r>
    </w:p>
    <w:p w:rsidR="00A1612F" w:rsidRDefault="0036081D" w14:paraId="2E9292C0" w14:textId="77777777">
      <w:pPr>
        <w:keepNext/>
        <w:widowControl/>
        <w:jc w:val="center"/>
        <w:rPr>
          <w:b/>
          <w:bCs/>
          <w:sz w:val="24"/>
        </w:rPr>
      </w:pPr>
      <w:r>
        <w:rPr>
          <w:b/>
          <w:bCs/>
          <w:sz w:val="24"/>
        </w:rPr>
        <w:t xml:space="preserve">Hazardous Secondary Materials Facilities </w:t>
      </w:r>
      <w:r w:rsidR="00A1612F">
        <w:rPr>
          <w:b/>
          <w:bCs/>
          <w:sz w:val="24"/>
        </w:rPr>
        <w:t xml:space="preserve">Contacted </w:t>
      </w:r>
      <w:r>
        <w:rPr>
          <w:b/>
          <w:bCs/>
          <w:sz w:val="24"/>
        </w:rPr>
        <w:t xml:space="preserve">by EPA </w:t>
      </w:r>
      <w:r w:rsidR="00A1612F">
        <w:rPr>
          <w:b/>
          <w:bCs/>
          <w:sz w:val="24"/>
        </w:rPr>
        <w:t xml:space="preserve">for ICR Preparation </w:t>
      </w:r>
    </w:p>
    <w:p w:rsidR="00A1612F" w:rsidP="008A60C1" w:rsidRDefault="00F97FED" w14:paraId="48148985" w14:textId="77777777">
      <w:pPr>
        <w:keepNext/>
        <w:widowControl/>
        <w:spacing w:after="240"/>
        <w:jc w:val="center"/>
        <w:rPr>
          <w:b/>
          <w:bCs/>
          <w:sz w:val="24"/>
        </w:rPr>
      </w:pPr>
      <w:r>
        <w:rPr>
          <w:sz w:val="24"/>
        </w:rPr>
        <w:t>November 2021</w:t>
      </w:r>
    </w:p>
    <w:tbl>
      <w:tblPr>
        <w:tblW w:w="9606" w:type="dxa"/>
        <w:jc w:val="center"/>
        <w:tblLayout w:type="fixed"/>
        <w:tblLook w:val="0000" w:firstRow="0" w:lastRow="0" w:firstColumn="0" w:lastColumn="0" w:noHBand="0" w:noVBand="0"/>
      </w:tblPr>
      <w:tblGrid>
        <w:gridCol w:w="3802"/>
        <w:gridCol w:w="2653"/>
        <w:gridCol w:w="3151"/>
      </w:tblGrid>
      <w:tr w:rsidR="00A1612F" w:rsidTr="00F97FED" w14:paraId="5AE6720B" w14:textId="77777777">
        <w:trPr>
          <w:trHeight w:val="773"/>
          <w:tblHeader/>
          <w:jc w:val="center"/>
        </w:trPr>
        <w:tc>
          <w:tcPr>
            <w:tcW w:w="3802" w:type="dxa"/>
            <w:tcBorders>
              <w:top w:val="single" w:color="000000" w:sz="4" w:space="0"/>
              <w:left w:val="single" w:color="000000" w:sz="4" w:space="0"/>
              <w:bottom w:val="single" w:color="000000" w:sz="4" w:space="0"/>
            </w:tcBorders>
            <w:shd w:val="clear" w:color="auto" w:fill="auto"/>
            <w:vAlign w:val="center"/>
          </w:tcPr>
          <w:p w:rsidRPr="009001C9" w:rsidR="00A1612F" w:rsidRDefault="0036081D" w14:paraId="56EC8EE1" w14:textId="77777777">
            <w:pPr>
              <w:keepNext/>
              <w:widowControl/>
              <w:snapToGrid w:val="0"/>
              <w:jc w:val="center"/>
              <w:rPr>
                <w:b/>
                <w:bCs/>
                <w:szCs w:val="20"/>
              </w:rPr>
            </w:pPr>
            <w:r>
              <w:rPr>
                <w:b/>
                <w:bCs/>
                <w:szCs w:val="20"/>
              </w:rPr>
              <w:t>Facility Name</w:t>
            </w:r>
          </w:p>
        </w:tc>
        <w:tc>
          <w:tcPr>
            <w:tcW w:w="2653" w:type="dxa"/>
            <w:tcBorders>
              <w:top w:val="single" w:color="000000" w:sz="4" w:space="0"/>
              <w:left w:val="single" w:color="000000" w:sz="4" w:space="0"/>
              <w:bottom w:val="single" w:color="000000" w:sz="4" w:space="0"/>
            </w:tcBorders>
            <w:shd w:val="clear" w:color="auto" w:fill="auto"/>
            <w:vAlign w:val="center"/>
          </w:tcPr>
          <w:p w:rsidRPr="009001C9" w:rsidR="00A1612F" w:rsidRDefault="00A1612F" w14:paraId="4C32263A" w14:textId="77777777">
            <w:pPr>
              <w:keepNext/>
              <w:widowControl/>
              <w:snapToGrid w:val="0"/>
              <w:jc w:val="center"/>
              <w:rPr>
                <w:b/>
                <w:bCs/>
                <w:szCs w:val="20"/>
              </w:rPr>
            </w:pPr>
            <w:r w:rsidRPr="009001C9">
              <w:rPr>
                <w:b/>
                <w:bCs/>
                <w:szCs w:val="20"/>
              </w:rPr>
              <w:t>Name of Representative</w:t>
            </w:r>
          </w:p>
        </w:tc>
        <w:tc>
          <w:tcPr>
            <w:tcW w:w="3151"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9001C9" w:rsidR="00A1612F" w:rsidRDefault="00A1612F" w14:paraId="3AF16CC4" w14:textId="77777777">
            <w:pPr>
              <w:keepNext/>
              <w:widowControl/>
              <w:snapToGrid w:val="0"/>
              <w:jc w:val="center"/>
              <w:rPr>
                <w:b/>
                <w:bCs/>
                <w:szCs w:val="20"/>
              </w:rPr>
            </w:pPr>
            <w:r w:rsidRPr="009001C9">
              <w:rPr>
                <w:b/>
                <w:bCs/>
                <w:szCs w:val="20"/>
              </w:rPr>
              <w:t>Phone Number</w:t>
            </w:r>
          </w:p>
        </w:tc>
      </w:tr>
      <w:tr w:rsidR="00F97FED" w:rsidTr="00F20207" w14:paraId="354FA2EB" w14:textId="77777777">
        <w:trPr>
          <w:trHeight w:val="288"/>
          <w:jc w:val="center"/>
        </w:trPr>
        <w:tc>
          <w:tcPr>
            <w:tcW w:w="3802" w:type="dxa"/>
            <w:tcBorders>
              <w:top w:val="single" w:color="000000" w:sz="4" w:space="0"/>
              <w:left w:val="single" w:color="000000" w:sz="4" w:space="0"/>
              <w:bottom w:val="single" w:color="000000" w:sz="4" w:space="0"/>
            </w:tcBorders>
            <w:shd w:val="clear" w:color="auto" w:fill="auto"/>
            <w:vAlign w:val="bottom"/>
          </w:tcPr>
          <w:p w:rsidRPr="00012A7C" w:rsidR="00F97FED" w:rsidP="00F97FED" w:rsidRDefault="00F97FED" w14:paraId="55B1FDD7" w14:textId="77777777">
            <w:pPr>
              <w:widowControl/>
              <w:snapToGrid w:val="0"/>
              <w:rPr>
                <w:szCs w:val="20"/>
              </w:rPr>
            </w:pPr>
            <w:r>
              <w:rPr>
                <w:rFonts w:ascii="Calibri" w:hAnsi="Calibri" w:cs="Calibri"/>
                <w:color w:val="000000"/>
              </w:rPr>
              <w:t>ALVAR RESINS, INC.</w:t>
            </w:r>
          </w:p>
        </w:tc>
        <w:tc>
          <w:tcPr>
            <w:tcW w:w="2653" w:type="dxa"/>
            <w:tcBorders>
              <w:top w:val="single" w:color="000000" w:sz="4" w:space="0"/>
              <w:left w:val="single" w:color="000000" w:sz="4" w:space="0"/>
              <w:bottom w:val="single" w:color="000000" w:sz="4" w:space="0"/>
            </w:tcBorders>
            <w:shd w:val="clear" w:color="auto" w:fill="auto"/>
            <w:vAlign w:val="bottom"/>
          </w:tcPr>
          <w:p w:rsidRPr="00012A7C" w:rsidR="00F97FED" w:rsidP="00F97FED" w:rsidRDefault="00F97FED" w14:paraId="286405E3" w14:textId="77777777">
            <w:pPr>
              <w:widowControl/>
              <w:snapToGrid w:val="0"/>
              <w:jc w:val="center"/>
              <w:rPr>
                <w:szCs w:val="20"/>
              </w:rPr>
            </w:pPr>
            <w:r>
              <w:rPr>
                <w:rFonts w:ascii="Calibri" w:hAnsi="Calibri" w:cs="Calibri"/>
                <w:color w:val="000000"/>
              </w:rPr>
              <w:t>Albert Snow</w:t>
            </w:r>
          </w:p>
        </w:tc>
        <w:tc>
          <w:tcPr>
            <w:tcW w:w="3151"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012A7C" w:rsidR="00F97FED" w:rsidP="00F97FED" w:rsidRDefault="00F97FED" w14:paraId="204294B5" w14:textId="77777777">
            <w:pPr>
              <w:widowControl/>
              <w:snapToGrid w:val="0"/>
              <w:jc w:val="center"/>
              <w:rPr>
                <w:szCs w:val="20"/>
              </w:rPr>
            </w:pPr>
            <w:r>
              <w:rPr>
                <w:rFonts w:ascii="Calibri" w:hAnsi="Calibri" w:cs="Calibri"/>
                <w:color w:val="000000"/>
              </w:rPr>
              <w:t>870-305-4542 ext 2014</w:t>
            </w:r>
          </w:p>
        </w:tc>
      </w:tr>
      <w:tr w:rsidR="00F97FED" w:rsidTr="00F20207" w14:paraId="430AC06E" w14:textId="77777777">
        <w:trPr>
          <w:trHeight w:val="288"/>
          <w:jc w:val="center"/>
        </w:trPr>
        <w:tc>
          <w:tcPr>
            <w:tcW w:w="3802" w:type="dxa"/>
            <w:tcBorders>
              <w:top w:val="single" w:color="000000" w:sz="4" w:space="0"/>
              <w:left w:val="single" w:color="000000" w:sz="4" w:space="0"/>
              <w:bottom w:val="single" w:color="000000" w:sz="4" w:space="0"/>
            </w:tcBorders>
            <w:shd w:val="clear" w:color="auto" w:fill="auto"/>
            <w:vAlign w:val="bottom"/>
          </w:tcPr>
          <w:p w:rsidRPr="00012A7C" w:rsidR="00F97FED" w:rsidP="00F97FED" w:rsidRDefault="00F97FED" w14:paraId="4B29EFEE" w14:textId="77777777">
            <w:pPr>
              <w:widowControl/>
              <w:snapToGrid w:val="0"/>
              <w:rPr>
                <w:szCs w:val="20"/>
              </w:rPr>
            </w:pPr>
            <w:r>
              <w:rPr>
                <w:rFonts w:ascii="Calibri" w:hAnsi="Calibri" w:cs="Calibri"/>
                <w:color w:val="000000"/>
              </w:rPr>
              <w:t>HEXCEL CORPORATION</w:t>
            </w:r>
          </w:p>
        </w:tc>
        <w:tc>
          <w:tcPr>
            <w:tcW w:w="2653" w:type="dxa"/>
            <w:tcBorders>
              <w:top w:val="single" w:color="000000" w:sz="4" w:space="0"/>
              <w:left w:val="single" w:color="000000" w:sz="4" w:space="0"/>
              <w:bottom w:val="single" w:color="000000" w:sz="4" w:space="0"/>
            </w:tcBorders>
            <w:shd w:val="clear" w:color="auto" w:fill="auto"/>
            <w:vAlign w:val="bottom"/>
          </w:tcPr>
          <w:p w:rsidRPr="00012A7C" w:rsidR="00F97FED" w:rsidP="00F97FED" w:rsidRDefault="00F97FED" w14:paraId="22E66025" w14:textId="77777777">
            <w:pPr>
              <w:widowControl/>
              <w:snapToGrid w:val="0"/>
              <w:jc w:val="center"/>
              <w:rPr>
                <w:szCs w:val="20"/>
              </w:rPr>
            </w:pPr>
            <w:r>
              <w:rPr>
                <w:rFonts w:ascii="Calibri" w:hAnsi="Calibri" w:cs="Calibri"/>
                <w:color w:val="000000"/>
              </w:rPr>
              <w:t>Jared Carling</w:t>
            </w:r>
          </w:p>
        </w:tc>
        <w:tc>
          <w:tcPr>
            <w:tcW w:w="3151"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012A7C" w:rsidR="00F97FED" w:rsidP="00F97FED" w:rsidRDefault="00F97FED" w14:paraId="7B032761" w14:textId="77777777">
            <w:pPr>
              <w:widowControl/>
              <w:snapToGrid w:val="0"/>
              <w:jc w:val="center"/>
              <w:rPr>
                <w:szCs w:val="20"/>
              </w:rPr>
            </w:pPr>
            <w:r>
              <w:rPr>
                <w:rFonts w:ascii="Calibri" w:hAnsi="Calibri" w:cs="Calibri"/>
                <w:color w:val="000000"/>
              </w:rPr>
              <w:t>385-441-2350</w:t>
            </w:r>
          </w:p>
        </w:tc>
      </w:tr>
      <w:tr w:rsidR="00F97FED" w:rsidTr="00F20207" w14:paraId="311E0132" w14:textId="77777777">
        <w:trPr>
          <w:trHeight w:val="288"/>
          <w:jc w:val="center"/>
        </w:trPr>
        <w:tc>
          <w:tcPr>
            <w:tcW w:w="3802" w:type="dxa"/>
            <w:tcBorders>
              <w:top w:val="single" w:color="000000" w:sz="4" w:space="0"/>
              <w:left w:val="single" w:color="000000" w:sz="4" w:space="0"/>
              <w:bottom w:val="single" w:color="000000" w:sz="4" w:space="0"/>
            </w:tcBorders>
            <w:shd w:val="clear" w:color="auto" w:fill="auto"/>
          </w:tcPr>
          <w:p w:rsidRPr="0068756E" w:rsidR="00F97FED" w:rsidP="00F97FED" w:rsidRDefault="00F97FED" w14:paraId="0E85101C" w14:textId="77777777">
            <w:pPr>
              <w:widowControl/>
              <w:snapToGrid w:val="0"/>
              <w:rPr>
                <w:szCs w:val="20"/>
              </w:rPr>
            </w:pPr>
            <w:r>
              <w:rPr>
                <w:rFonts w:ascii="Calibri" w:hAnsi="Calibri" w:cs="Calibri"/>
                <w:color w:val="000000"/>
              </w:rPr>
              <w:t>CRANE COMPOSITES</w:t>
            </w:r>
          </w:p>
        </w:tc>
        <w:tc>
          <w:tcPr>
            <w:tcW w:w="2653" w:type="dxa"/>
            <w:tcBorders>
              <w:top w:val="single" w:color="000000" w:sz="4" w:space="0"/>
              <w:left w:val="single" w:color="000000" w:sz="4" w:space="0"/>
              <w:bottom w:val="single" w:color="000000" w:sz="4" w:space="0"/>
            </w:tcBorders>
            <w:shd w:val="clear" w:color="auto" w:fill="auto"/>
          </w:tcPr>
          <w:p w:rsidRPr="0068756E" w:rsidR="00F97FED" w:rsidP="00F97FED" w:rsidRDefault="00F97FED" w14:paraId="21C7B4FA" w14:textId="77777777">
            <w:pPr>
              <w:widowControl/>
              <w:snapToGrid w:val="0"/>
              <w:jc w:val="center"/>
              <w:rPr>
                <w:szCs w:val="20"/>
              </w:rPr>
            </w:pPr>
            <w:r>
              <w:rPr>
                <w:rFonts w:ascii="Calibri" w:hAnsi="Calibri" w:cs="Calibri"/>
                <w:color w:val="000000"/>
              </w:rPr>
              <w:t>Todd Binning</w:t>
            </w:r>
          </w:p>
        </w:tc>
        <w:tc>
          <w:tcPr>
            <w:tcW w:w="3151" w:type="dxa"/>
            <w:tcBorders>
              <w:top w:val="single" w:color="000000" w:sz="4" w:space="0"/>
              <w:left w:val="single" w:color="000000" w:sz="4" w:space="0"/>
              <w:bottom w:val="single" w:color="000000" w:sz="4" w:space="0"/>
              <w:right w:val="single" w:color="000000" w:sz="4" w:space="0"/>
            </w:tcBorders>
            <w:shd w:val="clear" w:color="auto" w:fill="auto"/>
          </w:tcPr>
          <w:p w:rsidRPr="0068756E" w:rsidR="00F97FED" w:rsidP="00F97FED" w:rsidRDefault="00F97FED" w14:paraId="05769425" w14:textId="77777777">
            <w:pPr>
              <w:widowControl/>
              <w:snapToGrid w:val="0"/>
              <w:jc w:val="center"/>
              <w:rPr>
                <w:szCs w:val="20"/>
              </w:rPr>
            </w:pPr>
            <w:r w:rsidRPr="009E219F">
              <w:t>574-534-0010</w:t>
            </w:r>
          </w:p>
        </w:tc>
      </w:tr>
      <w:tr w:rsidR="00F97FED" w:rsidTr="00F20207" w14:paraId="0F6DE412" w14:textId="77777777">
        <w:trPr>
          <w:trHeight w:val="288"/>
          <w:jc w:val="center"/>
        </w:trPr>
        <w:tc>
          <w:tcPr>
            <w:tcW w:w="3802" w:type="dxa"/>
            <w:tcBorders>
              <w:top w:val="single" w:color="000000" w:sz="4" w:space="0"/>
              <w:left w:val="single" w:color="000000" w:sz="4" w:space="0"/>
              <w:bottom w:val="single" w:color="000000" w:sz="4" w:space="0"/>
            </w:tcBorders>
            <w:shd w:val="clear" w:color="auto" w:fill="auto"/>
            <w:vAlign w:val="bottom"/>
          </w:tcPr>
          <w:p w:rsidRPr="0068756E" w:rsidR="00F97FED" w:rsidP="00F97FED" w:rsidRDefault="00F97FED" w14:paraId="6720A604" w14:textId="77777777">
            <w:pPr>
              <w:widowControl/>
              <w:snapToGrid w:val="0"/>
              <w:rPr>
                <w:szCs w:val="20"/>
              </w:rPr>
            </w:pPr>
            <w:r>
              <w:rPr>
                <w:rFonts w:ascii="Calibri" w:hAnsi="Calibri" w:cs="Calibri"/>
                <w:color w:val="000000"/>
              </w:rPr>
              <w:t>USAF PLANT NO. 44</w:t>
            </w:r>
          </w:p>
        </w:tc>
        <w:tc>
          <w:tcPr>
            <w:tcW w:w="2653" w:type="dxa"/>
            <w:tcBorders>
              <w:top w:val="single" w:color="000000" w:sz="4" w:space="0"/>
              <w:left w:val="single" w:color="000000" w:sz="4" w:space="0"/>
              <w:bottom w:val="single" w:color="000000" w:sz="4" w:space="0"/>
            </w:tcBorders>
            <w:shd w:val="clear" w:color="auto" w:fill="auto"/>
            <w:vAlign w:val="bottom"/>
          </w:tcPr>
          <w:p w:rsidRPr="0068756E" w:rsidR="00F97FED" w:rsidP="00F97FED" w:rsidRDefault="00F97FED" w14:paraId="6A8DD2E6" w14:textId="77777777">
            <w:pPr>
              <w:widowControl/>
              <w:snapToGrid w:val="0"/>
              <w:jc w:val="center"/>
              <w:rPr>
                <w:szCs w:val="20"/>
              </w:rPr>
            </w:pPr>
            <w:r>
              <w:rPr>
                <w:rFonts w:ascii="Calibri" w:hAnsi="Calibri" w:cs="Calibri"/>
                <w:color w:val="000000"/>
              </w:rPr>
              <w:t xml:space="preserve">Jason </w:t>
            </w:r>
            <w:proofErr w:type="spellStart"/>
            <w:r>
              <w:rPr>
                <w:rFonts w:ascii="Calibri" w:hAnsi="Calibri" w:cs="Calibri"/>
                <w:color w:val="000000"/>
              </w:rPr>
              <w:t>Mcginnis</w:t>
            </w:r>
            <w:proofErr w:type="spellEnd"/>
          </w:p>
        </w:tc>
        <w:tc>
          <w:tcPr>
            <w:tcW w:w="3151"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68756E" w:rsidR="00F97FED" w:rsidP="00F97FED" w:rsidRDefault="00F97FED" w14:paraId="5DE0AD86" w14:textId="77777777">
            <w:pPr>
              <w:widowControl/>
              <w:snapToGrid w:val="0"/>
              <w:jc w:val="center"/>
              <w:rPr>
                <w:szCs w:val="20"/>
              </w:rPr>
            </w:pPr>
            <w:r>
              <w:rPr>
                <w:rFonts w:ascii="Calibri" w:hAnsi="Calibri" w:cs="Calibri"/>
                <w:color w:val="000000"/>
              </w:rPr>
              <w:t>520-794-4295</w:t>
            </w:r>
          </w:p>
        </w:tc>
      </w:tr>
      <w:tr w:rsidR="00F97FED" w:rsidTr="00F20207" w14:paraId="6CBB3CDD" w14:textId="77777777">
        <w:trPr>
          <w:trHeight w:val="288"/>
          <w:jc w:val="center"/>
        </w:trPr>
        <w:tc>
          <w:tcPr>
            <w:tcW w:w="3802" w:type="dxa"/>
            <w:tcBorders>
              <w:top w:val="single" w:color="000000" w:sz="4" w:space="0"/>
              <w:left w:val="single" w:color="000000" w:sz="4" w:space="0"/>
              <w:bottom w:val="single" w:color="000000" w:sz="4" w:space="0"/>
            </w:tcBorders>
            <w:shd w:val="clear" w:color="auto" w:fill="auto"/>
            <w:vAlign w:val="bottom"/>
          </w:tcPr>
          <w:p w:rsidRPr="0068756E" w:rsidR="00F97FED" w:rsidP="00F97FED" w:rsidRDefault="00F97FED" w14:paraId="05D339B8" w14:textId="77777777">
            <w:pPr>
              <w:widowControl/>
              <w:snapToGrid w:val="0"/>
              <w:rPr>
                <w:szCs w:val="20"/>
              </w:rPr>
            </w:pPr>
            <w:r>
              <w:rPr>
                <w:rFonts w:ascii="Calibri" w:hAnsi="Calibri" w:cs="Calibri"/>
                <w:color w:val="000000"/>
              </w:rPr>
              <w:t>GOLD TECH INDUSTRIES</w:t>
            </w:r>
          </w:p>
        </w:tc>
        <w:tc>
          <w:tcPr>
            <w:tcW w:w="2653" w:type="dxa"/>
            <w:tcBorders>
              <w:top w:val="single" w:color="000000" w:sz="4" w:space="0"/>
              <w:left w:val="single" w:color="000000" w:sz="4" w:space="0"/>
              <w:bottom w:val="single" w:color="000000" w:sz="4" w:space="0"/>
            </w:tcBorders>
            <w:shd w:val="clear" w:color="auto" w:fill="auto"/>
            <w:vAlign w:val="bottom"/>
          </w:tcPr>
          <w:p w:rsidRPr="0068756E" w:rsidR="00F97FED" w:rsidP="00F97FED" w:rsidRDefault="00F97FED" w14:paraId="1359FDA5" w14:textId="77777777">
            <w:pPr>
              <w:widowControl/>
              <w:snapToGrid w:val="0"/>
              <w:jc w:val="center"/>
              <w:rPr>
                <w:szCs w:val="20"/>
              </w:rPr>
            </w:pPr>
            <w:r>
              <w:rPr>
                <w:rFonts w:ascii="Calibri" w:hAnsi="Calibri" w:cs="Calibri"/>
                <w:color w:val="000000"/>
              </w:rPr>
              <w:t xml:space="preserve">Mark </w:t>
            </w:r>
            <w:proofErr w:type="spellStart"/>
            <w:r>
              <w:rPr>
                <w:rFonts w:ascii="Calibri" w:hAnsi="Calibri" w:cs="Calibri"/>
                <w:color w:val="000000"/>
              </w:rPr>
              <w:t>Duschek</w:t>
            </w:r>
            <w:proofErr w:type="spellEnd"/>
          </w:p>
        </w:tc>
        <w:tc>
          <w:tcPr>
            <w:tcW w:w="3151"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68756E" w:rsidR="00F97FED" w:rsidP="00F97FED" w:rsidRDefault="00F97FED" w14:paraId="7E646673" w14:textId="77777777">
            <w:pPr>
              <w:widowControl/>
              <w:snapToGrid w:val="0"/>
              <w:jc w:val="center"/>
              <w:rPr>
                <w:szCs w:val="20"/>
              </w:rPr>
            </w:pPr>
            <w:r>
              <w:rPr>
                <w:rFonts w:ascii="Calibri" w:hAnsi="Calibri" w:cs="Calibri"/>
                <w:color w:val="000000"/>
              </w:rPr>
              <w:t>480-968-1930</w:t>
            </w:r>
          </w:p>
        </w:tc>
      </w:tr>
      <w:tr w:rsidR="00F97FED" w:rsidTr="00F20207" w14:paraId="6B32E1EE" w14:textId="77777777">
        <w:trPr>
          <w:trHeight w:val="288"/>
          <w:jc w:val="center"/>
        </w:trPr>
        <w:tc>
          <w:tcPr>
            <w:tcW w:w="3802" w:type="dxa"/>
            <w:tcBorders>
              <w:top w:val="single" w:color="000000" w:sz="4" w:space="0"/>
              <w:left w:val="single" w:color="000000" w:sz="4" w:space="0"/>
              <w:bottom w:val="single" w:color="000000" w:sz="4" w:space="0"/>
            </w:tcBorders>
            <w:shd w:val="clear" w:color="auto" w:fill="auto"/>
            <w:vAlign w:val="bottom"/>
          </w:tcPr>
          <w:p w:rsidRPr="0068756E" w:rsidR="00F97FED" w:rsidP="00F97FED" w:rsidRDefault="00F97FED" w14:paraId="661AEA7C" w14:textId="77777777">
            <w:pPr>
              <w:widowControl/>
              <w:snapToGrid w:val="0"/>
              <w:rPr>
                <w:szCs w:val="20"/>
              </w:rPr>
            </w:pPr>
            <w:r>
              <w:rPr>
                <w:rFonts w:ascii="Calibri" w:hAnsi="Calibri" w:cs="Calibri"/>
                <w:color w:val="000000"/>
              </w:rPr>
              <w:t>TEPCO - OPERATING HEADQUARTERS</w:t>
            </w:r>
          </w:p>
        </w:tc>
        <w:tc>
          <w:tcPr>
            <w:tcW w:w="2653" w:type="dxa"/>
            <w:tcBorders>
              <w:top w:val="single" w:color="000000" w:sz="4" w:space="0"/>
              <w:left w:val="single" w:color="000000" w:sz="4" w:space="0"/>
              <w:bottom w:val="single" w:color="000000" w:sz="4" w:space="0"/>
            </w:tcBorders>
            <w:shd w:val="clear" w:color="auto" w:fill="auto"/>
            <w:vAlign w:val="bottom"/>
          </w:tcPr>
          <w:p w:rsidRPr="0068756E" w:rsidR="00F97FED" w:rsidP="00F97FED" w:rsidRDefault="00F97FED" w14:paraId="31A28F28" w14:textId="77777777">
            <w:pPr>
              <w:widowControl/>
              <w:snapToGrid w:val="0"/>
              <w:jc w:val="center"/>
              <w:rPr>
                <w:szCs w:val="20"/>
              </w:rPr>
            </w:pPr>
            <w:r>
              <w:rPr>
                <w:rFonts w:ascii="Calibri" w:hAnsi="Calibri" w:cs="Calibri"/>
                <w:color w:val="000000"/>
              </w:rPr>
              <w:t>Monette Greer</w:t>
            </w:r>
          </w:p>
        </w:tc>
        <w:tc>
          <w:tcPr>
            <w:tcW w:w="3151"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68756E" w:rsidR="00F97FED" w:rsidP="00F97FED" w:rsidRDefault="00F97FED" w14:paraId="445AD1E4" w14:textId="77777777">
            <w:pPr>
              <w:widowControl/>
              <w:snapToGrid w:val="0"/>
              <w:jc w:val="center"/>
              <w:rPr>
                <w:szCs w:val="20"/>
              </w:rPr>
            </w:pPr>
            <w:r>
              <w:rPr>
                <w:rFonts w:ascii="Calibri" w:hAnsi="Calibri" w:cs="Calibri"/>
                <w:color w:val="000000"/>
              </w:rPr>
              <w:t>520-918-8378</w:t>
            </w:r>
          </w:p>
        </w:tc>
      </w:tr>
      <w:tr w:rsidR="00F97FED" w:rsidTr="00F20207" w14:paraId="4716BCD0" w14:textId="77777777">
        <w:trPr>
          <w:trHeight w:val="288"/>
          <w:jc w:val="center"/>
        </w:trPr>
        <w:tc>
          <w:tcPr>
            <w:tcW w:w="3802" w:type="dxa"/>
            <w:tcBorders>
              <w:top w:val="single" w:color="000000" w:sz="4" w:space="0"/>
              <w:left w:val="single" w:color="000000" w:sz="4" w:space="0"/>
              <w:bottom w:val="single" w:color="000000" w:sz="4" w:space="0"/>
            </w:tcBorders>
            <w:shd w:val="clear" w:color="auto" w:fill="auto"/>
            <w:vAlign w:val="bottom"/>
          </w:tcPr>
          <w:p w:rsidRPr="0068756E" w:rsidR="00F97FED" w:rsidP="00F97FED" w:rsidRDefault="00F97FED" w14:paraId="1A1259F4" w14:textId="77777777">
            <w:pPr>
              <w:widowControl/>
              <w:snapToGrid w:val="0"/>
              <w:rPr>
                <w:szCs w:val="20"/>
              </w:rPr>
            </w:pPr>
            <w:r>
              <w:rPr>
                <w:rFonts w:ascii="Calibri" w:hAnsi="Calibri" w:cs="Calibri"/>
                <w:color w:val="000000"/>
              </w:rPr>
              <w:t>PROTOTRON CIRCUITS SOUTHWEST</w:t>
            </w:r>
          </w:p>
        </w:tc>
        <w:tc>
          <w:tcPr>
            <w:tcW w:w="2653" w:type="dxa"/>
            <w:tcBorders>
              <w:top w:val="single" w:color="000000" w:sz="4" w:space="0"/>
              <w:left w:val="single" w:color="000000" w:sz="4" w:space="0"/>
              <w:bottom w:val="single" w:color="000000" w:sz="4" w:space="0"/>
            </w:tcBorders>
            <w:shd w:val="clear" w:color="auto" w:fill="auto"/>
            <w:vAlign w:val="bottom"/>
          </w:tcPr>
          <w:p w:rsidRPr="0068756E" w:rsidR="00F97FED" w:rsidP="00F97FED" w:rsidRDefault="00F97FED" w14:paraId="4D11AE19" w14:textId="77777777">
            <w:pPr>
              <w:widowControl/>
              <w:snapToGrid w:val="0"/>
              <w:jc w:val="center"/>
              <w:rPr>
                <w:szCs w:val="20"/>
              </w:rPr>
            </w:pPr>
            <w:r>
              <w:rPr>
                <w:rFonts w:ascii="Calibri" w:hAnsi="Calibri" w:cs="Calibri"/>
                <w:color w:val="000000"/>
              </w:rPr>
              <w:t xml:space="preserve">Brian </w:t>
            </w:r>
            <w:proofErr w:type="spellStart"/>
            <w:r>
              <w:rPr>
                <w:rFonts w:ascii="Calibri" w:hAnsi="Calibri" w:cs="Calibri"/>
                <w:color w:val="000000"/>
              </w:rPr>
              <w:t>Ozbirn</w:t>
            </w:r>
            <w:proofErr w:type="spellEnd"/>
          </w:p>
        </w:tc>
        <w:tc>
          <w:tcPr>
            <w:tcW w:w="3151"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68756E" w:rsidR="00F97FED" w:rsidP="00F97FED" w:rsidRDefault="00F97FED" w14:paraId="3A50C15C" w14:textId="77777777">
            <w:pPr>
              <w:widowControl/>
              <w:snapToGrid w:val="0"/>
              <w:jc w:val="center"/>
              <w:rPr>
                <w:szCs w:val="20"/>
              </w:rPr>
            </w:pPr>
            <w:r>
              <w:rPr>
                <w:rFonts w:ascii="Calibri" w:hAnsi="Calibri" w:cs="Calibri"/>
                <w:color w:val="000000"/>
              </w:rPr>
              <w:t>520-745-8515</w:t>
            </w:r>
          </w:p>
        </w:tc>
      </w:tr>
      <w:tr w:rsidR="00F97FED" w:rsidTr="00F20207" w14:paraId="123B876D" w14:textId="77777777">
        <w:trPr>
          <w:trHeight w:val="288"/>
          <w:jc w:val="center"/>
        </w:trPr>
        <w:tc>
          <w:tcPr>
            <w:tcW w:w="3802" w:type="dxa"/>
            <w:tcBorders>
              <w:top w:val="single" w:color="000000" w:sz="4" w:space="0"/>
              <w:left w:val="single" w:color="000000" w:sz="4" w:space="0"/>
              <w:bottom w:val="single" w:color="000000" w:sz="4" w:space="0"/>
            </w:tcBorders>
            <w:shd w:val="clear" w:color="auto" w:fill="auto"/>
            <w:vAlign w:val="bottom"/>
          </w:tcPr>
          <w:p w:rsidRPr="0068756E" w:rsidR="00F97FED" w:rsidP="00F97FED" w:rsidRDefault="00F97FED" w14:paraId="4E5661F6" w14:textId="77777777">
            <w:pPr>
              <w:widowControl/>
              <w:snapToGrid w:val="0"/>
              <w:rPr>
                <w:szCs w:val="20"/>
              </w:rPr>
            </w:pPr>
            <w:r>
              <w:rPr>
                <w:rFonts w:ascii="Calibri" w:hAnsi="Calibri" w:cs="Calibri"/>
                <w:color w:val="000000"/>
              </w:rPr>
              <w:t>FORESIGHT FINISHING, LLC</w:t>
            </w:r>
          </w:p>
        </w:tc>
        <w:tc>
          <w:tcPr>
            <w:tcW w:w="2653" w:type="dxa"/>
            <w:tcBorders>
              <w:top w:val="single" w:color="000000" w:sz="4" w:space="0"/>
              <w:left w:val="single" w:color="000000" w:sz="4" w:space="0"/>
              <w:bottom w:val="single" w:color="000000" w:sz="4" w:space="0"/>
            </w:tcBorders>
            <w:shd w:val="clear" w:color="auto" w:fill="auto"/>
            <w:vAlign w:val="bottom"/>
          </w:tcPr>
          <w:p w:rsidRPr="0068756E" w:rsidR="00F97FED" w:rsidP="00F97FED" w:rsidRDefault="00F97FED" w14:paraId="62F8F182" w14:textId="77777777">
            <w:pPr>
              <w:widowControl/>
              <w:snapToGrid w:val="0"/>
              <w:jc w:val="center"/>
              <w:rPr>
                <w:szCs w:val="20"/>
              </w:rPr>
            </w:pPr>
            <w:r>
              <w:rPr>
                <w:rFonts w:ascii="Calibri" w:hAnsi="Calibri" w:cs="Calibri"/>
                <w:color w:val="000000"/>
              </w:rPr>
              <w:t>Mark Williams</w:t>
            </w:r>
          </w:p>
        </w:tc>
        <w:tc>
          <w:tcPr>
            <w:tcW w:w="3151"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68756E" w:rsidR="00F97FED" w:rsidP="00F97FED" w:rsidRDefault="00F97FED" w14:paraId="0355EB96" w14:textId="77777777">
            <w:pPr>
              <w:widowControl/>
              <w:snapToGrid w:val="0"/>
              <w:jc w:val="center"/>
              <w:rPr>
                <w:szCs w:val="20"/>
              </w:rPr>
            </w:pPr>
            <w:r>
              <w:rPr>
                <w:rFonts w:ascii="Calibri" w:hAnsi="Calibri" w:cs="Calibri"/>
                <w:color w:val="000000"/>
              </w:rPr>
              <w:t>480-921-0000</w:t>
            </w:r>
          </w:p>
        </w:tc>
      </w:tr>
    </w:tbl>
    <w:p w:rsidR="00A1612F" w:rsidRDefault="00A1612F" w14:paraId="10C72157" w14:textId="77777777">
      <w:pPr>
        <w:pStyle w:val="Heading2"/>
      </w:pPr>
      <w:bookmarkStart w:name="__RefHeading__172_717627523" w:id="21"/>
      <w:bookmarkStart w:name="_Toc404344908" w:id="22"/>
      <w:bookmarkEnd w:id="21"/>
      <w:r>
        <w:t>3(d)</w:t>
      </w:r>
      <w:r>
        <w:tab/>
        <w:t>Effects of Less Frequent Collection</w:t>
      </w:r>
      <w:bookmarkEnd w:id="22"/>
    </w:p>
    <w:p w:rsidR="00A1612F" w:rsidRDefault="00A1612F" w14:paraId="4256B7AF" w14:textId="77777777">
      <w:pPr>
        <w:pStyle w:val="BodyTextDSW"/>
      </w:pPr>
      <w:r>
        <w:t xml:space="preserve">EPA is confident that </w:t>
      </w:r>
      <w:r w:rsidR="0035006E">
        <w:t>the</w:t>
      </w:r>
      <w:r>
        <w:t xml:space="preserve"> activities required of respondents are necessary, and to the extent possible, the Agency has attempted to minimize the</w:t>
      </w:r>
      <w:r w:rsidR="0035006E">
        <w:t xml:space="preserve"> burden imposed. </w:t>
      </w:r>
      <w:r>
        <w:t>In addition, other requirements can be satisfied by activities already being undertaken by respondents. If the minimum information collection requirements are not met, EPA will not be able to ensure that the hazardous secondary materials are being properly managed and do not pose a threat to human health and the environment.</w:t>
      </w:r>
    </w:p>
    <w:p w:rsidR="00A1612F" w:rsidRDefault="00A1612F" w14:paraId="13D18D71" w14:textId="77777777">
      <w:pPr>
        <w:pStyle w:val="Heading2"/>
      </w:pPr>
      <w:bookmarkStart w:name="__RefHeading__174_717627523" w:id="23"/>
      <w:bookmarkStart w:name="_Toc404344909" w:id="24"/>
      <w:bookmarkEnd w:id="23"/>
      <w:r>
        <w:t>3(e)</w:t>
      </w:r>
      <w:r>
        <w:tab/>
        <w:t>General Guidelines</w:t>
      </w:r>
      <w:bookmarkEnd w:id="24"/>
    </w:p>
    <w:p w:rsidR="00A1612F" w:rsidRDefault="00A1612F" w14:paraId="692BEBDC" w14:textId="77777777">
      <w:pPr>
        <w:pStyle w:val="BodyTextDSW"/>
      </w:pPr>
      <w:r>
        <w:t>This ICR adheres to the guidelines stated in the Paperwork Reduction Act of 1995, OMB</w:t>
      </w:r>
      <w:r w:rsidR="00281E55">
        <w:t>’</w:t>
      </w:r>
      <w:r>
        <w:t>s implementing regulations at 5 CFR 1320, EPA</w:t>
      </w:r>
      <w:r w:rsidR="00281E55">
        <w:t>’</w:t>
      </w:r>
      <w:r>
        <w:t>s ICR Handbook, and other applicable EPA and OMB guidance.</w:t>
      </w:r>
    </w:p>
    <w:p w:rsidR="00A1612F" w:rsidRDefault="00A1612F" w14:paraId="55043F85" w14:textId="77777777">
      <w:pPr>
        <w:pStyle w:val="Heading2"/>
      </w:pPr>
      <w:bookmarkStart w:name="__RefHeading__176_717627523" w:id="25"/>
      <w:bookmarkStart w:name="_Toc404344910" w:id="26"/>
      <w:bookmarkEnd w:id="25"/>
      <w:r>
        <w:lastRenderedPageBreak/>
        <w:t>3(f)</w:t>
      </w:r>
      <w:r>
        <w:tab/>
        <w:t>Confidentiality</w:t>
      </w:r>
      <w:bookmarkEnd w:id="26"/>
    </w:p>
    <w:p w:rsidR="00A1612F" w:rsidRDefault="00A1612F" w14:paraId="1F05C109" w14:textId="77777777">
      <w:pPr>
        <w:pStyle w:val="BodyTextDSW"/>
      </w:pPr>
      <w:r>
        <w:t>Participation under the exclusions is voluntary. EPA does not expect to deem any information collected under the rule to be CBI (Confidential Business Information). If such a claim were asserted, EPA must and will treat the information in accordance with the applicable regulations (e.g., 40 CFR Part 2, Subpart B). EPA also will assure that this information collection complies with the Privacy Act of 1974 and OMB Circular 108.</w:t>
      </w:r>
    </w:p>
    <w:p w:rsidR="00A1612F" w:rsidRDefault="00A1612F" w14:paraId="3ACB4971" w14:textId="77777777">
      <w:pPr>
        <w:pStyle w:val="Heading2"/>
      </w:pPr>
      <w:bookmarkStart w:name="__RefHeading__178_717627523" w:id="27"/>
      <w:bookmarkStart w:name="_Toc404344911" w:id="28"/>
      <w:bookmarkEnd w:id="27"/>
      <w:r>
        <w:t>3(g)</w:t>
      </w:r>
      <w:r>
        <w:tab/>
        <w:t>Sensitive Questions</w:t>
      </w:r>
      <w:bookmarkEnd w:id="28"/>
    </w:p>
    <w:p w:rsidR="00A1612F" w:rsidRDefault="00A1612F" w14:paraId="23CD3F5B" w14:textId="77777777">
      <w:pPr>
        <w:pStyle w:val="BodyTextDSW"/>
      </w:pPr>
      <w:r>
        <w:t xml:space="preserve">No questions of a sensitive nature are included in the information collection requirements associated with </w:t>
      </w:r>
      <w:r w:rsidR="00925BE8">
        <w:t>this ICR</w:t>
      </w:r>
      <w:r>
        <w:t>.</w:t>
      </w:r>
    </w:p>
    <w:p w:rsidR="00A1612F" w:rsidP="00863109" w:rsidRDefault="00362F8A" w14:paraId="14044E98" w14:textId="77777777">
      <w:pPr>
        <w:pStyle w:val="Heading1DSW"/>
        <w:keepNext w:val="0"/>
        <w:widowControl/>
        <w:ind w:left="0" w:firstLine="0"/>
      </w:pPr>
      <w:bookmarkStart w:name="__RefHeading__180_717627523" w:id="29"/>
      <w:bookmarkStart w:name="_Toc404344912" w:id="30"/>
      <w:bookmarkEnd w:id="29"/>
      <w:r>
        <w:br w:type="page"/>
      </w:r>
      <w:r w:rsidR="00A1612F">
        <w:lastRenderedPageBreak/>
        <w:t>4.</w:t>
      </w:r>
      <w:r w:rsidR="00A1612F">
        <w:tab/>
        <w:t>THE RESPONDENTS AND THE INFORMATION REQUESTED</w:t>
      </w:r>
      <w:bookmarkEnd w:id="30"/>
    </w:p>
    <w:p w:rsidR="00A1612F" w:rsidRDefault="00A1612F" w14:paraId="0447CA1B" w14:textId="77777777">
      <w:pPr>
        <w:pStyle w:val="Heading2"/>
      </w:pPr>
      <w:bookmarkStart w:name="__RefHeading__182_717627523" w:id="31"/>
      <w:bookmarkStart w:name="_Toc404344913" w:id="32"/>
      <w:bookmarkEnd w:id="31"/>
      <w:r>
        <w:t>4(a)</w:t>
      </w:r>
      <w:r>
        <w:tab/>
        <w:t>Respondents and NAICS Codes</w:t>
      </w:r>
      <w:bookmarkEnd w:id="32"/>
    </w:p>
    <w:p w:rsidR="00A1612F" w:rsidRDefault="00A1612F" w14:paraId="512119B7" w14:textId="77777777">
      <w:pPr>
        <w:pStyle w:val="BodyTextDSW"/>
      </w:pPr>
      <w:r>
        <w:t xml:space="preserve">Entities potentially affected by the </w:t>
      </w:r>
      <w:r w:rsidR="00214898">
        <w:t>information collection requirements covered in this ICR</w:t>
      </w:r>
      <w:r>
        <w:t xml:space="preserve"> include facilities in industry sectors that generate or recycle hazardous secondary materials </w:t>
      </w:r>
      <w:r w:rsidR="00CE6008">
        <w:t xml:space="preserve">that are </w:t>
      </w:r>
      <w:r>
        <w:t xml:space="preserve">excluded under </w:t>
      </w:r>
      <w:r w:rsidR="00CE6008">
        <w:t xml:space="preserve">RCRA DSW </w:t>
      </w:r>
      <w:r>
        <w:t>or excluded from RCRA Subtitle C under other solid waste exclusions</w:t>
      </w:r>
      <w:r w:rsidR="00C0713E">
        <w:t xml:space="preserve"> or variances.</w:t>
      </w:r>
      <w:r>
        <w:t xml:space="preserve"> The following is a list of North American Industry Classification System (NAICS) codes associated with industries most likely affected by the paperwork requirements covered in this ICR.</w:t>
      </w:r>
    </w:p>
    <w:p w:rsidR="00A1612F" w:rsidP="008A60C1" w:rsidRDefault="00A1612F" w14:paraId="7DE46C40" w14:textId="77777777">
      <w:pPr>
        <w:widowControl/>
        <w:suppressAutoHyphens w:val="0"/>
        <w:spacing w:after="240"/>
        <w:jc w:val="center"/>
        <w:rPr>
          <w:b/>
          <w:bCs/>
          <w:sz w:val="24"/>
        </w:rPr>
      </w:pPr>
      <w:r>
        <w:rPr>
          <w:b/>
          <w:bCs/>
          <w:sz w:val="24"/>
        </w:rPr>
        <w:t>NAICS Codes of Potentially Affected Industries</w:t>
      </w:r>
    </w:p>
    <w:tbl>
      <w:tblPr>
        <w:tblW w:w="0" w:type="auto"/>
        <w:jc w:val="center"/>
        <w:tblLayout w:type="fixed"/>
        <w:tblCellMar>
          <w:top w:w="14" w:type="dxa"/>
          <w:left w:w="120" w:type="dxa"/>
          <w:bottom w:w="14" w:type="dxa"/>
          <w:right w:w="120" w:type="dxa"/>
        </w:tblCellMar>
        <w:tblLook w:val="0000" w:firstRow="0" w:lastRow="0" w:firstColumn="0" w:lastColumn="0" w:noHBand="0" w:noVBand="0"/>
      </w:tblPr>
      <w:tblGrid>
        <w:gridCol w:w="5501"/>
        <w:gridCol w:w="1472"/>
      </w:tblGrid>
      <w:tr w:rsidR="00A1612F" w:rsidTr="008A60C1" w14:paraId="38EFE207" w14:textId="77777777">
        <w:trPr>
          <w:trHeight w:val="444"/>
          <w:tblHeader/>
          <w:jc w:val="center"/>
        </w:trPr>
        <w:tc>
          <w:tcPr>
            <w:tcW w:w="5501" w:type="dxa"/>
            <w:tcBorders>
              <w:top w:val="single" w:color="000000" w:sz="4" w:space="0"/>
              <w:left w:val="single" w:color="000000" w:sz="4" w:space="0"/>
              <w:bottom w:val="single" w:color="000000" w:sz="4" w:space="0"/>
            </w:tcBorders>
            <w:shd w:val="clear" w:color="auto" w:fill="auto"/>
            <w:vAlign w:val="center"/>
          </w:tcPr>
          <w:p w:rsidR="00A1612F" w:rsidP="008A60C1" w:rsidRDefault="00A1612F" w14:paraId="3F19CD3C" w14:textId="77777777">
            <w:pPr>
              <w:widowControl/>
              <w:suppressAutoHyphens w:val="0"/>
              <w:snapToGrid w:val="0"/>
              <w:jc w:val="center"/>
              <w:rPr>
                <w:b/>
                <w:bCs/>
                <w:szCs w:val="22"/>
              </w:rPr>
            </w:pPr>
            <w:r>
              <w:rPr>
                <w:b/>
                <w:bCs/>
                <w:szCs w:val="22"/>
              </w:rPr>
              <w:t>Industry Sector</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rsidR="00A1612F" w:rsidP="008A60C1" w:rsidRDefault="00A1612F" w14:paraId="5BE3458C" w14:textId="77777777">
            <w:pPr>
              <w:widowControl/>
              <w:suppressAutoHyphens w:val="0"/>
              <w:snapToGrid w:val="0"/>
              <w:jc w:val="center"/>
              <w:rPr>
                <w:b/>
                <w:bCs/>
                <w:szCs w:val="22"/>
              </w:rPr>
            </w:pPr>
            <w:r>
              <w:rPr>
                <w:b/>
                <w:bCs/>
                <w:szCs w:val="22"/>
              </w:rPr>
              <w:t>NAICS Codes</w:t>
            </w:r>
          </w:p>
        </w:tc>
      </w:tr>
      <w:tr w:rsidR="00A1612F" w:rsidTr="008A60C1" w14:paraId="733E3628" w14:textId="77777777">
        <w:trPr>
          <w:trHeight w:val="360"/>
          <w:jc w:val="center"/>
        </w:trPr>
        <w:tc>
          <w:tcPr>
            <w:tcW w:w="5501" w:type="dxa"/>
            <w:tcBorders>
              <w:top w:val="single" w:color="000000" w:sz="4" w:space="0"/>
              <w:left w:val="single" w:color="000000" w:sz="4" w:space="0"/>
              <w:bottom w:val="single" w:color="000000" w:sz="4" w:space="0"/>
            </w:tcBorders>
            <w:shd w:val="clear" w:color="auto" w:fill="auto"/>
            <w:vAlign w:val="center"/>
          </w:tcPr>
          <w:p w:rsidR="00A1612F" w:rsidP="008A60C1" w:rsidRDefault="00A1612F" w14:paraId="65BEFC09" w14:textId="77777777">
            <w:pPr>
              <w:widowControl/>
              <w:tabs>
                <w:tab w:val="left" w:pos="1050"/>
              </w:tabs>
              <w:suppressAutoHyphens w:val="0"/>
              <w:snapToGrid w:val="0"/>
              <w:spacing w:after="58"/>
            </w:pPr>
            <w:r>
              <w:t>Agriculture, Forestry, Fishing and Hunting</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rsidR="00A1612F" w:rsidP="008A60C1" w:rsidRDefault="00A1612F" w14:paraId="6AD7C8C6" w14:textId="77777777">
            <w:pPr>
              <w:widowControl/>
              <w:suppressAutoHyphens w:val="0"/>
              <w:snapToGrid w:val="0"/>
              <w:spacing w:after="58"/>
              <w:jc w:val="center"/>
            </w:pPr>
            <w:r>
              <w:t>11</w:t>
            </w:r>
          </w:p>
        </w:tc>
      </w:tr>
      <w:tr w:rsidR="00A1612F" w:rsidTr="008A60C1" w14:paraId="7F3168EA" w14:textId="77777777">
        <w:trPr>
          <w:trHeight w:val="360"/>
          <w:jc w:val="center"/>
        </w:trPr>
        <w:tc>
          <w:tcPr>
            <w:tcW w:w="5501" w:type="dxa"/>
            <w:tcBorders>
              <w:top w:val="single" w:color="000000" w:sz="4" w:space="0"/>
              <w:left w:val="single" w:color="000000" w:sz="4" w:space="0"/>
              <w:bottom w:val="single" w:color="000000" w:sz="4" w:space="0"/>
            </w:tcBorders>
            <w:shd w:val="clear" w:color="auto" w:fill="auto"/>
            <w:vAlign w:val="center"/>
          </w:tcPr>
          <w:p w:rsidR="00A1612F" w:rsidP="008A60C1" w:rsidRDefault="00A1612F" w14:paraId="34B0A1D4" w14:textId="77777777">
            <w:pPr>
              <w:widowControl/>
              <w:tabs>
                <w:tab w:val="left" w:pos="1050"/>
              </w:tabs>
              <w:suppressAutoHyphens w:val="0"/>
              <w:snapToGrid w:val="0"/>
              <w:spacing w:after="58"/>
            </w:pPr>
            <w:r>
              <w:t>Mining</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rsidR="00A1612F" w:rsidP="008A60C1" w:rsidRDefault="00A1612F" w14:paraId="773D213F" w14:textId="77777777">
            <w:pPr>
              <w:widowControl/>
              <w:suppressAutoHyphens w:val="0"/>
              <w:snapToGrid w:val="0"/>
              <w:spacing w:after="58"/>
              <w:jc w:val="center"/>
            </w:pPr>
            <w:r>
              <w:t>21</w:t>
            </w:r>
          </w:p>
        </w:tc>
      </w:tr>
      <w:tr w:rsidR="00A1612F" w:rsidTr="008A60C1" w14:paraId="3A196FB6" w14:textId="77777777">
        <w:trPr>
          <w:trHeight w:val="360"/>
          <w:jc w:val="center"/>
        </w:trPr>
        <w:tc>
          <w:tcPr>
            <w:tcW w:w="5501" w:type="dxa"/>
            <w:tcBorders>
              <w:top w:val="single" w:color="000000" w:sz="4" w:space="0"/>
              <w:left w:val="single" w:color="000000" w:sz="4" w:space="0"/>
              <w:bottom w:val="single" w:color="000000" w:sz="4" w:space="0"/>
            </w:tcBorders>
            <w:shd w:val="clear" w:color="auto" w:fill="auto"/>
            <w:vAlign w:val="center"/>
          </w:tcPr>
          <w:p w:rsidR="00A1612F" w:rsidP="008A60C1" w:rsidRDefault="00A1612F" w14:paraId="2592E31A" w14:textId="77777777">
            <w:pPr>
              <w:widowControl/>
              <w:suppressAutoHyphens w:val="0"/>
              <w:snapToGrid w:val="0"/>
              <w:spacing w:after="58"/>
            </w:pPr>
            <w:r>
              <w:t>Utilities</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rsidR="00A1612F" w:rsidP="008A60C1" w:rsidRDefault="00A1612F" w14:paraId="0F1F2D4C" w14:textId="77777777">
            <w:pPr>
              <w:widowControl/>
              <w:suppressAutoHyphens w:val="0"/>
              <w:snapToGrid w:val="0"/>
              <w:spacing w:after="58"/>
              <w:jc w:val="center"/>
            </w:pPr>
            <w:r>
              <w:t>22</w:t>
            </w:r>
          </w:p>
        </w:tc>
      </w:tr>
      <w:tr w:rsidR="00A1612F" w:rsidTr="008A60C1" w14:paraId="31E20B04" w14:textId="77777777">
        <w:trPr>
          <w:trHeight w:val="360"/>
          <w:jc w:val="center"/>
        </w:trPr>
        <w:tc>
          <w:tcPr>
            <w:tcW w:w="5501" w:type="dxa"/>
            <w:tcBorders>
              <w:top w:val="single" w:color="000000" w:sz="4" w:space="0"/>
              <w:left w:val="single" w:color="000000" w:sz="4" w:space="0"/>
              <w:bottom w:val="single" w:color="000000" w:sz="4" w:space="0"/>
            </w:tcBorders>
            <w:shd w:val="clear" w:color="auto" w:fill="auto"/>
            <w:vAlign w:val="center"/>
          </w:tcPr>
          <w:p w:rsidR="00A1612F" w:rsidP="008A60C1" w:rsidRDefault="00A1612F" w14:paraId="7CDF6E4F" w14:textId="77777777">
            <w:pPr>
              <w:widowControl/>
              <w:suppressAutoHyphens w:val="0"/>
              <w:snapToGrid w:val="0"/>
              <w:spacing w:after="58"/>
            </w:pPr>
            <w:r>
              <w:t>Construction</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rsidR="00A1612F" w:rsidP="008A60C1" w:rsidRDefault="00A1612F" w14:paraId="2297BAB2" w14:textId="77777777">
            <w:pPr>
              <w:widowControl/>
              <w:suppressAutoHyphens w:val="0"/>
              <w:snapToGrid w:val="0"/>
              <w:spacing w:after="58"/>
              <w:jc w:val="center"/>
            </w:pPr>
            <w:r>
              <w:t>23</w:t>
            </w:r>
          </w:p>
        </w:tc>
      </w:tr>
      <w:tr w:rsidR="00A1612F" w:rsidTr="008A60C1" w14:paraId="5F67199F" w14:textId="77777777">
        <w:trPr>
          <w:trHeight w:val="360"/>
          <w:jc w:val="center"/>
        </w:trPr>
        <w:tc>
          <w:tcPr>
            <w:tcW w:w="5501" w:type="dxa"/>
            <w:tcBorders>
              <w:top w:val="single" w:color="000000" w:sz="4" w:space="0"/>
              <w:left w:val="single" w:color="000000" w:sz="4" w:space="0"/>
              <w:bottom w:val="single" w:color="000000" w:sz="4" w:space="0"/>
            </w:tcBorders>
            <w:shd w:val="clear" w:color="auto" w:fill="auto"/>
            <w:vAlign w:val="center"/>
          </w:tcPr>
          <w:p w:rsidR="00A1612F" w:rsidP="008A60C1" w:rsidRDefault="00A1612F" w14:paraId="47CD75D0" w14:textId="77777777">
            <w:pPr>
              <w:widowControl/>
              <w:suppressAutoHyphens w:val="0"/>
              <w:snapToGrid w:val="0"/>
              <w:spacing w:after="58"/>
            </w:pPr>
            <w:r>
              <w:t>Manufacturing</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rsidR="00A1612F" w:rsidP="008A60C1" w:rsidRDefault="00A1612F" w14:paraId="302D92D7" w14:textId="77777777">
            <w:pPr>
              <w:widowControl/>
              <w:suppressAutoHyphens w:val="0"/>
              <w:snapToGrid w:val="0"/>
              <w:spacing w:after="58"/>
              <w:jc w:val="center"/>
            </w:pPr>
            <w:r>
              <w:t>31</w:t>
            </w:r>
          </w:p>
        </w:tc>
      </w:tr>
      <w:tr w:rsidR="00A1612F" w:rsidTr="008A60C1" w14:paraId="3B3E210B" w14:textId="77777777">
        <w:trPr>
          <w:trHeight w:val="360"/>
          <w:jc w:val="center"/>
        </w:trPr>
        <w:tc>
          <w:tcPr>
            <w:tcW w:w="5501" w:type="dxa"/>
            <w:tcBorders>
              <w:top w:val="single" w:color="000000" w:sz="4" w:space="0"/>
              <w:left w:val="single" w:color="000000" w:sz="4" w:space="0"/>
              <w:bottom w:val="single" w:color="000000" w:sz="4" w:space="0"/>
            </w:tcBorders>
            <w:shd w:val="clear" w:color="auto" w:fill="auto"/>
            <w:vAlign w:val="center"/>
          </w:tcPr>
          <w:p w:rsidR="00A1612F" w:rsidP="008A60C1" w:rsidRDefault="00A1612F" w14:paraId="114EC899" w14:textId="77777777">
            <w:pPr>
              <w:widowControl/>
              <w:suppressAutoHyphens w:val="0"/>
              <w:snapToGrid w:val="0"/>
              <w:spacing w:after="58"/>
            </w:pPr>
            <w:r>
              <w:t>Manufacturing</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rsidR="00A1612F" w:rsidP="008A60C1" w:rsidRDefault="00A1612F" w14:paraId="16725546" w14:textId="77777777">
            <w:pPr>
              <w:widowControl/>
              <w:suppressAutoHyphens w:val="0"/>
              <w:snapToGrid w:val="0"/>
              <w:spacing w:after="58"/>
              <w:jc w:val="center"/>
            </w:pPr>
            <w:r>
              <w:t>32</w:t>
            </w:r>
          </w:p>
        </w:tc>
      </w:tr>
      <w:tr w:rsidR="00A1612F" w:rsidTr="008A60C1" w14:paraId="38D01E17" w14:textId="77777777">
        <w:trPr>
          <w:trHeight w:val="360"/>
          <w:jc w:val="center"/>
        </w:trPr>
        <w:tc>
          <w:tcPr>
            <w:tcW w:w="5501" w:type="dxa"/>
            <w:tcBorders>
              <w:top w:val="single" w:color="000000" w:sz="4" w:space="0"/>
              <w:left w:val="single" w:color="000000" w:sz="4" w:space="0"/>
              <w:bottom w:val="single" w:color="000000" w:sz="4" w:space="0"/>
            </w:tcBorders>
            <w:shd w:val="clear" w:color="auto" w:fill="auto"/>
            <w:vAlign w:val="center"/>
          </w:tcPr>
          <w:p w:rsidR="00A1612F" w:rsidP="008A60C1" w:rsidRDefault="00A1612F" w14:paraId="598668D4" w14:textId="77777777">
            <w:pPr>
              <w:widowControl/>
              <w:suppressAutoHyphens w:val="0"/>
              <w:snapToGrid w:val="0"/>
              <w:spacing w:after="58"/>
            </w:pPr>
            <w:r>
              <w:t>Manufacturing</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rsidR="00A1612F" w:rsidP="008A60C1" w:rsidRDefault="00A1612F" w14:paraId="147071F2" w14:textId="77777777">
            <w:pPr>
              <w:widowControl/>
              <w:suppressAutoHyphens w:val="0"/>
              <w:snapToGrid w:val="0"/>
              <w:spacing w:after="58"/>
              <w:jc w:val="center"/>
            </w:pPr>
            <w:r>
              <w:t>33</w:t>
            </w:r>
          </w:p>
        </w:tc>
      </w:tr>
      <w:tr w:rsidR="00A1612F" w:rsidTr="008A60C1" w14:paraId="2F56E71A" w14:textId="77777777">
        <w:trPr>
          <w:trHeight w:val="360"/>
          <w:jc w:val="center"/>
        </w:trPr>
        <w:tc>
          <w:tcPr>
            <w:tcW w:w="5501" w:type="dxa"/>
            <w:tcBorders>
              <w:top w:val="single" w:color="000000" w:sz="4" w:space="0"/>
              <w:left w:val="single" w:color="000000" w:sz="4" w:space="0"/>
              <w:bottom w:val="single" w:color="000000" w:sz="4" w:space="0"/>
            </w:tcBorders>
            <w:shd w:val="clear" w:color="auto" w:fill="auto"/>
            <w:vAlign w:val="center"/>
          </w:tcPr>
          <w:p w:rsidR="00A1612F" w:rsidP="008A60C1" w:rsidRDefault="00A1612F" w14:paraId="231F35A5" w14:textId="77777777">
            <w:pPr>
              <w:widowControl/>
              <w:suppressAutoHyphens w:val="0"/>
              <w:snapToGrid w:val="0"/>
              <w:spacing w:after="58"/>
            </w:pPr>
            <w:r>
              <w:t>Wholesale Trade</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rsidR="00A1612F" w:rsidP="008A60C1" w:rsidRDefault="00A1612F" w14:paraId="7F59B3E2" w14:textId="77777777">
            <w:pPr>
              <w:widowControl/>
              <w:suppressAutoHyphens w:val="0"/>
              <w:snapToGrid w:val="0"/>
              <w:spacing w:after="58"/>
              <w:jc w:val="center"/>
            </w:pPr>
            <w:r>
              <w:t>42</w:t>
            </w:r>
          </w:p>
        </w:tc>
      </w:tr>
      <w:tr w:rsidR="00A1612F" w:rsidTr="008A60C1" w14:paraId="0ABC94E2" w14:textId="77777777">
        <w:trPr>
          <w:trHeight w:val="360"/>
          <w:jc w:val="center"/>
        </w:trPr>
        <w:tc>
          <w:tcPr>
            <w:tcW w:w="5501" w:type="dxa"/>
            <w:tcBorders>
              <w:top w:val="single" w:color="000000" w:sz="4" w:space="0"/>
              <w:left w:val="single" w:color="000000" w:sz="4" w:space="0"/>
              <w:bottom w:val="single" w:color="000000" w:sz="4" w:space="0"/>
            </w:tcBorders>
            <w:shd w:val="clear" w:color="auto" w:fill="auto"/>
            <w:vAlign w:val="center"/>
          </w:tcPr>
          <w:p w:rsidR="00A1612F" w:rsidP="008A60C1" w:rsidRDefault="00A1612F" w14:paraId="33ECAFFB" w14:textId="77777777">
            <w:pPr>
              <w:widowControl/>
              <w:suppressAutoHyphens w:val="0"/>
              <w:snapToGrid w:val="0"/>
              <w:spacing w:after="58"/>
            </w:pPr>
            <w:r>
              <w:t>Retail Trade</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rsidR="00A1612F" w:rsidP="008A60C1" w:rsidRDefault="00A1612F" w14:paraId="1A27FA5E" w14:textId="77777777">
            <w:pPr>
              <w:widowControl/>
              <w:suppressAutoHyphens w:val="0"/>
              <w:snapToGrid w:val="0"/>
              <w:spacing w:after="58"/>
              <w:jc w:val="center"/>
            </w:pPr>
            <w:r>
              <w:t>44, 45</w:t>
            </w:r>
          </w:p>
        </w:tc>
      </w:tr>
      <w:tr w:rsidR="00A1612F" w:rsidTr="008A60C1" w14:paraId="017D138E" w14:textId="77777777">
        <w:trPr>
          <w:trHeight w:val="360"/>
          <w:jc w:val="center"/>
        </w:trPr>
        <w:tc>
          <w:tcPr>
            <w:tcW w:w="5501" w:type="dxa"/>
            <w:tcBorders>
              <w:top w:val="single" w:color="000000" w:sz="4" w:space="0"/>
              <w:left w:val="single" w:color="000000" w:sz="4" w:space="0"/>
              <w:bottom w:val="single" w:color="000000" w:sz="4" w:space="0"/>
            </w:tcBorders>
            <w:shd w:val="clear" w:color="auto" w:fill="auto"/>
            <w:vAlign w:val="center"/>
          </w:tcPr>
          <w:p w:rsidR="00A1612F" w:rsidP="008A60C1" w:rsidRDefault="00A1612F" w14:paraId="7FA8666F" w14:textId="77777777">
            <w:pPr>
              <w:widowControl/>
              <w:suppressAutoHyphens w:val="0"/>
              <w:snapToGrid w:val="0"/>
              <w:spacing w:after="58"/>
            </w:pPr>
            <w:r>
              <w:t>Transportation</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rsidR="00A1612F" w:rsidP="008A60C1" w:rsidRDefault="00A1612F" w14:paraId="7A6EA356" w14:textId="77777777">
            <w:pPr>
              <w:widowControl/>
              <w:suppressAutoHyphens w:val="0"/>
              <w:snapToGrid w:val="0"/>
              <w:spacing w:after="58"/>
              <w:jc w:val="center"/>
            </w:pPr>
            <w:r>
              <w:t>48, 49</w:t>
            </w:r>
          </w:p>
        </w:tc>
      </w:tr>
      <w:tr w:rsidR="00A1612F" w:rsidTr="008A60C1" w14:paraId="7D177286" w14:textId="77777777">
        <w:trPr>
          <w:trHeight w:val="360"/>
          <w:jc w:val="center"/>
        </w:trPr>
        <w:tc>
          <w:tcPr>
            <w:tcW w:w="5501" w:type="dxa"/>
            <w:tcBorders>
              <w:top w:val="single" w:color="000000" w:sz="4" w:space="0"/>
              <w:left w:val="single" w:color="000000" w:sz="4" w:space="0"/>
              <w:bottom w:val="single" w:color="000000" w:sz="4" w:space="0"/>
            </w:tcBorders>
            <w:shd w:val="clear" w:color="auto" w:fill="auto"/>
            <w:vAlign w:val="center"/>
          </w:tcPr>
          <w:p w:rsidR="00A1612F" w:rsidP="008A60C1" w:rsidRDefault="00A1612F" w14:paraId="3663E50F" w14:textId="77777777">
            <w:pPr>
              <w:widowControl/>
              <w:suppressAutoHyphens w:val="0"/>
              <w:snapToGrid w:val="0"/>
              <w:spacing w:after="58"/>
            </w:pPr>
            <w:r>
              <w:t>Information</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rsidR="00A1612F" w:rsidP="008A60C1" w:rsidRDefault="00A1612F" w14:paraId="31574C50" w14:textId="77777777">
            <w:pPr>
              <w:widowControl/>
              <w:suppressAutoHyphens w:val="0"/>
              <w:snapToGrid w:val="0"/>
              <w:spacing w:after="58"/>
              <w:jc w:val="center"/>
            </w:pPr>
            <w:r>
              <w:t>51</w:t>
            </w:r>
          </w:p>
        </w:tc>
      </w:tr>
      <w:tr w:rsidR="00A1612F" w:rsidTr="008A60C1" w14:paraId="115140F9" w14:textId="77777777">
        <w:trPr>
          <w:trHeight w:val="360"/>
          <w:jc w:val="center"/>
        </w:trPr>
        <w:tc>
          <w:tcPr>
            <w:tcW w:w="5501" w:type="dxa"/>
            <w:tcBorders>
              <w:top w:val="single" w:color="000000" w:sz="4" w:space="0"/>
              <w:left w:val="single" w:color="000000" w:sz="4" w:space="0"/>
              <w:bottom w:val="single" w:color="000000" w:sz="4" w:space="0"/>
            </w:tcBorders>
            <w:shd w:val="clear" w:color="auto" w:fill="auto"/>
            <w:vAlign w:val="center"/>
          </w:tcPr>
          <w:p w:rsidR="00A1612F" w:rsidP="008A60C1" w:rsidRDefault="00A1612F" w14:paraId="07917A3D" w14:textId="77777777">
            <w:pPr>
              <w:widowControl/>
              <w:suppressAutoHyphens w:val="0"/>
              <w:snapToGrid w:val="0"/>
              <w:spacing w:after="58"/>
              <w:rPr>
                <w:szCs w:val="22"/>
              </w:rPr>
            </w:pPr>
            <w:r>
              <w:rPr>
                <w:szCs w:val="22"/>
              </w:rPr>
              <w:t>Finance and Insurance</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rsidR="00A1612F" w:rsidP="008A60C1" w:rsidRDefault="00A1612F" w14:paraId="730B3DDD" w14:textId="77777777">
            <w:pPr>
              <w:widowControl/>
              <w:suppressAutoHyphens w:val="0"/>
              <w:snapToGrid w:val="0"/>
              <w:spacing w:after="58"/>
              <w:jc w:val="center"/>
              <w:rPr>
                <w:szCs w:val="22"/>
              </w:rPr>
            </w:pPr>
            <w:r>
              <w:rPr>
                <w:szCs w:val="22"/>
              </w:rPr>
              <w:t>52</w:t>
            </w:r>
          </w:p>
        </w:tc>
      </w:tr>
      <w:tr w:rsidR="00A1612F" w:rsidTr="008A60C1" w14:paraId="55B5078D" w14:textId="77777777">
        <w:trPr>
          <w:trHeight w:val="360"/>
          <w:jc w:val="center"/>
        </w:trPr>
        <w:tc>
          <w:tcPr>
            <w:tcW w:w="5501" w:type="dxa"/>
            <w:tcBorders>
              <w:top w:val="single" w:color="000000" w:sz="4" w:space="0"/>
              <w:left w:val="single" w:color="000000" w:sz="4" w:space="0"/>
              <w:bottom w:val="single" w:color="000000" w:sz="4" w:space="0"/>
            </w:tcBorders>
            <w:shd w:val="clear" w:color="auto" w:fill="auto"/>
            <w:vAlign w:val="center"/>
          </w:tcPr>
          <w:p w:rsidR="00A1612F" w:rsidP="008A60C1" w:rsidRDefault="00A1612F" w14:paraId="75364355" w14:textId="77777777">
            <w:pPr>
              <w:widowControl/>
              <w:suppressAutoHyphens w:val="0"/>
              <w:snapToGrid w:val="0"/>
              <w:spacing w:after="58"/>
              <w:rPr>
                <w:szCs w:val="22"/>
              </w:rPr>
            </w:pPr>
            <w:r>
              <w:rPr>
                <w:szCs w:val="22"/>
              </w:rPr>
              <w:t>Real Estate, Rental, Leasing</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rsidR="00A1612F" w:rsidP="008A60C1" w:rsidRDefault="00A1612F" w14:paraId="3DC1FA88" w14:textId="77777777">
            <w:pPr>
              <w:widowControl/>
              <w:suppressAutoHyphens w:val="0"/>
              <w:snapToGrid w:val="0"/>
              <w:spacing w:after="58"/>
              <w:jc w:val="center"/>
              <w:rPr>
                <w:szCs w:val="22"/>
              </w:rPr>
            </w:pPr>
            <w:r>
              <w:rPr>
                <w:szCs w:val="22"/>
              </w:rPr>
              <w:t>53</w:t>
            </w:r>
          </w:p>
        </w:tc>
      </w:tr>
      <w:tr w:rsidR="00A1612F" w:rsidTr="008A60C1" w14:paraId="5954E66B" w14:textId="77777777">
        <w:trPr>
          <w:trHeight w:val="360"/>
          <w:jc w:val="center"/>
        </w:trPr>
        <w:tc>
          <w:tcPr>
            <w:tcW w:w="5501" w:type="dxa"/>
            <w:tcBorders>
              <w:top w:val="single" w:color="000000" w:sz="4" w:space="0"/>
              <w:left w:val="single" w:color="000000" w:sz="4" w:space="0"/>
              <w:bottom w:val="single" w:color="000000" w:sz="4" w:space="0"/>
            </w:tcBorders>
            <w:shd w:val="clear" w:color="auto" w:fill="auto"/>
            <w:vAlign w:val="center"/>
          </w:tcPr>
          <w:p w:rsidR="00A1612F" w:rsidP="008A60C1" w:rsidRDefault="00A1612F" w14:paraId="1CEF8564" w14:textId="77777777">
            <w:pPr>
              <w:widowControl/>
              <w:suppressAutoHyphens w:val="0"/>
              <w:snapToGrid w:val="0"/>
              <w:spacing w:after="58"/>
              <w:rPr>
                <w:szCs w:val="22"/>
              </w:rPr>
            </w:pPr>
            <w:r>
              <w:rPr>
                <w:szCs w:val="22"/>
              </w:rPr>
              <w:t>Professional, Scientific &amp; Technical Services</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rsidR="00A1612F" w:rsidP="008A60C1" w:rsidRDefault="00A1612F" w14:paraId="2BDD06A6" w14:textId="77777777">
            <w:pPr>
              <w:widowControl/>
              <w:suppressAutoHyphens w:val="0"/>
              <w:snapToGrid w:val="0"/>
              <w:spacing w:after="58"/>
              <w:jc w:val="center"/>
              <w:rPr>
                <w:szCs w:val="22"/>
              </w:rPr>
            </w:pPr>
            <w:r>
              <w:rPr>
                <w:szCs w:val="22"/>
              </w:rPr>
              <w:t>54</w:t>
            </w:r>
          </w:p>
        </w:tc>
      </w:tr>
      <w:tr w:rsidR="00A1612F" w:rsidTr="008A60C1" w14:paraId="30D677A9" w14:textId="77777777">
        <w:trPr>
          <w:trHeight w:val="360"/>
          <w:jc w:val="center"/>
        </w:trPr>
        <w:tc>
          <w:tcPr>
            <w:tcW w:w="5501" w:type="dxa"/>
            <w:tcBorders>
              <w:top w:val="single" w:color="000000" w:sz="4" w:space="0"/>
              <w:left w:val="single" w:color="000000" w:sz="4" w:space="0"/>
              <w:bottom w:val="single" w:color="000000" w:sz="4" w:space="0"/>
            </w:tcBorders>
            <w:shd w:val="clear" w:color="auto" w:fill="auto"/>
            <w:vAlign w:val="center"/>
          </w:tcPr>
          <w:p w:rsidR="00A1612F" w:rsidP="008A60C1" w:rsidRDefault="00A1612F" w14:paraId="29188817" w14:textId="77777777">
            <w:pPr>
              <w:widowControl/>
              <w:suppressAutoHyphens w:val="0"/>
              <w:snapToGrid w:val="0"/>
              <w:spacing w:after="58"/>
              <w:rPr>
                <w:szCs w:val="22"/>
              </w:rPr>
            </w:pPr>
            <w:r>
              <w:rPr>
                <w:szCs w:val="22"/>
              </w:rPr>
              <w:t>Management of Companies and Enterprises</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rsidR="00A1612F" w:rsidP="008A60C1" w:rsidRDefault="00A1612F" w14:paraId="2D299F71" w14:textId="77777777">
            <w:pPr>
              <w:widowControl/>
              <w:suppressAutoHyphens w:val="0"/>
              <w:snapToGrid w:val="0"/>
              <w:spacing w:after="58"/>
              <w:jc w:val="center"/>
              <w:rPr>
                <w:szCs w:val="22"/>
              </w:rPr>
            </w:pPr>
            <w:r>
              <w:rPr>
                <w:szCs w:val="22"/>
              </w:rPr>
              <w:t>55</w:t>
            </w:r>
          </w:p>
        </w:tc>
      </w:tr>
      <w:tr w:rsidR="00A1612F" w:rsidTr="008A60C1" w14:paraId="6A17804E" w14:textId="77777777">
        <w:trPr>
          <w:trHeight w:val="360"/>
          <w:jc w:val="center"/>
        </w:trPr>
        <w:tc>
          <w:tcPr>
            <w:tcW w:w="5501" w:type="dxa"/>
            <w:tcBorders>
              <w:top w:val="single" w:color="000000" w:sz="4" w:space="0"/>
              <w:left w:val="single" w:color="000000" w:sz="4" w:space="0"/>
              <w:bottom w:val="single" w:color="000000" w:sz="4" w:space="0"/>
            </w:tcBorders>
            <w:shd w:val="clear" w:color="auto" w:fill="auto"/>
            <w:vAlign w:val="center"/>
          </w:tcPr>
          <w:p w:rsidR="00A1612F" w:rsidP="008A60C1" w:rsidRDefault="00A1612F" w14:paraId="2EB95E6B" w14:textId="77777777">
            <w:pPr>
              <w:widowControl/>
              <w:suppressAutoHyphens w:val="0"/>
              <w:snapToGrid w:val="0"/>
              <w:spacing w:after="58"/>
            </w:pPr>
            <w:r>
              <w:t>Administrative Support, Waste Management &amp; Remediation</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rsidR="00A1612F" w:rsidP="008A60C1" w:rsidRDefault="00A1612F" w14:paraId="1868086A" w14:textId="77777777">
            <w:pPr>
              <w:widowControl/>
              <w:suppressAutoHyphens w:val="0"/>
              <w:snapToGrid w:val="0"/>
              <w:spacing w:after="58"/>
              <w:jc w:val="center"/>
            </w:pPr>
            <w:r>
              <w:t>56</w:t>
            </w:r>
          </w:p>
        </w:tc>
      </w:tr>
      <w:tr w:rsidR="00A1612F" w:rsidTr="008A60C1" w14:paraId="500147CF" w14:textId="77777777">
        <w:trPr>
          <w:trHeight w:val="360"/>
          <w:jc w:val="center"/>
        </w:trPr>
        <w:tc>
          <w:tcPr>
            <w:tcW w:w="5501" w:type="dxa"/>
            <w:tcBorders>
              <w:top w:val="single" w:color="000000" w:sz="4" w:space="0"/>
              <w:left w:val="single" w:color="000000" w:sz="4" w:space="0"/>
              <w:bottom w:val="single" w:color="000000" w:sz="4" w:space="0"/>
            </w:tcBorders>
            <w:shd w:val="clear" w:color="auto" w:fill="auto"/>
            <w:vAlign w:val="center"/>
          </w:tcPr>
          <w:p w:rsidR="00A1612F" w:rsidP="008A60C1" w:rsidRDefault="00A1612F" w14:paraId="22A21A36" w14:textId="77777777">
            <w:pPr>
              <w:widowControl/>
              <w:suppressAutoHyphens w:val="0"/>
              <w:snapToGrid w:val="0"/>
              <w:spacing w:after="58"/>
            </w:pPr>
            <w:r>
              <w:t>Educational Services</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rsidR="00A1612F" w:rsidP="008A60C1" w:rsidRDefault="00A1612F" w14:paraId="3FD45658" w14:textId="77777777">
            <w:pPr>
              <w:widowControl/>
              <w:suppressAutoHyphens w:val="0"/>
              <w:snapToGrid w:val="0"/>
              <w:spacing w:after="58"/>
              <w:jc w:val="center"/>
            </w:pPr>
            <w:r>
              <w:t>61</w:t>
            </w:r>
          </w:p>
        </w:tc>
      </w:tr>
      <w:tr w:rsidR="00A1612F" w:rsidTr="008A60C1" w14:paraId="49EA5AA5" w14:textId="77777777">
        <w:trPr>
          <w:trHeight w:val="360"/>
          <w:jc w:val="center"/>
        </w:trPr>
        <w:tc>
          <w:tcPr>
            <w:tcW w:w="5501" w:type="dxa"/>
            <w:tcBorders>
              <w:top w:val="single" w:color="000000" w:sz="4" w:space="0"/>
              <w:left w:val="single" w:color="000000" w:sz="4" w:space="0"/>
              <w:bottom w:val="single" w:color="000000" w:sz="4" w:space="0"/>
            </w:tcBorders>
            <w:shd w:val="clear" w:color="auto" w:fill="auto"/>
            <w:vAlign w:val="center"/>
          </w:tcPr>
          <w:p w:rsidR="00A1612F" w:rsidP="008A60C1" w:rsidRDefault="00A1612F" w14:paraId="5C2CA1DF" w14:textId="77777777">
            <w:pPr>
              <w:widowControl/>
              <w:suppressAutoHyphens w:val="0"/>
              <w:snapToGrid w:val="0"/>
              <w:spacing w:after="58"/>
            </w:pPr>
            <w:r>
              <w:t>Health Care &amp; Social Assistance</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rsidR="00A1612F" w:rsidP="008A60C1" w:rsidRDefault="00A1612F" w14:paraId="374AC167" w14:textId="77777777">
            <w:pPr>
              <w:widowControl/>
              <w:suppressAutoHyphens w:val="0"/>
              <w:snapToGrid w:val="0"/>
              <w:spacing w:after="58"/>
              <w:jc w:val="center"/>
              <w:rPr>
                <w:szCs w:val="22"/>
              </w:rPr>
            </w:pPr>
            <w:r>
              <w:rPr>
                <w:szCs w:val="22"/>
              </w:rPr>
              <w:t>62</w:t>
            </w:r>
          </w:p>
        </w:tc>
      </w:tr>
      <w:tr w:rsidR="00A1612F" w:rsidTr="008A60C1" w14:paraId="48D63B76" w14:textId="77777777">
        <w:trPr>
          <w:trHeight w:val="360"/>
          <w:jc w:val="center"/>
        </w:trPr>
        <w:tc>
          <w:tcPr>
            <w:tcW w:w="5501" w:type="dxa"/>
            <w:tcBorders>
              <w:top w:val="single" w:color="000000" w:sz="4" w:space="0"/>
              <w:left w:val="single" w:color="000000" w:sz="4" w:space="0"/>
              <w:bottom w:val="single" w:color="000000" w:sz="4" w:space="0"/>
            </w:tcBorders>
            <w:shd w:val="clear" w:color="auto" w:fill="auto"/>
            <w:vAlign w:val="center"/>
          </w:tcPr>
          <w:p w:rsidR="00A1612F" w:rsidP="008A60C1" w:rsidRDefault="00A1612F" w14:paraId="3EA437B2" w14:textId="77777777">
            <w:pPr>
              <w:widowControl/>
              <w:suppressAutoHyphens w:val="0"/>
              <w:snapToGrid w:val="0"/>
              <w:spacing w:after="58"/>
            </w:pPr>
            <w:r>
              <w:t>Arts, Entertainment, Recreation</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rsidR="00A1612F" w:rsidP="008A60C1" w:rsidRDefault="00A1612F" w14:paraId="3CF973A4" w14:textId="77777777">
            <w:pPr>
              <w:widowControl/>
              <w:suppressAutoHyphens w:val="0"/>
              <w:snapToGrid w:val="0"/>
              <w:spacing w:after="58"/>
              <w:jc w:val="center"/>
              <w:rPr>
                <w:szCs w:val="22"/>
              </w:rPr>
            </w:pPr>
            <w:r>
              <w:rPr>
                <w:szCs w:val="22"/>
              </w:rPr>
              <w:t>71</w:t>
            </w:r>
          </w:p>
        </w:tc>
      </w:tr>
      <w:tr w:rsidR="00A1612F" w:rsidTr="008A60C1" w14:paraId="09864CC1" w14:textId="77777777">
        <w:trPr>
          <w:trHeight w:val="360"/>
          <w:jc w:val="center"/>
        </w:trPr>
        <w:tc>
          <w:tcPr>
            <w:tcW w:w="5501" w:type="dxa"/>
            <w:tcBorders>
              <w:top w:val="single" w:color="000000" w:sz="4" w:space="0"/>
              <w:left w:val="single" w:color="000000" w:sz="4" w:space="0"/>
              <w:bottom w:val="single" w:color="000000" w:sz="4" w:space="0"/>
            </w:tcBorders>
            <w:shd w:val="clear" w:color="auto" w:fill="auto"/>
            <w:vAlign w:val="center"/>
          </w:tcPr>
          <w:p w:rsidR="00A1612F" w:rsidP="008A60C1" w:rsidRDefault="00A1612F" w14:paraId="5DB3F263" w14:textId="77777777">
            <w:pPr>
              <w:widowControl/>
              <w:suppressAutoHyphens w:val="0"/>
              <w:snapToGrid w:val="0"/>
              <w:spacing w:after="58"/>
            </w:pPr>
            <w:r>
              <w:t>Accommodation and Food Services</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rsidR="00A1612F" w:rsidP="008A60C1" w:rsidRDefault="00A1612F" w14:paraId="5B66959B" w14:textId="77777777">
            <w:pPr>
              <w:widowControl/>
              <w:suppressAutoHyphens w:val="0"/>
              <w:snapToGrid w:val="0"/>
              <w:spacing w:after="58"/>
              <w:jc w:val="center"/>
              <w:rPr>
                <w:szCs w:val="22"/>
              </w:rPr>
            </w:pPr>
            <w:r>
              <w:rPr>
                <w:szCs w:val="22"/>
              </w:rPr>
              <w:t>72</w:t>
            </w:r>
          </w:p>
        </w:tc>
      </w:tr>
      <w:tr w:rsidR="00A1612F" w:rsidTr="008A60C1" w14:paraId="048AA538" w14:textId="77777777">
        <w:trPr>
          <w:trHeight w:val="360"/>
          <w:jc w:val="center"/>
        </w:trPr>
        <w:tc>
          <w:tcPr>
            <w:tcW w:w="5501" w:type="dxa"/>
            <w:tcBorders>
              <w:top w:val="single" w:color="000000" w:sz="4" w:space="0"/>
              <w:left w:val="single" w:color="000000" w:sz="4" w:space="0"/>
              <w:bottom w:val="single" w:color="000000" w:sz="4" w:space="0"/>
            </w:tcBorders>
            <w:shd w:val="clear" w:color="auto" w:fill="auto"/>
            <w:vAlign w:val="center"/>
          </w:tcPr>
          <w:p w:rsidR="00A1612F" w:rsidP="008A60C1" w:rsidRDefault="00A1612F" w14:paraId="003B3BBE" w14:textId="77777777">
            <w:pPr>
              <w:widowControl/>
              <w:suppressAutoHyphens w:val="0"/>
              <w:snapToGrid w:val="0"/>
              <w:spacing w:after="58"/>
              <w:rPr>
                <w:szCs w:val="22"/>
              </w:rPr>
            </w:pPr>
            <w:r>
              <w:rPr>
                <w:szCs w:val="22"/>
              </w:rPr>
              <w:t>Other Services</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rsidR="00A1612F" w:rsidP="008A60C1" w:rsidRDefault="00A1612F" w14:paraId="7B6FA144" w14:textId="77777777">
            <w:pPr>
              <w:widowControl/>
              <w:suppressAutoHyphens w:val="0"/>
              <w:snapToGrid w:val="0"/>
              <w:spacing w:after="58"/>
              <w:jc w:val="center"/>
              <w:rPr>
                <w:szCs w:val="22"/>
              </w:rPr>
            </w:pPr>
            <w:r>
              <w:rPr>
                <w:szCs w:val="22"/>
              </w:rPr>
              <w:t>81</w:t>
            </w:r>
          </w:p>
        </w:tc>
      </w:tr>
      <w:tr w:rsidR="00A1612F" w:rsidTr="008A60C1" w14:paraId="1F795E83" w14:textId="77777777">
        <w:trPr>
          <w:trHeight w:val="360"/>
          <w:jc w:val="center"/>
        </w:trPr>
        <w:tc>
          <w:tcPr>
            <w:tcW w:w="5501" w:type="dxa"/>
            <w:tcBorders>
              <w:top w:val="single" w:color="000000" w:sz="4" w:space="0"/>
              <w:left w:val="single" w:color="000000" w:sz="4" w:space="0"/>
              <w:bottom w:val="single" w:color="000000" w:sz="8" w:space="0"/>
            </w:tcBorders>
            <w:shd w:val="clear" w:color="auto" w:fill="auto"/>
            <w:vAlign w:val="center"/>
          </w:tcPr>
          <w:p w:rsidR="00A1612F" w:rsidP="008A60C1" w:rsidRDefault="00A1612F" w14:paraId="55F10C6A" w14:textId="77777777">
            <w:pPr>
              <w:widowControl/>
              <w:suppressAutoHyphens w:val="0"/>
              <w:snapToGrid w:val="0"/>
              <w:spacing w:after="58"/>
              <w:rPr>
                <w:szCs w:val="22"/>
              </w:rPr>
            </w:pPr>
            <w:r>
              <w:rPr>
                <w:szCs w:val="22"/>
              </w:rPr>
              <w:t>Public Administration</w:t>
            </w:r>
          </w:p>
        </w:tc>
        <w:tc>
          <w:tcPr>
            <w:tcW w:w="1472" w:type="dxa"/>
            <w:tcBorders>
              <w:top w:val="single" w:color="000000" w:sz="4" w:space="0"/>
              <w:left w:val="single" w:color="000000" w:sz="4" w:space="0"/>
              <w:bottom w:val="single" w:color="000000" w:sz="8" w:space="0"/>
              <w:right w:val="single" w:color="000000" w:sz="4" w:space="0"/>
            </w:tcBorders>
            <w:shd w:val="clear" w:color="auto" w:fill="auto"/>
            <w:vAlign w:val="center"/>
          </w:tcPr>
          <w:p w:rsidR="00A1612F" w:rsidP="008A60C1" w:rsidRDefault="00A1612F" w14:paraId="1B762BC1" w14:textId="77777777">
            <w:pPr>
              <w:widowControl/>
              <w:suppressAutoHyphens w:val="0"/>
              <w:snapToGrid w:val="0"/>
              <w:spacing w:after="58"/>
              <w:jc w:val="center"/>
              <w:rPr>
                <w:szCs w:val="22"/>
              </w:rPr>
            </w:pPr>
            <w:r>
              <w:rPr>
                <w:szCs w:val="22"/>
              </w:rPr>
              <w:t>92</w:t>
            </w:r>
          </w:p>
        </w:tc>
      </w:tr>
    </w:tbl>
    <w:p w:rsidR="00A1612F" w:rsidP="008A60C1" w:rsidRDefault="00A1612F" w14:paraId="0E2B8170" w14:textId="77777777">
      <w:pPr>
        <w:pStyle w:val="Heading2"/>
        <w:keepNext w:val="0"/>
        <w:suppressAutoHyphens w:val="0"/>
      </w:pPr>
      <w:bookmarkStart w:name="__RefHeading__184_717627523" w:id="33"/>
      <w:bookmarkStart w:name="_Toc404344914" w:id="34"/>
      <w:bookmarkEnd w:id="33"/>
      <w:r>
        <w:lastRenderedPageBreak/>
        <w:t>4(b)</w:t>
      </w:r>
      <w:r>
        <w:tab/>
        <w:t>Information Requested</w:t>
      </w:r>
      <w:bookmarkEnd w:id="34"/>
    </w:p>
    <w:p w:rsidR="00673449" w:rsidP="00673449" w:rsidRDefault="00673449" w14:paraId="361161DB" w14:textId="77777777">
      <w:pPr>
        <w:pStyle w:val="BodyTextDSW"/>
      </w:pPr>
      <w:r>
        <w:t>The sections below l</w:t>
      </w:r>
      <w:r w:rsidRPr="00673449">
        <w:t xml:space="preserve">ist </w:t>
      </w:r>
      <w:r w:rsidR="00884942">
        <w:t xml:space="preserve">the </w:t>
      </w:r>
      <w:r w:rsidRPr="00673449">
        <w:t>data item</w:t>
      </w:r>
      <w:r w:rsidR="00884942">
        <w:t>s</w:t>
      </w:r>
      <w:r w:rsidRPr="00673449">
        <w:t xml:space="preserve"> requested </w:t>
      </w:r>
      <w:r>
        <w:t xml:space="preserve">under each </w:t>
      </w:r>
      <w:r w:rsidR="00884942">
        <w:t xml:space="preserve">RCRA DSW </w:t>
      </w:r>
      <w:r w:rsidR="0000400E">
        <w:t>requirement</w:t>
      </w:r>
      <w:r w:rsidR="002776DE">
        <w:t>s</w:t>
      </w:r>
      <w:r w:rsidR="0000400E">
        <w:t xml:space="preserve"> </w:t>
      </w:r>
      <w:r w:rsidR="00884942">
        <w:t>covered in this ICR</w:t>
      </w:r>
      <w:r>
        <w:t>, such as specific records that must be maintained or applications that must be submitted. In addition, the respondent activities associated with these data items are defined.</w:t>
      </w:r>
    </w:p>
    <w:p w:rsidRPr="00CC5E5B" w:rsidR="00CC5E5B" w:rsidP="00FA2DC7" w:rsidRDefault="00CC5E5B" w14:paraId="53E3E2ED" w14:textId="77777777">
      <w:pPr>
        <w:pStyle w:val="BodyTextDSW"/>
        <w:numPr>
          <w:ilvl w:val="0"/>
          <w:numId w:val="37"/>
        </w:numPr>
        <w:spacing w:before="240" w:after="240"/>
        <w:ind w:left="547" w:hanging="547"/>
        <w:rPr>
          <w:b/>
        </w:rPr>
      </w:pPr>
      <w:r w:rsidRPr="00CC5E5B">
        <w:rPr>
          <w:b/>
        </w:rPr>
        <w:t>Off-</w:t>
      </w:r>
      <w:r w:rsidR="001F7F62">
        <w:rPr>
          <w:b/>
        </w:rPr>
        <w:t>S</w:t>
      </w:r>
      <w:r w:rsidRPr="00CC5E5B">
        <w:rPr>
          <w:b/>
        </w:rPr>
        <w:t>ite Transfer Based Exclusion for Hazardous Secondary Material</w:t>
      </w:r>
    </w:p>
    <w:p w:rsidR="00F41FD4" w:rsidP="00F41FD4" w:rsidRDefault="00F41FD4" w14:paraId="68858C2A" w14:textId="77777777">
      <w:pPr>
        <w:pStyle w:val="BodyTextDSW"/>
        <w:rPr>
          <w:bCs/>
        </w:rPr>
      </w:pPr>
      <w:r>
        <w:rPr>
          <w:bCs/>
        </w:rPr>
        <w:t>The</w:t>
      </w:r>
      <w:r w:rsidRPr="0094400E">
        <w:rPr>
          <w:bCs/>
        </w:rPr>
        <w:t xml:space="preserve"> transfer-based exclusion </w:t>
      </w:r>
      <w:r>
        <w:rPr>
          <w:bCs/>
        </w:rPr>
        <w:t xml:space="preserve">requires </w:t>
      </w:r>
      <w:r w:rsidR="002776DE">
        <w:rPr>
          <w:bCs/>
        </w:rPr>
        <w:t xml:space="preserve">facilities to maintain </w:t>
      </w:r>
      <w:r w:rsidRPr="00D3446B">
        <w:rPr>
          <w:bCs/>
        </w:rPr>
        <w:t>emergency preparedness and response</w:t>
      </w:r>
      <w:r>
        <w:rPr>
          <w:bCs/>
        </w:rPr>
        <w:t xml:space="preserve"> conditions,</w:t>
      </w:r>
      <w:r w:rsidRPr="00D3446B">
        <w:rPr>
          <w:bCs/>
        </w:rPr>
        <w:t xml:space="preserve"> </w:t>
      </w:r>
      <w:r>
        <w:rPr>
          <w:bCs/>
        </w:rPr>
        <w:t>financial assurance</w:t>
      </w:r>
      <w:r w:rsidRPr="00D3446B">
        <w:rPr>
          <w:bCs/>
        </w:rPr>
        <w:t xml:space="preserve">, </w:t>
      </w:r>
      <w:r>
        <w:rPr>
          <w:bCs/>
        </w:rPr>
        <w:t xml:space="preserve">and maintenance of </w:t>
      </w:r>
      <w:r w:rsidRPr="00D3446B">
        <w:rPr>
          <w:bCs/>
        </w:rPr>
        <w:t>records of hazardous secondary material shipments and confirmation of receipts for three years.</w:t>
      </w:r>
      <w:r>
        <w:rPr>
          <w:bCs/>
        </w:rPr>
        <w:t xml:space="preserve"> </w:t>
      </w:r>
    </w:p>
    <w:p w:rsidRPr="00965A19" w:rsidR="00DF6328" w:rsidP="00DF6328" w:rsidRDefault="00DF6328" w14:paraId="665F20F0" w14:textId="77777777">
      <w:pPr>
        <w:pStyle w:val="BodyTextDSW"/>
        <w:keepNext/>
        <w:numPr>
          <w:ilvl w:val="0"/>
          <w:numId w:val="38"/>
        </w:numPr>
        <w:spacing w:before="240" w:after="240"/>
        <w:ind w:left="540" w:hanging="540"/>
        <w:rPr>
          <w:b/>
          <w:bCs/>
        </w:rPr>
      </w:pPr>
      <w:r w:rsidRPr="00965A19">
        <w:rPr>
          <w:b/>
          <w:bCs/>
        </w:rPr>
        <w:t>Emergency Preparedness and Response</w:t>
      </w:r>
    </w:p>
    <w:p w:rsidR="00DF6328" w:rsidP="00DF6328" w:rsidRDefault="00DF6328" w14:paraId="6A7F96CA" w14:textId="77777777">
      <w:pPr>
        <w:pStyle w:val="BodyTextDSW"/>
        <w:tabs>
          <w:tab w:val="left" w:pos="1260"/>
        </w:tabs>
        <w:spacing w:before="240" w:after="240"/>
        <w:rPr>
          <w:bCs/>
        </w:rPr>
      </w:pPr>
      <w:r>
        <w:rPr>
          <w:bCs/>
        </w:rPr>
        <w:t>(</w:t>
      </w:r>
      <w:proofErr w:type="spellStart"/>
      <w:r>
        <w:rPr>
          <w:bCs/>
        </w:rPr>
        <w:t>i</w:t>
      </w:r>
      <w:proofErr w:type="spellEnd"/>
      <w:r>
        <w:rPr>
          <w:bCs/>
        </w:rPr>
        <w:t>)</w:t>
      </w:r>
      <w:r>
        <w:rPr>
          <w:bCs/>
        </w:rPr>
        <w:tab/>
        <w:t>Data items</w:t>
      </w:r>
    </w:p>
    <w:p w:rsidR="00DF6328" w:rsidP="00DF6328" w:rsidRDefault="00DF6328" w14:paraId="3BC8AA09" w14:textId="77777777">
      <w:pPr>
        <w:pStyle w:val="BodyTextDSW"/>
        <w:numPr>
          <w:ilvl w:val="0"/>
          <w:numId w:val="5"/>
        </w:numPr>
        <w:tabs>
          <w:tab w:val="clear" w:pos="1080"/>
          <w:tab w:val="num" w:pos="1620"/>
        </w:tabs>
        <w:ind w:left="1627"/>
      </w:pPr>
      <w:r>
        <w:t>Personnel training records should include job titles for each position and the name of each person filling each job, a written job description and necessary qualifications for each position, and the training given to the individual filling that position</w:t>
      </w:r>
    </w:p>
    <w:p w:rsidRPr="00262985" w:rsidR="00DF6328" w:rsidP="00DF6328" w:rsidRDefault="00DF6328" w14:paraId="1C2FEF44" w14:textId="77777777">
      <w:pPr>
        <w:pStyle w:val="BodyTextDSW"/>
        <w:numPr>
          <w:ilvl w:val="0"/>
          <w:numId w:val="5"/>
        </w:numPr>
        <w:tabs>
          <w:tab w:val="clear" w:pos="1080"/>
          <w:tab w:val="num" w:pos="1620"/>
        </w:tabs>
        <w:ind w:left="1627"/>
      </w:pPr>
      <w:r w:rsidRPr="00262985">
        <w:t xml:space="preserve">Contingency plans should include a description of response actions, a description of the arrangements agreed to by local police authorities, contact lists for </w:t>
      </w:r>
      <w:r w:rsidRPr="00640839">
        <w:t>emergency coordinators, a list of emergency equipment, and an evacuation plan for the facility personnel</w:t>
      </w:r>
    </w:p>
    <w:p w:rsidRPr="00262985" w:rsidR="00DF6328" w:rsidP="00DF6328" w:rsidRDefault="00DF6328" w14:paraId="75FACEEE" w14:textId="77777777">
      <w:pPr>
        <w:pStyle w:val="BodyTextDSW"/>
        <w:numPr>
          <w:ilvl w:val="0"/>
          <w:numId w:val="5"/>
        </w:numPr>
        <w:tabs>
          <w:tab w:val="clear" w:pos="1080"/>
          <w:tab w:val="num" w:pos="1620"/>
        </w:tabs>
        <w:ind w:left="1627"/>
      </w:pPr>
      <w:r w:rsidRPr="00640839">
        <w:t>Documentation of whether State or local authorities decline to enter into agreement to become more familiar with the generator’s facility and its waste</w:t>
      </w:r>
    </w:p>
    <w:p w:rsidRPr="00262985" w:rsidR="00DF6328" w:rsidP="00DF6328" w:rsidRDefault="00DF6328" w14:paraId="31E16863" w14:textId="77777777">
      <w:pPr>
        <w:pStyle w:val="BodyTextDSW"/>
        <w:numPr>
          <w:ilvl w:val="0"/>
          <w:numId w:val="5"/>
        </w:numPr>
        <w:tabs>
          <w:tab w:val="clear" w:pos="1080"/>
          <w:tab w:val="num" w:pos="1620"/>
        </w:tabs>
        <w:ind w:left="1627"/>
      </w:pPr>
      <w:r w:rsidRPr="00640839">
        <w:t xml:space="preserve">Notification to fire department of imminent or actual </w:t>
      </w:r>
      <w:proofErr w:type="gramStart"/>
      <w:r w:rsidRPr="00640839">
        <w:t>emergency situation</w:t>
      </w:r>
      <w:proofErr w:type="gramEnd"/>
    </w:p>
    <w:p w:rsidRPr="00262985" w:rsidR="00DF6328" w:rsidP="00DF6328" w:rsidRDefault="00DF6328" w14:paraId="2F6E7568" w14:textId="77777777">
      <w:pPr>
        <w:pStyle w:val="BodyTextDSW"/>
        <w:numPr>
          <w:ilvl w:val="0"/>
          <w:numId w:val="5"/>
        </w:numPr>
        <w:tabs>
          <w:tab w:val="clear" w:pos="1080"/>
          <w:tab w:val="num" w:pos="1620"/>
        </w:tabs>
        <w:ind w:left="1627"/>
      </w:pPr>
      <w:r w:rsidRPr="00640839">
        <w:t xml:space="preserve">Emergency report to the on-scene coordinator </w:t>
      </w:r>
      <w:r>
        <w:t xml:space="preserve">(OSC) </w:t>
      </w:r>
      <w:r w:rsidRPr="00640839">
        <w:t xml:space="preserve">or </w:t>
      </w:r>
      <w:r>
        <w:t>National Response Center (</w:t>
      </w:r>
      <w:r w:rsidRPr="00640839">
        <w:t>NRC</w:t>
      </w:r>
      <w:r>
        <w:t>)</w:t>
      </w:r>
      <w:r w:rsidRPr="00640839">
        <w:t>, including:</w:t>
      </w:r>
    </w:p>
    <w:p w:rsidRPr="00965A19" w:rsidR="00DF6328" w:rsidP="00DF6328" w:rsidRDefault="00DF6328" w14:paraId="3B9AEFA6" w14:textId="77777777">
      <w:pPr>
        <w:numPr>
          <w:ilvl w:val="0"/>
          <w:numId w:val="34"/>
        </w:numPr>
        <w:suppressAutoHyphens w:val="0"/>
        <w:autoSpaceDN w:val="0"/>
        <w:adjustRightInd w:val="0"/>
        <w:rPr>
          <w:sz w:val="24"/>
        </w:rPr>
      </w:pPr>
      <w:r w:rsidRPr="00965A19">
        <w:rPr>
          <w:sz w:val="24"/>
        </w:rPr>
        <w:t xml:space="preserve">Name and telephone number of </w:t>
      </w:r>
      <w:proofErr w:type="gramStart"/>
      <w:r w:rsidRPr="00965A19">
        <w:rPr>
          <w:sz w:val="24"/>
        </w:rPr>
        <w:t>reporter;</w:t>
      </w:r>
      <w:proofErr w:type="gramEnd"/>
    </w:p>
    <w:p w:rsidRPr="00965A19" w:rsidR="00DF6328" w:rsidP="00DF6328" w:rsidRDefault="00DF6328" w14:paraId="41E8771D" w14:textId="77777777">
      <w:pPr>
        <w:numPr>
          <w:ilvl w:val="0"/>
          <w:numId w:val="34"/>
        </w:numPr>
        <w:suppressAutoHyphens w:val="0"/>
        <w:autoSpaceDN w:val="0"/>
        <w:adjustRightInd w:val="0"/>
        <w:rPr>
          <w:sz w:val="24"/>
        </w:rPr>
      </w:pPr>
      <w:r w:rsidRPr="00965A19">
        <w:rPr>
          <w:sz w:val="24"/>
        </w:rPr>
        <w:t xml:space="preserve">Name and address of </w:t>
      </w:r>
      <w:proofErr w:type="gramStart"/>
      <w:r w:rsidRPr="00965A19">
        <w:rPr>
          <w:sz w:val="24"/>
        </w:rPr>
        <w:t>facility;</w:t>
      </w:r>
      <w:proofErr w:type="gramEnd"/>
    </w:p>
    <w:p w:rsidRPr="00965A19" w:rsidR="00DF6328" w:rsidP="00DF6328" w:rsidRDefault="00DF6328" w14:paraId="0E2E7C23" w14:textId="77777777">
      <w:pPr>
        <w:numPr>
          <w:ilvl w:val="0"/>
          <w:numId w:val="34"/>
        </w:numPr>
        <w:suppressAutoHyphens w:val="0"/>
        <w:autoSpaceDN w:val="0"/>
        <w:adjustRightInd w:val="0"/>
        <w:rPr>
          <w:sz w:val="24"/>
        </w:rPr>
      </w:pPr>
      <w:r w:rsidRPr="00965A19">
        <w:rPr>
          <w:sz w:val="24"/>
        </w:rPr>
        <w:t xml:space="preserve">Time and type of </w:t>
      </w:r>
      <w:proofErr w:type="gramStart"/>
      <w:r w:rsidRPr="00965A19">
        <w:rPr>
          <w:sz w:val="24"/>
        </w:rPr>
        <w:t>incident;</w:t>
      </w:r>
      <w:proofErr w:type="gramEnd"/>
    </w:p>
    <w:p w:rsidRPr="00965A19" w:rsidR="00DF6328" w:rsidP="00DF6328" w:rsidRDefault="00DF6328" w14:paraId="285D1412" w14:textId="77777777">
      <w:pPr>
        <w:numPr>
          <w:ilvl w:val="0"/>
          <w:numId w:val="34"/>
        </w:numPr>
        <w:suppressAutoHyphens w:val="0"/>
        <w:autoSpaceDN w:val="0"/>
        <w:adjustRightInd w:val="0"/>
        <w:rPr>
          <w:sz w:val="24"/>
        </w:rPr>
      </w:pPr>
      <w:r w:rsidRPr="00965A19">
        <w:rPr>
          <w:sz w:val="24"/>
        </w:rPr>
        <w:t xml:space="preserve">Name and quantity of material(s) </w:t>
      </w:r>
      <w:proofErr w:type="gramStart"/>
      <w:r w:rsidRPr="00965A19">
        <w:rPr>
          <w:sz w:val="24"/>
        </w:rPr>
        <w:t>involved;</w:t>
      </w:r>
      <w:proofErr w:type="gramEnd"/>
    </w:p>
    <w:p w:rsidRPr="00965A19" w:rsidR="00DF6328" w:rsidP="00DF6328" w:rsidRDefault="00DF6328" w14:paraId="15D7C9B6" w14:textId="77777777">
      <w:pPr>
        <w:numPr>
          <w:ilvl w:val="0"/>
          <w:numId w:val="34"/>
        </w:numPr>
        <w:suppressAutoHyphens w:val="0"/>
        <w:autoSpaceDN w:val="0"/>
        <w:adjustRightInd w:val="0"/>
        <w:rPr>
          <w:sz w:val="24"/>
        </w:rPr>
      </w:pPr>
      <w:r w:rsidRPr="00965A19">
        <w:rPr>
          <w:sz w:val="24"/>
        </w:rPr>
        <w:t>The extent of injuries; and</w:t>
      </w:r>
    </w:p>
    <w:p w:rsidRPr="00965A19" w:rsidR="00DF6328" w:rsidP="00DF6328" w:rsidRDefault="00DF6328" w14:paraId="1262166C" w14:textId="77777777">
      <w:pPr>
        <w:numPr>
          <w:ilvl w:val="0"/>
          <w:numId w:val="34"/>
        </w:numPr>
        <w:suppressAutoHyphens w:val="0"/>
        <w:autoSpaceDN w:val="0"/>
        <w:adjustRightInd w:val="0"/>
        <w:rPr>
          <w:sz w:val="24"/>
        </w:rPr>
      </w:pPr>
      <w:r w:rsidRPr="00965A19">
        <w:rPr>
          <w:sz w:val="24"/>
        </w:rPr>
        <w:t>Possible hazards to human health or the environment outside the facility</w:t>
      </w:r>
    </w:p>
    <w:p w:rsidR="00DF6328" w:rsidP="00DF6328" w:rsidRDefault="00DF6328" w14:paraId="5802F5C4" w14:textId="77777777">
      <w:pPr>
        <w:pStyle w:val="BodyTextDSW"/>
        <w:tabs>
          <w:tab w:val="left" w:pos="1260"/>
        </w:tabs>
        <w:spacing w:before="240" w:after="240"/>
        <w:rPr>
          <w:bCs/>
        </w:rPr>
      </w:pPr>
      <w:r>
        <w:rPr>
          <w:bCs/>
        </w:rPr>
        <w:t>(ii)</w:t>
      </w:r>
      <w:r>
        <w:rPr>
          <w:bCs/>
        </w:rPr>
        <w:tab/>
        <w:t>Respondent activities</w:t>
      </w:r>
    </w:p>
    <w:p w:rsidRPr="00262985" w:rsidR="00DF6328" w:rsidP="00DF6328" w:rsidRDefault="00DF6328" w14:paraId="049B3374" w14:textId="77777777">
      <w:pPr>
        <w:pStyle w:val="BodyTextDSW"/>
        <w:numPr>
          <w:ilvl w:val="0"/>
          <w:numId w:val="5"/>
        </w:numPr>
        <w:tabs>
          <w:tab w:val="clear" w:pos="1080"/>
          <w:tab w:val="num" w:pos="1620"/>
        </w:tabs>
        <w:ind w:left="1627"/>
      </w:pPr>
      <w:r w:rsidRPr="00262985">
        <w:t>Collect and maintain the personnel training records as described above</w:t>
      </w:r>
    </w:p>
    <w:p w:rsidRPr="00262985" w:rsidR="00DF6328" w:rsidP="00DF6328" w:rsidRDefault="00DF6328" w14:paraId="5111950C" w14:textId="77777777">
      <w:pPr>
        <w:pStyle w:val="BodyTextDSW"/>
        <w:numPr>
          <w:ilvl w:val="0"/>
          <w:numId w:val="5"/>
        </w:numPr>
        <w:tabs>
          <w:tab w:val="clear" w:pos="1080"/>
          <w:tab w:val="num" w:pos="1620"/>
        </w:tabs>
        <w:ind w:left="1627"/>
      </w:pPr>
      <w:r w:rsidRPr="00262985">
        <w:t>Under contingency planning requirements, generators must:</w:t>
      </w:r>
    </w:p>
    <w:p w:rsidRPr="00965A19" w:rsidR="00DF6328" w:rsidP="00DF6328" w:rsidRDefault="00DF6328" w14:paraId="2A8FD822" w14:textId="77777777">
      <w:pPr>
        <w:numPr>
          <w:ilvl w:val="0"/>
          <w:numId w:val="34"/>
        </w:numPr>
        <w:suppressAutoHyphens w:val="0"/>
        <w:autoSpaceDN w:val="0"/>
        <w:adjustRightInd w:val="0"/>
        <w:rPr>
          <w:sz w:val="24"/>
        </w:rPr>
      </w:pPr>
      <w:r w:rsidRPr="00965A19">
        <w:rPr>
          <w:sz w:val="24"/>
        </w:rPr>
        <w:t xml:space="preserve">Collect data required in contingency </w:t>
      </w:r>
      <w:proofErr w:type="gramStart"/>
      <w:r w:rsidRPr="00965A19">
        <w:rPr>
          <w:sz w:val="24"/>
        </w:rPr>
        <w:t>plan;</w:t>
      </w:r>
      <w:proofErr w:type="gramEnd"/>
    </w:p>
    <w:p w:rsidRPr="00965A19" w:rsidR="00DF6328" w:rsidP="00DF6328" w:rsidRDefault="00DF6328" w14:paraId="6B6363F8" w14:textId="77777777">
      <w:pPr>
        <w:numPr>
          <w:ilvl w:val="0"/>
          <w:numId w:val="34"/>
        </w:numPr>
        <w:suppressAutoHyphens w:val="0"/>
        <w:autoSpaceDN w:val="0"/>
        <w:adjustRightInd w:val="0"/>
        <w:rPr>
          <w:sz w:val="24"/>
        </w:rPr>
      </w:pPr>
      <w:r w:rsidRPr="00965A19">
        <w:rPr>
          <w:sz w:val="24"/>
        </w:rPr>
        <w:t xml:space="preserve">Document whether authorities decline </w:t>
      </w:r>
      <w:proofErr w:type="gramStart"/>
      <w:r w:rsidRPr="00965A19">
        <w:rPr>
          <w:sz w:val="24"/>
        </w:rPr>
        <w:t>arrangement;</w:t>
      </w:r>
      <w:proofErr w:type="gramEnd"/>
    </w:p>
    <w:p w:rsidRPr="00965A19" w:rsidR="00DF6328" w:rsidP="00DF6328" w:rsidRDefault="00DF6328" w14:paraId="5EFF1635" w14:textId="77777777">
      <w:pPr>
        <w:numPr>
          <w:ilvl w:val="0"/>
          <w:numId w:val="34"/>
        </w:numPr>
        <w:suppressAutoHyphens w:val="0"/>
        <w:autoSpaceDN w:val="0"/>
        <w:adjustRightInd w:val="0"/>
        <w:rPr>
          <w:sz w:val="24"/>
        </w:rPr>
      </w:pPr>
      <w:r w:rsidRPr="00965A19">
        <w:rPr>
          <w:sz w:val="24"/>
        </w:rPr>
        <w:t xml:space="preserve">Write contingency </w:t>
      </w:r>
      <w:proofErr w:type="gramStart"/>
      <w:r w:rsidRPr="00965A19">
        <w:rPr>
          <w:sz w:val="24"/>
        </w:rPr>
        <w:t>plan;</w:t>
      </w:r>
      <w:proofErr w:type="gramEnd"/>
      <w:r w:rsidRPr="00965A19">
        <w:rPr>
          <w:sz w:val="24"/>
        </w:rPr>
        <w:t xml:space="preserve"> </w:t>
      </w:r>
    </w:p>
    <w:p w:rsidRPr="00965A19" w:rsidR="00DF6328" w:rsidP="00DF6328" w:rsidRDefault="00DF6328" w14:paraId="7B03C57E" w14:textId="77777777">
      <w:pPr>
        <w:numPr>
          <w:ilvl w:val="0"/>
          <w:numId w:val="34"/>
        </w:numPr>
        <w:suppressAutoHyphens w:val="0"/>
        <w:autoSpaceDN w:val="0"/>
        <w:adjustRightInd w:val="0"/>
        <w:rPr>
          <w:sz w:val="24"/>
        </w:rPr>
      </w:pPr>
      <w:r w:rsidRPr="00965A19">
        <w:rPr>
          <w:sz w:val="24"/>
        </w:rPr>
        <w:lastRenderedPageBreak/>
        <w:t xml:space="preserve">Maintain contingency </w:t>
      </w:r>
      <w:proofErr w:type="gramStart"/>
      <w:r w:rsidRPr="00965A19">
        <w:rPr>
          <w:sz w:val="24"/>
        </w:rPr>
        <w:t>plan;</w:t>
      </w:r>
      <w:proofErr w:type="gramEnd"/>
    </w:p>
    <w:p w:rsidRPr="00965A19" w:rsidR="00DF6328" w:rsidP="00DF6328" w:rsidRDefault="00DF6328" w14:paraId="5ABC7599" w14:textId="77777777">
      <w:pPr>
        <w:numPr>
          <w:ilvl w:val="0"/>
          <w:numId w:val="34"/>
        </w:numPr>
        <w:suppressAutoHyphens w:val="0"/>
        <w:autoSpaceDN w:val="0"/>
        <w:adjustRightInd w:val="0"/>
        <w:rPr>
          <w:sz w:val="24"/>
        </w:rPr>
      </w:pPr>
      <w:r w:rsidRPr="00965A19">
        <w:rPr>
          <w:sz w:val="24"/>
        </w:rPr>
        <w:t>Submit contingency plan to relevant emergency centers; and</w:t>
      </w:r>
    </w:p>
    <w:p w:rsidRPr="00965A19" w:rsidR="00DF6328" w:rsidP="00DF6328" w:rsidRDefault="00DF6328" w14:paraId="0AF84E1F" w14:textId="77777777">
      <w:pPr>
        <w:numPr>
          <w:ilvl w:val="0"/>
          <w:numId w:val="34"/>
        </w:numPr>
        <w:suppressAutoHyphens w:val="0"/>
        <w:autoSpaceDN w:val="0"/>
        <w:adjustRightInd w:val="0"/>
        <w:rPr>
          <w:sz w:val="24"/>
        </w:rPr>
      </w:pPr>
      <w:r w:rsidRPr="00965A19">
        <w:rPr>
          <w:sz w:val="24"/>
        </w:rPr>
        <w:t>Amend contingency plan, when appropriate</w:t>
      </w:r>
    </w:p>
    <w:p w:rsidRPr="00262985" w:rsidR="00DF6328" w:rsidP="00DF6328" w:rsidRDefault="00DF6328" w14:paraId="72D99F13" w14:textId="77777777">
      <w:pPr>
        <w:pStyle w:val="BodyTextDSW"/>
        <w:numPr>
          <w:ilvl w:val="0"/>
          <w:numId w:val="5"/>
        </w:numPr>
        <w:tabs>
          <w:tab w:val="clear" w:pos="1080"/>
          <w:tab w:val="num" w:pos="1620"/>
        </w:tabs>
        <w:ind w:left="1627"/>
      </w:pPr>
      <w:r w:rsidRPr="00262985">
        <w:t>Under emergency procedure requirements, generators accumulating less than 6,000 kg of hazardous secondary material must:</w:t>
      </w:r>
    </w:p>
    <w:p w:rsidRPr="00965A19" w:rsidR="00DF6328" w:rsidP="00DF6328" w:rsidRDefault="00DF6328" w14:paraId="21B8955D" w14:textId="77777777">
      <w:pPr>
        <w:numPr>
          <w:ilvl w:val="0"/>
          <w:numId w:val="34"/>
        </w:numPr>
        <w:suppressAutoHyphens w:val="0"/>
        <w:autoSpaceDN w:val="0"/>
        <w:adjustRightInd w:val="0"/>
        <w:rPr>
          <w:sz w:val="24"/>
        </w:rPr>
      </w:pPr>
      <w:r w:rsidRPr="00965A19">
        <w:rPr>
          <w:sz w:val="24"/>
        </w:rPr>
        <w:t xml:space="preserve">Observe scene of hazardous waste </w:t>
      </w:r>
      <w:proofErr w:type="gramStart"/>
      <w:r w:rsidRPr="00965A19">
        <w:rPr>
          <w:sz w:val="24"/>
        </w:rPr>
        <w:t>discharge;</w:t>
      </w:r>
      <w:proofErr w:type="gramEnd"/>
    </w:p>
    <w:p w:rsidRPr="00965A19" w:rsidR="00DF6328" w:rsidP="00DF6328" w:rsidRDefault="00DF6328" w14:paraId="4146D532" w14:textId="77777777">
      <w:pPr>
        <w:numPr>
          <w:ilvl w:val="0"/>
          <w:numId w:val="34"/>
        </w:numPr>
        <w:suppressAutoHyphens w:val="0"/>
        <w:autoSpaceDN w:val="0"/>
        <w:adjustRightInd w:val="0"/>
        <w:rPr>
          <w:sz w:val="24"/>
        </w:rPr>
      </w:pPr>
      <w:r w:rsidRPr="00965A19">
        <w:rPr>
          <w:sz w:val="24"/>
        </w:rPr>
        <w:t xml:space="preserve">Report by phone requested data for </w:t>
      </w:r>
      <w:proofErr w:type="gramStart"/>
      <w:r w:rsidRPr="00965A19">
        <w:rPr>
          <w:sz w:val="24"/>
        </w:rPr>
        <w:t>NRC;</w:t>
      </w:r>
      <w:proofErr w:type="gramEnd"/>
    </w:p>
    <w:p w:rsidRPr="00965A19" w:rsidR="00DF6328" w:rsidP="00DF6328" w:rsidRDefault="00DF6328" w14:paraId="556DB2C8" w14:textId="77777777">
      <w:pPr>
        <w:numPr>
          <w:ilvl w:val="0"/>
          <w:numId w:val="34"/>
        </w:numPr>
        <w:suppressAutoHyphens w:val="0"/>
        <w:autoSpaceDN w:val="0"/>
        <w:adjustRightInd w:val="0"/>
        <w:rPr>
          <w:sz w:val="24"/>
        </w:rPr>
      </w:pPr>
      <w:r w:rsidRPr="00965A19">
        <w:rPr>
          <w:sz w:val="24"/>
        </w:rPr>
        <w:t xml:space="preserve">Document that local officials </w:t>
      </w:r>
      <w:proofErr w:type="gramStart"/>
      <w:r w:rsidRPr="00965A19">
        <w:rPr>
          <w:sz w:val="24"/>
        </w:rPr>
        <w:t>declines</w:t>
      </w:r>
      <w:proofErr w:type="gramEnd"/>
      <w:r w:rsidRPr="00965A19">
        <w:rPr>
          <w:sz w:val="24"/>
        </w:rPr>
        <w:t xml:space="preserve"> to enter into arrangements for coordinating response; and </w:t>
      </w:r>
    </w:p>
    <w:p w:rsidRPr="00965A19" w:rsidR="00DF6328" w:rsidP="00DF6328" w:rsidRDefault="00DF6328" w14:paraId="6C7097C4" w14:textId="77777777">
      <w:pPr>
        <w:numPr>
          <w:ilvl w:val="0"/>
          <w:numId w:val="34"/>
        </w:numPr>
        <w:suppressAutoHyphens w:val="0"/>
        <w:autoSpaceDN w:val="0"/>
        <w:adjustRightInd w:val="0"/>
        <w:rPr>
          <w:sz w:val="24"/>
        </w:rPr>
      </w:pPr>
      <w:r w:rsidRPr="00965A19">
        <w:rPr>
          <w:sz w:val="24"/>
        </w:rPr>
        <w:t>Providing post-emergency information by phone</w:t>
      </w:r>
    </w:p>
    <w:p w:rsidRPr="00262985" w:rsidR="00DF6328" w:rsidP="00DF6328" w:rsidRDefault="00DF6328" w14:paraId="367B36BC" w14:textId="77777777">
      <w:pPr>
        <w:pStyle w:val="BodyTextDSW"/>
        <w:numPr>
          <w:ilvl w:val="0"/>
          <w:numId w:val="5"/>
        </w:numPr>
        <w:tabs>
          <w:tab w:val="clear" w:pos="1080"/>
          <w:tab w:val="num" w:pos="1620"/>
        </w:tabs>
        <w:ind w:left="1627"/>
      </w:pPr>
      <w:r w:rsidRPr="00262985">
        <w:t>Under emergency procedure requirements, generators accumulating more than 6,000 kg of hazardous secondary material must:</w:t>
      </w:r>
    </w:p>
    <w:p w:rsidRPr="00965A19" w:rsidR="00DF6328" w:rsidP="00DF6328" w:rsidRDefault="00DF6328" w14:paraId="2FEF9FF1" w14:textId="77777777">
      <w:pPr>
        <w:numPr>
          <w:ilvl w:val="0"/>
          <w:numId w:val="34"/>
        </w:numPr>
        <w:suppressAutoHyphens w:val="0"/>
        <w:autoSpaceDN w:val="0"/>
        <w:adjustRightInd w:val="0"/>
        <w:rPr>
          <w:sz w:val="24"/>
        </w:rPr>
      </w:pPr>
      <w:r w:rsidRPr="00965A19">
        <w:rPr>
          <w:sz w:val="24"/>
        </w:rPr>
        <w:t xml:space="preserve">Collect information required in emergency </w:t>
      </w:r>
      <w:proofErr w:type="gramStart"/>
      <w:r w:rsidRPr="00965A19">
        <w:rPr>
          <w:sz w:val="24"/>
        </w:rPr>
        <w:t>report;</w:t>
      </w:r>
      <w:proofErr w:type="gramEnd"/>
    </w:p>
    <w:p w:rsidRPr="00965A19" w:rsidR="00DF6328" w:rsidP="00DF6328" w:rsidRDefault="00DF6328" w14:paraId="16D7ABA2" w14:textId="77777777">
      <w:pPr>
        <w:numPr>
          <w:ilvl w:val="0"/>
          <w:numId w:val="34"/>
        </w:numPr>
        <w:suppressAutoHyphens w:val="0"/>
        <w:autoSpaceDN w:val="0"/>
        <w:adjustRightInd w:val="0"/>
        <w:rPr>
          <w:sz w:val="24"/>
        </w:rPr>
      </w:pPr>
      <w:r w:rsidRPr="00965A19">
        <w:rPr>
          <w:sz w:val="24"/>
        </w:rPr>
        <w:t>Write emergency report; and</w:t>
      </w:r>
    </w:p>
    <w:p w:rsidRPr="00965A19" w:rsidR="00DF6328" w:rsidP="00DF6328" w:rsidRDefault="00DF6328" w14:paraId="6AE0197A" w14:textId="77777777">
      <w:pPr>
        <w:numPr>
          <w:ilvl w:val="0"/>
          <w:numId w:val="34"/>
        </w:numPr>
        <w:suppressAutoHyphens w:val="0"/>
        <w:autoSpaceDN w:val="0"/>
        <w:adjustRightInd w:val="0"/>
        <w:rPr>
          <w:sz w:val="24"/>
        </w:rPr>
      </w:pPr>
      <w:r w:rsidRPr="00965A19">
        <w:rPr>
          <w:sz w:val="24"/>
        </w:rPr>
        <w:t xml:space="preserve">Call OSC or notify NRC; notify local authorities if advisable </w:t>
      </w:r>
    </w:p>
    <w:p w:rsidRPr="00965A19" w:rsidR="00DF6328" w:rsidP="00DF6328" w:rsidRDefault="00DF6328" w14:paraId="323E3CEE" w14:textId="77777777">
      <w:pPr>
        <w:pStyle w:val="BodyTextDSW"/>
        <w:keepNext/>
        <w:numPr>
          <w:ilvl w:val="0"/>
          <w:numId w:val="38"/>
        </w:numPr>
        <w:spacing w:before="240" w:after="240"/>
        <w:ind w:left="540" w:hanging="540"/>
        <w:rPr>
          <w:b/>
          <w:bCs/>
        </w:rPr>
      </w:pPr>
      <w:r w:rsidRPr="00965A19">
        <w:rPr>
          <w:b/>
          <w:bCs/>
        </w:rPr>
        <w:t>Reasonable Efforts</w:t>
      </w:r>
    </w:p>
    <w:p w:rsidR="00DF6328" w:rsidP="00DF6328" w:rsidRDefault="00DF6328" w14:paraId="18B4479C" w14:textId="77777777">
      <w:pPr>
        <w:pStyle w:val="BodyTextDSW"/>
        <w:keepNext/>
        <w:tabs>
          <w:tab w:val="left" w:pos="1260"/>
        </w:tabs>
        <w:spacing w:before="240" w:after="240"/>
        <w:rPr>
          <w:bCs/>
        </w:rPr>
      </w:pPr>
      <w:r>
        <w:rPr>
          <w:bCs/>
        </w:rPr>
        <w:t>(</w:t>
      </w:r>
      <w:proofErr w:type="spellStart"/>
      <w:r>
        <w:rPr>
          <w:bCs/>
        </w:rPr>
        <w:t>i</w:t>
      </w:r>
      <w:proofErr w:type="spellEnd"/>
      <w:r>
        <w:rPr>
          <w:bCs/>
        </w:rPr>
        <w:t>)</w:t>
      </w:r>
      <w:r>
        <w:rPr>
          <w:bCs/>
        </w:rPr>
        <w:tab/>
        <w:t>Data items</w:t>
      </w:r>
    </w:p>
    <w:p w:rsidR="00DF6328" w:rsidP="00DF6328" w:rsidRDefault="00DF6328" w14:paraId="572BFAA5" w14:textId="77777777">
      <w:pPr>
        <w:pStyle w:val="BodyTextDSW"/>
        <w:numPr>
          <w:ilvl w:val="0"/>
          <w:numId w:val="26"/>
        </w:numPr>
      </w:pPr>
      <w:r>
        <w:t xml:space="preserve">Documentation and certification that is available upon request by a regulatory authority within 72 hours, or within a longer </w:t>
      </w:r>
      <w:proofErr w:type="gramStart"/>
      <w:r>
        <w:t>period of time</w:t>
      </w:r>
      <w:proofErr w:type="gramEnd"/>
      <w:r>
        <w:t xml:space="preserve"> as specified by the regulatory authority</w:t>
      </w:r>
    </w:p>
    <w:p w:rsidR="00DF6328" w:rsidP="00DF6328" w:rsidRDefault="00DF6328" w14:paraId="4D3B7703" w14:textId="77777777">
      <w:pPr>
        <w:pStyle w:val="BodyTextDSW"/>
        <w:tabs>
          <w:tab w:val="left" w:pos="1260"/>
        </w:tabs>
        <w:spacing w:before="240" w:after="240"/>
        <w:rPr>
          <w:bCs/>
        </w:rPr>
      </w:pPr>
      <w:r>
        <w:rPr>
          <w:bCs/>
        </w:rPr>
        <w:t>(ii)</w:t>
      </w:r>
      <w:r>
        <w:rPr>
          <w:bCs/>
        </w:rPr>
        <w:tab/>
        <w:t>Respondent activities</w:t>
      </w:r>
    </w:p>
    <w:p w:rsidR="00DF6328" w:rsidP="00DF6328" w:rsidRDefault="00DF6328" w14:paraId="7D519D94" w14:textId="77777777">
      <w:pPr>
        <w:pStyle w:val="BodyTextDSW"/>
        <w:numPr>
          <w:ilvl w:val="0"/>
          <w:numId w:val="26"/>
        </w:numPr>
      </w:pPr>
      <w:r w:rsidRPr="00CC5E5B">
        <w:t>Conduct reasonable efforts for intermediate facilities and reclaimers and prepare certification statement using outside vendor</w:t>
      </w:r>
    </w:p>
    <w:p w:rsidR="00DF6328" w:rsidP="00DF6328" w:rsidRDefault="00DF6328" w14:paraId="3F1741C2" w14:textId="77777777">
      <w:pPr>
        <w:pStyle w:val="BodyTextDSW"/>
        <w:numPr>
          <w:ilvl w:val="0"/>
          <w:numId w:val="26"/>
        </w:numPr>
      </w:pPr>
      <w:r>
        <w:t>Maintain for a minimum of three years documentation and certification that reasonable efforts were made as specified</w:t>
      </w:r>
    </w:p>
    <w:p w:rsidRPr="008A60C1" w:rsidR="00DA023F" w:rsidP="008A60C1" w:rsidRDefault="00DA023F" w14:paraId="7A428737" w14:textId="77777777">
      <w:pPr>
        <w:pStyle w:val="BodyTextDSW"/>
        <w:keepNext/>
        <w:numPr>
          <w:ilvl w:val="0"/>
          <w:numId w:val="38"/>
        </w:numPr>
        <w:spacing w:before="240" w:after="240"/>
        <w:ind w:left="540" w:hanging="540"/>
        <w:rPr>
          <w:b/>
          <w:bCs/>
        </w:rPr>
      </w:pPr>
      <w:r w:rsidRPr="008A60C1">
        <w:rPr>
          <w:b/>
          <w:bCs/>
        </w:rPr>
        <w:t>Financial Assurance</w:t>
      </w:r>
    </w:p>
    <w:p w:rsidR="00EB2F29" w:rsidRDefault="00EB2F29" w14:paraId="654A3DB8" w14:textId="77777777">
      <w:pPr>
        <w:pStyle w:val="BodyTextDSW"/>
        <w:keepNext/>
      </w:pPr>
      <w:r>
        <w:t xml:space="preserve">An owner or operator of a reclamation or intermediate facility must have financial assurance as a condition of the exclusion, choosing from the options as specified in </w:t>
      </w:r>
      <w:r w:rsidR="00B338AC">
        <w:t xml:space="preserve">40 CFR </w:t>
      </w:r>
      <w:r>
        <w:t>261.143(a) through (e)</w:t>
      </w:r>
      <w:r w:rsidR="00673449">
        <w:t xml:space="preserve">: trust fund, </w:t>
      </w:r>
      <w:r w:rsidRPr="00673449" w:rsidR="00673449">
        <w:t>surety bond guaranteeing payment into a trust fund</w:t>
      </w:r>
      <w:r w:rsidR="00673449">
        <w:t>, letter of credit, insurance, and financial test and corporate guarantee</w:t>
      </w:r>
      <w:r>
        <w:t>.</w:t>
      </w:r>
    </w:p>
    <w:p w:rsidRPr="008A60C1" w:rsidR="00EE6EBC" w:rsidP="00C90850" w:rsidRDefault="00EB2F29" w14:paraId="6C2E95AE" w14:textId="77777777">
      <w:pPr>
        <w:keepNext/>
        <w:widowControl/>
        <w:spacing w:before="240" w:after="240"/>
        <w:ind w:left="720"/>
        <w:rPr>
          <w:sz w:val="24"/>
          <w:u w:val="single"/>
        </w:rPr>
      </w:pPr>
      <w:r w:rsidRPr="008A60C1">
        <w:rPr>
          <w:sz w:val="24"/>
          <w:u w:val="single"/>
        </w:rPr>
        <w:t>Trust Fund</w:t>
      </w:r>
    </w:p>
    <w:p w:rsidR="009813E8" w:rsidP="00C90850" w:rsidRDefault="009813E8" w14:paraId="52312C3F" w14:textId="77777777">
      <w:pPr>
        <w:pStyle w:val="BodyTextDSW"/>
        <w:keepNext/>
        <w:tabs>
          <w:tab w:val="left" w:pos="1260"/>
        </w:tabs>
        <w:spacing w:before="240" w:after="240"/>
        <w:rPr>
          <w:bCs/>
        </w:rPr>
      </w:pPr>
      <w:r>
        <w:rPr>
          <w:bCs/>
        </w:rPr>
        <w:t>(</w:t>
      </w:r>
      <w:proofErr w:type="spellStart"/>
      <w:r>
        <w:rPr>
          <w:bCs/>
        </w:rPr>
        <w:t>i</w:t>
      </w:r>
      <w:proofErr w:type="spellEnd"/>
      <w:r>
        <w:rPr>
          <w:bCs/>
        </w:rPr>
        <w:t>)</w:t>
      </w:r>
      <w:r>
        <w:rPr>
          <w:bCs/>
        </w:rPr>
        <w:tab/>
        <w:t>Data items</w:t>
      </w:r>
    </w:p>
    <w:p w:rsidR="00EB2F29" w:rsidP="008A60C1" w:rsidRDefault="00EB2F29" w14:paraId="437B466D" w14:textId="77777777">
      <w:pPr>
        <w:pStyle w:val="BodyTextDSW"/>
        <w:numPr>
          <w:ilvl w:val="0"/>
          <w:numId w:val="5"/>
        </w:numPr>
        <w:tabs>
          <w:tab w:val="clear" w:pos="1080"/>
          <w:tab w:val="num" w:pos="1620"/>
        </w:tabs>
        <w:ind w:left="1627"/>
      </w:pPr>
      <w:r>
        <w:t xml:space="preserve">An originally signed duplicate of a trust agreement whose wording is identical to the wording specified in </w:t>
      </w:r>
      <w:r w:rsidR="00B338AC">
        <w:t xml:space="preserve">40 CFR </w:t>
      </w:r>
      <w:r>
        <w:t>261.151(a)(1).</w:t>
      </w:r>
    </w:p>
    <w:p w:rsidR="00EB2F29" w:rsidP="008A60C1" w:rsidRDefault="00EB2F29" w14:paraId="6B499FC2" w14:textId="77777777">
      <w:pPr>
        <w:pStyle w:val="BodyTextDSW"/>
        <w:numPr>
          <w:ilvl w:val="0"/>
          <w:numId w:val="5"/>
        </w:numPr>
        <w:tabs>
          <w:tab w:val="clear" w:pos="1080"/>
          <w:tab w:val="num" w:pos="1620"/>
        </w:tabs>
        <w:ind w:left="1627"/>
      </w:pPr>
      <w:r>
        <w:lastRenderedPageBreak/>
        <w:t xml:space="preserve">A formal certification of acknowledgment, as required under </w:t>
      </w:r>
      <w:r w:rsidR="00B338AC">
        <w:t xml:space="preserve">40 CFR </w:t>
      </w:r>
      <w:r>
        <w:t xml:space="preserve">261.143(a)(2).  </w:t>
      </w:r>
    </w:p>
    <w:p w:rsidR="00EB2F29" w:rsidP="008A60C1" w:rsidRDefault="00EB2F29" w14:paraId="0282BF5B" w14:textId="77777777">
      <w:pPr>
        <w:pStyle w:val="BodyTextDSW"/>
        <w:numPr>
          <w:ilvl w:val="0"/>
          <w:numId w:val="5"/>
        </w:numPr>
        <w:tabs>
          <w:tab w:val="clear" w:pos="1080"/>
          <w:tab w:val="num" w:pos="1620"/>
        </w:tabs>
        <w:ind w:left="1627"/>
      </w:pPr>
      <w:r>
        <w:t xml:space="preserve">Update of Schedule A of the trust agreement, as required under </w:t>
      </w:r>
      <w:r w:rsidR="00B338AC">
        <w:t xml:space="preserve">40 CFR </w:t>
      </w:r>
      <w:r>
        <w:t xml:space="preserve">261.143(a)(2). </w:t>
      </w:r>
    </w:p>
    <w:p w:rsidR="00EB2F29" w:rsidP="008A60C1" w:rsidRDefault="00EB2F29" w14:paraId="6CF3AC7F" w14:textId="77777777">
      <w:pPr>
        <w:pStyle w:val="BodyTextDSW"/>
        <w:numPr>
          <w:ilvl w:val="0"/>
          <w:numId w:val="5"/>
        </w:numPr>
        <w:tabs>
          <w:tab w:val="clear" w:pos="1080"/>
          <w:tab w:val="num" w:pos="1620"/>
        </w:tabs>
        <w:ind w:left="1627"/>
      </w:pPr>
      <w:r>
        <w:t xml:space="preserve">A written request under </w:t>
      </w:r>
      <w:r w:rsidR="00B338AC">
        <w:t xml:space="preserve">40 CFR </w:t>
      </w:r>
      <w:r>
        <w:t xml:space="preserve">261.143(a)(5) to the Regional Administrator for release of the amount </w:t>
      </w:r>
      <w:proofErr w:type="gramStart"/>
      <w:r>
        <w:t>in excess of</w:t>
      </w:r>
      <w:proofErr w:type="gramEnd"/>
      <w:r>
        <w:t xml:space="preserve"> the current cost estimate, if the value of the trust fund is greater than the total amount of the current cost estimate.</w:t>
      </w:r>
    </w:p>
    <w:p w:rsidR="00EB2F29" w:rsidP="008A60C1" w:rsidRDefault="00EB2F29" w14:paraId="5B2D64F2" w14:textId="77777777">
      <w:pPr>
        <w:pStyle w:val="BodyTextDSW"/>
        <w:keepLines/>
        <w:numPr>
          <w:ilvl w:val="0"/>
          <w:numId w:val="5"/>
        </w:numPr>
        <w:tabs>
          <w:tab w:val="clear" w:pos="1080"/>
          <w:tab w:val="num" w:pos="1620"/>
        </w:tabs>
        <w:ind w:left="1627"/>
      </w:pPr>
      <w:r>
        <w:t xml:space="preserve">A written request under </w:t>
      </w:r>
      <w:r w:rsidR="00FE1234">
        <w:t xml:space="preserve">40 CFR </w:t>
      </w:r>
      <w:r>
        <w:t xml:space="preserve">261.143(a)(6) to the Regional Administrator for release of the amount </w:t>
      </w:r>
      <w:proofErr w:type="gramStart"/>
      <w:r>
        <w:t>in excess of</w:t>
      </w:r>
      <w:proofErr w:type="gramEnd"/>
      <w:r>
        <w:t xml:space="preserve"> the current cost estimate covered by the trust fund, if the owner or operator substitutes other financial assurance as specified in this section for all or part of the trust fund.</w:t>
      </w:r>
    </w:p>
    <w:p w:rsidR="00EB2F29" w:rsidP="00FB09F7" w:rsidRDefault="00EB2F29" w14:paraId="77867C8A" w14:textId="77777777">
      <w:pPr>
        <w:pStyle w:val="BodyTextDSW"/>
        <w:numPr>
          <w:ilvl w:val="0"/>
          <w:numId w:val="5"/>
        </w:numPr>
        <w:tabs>
          <w:tab w:val="clear" w:pos="1080"/>
          <w:tab w:val="num" w:pos="1620"/>
        </w:tabs>
        <w:ind w:left="1627"/>
      </w:pPr>
      <w:r>
        <w:t xml:space="preserve">A request for reimbursements under </w:t>
      </w:r>
      <w:r w:rsidR="00FE1234">
        <w:t xml:space="preserve">40 CFR </w:t>
      </w:r>
      <w:r>
        <w:t>261.143(a)(7) for partial or final closure expenditures, including itemized bills, to the Regional Administrator.</w:t>
      </w:r>
    </w:p>
    <w:p w:rsidR="00145FE4" w:rsidP="00FB09F7" w:rsidRDefault="00145FE4" w14:paraId="7D64B829" w14:textId="77777777">
      <w:pPr>
        <w:pStyle w:val="BodyTextDSW"/>
        <w:tabs>
          <w:tab w:val="left" w:pos="1260"/>
        </w:tabs>
        <w:spacing w:before="240" w:after="240"/>
        <w:rPr>
          <w:bCs/>
        </w:rPr>
      </w:pPr>
      <w:r>
        <w:rPr>
          <w:bCs/>
        </w:rPr>
        <w:t>(ii)</w:t>
      </w:r>
      <w:r>
        <w:rPr>
          <w:bCs/>
        </w:rPr>
        <w:tab/>
        <w:t>Respondent activities</w:t>
      </w:r>
    </w:p>
    <w:p w:rsidR="00EB2F29" w:rsidP="00FB09F7" w:rsidRDefault="00EB2F29" w14:paraId="1BF9EAD1" w14:textId="77777777">
      <w:pPr>
        <w:pStyle w:val="BodyTextDSW"/>
        <w:numPr>
          <w:ilvl w:val="0"/>
          <w:numId w:val="5"/>
        </w:numPr>
        <w:tabs>
          <w:tab w:val="clear" w:pos="1080"/>
          <w:tab w:val="num" w:pos="1620"/>
        </w:tabs>
        <w:ind w:left="1627"/>
      </w:pPr>
      <w:r>
        <w:t>The owner/operator must perform the following activities:</w:t>
      </w:r>
    </w:p>
    <w:p w:rsidR="00EB2F29" w:rsidP="00FB09F7" w:rsidRDefault="00EB2F29" w14:paraId="5DB21962" w14:textId="77777777">
      <w:pPr>
        <w:numPr>
          <w:ilvl w:val="0"/>
          <w:numId w:val="34"/>
        </w:numPr>
        <w:suppressAutoHyphens w:val="0"/>
        <w:autoSpaceDN w:val="0"/>
        <w:adjustRightInd w:val="0"/>
        <w:rPr>
          <w:sz w:val="24"/>
        </w:rPr>
      </w:pPr>
      <w:r>
        <w:rPr>
          <w:sz w:val="24"/>
        </w:rPr>
        <w:t>Prepare and submit an originally signed duplicate of the trust agreement and formal certification of acknowledgement to EPA.</w:t>
      </w:r>
    </w:p>
    <w:p w:rsidR="00EB2F29" w:rsidP="00FB09F7" w:rsidRDefault="00EB2F29" w14:paraId="1484AD0E" w14:textId="77777777">
      <w:pPr>
        <w:numPr>
          <w:ilvl w:val="0"/>
          <w:numId w:val="34"/>
        </w:numPr>
        <w:suppressAutoHyphens w:val="0"/>
        <w:autoSpaceDN w:val="0"/>
        <w:adjustRightInd w:val="0"/>
        <w:rPr>
          <w:sz w:val="24"/>
        </w:rPr>
      </w:pPr>
      <w:r>
        <w:rPr>
          <w:sz w:val="24"/>
        </w:rPr>
        <w:t>Update Schedule A of the trust agreement, as specified.</w:t>
      </w:r>
    </w:p>
    <w:p w:rsidR="00EB2F29" w:rsidP="00FB09F7" w:rsidRDefault="00EB2F29" w14:paraId="40EFAD81" w14:textId="77777777">
      <w:pPr>
        <w:numPr>
          <w:ilvl w:val="0"/>
          <w:numId w:val="34"/>
        </w:numPr>
        <w:suppressAutoHyphens w:val="0"/>
        <w:autoSpaceDN w:val="0"/>
        <w:adjustRightInd w:val="0"/>
        <w:rPr>
          <w:sz w:val="24"/>
        </w:rPr>
      </w:pPr>
      <w:r>
        <w:rPr>
          <w:sz w:val="24"/>
        </w:rPr>
        <w:t>Whenever the current cost estimate changes:</w:t>
      </w:r>
    </w:p>
    <w:p w:rsidR="00EB2F29" w:rsidP="00FB09F7" w:rsidRDefault="00EB2F29" w14:paraId="45E00947" w14:textId="77777777">
      <w:pPr>
        <w:numPr>
          <w:ilvl w:val="0"/>
          <w:numId w:val="24"/>
        </w:numPr>
        <w:tabs>
          <w:tab w:val="left" w:pos="2340"/>
        </w:tabs>
        <w:ind w:left="2340"/>
        <w:rPr>
          <w:sz w:val="24"/>
        </w:rPr>
      </w:pPr>
      <w:r>
        <w:rPr>
          <w:sz w:val="24"/>
        </w:rPr>
        <w:t>Compare the new estimate with the trustee's most recent annual valuation of the trust fund; and</w:t>
      </w:r>
    </w:p>
    <w:p w:rsidR="00EB2F29" w:rsidP="00FB09F7" w:rsidRDefault="00EB2F29" w14:paraId="3ED0B359" w14:textId="77777777">
      <w:pPr>
        <w:numPr>
          <w:ilvl w:val="0"/>
          <w:numId w:val="24"/>
        </w:numPr>
        <w:tabs>
          <w:tab w:val="left" w:pos="2340"/>
        </w:tabs>
        <w:ind w:left="2340"/>
        <w:rPr>
          <w:sz w:val="24"/>
        </w:rPr>
      </w:pPr>
      <w:r>
        <w:rPr>
          <w:sz w:val="24"/>
        </w:rPr>
        <w:t>If the value of the fund is less than the amount of the new estimate, obtain other financial assurance to cover the difference, unless a deposit has been made as specified.</w:t>
      </w:r>
    </w:p>
    <w:p w:rsidR="00EB2F29" w:rsidP="00FB09F7" w:rsidRDefault="003B67E3" w14:paraId="677D2CE7" w14:textId="77777777">
      <w:pPr>
        <w:numPr>
          <w:ilvl w:val="0"/>
          <w:numId w:val="34"/>
        </w:numPr>
        <w:suppressAutoHyphens w:val="0"/>
        <w:autoSpaceDN w:val="0"/>
        <w:adjustRightInd w:val="0"/>
        <w:rPr>
          <w:sz w:val="24"/>
        </w:rPr>
      </w:pPr>
      <w:r>
        <w:rPr>
          <w:sz w:val="24"/>
        </w:rPr>
        <w:t>I</w:t>
      </w:r>
      <w:r w:rsidR="00EB2F29">
        <w:rPr>
          <w:sz w:val="24"/>
        </w:rPr>
        <w:t xml:space="preserve">f the value of the trust fund is greater than the total amount of the current cost estimate, submit a written request to the Regional Administrator for release of the amount </w:t>
      </w:r>
      <w:proofErr w:type="gramStart"/>
      <w:r w:rsidR="00EB2F29">
        <w:rPr>
          <w:sz w:val="24"/>
        </w:rPr>
        <w:t>in excess of</w:t>
      </w:r>
      <w:proofErr w:type="gramEnd"/>
      <w:r w:rsidR="00EB2F29">
        <w:rPr>
          <w:sz w:val="24"/>
        </w:rPr>
        <w:t xml:space="preserve"> the current cost estimate.</w:t>
      </w:r>
    </w:p>
    <w:p w:rsidR="00EB2F29" w:rsidP="00FB09F7" w:rsidRDefault="00EB2F29" w14:paraId="48309660" w14:textId="77777777">
      <w:pPr>
        <w:numPr>
          <w:ilvl w:val="0"/>
          <w:numId w:val="34"/>
        </w:numPr>
        <w:suppressAutoHyphens w:val="0"/>
        <w:autoSpaceDN w:val="0"/>
        <w:adjustRightInd w:val="0"/>
        <w:rPr>
          <w:sz w:val="24"/>
        </w:rPr>
      </w:pPr>
      <w:r>
        <w:rPr>
          <w:sz w:val="24"/>
        </w:rPr>
        <w:t xml:space="preserve">If the owner or operator substitutes other financial assurance as specified in this section for all or part of the trust fund, submit a written request to the Regional Administrator for release of the amount </w:t>
      </w:r>
      <w:proofErr w:type="gramStart"/>
      <w:r>
        <w:rPr>
          <w:sz w:val="24"/>
        </w:rPr>
        <w:t>in excess of</w:t>
      </w:r>
      <w:proofErr w:type="gramEnd"/>
      <w:r>
        <w:rPr>
          <w:sz w:val="24"/>
        </w:rPr>
        <w:t xml:space="preserve"> the current cost estimate covered by the trust fund.</w:t>
      </w:r>
    </w:p>
    <w:p w:rsidR="00EB2F29" w:rsidP="00FB09F7" w:rsidRDefault="00EB2F29" w14:paraId="0B05AF67" w14:textId="77777777">
      <w:pPr>
        <w:numPr>
          <w:ilvl w:val="0"/>
          <w:numId w:val="34"/>
        </w:numPr>
        <w:suppressAutoHyphens w:val="0"/>
        <w:autoSpaceDN w:val="0"/>
        <w:adjustRightInd w:val="0"/>
        <w:rPr>
          <w:sz w:val="24"/>
        </w:rPr>
      </w:pPr>
      <w:r>
        <w:rPr>
          <w:sz w:val="24"/>
        </w:rPr>
        <w:t>Submit a request for reimbursements, if applicable.</w:t>
      </w:r>
    </w:p>
    <w:p w:rsidR="00EB2F29" w:rsidP="00FB09F7" w:rsidRDefault="00EB2F29" w14:paraId="7426C3AD" w14:textId="77777777">
      <w:pPr>
        <w:pStyle w:val="BodyTextDSW"/>
        <w:numPr>
          <w:ilvl w:val="0"/>
          <w:numId w:val="5"/>
        </w:numPr>
        <w:tabs>
          <w:tab w:val="clear" w:pos="1080"/>
          <w:tab w:val="num" w:pos="1620"/>
        </w:tabs>
        <w:ind w:left="1627"/>
      </w:pPr>
      <w:r>
        <w:t>The grantor (owner/operator) and trustee must comply with the terms of the trust agreement.</w:t>
      </w:r>
    </w:p>
    <w:p w:rsidRPr="00FB09F7" w:rsidR="00EB2F29" w:rsidP="00FB09F7" w:rsidRDefault="00EB2F29" w14:paraId="0E2DCC12" w14:textId="77777777">
      <w:pPr>
        <w:spacing w:before="240" w:after="240"/>
        <w:ind w:left="720"/>
        <w:rPr>
          <w:sz w:val="24"/>
          <w:u w:val="single"/>
        </w:rPr>
      </w:pPr>
      <w:r w:rsidRPr="00FB09F7">
        <w:rPr>
          <w:sz w:val="24"/>
          <w:u w:val="single"/>
        </w:rPr>
        <w:t>Surety Bond Guaranteeing Payment into a Trust Fund</w:t>
      </w:r>
    </w:p>
    <w:p w:rsidR="009813E8" w:rsidP="00FB09F7" w:rsidRDefault="009813E8" w14:paraId="0DFA8AB6" w14:textId="77777777">
      <w:pPr>
        <w:pStyle w:val="BodyTextDSW"/>
        <w:tabs>
          <w:tab w:val="left" w:pos="1260"/>
        </w:tabs>
        <w:spacing w:before="240" w:after="240"/>
        <w:rPr>
          <w:bCs/>
        </w:rPr>
      </w:pPr>
      <w:r>
        <w:rPr>
          <w:bCs/>
        </w:rPr>
        <w:t>(</w:t>
      </w:r>
      <w:proofErr w:type="spellStart"/>
      <w:r>
        <w:rPr>
          <w:bCs/>
        </w:rPr>
        <w:t>i</w:t>
      </w:r>
      <w:proofErr w:type="spellEnd"/>
      <w:r>
        <w:rPr>
          <w:bCs/>
        </w:rPr>
        <w:t>)</w:t>
      </w:r>
      <w:r>
        <w:rPr>
          <w:bCs/>
        </w:rPr>
        <w:tab/>
        <w:t>Data items</w:t>
      </w:r>
    </w:p>
    <w:p w:rsidR="00EB2F29" w:rsidP="00FB09F7" w:rsidRDefault="00EB2F29" w14:paraId="5FA8161F" w14:textId="77777777">
      <w:pPr>
        <w:pStyle w:val="BodyTextDSW"/>
        <w:numPr>
          <w:ilvl w:val="0"/>
          <w:numId w:val="5"/>
        </w:numPr>
        <w:tabs>
          <w:tab w:val="clear" w:pos="1080"/>
          <w:tab w:val="num" w:pos="1620"/>
        </w:tabs>
        <w:ind w:left="1627"/>
      </w:pPr>
      <w:r>
        <w:t xml:space="preserve">A surety bond whose wording is identical to the wording specified in </w:t>
      </w:r>
      <w:r w:rsidR="00FE1234">
        <w:t xml:space="preserve">40 CFR </w:t>
      </w:r>
      <w:r>
        <w:t>261.151(b).</w:t>
      </w:r>
    </w:p>
    <w:p w:rsidR="00EB2F29" w:rsidP="00FB09F7" w:rsidRDefault="00EB2F29" w14:paraId="4E659155" w14:textId="77777777">
      <w:pPr>
        <w:pStyle w:val="BodyTextDSW"/>
        <w:numPr>
          <w:ilvl w:val="0"/>
          <w:numId w:val="5"/>
        </w:numPr>
        <w:tabs>
          <w:tab w:val="clear" w:pos="1080"/>
          <w:tab w:val="num" w:pos="1620"/>
        </w:tabs>
        <w:ind w:left="1627"/>
      </w:pPr>
      <w:r>
        <w:lastRenderedPageBreak/>
        <w:t xml:space="preserve">Evidence of an increase in the penal sum or other financial assurance as specified to cover the increase, whenever the current cost estimate increases to an amount greater than the penal sum, as provided under </w:t>
      </w:r>
      <w:r w:rsidR="00FE1234">
        <w:t xml:space="preserve">40 CFR </w:t>
      </w:r>
      <w:r>
        <w:t>261.143(b)(7).</w:t>
      </w:r>
    </w:p>
    <w:p w:rsidR="00EB2F29" w:rsidP="00FB09F7" w:rsidRDefault="00EB2F29" w14:paraId="29853D33" w14:textId="77777777">
      <w:pPr>
        <w:pStyle w:val="BodyTextDSW"/>
        <w:numPr>
          <w:ilvl w:val="0"/>
          <w:numId w:val="5"/>
        </w:numPr>
        <w:tabs>
          <w:tab w:val="clear" w:pos="1080"/>
          <w:tab w:val="num" w:pos="1620"/>
        </w:tabs>
        <w:ind w:left="1627"/>
      </w:pPr>
      <w:r>
        <w:t xml:space="preserve">Notice of bond cancellation, as provided under </w:t>
      </w:r>
      <w:r w:rsidR="00FE1234">
        <w:t xml:space="preserve">40 CFR </w:t>
      </w:r>
      <w:r>
        <w:t>261.143(b)(8).</w:t>
      </w:r>
    </w:p>
    <w:p w:rsidR="00145FE4" w:rsidP="00FB09F7" w:rsidRDefault="00145FE4" w14:paraId="7789A6C4" w14:textId="77777777">
      <w:pPr>
        <w:pStyle w:val="BodyTextDSW"/>
        <w:keepNext/>
        <w:tabs>
          <w:tab w:val="left" w:pos="1260"/>
        </w:tabs>
        <w:spacing w:before="240" w:after="240"/>
        <w:rPr>
          <w:bCs/>
        </w:rPr>
      </w:pPr>
      <w:r>
        <w:rPr>
          <w:bCs/>
        </w:rPr>
        <w:t>(ii)</w:t>
      </w:r>
      <w:r>
        <w:rPr>
          <w:bCs/>
        </w:rPr>
        <w:tab/>
        <w:t>Respondent activities</w:t>
      </w:r>
    </w:p>
    <w:p w:rsidR="00EB2F29" w:rsidP="00FB09F7" w:rsidRDefault="00EB2F29" w14:paraId="76CF93DA" w14:textId="77777777">
      <w:pPr>
        <w:pStyle w:val="BodyTextDSW"/>
        <w:keepNext/>
        <w:numPr>
          <w:ilvl w:val="0"/>
          <w:numId w:val="5"/>
        </w:numPr>
        <w:tabs>
          <w:tab w:val="clear" w:pos="1080"/>
          <w:tab w:val="num" w:pos="1620"/>
        </w:tabs>
        <w:ind w:left="1627"/>
      </w:pPr>
      <w:r>
        <w:t>The owner/operator must perform the following activities:</w:t>
      </w:r>
    </w:p>
    <w:p w:rsidR="00EB2F29" w:rsidP="00FB09F7" w:rsidRDefault="00EB2F29" w14:paraId="14680CB5" w14:textId="77777777">
      <w:pPr>
        <w:numPr>
          <w:ilvl w:val="0"/>
          <w:numId w:val="34"/>
        </w:numPr>
        <w:suppressAutoHyphens w:val="0"/>
        <w:autoSpaceDN w:val="0"/>
        <w:adjustRightInd w:val="0"/>
        <w:rPr>
          <w:sz w:val="24"/>
        </w:rPr>
      </w:pPr>
      <w:r>
        <w:rPr>
          <w:sz w:val="24"/>
        </w:rPr>
        <w:t>Prepare and submit the surety bond to EPA.</w:t>
      </w:r>
    </w:p>
    <w:p w:rsidR="00EB2F29" w:rsidP="00FB09F7" w:rsidRDefault="00EB2F29" w14:paraId="76BC2EA1" w14:textId="77777777">
      <w:pPr>
        <w:numPr>
          <w:ilvl w:val="0"/>
          <w:numId w:val="34"/>
        </w:numPr>
        <w:suppressAutoHyphens w:val="0"/>
        <w:autoSpaceDN w:val="0"/>
        <w:adjustRightInd w:val="0"/>
        <w:rPr>
          <w:sz w:val="24"/>
        </w:rPr>
      </w:pPr>
      <w:r>
        <w:rPr>
          <w:sz w:val="24"/>
        </w:rPr>
        <w:t>Whenever the current cost estimate increases to an amount greater than the penal sum, submit evidence of the increase in the penal sum to the Regional Administrator or obtain other financial assurance to cover the increase.</w:t>
      </w:r>
    </w:p>
    <w:p w:rsidR="00EB2F29" w:rsidP="00FB09F7" w:rsidRDefault="00EB2F29" w14:paraId="2C55BD24" w14:textId="77777777">
      <w:pPr>
        <w:numPr>
          <w:ilvl w:val="0"/>
          <w:numId w:val="34"/>
        </w:numPr>
        <w:suppressAutoHyphens w:val="0"/>
        <w:autoSpaceDN w:val="0"/>
        <w:adjustRightInd w:val="0"/>
        <w:rPr>
          <w:sz w:val="24"/>
        </w:rPr>
      </w:pPr>
      <w:r>
        <w:rPr>
          <w:sz w:val="24"/>
        </w:rPr>
        <w:t>Obtain alternate financial assurance and obtain EPA approval if required because of cancellation of the bond.</w:t>
      </w:r>
    </w:p>
    <w:p w:rsidR="00EB2F29" w:rsidP="00FB09F7" w:rsidRDefault="00EB2F29" w14:paraId="7045E238" w14:textId="77777777">
      <w:pPr>
        <w:pStyle w:val="BodyTextDSW"/>
        <w:numPr>
          <w:ilvl w:val="0"/>
          <w:numId w:val="5"/>
        </w:numPr>
        <w:tabs>
          <w:tab w:val="clear" w:pos="1080"/>
          <w:tab w:val="num" w:pos="1620"/>
        </w:tabs>
        <w:ind w:left="1627"/>
      </w:pPr>
      <w:r>
        <w:t xml:space="preserve">The surety company may cancel the bond by sending notice of cancellation by certified mail to the owner or operator and to the Regional Administrator.  </w:t>
      </w:r>
    </w:p>
    <w:p w:rsidR="00EB2F29" w:rsidP="00FB09F7" w:rsidRDefault="00EB2F29" w14:paraId="44047DDF" w14:textId="77777777">
      <w:pPr>
        <w:pStyle w:val="BodyTextDSW"/>
        <w:numPr>
          <w:ilvl w:val="0"/>
          <w:numId w:val="5"/>
        </w:numPr>
        <w:tabs>
          <w:tab w:val="clear" w:pos="1080"/>
          <w:tab w:val="num" w:pos="1620"/>
        </w:tabs>
        <w:ind w:left="1627"/>
      </w:pPr>
      <w:r>
        <w:t>The owner or operator and surety company must comply with the terms of the surety bond.</w:t>
      </w:r>
    </w:p>
    <w:p w:rsidRPr="00FB09F7" w:rsidR="00EB2F29" w:rsidP="00FB09F7" w:rsidRDefault="00EB2F29" w14:paraId="7B5DB3D7" w14:textId="77777777">
      <w:pPr>
        <w:spacing w:before="240" w:after="240"/>
        <w:ind w:left="720"/>
        <w:rPr>
          <w:sz w:val="24"/>
          <w:u w:val="single"/>
        </w:rPr>
      </w:pPr>
      <w:r w:rsidRPr="00FB09F7">
        <w:rPr>
          <w:sz w:val="24"/>
          <w:u w:val="single"/>
        </w:rPr>
        <w:t>Letter of Credit</w:t>
      </w:r>
    </w:p>
    <w:p w:rsidR="009813E8" w:rsidP="00FB09F7" w:rsidRDefault="009813E8" w14:paraId="54C94B85" w14:textId="77777777">
      <w:pPr>
        <w:pStyle w:val="BodyTextDSW"/>
        <w:tabs>
          <w:tab w:val="left" w:pos="1260"/>
        </w:tabs>
        <w:spacing w:before="240" w:after="240"/>
        <w:rPr>
          <w:bCs/>
        </w:rPr>
      </w:pPr>
      <w:r>
        <w:rPr>
          <w:bCs/>
        </w:rPr>
        <w:t>(</w:t>
      </w:r>
      <w:proofErr w:type="spellStart"/>
      <w:r>
        <w:rPr>
          <w:bCs/>
        </w:rPr>
        <w:t>i</w:t>
      </w:r>
      <w:proofErr w:type="spellEnd"/>
      <w:r>
        <w:rPr>
          <w:bCs/>
        </w:rPr>
        <w:t>)</w:t>
      </w:r>
      <w:r>
        <w:rPr>
          <w:bCs/>
        </w:rPr>
        <w:tab/>
        <w:t>Data items</w:t>
      </w:r>
    </w:p>
    <w:p w:rsidR="00EB2F29" w:rsidP="00FB09F7" w:rsidRDefault="00EB2F29" w14:paraId="49631671" w14:textId="77777777">
      <w:pPr>
        <w:pStyle w:val="BodyTextDSW"/>
        <w:numPr>
          <w:ilvl w:val="0"/>
          <w:numId w:val="5"/>
        </w:numPr>
        <w:tabs>
          <w:tab w:val="clear" w:pos="1080"/>
          <w:tab w:val="num" w:pos="1620"/>
        </w:tabs>
        <w:ind w:left="1627"/>
      </w:pPr>
      <w:r>
        <w:t xml:space="preserve">Irrevocable standby letter of credit whose wording is identical to the wording specified in </w:t>
      </w:r>
      <w:r w:rsidR="00FE1234">
        <w:t xml:space="preserve">40 CFR </w:t>
      </w:r>
      <w:r>
        <w:t xml:space="preserve">261.151(c).  </w:t>
      </w:r>
    </w:p>
    <w:p w:rsidR="00EB2F29" w:rsidP="00FB09F7" w:rsidRDefault="00EB2F29" w14:paraId="7960C0D1" w14:textId="77777777">
      <w:pPr>
        <w:pStyle w:val="BodyTextDSW"/>
        <w:numPr>
          <w:ilvl w:val="0"/>
          <w:numId w:val="5"/>
        </w:numPr>
        <w:tabs>
          <w:tab w:val="clear" w:pos="1080"/>
          <w:tab w:val="num" w:pos="1620"/>
        </w:tabs>
        <w:ind w:left="1627"/>
      </w:pPr>
      <w:r>
        <w:t xml:space="preserve">Letter from the owner or operator under </w:t>
      </w:r>
      <w:r w:rsidR="00FE1234">
        <w:t xml:space="preserve">40 CFR </w:t>
      </w:r>
      <w:r>
        <w:t xml:space="preserve">261.143(c)(4), referring to the letter of credit by number, issuing institution, and date, and providing the following information: The EPA Identification Number (if any issued), name, and address of the facility, and the amount of funds assured for the facility by the letter of credit. </w:t>
      </w:r>
    </w:p>
    <w:p w:rsidR="00EB2F29" w:rsidP="00FB09F7" w:rsidRDefault="00EB2F29" w14:paraId="0FD214FB" w14:textId="77777777">
      <w:pPr>
        <w:pStyle w:val="BodyTextDSW"/>
        <w:numPr>
          <w:ilvl w:val="0"/>
          <w:numId w:val="5"/>
        </w:numPr>
        <w:tabs>
          <w:tab w:val="clear" w:pos="1080"/>
          <w:tab w:val="num" w:pos="1620"/>
        </w:tabs>
        <w:ind w:left="1627"/>
      </w:pPr>
      <w:r>
        <w:t xml:space="preserve">A letter from the issuing institution under </w:t>
      </w:r>
      <w:r w:rsidR="00FE1234">
        <w:t xml:space="preserve">40 CFR </w:t>
      </w:r>
      <w:r>
        <w:t xml:space="preserve">261.143(c)(5), notifying both the owner or operator and the Regional Administrator by certified mail of a decision not to extend the expiration date.  </w:t>
      </w:r>
    </w:p>
    <w:p w:rsidR="00EB2F29" w:rsidP="00FB09F7" w:rsidRDefault="00EB2F29" w14:paraId="097B88D3" w14:textId="77777777">
      <w:pPr>
        <w:pStyle w:val="BodyTextDSW"/>
        <w:numPr>
          <w:ilvl w:val="0"/>
          <w:numId w:val="5"/>
        </w:numPr>
        <w:tabs>
          <w:tab w:val="clear" w:pos="1080"/>
          <w:tab w:val="num" w:pos="1620"/>
        </w:tabs>
        <w:ind w:left="1627"/>
      </w:pPr>
      <w:r>
        <w:t xml:space="preserve">Evidence of an increase in the credit or other financial assurance as specified to cover the increase, whenever the current cost estimate increases to an amount greater than the amount of the credit, as provided under </w:t>
      </w:r>
      <w:r w:rsidR="00FE1234">
        <w:t xml:space="preserve">40 CFR </w:t>
      </w:r>
      <w:r>
        <w:t>261.143(c)(7).</w:t>
      </w:r>
    </w:p>
    <w:p w:rsidR="00145FE4" w:rsidP="00FB09F7" w:rsidRDefault="00145FE4" w14:paraId="633CBD7F" w14:textId="77777777">
      <w:pPr>
        <w:pStyle w:val="BodyTextDSW"/>
        <w:tabs>
          <w:tab w:val="left" w:pos="1260"/>
        </w:tabs>
        <w:spacing w:before="240" w:after="240"/>
        <w:rPr>
          <w:bCs/>
        </w:rPr>
      </w:pPr>
      <w:r>
        <w:rPr>
          <w:bCs/>
        </w:rPr>
        <w:t>(ii)</w:t>
      </w:r>
      <w:r>
        <w:rPr>
          <w:bCs/>
        </w:rPr>
        <w:tab/>
        <w:t>Respondent activities</w:t>
      </w:r>
    </w:p>
    <w:p w:rsidR="00EB2F29" w:rsidP="00FB09F7" w:rsidRDefault="00EB2F29" w14:paraId="2C3EAFD8" w14:textId="77777777">
      <w:pPr>
        <w:pStyle w:val="BodyTextDSW"/>
        <w:numPr>
          <w:ilvl w:val="0"/>
          <w:numId w:val="5"/>
        </w:numPr>
        <w:tabs>
          <w:tab w:val="clear" w:pos="1080"/>
          <w:tab w:val="num" w:pos="1620"/>
        </w:tabs>
        <w:ind w:left="1627"/>
      </w:pPr>
      <w:r>
        <w:t>The owner/operator must perform the following activities:</w:t>
      </w:r>
    </w:p>
    <w:p w:rsidR="00EB2F29" w:rsidP="00FB09F7" w:rsidRDefault="00EB2F29" w14:paraId="7BECAADC" w14:textId="77777777">
      <w:pPr>
        <w:numPr>
          <w:ilvl w:val="0"/>
          <w:numId w:val="34"/>
        </w:numPr>
        <w:suppressAutoHyphens w:val="0"/>
        <w:autoSpaceDN w:val="0"/>
        <w:adjustRightInd w:val="0"/>
        <w:rPr>
          <w:sz w:val="24"/>
        </w:rPr>
      </w:pPr>
      <w:r>
        <w:rPr>
          <w:sz w:val="24"/>
        </w:rPr>
        <w:t>Prepare and submit letter of credit and letter referring to the letter of credit to the Regional Administrator.</w:t>
      </w:r>
    </w:p>
    <w:p w:rsidR="00EB2F29" w:rsidP="00FB09F7" w:rsidRDefault="00EB2F29" w14:paraId="4163BF5F" w14:textId="77777777">
      <w:pPr>
        <w:numPr>
          <w:ilvl w:val="0"/>
          <w:numId w:val="34"/>
        </w:numPr>
        <w:suppressAutoHyphens w:val="0"/>
        <w:autoSpaceDN w:val="0"/>
        <w:adjustRightInd w:val="0"/>
        <w:rPr>
          <w:sz w:val="24"/>
        </w:rPr>
      </w:pPr>
      <w:r>
        <w:rPr>
          <w:sz w:val="24"/>
        </w:rPr>
        <w:lastRenderedPageBreak/>
        <w:t xml:space="preserve">Whenever the current cost estimate increases to an amount greater than the amount of the credit, submit evidence to the Regional Administrator of an increase in the credit or obtain other financial assurance as specified to cover the increase.  </w:t>
      </w:r>
    </w:p>
    <w:p w:rsidR="00EB2F29" w:rsidP="00FB09F7" w:rsidRDefault="00EB2F29" w14:paraId="2AB16652" w14:textId="77777777">
      <w:pPr>
        <w:numPr>
          <w:ilvl w:val="0"/>
          <w:numId w:val="34"/>
        </w:numPr>
        <w:suppressAutoHyphens w:val="0"/>
        <w:autoSpaceDN w:val="0"/>
        <w:adjustRightInd w:val="0"/>
        <w:rPr>
          <w:sz w:val="24"/>
        </w:rPr>
      </w:pPr>
      <w:r>
        <w:rPr>
          <w:sz w:val="24"/>
        </w:rPr>
        <w:t>Obtain alternate financial assurance and obtain EPA approval if required because of termination of credit.</w:t>
      </w:r>
    </w:p>
    <w:p w:rsidR="00EB2F29" w:rsidP="00FB09F7" w:rsidRDefault="00EB2F29" w14:paraId="72AF2437" w14:textId="77777777">
      <w:pPr>
        <w:pStyle w:val="BodyTextDSW"/>
        <w:numPr>
          <w:ilvl w:val="0"/>
          <w:numId w:val="5"/>
        </w:numPr>
        <w:tabs>
          <w:tab w:val="clear" w:pos="1080"/>
          <w:tab w:val="num" w:pos="1620"/>
        </w:tabs>
        <w:ind w:left="1627"/>
      </w:pPr>
      <w:r>
        <w:t xml:space="preserve">The issuing institution may send a notice of a decision not to extend the expiration date of the credit by certified mail to the owner or operator and to the Regional Administrator.  </w:t>
      </w:r>
    </w:p>
    <w:p w:rsidR="00EB2F29" w:rsidP="00FB09F7" w:rsidRDefault="00EB2F29" w14:paraId="440D364F" w14:textId="77777777">
      <w:pPr>
        <w:pStyle w:val="BodyTextDSW"/>
        <w:numPr>
          <w:ilvl w:val="0"/>
          <w:numId w:val="5"/>
        </w:numPr>
        <w:tabs>
          <w:tab w:val="clear" w:pos="1080"/>
          <w:tab w:val="num" w:pos="1620"/>
        </w:tabs>
        <w:ind w:left="1627"/>
      </w:pPr>
      <w:r>
        <w:t>The owner/operator and issuing institution must comply with the terms of the letter of credit.</w:t>
      </w:r>
    </w:p>
    <w:p w:rsidRPr="00FB09F7" w:rsidR="00EB2F29" w:rsidP="00FB09F7" w:rsidRDefault="00EB2F29" w14:paraId="49E956EE" w14:textId="77777777">
      <w:pPr>
        <w:keepNext/>
        <w:widowControl/>
        <w:spacing w:before="240" w:after="240"/>
        <w:ind w:left="720"/>
        <w:rPr>
          <w:sz w:val="24"/>
          <w:u w:val="single"/>
        </w:rPr>
      </w:pPr>
      <w:r w:rsidRPr="00FB09F7">
        <w:rPr>
          <w:sz w:val="24"/>
          <w:u w:val="single"/>
        </w:rPr>
        <w:t>Insurance</w:t>
      </w:r>
    </w:p>
    <w:p w:rsidR="009813E8" w:rsidP="00FB09F7" w:rsidRDefault="009813E8" w14:paraId="17B8C753" w14:textId="77777777">
      <w:pPr>
        <w:pStyle w:val="BodyTextDSW"/>
        <w:tabs>
          <w:tab w:val="left" w:pos="1260"/>
        </w:tabs>
        <w:spacing w:before="240" w:after="240"/>
        <w:rPr>
          <w:bCs/>
        </w:rPr>
      </w:pPr>
      <w:r>
        <w:rPr>
          <w:bCs/>
        </w:rPr>
        <w:t>(</w:t>
      </w:r>
      <w:proofErr w:type="spellStart"/>
      <w:r>
        <w:rPr>
          <w:bCs/>
        </w:rPr>
        <w:t>i</w:t>
      </w:r>
      <w:proofErr w:type="spellEnd"/>
      <w:r>
        <w:rPr>
          <w:bCs/>
        </w:rPr>
        <w:t>)</w:t>
      </w:r>
      <w:r>
        <w:rPr>
          <w:bCs/>
        </w:rPr>
        <w:tab/>
        <w:t>Data items</w:t>
      </w:r>
    </w:p>
    <w:p w:rsidR="00EB2F29" w:rsidP="00FB09F7" w:rsidRDefault="00EB2F29" w14:paraId="26C36CFB" w14:textId="77777777">
      <w:pPr>
        <w:pStyle w:val="BodyTextDSW"/>
        <w:numPr>
          <w:ilvl w:val="0"/>
          <w:numId w:val="5"/>
        </w:numPr>
        <w:tabs>
          <w:tab w:val="clear" w:pos="1080"/>
          <w:tab w:val="num" w:pos="1620"/>
        </w:tabs>
        <w:ind w:left="1627"/>
      </w:pPr>
      <w:r>
        <w:t xml:space="preserve">A certificate of insurance whose wording is identical to the wording specified in </w:t>
      </w:r>
      <w:r w:rsidR="001678A7">
        <w:t xml:space="preserve">40 CFR </w:t>
      </w:r>
      <w:r>
        <w:t xml:space="preserve">261.151(d).  </w:t>
      </w:r>
    </w:p>
    <w:p w:rsidR="00EB2F29" w:rsidP="00FB09F7" w:rsidRDefault="00EB2F29" w14:paraId="3238AB02" w14:textId="77777777">
      <w:pPr>
        <w:pStyle w:val="BodyTextDSW"/>
        <w:numPr>
          <w:ilvl w:val="0"/>
          <w:numId w:val="5"/>
        </w:numPr>
        <w:tabs>
          <w:tab w:val="clear" w:pos="1080"/>
          <w:tab w:val="num" w:pos="1620"/>
        </w:tabs>
        <w:ind w:left="1627"/>
      </w:pPr>
      <w:r>
        <w:t xml:space="preserve">A request for reimbursements for expenditures to EPA, including itemized bills, as specified under </w:t>
      </w:r>
      <w:r w:rsidR="001678A7">
        <w:t xml:space="preserve">40 CFR </w:t>
      </w:r>
      <w:r>
        <w:t>261.143(d)(5).</w:t>
      </w:r>
    </w:p>
    <w:p w:rsidR="00EB2F29" w:rsidP="00FB09F7" w:rsidRDefault="00EB2F29" w14:paraId="43052CB1" w14:textId="77777777">
      <w:pPr>
        <w:pStyle w:val="BodyTextDSW"/>
        <w:numPr>
          <w:ilvl w:val="0"/>
          <w:numId w:val="5"/>
        </w:numPr>
        <w:tabs>
          <w:tab w:val="clear" w:pos="1080"/>
          <w:tab w:val="num" w:pos="1620"/>
        </w:tabs>
        <w:ind w:left="1627"/>
      </w:pPr>
      <w:r>
        <w:t xml:space="preserve">A notice sent by certified mail from the insurer that it has elected to cancel, terminate, or fail to renew the policy, as specified under </w:t>
      </w:r>
      <w:r w:rsidR="001678A7">
        <w:t xml:space="preserve">40 CFR </w:t>
      </w:r>
      <w:r>
        <w:t xml:space="preserve">261.143(d)(8).  </w:t>
      </w:r>
    </w:p>
    <w:p w:rsidR="00EB2F29" w:rsidP="00FB09F7" w:rsidRDefault="00EB2F29" w14:paraId="38904849" w14:textId="77777777">
      <w:pPr>
        <w:pStyle w:val="BodyTextDSW"/>
        <w:numPr>
          <w:ilvl w:val="0"/>
          <w:numId w:val="5"/>
        </w:numPr>
        <w:tabs>
          <w:tab w:val="clear" w:pos="1080"/>
          <w:tab w:val="num" w:pos="1620"/>
        </w:tabs>
        <w:ind w:left="1627"/>
      </w:pPr>
      <w:r>
        <w:t xml:space="preserve">Evidence of an increase in the credit or other financial assurance as specified to cover the increase, whenever the current cost estimate increases to an amount greater than the face amount of the policy, as specified under </w:t>
      </w:r>
      <w:r w:rsidR="001678A7">
        <w:t>40 CFR</w:t>
      </w:r>
      <w:r>
        <w:t xml:space="preserve"> 261.143(d)(9). </w:t>
      </w:r>
    </w:p>
    <w:p w:rsidR="00C55DC5" w:rsidP="00FB09F7" w:rsidRDefault="00C55DC5" w14:paraId="1231E506" w14:textId="77777777">
      <w:pPr>
        <w:pStyle w:val="BodyTextDSW"/>
        <w:tabs>
          <w:tab w:val="left" w:pos="1260"/>
        </w:tabs>
        <w:spacing w:before="240" w:after="240"/>
        <w:rPr>
          <w:bCs/>
        </w:rPr>
      </w:pPr>
      <w:r>
        <w:rPr>
          <w:bCs/>
        </w:rPr>
        <w:t>(ii)</w:t>
      </w:r>
      <w:r>
        <w:rPr>
          <w:bCs/>
        </w:rPr>
        <w:tab/>
        <w:t>Respondent activities</w:t>
      </w:r>
    </w:p>
    <w:p w:rsidR="00EB2F29" w:rsidP="00FB09F7" w:rsidRDefault="00EB2F29" w14:paraId="1F2BDC1E" w14:textId="77777777">
      <w:pPr>
        <w:pStyle w:val="BodyTextDSW"/>
        <w:numPr>
          <w:ilvl w:val="0"/>
          <w:numId w:val="5"/>
        </w:numPr>
        <w:tabs>
          <w:tab w:val="clear" w:pos="1080"/>
          <w:tab w:val="num" w:pos="1620"/>
        </w:tabs>
        <w:ind w:left="1627"/>
      </w:pPr>
      <w:r>
        <w:t>The owner/operator must perform the following activities:</w:t>
      </w:r>
    </w:p>
    <w:p w:rsidR="00EB2F29" w:rsidP="00FB09F7" w:rsidRDefault="00EB2F29" w14:paraId="70A82291" w14:textId="77777777">
      <w:pPr>
        <w:numPr>
          <w:ilvl w:val="0"/>
          <w:numId w:val="34"/>
        </w:numPr>
        <w:suppressAutoHyphens w:val="0"/>
        <w:autoSpaceDN w:val="0"/>
        <w:adjustRightInd w:val="0"/>
        <w:rPr>
          <w:sz w:val="24"/>
        </w:rPr>
      </w:pPr>
      <w:r>
        <w:rPr>
          <w:sz w:val="24"/>
        </w:rPr>
        <w:t>Prepare and submit a certificate of insurance to the Regional Administrator.</w:t>
      </w:r>
    </w:p>
    <w:p w:rsidR="00EB2F29" w:rsidP="00FB09F7" w:rsidRDefault="00EB2F29" w14:paraId="7D43134D" w14:textId="77777777">
      <w:pPr>
        <w:numPr>
          <w:ilvl w:val="0"/>
          <w:numId w:val="34"/>
        </w:numPr>
        <w:suppressAutoHyphens w:val="0"/>
        <w:autoSpaceDN w:val="0"/>
        <w:adjustRightInd w:val="0"/>
        <w:rPr>
          <w:sz w:val="24"/>
        </w:rPr>
      </w:pPr>
      <w:r>
        <w:rPr>
          <w:sz w:val="24"/>
        </w:rPr>
        <w:t xml:space="preserve">Request reimbursements for expenditures by submitting itemized bills to the Regional Administrator, if applicable. </w:t>
      </w:r>
    </w:p>
    <w:p w:rsidR="00EB2F29" w:rsidP="00FB09F7" w:rsidRDefault="00EB2F29" w14:paraId="11487047" w14:textId="77777777">
      <w:pPr>
        <w:numPr>
          <w:ilvl w:val="0"/>
          <w:numId w:val="34"/>
        </w:numPr>
        <w:suppressAutoHyphens w:val="0"/>
        <w:autoSpaceDN w:val="0"/>
        <w:adjustRightInd w:val="0"/>
        <w:rPr>
          <w:sz w:val="24"/>
        </w:rPr>
      </w:pPr>
      <w:r>
        <w:rPr>
          <w:sz w:val="24"/>
        </w:rPr>
        <w:t xml:space="preserve">Whenever the current cost estimate increases to an amount greater than the face value of the policy, submit evidence to the Regional Administrator of an increase in the policy or obtain other financial assurance as specified to cover the increase.  </w:t>
      </w:r>
    </w:p>
    <w:p w:rsidR="00EB2F29" w:rsidP="00FB09F7" w:rsidRDefault="00EB2F29" w14:paraId="23081EA6" w14:textId="77777777">
      <w:pPr>
        <w:numPr>
          <w:ilvl w:val="0"/>
          <w:numId w:val="34"/>
        </w:numPr>
        <w:suppressAutoHyphens w:val="0"/>
        <w:autoSpaceDN w:val="0"/>
        <w:adjustRightInd w:val="0"/>
        <w:rPr>
          <w:sz w:val="24"/>
        </w:rPr>
      </w:pPr>
      <w:r>
        <w:rPr>
          <w:sz w:val="24"/>
        </w:rPr>
        <w:t>Obtain alternate financial assurance and obtain EPA approval if required because of cancellation, termination, or failure to renew the insurance.</w:t>
      </w:r>
    </w:p>
    <w:p w:rsidR="00EB2F29" w:rsidP="00FB09F7" w:rsidRDefault="00EB2F29" w14:paraId="098C8B64" w14:textId="77777777">
      <w:pPr>
        <w:pStyle w:val="BodyTextDSW"/>
        <w:numPr>
          <w:ilvl w:val="0"/>
          <w:numId w:val="5"/>
        </w:numPr>
        <w:tabs>
          <w:tab w:val="clear" w:pos="1080"/>
          <w:tab w:val="num" w:pos="1620"/>
        </w:tabs>
        <w:ind w:left="1627"/>
      </w:pPr>
      <w:r>
        <w:t xml:space="preserve">The insurer may elect to cancel, terminate, or fail to renew the policy by sending notice by certified mail to the owner or operator and the Regional Administrator.  </w:t>
      </w:r>
    </w:p>
    <w:p w:rsidR="00EB2F29" w:rsidP="00FB09F7" w:rsidRDefault="00EB2F29" w14:paraId="6FCC40EF" w14:textId="77777777">
      <w:pPr>
        <w:pStyle w:val="BodyTextDSW"/>
        <w:numPr>
          <w:ilvl w:val="0"/>
          <w:numId w:val="5"/>
        </w:numPr>
        <w:tabs>
          <w:tab w:val="clear" w:pos="1080"/>
          <w:tab w:val="num" w:pos="1620"/>
        </w:tabs>
        <w:ind w:left="1627"/>
      </w:pPr>
      <w:r>
        <w:lastRenderedPageBreak/>
        <w:t>The owner/operator and insurer must comply with the terms of the certificate of insurance.</w:t>
      </w:r>
    </w:p>
    <w:p w:rsidRPr="00FB09F7" w:rsidR="00EB2F29" w:rsidP="00FB09F7" w:rsidRDefault="00EB2F29" w14:paraId="09E40737" w14:textId="77777777">
      <w:pPr>
        <w:keepNext/>
        <w:widowControl/>
        <w:spacing w:before="240" w:after="240"/>
        <w:ind w:left="720"/>
        <w:rPr>
          <w:sz w:val="24"/>
          <w:u w:val="single"/>
        </w:rPr>
      </w:pPr>
      <w:r w:rsidRPr="00FB09F7">
        <w:rPr>
          <w:sz w:val="24"/>
          <w:u w:val="single"/>
        </w:rPr>
        <w:t>Financial Test and Corporate Guarantee</w:t>
      </w:r>
    </w:p>
    <w:p w:rsidR="009813E8" w:rsidP="00FB09F7" w:rsidRDefault="009813E8" w14:paraId="0BF57C29" w14:textId="77777777">
      <w:pPr>
        <w:pStyle w:val="BodyTextDSW"/>
        <w:keepNext/>
        <w:tabs>
          <w:tab w:val="left" w:pos="1260"/>
        </w:tabs>
        <w:spacing w:before="240" w:after="240"/>
        <w:rPr>
          <w:bCs/>
        </w:rPr>
      </w:pPr>
      <w:r>
        <w:rPr>
          <w:bCs/>
        </w:rPr>
        <w:t>(</w:t>
      </w:r>
      <w:proofErr w:type="spellStart"/>
      <w:r>
        <w:rPr>
          <w:bCs/>
        </w:rPr>
        <w:t>i</w:t>
      </w:r>
      <w:proofErr w:type="spellEnd"/>
      <w:r>
        <w:rPr>
          <w:bCs/>
        </w:rPr>
        <w:t>)</w:t>
      </w:r>
      <w:r>
        <w:rPr>
          <w:bCs/>
        </w:rPr>
        <w:tab/>
        <w:t>Data items</w:t>
      </w:r>
    </w:p>
    <w:p w:rsidR="00EB2F29" w:rsidP="00FB09F7" w:rsidRDefault="00EB2F29" w14:paraId="63A8E6B1" w14:textId="77777777">
      <w:pPr>
        <w:pStyle w:val="BodyTextDSW"/>
        <w:numPr>
          <w:ilvl w:val="0"/>
          <w:numId w:val="5"/>
        </w:numPr>
        <w:tabs>
          <w:tab w:val="clear" w:pos="1080"/>
          <w:tab w:val="num" w:pos="1620"/>
        </w:tabs>
        <w:ind w:left="1627"/>
      </w:pPr>
      <w:r>
        <w:t xml:space="preserve">Information required under </w:t>
      </w:r>
      <w:r w:rsidR="001678A7">
        <w:t xml:space="preserve">40 CFR </w:t>
      </w:r>
      <w:r>
        <w:t>261.143(e)(3):</w:t>
      </w:r>
    </w:p>
    <w:p w:rsidR="00EB2F29" w:rsidP="00FB09F7" w:rsidRDefault="00EB2F29" w14:paraId="61A6FE2C" w14:textId="77777777">
      <w:pPr>
        <w:numPr>
          <w:ilvl w:val="0"/>
          <w:numId w:val="34"/>
        </w:numPr>
        <w:suppressAutoHyphens w:val="0"/>
        <w:autoSpaceDN w:val="0"/>
        <w:adjustRightInd w:val="0"/>
        <w:rPr>
          <w:sz w:val="24"/>
        </w:rPr>
      </w:pPr>
      <w:r>
        <w:rPr>
          <w:sz w:val="24"/>
        </w:rPr>
        <w:t xml:space="preserve">A letter signed by the owner's or operator's chief financial officer and worded as specified in </w:t>
      </w:r>
      <w:r w:rsidR="001678A7">
        <w:rPr>
          <w:sz w:val="24"/>
        </w:rPr>
        <w:t xml:space="preserve">40 CFR </w:t>
      </w:r>
      <w:r>
        <w:rPr>
          <w:sz w:val="24"/>
        </w:rPr>
        <w:t>261.151(e).</w:t>
      </w:r>
    </w:p>
    <w:p w:rsidR="00EB2F29" w:rsidP="00FB09F7" w:rsidRDefault="00EB2F29" w14:paraId="5E71D113" w14:textId="77777777">
      <w:pPr>
        <w:numPr>
          <w:ilvl w:val="0"/>
          <w:numId w:val="34"/>
        </w:numPr>
        <w:suppressAutoHyphens w:val="0"/>
        <w:autoSpaceDN w:val="0"/>
        <w:adjustRightInd w:val="0"/>
        <w:rPr>
          <w:sz w:val="24"/>
        </w:rPr>
      </w:pPr>
      <w:r>
        <w:rPr>
          <w:sz w:val="24"/>
        </w:rPr>
        <w:t>A copy of the independent certified public accountant's report on examination of the owner's or operator's financial statements for the latest completed fiscal year.</w:t>
      </w:r>
    </w:p>
    <w:p w:rsidR="00EB2F29" w:rsidP="00FB09F7" w:rsidRDefault="00EB2F29" w14:paraId="4F6E9FBE" w14:textId="77777777">
      <w:pPr>
        <w:numPr>
          <w:ilvl w:val="0"/>
          <w:numId w:val="34"/>
        </w:numPr>
        <w:suppressAutoHyphens w:val="0"/>
        <w:autoSpaceDN w:val="0"/>
        <w:adjustRightInd w:val="0"/>
        <w:rPr>
          <w:sz w:val="24"/>
        </w:rPr>
      </w:pPr>
      <w:r>
        <w:rPr>
          <w:sz w:val="24"/>
        </w:rPr>
        <w:t>A special report from the owner’s or operator’s independent certified public accountant to the owner or operator, if required. The special report shall be based upon an agreed upon procedures engagement in accordance with professional auditing standards and shall describe the procedures performed in comparing the data in the chief financial officer’s letter derived from the independently audited, year-end financial statements for the latest fiscal year with the amounts in such financial statements, the findings of the comparison, and the reasons for any differences.</w:t>
      </w:r>
    </w:p>
    <w:p w:rsidR="00EB2F29" w:rsidP="00FB09F7" w:rsidRDefault="00EB2F29" w14:paraId="61F30DB2" w14:textId="77777777">
      <w:pPr>
        <w:pStyle w:val="BodyTextDSW"/>
        <w:numPr>
          <w:ilvl w:val="0"/>
          <w:numId w:val="5"/>
        </w:numPr>
        <w:tabs>
          <w:tab w:val="clear" w:pos="1080"/>
          <w:tab w:val="num" w:pos="1620"/>
        </w:tabs>
        <w:ind w:left="1627"/>
      </w:pPr>
      <w:r>
        <w:t xml:space="preserve">A letter as required under </w:t>
      </w:r>
      <w:r w:rsidR="001678A7">
        <w:t xml:space="preserve">40 CFR </w:t>
      </w:r>
      <w:r>
        <w:t>261.143(e)(4) from the owner/</w:t>
      </w:r>
      <w:proofErr w:type="spellStart"/>
      <w:r>
        <w:t>operator’s</w:t>
      </w:r>
      <w:proofErr w:type="spellEnd"/>
      <w:r>
        <w:t xml:space="preserve"> chief financial officer that:</w:t>
      </w:r>
    </w:p>
    <w:p w:rsidR="00EB2F29" w:rsidP="00FB09F7" w:rsidRDefault="00EB2F29" w14:paraId="44613F0E" w14:textId="77777777">
      <w:pPr>
        <w:numPr>
          <w:ilvl w:val="0"/>
          <w:numId w:val="34"/>
        </w:numPr>
        <w:suppressAutoHyphens w:val="0"/>
        <w:autoSpaceDN w:val="0"/>
        <w:adjustRightInd w:val="0"/>
        <w:rPr>
          <w:sz w:val="24"/>
        </w:rPr>
      </w:pPr>
      <w:r>
        <w:rPr>
          <w:sz w:val="24"/>
        </w:rPr>
        <w:t xml:space="preserve">Requests the </w:t>
      </w:r>
      <w:proofErr w:type="gramStart"/>
      <w:r>
        <w:rPr>
          <w:sz w:val="24"/>
        </w:rPr>
        <w:t>extension;</w:t>
      </w:r>
      <w:proofErr w:type="gramEnd"/>
    </w:p>
    <w:p w:rsidR="00EB2F29" w:rsidP="00FB09F7" w:rsidRDefault="00EB2F29" w14:paraId="61BCCA4F" w14:textId="77777777">
      <w:pPr>
        <w:numPr>
          <w:ilvl w:val="0"/>
          <w:numId w:val="34"/>
        </w:numPr>
        <w:suppressAutoHyphens w:val="0"/>
        <w:autoSpaceDN w:val="0"/>
        <w:adjustRightInd w:val="0"/>
        <w:rPr>
          <w:sz w:val="24"/>
        </w:rPr>
      </w:pPr>
      <w:r>
        <w:rPr>
          <w:sz w:val="24"/>
        </w:rPr>
        <w:t xml:space="preserve">Certifies that he has grounds to believe that the owner or operator meets the criteria of the financial </w:t>
      </w:r>
      <w:proofErr w:type="gramStart"/>
      <w:r>
        <w:rPr>
          <w:sz w:val="24"/>
        </w:rPr>
        <w:t>test;</w:t>
      </w:r>
      <w:proofErr w:type="gramEnd"/>
    </w:p>
    <w:p w:rsidR="00EB2F29" w:rsidP="00FB09F7" w:rsidRDefault="00EB2F29" w14:paraId="22AA2AD1" w14:textId="77777777">
      <w:pPr>
        <w:numPr>
          <w:ilvl w:val="0"/>
          <w:numId w:val="34"/>
        </w:numPr>
        <w:suppressAutoHyphens w:val="0"/>
        <w:autoSpaceDN w:val="0"/>
        <w:adjustRightInd w:val="0"/>
        <w:rPr>
          <w:sz w:val="24"/>
        </w:rPr>
      </w:pPr>
      <w:r>
        <w:rPr>
          <w:sz w:val="24"/>
        </w:rPr>
        <w:t xml:space="preserve">Specifies for each facility to be covered by the test the EPA Identification Number (if any issued), name, address, and current cost estimates to be covered by the </w:t>
      </w:r>
      <w:proofErr w:type="gramStart"/>
      <w:r>
        <w:rPr>
          <w:sz w:val="24"/>
        </w:rPr>
        <w:t>test;</w:t>
      </w:r>
      <w:proofErr w:type="gramEnd"/>
    </w:p>
    <w:p w:rsidR="00EB2F29" w:rsidP="00FB09F7" w:rsidRDefault="00EB2F29" w14:paraId="75395FE6" w14:textId="77777777">
      <w:pPr>
        <w:numPr>
          <w:ilvl w:val="0"/>
          <w:numId w:val="34"/>
        </w:numPr>
        <w:suppressAutoHyphens w:val="0"/>
        <w:autoSpaceDN w:val="0"/>
        <w:adjustRightInd w:val="0"/>
        <w:rPr>
          <w:sz w:val="24"/>
        </w:rPr>
      </w:pPr>
      <w:r>
        <w:rPr>
          <w:sz w:val="24"/>
        </w:rPr>
        <w:t xml:space="preserve">Specifies the date ending the owner's or operator's last complete fiscal year before the effective date of these </w:t>
      </w:r>
      <w:proofErr w:type="gramStart"/>
      <w:r>
        <w:rPr>
          <w:sz w:val="24"/>
        </w:rPr>
        <w:t>regulations;</w:t>
      </w:r>
      <w:proofErr w:type="gramEnd"/>
    </w:p>
    <w:p w:rsidR="00EB2F29" w:rsidP="00FB09F7" w:rsidRDefault="00EB2F29" w14:paraId="352101CD" w14:textId="77777777">
      <w:pPr>
        <w:numPr>
          <w:ilvl w:val="0"/>
          <w:numId w:val="34"/>
        </w:numPr>
        <w:suppressAutoHyphens w:val="0"/>
        <w:autoSpaceDN w:val="0"/>
        <w:adjustRightInd w:val="0"/>
        <w:rPr>
          <w:sz w:val="24"/>
        </w:rPr>
      </w:pPr>
      <w:r>
        <w:rPr>
          <w:sz w:val="24"/>
        </w:rPr>
        <w:t>Specifies the date, no later than 90 days after the end of such fiscal year, when he will submit the documents specified in paragraph (e)(3) of this section; and</w:t>
      </w:r>
    </w:p>
    <w:p w:rsidR="00EB2F29" w:rsidP="00FB09F7" w:rsidRDefault="00EB2F29" w14:paraId="4E4EEA11" w14:textId="77777777">
      <w:pPr>
        <w:numPr>
          <w:ilvl w:val="0"/>
          <w:numId w:val="34"/>
        </w:numPr>
        <w:suppressAutoHyphens w:val="0"/>
        <w:autoSpaceDN w:val="0"/>
        <w:adjustRightInd w:val="0"/>
        <w:rPr>
          <w:sz w:val="24"/>
        </w:rPr>
      </w:pPr>
      <w:r>
        <w:rPr>
          <w:sz w:val="24"/>
        </w:rPr>
        <w:t>Certifies that the year-end financial statements of the owner or operator for such fiscal year will be audited by an independent certified public accountant.</w:t>
      </w:r>
    </w:p>
    <w:p w:rsidR="00EB2F29" w:rsidP="00FB09F7" w:rsidRDefault="00EB2F29" w14:paraId="44766ACA" w14:textId="77777777">
      <w:pPr>
        <w:pStyle w:val="BodyTextDSW"/>
        <w:numPr>
          <w:ilvl w:val="0"/>
          <w:numId w:val="5"/>
        </w:numPr>
        <w:tabs>
          <w:tab w:val="clear" w:pos="1080"/>
          <w:tab w:val="num" w:pos="1620"/>
        </w:tabs>
        <w:ind w:left="1627"/>
      </w:pPr>
      <w:r>
        <w:t xml:space="preserve">Annual update of information as required under </w:t>
      </w:r>
      <w:r w:rsidR="001678A7">
        <w:t xml:space="preserve">40 CFR </w:t>
      </w:r>
      <w:r>
        <w:t xml:space="preserve">261.143(e)(5), after the initial submission of these items. </w:t>
      </w:r>
    </w:p>
    <w:p w:rsidR="00EB2F29" w:rsidP="00FB09F7" w:rsidRDefault="00EB2F29" w14:paraId="0DEB8E58" w14:textId="77777777">
      <w:pPr>
        <w:pStyle w:val="BodyTextDSW"/>
        <w:numPr>
          <w:ilvl w:val="0"/>
          <w:numId w:val="5"/>
        </w:numPr>
        <w:tabs>
          <w:tab w:val="clear" w:pos="1080"/>
          <w:tab w:val="num" w:pos="1620"/>
        </w:tabs>
        <w:ind w:left="1627"/>
      </w:pPr>
      <w:r>
        <w:t xml:space="preserve">Notice as required under </w:t>
      </w:r>
      <w:r w:rsidR="001678A7">
        <w:t xml:space="preserve">40 CFR </w:t>
      </w:r>
      <w:r>
        <w:t xml:space="preserve">261.143(e)(6) from the owner/operator to the Regional Administrator of intent to establish alternate financial assurance as specified in this section. </w:t>
      </w:r>
    </w:p>
    <w:p w:rsidR="00EB2F29" w:rsidP="00FB09F7" w:rsidRDefault="00EB2F29" w14:paraId="20C079F9" w14:textId="77777777">
      <w:pPr>
        <w:pStyle w:val="BodyTextDSW"/>
        <w:numPr>
          <w:ilvl w:val="0"/>
          <w:numId w:val="5"/>
        </w:numPr>
        <w:tabs>
          <w:tab w:val="clear" w:pos="1080"/>
          <w:tab w:val="num" w:pos="1620"/>
        </w:tabs>
        <w:ind w:left="1627"/>
      </w:pPr>
      <w:r>
        <w:lastRenderedPageBreak/>
        <w:t xml:space="preserve">Reports as required under </w:t>
      </w:r>
      <w:r w:rsidR="001678A7">
        <w:t xml:space="preserve">40 CFR </w:t>
      </w:r>
      <w:r>
        <w:t>261.143(e)(7) of financial condition from the owner or operator in addition to those specified in paragraph (e)(3) of this section, if requested by the Regional Administrator.</w:t>
      </w:r>
    </w:p>
    <w:p w:rsidR="00EB2F29" w:rsidP="00FB09F7" w:rsidRDefault="00EB2F29" w14:paraId="1313FB2F" w14:textId="77777777">
      <w:pPr>
        <w:pStyle w:val="BodyTextDSW"/>
        <w:numPr>
          <w:ilvl w:val="0"/>
          <w:numId w:val="5"/>
        </w:numPr>
        <w:tabs>
          <w:tab w:val="clear" w:pos="1080"/>
          <w:tab w:val="num" w:pos="1620"/>
        </w:tabs>
        <w:ind w:left="1627"/>
      </w:pPr>
      <w:r>
        <w:t xml:space="preserve">A guarantee whose wording is identical to the wording specified in </w:t>
      </w:r>
      <w:r w:rsidR="001678A7">
        <w:t xml:space="preserve">40 CFR </w:t>
      </w:r>
      <w:r>
        <w:t>261.151(g)(1). A certified copy of the guarantee must accompany the items sent to the Regional Administrator.</w:t>
      </w:r>
      <w:r w:rsidR="001C6B36">
        <w:t xml:space="preserve"> </w:t>
      </w:r>
      <w:r>
        <w:t xml:space="preserve">The terms of the guarantee must address the criteria specified in </w:t>
      </w:r>
      <w:r w:rsidR="001678A7">
        <w:t xml:space="preserve">40 CFR </w:t>
      </w:r>
      <w:r>
        <w:t>261.143(e)(10)(</w:t>
      </w:r>
      <w:proofErr w:type="spellStart"/>
      <w:r>
        <w:t>i</w:t>
      </w:r>
      <w:proofErr w:type="spellEnd"/>
      <w:r>
        <w:t>)-(iii).</w:t>
      </w:r>
    </w:p>
    <w:p w:rsidR="00EB2F29" w:rsidP="00FB09F7" w:rsidRDefault="00EB2F29" w14:paraId="0097F69F" w14:textId="77777777">
      <w:pPr>
        <w:pStyle w:val="BodyTextDSW"/>
        <w:numPr>
          <w:ilvl w:val="0"/>
          <w:numId w:val="5"/>
        </w:numPr>
        <w:tabs>
          <w:tab w:val="clear" w:pos="1080"/>
          <w:tab w:val="num" w:pos="1620"/>
        </w:tabs>
        <w:ind w:left="1627"/>
      </w:pPr>
      <w:r>
        <w:t xml:space="preserve">A letter under </w:t>
      </w:r>
      <w:r w:rsidR="001678A7">
        <w:t xml:space="preserve">40 CFR </w:t>
      </w:r>
      <w:r>
        <w:t xml:space="preserve">261.143(e)(10) from the guarantor's chief financial officer.  If the guarantor's parent corporation is also the parent corporation of the owner or operator, the letter must describe the value received in consideration of the guarantee. If the guarantor is a firm with a </w:t>
      </w:r>
      <w:r w:rsidR="001678A7">
        <w:t>“</w:t>
      </w:r>
      <w:r>
        <w:t xml:space="preserve">substantial business relationship'' with the owner or operator, this letter must describe this </w:t>
      </w:r>
      <w:r w:rsidR="001678A7">
        <w:t>“</w:t>
      </w:r>
      <w:r>
        <w:t xml:space="preserve">substantial business relationship'' and the value received in consideration of the guarantee.  </w:t>
      </w:r>
    </w:p>
    <w:p w:rsidR="00F0703B" w:rsidP="00FB09F7" w:rsidRDefault="00F0703B" w14:paraId="60DCDC3F" w14:textId="77777777">
      <w:pPr>
        <w:pStyle w:val="BodyTextDSW"/>
        <w:tabs>
          <w:tab w:val="left" w:pos="1260"/>
        </w:tabs>
        <w:spacing w:before="240" w:after="240"/>
        <w:rPr>
          <w:bCs/>
        </w:rPr>
      </w:pPr>
      <w:r>
        <w:rPr>
          <w:bCs/>
        </w:rPr>
        <w:t>(ii)</w:t>
      </w:r>
      <w:r>
        <w:rPr>
          <w:bCs/>
        </w:rPr>
        <w:tab/>
        <w:t>Respondent activities</w:t>
      </w:r>
    </w:p>
    <w:p w:rsidR="00EB2F29" w:rsidP="00FB09F7" w:rsidRDefault="00EB2F29" w14:paraId="13FA365B" w14:textId="77777777">
      <w:pPr>
        <w:pStyle w:val="BodyTextDSW"/>
        <w:numPr>
          <w:ilvl w:val="0"/>
          <w:numId w:val="5"/>
        </w:numPr>
        <w:tabs>
          <w:tab w:val="clear" w:pos="1080"/>
          <w:tab w:val="num" w:pos="1620"/>
        </w:tabs>
        <w:ind w:left="1627"/>
      </w:pPr>
      <w:r>
        <w:t>The owner/operator must perform the following activities:</w:t>
      </w:r>
    </w:p>
    <w:p w:rsidR="00EB2F29" w:rsidP="00FB09F7" w:rsidRDefault="00EB2F29" w14:paraId="0103FB5B" w14:textId="77777777">
      <w:pPr>
        <w:numPr>
          <w:ilvl w:val="0"/>
          <w:numId w:val="34"/>
        </w:numPr>
        <w:suppressAutoHyphens w:val="0"/>
        <w:autoSpaceDN w:val="0"/>
        <w:adjustRightInd w:val="0"/>
        <w:rPr>
          <w:sz w:val="24"/>
        </w:rPr>
      </w:pPr>
      <w:r>
        <w:rPr>
          <w:sz w:val="24"/>
        </w:rPr>
        <w:t>Prepare and submit to EPA a signed letter, copy of the independent certified public accountant's report on examination of the owner's or operator's financial statements, a special report from the owner’s or operator’s independent certified public accountant if applicable, and a guarantee if applicable.</w:t>
      </w:r>
    </w:p>
    <w:p w:rsidR="00EB2F29" w:rsidP="00FB09F7" w:rsidRDefault="00EB2F29" w14:paraId="10CE91AD" w14:textId="77777777">
      <w:pPr>
        <w:numPr>
          <w:ilvl w:val="0"/>
          <w:numId w:val="34"/>
        </w:numPr>
        <w:suppressAutoHyphens w:val="0"/>
        <w:autoSpaceDN w:val="0"/>
        <w:adjustRightInd w:val="0"/>
        <w:rPr>
          <w:sz w:val="24"/>
        </w:rPr>
      </w:pPr>
      <w:r>
        <w:rPr>
          <w:sz w:val="24"/>
        </w:rPr>
        <w:t xml:space="preserve">To obtain an extension of the time allowed for submission of the documents specified in </w:t>
      </w:r>
      <w:r w:rsidR="001678A7">
        <w:rPr>
          <w:sz w:val="24"/>
        </w:rPr>
        <w:t xml:space="preserve">40 CFR </w:t>
      </w:r>
      <w:r>
        <w:rPr>
          <w:sz w:val="24"/>
        </w:rPr>
        <w:t xml:space="preserve">261.143(e)(3), </w:t>
      </w:r>
      <w:proofErr w:type="gramStart"/>
      <w:r>
        <w:rPr>
          <w:sz w:val="24"/>
        </w:rPr>
        <w:t>prepare</w:t>
      </w:r>
      <w:proofErr w:type="gramEnd"/>
      <w:r>
        <w:rPr>
          <w:sz w:val="24"/>
        </w:rPr>
        <w:t xml:space="preserve"> and send a letter to the Regional Administrator of each Region in which the owner's or operator's facilities to be covered by the financial test are located.  </w:t>
      </w:r>
    </w:p>
    <w:p w:rsidR="00EB2F29" w:rsidP="00FB09F7" w:rsidRDefault="00EB2F29" w14:paraId="5FB7557D" w14:textId="77777777">
      <w:pPr>
        <w:numPr>
          <w:ilvl w:val="0"/>
          <w:numId w:val="34"/>
        </w:numPr>
        <w:suppressAutoHyphens w:val="0"/>
        <w:autoSpaceDN w:val="0"/>
        <w:adjustRightInd w:val="0"/>
        <w:rPr>
          <w:sz w:val="24"/>
        </w:rPr>
      </w:pPr>
      <w:r>
        <w:rPr>
          <w:sz w:val="24"/>
        </w:rPr>
        <w:t xml:space="preserve">Prepare and submit updated information to EPA under </w:t>
      </w:r>
      <w:r w:rsidR="00E62377">
        <w:rPr>
          <w:sz w:val="24"/>
        </w:rPr>
        <w:t xml:space="preserve">40 CFR </w:t>
      </w:r>
      <w:r>
        <w:rPr>
          <w:sz w:val="24"/>
        </w:rPr>
        <w:t>261.143(e)(5), at the close of each fiscal year, as specified.</w:t>
      </w:r>
    </w:p>
    <w:p w:rsidR="00EB2F29" w:rsidP="00FB09F7" w:rsidRDefault="00EB2F29" w14:paraId="1757983B" w14:textId="77777777">
      <w:pPr>
        <w:numPr>
          <w:ilvl w:val="0"/>
          <w:numId w:val="34"/>
        </w:numPr>
        <w:suppressAutoHyphens w:val="0"/>
        <w:autoSpaceDN w:val="0"/>
        <w:adjustRightInd w:val="0"/>
        <w:rPr>
          <w:sz w:val="24"/>
        </w:rPr>
      </w:pPr>
      <w:r>
        <w:rPr>
          <w:sz w:val="24"/>
        </w:rPr>
        <w:t>Prepare and submit a notice to EPA by certified mail of intent to establish alternate financial assurance.</w:t>
      </w:r>
    </w:p>
    <w:p w:rsidR="00EB2F29" w:rsidP="00FB09F7" w:rsidRDefault="00EB2F29" w14:paraId="1677DC50" w14:textId="77777777">
      <w:pPr>
        <w:numPr>
          <w:ilvl w:val="0"/>
          <w:numId w:val="34"/>
        </w:numPr>
        <w:suppressAutoHyphens w:val="0"/>
        <w:autoSpaceDN w:val="0"/>
        <w:adjustRightInd w:val="0"/>
        <w:rPr>
          <w:sz w:val="24"/>
        </w:rPr>
      </w:pPr>
      <w:r>
        <w:rPr>
          <w:sz w:val="24"/>
        </w:rPr>
        <w:t>Prepare and submit reports of financial condition, if requested by the Regional Administrator.</w:t>
      </w:r>
    </w:p>
    <w:p w:rsidR="00EB2F29" w:rsidP="00FB09F7" w:rsidRDefault="00EB2F29" w14:paraId="0F4BAA7A" w14:textId="77777777">
      <w:pPr>
        <w:numPr>
          <w:ilvl w:val="0"/>
          <w:numId w:val="34"/>
        </w:numPr>
        <w:suppressAutoHyphens w:val="0"/>
        <w:autoSpaceDN w:val="0"/>
        <w:adjustRightInd w:val="0"/>
        <w:rPr>
          <w:sz w:val="24"/>
        </w:rPr>
      </w:pPr>
      <w:r>
        <w:rPr>
          <w:sz w:val="24"/>
        </w:rPr>
        <w:t>Obtain alternate financial assurance and obtain EPA approval if required because the financial tests are no longer met or disallowed by EPA.</w:t>
      </w:r>
    </w:p>
    <w:p w:rsidR="00EB2F29" w:rsidP="00FB09F7" w:rsidRDefault="00EB2F29" w14:paraId="64D7D3C0" w14:textId="77777777">
      <w:pPr>
        <w:numPr>
          <w:ilvl w:val="0"/>
          <w:numId w:val="34"/>
        </w:numPr>
        <w:suppressAutoHyphens w:val="0"/>
        <w:autoSpaceDN w:val="0"/>
        <w:adjustRightInd w:val="0"/>
        <w:rPr>
          <w:sz w:val="24"/>
        </w:rPr>
      </w:pPr>
      <w:r>
        <w:rPr>
          <w:sz w:val="24"/>
        </w:rPr>
        <w:t>Comply with the terms in the letter from the chief financial officer and guarantee.</w:t>
      </w:r>
    </w:p>
    <w:p w:rsidRPr="008A60C1" w:rsidR="00DF6328" w:rsidP="008E1762" w:rsidRDefault="00DF6328" w14:paraId="46E346E3" w14:textId="77777777">
      <w:pPr>
        <w:pStyle w:val="BodyTextDSW"/>
        <w:keepNext/>
        <w:numPr>
          <w:ilvl w:val="0"/>
          <w:numId w:val="38"/>
        </w:numPr>
        <w:spacing w:before="240" w:after="240"/>
        <w:ind w:left="540" w:hanging="540"/>
        <w:rPr>
          <w:b/>
          <w:bCs/>
        </w:rPr>
      </w:pPr>
      <w:r>
        <w:rPr>
          <w:b/>
          <w:bCs/>
        </w:rPr>
        <w:lastRenderedPageBreak/>
        <w:t>Receipt Confirmations</w:t>
      </w:r>
    </w:p>
    <w:p w:rsidR="00DF6328" w:rsidP="008E1762" w:rsidRDefault="00DF6328" w14:paraId="18236003" w14:textId="77777777">
      <w:pPr>
        <w:pStyle w:val="BodyTextDSW"/>
        <w:keepNext/>
        <w:tabs>
          <w:tab w:val="left" w:pos="1260"/>
        </w:tabs>
        <w:spacing w:before="240" w:after="240"/>
        <w:rPr>
          <w:bCs/>
        </w:rPr>
      </w:pPr>
      <w:r>
        <w:rPr>
          <w:bCs/>
        </w:rPr>
        <w:t>(</w:t>
      </w:r>
      <w:proofErr w:type="spellStart"/>
      <w:r>
        <w:rPr>
          <w:bCs/>
        </w:rPr>
        <w:t>i</w:t>
      </w:r>
      <w:proofErr w:type="spellEnd"/>
      <w:r>
        <w:rPr>
          <w:bCs/>
        </w:rPr>
        <w:t>)</w:t>
      </w:r>
      <w:r>
        <w:rPr>
          <w:bCs/>
        </w:rPr>
        <w:tab/>
        <w:t>Data items</w:t>
      </w:r>
    </w:p>
    <w:p w:rsidR="00DF6328" w:rsidP="00DF6328" w:rsidRDefault="00DF6328" w14:paraId="20271BFF" w14:textId="77777777">
      <w:pPr>
        <w:pStyle w:val="BodyTextDSW"/>
        <w:keepNext/>
        <w:numPr>
          <w:ilvl w:val="0"/>
          <w:numId w:val="5"/>
        </w:numPr>
        <w:tabs>
          <w:tab w:val="clear" w:pos="1080"/>
          <w:tab w:val="num" w:pos="1620"/>
        </w:tabs>
        <w:ind w:left="1620"/>
      </w:pPr>
      <w:r>
        <w:t>Records of shipments and confirmation of receipts</w:t>
      </w:r>
    </w:p>
    <w:p w:rsidR="00DF6328" w:rsidP="00DF6328" w:rsidRDefault="00DF6328" w14:paraId="1769D55D" w14:textId="77777777">
      <w:pPr>
        <w:pStyle w:val="BodyTextDSW"/>
        <w:tabs>
          <w:tab w:val="left" w:pos="1260"/>
        </w:tabs>
        <w:spacing w:before="240" w:after="240"/>
        <w:rPr>
          <w:bCs/>
        </w:rPr>
      </w:pPr>
      <w:r>
        <w:rPr>
          <w:bCs/>
        </w:rPr>
        <w:t>(ii)</w:t>
      </w:r>
      <w:r>
        <w:rPr>
          <w:bCs/>
        </w:rPr>
        <w:tab/>
        <w:t>Respondent activities</w:t>
      </w:r>
    </w:p>
    <w:p w:rsidR="00DF6328" w:rsidP="00DF6328" w:rsidRDefault="00DF6328" w14:paraId="522B0E73" w14:textId="77777777">
      <w:pPr>
        <w:pStyle w:val="BodyTextDSW"/>
        <w:keepNext/>
        <w:numPr>
          <w:ilvl w:val="0"/>
          <w:numId w:val="5"/>
        </w:numPr>
        <w:tabs>
          <w:tab w:val="clear" w:pos="1080"/>
          <w:tab w:val="num" w:pos="1620"/>
        </w:tabs>
        <w:ind w:left="1620"/>
      </w:pPr>
      <w:r>
        <w:t>Maintain records of shipments and confirmations of receipts for a period of three years from the dates of the shipments</w:t>
      </w:r>
    </w:p>
    <w:p w:rsidR="00F47921" w:rsidP="00965A19" w:rsidRDefault="00F47921" w14:paraId="58D63E6C" w14:textId="77777777">
      <w:pPr>
        <w:pStyle w:val="BodyTextDSW"/>
        <w:numPr>
          <w:ilvl w:val="0"/>
          <w:numId w:val="37"/>
        </w:numPr>
        <w:ind w:left="540" w:hanging="540"/>
        <w:rPr>
          <w:b/>
        </w:rPr>
      </w:pPr>
      <w:r w:rsidRPr="002F7A09">
        <w:rPr>
          <w:b/>
        </w:rPr>
        <w:t>Hazardous Secondary Material Generated and Reclaimed under the Control of the Generator</w:t>
      </w:r>
    </w:p>
    <w:p w:rsidRPr="004364CD" w:rsidR="00A1612F" w:rsidP="004364CD" w:rsidRDefault="00A1612F" w14:paraId="2E259D9C" w14:textId="77777777">
      <w:pPr>
        <w:pStyle w:val="BodyTextDSW"/>
        <w:keepNext/>
        <w:numPr>
          <w:ilvl w:val="0"/>
          <w:numId w:val="39"/>
        </w:numPr>
        <w:spacing w:before="240" w:after="240"/>
        <w:ind w:left="540" w:hanging="540"/>
        <w:rPr>
          <w:b/>
          <w:bCs/>
        </w:rPr>
      </w:pPr>
      <w:r w:rsidRPr="004364CD">
        <w:rPr>
          <w:b/>
          <w:bCs/>
        </w:rPr>
        <w:t>Recordkeeping Requirement for Toll</w:t>
      </w:r>
      <w:r w:rsidRPr="004364CD" w:rsidR="00F67DDD">
        <w:rPr>
          <w:b/>
          <w:bCs/>
        </w:rPr>
        <w:t>ing</w:t>
      </w:r>
      <w:r w:rsidRPr="004364CD">
        <w:rPr>
          <w:b/>
          <w:bCs/>
        </w:rPr>
        <w:t xml:space="preserve"> A</w:t>
      </w:r>
      <w:r w:rsidRPr="004364CD" w:rsidR="00F67DDD">
        <w:rPr>
          <w:b/>
          <w:bCs/>
        </w:rPr>
        <w:t>rrangements</w:t>
      </w:r>
      <w:r w:rsidRPr="004364CD">
        <w:rPr>
          <w:b/>
          <w:bCs/>
        </w:rPr>
        <w:t xml:space="preserve"> </w:t>
      </w:r>
    </w:p>
    <w:p w:rsidR="00A1612F" w:rsidP="004364CD" w:rsidRDefault="00A1612F" w14:paraId="741C447B" w14:textId="77777777">
      <w:pPr>
        <w:pStyle w:val="BodyTextDSW"/>
        <w:keepNext/>
        <w:tabs>
          <w:tab w:val="left" w:pos="1260"/>
        </w:tabs>
        <w:spacing w:before="240" w:after="240"/>
        <w:rPr>
          <w:bCs/>
        </w:rPr>
      </w:pPr>
      <w:r>
        <w:rPr>
          <w:bCs/>
        </w:rPr>
        <w:t>(</w:t>
      </w:r>
      <w:proofErr w:type="spellStart"/>
      <w:r>
        <w:rPr>
          <w:bCs/>
        </w:rPr>
        <w:t>i</w:t>
      </w:r>
      <w:proofErr w:type="spellEnd"/>
      <w:r>
        <w:rPr>
          <w:bCs/>
        </w:rPr>
        <w:t>)</w:t>
      </w:r>
      <w:r>
        <w:rPr>
          <w:bCs/>
        </w:rPr>
        <w:tab/>
        <w:t>Data items</w:t>
      </w:r>
    </w:p>
    <w:p w:rsidR="00A1612F" w:rsidP="004364CD" w:rsidRDefault="00A1612F" w14:paraId="7B7C2894" w14:textId="77777777">
      <w:pPr>
        <w:pStyle w:val="BodyTextDSW"/>
        <w:numPr>
          <w:ilvl w:val="0"/>
          <w:numId w:val="26"/>
        </w:numPr>
      </w:pPr>
      <w:r>
        <w:t xml:space="preserve">Routine business records (e.g., financial records, bills of lading, copies of DOT shipping papers, or electronic confirmations) or new records that contain: </w:t>
      </w:r>
    </w:p>
    <w:p w:rsidRPr="004364CD" w:rsidR="00A1612F" w:rsidP="004364CD" w:rsidRDefault="00A1612F" w14:paraId="652DA662" w14:textId="77777777">
      <w:pPr>
        <w:numPr>
          <w:ilvl w:val="0"/>
          <w:numId w:val="34"/>
        </w:numPr>
        <w:suppressAutoHyphens w:val="0"/>
        <w:autoSpaceDN w:val="0"/>
        <w:adjustRightInd w:val="0"/>
        <w:rPr>
          <w:sz w:val="24"/>
        </w:rPr>
      </w:pPr>
      <w:r w:rsidRPr="004364CD">
        <w:rPr>
          <w:sz w:val="24"/>
        </w:rPr>
        <w:t xml:space="preserve">The name of the </w:t>
      </w:r>
      <w:proofErr w:type="gramStart"/>
      <w:r w:rsidRPr="004364CD">
        <w:rPr>
          <w:sz w:val="24"/>
        </w:rPr>
        <w:t>transporter;</w:t>
      </w:r>
      <w:proofErr w:type="gramEnd"/>
      <w:r w:rsidRPr="004364CD">
        <w:rPr>
          <w:sz w:val="24"/>
        </w:rPr>
        <w:t xml:space="preserve"> </w:t>
      </w:r>
    </w:p>
    <w:p w:rsidRPr="004364CD" w:rsidR="00A1612F" w:rsidP="004364CD" w:rsidRDefault="00A1612F" w14:paraId="2354D7BE" w14:textId="77777777">
      <w:pPr>
        <w:numPr>
          <w:ilvl w:val="0"/>
          <w:numId w:val="34"/>
        </w:numPr>
        <w:suppressAutoHyphens w:val="0"/>
        <w:autoSpaceDN w:val="0"/>
        <w:adjustRightInd w:val="0"/>
        <w:rPr>
          <w:sz w:val="24"/>
        </w:rPr>
      </w:pPr>
      <w:r w:rsidRPr="004364CD">
        <w:rPr>
          <w:sz w:val="24"/>
        </w:rPr>
        <w:t>The date of the shipment; and</w:t>
      </w:r>
    </w:p>
    <w:p w:rsidRPr="004364CD" w:rsidR="00A1612F" w:rsidP="004364CD" w:rsidRDefault="00A1612F" w14:paraId="08E55B36" w14:textId="77777777">
      <w:pPr>
        <w:numPr>
          <w:ilvl w:val="0"/>
          <w:numId w:val="34"/>
        </w:numPr>
        <w:suppressAutoHyphens w:val="0"/>
        <w:autoSpaceDN w:val="0"/>
        <w:adjustRightInd w:val="0"/>
        <w:rPr>
          <w:sz w:val="24"/>
        </w:rPr>
      </w:pPr>
      <w:r w:rsidRPr="004364CD">
        <w:rPr>
          <w:sz w:val="24"/>
        </w:rPr>
        <w:t>The type and quantity of the hazardous secondary material shipped or received pursuant to the written contract.</w:t>
      </w:r>
    </w:p>
    <w:p w:rsidR="00A1612F" w:rsidP="004364CD" w:rsidRDefault="00A1612F" w14:paraId="61E8C928" w14:textId="77777777">
      <w:pPr>
        <w:pStyle w:val="BodyTextDSW"/>
        <w:keepNext/>
        <w:tabs>
          <w:tab w:val="left" w:pos="1260"/>
        </w:tabs>
        <w:spacing w:before="240" w:after="240"/>
        <w:rPr>
          <w:bCs/>
        </w:rPr>
      </w:pPr>
      <w:r>
        <w:rPr>
          <w:bCs/>
        </w:rPr>
        <w:t>(ii)</w:t>
      </w:r>
      <w:r>
        <w:rPr>
          <w:bCs/>
        </w:rPr>
        <w:tab/>
        <w:t>Respondent activities</w:t>
      </w:r>
    </w:p>
    <w:p w:rsidR="00A1612F" w:rsidP="004364CD" w:rsidRDefault="00A1612F" w14:paraId="3A79F99E" w14:textId="77777777">
      <w:pPr>
        <w:pStyle w:val="BodyTextDSW"/>
        <w:numPr>
          <w:ilvl w:val="0"/>
          <w:numId w:val="26"/>
        </w:numPr>
      </w:pPr>
      <w:r>
        <w:t>Prepare and maintain at the tolling contractor facility, for no less than three years, records of all hazardous secondary materials received pursuant to the written contract with the tolling manufacturer</w:t>
      </w:r>
    </w:p>
    <w:p w:rsidR="00A1612F" w:rsidP="004364CD" w:rsidRDefault="00A1612F" w14:paraId="746A066D" w14:textId="77777777">
      <w:pPr>
        <w:pStyle w:val="BodyTextDSW"/>
        <w:numPr>
          <w:ilvl w:val="0"/>
          <w:numId w:val="26"/>
        </w:numPr>
      </w:pPr>
      <w:r>
        <w:t>Prepare and maintain at the tolling manufacturer facility, for no less than three years, records of all hazardous secondary materials shipped pursuant to its written contract with the tolling contractor</w:t>
      </w:r>
    </w:p>
    <w:p w:rsidR="00A25C09" w:rsidP="00B40E9F" w:rsidRDefault="00A25C09" w14:paraId="2285703F" w14:textId="77777777">
      <w:pPr>
        <w:pStyle w:val="BodyTextDSW"/>
        <w:keepNext/>
        <w:numPr>
          <w:ilvl w:val="0"/>
          <w:numId w:val="39"/>
        </w:numPr>
        <w:spacing w:before="240" w:after="240"/>
        <w:ind w:left="540" w:hanging="540"/>
        <w:rPr>
          <w:b/>
          <w:bCs/>
        </w:rPr>
      </w:pPr>
      <w:r w:rsidRPr="004364CD">
        <w:rPr>
          <w:b/>
          <w:bCs/>
        </w:rPr>
        <w:t>Emerg</w:t>
      </w:r>
      <w:r w:rsidRPr="004364CD" w:rsidR="00F47921">
        <w:rPr>
          <w:b/>
          <w:bCs/>
        </w:rPr>
        <w:t>ency Preparedness and Response</w:t>
      </w:r>
    </w:p>
    <w:p w:rsidR="00B40E9F" w:rsidP="004364CD" w:rsidRDefault="00B40E9F" w14:paraId="742FE30C" w14:textId="77777777">
      <w:pPr>
        <w:pStyle w:val="BodyTextDSW"/>
        <w:keepNext/>
        <w:tabs>
          <w:tab w:val="left" w:pos="1260"/>
        </w:tabs>
        <w:spacing w:before="240" w:after="240"/>
        <w:rPr>
          <w:bCs/>
        </w:rPr>
      </w:pPr>
      <w:r>
        <w:rPr>
          <w:bCs/>
        </w:rPr>
        <w:t>(</w:t>
      </w:r>
      <w:proofErr w:type="spellStart"/>
      <w:r>
        <w:rPr>
          <w:bCs/>
        </w:rPr>
        <w:t>i</w:t>
      </w:r>
      <w:proofErr w:type="spellEnd"/>
      <w:r>
        <w:rPr>
          <w:bCs/>
        </w:rPr>
        <w:t>)</w:t>
      </w:r>
      <w:r>
        <w:rPr>
          <w:bCs/>
        </w:rPr>
        <w:tab/>
        <w:t>Data items</w:t>
      </w:r>
    </w:p>
    <w:p w:rsidR="00A25C09" w:rsidP="004364CD" w:rsidRDefault="00A25C09" w14:paraId="6C262C1B" w14:textId="77777777">
      <w:pPr>
        <w:pStyle w:val="BodyTextDSW"/>
        <w:numPr>
          <w:ilvl w:val="0"/>
          <w:numId w:val="26"/>
        </w:numPr>
      </w:pPr>
      <w:r>
        <w:t>Personnel training records should include job titles for each position and the name of each person filling each job, a written job description and necessary qualifications for each position, and the training given to the individual filling that position</w:t>
      </w:r>
    </w:p>
    <w:p w:rsidRPr="00262985" w:rsidR="00A25C09" w:rsidP="004364CD" w:rsidRDefault="00A25C09" w14:paraId="0F77059E" w14:textId="77777777">
      <w:pPr>
        <w:pStyle w:val="BodyTextDSW"/>
        <w:numPr>
          <w:ilvl w:val="0"/>
          <w:numId w:val="26"/>
        </w:numPr>
      </w:pPr>
      <w:r w:rsidRPr="00262985">
        <w:t xml:space="preserve">Contingency plans should include a description of response actions, a description of the arrangements agreed to by local police authorities, contact lists for </w:t>
      </w:r>
      <w:r w:rsidRPr="00EE6EBC">
        <w:t>emergency coordinators, a list of emergency equipment, and an evacuation plan for the facility personnel</w:t>
      </w:r>
    </w:p>
    <w:p w:rsidRPr="00262985" w:rsidR="00A25C09" w:rsidP="004364CD" w:rsidRDefault="00A25C09" w14:paraId="641F30F9" w14:textId="77777777">
      <w:pPr>
        <w:pStyle w:val="BodyTextDSW"/>
        <w:numPr>
          <w:ilvl w:val="0"/>
          <w:numId w:val="26"/>
        </w:numPr>
      </w:pPr>
      <w:r w:rsidRPr="00EE6EBC">
        <w:lastRenderedPageBreak/>
        <w:t>Documentation of whether State or local authorities decline to enter into agreement to become more familiar with the generator’s facility and its waste</w:t>
      </w:r>
    </w:p>
    <w:p w:rsidRPr="00262985" w:rsidR="00A25C09" w:rsidP="004364CD" w:rsidRDefault="00A25C09" w14:paraId="1BA6B19A" w14:textId="77777777">
      <w:pPr>
        <w:pStyle w:val="BodyTextDSW"/>
        <w:numPr>
          <w:ilvl w:val="0"/>
          <w:numId w:val="26"/>
        </w:numPr>
      </w:pPr>
      <w:r w:rsidRPr="00EE6EBC">
        <w:t xml:space="preserve">Notification to fire department of imminent or actual </w:t>
      </w:r>
      <w:proofErr w:type="gramStart"/>
      <w:r w:rsidRPr="00EE6EBC">
        <w:t>emergency situation</w:t>
      </w:r>
      <w:proofErr w:type="gramEnd"/>
    </w:p>
    <w:p w:rsidRPr="00262985" w:rsidR="00A25C09" w:rsidP="004364CD" w:rsidRDefault="00A25C09" w14:paraId="64F81F0F" w14:textId="77777777">
      <w:pPr>
        <w:pStyle w:val="BodyTextDSW"/>
        <w:numPr>
          <w:ilvl w:val="0"/>
          <w:numId w:val="26"/>
        </w:numPr>
      </w:pPr>
      <w:r w:rsidRPr="00EE6EBC">
        <w:t xml:space="preserve">Emergency report to the </w:t>
      </w:r>
      <w:r w:rsidR="008A5AB5">
        <w:t>OSC</w:t>
      </w:r>
      <w:r w:rsidRPr="00EE6EBC">
        <w:t xml:space="preserve"> or NRC, including:</w:t>
      </w:r>
    </w:p>
    <w:p w:rsidRPr="004364CD" w:rsidR="00A25C09" w:rsidP="004364CD" w:rsidRDefault="00A25C09" w14:paraId="1DCC728B" w14:textId="77777777">
      <w:pPr>
        <w:numPr>
          <w:ilvl w:val="0"/>
          <w:numId w:val="34"/>
        </w:numPr>
        <w:suppressAutoHyphens w:val="0"/>
        <w:autoSpaceDN w:val="0"/>
        <w:adjustRightInd w:val="0"/>
        <w:rPr>
          <w:sz w:val="24"/>
        </w:rPr>
      </w:pPr>
      <w:r w:rsidRPr="004364CD">
        <w:rPr>
          <w:sz w:val="24"/>
        </w:rPr>
        <w:t xml:space="preserve">Name and telephone number of </w:t>
      </w:r>
      <w:proofErr w:type="gramStart"/>
      <w:r w:rsidRPr="004364CD">
        <w:rPr>
          <w:sz w:val="24"/>
        </w:rPr>
        <w:t>reporter;</w:t>
      </w:r>
      <w:proofErr w:type="gramEnd"/>
    </w:p>
    <w:p w:rsidRPr="004364CD" w:rsidR="00A25C09" w:rsidP="004364CD" w:rsidRDefault="00A25C09" w14:paraId="47530E25" w14:textId="77777777">
      <w:pPr>
        <w:numPr>
          <w:ilvl w:val="0"/>
          <w:numId w:val="34"/>
        </w:numPr>
        <w:suppressAutoHyphens w:val="0"/>
        <w:autoSpaceDN w:val="0"/>
        <w:adjustRightInd w:val="0"/>
        <w:rPr>
          <w:sz w:val="24"/>
        </w:rPr>
      </w:pPr>
      <w:r w:rsidRPr="004364CD">
        <w:rPr>
          <w:sz w:val="24"/>
        </w:rPr>
        <w:t xml:space="preserve">Name and address of </w:t>
      </w:r>
      <w:proofErr w:type="gramStart"/>
      <w:r w:rsidRPr="004364CD">
        <w:rPr>
          <w:sz w:val="24"/>
        </w:rPr>
        <w:t>facility;</w:t>
      </w:r>
      <w:proofErr w:type="gramEnd"/>
    </w:p>
    <w:p w:rsidRPr="004364CD" w:rsidR="00A25C09" w:rsidP="004364CD" w:rsidRDefault="00A25C09" w14:paraId="58527E80" w14:textId="77777777">
      <w:pPr>
        <w:numPr>
          <w:ilvl w:val="0"/>
          <w:numId w:val="34"/>
        </w:numPr>
        <w:suppressAutoHyphens w:val="0"/>
        <w:autoSpaceDN w:val="0"/>
        <w:adjustRightInd w:val="0"/>
        <w:rPr>
          <w:sz w:val="24"/>
        </w:rPr>
      </w:pPr>
      <w:r w:rsidRPr="004364CD">
        <w:rPr>
          <w:sz w:val="24"/>
        </w:rPr>
        <w:t xml:space="preserve">Time and type of </w:t>
      </w:r>
      <w:proofErr w:type="gramStart"/>
      <w:r w:rsidRPr="004364CD">
        <w:rPr>
          <w:sz w:val="24"/>
        </w:rPr>
        <w:t>incident;</w:t>
      </w:r>
      <w:proofErr w:type="gramEnd"/>
    </w:p>
    <w:p w:rsidRPr="004364CD" w:rsidR="00A25C09" w:rsidP="004364CD" w:rsidRDefault="00A25C09" w14:paraId="6FCBE544" w14:textId="77777777">
      <w:pPr>
        <w:numPr>
          <w:ilvl w:val="0"/>
          <w:numId w:val="34"/>
        </w:numPr>
        <w:suppressAutoHyphens w:val="0"/>
        <w:autoSpaceDN w:val="0"/>
        <w:adjustRightInd w:val="0"/>
        <w:rPr>
          <w:sz w:val="24"/>
        </w:rPr>
      </w:pPr>
      <w:r w:rsidRPr="004364CD">
        <w:rPr>
          <w:sz w:val="24"/>
        </w:rPr>
        <w:t xml:space="preserve">Name and quantity of material(s) </w:t>
      </w:r>
      <w:proofErr w:type="gramStart"/>
      <w:r w:rsidRPr="004364CD">
        <w:rPr>
          <w:sz w:val="24"/>
        </w:rPr>
        <w:t>involved;</w:t>
      </w:r>
      <w:proofErr w:type="gramEnd"/>
    </w:p>
    <w:p w:rsidRPr="004364CD" w:rsidR="00A25C09" w:rsidP="004364CD" w:rsidRDefault="00A25C09" w14:paraId="7C2749B3" w14:textId="77777777">
      <w:pPr>
        <w:numPr>
          <w:ilvl w:val="0"/>
          <w:numId w:val="34"/>
        </w:numPr>
        <w:suppressAutoHyphens w:val="0"/>
        <w:autoSpaceDN w:val="0"/>
        <w:adjustRightInd w:val="0"/>
        <w:rPr>
          <w:sz w:val="24"/>
        </w:rPr>
      </w:pPr>
      <w:r w:rsidRPr="004364CD">
        <w:rPr>
          <w:sz w:val="24"/>
        </w:rPr>
        <w:t>The extent of injuries; and</w:t>
      </w:r>
    </w:p>
    <w:p w:rsidRPr="004364CD" w:rsidR="00A25C09" w:rsidP="004364CD" w:rsidRDefault="00A25C09" w14:paraId="0A435CBB" w14:textId="77777777">
      <w:pPr>
        <w:numPr>
          <w:ilvl w:val="0"/>
          <w:numId w:val="34"/>
        </w:numPr>
        <w:suppressAutoHyphens w:val="0"/>
        <w:autoSpaceDN w:val="0"/>
        <w:adjustRightInd w:val="0"/>
        <w:rPr>
          <w:sz w:val="24"/>
        </w:rPr>
      </w:pPr>
      <w:r w:rsidRPr="004364CD">
        <w:rPr>
          <w:sz w:val="24"/>
        </w:rPr>
        <w:t>Possible hazards to human health or the environment outside the facility</w:t>
      </w:r>
    </w:p>
    <w:p w:rsidR="00A25C09" w:rsidP="004364CD" w:rsidRDefault="00A25C09" w14:paraId="5549196B" w14:textId="77777777">
      <w:pPr>
        <w:pStyle w:val="BodyTextDSW"/>
        <w:keepNext/>
        <w:tabs>
          <w:tab w:val="left" w:pos="1260"/>
        </w:tabs>
        <w:spacing w:before="240" w:after="240"/>
        <w:rPr>
          <w:bCs/>
        </w:rPr>
      </w:pPr>
      <w:r w:rsidRPr="00852DDE" w:rsidDel="00813FEA">
        <w:rPr>
          <w:bCs/>
        </w:rPr>
        <w:t xml:space="preserve"> </w:t>
      </w:r>
      <w:r>
        <w:rPr>
          <w:bCs/>
        </w:rPr>
        <w:t>(ii)</w:t>
      </w:r>
      <w:r>
        <w:rPr>
          <w:bCs/>
        </w:rPr>
        <w:tab/>
        <w:t>Respondent activities</w:t>
      </w:r>
    </w:p>
    <w:p w:rsidR="00A25C09" w:rsidP="004364CD" w:rsidRDefault="00A25C09" w14:paraId="70611382" w14:textId="77777777">
      <w:pPr>
        <w:pStyle w:val="BodyTextDSW"/>
        <w:numPr>
          <w:ilvl w:val="0"/>
          <w:numId w:val="26"/>
        </w:numPr>
      </w:pPr>
      <w:r>
        <w:t>Collect and maintain the personnel training records as described above</w:t>
      </w:r>
    </w:p>
    <w:p w:rsidR="00A25C09" w:rsidP="004364CD" w:rsidRDefault="00A25C09" w14:paraId="573642CF" w14:textId="77777777">
      <w:pPr>
        <w:pStyle w:val="BodyTextDSW"/>
        <w:numPr>
          <w:ilvl w:val="0"/>
          <w:numId w:val="26"/>
        </w:numPr>
      </w:pPr>
      <w:r>
        <w:t>Under contingency planning requirements, generators must:</w:t>
      </w:r>
    </w:p>
    <w:p w:rsidRPr="004364CD" w:rsidR="00A25C09" w:rsidP="004364CD" w:rsidRDefault="00A25C09" w14:paraId="57ADDE48" w14:textId="77777777">
      <w:pPr>
        <w:numPr>
          <w:ilvl w:val="0"/>
          <w:numId w:val="34"/>
        </w:numPr>
        <w:suppressAutoHyphens w:val="0"/>
        <w:autoSpaceDN w:val="0"/>
        <w:adjustRightInd w:val="0"/>
        <w:rPr>
          <w:sz w:val="24"/>
        </w:rPr>
      </w:pPr>
      <w:r w:rsidRPr="004364CD">
        <w:rPr>
          <w:sz w:val="24"/>
        </w:rPr>
        <w:t xml:space="preserve">Collect data required in contingency </w:t>
      </w:r>
      <w:proofErr w:type="gramStart"/>
      <w:r w:rsidRPr="004364CD">
        <w:rPr>
          <w:sz w:val="24"/>
        </w:rPr>
        <w:t>plan;</w:t>
      </w:r>
      <w:proofErr w:type="gramEnd"/>
    </w:p>
    <w:p w:rsidRPr="004364CD" w:rsidR="00A25C09" w:rsidP="004364CD" w:rsidRDefault="00A25C09" w14:paraId="44355D40" w14:textId="77777777">
      <w:pPr>
        <w:numPr>
          <w:ilvl w:val="0"/>
          <w:numId w:val="34"/>
        </w:numPr>
        <w:suppressAutoHyphens w:val="0"/>
        <w:autoSpaceDN w:val="0"/>
        <w:adjustRightInd w:val="0"/>
        <w:rPr>
          <w:sz w:val="24"/>
        </w:rPr>
      </w:pPr>
      <w:r w:rsidRPr="004364CD">
        <w:rPr>
          <w:sz w:val="24"/>
        </w:rPr>
        <w:t xml:space="preserve">Document whether authorities decline </w:t>
      </w:r>
      <w:proofErr w:type="gramStart"/>
      <w:r w:rsidRPr="004364CD">
        <w:rPr>
          <w:sz w:val="24"/>
        </w:rPr>
        <w:t>arrangement;</w:t>
      </w:r>
      <w:proofErr w:type="gramEnd"/>
    </w:p>
    <w:p w:rsidRPr="004364CD" w:rsidR="00A25C09" w:rsidP="004364CD" w:rsidRDefault="00A25C09" w14:paraId="4E474C12" w14:textId="77777777">
      <w:pPr>
        <w:numPr>
          <w:ilvl w:val="0"/>
          <w:numId w:val="34"/>
        </w:numPr>
        <w:suppressAutoHyphens w:val="0"/>
        <w:autoSpaceDN w:val="0"/>
        <w:adjustRightInd w:val="0"/>
        <w:rPr>
          <w:sz w:val="24"/>
        </w:rPr>
      </w:pPr>
      <w:r w:rsidRPr="004364CD">
        <w:rPr>
          <w:sz w:val="24"/>
        </w:rPr>
        <w:t xml:space="preserve">Write contingency </w:t>
      </w:r>
      <w:proofErr w:type="gramStart"/>
      <w:r w:rsidRPr="004364CD">
        <w:rPr>
          <w:sz w:val="24"/>
        </w:rPr>
        <w:t>plan;</w:t>
      </w:r>
      <w:proofErr w:type="gramEnd"/>
      <w:r w:rsidRPr="004364CD">
        <w:rPr>
          <w:sz w:val="24"/>
        </w:rPr>
        <w:t xml:space="preserve"> </w:t>
      </w:r>
    </w:p>
    <w:p w:rsidRPr="004364CD" w:rsidR="00A25C09" w:rsidP="004364CD" w:rsidRDefault="00A25C09" w14:paraId="203E36FE" w14:textId="77777777">
      <w:pPr>
        <w:numPr>
          <w:ilvl w:val="0"/>
          <w:numId w:val="34"/>
        </w:numPr>
        <w:suppressAutoHyphens w:val="0"/>
        <w:autoSpaceDN w:val="0"/>
        <w:adjustRightInd w:val="0"/>
        <w:rPr>
          <w:sz w:val="24"/>
        </w:rPr>
      </w:pPr>
      <w:r w:rsidRPr="004364CD">
        <w:rPr>
          <w:sz w:val="24"/>
        </w:rPr>
        <w:t xml:space="preserve">Maintain contingency </w:t>
      </w:r>
      <w:proofErr w:type="gramStart"/>
      <w:r w:rsidRPr="004364CD">
        <w:rPr>
          <w:sz w:val="24"/>
        </w:rPr>
        <w:t>plan;</w:t>
      </w:r>
      <w:proofErr w:type="gramEnd"/>
    </w:p>
    <w:p w:rsidRPr="004364CD" w:rsidR="00A25C09" w:rsidP="004364CD" w:rsidRDefault="00A25C09" w14:paraId="0DD069B2" w14:textId="77777777">
      <w:pPr>
        <w:numPr>
          <w:ilvl w:val="0"/>
          <w:numId w:val="34"/>
        </w:numPr>
        <w:suppressAutoHyphens w:val="0"/>
        <w:autoSpaceDN w:val="0"/>
        <w:adjustRightInd w:val="0"/>
        <w:rPr>
          <w:sz w:val="24"/>
        </w:rPr>
      </w:pPr>
      <w:r w:rsidRPr="004364CD">
        <w:rPr>
          <w:sz w:val="24"/>
        </w:rPr>
        <w:t>Submit contingency plan to relevant emergency centers; and</w:t>
      </w:r>
    </w:p>
    <w:p w:rsidRPr="004364CD" w:rsidR="00A25C09" w:rsidP="00FA2DC7" w:rsidRDefault="00A25C09" w14:paraId="0F7386B7" w14:textId="77777777">
      <w:pPr>
        <w:numPr>
          <w:ilvl w:val="0"/>
          <w:numId w:val="34"/>
        </w:numPr>
        <w:suppressAutoHyphens w:val="0"/>
        <w:autoSpaceDN w:val="0"/>
        <w:adjustRightInd w:val="0"/>
        <w:spacing w:after="120"/>
        <w:rPr>
          <w:sz w:val="24"/>
        </w:rPr>
      </w:pPr>
      <w:r w:rsidRPr="004364CD">
        <w:rPr>
          <w:sz w:val="24"/>
        </w:rPr>
        <w:t>Amend contingency plan, when appropriate</w:t>
      </w:r>
    </w:p>
    <w:p w:rsidR="00A25C09" w:rsidP="004364CD" w:rsidRDefault="00A25C09" w14:paraId="5E03E508" w14:textId="77777777">
      <w:pPr>
        <w:pStyle w:val="BodyTextDSW"/>
        <w:numPr>
          <w:ilvl w:val="0"/>
          <w:numId w:val="26"/>
        </w:numPr>
      </w:pPr>
      <w:r>
        <w:t xml:space="preserve">Under emergency procedure requirements, generators accumulating less than 6,000 kg of </w:t>
      </w:r>
      <w:r w:rsidRPr="00813FEA">
        <w:t>hazardous secondary material</w:t>
      </w:r>
      <w:r>
        <w:t xml:space="preserve"> must:</w:t>
      </w:r>
    </w:p>
    <w:p w:rsidRPr="004364CD" w:rsidR="00A25C09" w:rsidP="004364CD" w:rsidRDefault="00A25C09" w14:paraId="567659D8" w14:textId="77777777">
      <w:pPr>
        <w:numPr>
          <w:ilvl w:val="0"/>
          <w:numId w:val="34"/>
        </w:numPr>
        <w:suppressAutoHyphens w:val="0"/>
        <w:autoSpaceDN w:val="0"/>
        <w:adjustRightInd w:val="0"/>
        <w:rPr>
          <w:sz w:val="24"/>
        </w:rPr>
      </w:pPr>
      <w:r w:rsidRPr="004364CD">
        <w:rPr>
          <w:sz w:val="24"/>
        </w:rPr>
        <w:t xml:space="preserve">Observe scene of hazardous waste </w:t>
      </w:r>
      <w:proofErr w:type="gramStart"/>
      <w:r w:rsidRPr="004364CD">
        <w:rPr>
          <w:sz w:val="24"/>
        </w:rPr>
        <w:t>discharge;</w:t>
      </w:r>
      <w:proofErr w:type="gramEnd"/>
    </w:p>
    <w:p w:rsidRPr="004364CD" w:rsidR="00A25C09" w:rsidP="004364CD" w:rsidRDefault="00A25C09" w14:paraId="15618990" w14:textId="77777777">
      <w:pPr>
        <w:numPr>
          <w:ilvl w:val="0"/>
          <w:numId w:val="34"/>
        </w:numPr>
        <w:suppressAutoHyphens w:val="0"/>
        <w:autoSpaceDN w:val="0"/>
        <w:adjustRightInd w:val="0"/>
        <w:rPr>
          <w:sz w:val="24"/>
        </w:rPr>
      </w:pPr>
      <w:r w:rsidRPr="004364CD">
        <w:rPr>
          <w:sz w:val="24"/>
        </w:rPr>
        <w:t xml:space="preserve">Report by phone requested data for </w:t>
      </w:r>
      <w:proofErr w:type="gramStart"/>
      <w:r w:rsidRPr="004364CD">
        <w:rPr>
          <w:sz w:val="24"/>
        </w:rPr>
        <w:t>NRC;</w:t>
      </w:r>
      <w:proofErr w:type="gramEnd"/>
    </w:p>
    <w:p w:rsidRPr="004364CD" w:rsidR="00A25C09" w:rsidP="004364CD" w:rsidRDefault="00A25C09" w14:paraId="59E727D6" w14:textId="77777777">
      <w:pPr>
        <w:numPr>
          <w:ilvl w:val="0"/>
          <w:numId w:val="34"/>
        </w:numPr>
        <w:suppressAutoHyphens w:val="0"/>
        <w:autoSpaceDN w:val="0"/>
        <w:adjustRightInd w:val="0"/>
        <w:rPr>
          <w:sz w:val="24"/>
        </w:rPr>
      </w:pPr>
      <w:r w:rsidRPr="004364CD">
        <w:rPr>
          <w:sz w:val="24"/>
        </w:rPr>
        <w:t xml:space="preserve">Document that local officials </w:t>
      </w:r>
      <w:proofErr w:type="gramStart"/>
      <w:r w:rsidRPr="004364CD">
        <w:rPr>
          <w:sz w:val="24"/>
        </w:rPr>
        <w:t>declines</w:t>
      </w:r>
      <w:proofErr w:type="gramEnd"/>
      <w:r w:rsidRPr="004364CD">
        <w:rPr>
          <w:sz w:val="24"/>
        </w:rPr>
        <w:t xml:space="preserve"> to enter into arrangements for coordinating response; and </w:t>
      </w:r>
    </w:p>
    <w:p w:rsidRPr="004364CD" w:rsidR="00A25C09" w:rsidP="00FA2DC7" w:rsidRDefault="00A25C09" w14:paraId="13F0245F" w14:textId="77777777">
      <w:pPr>
        <w:numPr>
          <w:ilvl w:val="0"/>
          <w:numId w:val="34"/>
        </w:numPr>
        <w:suppressAutoHyphens w:val="0"/>
        <w:autoSpaceDN w:val="0"/>
        <w:adjustRightInd w:val="0"/>
        <w:spacing w:after="120"/>
        <w:rPr>
          <w:sz w:val="24"/>
        </w:rPr>
      </w:pPr>
      <w:r w:rsidRPr="004364CD">
        <w:rPr>
          <w:sz w:val="24"/>
        </w:rPr>
        <w:t>Providing post-emergency information by phone</w:t>
      </w:r>
    </w:p>
    <w:p w:rsidR="00A25C09" w:rsidP="004364CD" w:rsidRDefault="00A25C09" w14:paraId="7EB00C00" w14:textId="77777777">
      <w:pPr>
        <w:pStyle w:val="BodyTextDSW"/>
        <w:numPr>
          <w:ilvl w:val="0"/>
          <w:numId w:val="26"/>
        </w:numPr>
      </w:pPr>
      <w:r>
        <w:t xml:space="preserve">Under emergency procedure requirements, generators accumulating more than 6,000 kg of </w:t>
      </w:r>
      <w:r w:rsidRPr="00813FEA">
        <w:t>hazardous secondary material</w:t>
      </w:r>
      <w:r>
        <w:t xml:space="preserve"> must:</w:t>
      </w:r>
    </w:p>
    <w:p w:rsidRPr="004364CD" w:rsidR="00A25C09" w:rsidP="004364CD" w:rsidRDefault="00A25C09" w14:paraId="42C964BF" w14:textId="77777777">
      <w:pPr>
        <w:numPr>
          <w:ilvl w:val="0"/>
          <w:numId w:val="34"/>
        </w:numPr>
        <w:suppressAutoHyphens w:val="0"/>
        <w:autoSpaceDN w:val="0"/>
        <w:adjustRightInd w:val="0"/>
        <w:rPr>
          <w:sz w:val="24"/>
        </w:rPr>
      </w:pPr>
      <w:r w:rsidRPr="004364CD">
        <w:rPr>
          <w:sz w:val="24"/>
        </w:rPr>
        <w:t xml:space="preserve">Collect information required in emergency </w:t>
      </w:r>
      <w:proofErr w:type="gramStart"/>
      <w:r w:rsidRPr="004364CD">
        <w:rPr>
          <w:sz w:val="24"/>
        </w:rPr>
        <w:t>report;</w:t>
      </w:r>
      <w:proofErr w:type="gramEnd"/>
    </w:p>
    <w:p w:rsidRPr="004364CD" w:rsidR="00A25C09" w:rsidP="004364CD" w:rsidRDefault="00A25C09" w14:paraId="432AB9E5" w14:textId="77777777">
      <w:pPr>
        <w:numPr>
          <w:ilvl w:val="0"/>
          <w:numId w:val="34"/>
        </w:numPr>
        <w:suppressAutoHyphens w:val="0"/>
        <w:autoSpaceDN w:val="0"/>
        <w:adjustRightInd w:val="0"/>
        <w:rPr>
          <w:sz w:val="24"/>
        </w:rPr>
      </w:pPr>
      <w:r w:rsidRPr="004364CD">
        <w:rPr>
          <w:sz w:val="24"/>
        </w:rPr>
        <w:t>Write emergency report; and</w:t>
      </w:r>
    </w:p>
    <w:p w:rsidR="00A25C09" w:rsidP="00B40E9F" w:rsidRDefault="00A25C09" w14:paraId="592A5D1B" w14:textId="77777777">
      <w:pPr>
        <w:numPr>
          <w:ilvl w:val="0"/>
          <w:numId w:val="34"/>
        </w:numPr>
        <w:suppressAutoHyphens w:val="0"/>
        <w:autoSpaceDN w:val="0"/>
        <w:adjustRightInd w:val="0"/>
        <w:rPr>
          <w:sz w:val="24"/>
        </w:rPr>
      </w:pPr>
      <w:r w:rsidRPr="004364CD">
        <w:rPr>
          <w:sz w:val="24"/>
        </w:rPr>
        <w:t>Call OSC or notify NRC; notify local authorities if advisable</w:t>
      </w:r>
    </w:p>
    <w:p w:rsidRPr="00965A19" w:rsidR="001F3F6B" w:rsidP="001F3F6B" w:rsidRDefault="001F3F6B" w14:paraId="4942C99F" w14:textId="77777777">
      <w:pPr>
        <w:pStyle w:val="BodyTextDSW"/>
        <w:keepNext/>
        <w:numPr>
          <w:ilvl w:val="0"/>
          <w:numId w:val="39"/>
        </w:numPr>
        <w:spacing w:before="240" w:after="240"/>
        <w:ind w:left="540" w:hanging="540"/>
        <w:rPr>
          <w:b/>
          <w:bCs/>
        </w:rPr>
      </w:pPr>
      <w:r w:rsidRPr="00965A19">
        <w:rPr>
          <w:b/>
          <w:bCs/>
        </w:rPr>
        <w:t>Certifications</w:t>
      </w:r>
    </w:p>
    <w:p w:rsidR="001F3F6B" w:rsidP="001F3F6B" w:rsidRDefault="001F3F6B" w14:paraId="223DB96C" w14:textId="77777777">
      <w:pPr>
        <w:pStyle w:val="BodyTextDSW"/>
        <w:keepNext/>
        <w:tabs>
          <w:tab w:val="left" w:pos="1260"/>
        </w:tabs>
        <w:spacing w:before="240" w:after="240"/>
        <w:rPr>
          <w:bCs/>
        </w:rPr>
      </w:pPr>
      <w:r>
        <w:rPr>
          <w:bCs/>
        </w:rPr>
        <w:t>(</w:t>
      </w:r>
      <w:proofErr w:type="spellStart"/>
      <w:r>
        <w:rPr>
          <w:bCs/>
        </w:rPr>
        <w:t>i</w:t>
      </w:r>
      <w:proofErr w:type="spellEnd"/>
      <w:r>
        <w:rPr>
          <w:bCs/>
        </w:rPr>
        <w:t>)</w:t>
      </w:r>
      <w:r>
        <w:rPr>
          <w:bCs/>
        </w:rPr>
        <w:tab/>
        <w:t>Data items</w:t>
      </w:r>
    </w:p>
    <w:p w:rsidR="001F3F6B" w:rsidP="001F3F6B" w:rsidRDefault="001F3F6B" w14:paraId="34FF23D9" w14:textId="77777777">
      <w:pPr>
        <w:pStyle w:val="BodyTextDSW"/>
        <w:numPr>
          <w:ilvl w:val="0"/>
          <w:numId w:val="26"/>
        </w:numPr>
      </w:pPr>
      <w:r>
        <w:t>For generators generating and reclaiming within the same company, a certification from the generator stating one of the following:</w:t>
      </w:r>
    </w:p>
    <w:p w:rsidRPr="00965A19" w:rsidR="001F3F6B" w:rsidP="00FA2DC7" w:rsidRDefault="001F3F6B" w14:paraId="3B0F1DD7" w14:textId="77777777">
      <w:pPr>
        <w:widowControl/>
        <w:numPr>
          <w:ilvl w:val="0"/>
          <w:numId w:val="34"/>
        </w:numPr>
        <w:suppressAutoHyphens w:val="0"/>
        <w:autoSpaceDN w:val="0"/>
        <w:adjustRightInd w:val="0"/>
        <w:spacing w:after="120"/>
        <w:rPr>
          <w:sz w:val="24"/>
        </w:rPr>
      </w:pPr>
      <w:r>
        <w:lastRenderedPageBreak/>
        <w:t>“</w:t>
      </w:r>
      <w:r w:rsidRPr="00965A19">
        <w:rPr>
          <w:sz w:val="24"/>
        </w:rPr>
        <w:t xml:space="preserve">On behalf of [insert generator facility name], I certify that this facility will send the indicated hazardous secondary material to [insert reclaimer facility name], which is controlled by [insert generator facility name] and that [insert the name of either facility] has acknowledged full responsibility for the safe management of the hazardous secondary material;” or </w:t>
      </w:r>
    </w:p>
    <w:p w:rsidRPr="00965A19" w:rsidR="001F3F6B" w:rsidP="00FA2DC7" w:rsidRDefault="001F3F6B" w14:paraId="4DF88B0F" w14:textId="77777777">
      <w:pPr>
        <w:numPr>
          <w:ilvl w:val="0"/>
          <w:numId w:val="34"/>
        </w:numPr>
        <w:suppressAutoHyphens w:val="0"/>
        <w:autoSpaceDN w:val="0"/>
        <w:adjustRightInd w:val="0"/>
        <w:spacing w:after="120"/>
        <w:rPr>
          <w:sz w:val="24"/>
        </w:rPr>
      </w:pPr>
      <w:r w:rsidRPr="00965A19">
        <w:rPr>
          <w:sz w:val="24"/>
        </w:rPr>
        <w:t xml:space="preserve">“On behalf of [insert generator facility name], I certify that this facility will send the indicated hazardous secondary material to [insert reclaimer facility name], that both facilities are under common control, and that [insert name of either facility] has acknowledged full responsibility for the safe management of the hazardous secondary material.” </w:t>
      </w:r>
    </w:p>
    <w:p w:rsidR="001F3F6B" w:rsidP="001F3F6B" w:rsidRDefault="001F3F6B" w14:paraId="52FBA301" w14:textId="77777777">
      <w:pPr>
        <w:pStyle w:val="BodyTextDSW"/>
        <w:numPr>
          <w:ilvl w:val="0"/>
          <w:numId w:val="26"/>
        </w:numPr>
      </w:pPr>
      <w:r>
        <w:t xml:space="preserve">For generators generating and reclaiming under a tolling arrangement, a certification from the tolling contractor stating the following: “On behalf of [insert tolling contractor name], I certify that [insert tolling contractor name] has a written contract with [insert toll manufacturer name] to manufacture [insert name of product or intermediate] which is made from specified unused materials, and that [insert tolling contractor name] will reclaim the hazardous secondary materials generated during this manufacture. On behalf of [insert tolling contractor name], I also certify that [insert tolling contractor name] retains ownership of, and responsibility for, the hazardous secondary materials that are generated </w:t>
      </w:r>
      <w:proofErr w:type="gramStart"/>
      <w:r>
        <w:t>during the course of</w:t>
      </w:r>
      <w:proofErr w:type="gramEnd"/>
      <w:r>
        <w:t xml:space="preserve"> the manufacture, including any releases of hazardous secondary materials that occur during the manufacturing process.”  </w:t>
      </w:r>
    </w:p>
    <w:p w:rsidRPr="00AF6593" w:rsidR="001F3F6B" w:rsidP="001F3F6B" w:rsidRDefault="001F3F6B" w14:paraId="1AA92E10" w14:textId="77777777">
      <w:pPr>
        <w:pStyle w:val="BodyTextDSW"/>
        <w:keepNext/>
        <w:tabs>
          <w:tab w:val="left" w:pos="1260"/>
        </w:tabs>
        <w:spacing w:before="240" w:after="240"/>
        <w:rPr>
          <w:bCs/>
        </w:rPr>
      </w:pPr>
      <w:r w:rsidRPr="00852DDE">
        <w:rPr>
          <w:bCs/>
        </w:rPr>
        <w:t>(ii)</w:t>
      </w:r>
      <w:r w:rsidRPr="00852DDE">
        <w:rPr>
          <w:bCs/>
        </w:rPr>
        <w:tab/>
        <w:t>Respondent activities</w:t>
      </w:r>
    </w:p>
    <w:p w:rsidR="001F3F6B" w:rsidP="001F3F6B" w:rsidRDefault="001F3F6B" w14:paraId="6758E757" w14:textId="77777777">
      <w:pPr>
        <w:pStyle w:val="BodyTextDSW"/>
        <w:numPr>
          <w:ilvl w:val="0"/>
          <w:numId w:val="26"/>
        </w:numPr>
      </w:pPr>
      <w:r>
        <w:t>The generator or tolling contractor must prepare the certification</w:t>
      </w:r>
    </w:p>
    <w:p w:rsidRPr="004364CD" w:rsidR="001F3F6B" w:rsidP="004364CD" w:rsidRDefault="001F3F6B" w14:paraId="58AFD20A" w14:textId="77777777">
      <w:pPr>
        <w:suppressAutoHyphens w:val="0"/>
        <w:autoSpaceDN w:val="0"/>
        <w:adjustRightInd w:val="0"/>
        <w:rPr>
          <w:sz w:val="24"/>
        </w:rPr>
      </w:pPr>
    </w:p>
    <w:p w:rsidR="00173D6E" w:rsidP="004364CD" w:rsidRDefault="00173D6E" w14:paraId="6C19B6E0" w14:textId="77777777">
      <w:pPr>
        <w:pStyle w:val="BodyTextDSW"/>
        <w:numPr>
          <w:ilvl w:val="0"/>
          <w:numId w:val="37"/>
        </w:numPr>
        <w:ind w:left="540" w:hanging="540"/>
        <w:rPr>
          <w:b/>
        </w:rPr>
      </w:pPr>
      <w:r w:rsidRPr="002F7A09">
        <w:rPr>
          <w:b/>
        </w:rPr>
        <w:t>Solid Waste Variances and Non-Waste Determinations</w:t>
      </w:r>
    </w:p>
    <w:p w:rsidRPr="004364CD" w:rsidR="00A1612F" w:rsidP="004364CD" w:rsidRDefault="00A1612F" w14:paraId="3189A922" w14:textId="77777777">
      <w:pPr>
        <w:pStyle w:val="BodyTextDSW"/>
        <w:keepNext/>
        <w:numPr>
          <w:ilvl w:val="0"/>
          <w:numId w:val="40"/>
        </w:numPr>
        <w:spacing w:before="240" w:after="240"/>
        <w:rPr>
          <w:b/>
          <w:bCs/>
        </w:rPr>
      </w:pPr>
      <w:r w:rsidRPr="004364CD">
        <w:rPr>
          <w:b/>
          <w:bCs/>
        </w:rPr>
        <w:t>Variance</w:t>
      </w:r>
      <w:r w:rsidRPr="004364CD" w:rsidR="00744494">
        <w:rPr>
          <w:b/>
          <w:bCs/>
        </w:rPr>
        <w:t>s</w:t>
      </w:r>
      <w:r w:rsidRPr="004364CD">
        <w:rPr>
          <w:b/>
          <w:bCs/>
        </w:rPr>
        <w:t xml:space="preserve"> </w:t>
      </w:r>
      <w:r w:rsidRPr="004364CD" w:rsidR="00242BA5">
        <w:rPr>
          <w:b/>
          <w:bCs/>
        </w:rPr>
        <w:t>from Classification as a Solid Waste</w:t>
      </w:r>
    </w:p>
    <w:p w:rsidR="00962D9F" w:rsidRDefault="00A1612F" w14:paraId="092A5DA3" w14:textId="77777777">
      <w:pPr>
        <w:pStyle w:val="BodyTextDSW"/>
      </w:pPr>
      <w:r>
        <w:t>Under current 40 CFR 260.31, the Regional Administrator may grant a request for a variance f</w:t>
      </w:r>
      <w:r w:rsidR="00962D9F">
        <w:t>rom classification of a solid waste for (1) materials that are accumulated speculatively if sufficient amounts of the material will be recycled or transferred for recycling in the following year (§ 260.31(a)); (2) for materials that are reclaimed and then reused as feedstock within the original production process (§ 260.31(b)); and (3) for materials that have been reclaimed but must be reclaimed further if the resulting partially-reclaiming material is commodity-like (“partial reclamation variance”) (§ 260.31(c)).</w:t>
      </w:r>
      <w:r>
        <w:t xml:space="preserve"> </w:t>
      </w:r>
    </w:p>
    <w:p w:rsidRPr="0099361C" w:rsidR="00A1612F" w:rsidP="004364CD" w:rsidRDefault="0099361C" w14:paraId="3956F95A" w14:textId="77777777">
      <w:pPr>
        <w:pStyle w:val="BodyTextDSW"/>
        <w:tabs>
          <w:tab w:val="left" w:pos="1260"/>
        </w:tabs>
        <w:spacing w:before="240" w:after="240"/>
        <w:rPr>
          <w:bCs/>
        </w:rPr>
      </w:pPr>
      <w:r>
        <w:rPr>
          <w:bCs/>
        </w:rPr>
        <w:t>(</w:t>
      </w:r>
      <w:proofErr w:type="spellStart"/>
      <w:r>
        <w:rPr>
          <w:bCs/>
        </w:rPr>
        <w:t>i</w:t>
      </w:r>
      <w:proofErr w:type="spellEnd"/>
      <w:r>
        <w:rPr>
          <w:bCs/>
        </w:rPr>
        <w:t>)</w:t>
      </w:r>
      <w:r>
        <w:rPr>
          <w:bCs/>
        </w:rPr>
        <w:tab/>
        <w:t>Data items</w:t>
      </w:r>
    </w:p>
    <w:p w:rsidR="00962D9F" w:rsidP="004364CD" w:rsidRDefault="00962D9F" w14:paraId="58A8C1F1" w14:textId="77777777">
      <w:pPr>
        <w:pStyle w:val="BodyTextDSW"/>
        <w:numPr>
          <w:ilvl w:val="0"/>
          <w:numId w:val="5"/>
        </w:numPr>
        <w:tabs>
          <w:tab w:val="clear" w:pos="1080"/>
          <w:tab w:val="num" w:pos="1620"/>
        </w:tabs>
        <w:ind w:left="1627"/>
      </w:pPr>
      <w:r>
        <w:t>Application under section 260.31(c) for partial reclamation variance:</w:t>
      </w:r>
    </w:p>
    <w:p w:rsidRPr="004364CD" w:rsidR="00962D9F" w:rsidP="004364CD" w:rsidRDefault="00962D9F" w14:paraId="5D2528FE" w14:textId="77777777">
      <w:pPr>
        <w:numPr>
          <w:ilvl w:val="0"/>
          <w:numId w:val="34"/>
        </w:numPr>
        <w:suppressAutoHyphens w:val="0"/>
        <w:autoSpaceDN w:val="0"/>
        <w:adjustRightInd w:val="0"/>
        <w:rPr>
          <w:sz w:val="24"/>
        </w:rPr>
      </w:pPr>
      <w:r w:rsidRPr="004364CD">
        <w:rPr>
          <w:sz w:val="24"/>
        </w:rPr>
        <w:t xml:space="preserve">Whether the degree of partial reclamation the material has undergone is substantial as demonstrated by using a partial reclamation process other than the process that generated the hazardous </w:t>
      </w:r>
      <w:proofErr w:type="gramStart"/>
      <w:r w:rsidRPr="004364CD">
        <w:rPr>
          <w:sz w:val="24"/>
        </w:rPr>
        <w:t>waste;</w:t>
      </w:r>
      <w:proofErr w:type="gramEnd"/>
    </w:p>
    <w:p w:rsidRPr="004364CD" w:rsidR="00962D9F" w:rsidP="004364CD" w:rsidRDefault="00962D9F" w14:paraId="75A28E6F" w14:textId="77777777">
      <w:pPr>
        <w:numPr>
          <w:ilvl w:val="0"/>
          <w:numId w:val="34"/>
        </w:numPr>
        <w:suppressAutoHyphens w:val="0"/>
        <w:autoSpaceDN w:val="0"/>
        <w:adjustRightInd w:val="0"/>
        <w:rPr>
          <w:sz w:val="24"/>
        </w:rPr>
      </w:pPr>
      <w:r w:rsidRPr="004364CD">
        <w:rPr>
          <w:sz w:val="24"/>
        </w:rPr>
        <w:t xml:space="preserve">Whether the </w:t>
      </w:r>
      <w:proofErr w:type="gramStart"/>
      <w:r w:rsidRPr="004364CD">
        <w:rPr>
          <w:sz w:val="24"/>
        </w:rPr>
        <w:t>partially-reclaimed</w:t>
      </w:r>
      <w:proofErr w:type="gramEnd"/>
      <w:r w:rsidRPr="004364CD">
        <w:rPr>
          <w:sz w:val="24"/>
        </w:rPr>
        <w:t xml:space="preserve"> material has sufficient economic value that </w:t>
      </w:r>
      <w:r w:rsidRPr="004364CD">
        <w:rPr>
          <w:sz w:val="24"/>
        </w:rPr>
        <w:lastRenderedPageBreak/>
        <w:t>it will be purchased for further reclamation;</w:t>
      </w:r>
    </w:p>
    <w:p w:rsidRPr="004364CD" w:rsidR="00962D9F" w:rsidP="004364CD" w:rsidRDefault="00962D9F" w14:paraId="783F2352" w14:textId="77777777">
      <w:pPr>
        <w:numPr>
          <w:ilvl w:val="0"/>
          <w:numId w:val="34"/>
        </w:numPr>
        <w:suppressAutoHyphens w:val="0"/>
        <w:autoSpaceDN w:val="0"/>
        <w:adjustRightInd w:val="0"/>
        <w:rPr>
          <w:sz w:val="24"/>
        </w:rPr>
      </w:pPr>
      <w:r w:rsidRPr="004364CD">
        <w:rPr>
          <w:sz w:val="24"/>
        </w:rPr>
        <w:t xml:space="preserve">Whether the </w:t>
      </w:r>
      <w:proofErr w:type="gramStart"/>
      <w:r w:rsidRPr="004364CD">
        <w:rPr>
          <w:sz w:val="24"/>
        </w:rPr>
        <w:t>partially-reclaimed</w:t>
      </w:r>
      <w:proofErr w:type="gramEnd"/>
      <w:r w:rsidRPr="004364CD">
        <w:rPr>
          <w:sz w:val="24"/>
        </w:rPr>
        <w:t xml:space="preserve"> material is a viable substitute for a product or intermediate, produced from virgin or raw materials, which is used in subsequent production steps;</w:t>
      </w:r>
    </w:p>
    <w:p w:rsidRPr="004364CD" w:rsidR="00962D9F" w:rsidP="004364CD" w:rsidRDefault="00962D9F" w14:paraId="293AE951" w14:textId="77777777">
      <w:pPr>
        <w:numPr>
          <w:ilvl w:val="0"/>
          <w:numId w:val="34"/>
        </w:numPr>
        <w:suppressAutoHyphens w:val="0"/>
        <w:autoSpaceDN w:val="0"/>
        <w:adjustRightInd w:val="0"/>
        <w:rPr>
          <w:sz w:val="24"/>
        </w:rPr>
      </w:pPr>
      <w:r w:rsidRPr="004364CD">
        <w:rPr>
          <w:sz w:val="24"/>
        </w:rPr>
        <w:t xml:space="preserve">Whether there is a market for the </w:t>
      </w:r>
      <w:proofErr w:type="gramStart"/>
      <w:r w:rsidRPr="004364CD">
        <w:rPr>
          <w:sz w:val="24"/>
        </w:rPr>
        <w:t>partially-reclaimed</w:t>
      </w:r>
      <w:proofErr w:type="gramEnd"/>
      <w:r w:rsidRPr="004364CD">
        <w:rPr>
          <w:sz w:val="24"/>
        </w:rPr>
        <w:t xml:space="preserve"> material as demonstrated by known customer(s) who are further reclaiming the material (e.g., records of sales and/or contracts and evidence of subsequent use, such as bills of lading); and</w:t>
      </w:r>
    </w:p>
    <w:p w:rsidRPr="004364CD" w:rsidR="00962D9F" w:rsidP="004364CD" w:rsidRDefault="00962D9F" w14:paraId="54158AE3" w14:textId="77777777">
      <w:pPr>
        <w:numPr>
          <w:ilvl w:val="0"/>
          <w:numId w:val="34"/>
        </w:numPr>
        <w:suppressAutoHyphens w:val="0"/>
        <w:autoSpaceDN w:val="0"/>
        <w:adjustRightInd w:val="0"/>
        <w:rPr>
          <w:sz w:val="24"/>
        </w:rPr>
      </w:pPr>
      <w:r w:rsidRPr="004364CD">
        <w:rPr>
          <w:sz w:val="24"/>
        </w:rPr>
        <w:t xml:space="preserve">Whether the </w:t>
      </w:r>
      <w:proofErr w:type="gramStart"/>
      <w:r w:rsidRPr="004364CD">
        <w:rPr>
          <w:sz w:val="24"/>
        </w:rPr>
        <w:t>partially-reclaimed</w:t>
      </w:r>
      <w:proofErr w:type="gramEnd"/>
      <w:r w:rsidRPr="004364CD">
        <w:rPr>
          <w:sz w:val="24"/>
        </w:rPr>
        <w:t xml:space="preserve"> material is handled to minimize loss.</w:t>
      </w:r>
    </w:p>
    <w:p w:rsidR="00A1612F" w:rsidP="004364CD" w:rsidRDefault="00A1612F" w14:paraId="597E04B9" w14:textId="77777777">
      <w:pPr>
        <w:pStyle w:val="BodyTextDSW"/>
        <w:tabs>
          <w:tab w:val="left" w:pos="1260"/>
        </w:tabs>
        <w:spacing w:before="240" w:after="240"/>
        <w:rPr>
          <w:bCs/>
        </w:rPr>
      </w:pPr>
      <w:r>
        <w:rPr>
          <w:bCs/>
        </w:rPr>
        <w:t>(ii)</w:t>
      </w:r>
      <w:r>
        <w:rPr>
          <w:bCs/>
        </w:rPr>
        <w:tab/>
        <w:t>Respondent activities</w:t>
      </w:r>
    </w:p>
    <w:p w:rsidR="00817CFE" w:rsidP="004364CD" w:rsidRDefault="00817CFE" w14:paraId="52881A60" w14:textId="77777777">
      <w:pPr>
        <w:pStyle w:val="BodyTextDSW"/>
        <w:numPr>
          <w:ilvl w:val="0"/>
          <w:numId w:val="5"/>
        </w:numPr>
        <w:tabs>
          <w:tab w:val="clear" w:pos="1080"/>
          <w:tab w:val="num" w:pos="1620"/>
        </w:tabs>
        <w:ind w:left="1627"/>
      </w:pPr>
      <w:r>
        <w:t>N</w:t>
      </w:r>
      <w:r w:rsidR="00A1612F">
        <w:t xml:space="preserve">otify </w:t>
      </w:r>
      <w:r>
        <w:t>the Administrator i</w:t>
      </w:r>
      <w:r w:rsidRPr="00215C2A">
        <w:t>n the event of a change in circumstances that affect</w:t>
      </w:r>
      <w:r>
        <w:t>s</w:t>
      </w:r>
      <w:r w:rsidRPr="00215C2A">
        <w:t xml:space="preserve"> how a hazardous secondary material meets the relevant criteria upon which a variance or non-was</w:t>
      </w:r>
      <w:r>
        <w:t>te determination has been based</w:t>
      </w:r>
    </w:p>
    <w:p w:rsidR="00817CFE" w:rsidP="004364CD" w:rsidRDefault="00817CFE" w14:paraId="4A68C7AA" w14:textId="77777777">
      <w:pPr>
        <w:pStyle w:val="BodyTextDSW"/>
        <w:numPr>
          <w:ilvl w:val="0"/>
          <w:numId w:val="5"/>
        </w:numPr>
        <w:tabs>
          <w:tab w:val="clear" w:pos="1080"/>
          <w:tab w:val="num" w:pos="1620"/>
        </w:tabs>
        <w:ind w:left="1627"/>
      </w:pPr>
      <w:r>
        <w:t>R</w:t>
      </w:r>
      <w:r w:rsidRPr="00E61FBF">
        <w:t xml:space="preserve">e-apply for a variance at least every </w:t>
      </w:r>
      <w:r w:rsidR="00167BD6">
        <w:t>ten</w:t>
      </w:r>
      <w:r w:rsidRPr="00E61FBF">
        <w:t xml:space="preserve"> years</w:t>
      </w:r>
    </w:p>
    <w:p w:rsidR="00962D9F" w:rsidP="004364CD" w:rsidRDefault="00962D9F" w14:paraId="30C0A917" w14:textId="77777777">
      <w:pPr>
        <w:pStyle w:val="BodyTextDSW"/>
        <w:numPr>
          <w:ilvl w:val="0"/>
          <w:numId w:val="5"/>
        </w:numPr>
        <w:tabs>
          <w:tab w:val="clear" w:pos="1080"/>
          <w:tab w:val="num" w:pos="1620"/>
        </w:tabs>
        <w:ind w:left="1627"/>
      </w:pPr>
      <w:r>
        <w:t>Review and ensure that all revised factors for partial reclamation variance are met</w:t>
      </w:r>
    </w:p>
    <w:p w:rsidRPr="004364CD" w:rsidR="00A1612F" w:rsidP="004364CD" w:rsidRDefault="00A1612F" w14:paraId="6A239325" w14:textId="77777777">
      <w:pPr>
        <w:pStyle w:val="BodyTextDSW"/>
        <w:keepNext/>
        <w:numPr>
          <w:ilvl w:val="0"/>
          <w:numId w:val="40"/>
        </w:numPr>
        <w:spacing w:before="240" w:after="240"/>
        <w:rPr>
          <w:b/>
          <w:bCs/>
        </w:rPr>
      </w:pPr>
      <w:r w:rsidRPr="004364CD">
        <w:rPr>
          <w:b/>
          <w:bCs/>
        </w:rPr>
        <w:t>Non-</w:t>
      </w:r>
      <w:r w:rsidRPr="004364CD" w:rsidR="009D4049">
        <w:rPr>
          <w:b/>
          <w:bCs/>
        </w:rPr>
        <w:t>W</w:t>
      </w:r>
      <w:r w:rsidRPr="004364CD">
        <w:rPr>
          <w:b/>
          <w:bCs/>
        </w:rPr>
        <w:t xml:space="preserve">aste </w:t>
      </w:r>
      <w:r w:rsidRPr="004364CD" w:rsidR="009D4049">
        <w:rPr>
          <w:b/>
          <w:bCs/>
        </w:rPr>
        <w:t>D</w:t>
      </w:r>
      <w:r w:rsidRPr="004364CD">
        <w:rPr>
          <w:b/>
          <w:bCs/>
        </w:rPr>
        <w:t>eterminations under 40 CFR 260.34</w:t>
      </w:r>
    </w:p>
    <w:p w:rsidR="00A1612F" w:rsidRDefault="00A1612F" w14:paraId="71D0F0B1" w14:textId="77777777">
      <w:pPr>
        <w:pStyle w:val="BodyTextDSW"/>
      </w:pPr>
      <w:r>
        <w:t xml:space="preserve">Under current 40 CFR 260.30, persons may apply for a non-waste determination </w:t>
      </w:r>
      <w:proofErr w:type="gramStart"/>
      <w:r>
        <w:t>in order to</w:t>
      </w:r>
      <w:proofErr w:type="gramEnd"/>
      <w:r>
        <w:t xml:space="preserve"> receive a formal determination that their hazardous secondary materials are not discarded and, therefore, are not solid wastes when legitimately reclaimed. There are two types of non-waste determinations: (1) a determination for hazardous secondary materials reclaimed in a continuous industrial process; and (2) a determination for hazardous secondary materials indistinguishable in all relevant aspects from a product or intermediate. Each non-waste determination is based on a set of criteria that is codified in 40 CFR 260.34.</w:t>
      </w:r>
    </w:p>
    <w:p w:rsidR="00A1612F" w:rsidP="004364CD" w:rsidRDefault="00A1612F" w14:paraId="77AEB8F9" w14:textId="77777777">
      <w:pPr>
        <w:pStyle w:val="BodyTextDSW"/>
        <w:tabs>
          <w:tab w:val="left" w:pos="1260"/>
        </w:tabs>
        <w:spacing w:before="240" w:after="240"/>
        <w:rPr>
          <w:bCs/>
        </w:rPr>
      </w:pPr>
      <w:r>
        <w:rPr>
          <w:bCs/>
        </w:rPr>
        <w:t>(</w:t>
      </w:r>
      <w:proofErr w:type="spellStart"/>
      <w:r>
        <w:rPr>
          <w:bCs/>
        </w:rPr>
        <w:t>i</w:t>
      </w:r>
      <w:proofErr w:type="spellEnd"/>
      <w:r>
        <w:rPr>
          <w:bCs/>
        </w:rPr>
        <w:t>)</w:t>
      </w:r>
      <w:r>
        <w:rPr>
          <w:bCs/>
        </w:rPr>
        <w:tab/>
        <w:t>Data items</w:t>
      </w:r>
    </w:p>
    <w:p w:rsidR="00A1612F" w:rsidP="004364CD" w:rsidRDefault="00A1612F" w14:paraId="04FB2045" w14:textId="77777777">
      <w:pPr>
        <w:pStyle w:val="BodyTextDSW"/>
        <w:numPr>
          <w:ilvl w:val="0"/>
          <w:numId w:val="5"/>
        </w:numPr>
        <w:tabs>
          <w:tab w:val="clear" w:pos="1080"/>
          <w:tab w:val="num" w:pos="1620"/>
        </w:tabs>
        <w:ind w:left="1627"/>
      </w:pPr>
      <w:r>
        <w:t>Application under section 260.34(b) for a non-waste determination for hazardous secondary material which is reclaimed in a continuous industrial process. The application must demonstrate that the material is a part of the production process and is not discarded and address the EPA criteria.</w:t>
      </w:r>
    </w:p>
    <w:p w:rsidR="00A1612F" w:rsidP="004364CD" w:rsidRDefault="00A1612F" w14:paraId="3111BBA1" w14:textId="77777777">
      <w:pPr>
        <w:pStyle w:val="BodyTextDSW"/>
        <w:numPr>
          <w:ilvl w:val="0"/>
          <w:numId w:val="5"/>
        </w:numPr>
        <w:tabs>
          <w:tab w:val="clear" w:pos="1080"/>
          <w:tab w:val="num" w:pos="1620"/>
        </w:tabs>
        <w:ind w:left="1627"/>
      </w:pPr>
      <w:r>
        <w:t xml:space="preserve">Application under section 260.34(c) for a non-waste determination for hazardous secondary material which is indistinguishable in all relevant aspects from a product or intermediate. The application must demonstrate that the hazardous secondary material is comparable to a product or intermediate and is not </w:t>
      </w:r>
      <w:proofErr w:type="gramStart"/>
      <w:r>
        <w:t>discarded, and</w:t>
      </w:r>
      <w:proofErr w:type="gramEnd"/>
      <w:r>
        <w:t xml:space="preserve"> address the EPA criteria.</w:t>
      </w:r>
    </w:p>
    <w:p w:rsidR="00962D9F" w:rsidP="004364CD" w:rsidRDefault="00A1612F" w14:paraId="1057CAAF" w14:textId="77777777">
      <w:pPr>
        <w:pStyle w:val="BodyTextDSW"/>
        <w:numPr>
          <w:ilvl w:val="0"/>
          <w:numId w:val="5"/>
        </w:numPr>
        <w:tabs>
          <w:tab w:val="clear" w:pos="1080"/>
          <w:tab w:val="num" w:pos="1620"/>
        </w:tabs>
        <w:ind w:left="1627"/>
      </w:pPr>
      <w:r>
        <w:t>Notification using EPA Form 8700-12</w:t>
      </w:r>
    </w:p>
    <w:p w:rsidR="00A1612F" w:rsidP="004364CD" w:rsidRDefault="00A1612F" w14:paraId="13076216" w14:textId="77777777">
      <w:pPr>
        <w:pStyle w:val="BodyTextDSW"/>
        <w:keepNext/>
        <w:tabs>
          <w:tab w:val="left" w:pos="1260"/>
        </w:tabs>
        <w:spacing w:before="240" w:after="240"/>
        <w:rPr>
          <w:bCs/>
        </w:rPr>
      </w:pPr>
      <w:r>
        <w:rPr>
          <w:bCs/>
        </w:rPr>
        <w:lastRenderedPageBreak/>
        <w:t>(ii)</w:t>
      </w:r>
      <w:r>
        <w:rPr>
          <w:bCs/>
        </w:rPr>
        <w:tab/>
        <w:t>Respondent activities</w:t>
      </w:r>
    </w:p>
    <w:p w:rsidR="00A1612F" w:rsidP="004364CD" w:rsidRDefault="00A1612F" w14:paraId="1D4A968C" w14:textId="77777777">
      <w:pPr>
        <w:pStyle w:val="BodyTextDSW"/>
        <w:numPr>
          <w:ilvl w:val="0"/>
          <w:numId w:val="5"/>
        </w:numPr>
        <w:tabs>
          <w:tab w:val="clear" w:pos="1080"/>
          <w:tab w:val="num" w:pos="1620"/>
        </w:tabs>
        <w:ind w:left="1627"/>
      </w:pPr>
      <w:r>
        <w:t>Prepare and submit applications under sections 260.34(b) and (c)</w:t>
      </w:r>
    </w:p>
    <w:p w:rsidR="00A1612F" w:rsidP="004364CD" w:rsidRDefault="00A1612F" w14:paraId="517E474F" w14:textId="77777777">
      <w:pPr>
        <w:pStyle w:val="BodyTextDSW"/>
        <w:numPr>
          <w:ilvl w:val="0"/>
          <w:numId w:val="5"/>
        </w:numPr>
        <w:tabs>
          <w:tab w:val="clear" w:pos="1080"/>
          <w:tab w:val="num" w:pos="1620"/>
        </w:tabs>
        <w:ind w:left="1627"/>
      </w:pPr>
      <w:r>
        <w:t>For facilities applying for a non-waste determination, explain or demonstrate why they cannot meet, or should not have to meet, the existing DSW exclusions under §§ 261.2 or 261.4</w:t>
      </w:r>
    </w:p>
    <w:p w:rsidR="0057624C" w:rsidP="00A210A4" w:rsidRDefault="00A1612F" w14:paraId="7482825B" w14:textId="77777777">
      <w:pPr>
        <w:pStyle w:val="BodyTextDSW"/>
        <w:numPr>
          <w:ilvl w:val="0"/>
          <w:numId w:val="5"/>
        </w:numPr>
        <w:tabs>
          <w:tab w:val="clear" w:pos="1080"/>
          <w:tab w:val="num" w:pos="1620"/>
        </w:tabs>
        <w:ind w:left="1627"/>
      </w:pPr>
      <w:r>
        <w:t>For facilities receiving non-waste determinations, re-notify EPA or the State Director, if the state is authorized for this aspect of the rule, every two years by March 1 of each even-numbered year</w:t>
      </w:r>
    </w:p>
    <w:p w:rsidRPr="004364CD" w:rsidR="000567B9" w:rsidP="004364CD" w:rsidRDefault="000567B9" w14:paraId="4DCFC309" w14:textId="77777777">
      <w:pPr>
        <w:suppressAutoHyphens w:val="0"/>
        <w:autoSpaceDN w:val="0"/>
        <w:adjustRightInd w:val="0"/>
        <w:rPr>
          <w:sz w:val="24"/>
        </w:rPr>
      </w:pPr>
    </w:p>
    <w:p w:rsidR="00F41FD4" w:rsidP="004364CD" w:rsidRDefault="00F41FD4" w14:paraId="367A125A" w14:textId="77777777">
      <w:pPr>
        <w:pStyle w:val="BodyTextDSW"/>
        <w:numPr>
          <w:ilvl w:val="0"/>
          <w:numId w:val="37"/>
        </w:numPr>
        <w:ind w:left="540" w:hanging="540"/>
        <w:rPr>
          <w:b/>
        </w:rPr>
      </w:pPr>
      <w:r w:rsidRPr="002F7A09">
        <w:rPr>
          <w:b/>
        </w:rPr>
        <w:t>Remanufacturing Exclusion</w:t>
      </w:r>
    </w:p>
    <w:p w:rsidR="00A1612F" w:rsidRDefault="00A1612F" w14:paraId="041ED79F" w14:textId="77777777">
      <w:pPr>
        <w:pStyle w:val="BodyTextDSW"/>
      </w:pPr>
      <w:r>
        <w:t xml:space="preserve">EPA </w:t>
      </w:r>
      <w:r w:rsidR="00F41FD4">
        <w:t xml:space="preserve">requires </w:t>
      </w:r>
      <w:r>
        <w:t xml:space="preserve">that </w:t>
      </w:r>
      <w:proofErr w:type="gramStart"/>
      <w:r>
        <w:t>all of</w:t>
      </w:r>
      <w:proofErr w:type="gramEnd"/>
      <w:r>
        <w:t xml:space="preserve"> the following conditions will need to be satisfied for eligibility under a remanufacturing exclusion:</w:t>
      </w:r>
    </w:p>
    <w:p w:rsidR="00A1612F" w:rsidP="004364CD" w:rsidRDefault="00A1612F" w14:paraId="2E42A8D5" w14:textId="77777777">
      <w:pPr>
        <w:pStyle w:val="BodyTextDSW"/>
        <w:numPr>
          <w:ilvl w:val="0"/>
          <w:numId w:val="5"/>
        </w:numPr>
        <w:tabs>
          <w:tab w:val="clear" w:pos="1080"/>
          <w:tab w:val="num" w:pos="1620"/>
        </w:tabs>
        <w:ind w:left="1627"/>
      </w:pPr>
      <w:r>
        <w:t xml:space="preserve">The hazardous secondary material consists of one or more of the following solvents: toluene, xylenes, ethylbenzene, 1,2,4-trimethylbenzene, chlorobenzene, n-hexane, cyclohexane, methyl tert-butyl ether, acetonitrile, chloroform, chloromethane, dichloromethane, methyl isobutyl ketone, </w:t>
      </w:r>
      <w:proofErr w:type="gramStart"/>
      <w:r>
        <w:t>N,N</w:t>
      </w:r>
      <w:proofErr w:type="gramEnd"/>
      <w:r>
        <w:t>-dimethylformamide, tetrahydrofuran, n-butyl alcohol, ethanol, and methanol;</w:t>
      </w:r>
    </w:p>
    <w:p w:rsidR="00A1612F" w:rsidP="004364CD" w:rsidRDefault="00A1612F" w14:paraId="4E53C473" w14:textId="77777777">
      <w:pPr>
        <w:pStyle w:val="BodyTextDSW"/>
        <w:numPr>
          <w:ilvl w:val="0"/>
          <w:numId w:val="5"/>
        </w:numPr>
        <w:tabs>
          <w:tab w:val="clear" w:pos="1080"/>
          <w:tab w:val="num" w:pos="1620"/>
        </w:tabs>
        <w:ind w:left="1627"/>
      </w:pPr>
      <w:r>
        <w:t xml:space="preserve">The hazardous secondary material originated from using one or more of the above-listed solvents in commercial grade for reacting, extracting, purifying, or blending chemicals in the pharmaceutical, organic chemical, or plastics and resins manufacturing sectors, or the paint and coatings </w:t>
      </w:r>
      <w:proofErr w:type="gramStart"/>
      <w:r>
        <w:t>sector;</w:t>
      </w:r>
      <w:proofErr w:type="gramEnd"/>
    </w:p>
    <w:p w:rsidR="00A1612F" w:rsidP="004364CD" w:rsidRDefault="00A1612F" w14:paraId="7EA45E25" w14:textId="77777777">
      <w:pPr>
        <w:pStyle w:val="BodyTextDSW"/>
        <w:numPr>
          <w:ilvl w:val="0"/>
          <w:numId w:val="5"/>
        </w:numPr>
        <w:tabs>
          <w:tab w:val="clear" w:pos="1080"/>
          <w:tab w:val="num" w:pos="1620"/>
        </w:tabs>
        <w:ind w:left="1627"/>
      </w:pPr>
      <w:r>
        <w:t xml:space="preserve">After re-manufacturing, the continuing use of the solvent is limited to reacting, extracting, purifying, or blending chemicals in the pharmaceutical, organic chemical, or plastics and resins manufacturing sectors, or the paint and coatings sector, or using them as ingredients in a product. These allowed continuing uses correspond to chemical functional uses enumerated under the </w:t>
      </w:r>
      <w:r w:rsidR="001F7D60">
        <w:t>final</w:t>
      </w:r>
      <w:r>
        <w:t xml:space="preserve"> modification to the Inventory Update Rule of the Toxic Substances Control Act (40 CFR Parts 704, 710–711), including Industrial Function Codes U015 (solvents consumed in a reaction to produce other chemicals) and U030 (solvents become part of the mixture); and</w:t>
      </w:r>
    </w:p>
    <w:p w:rsidR="00A1612F" w:rsidP="004364CD" w:rsidRDefault="00A1612F" w14:paraId="02BCA0A4" w14:textId="77777777">
      <w:pPr>
        <w:pStyle w:val="BodyTextDSW"/>
        <w:numPr>
          <w:ilvl w:val="0"/>
          <w:numId w:val="5"/>
        </w:numPr>
        <w:tabs>
          <w:tab w:val="clear" w:pos="1080"/>
          <w:tab w:val="num" w:pos="1620"/>
        </w:tabs>
        <w:ind w:left="1627"/>
      </w:pPr>
      <w:r>
        <w:t>After remanufacturing, the continuing use of the solvent does not involve cleaning or degreasing oil, grease, or similar material from textiles, glassware, metal surfaces, or other articles (</w:t>
      </w:r>
      <w:r w:rsidR="00C34307">
        <w:t xml:space="preserve">i.e., </w:t>
      </w:r>
      <w:r>
        <w:t xml:space="preserve">disallowed continuing uses </w:t>
      </w:r>
      <w:r w:rsidR="00C34307">
        <w:t xml:space="preserve">that </w:t>
      </w:r>
      <w:r>
        <w:t>correspond to chemical functional uses in Industrial Function Code U029 under the proposed modification of the Inventory Update Rule of the Toxics Substances Control Act).</w:t>
      </w:r>
    </w:p>
    <w:p w:rsidR="00A1612F" w:rsidP="004364CD" w:rsidRDefault="00A1612F" w14:paraId="196B55F9" w14:textId="77777777">
      <w:pPr>
        <w:pStyle w:val="BodyTextDSW"/>
        <w:keepNext/>
        <w:tabs>
          <w:tab w:val="left" w:pos="1260"/>
        </w:tabs>
        <w:spacing w:before="240" w:after="240"/>
        <w:rPr>
          <w:bCs/>
        </w:rPr>
      </w:pPr>
      <w:r>
        <w:rPr>
          <w:bCs/>
        </w:rPr>
        <w:lastRenderedPageBreak/>
        <w:t>(</w:t>
      </w:r>
      <w:proofErr w:type="spellStart"/>
      <w:r>
        <w:rPr>
          <w:bCs/>
        </w:rPr>
        <w:t>i</w:t>
      </w:r>
      <w:proofErr w:type="spellEnd"/>
      <w:r>
        <w:rPr>
          <w:bCs/>
        </w:rPr>
        <w:t>)</w:t>
      </w:r>
      <w:r>
        <w:rPr>
          <w:bCs/>
        </w:rPr>
        <w:tab/>
        <w:t>Data items</w:t>
      </w:r>
    </w:p>
    <w:p w:rsidR="00A1612F" w:rsidP="004364CD" w:rsidRDefault="00A1612F" w14:paraId="45CDF33F" w14:textId="77777777">
      <w:pPr>
        <w:pStyle w:val="BodyTextDSW"/>
        <w:keepNext/>
        <w:numPr>
          <w:ilvl w:val="0"/>
          <w:numId w:val="5"/>
        </w:numPr>
        <w:tabs>
          <w:tab w:val="clear" w:pos="1080"/>
          <w:tab w:val="num" w:pos="1620"/>
        </w:tabs>
        <w:ind w:left="1627"/>
      </w:pPr>
      <w:r>
        <w:t>Remanufacturing exclusion:</w:t>
      </w:r>
    </w:p>
    <w:p w:rsidRPr="004364CD" w:rsidR="00A1612F" w:rsidP="004364CD" w:rsidRDefault="00A1612F" w14:paraId="08F994CD" w14:textId="77777777">
      <w:pPr>
        <w:keepNext/>
        <w:widowControl/>
        <w:numPr>
          <w:ilvl w:val="0"/>
          <w:numId w:val="34"/>
        </w:numPr>
        <w:suppressAutoHyphens w:val="0"/>
        <w:autoSpaceDN w:val="0"/>
        <w:adjustRightInd w:val="0"/>
        <w:rPr>
          <w:sz w:val="24"/>
        </w:rPr>
      </w:pPr>
      <w:r w:rsidRPr="004364CD">
        <w:rPr>
          <w:sz w:val="24"/>
        </w:rPr>
        <w:t>Remanufacturing plan including:</w:t>
      </w:r>
    </w:p>
    <w:p w:rsidRPr="004364CD" w:rsidR="00D0194F" w:rsidP="004364CD" w:rsidRDefault="00D0194F" w14:paraId="69CE38F0" w14:textId="77777777">
      <w:pPr>
        <w:numPr>
          <w:ilvl w:val="0"/>
          <w:numId w:val="24"/>
        </w:numPr>
        <w:tabs>
          <w:tab w:val="left" w:pos="2340"/>
        </w:tabs>
        <w:ind w:left="2340"/>
        <w:rPr>
          <w:sz w:val="24"/>
        </w:rPr>
      </w:pPr>
      <w:r w:rsidRPr="004364CD">
        <w:rPr>
          <w:sz w:val="24"/>
        </w:rPr>
        <w:t>Name, address and EPA ID number of the generator(s) and the remanufacturer(s)</w:t>
      </w:r>
    </w:p>
    <w:p w:rsidRPr="004364CD" w:rsidR="00A1612F" w:rsidP="004364CD" w:rsidRDefault="00D0194F" w14:paraId="276B3F6F" w14:textId="77777777">
      <w:pPr>
        <w:numPr>
          <w:ilvl w:val="0"/>
          <w:numId w:val="24"/>
        </w:numPr>
        <w:tabs>
          <w:tab w:val="left" w:pos="2340"/>
        </w:tabs>
        <w:ind w:left="2340"/>
        <w:rPr>
          <w:sz w:val="24"/>
        </w:rPr>
      </w:pPr>
      <w:r w:rsidRPr="004364CD">
        <w:rPr>
          <w:sz w:val="24"/>
        </w:rPr>
        <w:t>T</w:t>
      </w:r>
      <w:r w:rsidRPr="004364CD" w:rsidR="00A1612F">
        <w:rPr>
          <w:sz w:val="24"/>
        </w:rPr>
        <w:t xml:space="preserve">ypes and expected annual volumes of solvents to be </w:t>
      </w:r>
      <w:proofErr w:type="gramStart"/>
      <w:r w:rsidRPr="004364CD" w:rsidR="00A1612F">
        <w:rPr>
          <w:sz w:val="24"/>
        </w:rPr>
        <w:t>remanufactured;</w:t>
      </w:r>
      <w:proofErr w:type="gramEnd"/>
    </w:p>
    <w:p w:rsidRPr="004364CD" w:rsidR="00A1612F" w:rsidP="004364CD" w:rsidRDefault="00A1612F" w14:paraId="586D3C8C" w14:textId="77777777">
      <w:pPr>
        <w:numPr>
          <w:ilvl w:val="0"/>
          <w:numId w:val="24"/>
        </w:numPr>
        <w:tabs>
          <w:tab w:val="left" w:pos="2340"/>
        </w:tabs>
        <w:ind w:left="2340"/>
        <w:rPr>
          <w:sz w:val="24"/>
        </w:rPr>
      </w:pPr>
      <w:r w:rsidRPr="004364CD">
        <w:rPr>
          <w:sz w:val="24"/>
        </w:rPr>
        <w:t xml:space="preserve">The processes and industry sectors that generate the </w:t>
      </w:r>
      <w:proofErr w:type="gramStart"/>
      <w:r w:rsidRPr="004364CD">
        <w:rPr>
          <w:sz w:val="24"/>
        </w:rPr>
        <w:t>solvents;</w:t>
      </w:r>
      <w:proofErr w:type="gramEnd"/>
    </w:p>
    <w:p w:rsidRPr="004364CD" w:rsidR="005516AF" w:rsidP="004364CD" w:rsidRDefault="00A1612F" w14:paraId="71B89BAD" w14:textId="77777777">
      <w:pPr>
        <w:numPr>
          <w:ilvl w:val="0"/>
          <w:numId w:val="24"/>
        </w:numPr>
        <w:tabs>
          <w:tab w:val="left" w:pos="2340"/>
        </w:tabs>
        <w:ind w:left="2340"/>
        <w:rPr>
          <w:sz w:val="24"/>
        </w:rPr>
      </w:pPr>
      <w:r w:rsidRPr="004364CD">
        <w:rPr>
          <w:sz w:val="24"/>
        </w:rPr>
        <w:t xml:space="preserve">The specific uses and industry sectors for the remanufactured solvents; and </w:t>
      </w:r>
    </w:p>
    <w:p w:rsidRPr="004364CD" w:rsidR="00D0194F" w:rsidP="004364CD" w:rsidRDefault="00D0194F" w14:paraId="52392D5D" w14:textId="77777777">
      <w:pPr>
        <w:numPr>
          <w:ilvl w:val="0"/>
          <w:numId w:val="24"/>
        </w:numPr>
        <w:tabs>
          <w:tab w:val="left" w:pos="2340"/>
        </w:tabs>
        <w:ind w:left="2340"/>
        <w:rPr>
          <w:sz w:val="24"/>
        </w:rPr>
      </w:pPr>
      <w:r w:rsidRPr="004364CD">
        <w:rPr>
          <w:sz w:val="24"/>
        </w:rPr>
        <w:t>Certification from the remanufacturer</w:t>
      </w:r>
    </w:p>
    <w:p w:rsidRPr="004364CD" w:rsidR="00A1612F" w:rsidP="004364CD" w:rsidRDefault="00A1612F" w14:paraId="768E29D0" w14:textId="77777777">
      <w:pPr>
        <w:keepNext/>
        <w:widowControl/>
        <w:numPr>
          <w:ilvl w:val="0"/>
          <w:numId w:val="34"/>
        </w:numPr>
        <w:suppressAutoHyphens w:val="0"/>
        <w:autoSpaceDN w:val="0"/>
        <w:adjustRightInd w:val="0"/>
        <w:rPr>
          <w:sz w:val="24"/>
        </w:rPr>
      </w:pPr>
      <w:r w:rsidRPr="004364CD">
        <w:rPr>
          <w:sz w:val="24"/>
        </w:rPr>
        <w:t>Records of shipments and confirmation of receipts</w:t>
      </w:r>
    </w:p>
    <w:p w:rsidRPr="004364CD" w:rsidR="00A1612F" w:rsidP="004364CD" w:rsidRDefault="00A1612F" w14:paraId="46E71962" w14:textId="77777777">
      <w:pPr>
        <w:keepNext/>
        <w:widowControl/>
        <w:numPr>
          <w:ilvl w:val="0"/>
          <w:numId w:val="34"/>
        </w:numPr>
        <w:suppressAutoHyphens w:val="0"/>
        <w:autoSpaceDN w:val="0"/>
        <w:adjustRightInd w:val="0"/>
        <w:rPr>
          <w:sz w:val="24"/>
        </w:rPr>
      </w:pPr>
      <w:r w:rsidRPr="004364CD">
        <w:rPr>
          <w:sz w:val="24"/>
        </w:rPr>
        <w:t>Management in tanks and containers</w:t>
      </w:r>
    </w:p>
    <w:p w:rsidRPr="004364CD" w:rsidR="00A1612F" w:rsidP="004364CD" w:rsidRDefault="00A1612F" w14:paraId="2AC59227" w14:textId="77777777">
      <w:pPr>
        <w:numPr>
          <w:ilvl w:val="0"/>
          <w:numId w:val="24"/>
        </w:numPr>
        <w:tabs>
          <w:tab w:val="left" w:pos="2340"/>
        </w:tabs>
        <w:ind w:left="2340"/>
        <w:rPr>
          <w:sz w:val="24"/>
        </w:rPr>
      </w:pPr>
      <w:r w:rsidRPr="004364CD">
        <w:rPr>
          <w:sz w:val="24"/>
        </w:rPr>
        <w:t>Prior to remanufacturing, includes labels on the tanks and containers or a record of the material being stored</w:t>
      </w:r>
    </w:p>
    <w:p w:rsidRPr="004364CD" w:rsidR="00A1612F" w:rsidP="004364CD" w:rsidRDefault="00A1612F" w14:paraId="7884BBEE" w14:textId="77777777">
      <w:pPr>
        <w:keepNext/>
        <w:widowControl/>
        <w:numPr>
          <w:ilvl w:val="0"/>
          <w:numId w:val="34"/>
        </w:numPr>
        <w:suppressAutoHyphens w:val="0"/>
        <w:autoSpaceDN w:val="0"/>
        <w:adjustRightInd w:val="0"/>
        <w:rPr>
          <w:sz w:val="24"/>
        </w:rPr>
      </w:pPr>
      <w:r w:rsidRPr="004364CD">
        <w:rPr>
          <w:sz w:val="24"/>
        </w:rPr>
        <w:t>No speculative accumulation</w:t>
      </w:r>
    </w:p>
    <w:p w:rsidRPr="004364CD" w:rsidR="00A1612F" w:rsidP="004364CD" w:rsidRDefault="00A1612F" w14:paraId="172A8A88" w14:textId="77777777">
      <w:pPr>
        <w:numPr>
          <w:ilvl w:val="0"/>
          <w:numId w:val="24"/>
        </w:numPr>
        <w:tabs>
          <w:tab w:val="left" w:pos="2340"/>
        </w:tabs>
        <w:ind w:left="2340"/>
        <w:rPr>
          <w:sz w:val="24"/>
        </w:rPr>
      </w:pPr>
      <w:r w:rsidRPr="004364CD">
        <w:rPr>
          <w:sz w:val="24"/>
        </w:rPr>
        <w:t>See requirements prohibiting speculative accumulation per 40 CFR 261.1(c)(8)</w:t>
      </w:r>
    </w:p>
    <w:p w:rsidR="00A1612F" w:rsidP="004364CD" w:rsidRDefault="00C34307" w14:paraId="56113AA1" w14:textId="77777777">
      <w:pPr>
        <w:pStyle w:val="BodyTextDSW"/>
        <w:numPr>
          <w:ilvl w:val="0"/>
          <w:numId w:val="5"/>
        </w:numPr>
        <w:tabs>
          <w:tab w:val="clear" w:pos="1080"/>
          <w:tab w:val="num" w:pos="1620"/>
        </w:tabs>
        <w:ind w:left="1627"/>
      </w:pPr>
      <w:r>
        <w:t>Petition t</w:t>
      </w:r>
      <w:r w:rsidR="00A1612F">
        <w:t>o add other chemicals, industries, and/or chemical functions to the remanufacturing exclusion</w:t>
      </w:r>
      <w:r>
        <w:t xml:space="preserve"> (i</w:t>
      </w:r>
      <w:r w:rsidR="00A1612F">
        <w:t>ncludes a waste characterization test</w:t>
      </w:r>
      <w:r>
        <w:t>)</w:t>
      </w:r>
    </w:p>
    <w:p w:rsidR="00A1612F" w:rsidP="004364CD" w:rsidRDefault="00A1612F" w14:paraId="6E03074E" w14:textId="77777777">
      <w:pPr>
        <w:pStyle w:val="BodyTextDSW"/>
        <w:tabs>
          <w:tab w:val="left" w:pos="1260"/>
        </w:tabs>
        <w:spacing w:before="240" w:after="240"/>
        <w:rPr>
          <w:bCs/>
        </w:rPr>
      </w:pPr>
      <w:r>
        <w:rPr>
          <w:bCs/>
        </w:rPr>
        <w:t>(ii)</w:t>
      </w:r>
      <w:r>
        <w:rPr>
          <w:bCs/>
        </w:rPr>
        <w:tab/>
        <w:t>Respondent activities</w:t>
      </w:r>
    </w:p>
    <w:p w:rsidR="00A1612F" w:rsidP="004364CD" w:rsidRDefault="00A1612F" w14:paraId="053C2CDB" w14:textId="77777777">
      <w:pPr>
        <w:pStyle w:val="BodyTextDSW"/>
        <w:numPr>
          <w:ilvl w:val="0"/>
          <w:numId w:val="5"/>
        </w:numPr>
        <w:tabs>
          <w:tab w:val="clear" w:pos="1080"/>
          <w:tab w:val="num" w:pos="1620"/>
        </w:tabs>
        <w:ind w:left="1627"/>
      </w:pPr>
      <w:r>
        <w:t xml:space="preserve">Remanufacturing exclusion: </w:t>
      </w:r>
    </w:p>
    <w:p w:rsidRPr="004364CD" w:rsidR="00A1612F" w:rsidP="004364CD" w:rsidRDefault="00A1612F" w14:paraId="7091883A" w14:textId="77777777">
      <w:pPr>
        <w:numPr>
          <w:ilvl w:val="0"/>
          <w:numId w:val="34"/>
        </w:numPr>
        <w:suppressAutoHyphens w:val="0"/>
        <w:autoSpaceDN w:val="0"/>
        <w:adjustRightInd w:val="0"/>
        <w:rPr>
          <w:sz w:val="24"/>
        </w:rPr>
      </w:pPr>
      <w:r w:rsidRPr="004364CD">
        <w:rPr>
          <w:sz w:val="24"/>
        </w:rPr>
        <w:t>Both the hazardous secondary material generator and the remanufacturer will have to:</w:t>
      </w:r>
    </w:p>
    <w:p w:rsidRPr="004364CD" w:rsidR="00A1612F" w:rsidP="004364CD" w:rsidRDefault="00A1612F" w14:paraId="1A23FB87" w14:textId="77777777">
      <w:pPr>
        <w:numPr>
          <w:ilvl w:val="0"/>
          <w:numId w:val="24"/>
        </w:numPr>
        <w:tabs>
          <w:tab w:val="left" w:pos="2340"/>
        </w:tabs>
        <w:ind w:left="2340"/>
        <w:rPr>
          <w:sz w:val="24"/>
        </w:rPr>
      </w:pPr>
      <w:r w:rsidRPr="004364CD">
        <w:rPr>
          <w:sz w:val="24"/>
        </w:rPr>
        <w:t xml:space="preserve">Notify EPA or the State Director, if the state is authorized for the program, and update the notification every two years per 40 CFR </w:t>
      </w:r>
      <w:proofErr w:type="gramStart"/>
      <w:r w:rsidRPr="004364CD">
        <w:rPr>
          <w:sz w:val="24"/>
        </w:rPr>
        <w:t>260.42;</w:t>
      </w:r>
      <w:proofErr w:type="gramEnd"/>
      <w:r w:rsidRPr="004364CD">
        <w:rPr>
          <w:sz w:val="24"/>
        </w:rPr>
        <w:t xml:space="preserve"> </w:t>
      </w:r>
    </w:p>
    <w:p w:rsidRPr="004364CD" w:rsidR="00A1612F" w:rsidP="004364CD" w:rsidRDefault="00A1612F" w14:paraId="71753797" w14:textId="77777777">
      <w:pPr>
        <w:numPr>
          <w:ilvl w:val="0"/>
          <w:numId w:val="24"/>
        </w:numPr>
        <w:tabs>
          <w:tab w:val="left" w:pos="2340"/>
        </w:tabs>
        <w:ind w:left="2340"/>
        <w:rPr>
          <w:sz w:val="24"/>
        </w:rPr>
      </w:pPr>
      <w:r w:rsidRPr="004364CD">
        <w:rPr>
          <w:sz w:val="24"/>
        </w:rPr>
        <w:t xml:space="preserve">Develop and maintain a remanufacturing </w:t>
      </w:r>
      <w:proofErr w:type="gramStart"/>
      <w:r w:rsidRPr="004364CD">
        <w:rPr>
          <w:sz w:val="24"/>
        </w:rPr>
        <w:t>plan;</w:t>
      </w:r>
      <w:proofErr w:type="gramEnd"/>
    </w:p>
    <w:p w:rsidRPr="004364CD" w:rsidR="00A1612F" w:rsidP="004364CD" w:rsidRDefault="00A1612F" w14:paraId="38E29BFC" w14:textId="77777777">
      <w:pPr>
        <w:numPr>
          <w:ilvl w:val="0"/>
          <w:numId w:val="24"/>
        </w:numPr>
        <w:tabs>
          <w:tab w:val="left" w:pos="2340"/>
        </w:tabs>
        <w:ind w:left="2340"/>
        <w:rPr>
          <w:sz w:val="24"/>
        </w:rPr>
      </w:pPr>
      <w:r w:rsidRPr="004364CD">
        <w:rPr>
          <w:sz w:val="24"/>
        </w:rPr>
        <w:t xml:space="preserve">Maintain records of shipments and confirmations of receipts for a period of three years from the dates of the </w:t>
      </w:r>
      <w:proofErr w:type="gramStart"/>
      <w:r w:rsidRPr="004364CD">
        <w:rPr>
          <w:sz w:val="24"/>
        </w:rPr>
        <w:t>shipments;</w:t>
      </w:r>
      <w:proofErr w:type="gramEnd"/>
    </w:p>
    <w:p w:rsidRPr="004364CD" w:rsidR="00A1612F" w:rsidP="004364CD" w:rsidRDefault="00A1612F" w14:paraId="6886DD66" w14:textId="77777777">
      <w:pPr>
        <w:numPr>
          <w:ilvl w:val="0"/>
          <w:numId w:val="24"/>
        </w:numPr>
        <w:tabs>
          <w:tab w:val="left" w:pos="2340"/>
        </w:tabs>
        <w:ind w:left="2340"/>
        <w:rPr>
          <w:sz w:val="24"/>
        </w:rPr>
      </w:pPr>
      <w:r w:rsidRPr="004364CD">
        <w:rPr>
          <w:sz w:val="24"/>
        </w:rPr>
        <w:t>Prior to remanufacturing, store the hazardous spent solvents in tanks or containers that meet technical standards that would be the same as those found in 40 CFR part 264 subparts I and J, with the tanks and containers being labeled or otherwise having an immediately available record of the material being stored. During remanufacturing, and during storage of the hazardous secondary materials prior to remanufacturing, ensure that there is effective control of hazardous air emissions by complying with all applicable NESHAP standards, and with the requirements of 40 CFR part 264 or 265 subparts AA, BB, CC</w:t>
      </w:r>
      <w:r w:rsidRPr="004364CD" w:rsidR="0040322E">
        <w:rPr>
          <w:sz w:val="24"/>
        </w:rPr>
        <w:t>. This activity would be covered under existing EPA ICRs 1572: Hazardous Waste Specific Unit Requirements and Special Waste Processes and Types, 820: Hazardous Waste Generator Standards and 1593: Air Emission Standards for Tanks, Surface Impoundment and Containers</w:t>
      </w:r>
      <w:r w:rsidRPr="004364CD">
        <w:rPr>
          <w:sz w:val="24"/>
        </w:rPr>
        <w:t>; and</w:t>
      </w:r>
    </w:p>
    <w:p w:rsidRPr="004364CD" w:rsidR="00A1612F" w:rsidP="004364CD" w:rsidRDefault="00A1612F" w14:paraId="18E87D81" w14:textId="77777777">
      <w:pPr>
        <w:numPr>
          <w:ilvl w:val="0"/>
          <w:numId w:val="24"/>
        </w:numPr>
        <w:tabs>
          <w:tab w:val="left" w:pos="2340"/>
        </w:tabs>
        <w:ind w:left="2340"/>
        <w:rPr>
          <w:sz w:val="24"/>
        </w:rPr>
      </w:pPr>
      <w:r w:rsidRPr="004364CD">
        <w:rPr>
          <w:sz w:val="24"/>
        </w:rPr>
        <w:lastRenderedPageBreak/>
        <w:t>Meet the requirements prohibiting speculative accumulation per 40 CFR 261.1(c)(8)</w:t>
      </w:r>
    </w:p>
    <w:p w:rsidR="00A1612F" w:rsidP="004364CD" w:rsidRDefault="00A1612F" w14:paraId="2A238379" w14:textId="77777777">
      <w:pPr>
        <w:pStyle w:val="BodyTextDSW"/>
        <w:numPr>
          <w:ilvl w:val="0"/>
          <w:numId w:val="5"/>
        </w:numPr>
        <w:tabs>
          <w:tab w:val="clear" w:pos="1080"/>
          <w:tab w:val="num" w:pos="1620"/>
        </w:tabs>
        <w:ind w:left="1627"/>
      </w:pPr>
      <w:r>
        <w:t>Petition process:</w:t>
      </w:r>
    </w:p>
    <w:p w:rsidR="0027566B" w:rsidP="00A210A4" w:rsidRDefault="00A1612F" w14:paraId="2F7788FB" w14:textId="77777777">
      <w:pPr>
        <w:numPr>
          <w:ilvl w:val="0"/>
          <w:numId w:val="34"/>
        </w:numPr>
        <w:suppressAutoHyphens w:val="0"/>
        <w:autoSpaceDN w:val="0"/>
        <w:adjustRightInd w:val="0"/>
        <w:rPr>
          <w:sz w:val="24"/>
        </w:rPr>
      </w:pPr>
      <w:r w:rsidRPr="004364CD">
        <w:rPr>
          <w:sz w:val="24"/>
        </w:rPr>
        <w:t>Prepare and submit a petition for adding to the eligibility criteria (e.g.,</w:t>
      </w:r>
      <w:r w:rsidR="008829EE">
        <w:rPr>
          <w:sz w:val="24"/>
        </w:rPr>
        <w:t> </w:t>
      </w:r>
      <w:r w:rsidRPr="00863109">
        <w:rPr>
          <w:sz w:val="24"/>
        </w:rPr>
        <w:t>adding industries, adding chemicals) of the exclusion</w:t>
      </w:r>
    </w:p>
    <w:p w:rsidRPr="004364CD" w:rsidR="008829EE" w:rsidP="004364CD" w:rsidRDefault="008829EE" w14:paraId="17CEDEBA" w14:textId="77777777">
      <w:pPr>
        <w:suppressAutoHyphens w:val="0"/>
        <w:autoSpaceDN w:val="0"/>
        <w:adjustRightInd w:val="0"/>
        <w:rPr>
          <w:sz w:val="24"/>
        </w:rPr>
      </w:pPr>
    </w:p>
    <w:p w:rsidR="00B64622" w:rsidP="008E1762" w:rsidRDefault="00B64622" w14:paraId="76433B5E" w14:textId="77777777">
      <w:pPr>
        <w:pStyle w:val="BodyTextDSW"/>
        <w:keepNext/>
        <w:numPr>
          <w:ilvl w:val="0"/>
          <w:numId w:val="37"/>
        </w:numPr>
        <w:ind w:left="547" w:hanging="547"/>
        <w:rPr>
          <w:b/>
        </w:rPr>
      </w:pPr>
      <w:r>
        <w:rPr>
          <w:b/>
        </w:rPr>
        <w:t>Recordkeeping for Speculative Accumulation</w:t>
      </w:r>
    </w:p>
    <w:p w:rsidR="001006E0" w:rsidP="009D4845" w:rsidRDefault="0068168F" w14:paraId="0C496F07" w14:textId="77777777">
      <w:pPr>
        <w:pStyle w:val="BodyTextDSW"/>
      </w:pPr>
      <w:r>
        <w:t>EPA</w:t>
      </w:r>
      <w:r w:rsidR="001006E0">
        <w:t xml:space="preserve"> requires the speculative accumulation start date to be labeled on each </w:t>
      </w:r>
      <w:proofErr w:type="gramStart"/>
      <w:r w:rsidR="001006E0">
        <w:t>container, and</w:t>
      </w:r>
      <w:proofErr w:type="gramEnd"/>
      <w:r w:rsidR="001006E0">
        <w:t xml:space="preserve"> allowing other procedures (such as posting of accumulation dates or entering dates in inventory logs) to ensure against speculative accumulation in other types of units not amenable to labeling.  </w:t>
      </w:r>
    </w:p>
    <w:p w:rsidR="001006E0" w:rsidP="004364CD" w:rsidRDefault="001006E0" w14:paraId="783505FA" w14:textId="77777777">
      <w:pPr>
        <w:pStyle w:val="BodyTextDSW"/>
        <w:tabs>
          <w:tab w:val="left" w:pos="1260"/>
        </w:tabs>
        <w:spacing w:before="240" w:after="240"/>
        <w:rPr>
          <w:bCs/>
        </w:rPr>
      </w:pPr>
      <w:r w:rsidRPr="00852DDE">
        <w:rPr>
          <w:bCs/>
        </w:rPr>
        <w:t>(</w:t>
      </w:r>
      <w:proofErr w:type="spellStart"/>
      <w:r w:rsidRPr="00852DDE">
        <w:rPr>
          <w:bCs/>
        </w:rPr>
        <w:t>i</w:t>
      </w:r>
      <w:proofErr w:type="spellEnd"/>
      <w:r w:rsidRPr="00852DDE">
        <w:rPr>
          <w:bCs/>
        </w:rPr>
        <w:t>)</w:t>
      </w:r>
      <w:r w:rsidRPr="00852DDE">
        <w:rPr>
          <w:bCs/>
        </w:rPr>
        <w:tab/>
        <w:t>Data items</w:t>
      </w:r>
    </w:p>
    <w:p w:rsidR="001006E0" w:rsidP="004364CD" w:rsidRDefault="001006E0" w14:paraId="25334EFE" w14:textId="77777777">
      <w:pPr>
        <w:pStyle w:val="BodyTextDSW"/>
        <w:numPr>
          <w:ilvl w:val="0"/>
          <w:numId w:val="5"/>
        </w:numPr>
        <w:tabs>
          <w:tab w:val="clear" w:pos="1080"/>
          <w:tab w:val="num" w:pos="1620"/>
        </w:tabs>
        <w:ind w:left="1627"/>
      </w:pPr>
      <w:r>
        <w:t>Recordkeeping for Speculative Accumulation</w:t>
      </w:r>
    </w:p>
    <w:p w:rsidRPr="004364CD" w:rsidR="001006E0" w:rsidP="004364CD" w:rsidRDefault="001006E0" w14:paraId="3C6A33D3" w14:textId="77777777">
      <w:pPr>
        <w:numPr>
          <w:ilvl w:val="0"/>
          <w:numId w:val="34"/>
        </w:numPr>
        <w:suppressAutoHyphens w:val="0"/>
        <w:autoSpaceDN w:val="0"/>
        <w:adjustRightInd w:val="0"/>
        <w:rPr>
          <w:sz w:val="24"/>
        </w:rPr>
      </w:pPr>
      <w:r w:rsidRPr="004364CD">
        <w:rPr>
          <w:sz w:val="24"/>
        </w:rPr>
        <w:t>Label on the storage unit indicating the first date that the excluded hazardous secondary material began to be accumulated; or</w:t>
      </w:r>
    </w:p>
    <w:p w:rsidRPr="004364CD" w:rsidR="001006E0" w:rsidP="004364CD" w:rsidRDefault="001006E0" w14:paraId="5152FF6A" w14:textId="77777777">
      <w:pPr>
        <w:numPr>
          <w:ilvl w:val="0"/>
          <w:numId w:val="34"/>
        </w:numPr>
        <w:suppressAutoHyphens w:val="0"/>
        <w:autoSpaceDN w:val="0"/>
        <w:adjustRightInd w:val="0"/>
        <w:rPr>
          <w:sz w:val="24"/>
        </w:rPr>
      </w:pPr>
      <w:r w:rsidRPr="004364CD">
        <w:rPr>
          <w:sz w:val="24"/>
        </w:rPr>
        <w:t>Inventory log to demonstrate that at least 75% by weight or volume of material being recycled is transferred to a different site for recycling in a calendar year.</w:t>
      </w:r>
    </w:p>
    <w:p w:rsidR="001006E0" w:rsidP="004364CD" w:rsidRDefault="001006E0" w14:paraId="781D7692" w14:textId="77777777">
      <w:pPr>
        <w:pStyle w:val="BodyTextDSW"/>
        <w:tabs>
          <w:tab w:val="left" w:pos="1260"/>
        </w:tabs>
        <w:spacing w:before="240" w:after="240"/>
        <w:rPr>
          <w:bCs/>
        </w:rPr>
      </w:pPr>
      <w:r>
        <w:rPr>
          <w:bCs/>
        </w:rPr>
        <w:t>(ii)</w:t>
      </w:r>
      <w:r>
        <w:rPr>
          <w:bCs/>
        </w:rPr>
        <w:tab/>
        <w:t>Respondent activities</w:t>
      </w:r>
    </w:p>
    <w:p w:rsidR="00783697" w:rsidP="00783697" w:rsidRDefault="00AB5264" w14:paraId="1D5AC2EA" w14:textId="77777777">
      <w:pPr>
        <w:pStyle w:val="BodyTextDSW"/>
        <w:numPr>
          <w:ilvl w:val="0"/>
          <w:numId w:val="5"/>
        </w:numPr>
        <w:tabs>
          <w:tab w:val="clear" w:pos="1080"/>
          <w:tab w:val="num" w:pos="1620"/>
        </w:tabs>
        <w:ind w:left="1627"/>
      </w:pPr>
      <w:r>
        <w:t>L</w:t>
      </w:r>
      <w:r w:rsidR="001006E0">
        <w:t xml:space="preserve">abel and perform any recordkeeping </w:t>
      </w:r>
      <w:r w:rsidR="001E61EE">
        <w:t xml:space="preserve">to document </w:t>
      </w:r>
      <w:r w:rsidR="001006E0">
        <w:t>speculative accumulation</w:t>
      </w:r>
      <w:r w:rsidR="001E61EE">
        <w:t xml:space="preserve"> limits are being met</w:t>
      </w:r>
      <w:r w:rsidR="001006E0">
        <w:t>.</w:t>
      </w:r>
    </w:p>
    <w:p w:rsidRPr="004364CD" w:rsidR="00783697" w:rsidP="004364CD" w:rsidRDefault="00783697" w14:paraId="3DF458DC" w14:textId="77777777">
      <w:pPr>
        <w:suppressAutoHyphens w:val="0"/>
        <w:autoSpaceDN w:val="0"/>
        <w:adjustRightInd w:val="0"/>
        <w:rPr>
          <w:sz w:val="24"/>
        </w:rPr>
      </w:pPr>
    </w:p>
    <w:p w:rsidRPr="0068168F" w:rsidR="0068168F" w:rsidP="004364CD" w:rsidRDefault="0068168F" w14:paraId="6201BF32" w14:textId="77777777">
      <w:pPr>
        <w:pStyle w:val="BodyTextDSW"/>
        <w:numPr>
          <w:ilvl w:val="0"/>
          <w:numId w:val="37"/>
        </w:numPr>
        <w:ind w:left="540" w:hanging="540"/>
        <w:rPr>
          <w:b/>
        </w:rPr>
      </w:pPr>
      <w:r w:rsidRPr="0068168F">
        <w:rPr>
          <w:b/>
        </w:rPr>
        <w:t>Recordkeeping for Export under the Transfer-Based Exclusion</w:t>
      </w:r>
    </w:p>
    <w:p w:rsidR="0068168F" w:rsidP="0068168F" w:rsidRDefault="0068168F" w14:paraId="7810C1BE" w14:textId="77777777">
      <w:pPr>
        <w:pStyle w:val="BodyTextDSW"/>
        <w:ind w:firstLine="0"/>
      </w:pPr>
      <w:r>
        <w:t xml:space="preserve">Generators are able to export their hazardous waste secondary materials under the transfer-based exclusion if they provide notice and obtain consent of the receiving </w:t>
      </w:r>
      <w:proofErr w:type="gramStart"/>
      <w:r>
        <w:t>country, and</w:t>
      </w:r>
      <w:proofErr w:type="gramEnd"/>
      <w:r>
        <w:t xml:space="preserve"> file an annual report.</w:t>
      </w:r>
    </w:p>
    <w:p w:rsidR="0068168F" w:rsidP="004364CD" w:rsidRDefault="0068168F" w14:paraId="35E59B66" w14:textId="77777777">
      <w:pPr>
        <w:pStyle w:val="BodyTextDSW"/>
        <w:tabs>
          <w:tab w:val="left" w:pos="1260"/>
        </w:tabs>
        <w:spacing w:before="240" w:after="240"/>
        <w:rPr>
          <w:bCs/>
        </w:rPr>
      </w:pPr>
      <w:r w:rsidRPr="00852DDE">
        <w:rPr>
          <w:bCs/>
        </w:rPr>
        <w:t>(</w:t>
      </w:r>
      <w:proofErr w:type="spellStart"/>
      <w:r w:rsidRPr="00852DDE">
        <w:rPr>
          <w:bCs/>
        </w:rPr>
        <w:t>i</w:t>
      </w:r>
      <w:proofErr w:type="spellEnd"/>
      <w:r w:rsidRPr="00852DDE">
        <w:rPr>
          <w:bCs/>
        </w:rPr>
        <w:t>)</w:t>
      </w:r>
      <w:r w:rsidRPr="00852DDE">
        <w:rPr>
          <w:bCs/>
        </w:rPr>
        <w:tab/>
        <w:t>Data items</w:t>
      </w:r>
    </w:p>
    <w:p w:rsidRPr="0068168F" w:rsidR="0068168F" w:rsidP="004364CD" w:rsidRDefault="0068168F" w14:paraId="448757D2" w14:textId="77777777">
      <w:pPr>
        <w:pStyle w:val="BodyTextDSW"/>
        <w:numPr>
          <w:ilvl w:val="0"/>
          <w:numId w:val="5"/>
        </w:numPr>
        <w:tabs>
          <w:tab w:val="clear" w:pos="1080"/>
          <w:tab w:val="num" w:pos="1620"/>
        </w:tabs>
        <w:ind w:left="1627"/>
      </w:pPr>
      <w:r w:rsidRPr="0068168F">
        <w:t xml:space="preserve">Keep copies of notifications and Acknowledgments of Consent to Export for a period of three years following receipt of the Acknowledgment.  </w:t>
      </w:r>
    </w:p>
    <w:p w:rsidR="0068168F" w:rsidP="004364CD" w:rsidRDefault="0068168F" w14:paraId="1740DCDF" w14:textId="77777777">
      <w:pPr>
        <w:pStyle w:val="BodyTextDSW"/>
        <w:tabs>
          <w:tab w:val="left" w:pos="1260"/>
        </w:tabs>
        <w:spacing w:before="240" w:after="240"/>
        <w:rPr>
          <w:bCs/>
        </w:rPr>
      </w:pPr>
      <w:r>
        <w:rPr>
          <w:bCs/>
        </w:rPr>
        <w:t>(ii)</w:t>
      </w:r>
      <w:r>
        <w:rPr>
          <w:bCs/>
        </w:rPr>
        <w:tab/>
        <w:t>Respondent activities</w:t>
      </w:r>
    </w:p>
    <w:p w:rsidRPr="0068168F" w:rsidR="0068168F" w:rsidP="004364CD" w:rsidRDefault="0068168F" w14:paraId="2E6618BA" w14:textId="77777777">
      <w:pPr>
        <w:pStyle w:val="BodyTextDSW"/>
        <w:numPr>
          <w:ilvl w:val="0"/>
          <w:numId w:val="5"/>
        </w:numPr>
        <w:tabs>
          <w:tab w:val="clear" w:pos="1080"/>
          <w:tab w:val="num" w:pos="1620"/>
        </w:tabs>
        <w:ind w:left="1627"/>
      </w:pPr>
      <w:r w:rsidRPr="0068168F">
        <w:t>Submit a complete notification to EPA at least sixty days before the initial shipment is intended to be shipped offsite.  This notification may cover export activities extending over a twelve month or lesser period.</w:t>
      </w:r>
    </w:p>
    <w:p w:rsidRPr="0068168F" w:rsidR="0068168F" w:rsidP="004364CD" w:rsidRDefault="0068168F" w14:paraId="1DCF5683" w14:textId="77777777">
      <w:pPr>
        <w:pStyle w:val="BodyTextDSW"/>
        <w:numPr>
          <w:ilvl w:val="0"/>
          <w:numId w:val="5"/>
        </w:numPr>
        <w:tabs>
          <w:tab w:val="clear" w:pos="1080"/>
          <w:tab w:val="num" w:pos="1620"/>
        </w:tabs>
        <w:ind w:left="1627"/>
      </w:pPr>
      <w:r w:rsidRPr="0068168F">
        <w:t>Submit a renotification when specified conditions on the notification change as applicable.</w:t>
      </w:r>
    </w:p>
    <w:p w:rsidRPr="0068168F" w:rsidR="0068168F" w:rsidP="004364CD" w:rsidRDefault="0068168F" w14:paraId="3636A93F" w14:textId="77777777">
      <w:pPr>
        <w:pStyle w:val="BodyTextDSW"/>
        <w:numPr>
          <w:ilvl w:val="0"/>
          <w:numId w:val="5"/>
        </w:numPr>
        <w:tabs>
          <w:tab w:val="clear" w:pos="1080"/>
          <w:tab w:val="num" w:pos="1620"/>
        </w:tabs>
        <w:ind w:left="1627"/>
      </w:pPr>
      <w:r w:rsidRPr="0068168F">
        <w:lastRenderedPageBreak/>
        <w:t xml:space="preserve">Re-notify EPA if a shipment cannot be delivered for any reason to the reclaimer, intermediate facility or the alternate reclaimer or alternate intermediate facility. </w:t>
      </w:r>
    </w:p>
    <w:p w:rsidRPr="0068168F" w:rsidR="0068168F" w:rsidP="004364CD" w:rsidRDefault="0068168F" w14:paraId="6A079E91" w14:textId="77777777">
      <w:pPr>
        <w:pStyle w:val="BodyTextDSW"/>
        <w:numPr>
          <w:ilvl w:val="0"/>
          <w:numId w:val="5"/>
        </w:numPr>
        <w:tabs>
          <w:tab w:val="clear" w:pos="1080"/>
          <w:tab w:val="num" w:pos="1620"/>
        </w:tabs>
        <w:ind w:left="1627"/>
      </w:pPr>
      <w:r w:rsidRPr="0068168F">
        <w:t xml:space="preserve">Keep copies of notifications and Acknowledgments of Consent to Export for a period of three years following receipt of the Acknowledgment.  </w:t>
      </w:r>
    </w:p>
    <w:p w:rsidRPr="0068168F" w:rsidR="0068168F" w:rsidP="004364CD" w:rsidRDefault="0068168F" w14:paraId="415B01DC" w14:textId="77777777">
      <w:pPr>
        <w:pStyle w:val="BodyTextDSW"/>
        <w:numPr>
          <w:ilvl w:val="0"/>
          <w:numId w:val="5"/>
        </w:numPr>
        <w:tabs>
          <w:tab w:val="clear" w:pos="1080"/>
          <w:tab w:val="num" w:pos="1620"/>
        </w:tabs>
        <w:ind w:left="1627"/>
      </w:pPr>
      <w:r w:rsidRPr="0068168F">
        <w:t>Prepare and submit annual report no later than March 1 of each year.</w:t>
      </w:r>
    </w:p>
    <w:p w:rsidR="00A1612F" w:rsidP="004364CD" w:rsidRDefault="000567B9" w14:paraId="5B631EF3" w14:textId="77777777">
      <w:pPr>
        <w:pStyle w:val="Heading1DSW"/>
        <w:keepNext w:val="0"/>
        <w:widowControl/>
        <w:ind w:left="0" w:firstLine="0"/>
      </w:pPr>
      <w:bookmarkStart w:name="__RefHeading__186_717627523" w:id="35"/>
      <w:bookmarkStart w:name="_Toc404344915" w:id="36"/>
      <w:bookmarkEnd w:id="35"/>
      <w:r>
        <w:rPr>
          <w:b w:val="0"/>
        </w:rPr>
        <w:br w:type="page"/>
      </w:r>
      <w:r w:rsidR="000F072E">
        <w:lastRenderedPageBreak/>
        <w:t>5.</w:t>
      </w:r>
      <w:r w:rsidR="00F37EB9">
        <w:tab/>
      </w:r>
      <w:r w:rsidR="00A1612F">
        <w:t>THE INFORMATION COLLECTED: AGENCY ACTIVITIES, COLLECTION METHODOLOGY, AND INFORMATION MANAGEMENT</w:t>
      </w:r>
      <w:bookmarkEnd w:id="36"/>
    </w:p>
    <w:p w:rsidR="00A1612F" w:rsidRDefault="00A1612F" w14:paraId="04A73BCE" w14:textId="77777777">
      <w:pPr>
        <w:pStyle w:val="Heading2"/>
      </w:pPr>
      <w:bookmarkStart w:name="__RefHeading__188_717627523" w:id="37"/>
      <w:bookmarkStart w:name="_Toc404344916" w:id="38"/>
      <w:bookmarkEnd w:id="37"/>
      <w:r>
        <w:t>5(a)</w:t>
      </w:r>
      <w:r>
        <w:tab/>
        <w:t>Agency Activities</w:t>
      </w:r>
      <w:bookmarkEnd w:id="38"/>
    </w:p>
    <w:p w:rsidR="006D2EE7" w:rsidP="004364CD" w:rsidRDefault="006D2EE7" w14:paraId="1EADF40D" w14:textId="1A8FACB3">
      <w:pPr>
        <w:pStyle w:val="BodyTextDSW"/>
        <w:numPr>
          <w:ilvl w:val="0"/>
          <w:numId w:val="42"/>
        </w:numPr>
        <w:ind w:left="540" w:hanging="540"/>
        <w:rPr>
          <w:b/>
        </w:rPr>
      </w:pPr>
      <w:r w:rsidRPr="00CC5E5B">
        <w:rPr>
          <w:b/>
        </w:rPr>
        <w:t>Off-site Transfer Based Exclusion for Hazardous Secondary Material</w:t>
      </w:r>
    </w:p>
    <w:p w:rsidR="00CC388F" w:rsidP="009C106A" w:rsidRDefault="00CC388F" w14:paraId="14E0FF95" w14:textId="53D89D56">
      <w:pPr>
        <w:pStyle w:val="BodyTextDSW"/>
        <w:ind w:left="540" w:firstLine="0"/>
        <w:rPr>
          <w:b/>
        </w:rPr>
      </w:pPr>
      <w:r w:rsidRPr="00CC388F">
        <w:rPr>
          <w:b/>
        </w:rPr>
        <w:t>As a matter of law, the orders issued by the United States Court of appeals for the District of Colombia Circuit on July 7, 2014 and amended on March 6, 2018: (1) vacated the 2015 verified recycler exclusion for hazardous waste that is recycled off-site (except for certain provisions); (2) reinstate the transfer-based exclusion from the 2008 rule to replace the now vacated 2015 verified recycler exclusion; (3) upheld the containment and emergency preparedness provisions and the eligibility of spent petroleum catalysts for the reinstated transfer-based exclusion; (4) vacated factor 4 of the 2015 definition of legitimate recycling in its entirety; and (5) reinstated the 2008 version of factor 4 to replace the now-vacated 2015 version of factor 4; the rule is non-HSWA and implemented by the states.</w:t>
      </w:r>
    </w:p>
    <w:p w:rsidRPr="004364CD" w:rsidR="001F3F6B" w:rsidP="001F3F6B" w:rsidRDefault="001F3F6B" w14:paraId="127862A1" w14:textId="77777777">
      <w:pPr>
        <w:pStyle w:val="BodyTextDSW"/>
        <w:keepNext/>
        <w:numPr>
          <w:ilvl w:val="0"/>
          <w:numId w:val="43"/>
        </w:numPr>
        <w:spacing w:before="240" w:after="240"/>
        <w:ind w:left="540" w:hanging="540"/>
        <w:rPr>
          <w:b/>
          <w:bCs/>
        </w:rPr>
      </w:pPr>
      <w:r w:rsidRPr="004364CD">
        <w:rPr>
          <w:b/>
          <w:bCs/>
        </w:rPr>
        <w:t>Emergency Preparedness</w:t>
      </w:r>
    </w:p>
    <w:p w:rsidRPr="004364CD" w:rsidR="001F3F6B" w:rsidP="001F3F6B" w:rsidRDefault="001F3F6B" w14:paraId="2F6C6E0A" w14:textId="77777777">
      <w:pPr>
        <w:spacing w:before="240" w:after="240"/>
        <w:ind w:left="720"/>
        <w:rPr>
          <w:sz w:val="24"/>
          <w:u w:val="single"/>
        </w:rPr>
      </w:pPr>
      <w:r w:rsidRPr="004364CD">
        <w:rPr>
          <w:sz w:val="24"/>
          <w:u w:val="single"/>
        </w:rPr>
        <w:t>Emergency procedures</w:t>
      </w:r>
    </w:p>
    <w:p w:rsidR="001F3F6B" w:rsidP="001F3F6B" w:rsidRDefault="001F3F6B" w14:paraId="6DC64E45" w14:textId="77777777">
      <w:pPr>
        <w:pStyle w:val="BodyTextDSW"/>
        <w:numPr>
          <w:ilvl w:val="0"/>
          <w:numId w:val="5"/>
        </w:numPr>
        <w:tabs>
          <w:tab w:val="clear" w:pos="1080"/>
          <w:tab w:val="num" w:pos="1620"/>
        </w:tabs>
        <w:ind w:left="1627"/>
      </w:pPr>
      <w:r>
        <w:t>Review submitted release report information</w:t>
      </w:r>
    </w:p>
    <w:p w:rsidR="001F3F6B" w:rsidP="001F3F6B" w:rsidRDefault="001F3F6B" w14:paraId="6BB5A8B2" w14:textId="77777777">
      <w:pPr>
        <w:pStyle w:val="BodyTextDSW"/>
        <w:numPr>
          <w:ilvl w:val="0"/>
          <w:numId w:val="5"/>
        </w:numPr>
        <w:tabs>
          <w:tab w:val="clear" w:pos="1080"/>
          <w:tab w:val="num" w:pos="1620"/>
        </w:tabs>
        <w:ind w:left="1627"/>
      </w:pPr>
      <w:r>
        <w:t>Enter information into database tracking all releases</w:t>
      </w:r>
    </w:p>
    <w:p w:rsidR="001F3F6B" w:rsidP="001F3F6B" w:rsidRDefault="001F3F6B" w14:paraId="3315A9C7" w14:textId="77777777">
      <w:pPr>
        <w:pStyle w:val="BodyTextDSW"/>
        <w:numPr>
          <w:ilvl w:val="0"/>
          <w:numId w:val="5"/>
        </w:numPr>
        <w:tabs>
          <w:tab w:val="clear" w:pos="1080"/>
          <w:tab w:val="num" w:pos="1620"/>
        </w:tabs>
        <w:ind w:left="1627"/>
      </w:pPr>
      <w:r>
        <w:t>Transmit information to respective response authorities</w:t>
      </w:r>
    </w:p>
    <w:p w:rsidRPr="004364CD" w:rsidR="0031145A" w:rsidP="004364CD" w:rsidRDefault="0031145A" w14:paraId="611F0D89" w14:textId="77777777">
      <w:pPr>
        <w:pStyle w:val="BodyTextDSW"/>
        <w:keepNext/>
        <w:numPr>
          <w:ilvl w:val="0"/>
          <w:numId w:val="43"/>
        </w:numPr>
        <w:spacing w:before="240" w:after="240"/>
        <w:ind w:left="540" w:hanging="540"/>
        <w:rPr>
          <w:b/>
          <w:bCs/>
        </w:rPr>
      </w:pPr>
      <w:r w:rsidRPr="004364CD">
        <w:rPr>
          <w:b/>
          <w:bCs/>
        </w:rPr>
        <w:t>Financial Assurance</w:t>
      </w:r>
    </w:p>
    <w:p w:rsidRPr="004364CD" w:rsidR="0031145A" w:rsidP="004364CD" w:rsidRDefault="0031145A" w14:paraId="7F571D3A" w14:textId="77777777">
      <w:pPr>
        <w:spacing w:before="240" w:after="240"/>
        <w:ind w:left="720"/>
        <w:rPr>
          <w:sz w:val="24"/>
          <w:u w:val="single"/>
        </w:rPr>
      </w:pPr>
      <w:r w:rsidRPr="004364CD">
        <w:rPr>
          <w:sz w:val="24"/>
          <w:u w:val="single"/>
        </w:rPr>
        <w:t>Trust fund</w:t>
      </w:r>
    </w:p>
    <w:p w:rsidR="0031145A" w:rsidP="004364CD" w:rsidRDefault="0031145A" w14:paraId="4C093FD1" w14:textId="77777777">
      <w:pPr>
        <w:pStyle w:val="BodyTextDSW"/>
        <w:numPr>
          <w:ilvl w:val="0"/>
          <w:numId w:val="5"/>
        </w:numPr>
        <w:tabs>
          <w:tab w:val="clear" w:pos="1080"/>
          <w:tab w:val="num" w:pos="1620"/>
        </w:tabs>
        <w:ind w:left="1627"/>
      </w:pPr>
      <w:r>
        <w:t>Receive and evaluate originally signed duplicate of the trust agreement and formal certification of acknowledgement</w:t>
      </w:r>
    </w:p>
    <w:p w:rsidR="0031145A" w:rsidP="004364CD" w:rsidRDefault="0031145A" w14:paraId="19E2179C" w14:textId="77777777">
      <w:pPr>
        <w:pStyle w:val="BodyTextDSW"/>
        <w:numPr>
          <w:ilvl w:val="0"/>
          <w:numId w:val="5"/>
        </w:numPr>
        <w:tabs>
          <w:tab w:val="clear" w:pos="1080"/>
          <w:tab w:val="num" w:pos="1620"/>
        </w:tabs>
        <w:ind w:left="1627"/>
      </w:pPr>
      <w:r>
        <w:t>Receive and evaluate other financial assurance</w:t>
      </w:r>
    </w:p>
    <w:p w:rsidR="0031145A" w:rsidP="004364CD" w:rsidRDefault="0031145A" w14:paraId="11B0779E" w14:textId="77777777">
      <w:pPr>
        <w:pStyle w:val="BodyTextDSW"/>
        <w:numPr>
          <w:ilvl w:val="0"/>
          <w:numId w:val="5"/>
        </w:numPr>
        <w:tabs>
          <w:tab w:val="clear" w:pos="1080"/>
          <w:tab w:val="num" w:pos="1620"/>
        </w:tabs>
        <w:ind w:left="1627"/>
      </w:pPr>
      <w:r>
        <w:t xml:space="preserve">Receive, review, and respond to request for release of the amount </w:t>
      </w:r>
      <w:proofErr w:type="gramStart"/>
      <w:r>
        <w:t>in excess of</w:t>
      </w:r>
      <w:proofErr w:type="gramEnd"/>
      <w:r>
        <w:t xml:space="preserve"> the current cost estimate</w:t>
      </w:r>
    </w:p>
    <w:p w:rsidR="0031145A" w:rsidP="004364CD" w:rsidRDefault="0031145A" w14:paraId="39E9A7DD" w14:textId="77777777">
      <w:pPr>
        <w:pStyle w:val="BodyTextDSW"/>
        <w:numPr>
          <w:ilvl w:val="0"/>
          <w:numId w:val="5"/>
        </w:numPr>
        <w:tabs>
          <w:tab w:val="clear" w:pos="1080"/>
          <w:tab w:val="num" w:pos="1620"/>
        </w:tabs>
        <w:ind w:left="1627"/>
      </w:pPr>
      <w:r>
        <w:t xml:space="preserve">Receive, review, and respond to request for release of the amount </w:t>
      </w:r>
      <w:proofErr w:type="gramStart"/>
      <w:r>
        <w:t>in excess of</w:t>
      </w:r>
      <w:proofErr w:type="gramEnd"/>
      <w:r>
        <w:t xml:space="preserve"> current cost estimate covered by trust fund</w:t>
      </w:r>
    </w:p>
    <w:p w:rsidR="0031145A" w:rsidP="004364CD" w:rsidRDefault="0031145A" w14:paraId="53D99D5B" w14:textId="77777777">
      <w:pPr>
        <w:pStyle w:val="BodyTextDSW"/>
        <w:numPr>
          <w:ilvl w:val="0"/>
          <w:numId w:val="5"/>
        </w:numPr>
        <w:tabs>
          <w:tab w:val="clear" w:pos="1080"/>
          <w:tab w:val="num" w:pos="1620"/>
        </w:tabs>
        <w:ind w:left="1627"/>
      </w:pPr>
      <w:r>
        <w:t>Instruct the trustee to release to the owner/operator such funds as EPA specifies in writing</w:t>
      </w:r>
    </w:p>
    <w:p w:rsidR="0031145A" w:rsidP="004364CD" w:rsidRDefault="0031145A" w14:paraId="5E767E41" w14:textId="77777777">
      <w:pPr>
        <w:pStyle w:val="BodyTextDSW"/>
        <w:numPr>
          <w:ilvl w:val="0"/>
          <w:numId w:val="5"/>
        </w:numPr>
        <w:tabs>
          <w:tab w:val="clear" w:pos="1080"/>
          <w:tab w:val="num" w:pos="1620"/>
        </w:tabs>
        <w:ind w:left="1627"/>
      </w:pPr>
      <w:r>
        <w:t>Take other action as needed</w:t>
      </w:r>
    </w:p>
    <w:p w:rsidRPr="004364CD" w:rsidR="0031145A" w:rsidP="004364CD" w:rsidRDefault="0031145A" w14:paraId="02D6676C" w14:textId="77777777">
      <w:pPr>
        <w:spacing w:before="240" w:after="240"/>
        <w:ind w:left="720"/>
        <w:rPr>
          <w:sz w:val="24"/>
          <w:u w:val="single"/>
        </w:rPr>
      </w:pPr>
      <w:r w:rsidRPr="004364CD">
        <w:rPr>
          <w:sz w:val="24"/>
          <w:u w:val="single"/>
        </w:rPr>
        <w:t>Surety bond guaranteeing payment into a trust fund</w:t>
      </w:r>
    </w:p>
    <w:p w:rsidR="0031145A" w:rsidP="004364CD" w:rsidRDefault="0031145A" w14:paraId="764A4B9C" w14:textId="77777777">
      <w:pPr>
        <w:pStyle w:val="BodyTextDSW"/>
        <w:numPr>
          <w:ilvl w:val="0"/>
          <w:numId w:val="5"/>
        </w:numPr>
        <w:tabs>
          <w:tab w:val="clear" w:pos="1080"/>
          <w:tab w:val="num" w:pos="1620"/>
        </w:tabs>
        <w:ind w:left="1627"/>
      </w:pPr>
      <w:r>
        <w:t>Receive and evaluate surety bond</w:t>
      </w:r>
    </w:p>
    <w:p w:rsidR="0031145A" w:rsidP="004364CD" w:rsidRDefault="0031145A" w14:paraId="1B43946A" w14:textId="77777777">
      <w:pPr>
        <w:pStyle w:val="BodyTextDSW"/>
        <w:numPr>
          <w:ilvl w:val="0"/>
          <w:numId w:val="5"/>
        </w:numPr>
        <w:tabs>
          <w:tab w:val="clear" w:pos="1080"/>
          <w:tab w:val="num" w:pos="1620"/>
        </w:tabs>
        <w:ind w:left="1627"/>
      </w:pPr>
      <w:r>
        <w:t>Receive, review, and file evidence of the increase in the penal sum or other financial assurance to cover the increase</w:t>
      </w:r>
    </w:p>
    <w:p w:rsidR="0031145A" w:rsidP="004364CD" w:rsidRDefault="0031145A" w14:paraId="0AA170EA" w14:textId="77777777">
      <w:pPr>
        <w:pStyle w:val="BodyTextDSW"/>
        <w:numPr>
          <w:ilvl w:val="0"/>
          <w:numId w:val="5"/>
        </w:numPr>
        <w:tabs>
          <w:tab w:val="clear" w:pos="1080"/>
          <w:tab w:val="num" w:pos="1620"/>
        </w:tabs>
        <w:ind w:left="1627"/>
      </w:pPr>
      <w:r>
        <w:t>Receive and evaluate alternate financial assurance if required because of cancellation of the bond</w:t>
      </w:r>
    </w:p>
    <w:p w:rsidR="0031145A" w:rsidP="004364CD" w:rsidRDefault="0031145A" w14:paraId="6E7582A4" w14:textId="77777777">
      <w:pPr>
        <w:pStyle w:val="BodyTextDSW"/>
        <w:numPr>
          <w:ilvl w:val="0"/>
          <w:numId w:val="5"/>
        </w:numPr>
        <w:tabs>
          <w:tab w:val="clear" w:pos="1080"/>
          <w:tab w:val="num" w:pos="1620"/>
        </w:tabs>
        <w:ind w:left="1627"/>
      </w:pPr>
      <w:r>
        <w:t>Receive, review, and file notice of cancellation from surety company</w:t>
      </w:r>
    </w:p>
    <w:p w:rsidR="0031145A" w:rsidP="004364CD" w:rsidRDefault="0031145A" w14:paraId="2D21D247" w14:textId="77777777">
      <w:pPr>
        <w:pStyle w:val="BodyTextDSW"/>
        <w:numPr>
          <w:ilvl w:val="0"/>
          <w:numId w:val="5"/>
        </w:numPr>
        <w:tabs>
          <w:tab w:val="clear" w:pos="1080"/>
          <w:tab w:val="num" w:pos="1620"/>
        </w:tabs>
        <w:ind w:left="1627"/>
      </w:pPr>
      <w:r>
        <w:t>Take other action as needed</w:t>
      </w:r>
    </w:p>
    <w:p w:rsidRPr="004364CD" w:rsidR="0031145A" w:rsidP="008E1762" w:rsidRDefault="0031145A" w14:paraId="058CBBA6" w14:textId="77777777">
      <w:pPr>
        <w:keepNext/>
        <w:widowControl/>
        <w:spacing w:before="240" w:after="240"/>
        <w:ind w:left="720"/>
        <w:rPr>
          <w:sz w:val="24"/>
          <w:u w:val="single"/>
        </w:rPr>
      </w:pPr>
      <w:r w:rsidRPr="004364CD">
        <w:rPr>
          <w:sz w:val="24"/>
          <w:u w:val="single"/>
        </w:rPr>
        <w:lastRenderedPageBreak/>
        <w:t>Letter of credit</w:t>
      </w:r>
    </w:p>
    <w:p w:rsidR="0031145A" w:rsidP="004364CD" w:rsidRDefault="0031145A" w14:paraId="03077838" w14:textId="77777777">
      <w:pPr>
        <w:pStyle w:val="BodyTextDSW"/>
        <w:numPr>
          <w:ilvl w:val="0"/>
          <w:numId w:val="5"/>
        </w:numPr>
        <w:tabs>
          <w:tab w:val="clear" w:pos="1080"/>
          <w:tab w:val="num" w:pos="1620"/>
        </w:tabs>
        <w:ind w:left="1627"/>
      </w:pPr>
      <w:r>
        <w:t>Receive and evaluate letter of credit and letter referring to the letter of credit</w:t>
      </w:r>
    </w:p>
    <w:p w:rsidR="0031145A" w:rsidP="004364CD" w:rsidRDefault="0031145A" w14:paraId="509BB690" w14:textId="77777777">
      <w:pPr>
        <w:pStyle w:val="BodyTextDSW"/>
        <w:numPr>
          <w:ilvl w:val="0"/>
          <w:numId w:val="5"/>
        </w:numPr>
        <w:tabs>
          <w:tab w:val="clear" w:pos="1080"/>
          <w:tab w:val="num" w:pos="1620"/>
        </w:tabs>
        <w:ind w:left="1627"/>
      </w:pPr>
      <w:r>
        <w:t>Receive, review, and file evidence of an increase in the credit or other financial assurance as specified to cover the increase</w:t>
      </w:r>
    </w:p>
    <w:p w:rsidR="0031145A" w:rsidP="004364CD" w:rsidRDefault="0031145A" w14:paraId="00B79154" w14:textId="77777777">
      <w:pPr>
        <w:pStyle w:val="BodyTextDSW"/>
        <w:numPr>
          <w:ilvl w:val="0"/>
          <w:numId w:val="5"/>
        </w:numPr>
        <w:tabs>
          <w:tab w:val="clear" w:pos="1080"/>
          <w:tab w:val="num" w:pos="1620"/>
        </w:tabs>
        <w:ind w:left="1627"/>
      </w:pPr>
      <w:r>
        <w:t>Receive and evaluate alternate financial assurance if required because of termination of credit</w:t>
      </w:r>
    </w:p>
    <w:p w:rsidR="0031145A" w:rsidP="004364CD" w:rsidRDefault="0031145A" w14:paraId="1D4EF3EC" w14:textId="77777777">
      <w:pPr>
        <w:pStyle w:val="BodyTextDSW"/>
        <w:numPr>
          <w:ilvl w:val="0"/>
          <w:numId w:val="5"/>
        </w:numPr>
        <w:tabs>
          <w:tab w:val="clear" w:pos="1080"/>
          <w:tab w:val="num" w:pos="1620"/>
        </w:tabs>
        <w:ind w:left="1627"/>
      </w:pPr>
      <w:r>
        <w:t>Receive, review, and file a notice of a decision not to extend the expiration date of the credit from the issuing institution</w:t>
      </w:r>
    </w:p>
    <w:p w:rsidR="0031145A" w:rsidP="004364CD" w:rsidRDefault="0031145A" w14:paraId="78F0653F" w14:textId="77777777">
      <w:pPr>
        <w:pStyle w:val="BodyTextDSW"/>
        <w:numPr>
          <w:ilvl w:val="0"/>
          <w:numId w:val="5"/>
        </w:numPr>
        <w:tabs>
          <w:tab w:val="clear" w:pos="1080"/>
          <w:tab w:val="num" w:pos="1620"/>
        </w:tabs>
        <w:ind w:left="1627"/>
      </w:pPr>
      <w:r>
        <w:t>Take other action as needed</w:t>
      </w:r>
    </w:p>
    <w:p w:rsidRPr="004364CD" w:rsidR="0031145A" w:rsidP="004364CD" w:rsidRDefault="0031145A" w14:paraId="3969164A" w14:textId="77777777">
      <w:pPr>
        <w:spacing w:before="240" w:after="240"/>
        <w:ind w:left="720"/>
        <w:rPr>
          <w:sz w:val="24"/>
          <w:u w:val="single"/>
        </w:rPr>
      </w:pPr>
      <w:r w:rsidRPr="004364CD">
        <w:rPr>
          <w:sz w:val="24"/>
          <w:u w:val="single"/>
        </w:rPr>
        <w:t>Insurance</w:t>
      </w:r>
    </w:p>
    <w:p w:rsidR="0031145A" w:rsidP="004364CD" w:rsidRDefault="0031145A" w14:paraId="0F88E270" w14:textId="77777777">
      <w:pPr>
        <w:pStyle w:val="BodyTextDSW"/>
        <w:numPr>
          <w:ilvl w:val="0"/>
          <w:numId w:val="5"/>
        </w:numPr>
        <w:tabs>
          <w:tab w:val="clear" w:pos="1080"/>
          <w:tab w:val="num" w:pos="1620"/>
        </w:tabs>
        <w:ind w:left="1627"/>
      </w:pPr>
      <w:r>
        <w:t>Receive and evaluate certificate of insurance</w:t>
      </w:r>
    </w:p>
    <w:p w:rsidR="0031145A" w:rsidP="004364CD" w:rsidRDefault="0031145A" w14:paraId="11639617" w14:textId="77777777">
      <w:pPr>
        <w:pStyle w:val="BodyTextDSW"/>
        <w:numPr>
          <w:ilvl w:val="0"/>
          <w:numId w:val="5"/>
        </w:numPr>
        <w:tabs>
          <w:tab w:val="clear" w:pos="1080"/>
          <w:tab w:val="num" w:pos="1620"/>
        </w:tabs>
        <w:ind w:left="1627"/>
      </w:pPr>
      <w:r>
        <w:t>Receive, review, and approve reimbursements for expenditures</w:t>
      </w:r>
    </w:p>
    <w:p w:rsidR="0031145A" w:rsidP="004364CD" w:rsidRDefault="0031145A" w14:paraId="3481BB0F" w14:textId="77777777">
      <w:pPr>
        <w:pStyle w:val="BodyTextDSW"/>
        <w:numPr>
          <w:ilvl w:val="0"/>
          <w:numId w:val="5"/>
        </w:numPr>
        <w:tabs>
          <w:tab w:val="clear" w:pos="1080"/>
          <w:tab w:val="num" w:pos="1620"/>
        </w:tabs>
        <w:ind w:left="1627"/>
      </w:pPr>
      <w:r>
        <w:t>Receive, review, and file evidence of an increase in the policy or approve other financial assurance as specified to cover the increase</w:t>
      </w:r>
    </w:p>
    <w:p w:rsidR="0031145A" w:rsidP="004364CD" w:rsidRDefault="0031145A" w14:paraId="6FF20BF5" w14:textId="77777777">
      <w:pPr>
        <w:pStyle w:val="BodyTextDSW"/>
        <w:numPr>
          <w:ilvl w:val="0"/>
          <w:numId w:val="5"/>
        </w:numPr>
        <w:tabs>
          <w:tab w:val="clear" w:pos="1080"/>
          <w:tab w:val="num" w:pos="1620"/>
        </w:tabs>
        <w:ind w:left="1627"/>
      </w:pPr>
      <w:r>
        <w:t>Receive and evaluate alternate financial assurance if required because of cancellation, termination, or failure to renew the insurance</w:t>
      </w:r>
    </w:p>
    <w:p w:rsidR="0031145A" w:rsidP="004364CD" w:rsidRDefault="0031145A" w14:paraId="33C1AA38" w14:textId="77777777">
      <w:pPr>
        <w:pStyle w:val="BodyTextDSW"/>
        <w:numPr>
          <w:ilvl w:val="0"/>
          <w:numId w:val="5"/>
        </w:numPr>
        <w:tabs>
          <w:tab w:val="clear" w:pos="1080"/>
          <w:tab w:val="num" w:pos="1620"/>
        </w:tabs>
        <w:ind w:left="1627"/>
      </w:pPr>
      <w:r>
        <w:t>Receive, review, and file notice of cancellation</w:t>
      </w:r>
    </w:p>
    <w:p w:rsidR="0031145A" w:rsidP="004364CD" w:rsidRDefault="0031145A" w14:paraId="27ABF5B2" w14:textId="77777777">
      <w:pPr>
        <w:pStyle w:val="BodyTextDSW"/>
        <w:numPr>
          <w:ilvl w:val="0"/>
          <w:numId w:val="5"/>
        </w:numPr>
        <w:tabs>
          <w:tab w:val="clear" w:pos="1080"/>
          <w:tab w:val="num" w:pos="1620"/>
        </w:tabs>
        <w:ind w:left="1627"/>
      </w:pPr>
      <w:r>
        <w:t>Take other action as needed</w:t>
      </w:r>
    </w:p>
    <w:p w:rsidRPr="004364CD" w:rsidR="0031145A" w:rsidP="004364CD" w:rsidRDefault="0031145A" w14:paraId="0AFD6EDB" w14:textId="77777777">
      <w:pPr>
        <w:spacing w:before="240" w:after="240"/>
        <w:ind w:left="720"/>
        <w:rPr>
          <w:sz w:val="24"/>
          <w:u w:val="single"/>
        </w:rPr>
      </w:pPr>
      <w:r w:rsidRPr="004364CD">
        <w:rPr>
          <w:sz w:val="24"/>
          <w:u w:val="single"/>
        </w:rPr>
        <w:t>Financial test and corporate guarantee</w:t>
      </w:r>
    </w:p>
    <w:p w:rsidR="0031145A" w:rsidP="004364CD" w:rsidRDefault="0031145A" w14:paraId="37927C16" w14:textId="77777777">
      <w:pPr>
        <w:pStyle w:val="BodyTextDSW"/>
        <w:numPr>
          <w:ilvl w:val="0"/>
          <w:numId w:val="5"/>
        </w:numPr>
        <w:tabs>
          <w:tab w:val="clear" w:pos="1080"/>
          <w:tab w:val="num" w:pos="1620"/>
        </w:tabs>
        <w:ind w:left="1627"/>
      </w:pPr>
      <w:r>
        <w:t>Receive and evaluate a signed letter and accompanying material</w:t>
      </w:r>
    </w:p>
    <w:p w:rsidR="0031145A" w:rsidP="004364CD" w:rsidRDefault="0031145A" w14:paraId="09AF1822" w14:textId="77777777">
      <w:pPr>
        <w:pStyle w:val="BodyTextDSW"/>
        <w:numPr>
          <w:ilvl w:val="0"/>
          <w:numId w:val="5"/>
        </w:numPr>
        <w:tabs>
          <w:tab w:val="clear" w:pos="1080"/>
          <w:tab w:val="num" w:pos="1620"/>
        </w:tabs>
        <w:ind w:left="1627"/>
      </w:pPr>
      <w:r>
        <w:t xml:space="preserve">Receive, review, and approve an extension of the time allowed for submission of the documents specified in </w:t>
      </w:r>
      <w:r w:rsidR="00CA18C9">
        <w:t xml:space="preserve">40 CFR </w:t>
      </w:r>
      <w:r>
        <w:t>261.143(e)(3)</w:t>
      </w:r>
    </w:p>
    <w:p w:rsidR="0031145A" w:rsidP="004364CD" w:rsidRDefault="0031145A" w14:paraId="1D3D9669" w14:textId="77777777">
      <w:pPr>
        <w:pStyle w:val="BodyTextDSW"/>
        <w:numPr>
          <w:ilvl w:val="0"/>
          <w:numId w:val="5"/>
        </w:numPr>
        <w:tabs>
          <w:tab w:val="clear" w:pos="1080"/>
          <w:tab w:val="num" w:pos="1620"/>
        </w:tabs>
        <w:ind w:left="1627"/>
      </w:pPr>
      <w:r>
        <w:t>Receive, review, and file updated information at the close of each fiscal year</w:t>
      </w:r>
    </w:p>
    <w:p w:rsidR="0031145A" w:rsidP="004364CD" w:rsidRDefault="0031145A" w14:paraId="5EC00D9D" w14:textId="77777777">
      <w:pPr>
        <w:pStyle w:val="BodyTextDSW"/>
        <w:numPr>
          <w:ilvl w:val="0"/>
          <w:numId w:val="5"/>
        </w:numPr>
        <w:tabs>
          <w:tab w:val="clear" w:pos="1080"/>
          <w:tab w:val="num" w:pos="1620"/>
        </w:tabs>
        <w:ind w:left="1627"/>
      </w:pPr>
      <w:r>
        <w:t>Receive, review, and file a notice of intent to establish alternate financial assurance</w:t>
      </w:r>
    </w:p>
    <w:p w:rsidR="0031145A" w:rsidP="004364CD" w:rsidRDefault="0031145A" w14:paraId="08D72737" w14:textId="77777777">
      <w:pPr>
        <w:pStyle w:val="BodyTextDSW"/>
        <w:numPr>
          <w:ilvl w:val="0"/>
          <w:numId w:val="5"/>
        </w:numPr>
        <w:tabs>
          <w:tab w:val="clear" w:pos="1080"/>
          <w:tab w:val="num" w:pos="1620"/>
        </w:tabs>
        <w:ind w:left="1627"/>
      </w:pPr>
      <w:r>
        <w:t>Request, receive, review and file reports of financial condition</w:t>
      </w:r>
    </w:p>
    <w:p w:rsidR="0031145A" w:rsidP="004364CD" w:rsidRDefault="0031145A" w14:paraId="41082107" w14:textId="77777777">
      <w:pPr>
        <w:pStyle w:val="BodyTextDSW"/>
        <w:numPr>
          <w:ilvl w:val="0"/>
          <w:numId w:val="5"/>
        </w:numPr>
        <w:tabs>
          <w:tab w:val="clear" w:pos="1080"/>
          <w:tab w:val="num" w:pos="1620"/>
        </w:tabs>
        <w:ind w:left="1627"/>
      </w:pPr>
      <w:r>
        <w:t xml:space="preserve">Receive and evaluate alternate financial assurance </w:t>
      </w:r>
    </w:p>
    <w:p w:rsidR="0031145A" w:rsidP="004364CD" w:rsidRDefault="0031145A" w14:paraId="6FE7DE49" w14:textId="77777777">
      <w:pPr>
        <w:pStyle w:val="BodyTextDSW"/>
        <w:numPr>
          <w:ilvl w:val="0"/>
          <w:numId w:val="5"/>
        </w:numPr>
        <w:tabs>
          <w:tab w:val="clear" w:pos="1080"/>
          <w:tab w:val="num" w:pos="1620"/>
        </w:tabs>
        <w:ind w:left="1627"/>
      </w:pPr>
      <w:r>
        <w:t>Prepare and transmit notice of disallowance</w:t>
      </w:r>
    </w:p>
    <w:p w:rsidR="0031145A" w:rsidP="004364CD" w:rsidRDefault="0031145A" w14:paraId="2D478112" w14:textId="77777777">
      <w:pPr>
        <w:pStyle w:val="BodyTextDSW"/>
        <w:numPr>
          <w:ilvl w:val="0"/>
          <w:numId w:val="5"/>
        </w:numPr>
        <w:tabs>
          <w:tab w:val="clear" w:pos="1080"/>
          <w:tab w:val="num" w:pos="1620"/>
        </w:tabs>
        <w:ind w:left="1627"/>
      </w:pPr>
      <w:r>
        <w:t>Take other action as needed</w:t>
      </w:r>
    </w:p>
    <w:p w:rsidRPr="00852DDE" w:rsidR="006D2EE7" w:rsidP="008E1762" w:rsidRDefault="006D2EE7" w14:paraId="2B2F4E68" w14:textId="77777777">
      <w:pPr>
        <w:pStyle w:val="BodyTextDSW"/>
        <w:keepNext/>
        <w:numPr>
          <w:ilvl w:val="0"/>
          <w:numId w:val="42"/>
        </w:numPr>
        <w:ind w:left="547" w:hanging="547"/>
        <w:rPr>
          <w:b/>
        </w:rPr>
      </w:pPr>
      <w:r w:rsidRPr="002F7A09">
        <w:rPr>
          <w:b/>
        </w:rPr>
        <w:lastRenderedPageBreak/>
        <w:t>Hazardous Secondary Material Generated and Reclaimed under</w:t>
      </w:r>
      <w:r w:rsidR="00F37EB9">
        <w:rPr>
          <w:b/>
        </w:rPr>
        <w:br/>
      </w:r>
      <w:r w:rsidRPr="002F7A09">
        <w:rPr>
          <w:b/>
        </w:rPr>
        <w:t>the Control of th</w:t>
      </w:r>
      <w:r w:rsidR="00CA18C9">
        <w:rPr>
          <w:b/>
        </w:rPr>
        <w:t>e</w:t>
      </w:r>
      <w:r w:rsidR="00F37EB9">
        <w:rPr>
          <w:b/>
        </w:rPr>
        <w:t xml:space="preserve"> </w:t>
      </w:r>
      <w:r w:rsidRPr="00852DDE">
        <w:rPr>
          <w:b/>
        </w:rPr>
        <w:t>Generator</w:t>
      </w:r>
    </w:p>
    <w:p w:rsidRPr="004364CD" w:rsidR="00B30254" w:rsidP="004364CD" w:rsidRDefault="00B30254" w14:paraId="50DFAE77" w14:textId="77777777">
      <w:pPr>
        <w:pStyle w:val="BodyTextDSW"/>
        <w:keepNext/>
        <w:numPr>
          <w:ilvl w:val="0"/>
          <w:numId w:val="44"/>
        </w:numPr>
        <w:spacing w:before="240" w:after="240"/>
        <w:ind w:left="540" w:hanging="540"/>
        <w:rPr>
          <w:b/>
          <w:bCs/>
        </w:rPr>
      </w:pPr>
      <w:r w:rsidRPr="004364CD">
        <w:rPr>
          <w:b/>
          <w:bCs/>
        </w:rPr>
        <w:t>Emergency Preparedness</w:t>
      </w:r>
    </w:p>
    <w:p w:rsidRPr="004364CD" w:rsidR="00B30254" w:rsidP="004364CD" w:rsidRDefault="00B30254" w14:paraId="3034FE66" w14:textId="77777777">
      <w:pPr>
        <w:spacing w:before="240" w:after="240"/>
        <w:ind w:left="720"/>
        <w:rPr>
          <w:sz w:val="24"/>
          <w:u w:val="single"/>
        </w:rPr>
      </w:pPr>
      <w:r w:rsidRPr="004364CD">
        <w:rPr>
          <w:sz w:val="24"/>
          <w:u w:val="single"/>
        </w:rPr>
        <w:t>Emergency procedures</w:t>
      </w:r>
    </w:p>
    <w:p w:rsidR="00B30254" w:rsidP="004364CD" w:rsidRDefault="00B30254" w14:paraId="7C10497F" w14:textId="77777777">
      <w:pPr>
        <w:pStyle w:val="BodyTextDSW"/>
        <w:numPr>
          <w:ilvl w:val="0"/>
          <w:numId w:val="5"/>
        </w:numPr>
        <w:tabs>
          <w:tab w:val="clear" w:pos="1080"/>
          <w:tab w:val="num" w:pos="1620"/>
        </w:tabs>
        <w:ind w:left="1627"/>
      </w:pPr>
      <w:r>
        <w:t>Review submitted release report information</w:t>
      </w:r>
    </w:p>
    <w:p w:rsidR="00B30254" w:rsidP="004364CD" w:rsidRDefault="00B30254" w14:paraId="17E0810E" w14:textId="77777777">
      <w:pPr>
        <w:pStyle w:val="BodyTextDSW"/>
        <w:numPr>
          <w:ilvl w:val="0"/>
          <w:numId w:val="5"/>
        </w:numPr>
        <w:tabs>
          <w:tab w:val="clear" w:pos="1080"/>
          <w:tab w:val="num" w:pos="1620"/>
        </w:tabs>
        <w:ind w:left="1627"/>
      </w:pPr>
      <w:r>
        <w:t>Enter information into database tracking all releases</w:t>
      </w:r>
    </w:p>
    <w:p w:rsidR="00B30254" w:rsidP="004364CD" w:rsidRDefault="00B30254" w14:paraId="1AC3A990" w14:textId="77777777">
      <w:pPr>
        <w:pStyle w:val="BodyTextDSW"/>
        <w:numPr>
          <w:ilvl w:val="0"/>
          <w:numId w:val="5"/>
        </w:numPr>
        <w:tabs>
          <w:tab w:val="clear" w:pos="1080"/>
          <w:tab w:val="num" w:pos="1620"/>
        </w:tabs>
        <w:ind w:left="1627"/>
      </w:pPr>
      <w:r>
        <w:t>Transmit information to respective response authorities</w:t>
      </w:r>
    </w:p>
    <w:p w:rsidR="006D2EE7" w:rsidP="004364CD" w:rsidRDefault="006D2EE7" w14:paraId="5F4CCAFC" w14:textId="77777777">
      <w:pPr>
        <w:pStyle w:val="BodyTextDSW"/>
        <w:numPr>
          <w:ilvl w:val="0"/>
          <w:numId w:val="42"/>
        </w:numPr>
        <w:ind w:left="540" w:hanging="540"/>
        <w:rPr>
          <w:b/>
        </w:rPr>
      </w:pPr>
      <w:r w:rsidRPr="002F7A09">
        <w:rPr>
          <w:b/>
        </w:rPr>
        <w:t>Solid Waste Variances and Non-Waste Determinations</w:t>
      </w:r>
    </w:p>
    <w:p w:rsidRPr="004364CD" w:rsidR="00A1612F" w:rsidP="004364CD" w:rsidRDefault="00A1612F" w14:paraId="2013FEF0" w14:textId="77777777">
      <w:pPr>
        <w:pStyle w:val="BodyTextDSW"/>
        <w:keepNext/>
        <w:numPr>
          <w:ilvl w:val="0"/>
          <w:numId w:val="45"/>
        </w:numPr>
        <w:spacing w:before="240" w:after="240"/>
        <w:ind w:left="540" w:hanging="540"/>
        <w:rPr>
          <w:b/>
          <w:bCs/>
        </w:rPr>
      </w:pPr>
      <w:r w:rsidRPr="004364CD">
        <w:rPr>
          <w:b/>
          <w:bCs/>
        </w:rPr>
        <w:t>Re-Application</w:t>
      </w:r>
    </w:p>
    <w:p w:rsidR="00A1612F" w:rsidP="004364CD" w:rsidRDefault="00A1612F" w14:paraId="3A280B6A" w14:textId="77777777">
      <w:pPr>
        <w:pStyle w:val="BodyTextDSW"/>
        <w:numPr>
          <w:ilvl w:val="0"/>
          <w:numId w:val="5"/>
        </w:numPr>
        <w:tabs>
          <w:tab w:val="clear" w:pos="1080"/>
          <w:tab w:val="num" w:pos="1620"/>
        </w:tabs>
        <w:ind w:left="1627"/>
      </w:pPr>
      <w:r>
        <w:t>Receive</w:t>
      </w:r>
      <w:r w:rsidR="00622804">
        <w:t>, review, and file r</w:t>
      </w:r>
      <w:r>
        <w:t>e-</w:t>
      </w:r>
      <w:r w:rsidR="00622804">
        <w:t>a</w:t>
      </w:r>
      <w:r>
        <w:t>pplication</w:t>
      </w:r>
      <w:r w:rsidR="00EB5133">
        <w:t xml:space="preserve">s every ten years </w:t>
      </w:r>
    </w:p>
    <w:p w:rsidRPr="004364CD" w:rsidR="00A1612F" w:rsidP="004364CD" w:rsidRDefault="00A1612F" w14:paraId="2D4AAD43" w14:textId="77777777">
      <w:pPr>
        <w:pStyle w:val="BodyTextDSW"/>
        <w:keepNext/>
        <w:numPr>
          <w:ilvl w:val="0"/>
          <w:numId w:val="45"/>
        </w:numPr>
        <w:spacing w:before="240" w:after="240"/>
        <w:ind w:left="540" w:hanging="540"/>
        <w:rPr>
          <w:b/>
          <w:bCs/>
        </w:rPr>
      </w:pPr>
      <w:r w:rsidRPr="004364CD">
        <w:rPr>
          <w:b/>
          <w:bCs/>
        </w:rPr>
        <w:t>Re-Notification</w:t>
      </w:r>
    </w:p>
    <w:p w:rsidR="00A1612F" w:rsidP="004364CD" w:rsidRDefault="00A1612F" w14:paraId="24E5AF52" w14:textId="77777777">
      <w:pPr>
        <w:pStyle w:val="BodyTextDSW"/>
        <w:numPr>
          <w:ilvl w:val="0"/>
          <w:numId w:val="5"/>
        </w:numPr>
        <w:tabs>
          <w:tab w:val="clear" w:pos="1080"/>
          <w:tab w:val="num" w:pos="1620"/>
        </w:tabs>
        <w:ind w:left="1627"/>
      </w:pPr>
      <w:r>
        <w:t>Receive</w:t>
      </w:r>
      <w:r w:rsidR="00622804">
        <w:t>, review, and file n</w:t>
      </w:r>
      <w:r>
        <w:t xml:space="preserve">otifications </w:t>
      </w:r>
      <w:r w:rsidR="00EB5133">
        <w:t>i</w:t>
      </w:r>
      <w:r w:rsidRPr="00215C2A" w:rsidR="00EB5133">
        <w:t>n the event of a change in circumstances</w:t>
      </w:r>
    </w:p>
    <w:p w:rsidRPr="004364CD" w:rsidR="00A1612F" w:rsidP="004364CD" w:rsidRDefault="00A1612F" w14:paraId="1A839750" w14:textId="77777777">
      <w:pPr>
        <w:pStyle w:val="BodyTextDSW"/>
        <w:keepNext/>
        <w:numPr>
          <w:ilvl w:val="0"/>
          <w:numId w:val="45"/>
        </w:numPr>
        <w:spacing w:before="240" w:after="240"/>
        <w:ind w:left="540" w:hanging="540"/>
        <w:rPr>
          <w:b/>
          <w:bCs/>
        </w:rPr>
      </w:pPr>
      <w:r w:rsidRPr="004364CD">
        <w:rPr>
          <w:b/>
          <w:bCs/>
        </w:rPr>
        <w:t xml:space="preserve">Variance from Classification </w:t>
      </w:r>
      <w:r w:rsidRPr="004364CD" w:rsidR="00EF13AB">
        <w:rPr>
          <w:b/>
          <w:bCs/>
        </w:rPr>
        <w:t>from</w:t>
      </w:r>
      <w:r w:rsidRPr="004364CD">
        <w:rPr>
          <w:b/>
          <w:bCs/>
        </w:rPr>
        <w:t xml:space="preserve"> Solid Waste (260.31(c) and 260.33(a))</w:t>
      </w:r>
    </w:p>
    <w:p w:rsidR="00A1612F" w:rsidP="004364CD" w:rsidRDefault="00A1612F" w14:paraId="45508638" w14:textId="77777777">
      <w:pPr>
        <w:pStyle w:val="BodyTextDSW"/>
        <w:numPr>
          <w:ilvl w:val="0"/>
          <w:numId w:val="5"/>
        </w:numPr>
        <w:tabs>
          <w:tab w:val="clear" w:pos="1080"/>
          <w:tab w:val="num" w:pos="1620"/>
        </w:tabs>
        <w:ind w:left="1627"/>
      </w:pPr>
      <w:r>
        <w:t>Review the variance demonstration</w:t>
      </w:r>
    </w:p>
    <w:p w:rsidR="00A1612F" w:rsidP="004364CD" w:rsidRDefault="00A1612F" w14:paraId="3D39E7FD" w14:textId="77777777">
      <w:pPr>
        <w:pStyle w:val="BodyTextDSW"/>
        <w:numPr>
          <w:ilvl w:val="0"/>
          <w:numId w:val="5"/>
        </w:numPr>
        <w:tabs>
          <w:tab w:val="clear" w:pos="1080"/>
          <w:tab w:val="num" w:pos="1620"/>
        </w:tabs>
        <w:ind w:left="1627"/>
      </w:pPr>
      <w:r>
        <w:t>Request additional information if necessary</w:t>
      </w:r>
    </w:p>
    <w:p w:rsidR="00A1612F" w:rsidP="004364CD" w:rsidRDefault="00A1612F" w14:paraId="71859FFC" w14:textId="77777777">
      <w:pPr>
        <w:pStyle w:val="BodyTextDSW"/>
        <w:numPr>
          <w:ilvl w:val="0"/>
          <w:numId w:val="5"/>
        </w:numPr>
        <w:tabs>
          <w:tab w:val="clear" w:pos="1080"/>
          <w:tab w:val="num" w:pos="1620"/>
        </w:tabs>
        <w:ind w:left="1627"/>
      </w:pPr>
      <w:r>
        <w:t>Deliberate and issue draft determination</w:t>
      </w:r>
    </w:p>
    <w:p w:rsidR="00A1612F" w:rsidP="004364CD" w:rsidRDefault="00A1612F" w14:paraId="2E5786E7" w14:textId="77777777">
      <w:pPr>
        <w:pStyle w:val="BodyTextDSW"/>
        <w:numPr>
          <w:ilvl w:val="0"/>
          <w:numId w:val="5"/>
        </w:numPr>
        <w:tabs>
          <w:tab w:val="clear" w:pos="1080"/>
          <w:tab w:val="num" w:pos="1620"/>
        </w:tabs>
        <w:ind w:left="1627"/>
      </w:pPr>
      <w:r>
        <w:t>Publicize draft determination</w:t>
      </w:r>
    </w:p>
    <w:p w:rsidR="00A1612F" w:rsidP="004364CD" w:rsidRDefault="00A1612F" w14:paraId="6EDF053C" w14:textId="77777777">
      <w:pPr>
        <w:pStyle w:val="BodyTextDSW"/>
        <w:numPr>
          <w:ilvl w:val="0"/>
          <w:numId w:val="5"/>
        </w:numPr>
        <w:tabs>
          <w:tab w:val="clear" w:pos="1080"/>
          <w:tab w:val="num" w:pos="1620"/>
        </w:tabs>
        <w:ind w:left="1627"/>
      </w:pPr>
      <w:r>
        <w:t>Hold hearing, if required</w:t>
      </w:r>
    </w:p>
    <w:p w:rsidR="00A1612F" w:rsidP="004364CD" w:rsidRDefault="00A1612F" w14:paraId="7CD8CD46" w14:textId="77777777">
      <w:pPr>
        <w:pStyle w:val="BodyTextDSW"/>
        <w:numPr>
          <w:ilvl w:val="0"/>
          <w:numId w:val="5"/>
        </w:numPr>
        <w:tabs>
          <w:tab w:val="clear" w:pos="1080"/>
          <w:tab w:val="num" w:pos="1620"/>
        </w:tabs>
        <w:ind w:left="1627"/>
      </w:pPr>
      <w:r>
        <w:t>Review comments and make final determination</w:t>
      </w:r>
    </w:p>
    <w:p w:rsidRPr="004364CD" w:rsidR="00A1612F" w:rsidP="004364CD" w:rsidRDefault="00A1612F" w14:paraId="2447E7A6" w14:textId="77777777">
      <w:pPr>
        <w:pStyle w:val="BodyTextDSW"/>
        <w:keepNext/>
        <w:numPr>
          <w:ilvl w:val="0"/>
          <w:numId w:val="45"/>
        </w:numPr>
        <w:spacing w:before="240" w:after="240"/>
        <w:ind w:left="540" w:hanging="540"/>
        <w:rPr>
          <w:b/>
          <w:bCs/>
        </w:rPr>
      </w:pPr>
      <w:r w:rsidRPr="004364CD">
        <w:rPr>
          <w:b/>
          <w:bCs/>
        </w:rPr>
        <w:t>Non-Waste Determination</w:t>
      </w:r>
    </w:p>
    <w:p w:rsidR="00A1612F" w:rsidP="004364CD" w:rsidRDefault="00A1612F" w14:paraId="758E9076" w14:textId="77777777">
      <w:pPr>
        <w:pStyle w:val="BodyTextDSW"/>
        <w:numPr>
          <w:ilvl w:val="0"/>
          <w:numId w:val="5"/>
        </w:numPr>
        <w:tabs>
          <w:tab w:val="clear" w:pos="1080"/>
          <w:tab w:val="num" w:pos="1620"/>
        </w:tabs>
        <w:ind w:left="1627"/>
      </w:pPr>
      <w:r>
        <w:t>Review the non-waste determination application</w:t>
      </w:r>
    </w:p>
    <w:p w:rsidR="00A1612F" w:rsidP="004364CD" w:rsidRDefault="00A1612F" w14:paraId="7948F1CE" w14:textId="77777777">
      <w:pPr>
        <w:pStyle w:val="BodyTextDSW"/>
        <w:numPr>
          <w:ilvl w:val="0"/>
          <w:numId w:val="5"/>
        </w:numPr>
        <w:tabs>
          <w:tab w:val="clear" w:pos="1080"/>
          <w:tab w:val="num" w:pos="1620"/>
        </w:tabs>
        <w:ind w:left="1627"/>
      </w:pPr>
      <w:r>
        <w:t>Request additional information if necessary</w:t>
      </w:r>
    </w:p>
    <w:p w:rsidR="00A1612F" w:rsidP="004364CD" w:rsidRDefault="00A1612F" w14:paraId="7E715E3F" w14:textId="77777777">
      <w:pPr>
        <w:pStyle w:val="BodyTextDSW"/>
        <w:numPr>
          <w:ilvl w:val="0"/>
          <w:numId w:val="5"/>
        </w:numPr>
        <w:tabs>
          <w:tab w:val="clear" w:pos="1080"/>
          <w:tab w:val="num" w:pos="1620"/>
        </w:tabs>
        <w:ind w:left="1627"/>
      </w:pPr>
      <w:r>
        <w:t>Deliberate and issue draft determination</w:t>
      </w:r>
    </w:p>
    <w:p w:rsidR="00A1612F" w:rsidP="004364CD" w:rsidRDefault="00A1612F" w14:paraId="5E39A52D" w14:textId="77777777">
      <w:pPr>
        <w:pStyle w:val="BodyTextDSW"/>
        <w:numPr>
          <w:ilvl w:val="0"/>
          <w:numId w:val="5"/>
        </w:numPr>
        <w:tabs>
          <w:tab w:val="clear" w:pos="1080"/>
          <w:tab w:val="num" w:pos="1620"/>
        </w:tabs>
        <w:ind w:left="1627"/>
      </w:pPr>
      <w:r>
        <w:t>Publicize draft determination</w:t>
      </w:r>
    </w:p>
    <w:p w:rsidR="00A1612F" w:rsidP="004364CD" w:rsidRDefault="00A1612F" w14:paraId="648286C9" w14:textId="77777777">
      <w:pPr>
        <w:pStyle w:val="BodyTextDSW"/>
        <w:numPr>
          <w:ilvl w:val="0"/>
          <w:numId w:val="5"/>
        </w:numPr>
        <w:tabs>
          <w:tab w:val="clear" w:pos="1080"/>
          <w:tab w:val="num" w:pos="1620"/>
        </w:tabs>
        <w:ind w:left="1627"/>
      </w:pPr>
      <w:r>
        <w:t>Hold hearing, if required</w:t>
      </w:r>
    </w:p>
    <w:p w:rsidR="00A1612F" w:rsidP="004364CD" w:rsidRDefault="00A1612F" w14:paraId="7E79CC3F" w14:textId="77777777">
      <w:pPr>
        <w:pStyle w:val="BodyTextDSW"/>
        <w:numPr>
          <w:ilvl w:val="0"/>
          <w:numId w:val="5"/>
        </w:numPr>
        <w:tabs>
          <w:tab w:val="clear" w:pos="1080"/>
          <w:tab w:val="num" w:pos="1620"/>
        </w:tabs>
        <w:ind w:left="1627"/>
      </w:pPr>
      <w:r>
        <w:t>Review comments and make final determination</w:t>
      </w:r>
    </w:p>
    <w:p w:rsidR="00A1612F" w:rsidP="004364CD" w:rsidRDefault="00A1612F" w14:paraId="219D7710" w14:textId="77777777">
      <w:pPr>
        <w:pStyle w:val="BodyTextDSW"/>
        <w:keepNext/>
        <w:numPr>
          <w:ilvl w:val="0"/>
          <w:numId w:val="42"/>
        </w:numPr>
        <w:ind w:left="547" w:hanging="547"/>
        <w:rPr>
          <w:b/>
        </w:rPr>
      </w:pPr>
      <w:r>
        <w:rPr>
          <w:b/>
        </w:rPr>
        <w:lastRenderedPageBreak/>
        <w:t>Re</w:t>
      </w:r>
      <w:r w:rsidR="00C55544">
        <w:rPr>
          <w:b/>
        </w:rPr>
        <w:t>m</w:t>
      </w:r>
      <w:r>
        <w:rPr>
          <w:b/>
        </w:rPr>
        <w:t xml:space="preserve">anufacturing Exclusion </w:t>
      </w:r>
    </w:p>
    <w:p w:rsidRPr="004364CD" w:rsidR="00A1612F" w:rsidP="004364CD" w:rsidRDefault="00A1612F" w14:paraId="30ED6320" w14:textId="77777777">
      <w:pPr>
        <w:pStyle w:val="BodyTextDSW"/>
        <w:keepNext/>
        <w:numPr>
          <w:ilvl w:val="0"/>
          <w:numId w:val="46"/>
        </w:numPr>
        <w:spacing w:before="240" w:after="240"/>
        <w:ind w:left="540" w:hanging="540"/>
        <w:rPr>
          <w:b/>
          <w:bCs/>
        </w:rPr>
      </w:pPr>
      <w:r w:rsidRPr="004364CD">
        <w:rPr>
          <w:b/>
          <w:bCs/>
        </w:rPr>
        <w:t>Petition Process</w:t>
      </w:r>
    </w:p>
    <w:p w:rsidR="00A1612F" w:rsidP="004364CD" w:rsidRDefault="00A1612F" w14:paraId="1E0092F3" w14:textId="77777777">
      <w:pPr>
        <w:pStyle w:val="BodyTextDSW"/>
        <w:numPr>
          <w:ilvl w:val="0"/>
          <w:numId w:val="5"/>
        </w:numPr>
        <w:tabs>
          <w:tab w:val="clear" w:pos="1080"/>
          <w:tab w:val="num" w:pos="1620"/>
        </w:tabs>
        <w:ind w:left="1627"/>
      </w:pPr>
      <w:r>
        <w:t>Review the petition</w:t>
      </w:r>
    </w:p>
    <w:p w:rsidR="00A1612F" w:rsidP="004364CD" w:rsidRDefault="00A1612F" w14:paraId="17124354" w14:textId="77777777">
      <w:pPr>
        <w:pStyle w:val="BodyTextDSW"/>
        <w:numPr>
          <w:ilvl w:val="0"/>
          <w:numId w:val="5"/>
        </w:numPr>
        <w:tabs>
          <w:tab w:val="clear" w:pos="1080"/>
          <w:tab w:val="num" w:pos="1620"/>
        </w:tabs>
        <w:ind w:left="1627"/>
      </w:pPr>
      <w:r>
        <w:t>Request additional information if necessary</w:t>
      </w:r>
    </w:p>
    <w:p w:rsidR="00A1612F" w:rsidP="004364CD" w:rsidRDefault="00A1612F" w14:paraId="32ADB932" w14:textId="77777777">
      <w:pPr>
        <w:pStyle w:val="BodyTextDSW"/>
        <w:numPr>
          <w:ilvl w:val="0"/>
          <w:numId w:val="5"/>
        </w:numPr>
        <w:tabs>
          <w:tab w:val="clear" w:pos="1080"/>
          <w:tab w:val="num" w:pos="1620"/>
        </w:tabs>
        <w:ind w:left="1627"/>
      </w:pPr>
      <w:r>
        <w:t>Deliberate and issue draft determination</w:t>
      </w:r>
    </w:p>
    <w:p w:rsidR="00A1612F" w:rsidP="004364CD" w:rsidRDefault="00A1612F" w14:paraId="4DA6782C" w14:textId="77777777">
      <w:pPr>
        <w:pStyle w:val="BodyTextDSW"/>
        <w:numPr>
          <w:ilvl w:val="0"/>
          <w:numId w:val="5"/>
        </w:numPr>
        <w:tabs>
          <w:tab w:val="clear" w:pos="1080"/>
          <w:tab w:val="num" w:pos="1620"/>
        </w:tabs>
        <w:ind w:left="1627"/>
      </w:pPr>
      <w:r>
        <w:t>Publicize draft determination</w:t>
      </w:r>
    </w:p>
    <w:p w:rsidR="00A1612F" w:rsidP="004364CD" w:rsidRDefault="00A1612F" w14:paraId="065D14FE" w14:textId="77777777">
      <w:pPr>
        <w:pStyle w:val="BodyTextDSW"/>
        <w:numPr>
          <w:ilvl w:val="0"/>
          <w:numId w:val="5"/>
        </w:numPr>
        <w:tabs>
          <w:tab w:val="clear" w:pos="1080"/>
          <w:tab w:val="num" w:pos="1620"/>
        </w:tabs>
        <w:ind w:left="1627"/>
      </w:pPr>
      <w:r>
        <w:t>Hold hearing, if required</w:t>
      </w:r>
    </w:p>
    <w:p w:rsidR="00A1612F" w:rsidP="004364CD" w:rsidRDefault="00A1612F" w14:paraId="3BFB020E" w14:textId="77777777">
      <w:pPr>
        <w:pStyle w:val="BodyTextDSW"/>
        <w:numPr>
          <w:ilvl w:val="0"/>
          <w:numId w:val="5"/>
        </w:numPr>
        <w:tabs>
          <w:tab w:val="clear" w:pos="1080"/>
          <w:tab w:val="num" w:pos="1620"/>
        </w:tabs>
        <w:ind w:left="1627"/>
      </w:pPr>
      <w:r>
        <w:t>Review comments and make final determination</w:t>
      </w:r>
    </w:p>
    <w:p w:rsidRPr="004364CD" w:rsidR="00A1612F" w:rsidP="004364CD" w:rsidRDefault="00A1612F" w14:paraId="278AAC41" w14:textId="77777777">
      <w:pPr>
        <w:pStyle w:val="BodyTextDSW"/>
        <w:keepNext/>
        <w:numPr>
          <w:ilvl w:val="0"/>
          <w:numId w:val="46"/>
        </w:numPr>
        <w:spacing w:before="240" w:after="240"/>
        <w:ind w:left="540" w:hanging="540"/>
        <w:rPr>
          <w:b/>
          <w:bCs/>
        </w:rPr>
      </w:pPr>
      <w:r w:rsidRPr="004364CD">
        <w:rPr>
          <w:b/>
          <w:bCs/>
        </w:rPr>
        <w:t>Technical Standards</w:t>
      </w:r>
    </w:p>
    <w:p w:rsidR="00A1612F" w:rsidP="004364CD" w:rsidRDefault="00A1612F" w14:paraId="0DFEF2F0" w14:textId="11E6D452">
      <w:pPr>
        <w:pStyle w:val="BodyTextDSW"/>
        <w:numPr>
          <w:ilvl w:val="0"/>
          <w:numId w:val="5"/>
        </w:numPr>
        <w:tabs>
          <w:tab w:val="clear" w:pos="1080"/>
          <w:tab w:val="num" w:pos="1620"/>
        </w:tabs>
        <w:ind w:left="1627"/>
      </w:pPr>
      <w:r>
        <w:t xml:space="preserve">Conduct agency activities related to </w:t>
      </w:r>
      <w:r w:rsidR="00AC1E6D">
        <w:t>OMB Control No. 2050-0050 “</w:t>
      </w:r>
      <w:r>
        <w:t>Hazardous Waste Specific Unit Requirements and Special Waste Processes and Types</w:t>
      </w:r>
      <w:r w:rsidR="00AC1E6D">
        <w:t>”</w:t>
      </w:r>
      <w:r>
        <w:t xml:space="preserve"> for additional facilities</w:t>
      </w:r>
    </w:p>
    <w:p w:rsidRPr="004364CD" w:rsidR="00A1612F" w:rsidP="004364CD" w:rsidRDefault="00A1612F" w14:paraId="08BA92F2" w14:textId="77777777">
      <w:pPr>
        <w:pStyle w:val="BodyTextDSW"/>
        <w:keepNext/>
        <w:numPr>
          <w:ilvl w:val="0"/>
          <w:numId w:val="46"/>
        </w:numPr>
        <w:spacing w:before="240" w:after="240"/>
        <w:ind w:left="540" w:hanging="540"/>
        <w:rPr>
          <w:b/>
          <w:bCs/>
        </w:rPr>
      </w:pPr>
      <w:r w:rsidRPr="004364CD">
        <w:rPr>
          <w:b/>
          <w:bCs/>
        </w:rPr>
        <w:t>NESHAP Standards</w:t>
      </w:r>
    </w:p>
    <w:p w:rsidR="00A1612F" w:rsidP="004364CD" w:rsidRDefault="00A1612F" w14:paraId="78A3F267" w14:textId="099D923B">
      <w:pPr>
        <w:pStyle w:val="BodyTextDSW"/>
        <w:numPr>
          <w:ilvl w:val="0"/>
          <w:numId w:val="5"/>
        </w:numPr>
        <w:tabs>
          <w:tab w:val="clear" w:pos="1080"/>
          <w:tab w:val="num" w:pos="1620"/>
        </w:tabs>
        <w:ind w:left="1627"/>
      </w:pPr>
      <w:r>
        <w:t xml:space="preserve">Conduct agency activities related to pollution standards covered by </w:t>
      </w:r>
      <w:r w:rsidR="00AC1E6D">
        <w:t>OMB Control No. 2050-0035</w:t>
      </w:r>
      <w:r>
        <w:t xml:space="preserve"> </w:t>
      </w:r>
      <w:r w:rsidR="00AC1E6D">
        <w:t>“</w:t>
      </w:r>
      <w:r>
        <w:t>Hazardous Waste Generator Standards</w:t>
      </w:r>
      <w:r w:rsidR="00AC1E6D">
        <w:t>”</w:t>
      </w:r>
      <w:r>
        <w:t xml:space="preserve"> and </w:t>
      </w:r>
      <w:r w:rsidR="00AC1E6D">
        <w:t>OMB Control No. 2060-0318</w:t>
      </w:r>
      <w:r>
        <w:t xml:space="preserve"> </w:t>
      </w:r>
      <w:r w:rsidR="00AC1E6D">
        <w:t>“</w:t>
      </w:r>
      <w:r>
        <w:t>Air Emission Standards for Tanks, Surface Impoundment and Containers</w:t>
      </w:r>
      <w:r w:rsidR="00AC1E6D">
        <w:t>”.</w:t>
      </w:r>
    </w:p>
    <w:p w:rsidR="00EA0E33" w:rsidP="004364CD" w:rsidRDefault="00EA0E33" w14:paraId="449744DD" w14:textId="77777777">
      <w:pPr>
        <w:pStyle w:val="BodyTextDSW"/>
        <w:numPr>
          <w:ilvl w:val="0"/>
          <w:numId w:val="42"/>
        </w:numPr>
        <w:ind w:left="540" w:hanging="540"/>
        <w:rPr>
          <w:b/>
        </w:rPr>
      </w:pPr>
      <w:r>
        <w:rPr>
          <w:b/>
        </w:rPr>
        <w:t>Recordkeeping for Speculative Accumulation</w:t>
      </w:r>
    </w:p>
    <w:p w:rsidR="00352824" w:rsidP="004364CD" w:rsidRDefault="009410AA" w14:paraId="7A39BE67" w14:textId="77777777">
      <w:pPr>
        <w:pStyle w:val="BodyTextDSW"/>
        <w:keepNext/>
        <w:ind w:firstLine="540"/>
      </w:pPr>
      <w:r>
        <w:t>There are no</w:t>
      </w:r>
      <w:r w:rsidRPr="00352824" w:rsidR="00352824">
        <w:t xml:space="preserve"> agency activities</w:t>
      </w:r>
      <w:r>
        <w:t xml:space="preserve"> associated with these requirements</w:t>
      </w:r>
      <w:r w:rsidRPr="00352824" w:rsidR="00352824">
        <w:t>.</w:t>
      </w:r>
    </w:p>
    <w:p w:rsidR="00352824" w:rsidP="004364CD" w:rsidRDefault="00352824" w14:paraId="144A79BF" w14:textId="77777777">
      <w:pPr>
        <w:pStyle w:val="BodyTextDSW"/>
        <w:numPr>
          <w:ilvl w:val="0"/>
          <w:numId w:val="42"/>
        </w:numPr>
        <w:ind w:left="540" w:hanging="540"/>
        <w:rPr>
          <w:b/>
        </w:rPr>
      </w:pPr>
      <w:r w:rsidRPr="002F7A09">
        <w:rPr>
          <w:b/>
        </w:rPr>
        <w:t>Recordkeeping for Export under the Transfer-Based Exclusion</w:t>
      </w:r>
    </w:p>
    <w:p w:rsidR="00352824" w:rsidP="004364CD" w:rsidRDefault="00352824" w14:paraId="082D3F79" w14:textId="77777777">
      <w:pPr>
        <w:pStyle w:val="BodyTextDSW"/>
        <w:numPr>
          <w:ilvl w:val="0"/>
          <w:numId w:val="5"/>
        </w:numPr>
        <w:tabs>
          <w:tab w:val="clear" w:pos="1080"/>
          <w:tab w:val="num" w:pos="1620"/>
        </w:tabs>
        <w:ind w:left="1627"/>
      </w:pPr>
      <w:bookmarkStart w:name="_Toc404344917" w:id="39"/>
      <w:r>
        <w:t>Receive, review, and file shipment notifications and renotifications.</w:t>
      </w:r>
    </w:p>
    <w:p w:rsidR="00352824" w:rsidP="004364CD" w:rsidRDefault="00352824" w14:paraId="4AE8C971" w14:textId="77777777">
      <w:pPr>
        <w:pStyle w:val="BodyTextDSW"/>
        <w:numPr>
          <w:ilvl w:val="0"/>
          <w:numId w:val="5"/>
        </w:numPr>
        <w:tabs>
          <w:tab w:val="clear" w:pos="1080"/>
          <w:tab w:val="num" w:pos="1620"/>
        </w:tabs>
        <w:ind w:left="1627"/>
      </w:pPr>
      <w:r>
        <w:t xml:space="preserve">Receive, review, and file annual reports. </w:t>
      </w:r>
    </w:p>
    <w:p w:rsidR="00352824" w:rsidP="00352824" w:rsidRDefault="00352824" w14:paraId="5F84CEA3" w14:textId="77777777">
      <w:pPr>
        <w:pStyle w:val="Heading2"/>
        <w:numPr>
          <w:ilvl w:val="0"/>
          <w:numId w:val="0"/>
        </w:numPr>
        <w:ind w:left="720"/>
      </w:pPr>
      <w:r>
        <w:t>5(b) Collection Methodology and Management</w:t>
      </w:r>
    </w:p>
    <w:bookmarkEnd w:id="39"/>
    <w:p w:rsidR="00A1612F" w:rsidRDefault="00A1612F" w14:paraId="04F83436" w14:textId="77777777">
      <w:pPr>
        <w:pStyle w:val="BodyTextDSW"/>
      </w:pPr>
      <w:r>
        <w:t xml:space="preserve">In collecting and analyzing the information associated with this ICR, EPA and </w:t>
      </w:r>
      <w:r w:rsidR="00F75265">
        <w:t>A</w:t>
      </w:r>
      <w:r>
        <w:t xml:space="preserve">uthorized </w:t>
      </w:r>
      <w:r w:rsidR="00F75265">
        <w:t>S</w:t>
      </w:r>
      <w:r>
        <w:t>tates may use a telephone system, personal computers, and applicable database software. They will ensure the accuracy and completeness of collected information by reviewing the submittals. They will keep records of this information in file cabinets and/or computer systems.</w:t>
      </w:r>
    </w:p>
    <w:p w:rsidR="00A1612F" w:rsidRDefault="00A1612F" w14:paraId="40F7ABCC" w14:textId="77777777">
      <w:pPr>
        <w:pStyle w:val="Heading2"/>
      </w:pPr>
      <w:bookmarkStart w:name="__RefHeading__192_717627523" w:id="40"/>
      <w:bookmarkStart w:name="_Toc404344918" w:id="41"/>
      <w:bookmarkEnd w:id="40"/>
      <w:r>
        <w:t>5(c)</w:t>
      </w:r>
      <w:r>
        <w:tab/>
        <w:t>Small Entity Flexibility</w:t>
      </w:r>
      <w:bookmarkEnd w:id="41"/>
    </w:p>
    <w:p w:rsidR="00A1612F" w:rsidRDefault="00A1612F" w14:paraId="78868314" w14:textId="77777777">
      <w:pPr>
        <w:pStyle w:val="BodyTextDSW"/>
      </w:pPr>
      <w:r>
        <w:t xml:space="preserve">The exclusions in </w:t>
      </w:r>
      <w:r w:rsidR="00D525F6">
        <w:t>this ICR</w:t>
      </w:r>
      <w:r>
        <w:t xml:space="preserve"> are voluntary and deregulatory. As such, there is no adverse burden imp</w:t>
      </w:r>
      <w:r w:rsidR="00D525F6">
        <w:t>act to large or small entities.</w:t>
      </w:r>
    </w:p>
    <w:p w:rsidR="00A1612F" w:rsidRDefault="00A1612F" w14:paraId="5B5F8B87" w14:textId="77777777">
      <w:pPr>
        <w:pStyle w:val="Heading2"/>
      </w:pPr>
      <w:bookmarkStart w:name="__RefHeading__194_717627523" w:id="42"/>
      <w:bookmarkStart w:name="_Toc404344919" w:id="43"/>
      <w:bookmarkEnd w:id="42"/>
      <w:r>
        <w:lastRenderedPageBreak/>
        <w:t>5(d)</w:t>
      </w:r>
      <w:r>
        <w:tab/>
        <w:t>Collection Schedule</w:t>
      </w:r>
      <w:bookmarkEnd w:id="43"/>
    </w:p>
    <w:p w:rsidRPr="008E31AF" w:rsidR="008E31AF" w:rsidP="008E31AF" w:rsidRDefault="001C24CD" w14:paraId="7B789E38" w14:textId="7777777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firstLine="720"/>
        <w:rPr>
          <w:sz w:val="24"/>
        </w:rPr>
      </w:pPr>
      <w:r>
        <w:rPr>
          <w:sz w:val="24"/>
        </w:rPr>
        <w:t>For</w:t>
      </w:r>
      <w:r w:rsidRPr="008E31AF" w:rsidR="008E31AF">
        <w:rPr>
          <w:sz w:val="24"/>
        </w:rPr>
        <w:t xml:space="preserve"> </w:t>
      </w:r>
      <w:r>
        <w:rPr>
          <w:sz w:val="24"/>
        </w:rPr>
        <w:t xml:space="preserve">most of the </w:t>
      </w:r>
      <w:r w:rsidRPr="008E31AF" w:rsidR="008E31AF">
        <w:rPr>
          <w:sz w:val="24"/>
        </w:rPr>
        <w:t>requirements under the transfer-based exclusion and the generator</w:t>
      </w:r>
      <w:r w:rsidR="008142F9">
        <w:rPr>
          <w:sz w:val="24"/>
        </w:rPr>
        <w:t>-</w:t>
      </w:r>
      <w:r w:rsidRPr="008E31AF" w:rsidR="008E31AF">
        <w:rPr>
          <w:sz w:val="24"/>
        </w:rPr>
        <w:t xml:space="preserve">controlled exclusion, </w:t>
      </w:r>
      <w:r>
        <w:rPr>
          <w:sz w:val="24"/>
        </w:rPr>
        <w:t>a discussion of the collection schedule is not relevant</w:t>
      </w:r>
      <w:r w:rsidRPr="008E31AF" w:rsidR="008E31AF">
        <w:rPr>
          <w:sz w:val="24"/>
        </w:rPr>
        <w:t xml:space="preserve">. For the emergency preparedness and response requirements under the </w:t>
      </w:r>
      <w:r>
        <w:rPr>
          <w:sz w:val="24"/>
        </w:rPr>
        <w:t>transfer-based</w:t>
      </w:r>
      <w:r w:rsidRPr="008E31AF" w:rsidR="008E31AF">
        <w:rPr>
          <w:sz w:val="24"/>
        </w:rPr>
        <w:t xml:space="preserve"> exclusion and the generator-controlled exclusion, recordkeeping for personnel training is conducted onsite, so a discussion of a collection schedule is not relevant. There is no collection schedule for generators reporting releases of hazardous waste into the environment, as facilities only report on these occasions. The emergency coordinator must immediately notify the appropriate authorities of an imminent or actual </w:t>
      </w:r>
      <w:proofErr w:type="gramStart"/>
      <w:r w:rsidRPr="008E31AF" w:rsidR="008E31AF">
        <w:rPr>
          <w:sz w:val="24"/>
        </w:rPr>
        <w:t>emergency situation</w:t>
      </w:r>
      <w:proofErr w:type="gramEnd"/>
      <w:r w:rsidRPr="008E31AF" w:rsidR="008E31AF">
        <w:rPr>
          <w:sz w:val="24"/>
        </w:rPr>
        <w:t xml:space="preserve">. A generator accumulating more than 6,000 kg of hazardous secondary material must submit a written report of any incident that requires the implementation of the contingency plan within 15 days of its occurrence. </w:t>
      </w:r>
      <w:r w:rsidR="008142F9">
        <w:rPr>
          <w:sz w:val="24"/>
        </w:rPr>
        <w:t xml:space="preserve">Because </w:t>
      </w:r>
      <w:r w:rsidRPr="008E31AF" w:rsidR="008E31AF">
        <w:rPr>
          <w:sz w:val="24"/>
        </w:rPr>
        <w:t>generators are not required to submit their contingency plans to EPA, discussion of a collection schedule for these facilities is not applicable.</w:t>
      </w:r>
    </w:p>
    <w:p w:rsidRPr="008E31AF" w:rsidR="00A1612F" w:rsidRDefault="00A1612F" w14:paraId="5D5AC4ED" w14:textId="77777777">
      <w:pPr>
        <w:pStyle w:val="BodyTextDSW"/>
      </w:pPr>
      <w:r w:rsidRPr="008E31AF">
        <w:t xml:space="preserve">No schedule is required for applications for non-waste determinations. The applicant must re-apply for non-waste determinations, in the event of a change in circumstances that affects how a hazardous secondary material meets the relevant criteria contained in </w:t>
      </w:r>
      <w:r w:rsidR="008142F9">
        <w:t>40 CFR</w:t>
      </w:r>
      <w:r w:rsidRPr="008E31AF" w:rsidR="008142F9">
        <w:t xml:space="preserve"> </w:t>
      </w:r>
      <w:r w:rsidRPr="008E31AF">
        <w:t>260.34 upon which a non-waste determination has been based.</w:t>
      </w:r>
    </w:p>
    <w:p w:rsidR="00A1612F" w:rsidRDefault="00A1612F" w14:paraId="7E41983A" w14:textId="77777777">
      <w:pPr>
        <w:pStyle w:val="BodyTextDSW"/>
        <w:ind w:firstLine="0"/>
      </w:pPr>
      <w:r w:rsidRPr="008E31AF">
        <w:tab/>
        <w:t>No schedule is required for other applications and petitions</w:t>
      </w:r>
      <w:r>
        <w:t xml:space="preserve"> </w:t>
      </w:r>
      <w:r w:rsidR="00027421">
        <w:t xml:space="preserve">covered in this </w:t>
      </w:r>
      <w:proofErr w:type="gramStart"/>
      <w:r w:rsidR="00027421">
        <w:t>ICR</w:t>
      </w:r>
      <w:r>
        <w:t>, but</w:t>
      </w:r>
      <w:proofErr w:type="gramEnd"/>
      <w:r>
        <w:t xml:space="preserve"> are prepared and submitted on a case-specific basis.</w:t>
      </w:r>
    </w:p>
    <w:p w:rsidR="00A1612F" w:rsidRDefault="00027421" w14:paraId="3579EAFF" w14:textId="77777777">
      <w:pPr>
        <w:pStyle w:val="Heading1DSW"/>
      </w:pPr>
      <w:bookmarkStart w:name="__RefHeading__196_717627523" w:id="44"/>
      <w:bookmarkStart w:name="_Toc404344920" w:id="45"/>
      <w:bookmarkEnd w:id="44"/>
      <w:r>
        <w:br w:type="page"/>
      </w:r>
      <w:r w:rsidR="00A1612F">
        <w:lastRenderedPageBreak/>
        <w:t>6.</w:t>
      </w:r>
      <w:r w:rsidR="00A1612F">
        <w:tab/>
        <w:t>ESTIMATING THE HOUR AND COST BURDEN OF THE COLLECTION</w:t>
      </w:r>
      <w:bookmarkEnd w:id="45"/>
    </w:p>
    <w:p w:rsidRPr="00BD1840" w:rsidR="00BD1840" w:rsidP="000B356F" w:rsidRDefault="00BD1840" w14:paraId="21391147" w14:textId="77777777">
      <w:pPr>
        <w:tabs>
          <w:tab w:val="left" w:pos="720"/>
          <w:tab w:val="left" w:pos="1800"/>
        </w:tabs>
        <w:rPr>
          <w:sz w:val="24"/>
        </w:rPr>
      </w:pPr>
      <w:r w:rsidRPr="00BD1840">
        <w:rPr>
          <w:sz w:val="24"/>
        </w:rPr>
        <w:tab/>
      </w:r>
      <w:r w:rsidRPr="00BD1840" w:rsidR="000B356F">
        <w:rPr>
          <w:sz w:val="24"/>
        </w:rPr>
        <w:t xml:space="preserve">This section estimates the burden of reporting and recordkeeping </w:t>
      </w:r>
      <w:r w:rsidR="00180310">
        <w:rPr>
          <w:sz w:val="24"/>
        </w:rPr>
        <w:t xml:space="preserve">under </w:t>
      </w:r>
      <w:r w:rsidR="00CD1B47">
        <w:rPr>
          <w:sz w:val="24"/>
        </w:rPr>
        <w:t>RCRA DSW exclusions.</w:t>
      </w:r>
      <w:r w:rsidRPr="00BD1840" w:rsidR="000B356F">
        <w:rPr>
          <w:sz w:val="24"/>
        </w:rPr>
        <w:t xml:space="preserve"> </w:t>
      </w:r>
    </w:p>
    <w:p w:rsidR="00A1612F" w:rsidRDefault="00A1612F" w14:paraId="2558A610" w14:textId="77777777">
      <w:pPr>
        <w:pStyle w:val="Heading2"/>
      </w:pPr>
      <w:bookmarkStart w:name="__RefHeading__198_717627523" w:id="46"/>
      <w:bookmarkStart w:name="_Toc404344921" w:id="47"/>
      <w:bookmarkEnd w:id="46"/>
      <w:r>
        <w:t>6(a)</w:t>
      </w:r>
      <w:r>
        <w:tab/>
        <w:t>Estimating Respondent Burden Hours</w:t>
      </w:r>
      <w:bookmarkEnd w:id="47"/>
    </w:p>
    <w:p w:rsidR="00A1612F" w:rsidRDefault="00A1612F" w14:paraId="54E78269" w14:textId="77777777">
      <w:pPr>
        <w:pStyle w:val="BodyTextDSW"/>
      </w:pPr>
      <w:r>
        <w:rPr>
          <w:bCs/>
        </w:rPr>
        <w:t>Exhibit 1 provides estimates of</w:t>
      </w:r>
      <w:r>
        <w:t xml:space="preserve"> the respondent hourly burden associated with the </w:t>
      </w:r>
      <w:r w:rsidR="00CE3966">
        <w:t>RCRA DSW</w:t>
      </w:r>
      <w:r>
        <w:t xml:space="preserve"> </w:t>
      </w:r>
      <w:r w:rsidR="003A0817">
        <w:t xml:space="preserve">exclusion </w:t>
      </w:r>
      <w:r>
        <w:t>paperwork requirements</w:t>
      </w:r>
      <w:r w:rsidR="00CE3966">
        <w:t xml:space="preserve"> covered in this ICR</w:t>
      </w:r>
      <w:r>
        <w:t>. Exhibit 1 includes burden hours (total and by labor type) per respondent, as well as the overall burden hours for all respondents.</w:t>
      </w:r>
    </w:p>
    <w:p w:rsidR="00A1612F" w:rsidRDefault="00A1612F" w14:paraId="5082E4BD" w14:textId="77777777">
      <w:pPr>
        <w:pStyle w:val="Heading2"/>
      </w:pPr>
      <w:bookmarkStart w:name="__RefHeading__200_717627523" w:id="48"/>
      <w:bookmarkStart w:name="_Toc404344922" w:id="49"/>
      <w:bookmarkEnd w:id="48"/>
      <w:r>
        <w:t>6(b)</w:t>
      </w:r>
      <w:r>
        <w:tab/>
        <w:t>Estimating Respondent Costs</w:t>
      </w:r>
      <w:bookmarkEnd w:id="49"/>
    </w:p>
    <w:p w:rsidR="00A1612F" w:rsidRDefault="00A1612F" w14:paraId="488E0465" w14:textId="77777777">
      <w:pPr>
        <w:pStyle w:val="BodyTextDSW"/>
      </w:pPr>
      <w:r>
        <w:rPr>
          <w:bCs/>
        </w:rPr>
        <w:t>Exhibit 1 provides</w:t>
      </w:r>
      <w:r>
        <w:t xml:space="preserve"> estimates of the annual respondent costs associated with the </w:t>
      </w:r>
      <w:r w:rsidR="003A0817">
        <w:t xml:space="preserve">RCRA DSW exclusion </w:t>
      </w:r>
      <w:r>
        <w:t>paperwork requirements</w:t>
      </w:r>
      <w:r w:rsidR="003A0817">
        <w:t xml:space="preserve"> covered in this ICR</w:t>
      </w:r>
      <w:r>
        <w:t xml:space="preserve">. These costs are based on the cost of labor, capital, and operation and maintenance (O&amp;M). </w:t>
      </w:r>
    </w:p>
    <w:p w:rsidR="00A1612F" w:rsidRDefault="00A1612F" w14:paraId="0B4B7973" w14:textId="77777777">
      <w:pPr>
        <w:pStyle w:val="BodyTextDSW"/>
        <w:rPr>
          <w:b/>
          <w:bCs/>
        </w:rPr>
      </w:pPr>
      <w:r>
        <w:rPr>
          <w:b/>
          <w:bCs/>
        </w:rPr>
        <w:t>(1)</w:t>
      </w:r>
      <w:r>
        <w:rPr>
          <w:b/>
          <w:bCs/>
        </w:rPr>
        <w:tab/>
        <w:t xml:space="preserve">Labor Costs </w:t>
      </w:r>
    </w:p>
    <w:p w:rsidR="00A1612F" w:rsidRDefault="00A1612F" w14:paraId="697EF3B0" w14:textId="77777777">
      <w:pPr>
        <w:pStyle w:val="BodyTextDSW"/>
        <w:rPr>
          <w:bCs/>
        </w:rPr>
      </w:pPr>
      <w:r>
        <w:rPr>
          <w:bCs/>
        </w:rPr>
        <w:t xml:space="preserve">The </w:t>
      </w:r>
      <w:r w:rsidR="00667AA0">
        <w:rPr>
          <w:bCs/>
        </w:rPr>
        <w:t xml:space="preserve">hourly </w:t>
      </w:r>
      <w:r>
        <w:rPr>
          <w:bCs/>
        </w:rPr>
        <w:t xml:space="preserve">labor wage rates used to estimate costs to respondents were calculated as shown in </w:t>
      </w:r>
      <w:r w:rsidR="00574497">
        <w:rPr>
          <w:bCs/>
        </w:rPr>
        <w:t>Table 1</w:t>
      </w:r>
      <w:r>
        <w:rPr>
          <w:bCs/>
        </w:rPr>
        <w:t xml:space="preserve">. </w:t>
      </w:r>
      <w:r w:rsidR="00241507">
        <w:rPr>
          <w:bCs/>
        </w:rPr>
        <w:t>The</w:t>
      </w:r>
      <w:r w:rsidR="00520078">
        <w:rPr>
          <w:bCs/>
        </w:rPr>
        <w:t xml:space="preserve"> unloaded average hourly wage rates </w:t>
      </w:r>
      <w:r w:rsidR="00241507">
        <w:rPr>
          <w:bCs/>
        </w:rPr>
        <w:t xml:space="preserve">were obtained </w:t>
      </w:r>
      <w:r w:rsidR="00667AA0">
        <w:rPr>
          <w:bCs/>
        </w:rPr>
        <w:t xml:space="preserve">from the U.S. </w:t>
      </w:r>
      <w:r w:rsidR="009C72AB">
        <w:rPr>
          <w:bCs/>
        </w:rPr>
        <w:t>Bureau of Labor Statistics</w:t>
      </w:r>
      <w:r w:rsidR="00591E0A">
        <w:rPr>
          <w:bCs/>
        </w:rPr>
        <w:t xml:space="preserve"> (BLS) </w:t>
      </w:r>
      <w:r w:rsidR="00667AA0">
        <w:rPr>
          <w:bCs/>
        </w:rPr>
        <w:t xml:space="preserve">May 2020 </w:t>
      </w:r>
      <w:r w:rsidR="009C72AB">
        <w:rPr>
          <w:bCs/>
        </w:rPr>
        <w:t>National Occupational Employment and Wage Estimate</w:t>
      </w:r>
      <w:r w:rsidR="00520078">
        <w:rPr>
          <w:bCs/>
        </w:rPr>
        <w:t>s</w:t>
      </w:r>
      <w:r w:rsidR="00520078">
        <w:rPr>
          <w:rStyle w:val="FootnoteReference"/>
          <w:bCs/>
        </w:rPr>
        <w:footnoteReference w:id="1"/>
      </w:r>
      <w:r w:rsidR="00591E0A">
        <w:rPr>
          <w:bCs/>
        </w:rPr>
        <w:t xml:space="preserve"> and </w:t>
      </w:r>
      <w:r w:rsidR="0054268A">
        <w:rPr>
          <w:bCs/>
        </w:rPr>
        <w:t>adjusted</w:t>
      </w:r>
      <w:r w:rsidR="00591E0A">
        <w:rPr>
          <w:bCs/>
        </w:rPr>
        <w:t xml:space="preserve"> to 2021 dollars using Employment Cost Indices developed by </w:t>
      </w:r>
      <w:r w:rsidR="0054268A">
        <w:rPr>
          <w:bCs/>
        </w:rPr>
        <w:t>BLS.</w:t>
      </w:r>
      <w:r w:rsidR="0054268A">
        <w:rPr>
          <w:rStyle w:val="FootnoteReference"/>
          <w:bCs/>
        </w:rPr>
        <w:footnoteReference w:id="2"/>
      </w:r>
      <w:r w:rsidR="009C72AB">
        <w:rPr>
          <w:bCs/>
        </w:rPr>
        <w:t xml:space="preserve"> The fringe </w:t>
      </w:r>
      <w:r w:rsidRPr="009C72AB" w:rsidR="009C72AB">
        <w:rPr>
          <w:bCs/>
        </w:rPr>
        <w:t>benefit</w:t>
      </w:r>
      <w:r w:rsidR="002606D7">
        <w:rPr>
          <w:bCs/>
        </w:rPr>
        <w:t>s</w:t>
      </w:r>
      <w:r w:rsidRPr="009C72AB" w:rsidR="009C72AB">
        <w:rPr>
          <w:bCs/>
        </w:rPr>
        <w:t xml:space="preserve"> cost factor</w:t>
      </w:r>
      <w:r w:rsidR="009C72AB">
        <w:rPr>
          <w:bCs/>
        </w:rPr>
        <w:t xml:space="preserve"> is</w:t>
      </w:r>
      <w:r w:rsidRPr="009C72AB" w:rsidR="009C72AB">
        <w:rPr>
          <w:bCs/>
        </w:rPr>
        <w:t xml:space="preserve"> </w:t>
      </w:r>
      <w:r w:rsidR="0097083B">
        <w:rPr>
          <w:bCs/>
        </w:rPr>
        <w:t xml:space="preserve">based on </w:t>
      </w:r>
      <w:r w:rsidRPr="009C72AB" w:rsidR="009C72AB">
        <w:rPr>
          <w:bCs/>
        </w:rPr>
        <w:t>Employer Costs for Worker Compensation</w:t>
      </w:r>
      <w:r w:rsidR="0097083B">
        <w:rPr>
          <w:bCs/>
        </w:rPr>
        <w:t xml:space="preserve"> data published by BLS.</w:t>
      </w:r>
      <w:r w:rsidR="0097083B">
        <w:rPr>
          <w:rStyle w:val="FootnoteReference"/>
          <w:bCs/>
        </w:rPr>
        <w:footnoteReference w:id="3"/>
      </w:r>
      <w:r w:rsidRPr="009C72AB" w:rsidR="009C72AB">
        <w:rPr>
          <w:bCs/>
        </w:rPr>
        <w:t xml:space="preserve"> </w:t>
      </w:r>
      <w:r w:rsidR="009C72AB">
        <w:rPr>
          <w:bCs/>
        </w:rPr>
        <w:t>The overhead</w:t>
      </w:r>
      <w:r w:rsidRPr="009C72AB" w:rsidR="009C72AB">
        <w:rPr>
          <w:bCs/>
        </w:rPr>
        <w:t xml:space="preserve"> </w:t>
      </w:r>
      <w:r w:rsidR="00CF4BD6">
        <w:rPr>
          <w:bCs/>
        </w:rPr>
        <w:t xml:space="preserve">cost </w:t>
      </w:r>
      <w:r w:rsidRPr="009C72AB" w:rsidR="009C72AB">
        <w:rPr>
          <w:bCs/>
        </w:rPr>
        <w:t xml:space="preserve">factor </w:t>
      </w:r>
      <w:r w:rsidR="00CF4BD6">
        <w:rPr>
          <w:bCs/>
        </w:rPr>
        <w:t>was obtained from the previously approved ICR</w:t>
      </w:r>
      <w:r w:rsidRPr="009C72AB" w:rsidR="009C72AB">
        <w:rPr>
          <w:bCs/>
        </w:rPr>
        <w:t>.</w:t>
      </w:r>
    </w:p>
    <w:p w:rsidR="00A1612F" w:rsidRDefault="00A1612F" w14:paraId="465788A5" w14:textId="77777777">
      <w:pPr>
        <w:pStyle w:val="BodyTextDSW"/>
      </w:pPr>
      <w:r>
        <w:t xml:space="preserve">Using the total burden hours discussed in Section 6(a) and the hourly wage rates outlined in this section, Exhibit 1 </w:t>
      </w:r>
      <w:r>
        <w:rPr>
          <w:bCs/>
        </w:rPr>
        <w:t>estimates</w:t>
      </w:r>
      <w:r>
        <w:t xml:space="preserve"> the labor costs associated with the information collection requirements covered in this ICR.</w:t>
      </w:r>
    </w:p>
    <w:p w:rsidR="00174311" w:rsidP="00AF6593" w:rsidRDefault="00574497" w14:paraId="2721F663" w14:textId="77777777">
      <w:pPr>
        <w:pStyle w:val="BodyTextDSW"/>
        <w:keepNext/>
        <w:spacing w:after="0"/>
        <w:ind w:firstLine="0"/>
        <w:jc w:val="center"/>
        <w:rPr>
          <w:b/>
          <w:bCs/>
        </w:rPr>
      </w:pPr>
      <w:r w:rsidRPr="00AF6593">
        <w:rPr>
          <w:b/>
          <w:bCs/>
        </w:rPr>
        <w:lastRenderedPageBreak/>
        <w:t>Table 1</w:t>
      </w:r>
    </w:p>
    <w:p w:rsidRPr="00AF6593" w:rsidR="00574497" w:rsidP="00AF6593" w:rsidRDefault="00574497" w14:paraId="5CF602A3" w14:textId="77777777">
      <w:pPr>
        <w:pStyle w:val="BodyTextDSW"/>
        <w:keepNext/>
        <w:ind w:firstLine="0"/>
        <w:jc w:val="center"/>
        <w:rPr>
          <w:b/>
          <w:bCs/>
        </w:rPr>
      </w:pPr>
      <w:r>
        <w:rPr>
          <w:b/>
          <w:bCs/>
        </w:rPr>
        <w:t xml:space="preserve">Derivation of </w:t>
      </w:r>
      <w:r w:rsidRPr="00AF6593">
        <w:rPr>
          <w:b/>
          <w:bCs/>
        </w:rPr>
        <w:t xml:space="preserve">Respondent </w:t>
      </w:r>
      <w:r>
        <w:rPr>
          <w:b/>
          <w:bCs/>
        </w:rPr>
        <w:t xml:space="preserve">Hourly </w:t>
      </w:r>
      <w:r w:rsidRPr="00AF6593">
        <w:rPr>
          <w:b/>
          <w:bCs/>
        </w:rPr>
        <w:t>Labor</w:t>
      </w:r>
      <w:r>
        <w:rPr>
          <w:b/>
          <w:bCs/>
        </w:rPr>
        <w:t xml:space="preserve"> Wage Rates</w:t>
      </w:r>
      <w:r w:rsidR="00DC5C5F">
        <w:rPr>
          <w:b/>
          <w:bCs/>
        </w:rPr>
        <w:t xml:space="preserve"> Used in this ICR</w:t>
      </w:r>
    </w:p>
    <w:tbl>
      <w:tblPr>
        <w:tblW w:w="5971" w:type="pct"/>
        <w:jc w:val="center"/>
        <w:tblCellMar>
          <w:left w:w="0" w:type="dxa"/>
          <w:right w:w="0" w:type="dxa"/>
        </w:tblCellMar>
        <w:tblLook w:val="0000" w:firstRow="0" w:lastRow="0" w:firstColumn="0" w:lastColumn="0" w:noHBand="0" w:noVBand="0"/>
      </w:tblPr>
      <w:tblGrid>
        <w:gridCol w:w="1312"/>
        <w:gridCol w:w="1668"/>
        <w:gridCol w:w="1856"/>
        <w:gridCol w:w="1461"/>
        <w:gridCol w:w="1735"/>
        <w:gridCol w:w="1289"/>
        <w:gridCol w:w="1845"/>
      </w:tblGrid>
      <w:tr w:rsidRPr="004E37EB" w:rsidR="002E4EE1" w:rsidTr="00AF6593" w14:paraId="4A55D574" w14:textId="77777777">
        <w:trPr>
          <w:jc w:val="center"/>
        </w:trPr>
        <w:tc>
          <w:tcPr>
            <w:tcW w:w="588" w:type="pct"/>
            <w:tcBorders>
              <w:top w:val="single" w:color="000000" w:sz="4" w:space="0"/>
              <w:left w:val="single" w:color="000000" w:sz="4" w:space="0"/>
            </w:tcBorders>
            <w:shd w:val="clear" w:color="auto" w:fill="EFEFEF"/>
            <w:vAlign w:val="center"/>
          </w:tcPr>
          <w:p w:rsidRPr="00863109" w:rsidR="00E06FCB" w:rsidP="00852DDE" w:rsidRDefault="00E06FCB" w14:paraId="64D01CC7" w14:textId="77777777">
            <w:pPr>
              <w:keepNext/>
              <w:keepLines/>
              <w:snapToGrid w:val="0"/>
              <w:jc w:val="center"/>
              <w:rPr>
                <w:b/>
                <w:bCs/>
                <w:color w:val="000000"/>
                <w:szCs w:val="20"/>
              </w:rPr>
            </w:pPr>
            <w:r w:rsidRPr="00AF6593">
              <w:rPr>
                <w:b/>
                <w:bCs/>
                <w:color w:val="000000"/>
                <w:szCs w:val="20"/>
              </w:rPr>
              <w:t>Labor</w:t>
            </w:r>
            <w:r>
              <w:rPr>
                <w:b/>
                <w:bCs/>
                <w:color w:val="000000"/>
                <w:szCs w:val="20"/>
              </w:rPr>
              <w:br/>
            </w:r>
            <w:r w:rsidRPr="00863109">
              <w:rPr>
                <w:b/>
                <w:bCs/>
                <w:color w:val="000000"/>
                <w:szCs w:val="20"/>
              </w:rPr>
              <w:t>Category</w:t>
            </w:r>
          </w:p>
        </w:tc>
        <w:tc>
          <w:tcPr>
            <w:tcW w:w="747" w:type="pct"/>
            <w:tcBorders>
              <w:top w:val="single" w:color="000000" w:sz="4" w:space="0"/>
              <w:left w:val="single" w:color="000000" w:sz="4" w:space="0"/>
            </w:tcBorders>
            <w:shd w:val="clear" w:color="auto" w:fill="EFEFEF"/>
            <w:vAlign w:val="center"/>
          </w:tcPr>
          <w:p w:rsidRPr="00863109" w:rsidR="00E06FCB" w:rsidP="00852DDE" w:rsidRDefault="00E06FCB" w14:paraId="1EECD7E9" w14:textId="77777777">
            <w:pPr>
              <w:keepNext/>
              <w:keepLines/>
              <w:snapToGrid w:val="0"/>
              <w:ind w:left="15"/>
              <w:jc w:val="center"/>
              <w:rPr>
                <w:b/>
                <w:bCs/>
                <w:color w:val="000000"/>
                <w:szCs w:val="20"/>
              </w:rPr>
            </w:pPr>
            <w:r w:rsidRPr="00863109">
              <w:rPr>
                <w:b/>
                <w:bCs/>
                <w:color w:val="000000"/>
                <w:szCs w:val="20"/>
              </w:rPr>
              <w:t>Standard</w:t>
            </w:r>
            <w:r>
              <w:rPr>
                <w:b/>
                <w:bCs/>
                <w:color w:val="000000"/>
                <w:szCs w:val="20"/>
              </w:rPr>
              <w:br/>
            </w:r>
            <w:r w:rsidRPr="00863109">
              <w:rPr>
                <w:b/>
                <w:bCs/>
                <w:color w:val="000000"/>
                <w:szCs w:val="20"/>
              </w:rPr>
              <w:t>Occupational</w:t>
            </w:r>
            <w:r>
              <w:rPr>
                <w:b/>
                <w:bCs/>
                <w:color w:val="000000"/>
                <w:szCs w:val="20"/>
              </w:rPr>
              <w:br/>
            </w:r>
            <w:r w:rsidRPr="00863109">
              <w:rPr>
                <w:b/>
                <w:bCs/>
                <w:color w:val="000000"/>
                <w:szCs w:val="20"/>
              </w:rPr>
              <w:t>Code</w:t>
            </w:r>
          </w:p>
        </w:tc>
        <w:tc>
          <w:tcPr>
            <w:tcW w:w="831" w:type="pct"/>
            <w:tcBorders>
              <w:top w:val="single" w:color="000000" w:sz="4" w:space="0"/>
              <w:left w:val="single" w:color="000000" w:sz="4" w:space="0"/>
            </w:tcBorders>
            <w:shd w:val="clear" w:color="auto" w:fill="EFEFEF"/>
            <w:vAlign w:val="center"/>
          </w:tcPr>
          <w:p w:rsidRPr="00863109" w:rsidR="00E06FCB" w:rsidP="00852DDE" w:rsidRDefault="00E06FCB" w14:paraId="7F23C268" w14:textId="77777777">
            <w:pPr>
              <w:keepNext/>
              <w:keepLines/>
              <w:snapToGrid w:val="0"/>
              <w:ind w:left="15"/>
              <w:jc w:val="center"/>
              <w:rPr>
                <w:b/>
                <w:bCs/>
                <w:color w:val="000000"/>
                <w:szCs w:val="20"/>
              </w:rPr>
            </w:pPr>
            <w:r>
              <w:rPr>
                <w:b/>
                <w:bCs/>
                <w:color w:val="000000"/>
                <w:szCs w:val="20"/>
              </w:rPr>
              <w:t>2020 Unl</w:t>
            </w:r>
            <w:r w:rsidRPr="00863109">
              <w:rPr>
                <w:b/>
                <w:bCs/>
                <w:color w:val="000000"/>
                <w:szCs w:val="20"/>
              </w:rPr>
              <w:t>oaded</w:t>
            </w:r>
          </w:p>
          <w:p w:rsidR="00E06FCB" w:rsidP="00852DDE" w:rsidRDefault="00E06FCB" w14:paraId="19E61BE6" w14:textId="77777777">
            <w:pPr>
              <w:keepNext/>
              <w:keepLines/>
              <w:ind w:left="15"/>
              <w:jc w:val="center"/>
              <w:rPr>
                <w:b/>
                <w:bCs/>
                <w:color w:val="000000"/>
                <w:szCs w:val="20"/>
              </w:rPr>
            </w:pPr>
            <w:r>
              <w:rPr>
                <w:b/>
                <w:bCs/>
                <w:color w:val="000000"/>
                <w:szCs w:val="20"/>
              </w:rPr>
              <w:t>A</w:t>
            </w:r>
            <w:r w:rsidRPr="00863109">
              <w:rPr>
                <w:b/>
                <w:bCs/>
                <w:color w:val="000000"/>
                <w:szCs w:val="20"/>
              </w:rPr>
              <w:t>verage (</w:t>
            </w:r>
            <w:r>
              <w:rPr>
                <w:b/>
                <w:bCs/>
                <w:color w:val="000000"/>
                <w:szCs w:val="20"/>
              </w:rPr>
              <w:t>M</w:t>
            </w:r>
            <w:r w:rsidRPr="00863109">
              <w:rPr>
                <w:b/>
                <w:bCs/>
                <w:color w:val="000000"/>
                <w:szCs w:val="20"/>
              </w:rPr>
              <w:t>ean)</w:t>
            </w:r>
          </w:p>
          <w:p w:rsidRPr="00863109" w:rsidR="00E06FCB" w:rsidP="00852DDE" w:rsidRDefault="00E06FCB" w14:paraId="2BC913CF" w14:textId="77777777">
            <w:pPr>
              <w:keepNext/>
              <w:keepLines/>
              <w:ind w:left="15"/>
              <w:jc w:val="center"/>
              <w:rPr>
                <w:b/>
                <w:bCs/>
                <w:color w:val="000000"/>
                <w:szCs w:val="20"/>
              </w:rPr>
            </w:pPr>
            <w:r>
              <w:rPr>
                <w:b/>
                <w:bCs/>
                <w:color w:val="000000"/>
                <w:szCs w:val="20"/>
              </w:rPr>
              <w:t>Hourly W</w:t>
            </w:r>
            <w:r w:rsidRPr="00863109">
              <w:rPr>
                <w:b/>
                <w:bCs/>
                <w:color w:val="000000"/>
                <w:szCs w:val="20"/>
              </w:rPr>
              <w:t xml:space="preserve">age </w:t>
            </w:r>
            <w:r>
              <w:rPr>
                <w:b/>
                <w:bCs/>
                <w:color w:val="000000"/>
                <w:szCs w:val="20"/>
              </w:rPr>
              <w:t>R</w:t>
            </w:r>
            <w:r w:rsidRPr="00863109">
              <w:rPr>
                <w:b/>
                <w:bCs/>
                <w:color w:val="000000"/>
                <w:szCs w:val="20"/>
              </w:rPr>
              <w:t xml:space="preserve">ate </w:t>
            </w:r>
          </w:p>
        </w:tc>
        <w:tc>
          <w:tcPr>
            <w:tcW w:w="654" w:type="pct"/>
            <w:tcBorders>
              <w:top w:val="single" w:color="000000" w:sz="4" w:space="0"/>
              <w:left w:val="single" w:color="000000" w:sz="4" w:space="0"/>
            </w:tcBorders>
            <w:shd w:val="clear" w:color="auto" w:fill="EFEFEF"/>
            <w:vAlign w:val="center"/>
          </w:tcPr>
          <w:p w:rsidR="00E06FCB" w:rsidP="00852DDE" w:rsidRDefault="00E06FCB" w14:paraId="5C09AA17" w14:textId="77777777">
            <w:pPr>
              <w:keepNext/>
              <w:keepLines/>
              <w:snapToGrid w:val="0"/>
              <w:ind w:left="15"/>
              <w:jc w:val="center"/>
              <w:rPr>
                <w:b/>
                <w:bCs/>
                <w:color w:val="000000"/>
                <w:szCs w:val="20"/>
              </w:rPr>
            </w:pPr>
            <w:r>
              <w:rPr>
                <w:b/>
                <w:bCs/>
                <w:color w:val="000000"/>
                <w:szCs w:val="20"/>
              </w:rPr>
              <w:t>2021</w:t>
            </w:r>
          </w:p>
          <w:p w:rsidR="00E06FCB" w:rsidP="00AF6593" w:rsidRDefault="00E06FCB" w14:paraId="79CF0F8A" w14:textId="77777777">
            <w:pPr>
              <w:keepNext/>
              <w:keepLines/>
              <w:snapToGrid w:val="0"/>
              <w:ind w:left="15"/>
              <w:jc w:val="center"/>
              <w:rPr>
                <w:b/>
                <w:bCs/>
                <w:color w:val="000000"/>
                <w:szCs w:val="20"/>
              </w:rPr>
            </w:pPr>
            <w:r>
              <w:rPr>
                <w:b/>
                <w:bCs/>
                <w:color w:val="000000"/>
                <w:szCs w:val="20"/>
              </w:rPr>
              <w:t>Adjustment</w:t>
            </w:r>
          </w:p>
          <w:p w:rsidRPr="00863109" w:rsidR="00E06FCB" w:rsidP="00AF6593" w:rsidRDefault="00E06FCB" w14:paraId="17942383" w14:textId="77777777">
            <w:pPr>
              <w:keepNext/>
              <w:keepLines/>
              <w:snapToGrid w:val="0"/>
              <w:ind w:left="15"/>
              <w:jc w:val="center"/>
              <w:rPr>
                <w:b/>
                <w:bCs/>
                <w:color w:val="000000"/>
                <w:szCs w:val="20"/>
              </w:rPr>
            </w:pPr>
            <w:r>
              <w:rPr>
                <w:b/>
                <w:bCs/>
                <w:color w:val="000000"/>
                <w:szCs w:val="20"/>
              </w:rPr>
              <w:t>Factor</w:t>
            </w:r>
          </w:p>
        </w:tc>
        <w:tc>
          <w:tcPr>
            <w:tcW w:w="777" w:type="pct"/>
            <w:tcBorders>
              <w:top w:val="single" w:color="000000" w:sz="4" w:space="0"/>
              <w:left w:val="single" w:color="000000" w:sz="4" w:space="0"/>
            </w:tcBorders>
            <w:shd w:val="clear" w:color="auto" w:fill="EFEFEF"/>
            <w:vAlign w:val="center"/>
          </w:tcPr>
          <w:p w:rsidR="00E06FCB" w:rsidP="00AF6593" w:rsidRDefault="00E06FCB" w14:paraId="29230E2A" w14:textId="77777777">
            <w:pPr>
              <w:keepNext/>
              <w:keepLines/>
              <w:snapToGrid w:val="0"/>
              <w:ind w:left="15"/>
              <w:jc w:val="center"/>
              <w:rPr>
                <w:b/>
                <w:bCs/>
                <w:color w:val="000000"/>
                <w:szCs w:val="20"/>
              </w:rPr>
            </w:pPr>
            <w:r w:rsidRPr="001D27C3">
              <w:rPr>
                <w:b/>
                <w:bCs/>
                <w:color w:val="000000"/>
                <w:szCs w:val="20"/>
              </w:rPr>
              <w:t>Fring</w:t>
            </w:r>
            <w:r>
              <w:rPr>
                <w:b/>
                <w:bCs/>
                <w:color w:val="000000"/>
                <w:szCs w:val="20"/>
              </w:rPr>
              <w:t>e</w:t>
            </w:r>
          </w:p>
          <w:p w:rsidR="00E06FCB" w:rsidP="00AF6593" w:rsidRDefault="00E06FCB" w14:paraId="40E3363A" w14:textId="77777777">
            <w:pPr>
              <w:keepNext/>
              <w:keepLines/>
              <w:snapToGrid w:val="0"/>
              <w:ind w:left="15"/>
              <w:jc w:val="center"/>
              <w:rPr>
                <w:b/>
                <w:bCs/>
                <w:color w:val="000000"/>
                <w:szCs w:val="20"/>
              </w:rPr>
            </w:pPr>
            <w:r>
              <w:rPr>
                <w:b/>
                <w:bCs/>
                <w:color w:val="000000"/>
                <w:szCs w:val="20"/>
              </w:rPr>
              <w:t>B</w:t>
            </w:r>
            <w:r w:rsidRPr="001D27C3">
              <w:rPr>
                <w:b/>
                <w:bCs/>
                <w:color w:val="000000"/>
                <w:szCs w:val="20"/>
              </w:rPr>
              <w:t>enefits</w:t>
            </w:r>
          </w:p>
          <w:p w:rsidRPr="00863109" w:rsidR="00E06FCB" w:rsidP="008935AF" w:rsidRDefault="002E4EE1" w14:paraId="67A42828" w14:textId="77777777">
            <w:pPr>
              <w:keepNext/>
              <w:keepLines/>
              <w:snapToGrid w:val="0"/>
              <w:ind w:left="15"/>
              <w:jc w:val="center"/>
              <w:rPr>
                <w:b/>
                <w:bCs/>
                <w:color w:val="000000"/>
                <w:szCs w:val="20"/>
              </w:rPr>
            </w:pPr>
            <w:r>
              <w:rPr>
                <w:b/>
                <w:bCs/>
                <w:color w:val="000000"/>
                <w:szCs w:val="20"/>
              </w:rPr>
              <w:t>Cost Factor</w:t>
            </w:r>
          </w:p>
        </w:tc>
        <w:tc>
          <w:tcPr>
            <w:tcW w:w="577" w:type="pct"/>
            <w:tcBorders>
              <w:top w:val="single" w:color="000000" w:sz="4" w:space="0"/>
              <w:left w:val="single" w:color="000000" w:sz="4" w:space="0"/>
            </w:tcBorders>
            <w:shd w:val="clear" w:color="auto" w:fill="EFEFEF"/>
            <w:vAlign w:val="center"/>
          </w:tcPr>
          <w:p w:rsidR="00E06FCB" w:rsidP="003E6285" w:rsidRDefault="00E06FCB" w14:paraId="1FA5859D" w14:textId="77777777">
            <w:pPr>
              <w:keepNext/>
              <w:keepLines/>
              <w:snapToGrid w:val="0"/>
              <w:ind w:left="15"/>
              <w:jc w:val="center"/>
              <w:rPr>
                <w:b/>
                <w:bCs/>
                <w:color w:val="000000"/>
                <w:szCs w:val="20"/>
              </w:rPr>
            </w:pPr>
            <w:r>
              <w:rPr>
                <w:b/>
                <w:bCs/>
                <w:color w:val="000000"/>
                <w:szCs w:val="20"/>
              </w:rPr>
              <w:t>Overhead</w:t>
            </w:r>
          </w:p>
          <w:p w:rsidRPr="00852DDE" w:rsidR="00E06FCB" w:rsidP="008A60C1" w:rsidRDefault="002E4EE1" w14:paraId="2C038DE9" w14:textId="77777777">
            <w:pPr>
              <w:keepNext/>
              <w:keepLines/>
              <w:snapToGrid w:val="0"/>
              <w:ind w:left="15"/>
              <w:jc w:val="center"/>
              <w:rPr>
                <w:b/>
                <w:bCs/>
                <w:color w:val="000000"/>
                <w:szCs w:val="20"/>
              </w:rPr>
            </w:pPr>
            <w:r>
              <w:rPr>
                <w:b/>
                <w:bCs/>
                <w:color w:val="000000"/>
                <w:szCs w:val="20"/>
              </w:rPr>
              <w:t>Cost Factor</w:t>
            </w:r>
          </w:p>
        </w:tc>
        <w:tc>
          <w:tcPr>
            <w:tcW w:w="826" w:type="pct"/>
            <w:tcBorders>
              <w:top w:val="single" w:color="000000" w:sz="4" w:space="0"/>
              <w:left w:val="single" w:color="000000" w:sz="4" w:space="0"/>
              <w:right w:val="single" w:color="000000" w:sz="4" w:space="0"/>
            </w:tcBorders>
            <w:shd w:val="clear" w:color="auto" w:fill="EFEFEF"/>
            <w:vAlign w:val="center"/>
          </w:tcPr>
          <w:p w:rsidRPr="00AF6593" w:rsidR="00E06FCB" w:rsidP="00AF6593" w:rsidRDefault="00E06FCB" w14:paraId="1F67EE20" w14:textId="77777777">
            <w:pPr>
              <w:keepNext/>
              <w:keepLines/>
              <w:snapToGrid w:val="0"/>
              <w:ind w:left="15"/>
              <w:jc w:val="center"/>
              <w:rPr>
                <w:b/>
                <w:bCs/>
                <w:color w:val="000000"/>
                <w:szCs w:val="20"/>
              </w:rPr>
            </w:pPr>
            <w:r w:rsidRPr="00AF6593">
              <w:rPr>
                <w:b/>
                <w:bCs/>
                <w:color w:val="000000"/>
                <w:szCs w:val="20"/>
              </w:rPr>
              <w:t>Loaded</w:t>
            </w:r>
          </w:p>
          <w:p w:rsidR="00E06FCB" w:rsidP="00AF6593" w:rsidRDefault="00E06FCB" w14:paraId="71270A3A" w14:textId="77777777">
            <w:pPr>
              <w:keepNext/>
              <w:keepLines/>
              <w:ind w:left="15"/>
              <w:jc w:val="center"/>
              <w:rPr>
                <w:b/>
                <w:bCs/>
                <w:color w:val="000000"/>
                <w:szCs w:val="20"/>
              </w:rPr>
            </w:pPr>
            <w:r>
              <w:rPr>
                <w:b/>
                <w:bCs/>
                <w:color w:val="000000"/>
                <w:szCs w:val="20"/>
              </w:rPr>
              <w:t>A</w:t>
            </w:r>
            <w:r w:rsidRPr="00863109">
              <w:rPr>
                <w:b/>
                <w:bCs/>
                <w:color w:val="000000"/>
                <w:szCs w:val="20"/>
              </w:rPr>
              <w:t xml:space="preserve">verage </w:t>
            </w:r>
            <w:r>
              <w:rPr>
                <w:b/>
                <w:bCs/>
                <w:color w:val="000000"/>
                <w:szCs w:val="20"/>
              </w:rPr>
              <w:t>(Mean)</w:t>
            </w:r>
          </w:p>
          <w:p w:rsidRPr="00863109" w:rsidR="00E06FCB" w:rsidP="00AF6593" w:rsidRDefault="00E06FCB" w14:paraId="01C053A7" w14:textId="77777777">
            <w:pPr>
              <w:keepNext/>
              <w:keepLines/>
              <w:jc w:val="center"/>
              <w:rPr>
                <w:b/>
                <w:bCs/>
                <w:color w:val="000000"/>
                <w:szCs w:val="20"/>
              </w:rPr>
            </w:pPr>
            <w:r>
              <w:rPr>
                <w:b/>
                <w:bCs/>
                <w:color w:val="000000"/>
                <w:szCs w:val="20"/>
              </w:rPr>
              <w:t>Hourly W</w:t>
            </w:r>
            <w:r w:rsidRPr="00AF6593">
              <w:rPr>
                <w:b/>
                <w:bCs/>
                <w:color w:val="000000"/>
                <w:szCs w:val="20"/>
              </w:rPr>
              <w:t xml:space="preserve">age </w:t>
            </w:r>
            <w:r>
              <w:rPr>
                <w:b/>
                <w:bCs/>
                <w:color w:val="000000"/>
                <w:szCs w:val="20"/>
              </w:rPr>
              <w:t>R</w:t>
            </w:r>
            <w:r w:rsidRPr="00863109">
              <w:rPr>
                <w:b/>
                <w:bCs/>
                <w:color w:val="000000"/>
                <w:szCs w:val="20"/>
              </w:rPr>
              <w:t xml:space="preserve">ate </w:t>
            </w:r>
          </w:p>
        </w:tc>
      </w:tr>
      <w:tr w:rsidRPr="004E37EB" w:rsidR="002E4EE1" w:rsidTr="00CF4BD6" w14:paraId="262812A8" w14:textId="77777777">
        <w:trPr>
          <w:jc w:val="center"/>
        </w:trPr>
        <w:tc>
          <w:tcPr>
            <w:tcW w:w="588" w:type="pct"/>
            <w:tcBorders>
              <w:left w:val="single" w:color="000000" w:sz="4" w:space="0"/>
              <w:bottom w:val="single" w:color="000000" w:sz="4" w:space="0"/>
            </w:tcBorders>
            <w:shd w:val="clear" w:color="auto" w:fill="EFEFEF"/>
            <w:vAlign w:val="center"/>
          </w:tcPr>
          <w:p w:rsidRPr="00AF6593" w:rsidR="00E06FCB" w:rsidP="00852DDE" w:rsidRDefault="00E06FCB" w14:paraId="59EAAE4A" w14:textId="77777777">
            <w:pPr>
              <w:keepNext/>
              <w:keepLines/>
              <w:snapToGrid w:val="0"/>
              <w:jc w:val="center"/>
              <w:rPr>
                <w:b/>
                <w:bCs/>
                <w:color w:val="000000"/>
                <w:szCs w:val="20"/>
              </w:rPr>
            </w:pPr>
            <w:r w:rsidRPr="00AF6593">
              <w:rPr>
                <w:rFonts w:ascii="Helv" w:hAnsi="Helv" w:cs="Helv"/>
                <w:b/>
                <w:bCs/>
                <w:color w:val="000000"/>
                <w:sz w:val="18"/>
                <w:szCs w:val="18"/>
              </w:rPr>
              <w:t>A</w:t>
            </w:r>
          </w:p>
        </w:tc>
        <w:tc>
          <w:tcPr>
            <w:tcW w:w="747" w:type="pct"/>
            <w:tcBorders>
              <w:left w:val="single" w:color="000000" w:sz="4" w:space="0"/>
              <w:bottom w:val="single" w:color="000000" w:sz="4" w:space="0"/>
            </w:tcBorders>
            <w:shd w:val="clear" w:color="auto" w:fill="EFEFEF"/>
            <w:vAlign w:val="center"/>
          </w:tcPr>
          <w:p w:rsidRPr="00AF6593" w:rsidR="00E06FCB" w:rsidP="00852DDE" w:rsidRDefault="00E06FCB" w14:paraId="1B2D33FD" w14:textId="77777777">
            <w:pPr>
              <w:keepNext/>
              <w:keepLines/>
              <w:snapToGrid w:val="0"/>
              <w:ind w:left="15"/>
              <w:jc w:val="center"/>
              <w:rPr>
                <w:b/>
                <w:bCs/>
                <w:color w:val="000000"/>
                <w:szCs w:val="20"/>
              </w:rPr>
            </w:pPr>
            <w:r w:rsidRPr="00AF6593">
              <w:rPr>
                <w:b/>
                <w:bCs/>
                <w:color w:val="000000"/>
                <w:szCs w:val="20"/>
              </w:rPr>
              <w:t>B</w:t>
            </w:r>
          </w:p>
        </w:tc>
        <w:tc>
          <w:tcPr>
            <w:tcW w:w="831" w:type="pct"/>
            <w:tcBorders>
              <w:left w:val="single" w:color="000000" w:sz="4" w:space="0"/>
              <w:bottom w:val="single" w:color="000000" w:sz="4" w:space="0"/>
            </w:tcBorders>
            <w:shd w:val="clear" w:color="auto" w:fill="EFEFEF"/>
            <w:vAlign w:val="center"/>
          </w:tcPr>
          <w:p w:rsidRPr="00AF6593" w:rsidR="00E06FCB" w:rsidP="00852DDE" w:rsidRDefault="00E06FCB" w14:paraId="303021FD" w14:textId="77777777">
            <w:pPr>
              <w:keepNext/>
              <w:keepLines/>
              <w:snapToGrid w:val="0"/>
              <w:ind w:left="15"/>
              <w:jc w:val="center"/>
              <w:rPr>
                <w:b/>
                <w:bCs/>
                <w:color w:val="000000"/>
                <w:szCs w:val="20"/>
              </w:rPr>
            </w:pPr>
            <w:r w:rsidRPr="00AF6593">
              <w:rPr>
                <w:b/>
                <w:bCs/>
                <w:color w:val="000000"/>
                <w:szCs w:val="20"/>
              </w:rPr>
              <w:t>C</w:t>
            </w:r>
          </w:p>
        </w:tc>
        <w:tc>
          <w:tcPr>
            <w:tcW w:w="654" w:type="pct"/>
            <w:tcBorders>
              <w:left w:val="single" w:color="000000" w:sz="4" w:space="0"/>
              <w:bottom w:val="single" w:color="000000" w:sz="4" w:space="0"/>
            </w:tcBorders>
            <w:shd w:val="clear" w:color="auto" w:fill="EFEFEF"/>
            <w:vAlign w:val="center"/>
          </w:tcPr>
          <w:p w:rsidRPr="00AF6593" w:rsidR="00E06FCB" w:rsidP="00852DDE" w:rsidRDefault="00E06FCB" w14:paraId="4194BFC6" w14:textId="77777777">
            <w:pPr>
              <w:keepNext/>
              <w:keepLines/>
              <w:snapToGrid w:val="0"/>
              <w:ind w:left="15"/>
              <w:jc w:val="center"/>
              <w:rPr>
                <w:b/>
                <w:bCs/>
                <w:color w:val="000000"/>
                <w:szCs w:val="20"/>
              </w:rPr>
            </w:pPr>
            <w:r w:rsidRPr="00AF6593">
              <w:rPr>
                <w:b/>
                <w:bCs/>
                <w:color w:val="000000"/>
                <w:szCs w:val="20"/>
              </w:rPr>
              <w:t>D</w:t>
            </w:r>
          </w:p>
        </w:tc>
        <w:tc>
          <w:tcPr>
            <w:tcW w:w="777" w:type="pct"/>
            <w:tcBorders>
              <w:left w:val="single" w:color="000000" w:sz="4" w:space="0"/>
              <w:bottom w:val="single" w:color="000000" w:sz="4" w:space="0"/>
            </w:tcBorders>
            <w:shd w:val="clear" w:color="auto" w:fill="EFEFEF"/>
            <w:vAlign w:val="center"/>
          </w:tcPr>
          <w:p w:rsidRPr="00AF6593" w:rsidR="00E06FCB" w:rsidP="00852DDE" w:rsidRDefault="00E06FCB" w14:paraId="028DF91B" w14:textId="77777777">
            <w:pPr>
              <w:keepNext/>
              <w:keepLines/>
              <w:snapToGrid w:val="0"/>
              <w:ind w:left="15"/>
              <w:jc w:val="center"/>
              <w:rPr>
                <w:b/>
                <w:bCs/>
                <w:color w:val="000000"/>
                <w:szCs w:val="20"/>
              </w:rPr>
            </w:pPr>
            <w:r w:rsidRPr="00AF6593">
              <w:rPr>
                <w:b/>
                <w:bCs/>
                <w:color w:val="000000"/>
                <w:szCs w:val="20"/>
              </w:rPr>
              <w:t>E</w:t>
            </w:r>
          </w:p>
        </w:tc>
        <w:tc>
          <w:tcPr>
            <w:tcW w:w="577" w:type="pct"/>
            <w:tcBorders>
              <w:left w:val="single" w:color="000000" w:sz="4" w:space="0"/>
              <w:bottom w:val="single" w:color="000000" w:sz="4" w:space="0"/>
            </w:tcBorders>
            <w:shd w:val="clear" w:color="auto" w:fill="EFEFEF"/>
          </w:tcPr>
          <w:p w:rsidRPr="00852DDE" w:rsidR="00E06FCB" w:rsidP="00AE1621" w:rsidRDefault="008653D7" w14:paraId="1B9A430C" w14:textId="77777777">
            <w:pPr>
              <w:keepNext/>
              <w:keepLines/>
              <w:snapToGrid w:val="0"/>
              <w:ind w:left="15"/>
              <w:jc w:val="center"/>
              <w:rPr>
                <w:b/>
                <w:bCs/>
                <w:color w:val="000000"/>
                <w:szCs w:val="20"/>
              </w:rPr>
            </w:pPr>
            <w:r>
              <w:rPr>
                <w:b/>
                <w:bCs/>
                <w:color w:val="000000"/>
                <w:szCs w:val="20"/>
              </w:rPr>
              <w:t>F</w:t>
            </w:r>
          </w:p>
        </w:tc>
        <w:tc>
          <w:tcPr>
            <w:tcW w:w="826" w:type="pct"/>
            <w:tcBorders>
              <w:left w:val="single" w:color="000000" w:sz="4" w:space="0"/>
              <w:bottom w:val="single" w:color="000000" w:sz="4" w:space="0"/>
              <w:right w:val="single" w:color="000000" w:sz="4" w:space="0"/>
            </w:tcBorders>
            <w:shd w:val="clear" w:color="auto" w:fill="EFEFEF"/>
            <w:vAlign w:val="center"/>
          </w:tcPr>
          <w:p w:rsidRPr="00AF6593" w:rsidR="00E06FCB" w:rsidP="00852DDE" w:rsidRDefault="008653D7" w14:paraId="080AECB8" w14:textId="77777777">
            <w:pPr>
              <w:keepNext/>
              <w:keepLines/>
              <w:snapToGrid w:val="0"/>
              <w:ind w:left="15"/>
              <w:jc w:val="center"/>
              <w:rPr>
                <w:b/>
                <w:bCs/>
                <w:color w:val="000000"/>
                <w:szCs w:val="20"/>
              </w:rPr>
            </w:pPr>
            <w:r>
              <w:rPr>
                <w:b/>
                <w:bCs/>
                <w:color w:val="000000"/>
                <w:szCs w:val="20"/>
              </w:rPr>
              <w:t>G</w:t>
            </w:r>
            <w:r w:rsidR="00E06FCB">
              <w:rPr>
                <w:b/>
                <w:bCs/>
                <w:color w:val="000000"/>
                <w:szCs w:val="20"/>
              </w:rPr>
              <w:t xml:space="preserve"> = </w:t>
            </w:r>
            <w:r w:rsidRPr="00AF6593" w:rsidR="00E06FCB">
              <w:rPr>
                <w:b/>
                <w:bCs/>
                <w:color w:val="000000"/>
                <w:szCs w:val="20"/>
              </w:rPr>
              <w:t>[</w:t>
            </w:r>
            <w:r>
              <w:rPr>
                <w:b/>
                <w:bCs/>
                <w:color w:val="000000"/>
                <w:szCs w:val="20"/>
              </w:rPr>
              <w:t>C</w:t>
            </w:r>
            <w:r w:rsidRPr="00863109" w:rsidR="00E06FCB">
              <w:rPr>
                <w:b/>
                <w:bCs/>
                <w:color w:val="000000"/>
                <w:szCs w:val="20"/>
              </w:rPr>
              <w:t xml:space="preserve"> x D x E</w:t>
            </w:r>
            <w:r>
              <w:rPr>
                <w:b/>
                <w:bCs/>
                <w:color w:val="000000"/>
                <w:szCs w:val="20"/>
              </w:rPr>
              <w:t xml:space="preserve"> x F</w:t>
            </w:r>
            <w:r w:rsidRPr="00AF6593" w:rsidR="00E06FCB">
              <w:rPr>
                <w:b/>
                <w:bCs/>
                <w:color w:val="000000"/>
                <w:szCs w:val="20"/>
              </w:rPr>
              <w:t>]</w:t>
            </w:r>
          </w:p>
        </w:tc>
      </w:tr>
      <w:tr w:rsidRPr="004E37EB" w:rsidR="00E963CF" w:rsidTr="00AF6593" w14:paraId="2AC719EC" w14:textId="77777777">
        <w:trPr>
          <w:trHeight w:val="314"/>
          <w:jc w:val="center"/>
        </w:trPr>
        <w:tc>
          <w:tcPr>
            <w:tcW w:w="588" w:type="pct"/>
            <w:tcBorders>
              <w:top w:val="single" w:color="000000" w:sz="4" w:space="0"/>
              <w:left w:val="single" w:color="000000" w:sz="4" w:space="0"/>
              <w:bottom w:val="single" w:color="000000" w:sz="4" w:space="0"/>
            </w:tcBorders>
            <w:shd w:val="clear" w:color="auto" w:fill="auto"/>
          </w:tcPr>
          <w:p w:rsidRPr="006D28E0" w:rsidR="00E963CF" w:rsidP="00E963CF" w:rsidRDefault="00E963CF" w14:paraId="6A607944" w14:textId="77777777">
            <w:pPr>
              <w:keepNext/>
              <w:keepLines/>
              <w:snapToGrid w:val="0"/>
              <w:ind w:left="15"/>
              <w:rPr>
                <w:color w:val="000000"/>
                <w:szCs w:val="20"/>
              </w:rPr>
            </w:pPr>
            <w:r w:rsidRPr="006D28E0">
              <w:rPr>
                <w:color w:val="000000"/>
                <w:szCs w:val="20"/>
              </w:rPr>
              <w:t>1. Legal</w:t>
            </w:r>
          </w:p>
        </w:tc>
        <w:tc>
          <w:tcPr>
            <w:tcW w:w="747" w:type="pct"/>
            <w:tcBorders>
              <w:top w:val="single" w:color="000000" w:sz="4" w:space="0"/>
              <w:left w:val="single" w:color="000000" w:sz="4" w:space="0"/>
              <w:bottom w:val="single" w:color="000000" w:sz="4" w:space="0"/>
            </w:tcBorders>
            <w:shd w:val="clear" w:color="auto" w:fill="auto"/>
            <w:vAlign w:val="center"/>
          </w:tcPr>
          <w:p w:rsidRPr="006D28E0" w:rsidR="00E963CF" w:rsidP="00E963CF" w:rsidRDefault="00E963CF" w14:paraId="1219156D" w14:textId="77777777">
            <w:pPr>
              <w:keepNext/>
              <w:keepLines/>
              <w:snapToGrid w:val="0"/>
              <w:rPr>
                <w:color w:val="000000"/>
                <w:szCs w:val="20"/>
              </w:rPr>
            </w:pPr>
            <w:r w:rsidRPr="006D28E0">
              <w:rPr>
                <w:color w:val="000000"/>
                <w:szCs w:val="20"/>
              </w:rPr>
              <w:t xml:space="preserve">23-1011 </w:t>
            </w:r>
            <w:r>
              <w:rPr>
                <w:color w:val="000000"/>
                <w:szCs w:val="20"/>
              </w:rPr>
              <w:t>L</w:t>
            </w:r>
            <w:r w:rsidRPr="006D28E0">
              <w:rPr>
                <w:color w:val="000000"/>
                <w:szCs w:val="20"/>
              </w:rPr>
              <w:t>awyers</w:t>
            </w:r>
          </w:p>
        </w:tc>
        <w:tc>
          <w:tcPr>
            <w:tcW w:w="831" w:type="pct"/>
            <w:tcBorders>
              <w:top w:val="single" w:color="000000" w:sz="4" w:space="0"/>
              <w:left w:val="single" w:color="000000" w:sz="4" w:space="0"/>
              <w:bottom w:val="single" w:color="000000" w:sz="4" w:space="0"/>
            </w:tcBorders>
            <w:shd w:val="clear" w:color="auto" w:fill="auto"/>
            <w:vAlign w:val="center"/>
          </w:tcPr>
          <w:p w:rsidRPr="006D28E0" w:rsidR="00E963CF" w:rsidP="00852DDE" w:rsidRDefault="00E963CF" w14:paraId="6757A367" w14:textId="77777777">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Cs w:val="20"/>
                <w:highlight w:val="green"/>
              </w:rPr>
            </w:pPr>
            <w:r w:rsidRPr="00741747">
              <w:rPr>
                <w:color w:val="000000"/>
                <w:szCs w:val="20"/>
              </w:rPr>
              <w:t>$71.59</w:t>
            </w:r>
          </w:p>
        </w:tc>
        <w:tc>
          <w:tcPr>
            <w:tcW w:w="654" w:type="pct"/>
            <w:tcBorders>
              <w:top w:val="single" w:color="000000" w:sz="4" w:space="0"/>
              <w:left w:val="single" w:color="000000" w:sz="4" w:space="0"/>
              <w:bottom w:val="single" w:color="000000" w:sz="4" w:space="0"/>
            </w:tcBorders>
            <w:shd w:val="clear" w:color="auto" w:fill="auto"/>
            <w:vAlign w:val="center"/>
          </w:tcPr>
          <w:p w:rsidRPr="006D28E0" w:rsidR="00E963CF" w:rsidP="00852DDE" w:rsidRDefault="00E963CF" w14:paraId="28249816" w14:textId="77777777">
            <w:pPr>
              <w:keepNext/>
              <w:keepLines/>
              <w:ind w:left="15"/>
              <w:jc w:val="center"/>
              <w:rPr>
                <w:color w:val="000000"/>
                <w:szCs w:val="20"/>
              </w:rPr>
            </w:pPr>
            <w:r>
              <w:rPr>
                <w:color w:val="000000"/>
                <w:szCs w:val="20"/>
              </w:rPr>
              <w:t>1.045</w:t>
            </w:r>
          </w:p>
        </w:tc>
        <w:tc>
          <w:tcPr>
            <w:tcW w:w="777" w:type="pct"/>
            <w:tcBorders>
              <w:top w:val="single" w:color="000000" w:sz="4" w:space="0"/>
              <w:left w:val="single" w:color="000000" w:sz="4" w:space="0"/>
              <w:bottom w:val="single" w:color="000000" w:sz="4" w:space="0"/>
            </w:tcBorders>
            <w:shd w:val="clear" w:color="auto" w:fill="auto"/>
            <w:vAlign w:val="center"/>
          </w:tcPr>
          <w:p w:rsidRPr="006D28E0" w:rsidR="00E963CF" w:rsidP="00852DDE" w:rsidRDefault="00E963CF" w14:paraId="1EEB4C86" w14:textId="77777777">
            <w:pPr>
              <w:keepNext/>
              <w:keepLines/>
              <w:snapToGrid w:val="0"/>
              <w:ind w:left="15"/>
              <w:jc w:val="center"/>
              <w:rPr>
                <w:color w:val="000000"/>
                <w:szCs w:val="20"/>
              </w:rPr>
            </w:pPr>
            <w:r>
              <w:rPr>
                <w:color w:val="000000"/>
                <w:szCs w:val="20"/>
              </w:rPr>
              <w:t>1.294</w:t>
            </w:r>
          </w:p>
        </w:tc>
        <w:tc>
          <w:tcPr>
            <w:tcW w:w="577" w:type="pct"/>
            <w:tcBorders>
              <w:top w:val="single" w:color="000000" w:sz="4" w:space="0"/>
              <w:left w:val="single" w:color="000000" w:sz="4" w:space="0"/>
              <w:bottom w:val="single" w:color="000000" w:sz="4" w:space="0"/>
            </w:tcBorders>
            <w:vAlign w:val="center"/>
          </w:tcPr>
          <w:p w:rsidRPr="006D28E0" w:rsidR="00E963CF" w:rsidP="00852DDE" w:rsidRDefault="00E963CF" w14:paraId="43E383ED" w14:textId="77777777">
            <w:pPr>
              <w:keepNext/>
              <w:keepLines/>
              <w:snapToGrid w:val="0"/>
              <w:ind w:left="15"/>
              <w:jc w:val="center"/>
              <w:rPr>
                <w:bCs/>
                <w:color w:val="000000"/>
                <w:szCs w:val="20"/>
              </w:rPr>
            </w:pPr>
            <w:r w:rsidRPr="004D0E45">
              <w:rPr>
                <w:color w:val="000000"/>
                <w:szCs w:val="20"/>
              </w:rPr>
              <w:t>1.336</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D28E0" w:rsidR="00E963CF" w:rsidP="00852DDE" w:rsidRDefault="00E963CF" w14:paraId="0A48ED5F" w14:textId="77777777">
            <w:pPr>
              <w:keepNext/>
              <w:keepLines/>
              <w:snapToGrid w:val="0"/>
              <w:ind w:left="15"/>
              <w:jc w:val="center"/>
              <w:rPr>
                <w:bCs/>
                <w:color w:val="000000"/>
                <w:szCs w:val="20"/>
                <w:highlight w:val="green"/>
              </w:rPr>
            </w:pPr>
            <w:r w:rsidRPr="00E963CF">
              <w:rPr>
                <w:color w:val="000000"/>
                <w:szCs w:val="20"/>
                <w:lang w:eastAsia="en-US"/>
              </w:rPr>
              <w:t xml:space="preserve">$129.33 </w:t>
            </w:r>
          </w:p>
        </w:tc>
      </w:tr>
      <w:tr w:rsidRPr="004E37EB" w:rsidR="00E963CF" w:rsidTr="00AF6593" w14:paraId="09C4C1DA" w14:textId="77777777">
        <w:trPr>
          <w:jc w:val="center"/>
        </w:trPr>
        <w:tc>
          <w:tcPr>
            <w:tcW w:w="588" w:type="pct"/>
            <w:tcBorders>
              <w:top w:val="single" w:color="000000" w:sz="4" w:space="0"/>
              <w:left w:val="single" w:color="000000" w:sz="4" w:space="0"/>
              <w:bottom w:val="single" w:color="000000" w:sz="4" w:space="0"/>
            </w:tcBorders>
            <w:shd w:val="clear" w:color="auto" w:fill="auto"/>
          </w:tcPr>
          <w:p w:rsidRPr="006D28E0" w:rsidR="00E963CF" w:rsidP="00E963CF" w:rsidRDefault="00E963CF" w14:paraId="333A465B" w14:textId="77777777">
            <w:pPr>
              <w:keepNext/>
              <w:keepLines/>
              <w:snapToGrid w:val="0"/>
              <w:ind w:left="15"/>
              <w:rPr>
                <w:color w:val="000000"/>
                <w:szCs w:val="20"/>
              </w:rPr>
            </w:pPr>
            <w:r w:rsidRPr="006D28E0">
              <w:rPr>
                <w:color w:val="000000"/>
                <w:szCs w:val="20"/>
              </w:rPr>
              <w:t>2. Managerial</w:t>
            </w:r>
          </w:p>
        </w:tc>
        <w:tc>
          <w:tcPr>
            <w:tcW w:w="747" w:type="pct"/>
            <w:tcBorders>
              <w:top w:val="single" w:color="000000" w:sz="4" w:space="0"/>
              <w:left w:val="single" w:color="000000" w:sz="4" w:space="0"/>
              <w:bottom w:val="single" w:color="000000" w:sz="4" w:space="0"/>
            </w:tcBorders>
            <w:shd w:val="clear" w:color="auto" w:fill="auto"/>
            <w:vAlign w:val="center"/>
          </w:tcPr>
          <w:p w:rsidRPr="006D28E0" w:rsidR="00E963CF" w:rsidP="00E963CF" w:rsidRDefault="00E963CF" w14:paraId="5DA9DFCF" w14:textId="77777777">
            <w:pPr>
              <w:keepNext/>
              <w:keepLines/>
              <w:snapToGrid w:val="0"/>
              <w:ind w:left="15"/>
              <w:rPr>
                <w:color w:val="000000"/>
                <w:szCs w:val="20"/>
              </w:rPr>
            </w:pPr>
            <w:r w:rsidRPr="006D28E0">
              <w:rPr>
                <w:color w:val="000000"/>
                <w:szCs w:val="20"/>
              </w:rPr>
              <w:t xml:space="preserve">11-1021 </w:t>
            </w:r>
            <w:r>
              <w:rPr>
                <w:color w:val="000000"/>
                <w:szCs w:val="20"/>
              </w:rPr>
              <w:t>G</w:t>
            </w:r>
            <w:r w:rsidRPr="006D28E0">
              <w:rPr>
                <w:color w:val="000000"/>
                <w:szCs w:val="20"/>
              </w:rPr>
              <w:t xml:space="preserve">eneral &amp; </w:t>
            </w:r>
            <w:r>
              <w:rPr>
                <w:color w:val="000000"/>
                <w:szCs w:val="20"/>
              </w:rPr>
              <w:t>O</w:t>
            </w:r>
            <w:r w:rsidRPr="006D28E0">
              <w:rPr>
                <w:color w:val="000000"/>
                <w:szCs w:val="20"/>
              </w:rPr>
              <w:t xml:space="preserve">perations </w:t>
            </w:r>
            <w:r>
              <w:rPr>
                <w:color w:val="000000"/>
                <w:szCs w:val="20"/>
              </w:rPr>
              <w:t>M</w:t>
            </w:r>
            <w:r w:rsidRPr="006D28E0">
              <w:rPr>
                <w:color w:val="000000"/>
                <w:szCs w:val="20"/>
              </w:rPr>
              <w:t>anagers</w:t>
            </w:r>
          </w:p>
        </w:tc>
        <w:tc>
          <w:tcPr>
            <w:tcW w:w="831" w:type="pct"/>
            <w:tcBorders>
              <w:top w:val="single" w:color="000000" w:sz="4" w:space="0"/>
              <w:left w:val="single" w:color="000000" w:sz="4" w:space="0"/>
              <w:bottom w:val="single" w:color="000000" w:sz="4" w:space="0"/>
            </w:tcBorders>
            <w:shd w:val="clear" w:color="auto" w:fill="auto"/>
            <w:vAlign w:val="center"/>
          </w:tcPr>
          <w:p w:rsidRPr="006D28E0" w:rsidR="00E963CF" w:rsidP="00852DDE" w:rsidRDefault="00E963CF" w14:paraId="58FBDE5E" w14:textId="77777777">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Cs w:val="20"/>
                <w:highlight w:val="green"/>
              </w:rPr>
            </w:pPr>
            <w:r w:rsidRPr="00741747">
              <w:rPr>
                <w:color w:val="000000"/>
                <w:szCs w:val="20"/>
              </w:rPr>
              <w:t>$60.45</w:t>
            </w:r>
          </w:p>
        </w:tc>
        <w:tc>
          <w:tcPr>
            <w:tcW w:w="654" w:type="pct"/>
            <w:tcBorders>
              <w:top w:val="single" w:color="000000" w:sz="4" w:space="0"/>
              <w:left w:val="single" w:color="000000" w:sz="4" w:space="0"/>
              <w:bottom w:val="single" w:color="000000" w:sz="4" w:space="0"/>
            </w:tcBorders>
            <w:shd w:val="clear" w:color="auto" w:fill="auto"/>
            <w:vAlign w:val="center"/>
          </w:tcPr>
          <w:p w:rsidRPr="006D28E0" w:rsidR="00E963CF" w:rsidP="00852DDE" w:rsidRDefault="00E963CF" w14:paraId="518E91A4" w14:textId="77777777">
            <w:pPr>
              <w:keepNext/>
              <w:keepLines/>
              <w:ind w:left="15"/>
              <w:jc w:val="center"/>
              <w:rPr>
                <w:color w:val="000000"/>
                <w:szCs w:val="20"/>
              </w:rPr>
            </w:pPr>
            <w:r>
              <w:rPr>
                <w:color w:val="000000"/>
                <w:szCs w:val="20"/>
              </w:rPr>
              <w:t>1.045</w:t>
            </w:r>
          </w:p>
        </w:tc>
        <w:tc>
          <w:tcPr>
            <w:tcW w:w="777" w:type="pct"/>
            <w:tcBorders>
              <w:top w:val="single" w:color="000000" w:sz="4" w:space="0"/>
              <w:left w:val="single" w:color="000000" w:sz="4" w:space="0"/>
              <w:bottom w:val="single" w:color="000000" w:sz="4" w:space="0"/>
            </w:tcBorders>
            <w:shd w:val="clear" w:color="auto" w:fill="auto"/>
            <w:vAlign w:val="center"/>
          </w:tcPr>
          <w:p w:rsidRPr="006D28E0" w:rsidR="00E963CF" w:rsidP="00852DDE" w:rsidRDefault="00E963CF" w14:paraId="65762415" w14:textId="77777777">
            <w:pPr>
              <w:keepNext/>
              <w:keepLines/>
              <w:snapToGrid w:val="0"/>
              <w:ind w:left="15"/>
              <w:jc w:val="center"/>
              <w:rPr>
                <w:color w:val="000000"/>
                <w:szCs w:val="20"/>
              </w:rPr>
            </w:pPr>
            <w:r>
              <w:rPr>
                <w:color w:val="000000"/>
                <w:szCs w:val="20"/>
              </w:rPr>
              <w:t>1.294</w:t>
            </w:r>
          </w:p>
        </w:tc>
        <w:tc>
          <w:tcPr>
            <w:tcW w:w="577" w:type="pct"/>
            <w:tcBorders>
              <w:top w:val="single" w:color="000000" w:sz="4" w:space="0"/>
              <w:left w:val="single" w:color="000000" w:sz="4" w:space="0"/>
              <w:bottom w:val="single" w:color="000000" w:sz="4" w:space="0"/>
            </w:tcBorders>
            <w:vAlign w:val="center"/>
          </w:tcPr>
          <w:p w:rsidR="00E963CF" w:rsidP="00852DDE" w:rsidRDefault="00E963CF" w14:paraId="00531BDD" w14:textId="77777777">
            <w:pPr>
              <w:keepNext/>
              <w:keepLines/>
              <w:snapToGrid w:val="0"/>
              <w:ind w:left="15"/>
              <w:jc w:val="center"/>
              <w:rPr>
                <w:bCs/>
                <w:color w:val="000000"/>
                <w:szCs w:val="20"/>
              </w:rPr>
            </w:pPr>
            <w:r w:rsidRPr="004D0E45">
              <w:rPr>
                <w:color w:val="000000"/>
                <w:szCs w:val="20"/>
              </w:rPr>
              <w:t>1.336</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D28E0" w:rsidR="00E963CF" w:rsidP="00852DDE" w:rsidRDefault="00E963CF" w14:paraId="0F60A5C9" w14:textId="77777777">
            <w:pPr>
              <w:keepNext/>
              <w:keepLines/>
              <w:snapToGrid w:val="0"/>
              <w:ind w:left="15"/>
              <w:jc w:val="center"/>
              <w:rPr>
                <w:bCs/>
                <w:color w:val="000000"/>
                <w:szCs w:val="20"/>
                <w:highlight w:val="green"/>
              </w:rPr>
            </w:pPr>
            <w:r w:rsidRPr="00E963CF">
              <w:rPr>
                <w:color w:val="000000"/>
                <w:szCs w:val="20"/>
                <w:lang w:eastAsia="en-US"/>
              </w:rPr>
              <w:t xml:space="preserve">$109.21 </w:t>
            </w:r>
          </w:p>
        </w:tc>
      </w:tr>
      <w:tr w:rsidRPr="004E37EB" w:rsidR="00E963CF" w:rsidTr="00AF6593" w14:paraId="02FF767B" w14:textId="77777777">
        <w:trPr>
          <w:jc w:val="center"/>
        </w:trPr>
        <w:tc>
          <w:tcPr>
            <w:tcW w:w="588" w:type="pct"/>
            <w:tcBorders>
              <w:top w:val="single" w:color="000000" w:sz="4" w:space="0"/>
              <w:left w:val="single" w:color="000000" w:sz="4" w:space="0"/>
              <w:bottom w:val="single" w:color="000000" w:sz="4" w:space="0"/>
            </w:tcBorders>
            <w:shd w:val="clear" w:color="auto" w:fill="auto"/>
          </w:tcPr>
          <w:p w:rsidRPr="006D28E0" w:rsidR="00E963CF" w:rsidP="00E963CF" w:rsidRDefault="00E963CF" w14:paraId="5C4D8205" w14:textId="77777777">
            <w:pPr>
              <w:keepNext/>
              <w:keepLines/>
              <w:snapToGrid w:val="0"/>
              <w:ind w:left="15"/>
              <w:rPr>
                <w:color w:val="000000"/>
                <w:szCs w:val="20"/>
              </w:rPr>
            </w:pPr>
            <w:r w:rsidRPr="006D28E0">
              <w:rPr>
                <w:color w:val="000000"/>
                <w:szCs w:val="20"/>
              </w:rPr>
              <w:t>3. Technical</w:t>
            </w:r>
          </w:p>
        </w:tc>
        <w:tc>
          <w:tcPr>
            <w:tcW w:w="747" w:type="pct"/>
            <w:tcBorders>
              <w:top w:val="single" w:color="000000" w:sz="4" w:space="0"/>
              <w:left w:val="single" w:color="000000" w:sz="4" w:space="0"/>
              <w:bottom w:val="single" w:color="000000" w:sz="4" w:space="0"/>
            </w:tcBorders>
            <w:shd w:val="clear" w:color="auto" w:fill="auto"/>
            <w:vAlign w:val="center"/>
          </w:tcPr>
          <w:p w:rsidRPr="006D28E0" w:rsidR="00E963CF" w:rsidP="00E963CF" w:rsidRDefault="00E963CF" w14:paraId="2481E433" w14:textId="77777777">
            <w:pPr>
              <w:keepNext/>
              <w:keepLines/>
              <w:snapToGrid w:val="0"/>
              <w:ind w:left="15"/>
              <w:rPr>
                <w:color w:val="000000"/>
                <w:szCs w:val="20"/>
              </w:rPr>
            </w:pPr>
            <w:r w:rsidRPr="006D28E0">
              <w:rPr>
                <w:color w:val="000000"/>
                <w:szCs w:val="20"/>
              </w:rPr>
              <w:t xml:space="preserve">17-2081 </w:t>
            </w:r>
            <w:r>
              <w:rPr>
                <w:color w:val="000000"/>
                <w:szCs w:val="20"/>
              </w:rPr>
              <w:t>E</w:t>
            </w:r>
            <w:r w:rsidRPr="006D28E0">
              <w:rPr>
                <w:color w:val="000000"/>
                <w:szCs w:val="20"/>
              </w:rPr>
              <w:t xml:space="preserve">nvironmental </w:t>
            </w:r>
            <w:r>
              <w:rPr>
                <w:color w:val="000000"/>
                <w:szCs w:val="20"/>
              </w:rPr>
              <w:t>E</w:t>
            </w:r>
            <w:r w:rsidRPr="006D28E0">
              <w:rPr>
                <w:color w:val="000000"/>
                <w:szCs w:val="20"/>
              </w:rPr>
              <w:t>ngineers</w:t>
            </w:r>
          </w:p>
        </w:tc>
        <w:tc>
          <w:tcPr>
            <w:tcW w:w="831" w:type="pct"/>
            <w:tcBorders>
              <w:top w:val="single" w:color="000000" w:sz="4" w:space="0"/>
              <w:left w:val="single" w:color="000000" w:sz="4" w:space="0"/>
              <w:bottom w:val="single" w:color="000000" w:sz="4" w:space="0"/>
            </w:tcBorders>
            <w:shd w:val="clear" w:color="auto" w:fill="auto"/>
            <w:vAlign w:val="center"/>
          </w:tcPr>
          <w:p w:rsidRPr="006D28E0" w:rsidR="00E963CF" w:rsidP="00852DDE" w:rsidRDefault="00E963CF" w14:paraId="261C312D" w14:textId="77777777">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Cs w:val="20"/>
                <w:highlight w:val="green"/>
              </w:rPr>
            </w:pPr>
            <w:r w:rsidRPr="00741747">
              <w:rPr>
                <w:color w:val="000000"/>
                <w:szCs w:val="20"/>
              </w:rPr>
              <w:t>$46.58</w:t>
            </w:r>
          </w:p>
        </w:tc>
        <w:tc>
          <w:tcPr>
            <w:tcW w:w="654" w:type="pct"/>
            <w:tcBorders>
              <w:top w:val="single" w:color="000000" w:sz="4" w:space="0"/>
              <w:left w:val="single" w:color="000000" w:sz="4" w:space="0"/>
              <w:bottom w:val="single" w:color="000000" w:sz="4" w:space="0"/>
            </w:tcBorders>
            <w:shd w:val="clear" w:color="auto" w:fill="auto"/>
            <w:vAlign w:val="center"/>
          </w:tcPr>
          <w:p w:rsidRPr="006D28E0" w:rsidR="00E963CF" w:rsidP="00852DDE" w:rsidRDefault="00E963CF" w14:paraId="22974B1D" w14:textId="77777777">
            <w:pPr>
              <w:keepNext/>
              <w:keepLines/>
              <w:ind w:left="15"/>
              <w:jc w:val="center"/>
              <w:rPr>
                <w:color w:val="000000"/>
                <w:szCs w:val="20"/>
              </w:rPr>
            </w:pPr>
            <w:r>
              <w:rPr>
                <w:color w:val="000000"/>
                <w:szCs w:val="20"/>
              </w:rPr>
              <w:t>1.045</w:t>
            </w:r>
          </w:p>
        </w:tc>
        <w:tc>
          <w:tcPr>
            <w:tcW w:w="777" w:type="pct"/>
            <w:tcBorders>
              <w:top w:val="single" w:color="000000" w:sz="4" w:space="0"/>
              <w:left w:val="single" w:color="000000" w:sz="4" w:space="0"/>
              <w:bottom w:val="single" w:color="000000" w:sz="4" w:space="0"/>
            </w:tcBorders>
            <w:shd w:val="clear" w:color="auto" w:fill="auto"/>
            <w:vAlign w:val="center"/>
          </w:tcPr>
          <w:p w:rsidRPr="006D28E0" w:rsidR="00E963CF" w:rsidP="00852DDE" w:rsidRDefault="00E963CF" w14:paraId="2129611E" w14:textId="77777777">
            <w:pPr>
              <w:keepNext/>
              <w:keepLines/>
              <w:snapToGrid w:val="0"/>
              <w:ind w:left="15"/>
              <w:jc w:val="center"/>
              <w:rPr>
                <w:color w:val="000000"/>
                <w:szCs w:val="20"/>
              </w:rPr>
            </w:pPr>
            <w:r>
              <w:rPr>
                <w:color w:val="000000"/>
                <w:szCs w:val="20"/>
              </w:rPr>
              <w:t>1.294</w:t>
            </w:r>
          </w:p>
        </w:tc>
        <w:tc>
          <w:tcPr>
            <w:tcW w:w="577" w:type="pct"/>
            <w:tcBorders>
              <w:top w:val="single" w:color="000000" w:sz="4" w:space="0"/>
              <w:left w:val="single" w:color="000000" w:sz="4" w:space="0"/>
              <w:bottom w:val="single" w:color="000000" w:sz="4" w:space="0"/>
            </w:tcBorders>
            <w:vAlign w:val="center"/>
          </w:tcPr>
          <w:p w:rsidR="00E963CF" w:rsidP="00852DDE" w:rsidRDefault="00E963CF" w14:paraId="4B7F7D9C" w14:textId="77777777">
            <w:pPr>
              <w:keepNext/>
              <w:keepLines/>
              <w:snapToGrid w:val="0"/>
              <w:ind w:left="15"/>
              <w:jc w:val="center"/>
              <w:rPr>
                <w:bCs/>
                <w:color w:val="000000"/>
                <w:szCs w:val="20"/>
              </w:rPr>
            </w:pPr>
            <w:r w:rsidRPr="004D0E45">
              <w:rPr>
                <w:color w:val="000000"/>
                <w:szCs w:val="20"/>
              </w:rPr>
              <w:t>1.336</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D28E0" w:rsidR="00E963CF" w:rsidP="00852DDE" w:rsidRDefault="00E963CF" w14:paraId="7502AEF9" w14:textId="77777777">
            <w:pPr>
              <w:keepNext/>
              <w:keepLines/>
              <w:snapToGrid w:val="0"/>
              <w:ind w:left="15"/>
              <w:jc w:val="center"/>
              <w:rPr>
                <w:bCs/>
                <w:color w:val="000000"/>
                <w:szCs w:val="20"/>
                <w:highlight w:val="green"/>
              </w:rPr>
            </w:pPr>
            <w:r w:rsidRPr="00E963CF">
              <w:rPr>
                <w:color w:val="000000"/>
                <w:szCs w:val="20"/>
                <w:lang w:eastAsia="en-US"/>
              </w:rPr>
              <w:t xml:space="preserve">$84.15 </w:t>
            </w:r>
          </w:p>
        </w:tc>
      </w:tr>
      <w:tr w:rsidRPr="004E37EB" w:rsidR="00E963CF" w:rsidTr="00AF6593" w14:paraId="416E1194" w14:textId="77777777">
        <w:trPr>
          <w:jc w:val="center"/>
        </w:trPr>
        <w:tc>
          <w:tcPr>
            <w:tcW w:w="588" w:type="pct"/>
            <w:tcBorders>
              <w:top w:val="single" w:color="000000" w:sz="4" w:space="0"/>
              <w:left w:val="single" w:color="000000" w:sz="4" w:space="0"/>
              <w:bottom w:val="single" w:color="000000" w:sz="4" w:space="0"/>
            </w:tcBorders>
            <w:shd w:val="clear" w:color="auto" w:fill="auto"/>
          </w:tcPr>
          <w:p w:rsidRPr="006D28E0" w:rsidR="00E963CF" w:rsidP="00E963CF" w:rsidRDefault="00E963CF" w14:paraId="1D70EF14" w14:textId="77777777">
            <w:pPr>
              <w:keepNext/>
              <w:keepLines/>
              <w:snapToGrid w:val="0"/>
              <w:ind w:left="15"/>
              <w:rPr>
                <w:color w:val="000000"/>
                <w:szCs w:val="20"/>
              </w:rPr>
            </w:pPr>
            <w:r w:rsidRPr="006D28E0">
              <w:rPr>
                <w:color w:val="000000"/>
                <w:szCs w:val="20"/>
              </w:rPr>
              <w:t>4. Clerical</w:t>
            </w:r>
          </w:p>
        </w:tc>
        <w:tc>
          <w:tcPr>
            <w:tcW w:w="747" w:type="pct"/>
            <w:tcBorders>
              <w:top w:val="single" w:color="000000" w:sz="4" w:space="0"/>
              <w:left w:val="single" w:color="000000" w:sz="4" w:space="0"/>
              <w:bottom w:val="single" w:color="000000" w:sz="4" w:space="0"/>
            </w:tcBorders>
            <w:shd w:val="clear" w:color="auto" w:fill="auto"/>
            <w:vAlign w:val="center"/>
          </w:tcPr>
          <w:p w:rsidRPr="006D28E0" w:rsidR="00E963CF" w:rsidP="00E963CF" w:rsidRDefault="00E963CF" w14:paraId="1090940F" w14:textId="77777777">
            <w:pPr>
              <w:keepNext/>
              <w:keepLines/>
              <w:snapToGrid w:val="0"/>
              <w:ind w:left="15"/>
              <w:rPr>
                <w:color w:val="000000"/>
                <w:szCs w:val="20"/>
              </w:rPr>
            </w:pPr>
            <w:r w:rsidRPr="006D28E0">
              <w:rPr>
                <w:color w:val="000000"/>
                <w:szCs w:val="20"/>
              </w:rPr>
              <w:t xml:space="preserve">43-9061 </w:t>
            </w:r>
            <w:r>
              <w:rPr>
                <w:color w:val="000000"/>
                <w:szCs w:val="20"/>
              </w:rPr>
              <w:t>O</w:t>
            </w:r>
            <w:r w:rsidRPr="006D28E0">
              <w:rPr>
                <w:color w:val="000000"/>
                <w:szCs w:val="20"/>
              </w:rPr>
              <w:t xml:space="preserve">ffice </w:t>
            </w:r>
            <w:r>
              <w:rPr>
                <w:color w:val="000000"/>
                <w:szCs w:val="20"/>
              </w:rPr>
              <w:t>C</w:t>
            </w:r>
            <w:r w:rsidRPr="006D28E0">
              <w:rPr>
                <w:color w:val="000000"/>
                <w:szCs w:val="20"/>
              </w:rPr>
              <w:t xml:space="preserve">lerks, </w:t>
            </w:r>
            <w:r>
              <w:rPr>
                <w:color w:val="000000"/>
                <w:szCs w:val="20"/>
              </w:rPr>
              <w:t>G</w:t>
            </w:r>
            <w:r w:rsidRPr="006D28E0">
              <w:rPr>
                <w:color w:val="000000"/>
                <w:szCs w:val="20"/>
              </w:rPr>
              <w:t>eneral</w:t>
            </w:r>
          </w:p>
        </w:tc>
        <w:tc>
          <w:tcPr>
            <w:tcW w:w="831" w:type="pct"/>
            <w:tcBorders>
              <w:top w:val="single" w:color="000000" w:sz="4" w:space="0"/>
              <w:left w:val="single" w:color="000000" w:sz="4" w:space="0"/>
              <w:bottom w:val="single" w:color="000000" w:sz="4" w:space="0"/>
            </w:tcBorders>
            <w:shd w:val="clear" w:color="auto" w:fill="auto"/>
            <w:vAlign w:val="center"/>
          </w:tcPr>
          <w:p w:rsidRPr="006D28E0" w:rsidR="00E963CF" w:rsidP="00852DDE" w:rsidRDefault="00E963CF" w14:paraId="158CBA00" w14:textId="77777777">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Cs w:val="20"/>
                <w:highlight w:val="green"/>
              </w:rPr>
            </w:pPr>
            <w:r w:rsidRPr="00741747">
              <w:rPr>
                <w:color w:val="000000"/>
                <w:szCs w:val="20"/>
              </w:rPr>
              <w:t>$18.16</w:t>
            </w:r>
          </w:p>
        </w:tc>
        <w:tc>
          <w:tcPr>
            <w:tcW w:w="654" w:type="pct"/>
            <w:tcBorders>
              <w:top w:val="single" w:color="000000" w:sz="4" w:space="0"/>
              <w:left w:val="single" w:color="000000" w:sz="4" w:space="0"/>
              <w:bottom w:val="single" w:color="000000" w:sz="4" w:space="0"/>
            </w:tcBorders>
            <w:shd w:val="clear" w:color="auto" w:fill="auto"/>
            <w:vAlign w:val="center"/>
          </w:tcPr>
          <w:p w:rsidRPr="006D28E0" w:rsidR="00E963CF" w:rsidP="00852DDE" w:rsidRDefault="00E963CF" w14:paraId="52C84E77" w14:textId="77777777">
            <w:pPr>
              <w:keepNext/>
              <w:keepLines/>
              <w:ind w:left="15"/>
              <w:jc w:val="center"/>
              <w:rPr>
                <w:color w:val="000000"/>
                <w:szCs w:val="20"/>
              </w:rPr>
            </w:pPr>
            <w:r>
              <w:rPr>
                <w:color w:val="000000"/>
                <w:szCs w:val="20"/>
              </w:rPr>
              <w:t>1.045</w:t>
            </w:r>
          </w:p>
        </w:tc>
        <w:tc>
          <w:tcPr>
            <w:tcW w:w="777" w:type="pct"/>
            <w:tcBorders>
              <w:top w:val="single" w:color="000000" w:sz="4" w:space="0"/>
              <w:left w:val="single" w:color="000000" w:sz="4" w:space="0"/>
              <w:bottom w:val="single" w:color="000000" w:sz="4" w:space="0"/>
            </w:tcBorders>
            <w:shd w:val="clear" w:color="auto" w:fill="auto"/>
            <w:vAlign w:val="center"/>
          </w:tcPr>
          <w:p w:rsidRPr="006D28E0" w:rsidR="00E963CF" w:rsidP="00852DDE" w:rsidRDefault="00E963CF" w14:paraId="69771B79" w14:textId="77777777">
            <w:pPr>
              <w:keepNext/>
              <w:keepLines/>
              <w:snapToGrid w:val="0"/>
              <w:ind w:left="15"/>
              <w:jc w:val="center"/>
              <w:rPr>
                <w:color w:val="000000"/>
                <w:szCs w:val="20"/>
              </w:rPr>
            </w:pPr>
            <w:r>
              <w:rPr>
                <w:color w:val="000000"/>
                <w:szCs w:val="20"/>
              </w:rPr>
              <w:t>1.294</w:t>
            </w:r>
          </w:p>
        </w:tc>
        <w:tc>
          <w:tcPr>
            <w:tcW w:w="577" w:type="pct"/>
            <w:tcBorders>
              <w:top w:val="single" w:color="000000" w:sz="4" w:space="0"/>
              <w:left w:val="single" w:color="000000" w:sz="4" w:space="0"/>
              <w:bottom w:val="single" w:color="000000" w:sz="4" w:space="0"/>
            </w:tcBorders>
            <w:vAlign w:val="center"/>
          </w:tcPr>
          <w:p w:rsidR="00E963CF" w:rsidP="00852DDE" w:rsidRDefault="00E963CF" w14:paraId="1965CE8C" w14:textId="77777777">
            <w:pPr>
              <w:keepNext/>
              <w:keepLines/>
              <w:snapToGrid w:val="0"/>
              <w:ind w:left="15"/>
              <w:jc w:val="center"/>
              <w:rPr>
                <w:bCs/>
                <w:color w:val="000000"/>
                <w:szCs w:val="20"/>
              </w:rPr>
            </w:pPr>
            <w:r w:rsidRPr="004D0E45">
              <w:rPr>
                <w:color w:val="000000"/>
                <w:szCs w:val="20"/>
              </w:rPr>
              <w:t>1.336</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D28E0" w:rsidR="00E963CF" w:rsidP="00852DDE" w:rsidRDefault="00E963CF" w14:paraId="71B17F50" w14:textId="77777777">
            <w:pPr>
              <w:keepNext/>
              <w:keepLines/>
              <w:snapToGrid w:val="0"/>
              <w:ind w:left="15"/>
              <w:jc w:val="center"/>
              <w:rPr>
                <w:bCs/>
                <w:color w:val="000000"/>
                <w:szCs w:val="20"/>
                <w:highlight w:val="green"/>
              </w:rPr>
            </w:pPr>
            <w:r w:rsidRPr="00E963CF">
              <w:rPr>
                <w:color w:val="000000"/>
                <w:szCs w:val="20"/>
                <w:lang w:eastAsia="en-US"/>
              </w:rPr>
              <w:t xml:space="preserve">$32.81 </w:t>
            </w:r>
          </w:p>
        </w:tc>
      </w:tr>
    </w:tbl>
    <w:p w:rsidR="008A3F0D" w:rsidP="00C14024" w:rsidRDefault="008A3F0D" w14:paraId="36A53BCC" w14:textId="77777777">
      <w:pPr>
        <w:pStyle w:val="BodyTextDSW"/>
        <w:rPr>
          <w:b/>
          <w:bCs/>
        </w:rPr>
      </w:pPr>
    </w:p>
    <w:p w:rsidRPr="00C14024" w:rsidR="00A1612F" w:rsidP="00C14024" w:rsidRDefault="00A1612F" w14:paraId="7BF3E390" w14:textId="77777777">
      <w:pPr>
        <w:pStyle w:val="BodyTextDSW"/>
      </w:pPr>
      <w:r>
        <w:rPr>
          <w:b/>
          <w:bCs/>
        </w:rPr>
        <w:t>(2)</w:t>
      </w:r>
      <w:r>
        <w:rPr>
          <w:b/>
          <w:bCs/>
        </w:rPr>
        <w:tab/>
        <w:t>Capital Costs</w:t>
      </w:r>
    </w:p>
    <w:p w:rsidR="00A1612F" w:rsidRDefault="00A1612F" w14:paraId="566DFF13" w14:textId="77777777">
      <w:pPr>
        <w:pStyle w:val="BodyTextDSW"/>
      </w:pPr>
      <w:r>
        <w:t>Capital costs usually include any produced physical good needed to provide the needed information, such as machinery, computers, and other equipment. EPA does not anticipate that respondents will incur capital costs in carrying out the information collection requirements covered in this ICR.</w:t>
      </w:r>
    </w:p>
    <w:p w:rsidR="00A1612F" w:rsidRDefault="00A1612F" w14:paraId="54DF6E2B" w14:textId="77777777">
      <w:pPr>
        <w:pStyle w:val="BodyTextDSW"/>
        <w:rPr>
          <w:b/>
          <w:bCs/>
        </w:rPr>
      </w:pPr>
      <w:r>
        <w:rPr>
          <w:b/>
          <w:bCs/>
        </w:rPr>
        <w:t>(3)</w:t>
      </w:r>
      <w:r>
        <w:rPr>
          <w:b/>
          <w:bCs/>
        </w:rPr>
        <w:tab/>
        <w:t>Operation &amp; Maintenance Costs</w:t>
      </w:r>
    </w:p>
    <w:p w:rsidR="00357BC3" w:rsidRDefault="00A1612F" w14:paraId="1A92418A" w14:textId="77777777">
      <w:pPr>
        <w:pStyle w:val="BodyTextDSW"/>
      </w:pPr>
      <w:r>
        <w:t xml:space="preserve">O&amp;M costs are those costs associated with a paperwork requirement incurred continually over the life of the ICR. They are defined by the Paperwork Reduction Act of 1995 as </w:t>
      </w:r>
      <w:r w:rsidR="00281E55">
        <w:t>“</w:t>
      </w:r>
      <w:r>
        <w:t>the recurring dollar amount of costs associated with O&amp;M or purchasing services.</w:t>
      </w:r>
      <w:r w:rsidR="00281E55">
        <w:t>”</w:t>
      </w:r>
      <w:r>
        <w:t xml:space="preserve"> This ICR includes </w:t>
      </w:r>
      <w:r w:rsidR="00357BC3">
        <w:t xml:space="preserve">the following </w:t>
      </w:r>
      <w:r>
        <w:t>O&amp;M costs</w:t>
      </w:r>
      <w:r w:rsidR="00357BC3">
        <w:t>:</w:t>
      </w:r>
    </w:p>
    <w:p w:rsidR="00357BC3" w:rsidP="00A6661D" w:rsidRDefault="00357BC3" w14:paraId="77E8FD68" w14:textId="77777777">
      <w:pPr>
        <w:pStyle w:val="BodyTextDSW"/>
        <w:numPr>
          <w:ilvl w:val="0"/>
          <w:numId w:val="26"/>
        </w:numPr>
      </w:pPr>
      <w:r>
        <w:t>P</w:t>
      </w:r>
      <w:r w:rsidR="00A1612F">
        <w:t>ostage</w:t>
      </w:r>
      <w:r>
        <w:rPr>
          <w:rStyle w:val="FootnoteReference"/>
        </w:rPr>
        <w:footnoteReference w:id="4"/>
      </w:r>
    </w:p>
    <w:p w:rsidR="00357BC3" w:rsidP="00A6661D" w:rsidRDefault="00357BC3" w14:paraId="404E7A6A" w14:textId="77777777">
      <w:pPr>
        <w:pStyle w:val="BodyTextDSW"/>
        <w:numPr>
          <w:ilvl w:val="0"/>
          <w:numId w:val="47"/>
        </w:numPr>
      </w:pPr>
      <w:r>
        <w:t>R</w:t>
      </w:r>
      <w:r w:rsidRPr="005601F5" w:rsidR="00A1612F">
        <w:t>egular mail</w:t>
      </w:r>
      <w:r w:rsidR="00197530">
        <w:t xml:space="preserve"> (weight not over 1 ounce)</w:t>
      </w:r>
      <w:r>
        <w:t>:</w:t>
      </w:r>
      <w:r w:rsidRPr="00357BC3">
        <w:t xml:space="preserve"> </w:t>
      </w:r>
      <w:r w:rsidRPr="005601F5">
        <w:t>$0.</w:t>
      </w:r>
      <w:r>
        <w:t>5</w:t>
      </w:r>
      <w:r w:rsidRPr="005601F5">
        <w:t>8</w:t>
      </w:r>
    </w:p>
    <w:p w:rsidR="00357BC3" w:rsidP="00A6661D" w:rsidRDefault="00357BC3" w14:paraId="1DBB0343" w14:textId="77777777">
      <w:pPr>
        <w:pStyle w:val="BodyTextDSW"/>
        <w:numPr>
          <w:ilvl w:val="0"/>
          <w:numId w:val="47"/>
        </w:numPr>
      </w:pPr>
      <w:r>
        <w:t>C</w:t>
      </w:r>
      <w:r w:rsidRPr="005601F5" w:rsidR="00A1612F">
        <w:t>ertified mail</w:t>
      </w:r>
      <w:r>
        <w:t xml:space="preserve">: </w:t>
      </w:r>
      <w:r w:rsidRPr="005601F5">
        <w:t>$3.</w:t>
      </w:r>
      <w:r>
        <w:t>75</w:t>
      </w:r>
    </w:p>
    <w:p w:rsidR="00357BC3" w:rsidP="00AF6593" w:rsidRDefault="00357BC3" w14:paraId="2A78D125" w14:textId="77777777">
      <w:pPr>
        <w:pStyle w:val="BodyTextDSW"/>
        <w:numPr>
          <w:ilvl w:val="0"/>
          <w:numId w:val="47"/>
        </w:numPr>
      </w:pPr>
      <w:r>
        <w:t>R</w:t>
      </w:r>
      <w:r w:rsidRPr="005601F5" w:rsidR="00283FAB">
        <w:t>egistered mail</w:t>
      </w:r>
      <w:r w:rsidR="00197530">
        <w:t xml:space="preserve"> (declared value $0.00)</w:t>
      </w:r>
      <w:r>
        <w:t>: $</w:t>
      </w:r>
      <w:r w:rsidRPr="005601F5">
        <w:t>1</w:t>
      </w:r>
      <w:r>
        <w:t>3</w:t>
      </w:r>
      <w:r w:rsidRPr="005601F5">
        <w:t>.7</w:t>
      </w:r>
      <w:r>
        <w:t>5</w:t>
      </w:r>
    </w:p>
    <w:p w:rsidR="00357BC3" w:rsidP="00A6661D" w:rsidRDefault="00357BC3" w14:paraId="77FC4DEE" w14:textId="77777777">
      <w:pPr>
        <w:pStyle w:val="BodyTextDSW"/>
        <w:numPr>
          <w:ilvl w:val="0"/>
          <w:numId w:val="5"/>
        </w:numPr>
        <w:tabs>
          <w:tab w:val="clear" w:pos="1080"/>
          <w:tab w:val="num" w:pos="1620"/>
        </w:tabs>
        <w:ind w:left="1627"/>
      </w:pPr>
      <w:r>
        <w:t>S</w:t>
      </w:r>
      <w:r w:rsidR="00A1612F">
        <w:t>ampling and analytical costs for a hazardous secondary material characterization</w:t>
      </w:r>
      <w:r>
        <w:t xml:space="preserve">: </w:t>
      </w:r>
      <w:r w:rsidR="005601F5">
        <w:t>$3</w:t>
      </w:r>
      <w:r w:rsidR="007540D6">
        <w:t>69</w:t>
      </w:r>
      <w:r w:rsidR="00314D26">
        <w:t xml:space="preserve"> p</w:t>
      </w:r>
      <w:r w:rsidR="00A1612F">
        <w:t>er sample</w:t>
      </w:r>
      <w:r>
        <w:rPr>
          <w:rStyle w:val="FootnoteReference"/>
        </w:rPr>
        <w:footnoteReference w:id="5"/>
      </w:r>
    </w:p>
    <w:p w:rsidR="007540D6" w:rsidP="00A6661D" w:rsidRDefault="00325A0E" w14:paraId="2546AD55" w14:textId="77777777">
      <w:pPr>
        <w:pStyle w:val="BodyTextDSW"/>
        <w:numPr>
          <w:ilvl w:val="0"/>
          <w:numId w:val="5"/>
        </w:numPr>
        <w:tabs>
          <w:tab w:val="clear" w:pos="1080"/>
          <w:tab w:val="num" w:pos="1620"/>
        </w:tabs>
        <w:ind w:left="1627"/>
      </w:pPr>
      <w:r>
        <w:t>C</w:t>
      </w:r>
      <w:r w:rsidR="003D687F">
        <w:t xml:space="preserve">opy of </w:t>
      </w:r>
      <w:r w:rsidR="00A1612F">
        <w:t>plans</w:t>
      </w:r>
      <w:r w:rsidR="007540D6">
        <w:t>: $0.13</w:t>
      </w:r>
      <w:r w:rsidR="007540D6">
        <w:rPr>
          <w:rStyle w:val="FootnoteReference"/>
        </w:rPr>
        <w:footnoteReference w:id="6"/>
      </w:r>
    </w:p>
    <w:p w:rsidR="00FF1932" w:rsidP="00A6661D" w:rsidRDefault="00FF1932" w14:paraId="237451C0" w14:textId="77777777">
      <w:pPr>
        <w:pStyle w:val="BodyTextDSW"/>
        <w:numPr>
          <w:ilvl w:val="0"/>
          <w:numId w:val="5"/>
        </w:numPr>
        <w:tabs>
          <w:tab w:val="clear" w:pos="1080"/>
          <w:tab w:val="num" w:pos="1620"/>
        </w:tabs>
        <w:ind w:left="1627"/>
      </w:pPr>
      <w:r>
        <w:t xml:space="preserve">Long distance phone call: </w:t>
      </w:r>
      <w:r w:rsidR="00A1612F">
        <w:t>$</w:t>
      </w:r>
      <w:r w:rsidR="001E0B82">
        <w:t>6.26</w:t>
      </w:r>
      <w:r>
        <w:rPr>
          <w:rStyle w:val="FootnoteReference"/>
        </w:rPr>
        <w:footnoteReference w:id="7"/>
      </w:r>
    </w:p>
    <w:p w:rsidR="00355851" w:rsidP="00A6661D" w:rsidRDefault="00355851" w14:paraId="4070EB3F" w14:textId="77777777">
      <w:pPr>
        <w:pStyle w:val="BodyTextDSW"/>
        <w:numPr>
          <w:ilvl w:val="0"/>
          <w:numId w:val="5"/>
        </w:numPr>
        <w:tabs>
          <w:tab w:val="clear" w:pos="1080"/>
          <w:tab w:val="num" w:pos="1620"/>
        </w:tabs>
        <w:ind w:left="1627"/>
      </w:pPr>
      <w:r>
        <w:lastRenderedPageBreak/>
        <w:t>P</w:t>
      </w:r>
      <w:r w:rsidR="00A1612F">
        <w:t>repare and submit a re-application and to provide additional information on whether partial reclamation is substantial</w:t>
      </w:r>
      <w:r>
        <w:t>: $31.20</w:t>
      </w:r>
      <w:r>
        <w:rPr>
          <w:rStyle w:val="FootnoteReference"/>
        </w:rPr>
        <w:footnoteReference w:id="8"/>
      </w:r>
    </w:p>
    <w:p w:rsidR="00146FDB" w:rsidP="00A6661D" w:rsidRDefault="00146FDB" w14:paraId="46FDA814" w14:textId="77777777">
      <w:pPr>
        <w:pStyle w:val="BodyTextDSW"/>
        <w:numPr>
          <w:ilvl w:val="0"/>
          <w:numId w:val="5"/>
        </w:numPr>
        <w:tabs>
          <w:tab w:val="clear" w:pos="1080"/>
          <w:tab w:val="num" w:pos="1620"/>
        </w:tabs>
        <w:ind w:left="1627"/>
      </w:pPr>
      <w:r>
        <w:t>P</w:t>
      </w:r>
      <w:r w:rsidR="006B5BE5">
        <w:t>reparation of an initial variance application</w:t>
      </w:r>
      <w:r>
        <w:t>: $31.11</w:t>
      </w:r>
      <w:r>
        <w:rPr>
          <w:rStyle w:val="FootnoteReference"/>
        </w:rPr>
        <w:footnoteReference w:id="9"/>
      </w:r>
    </w:p>
    <w:p w:rsidR="00325A0E" w:rsidP="00A6661D" w:rsidRDefault="00325A0E" w14:paraId="0C25D917" w14:textId="77777777">
      <w:pPr>
        <w:pStyle w:val="BodyTextDSW"/>
        <w:numPr>
          <w:ilvl w:val="0"/>
          <w:numId w:val="5"/>
        </w:numPr>
        <w:tabs>
          <w:tab w:val="clear" w:pos="1080"/>
          <w:tab w:val="num" w:pos="1620"/>
        </w:tabs>
        <w:ind w:left="1627"/>
      </w:pPr>
      <w:r>
        <w:t>R</w:t>
      </w:r>
      <w:r w:rsidR="006B5BE5">
        <w:t>e-application or renewal of the variance</w:t>
      </w:r>
      <w:r>
        <w:t>: $15.56</w:t>
      </w:r>
      <w:r>
        <w:rPr>
          <w:rStyle w:val="FootnoteReference"/>
        </w:rPr>
        <w:footnoteReference w:id="10"/>
      </w:r>
    </w:p>
    <w:p w:rsidR="00A1612F" w:rsidP="00A6661D" w:rsidRDefault="00325A0E" w14:paraId="23060852" w14:textId="77777777">
      <w:pPr>
        <w:pStyle w:val="BodyTextDSW"/>
        <w:numPr>
          <w:ilvl w:val="0"/>
          <w:numId w:val="5"/>
        </w:numPr>
        <w:tabs>
          <w:tab w:val="clear" w:pos="1080"/>
          <w:tab w:val="num" w:pos="1620"/>
        </w:tabs>
        <w:ind w:left="1627"/>
      </w:pPr>
      <w:r>
        <w:t xml:space="preserve">Hiring </w:t>
      </w:r>
      <w:r w:rsidRPr="005601F5" w:rsidR="00415399">
        <w:t xml:space="preserve">an outside auditor to conduct a </w:t>
      </w:r>
      <w:r w:rsidR="005601F5">
        <w:t xml:space="preserve">reasonable efforts audit </w:t>
      </w:r>
      <w:r w:rsidR="006C0A56">
        <w:t>(</w:t>
      </w:r>
      <w:r w:rsidRPr="005601F5">
        <w:t>for generators using the transfer-based exclusion</w:t>
      </w:r>
      <w:r w:rsidR="006C0A56">
        <w:t>)</w:t>
      </w:r>
      <w:r>
        <w:t>: $4,217</w:t>
      </w:r>
      <w:r w:rsidR="00E76A54">
        <w:rPr>
          <w:rStyle w:val="FootnoteReference"/>
        </w:rPr>
        <w:footnoteReference w:id="11"/>
      </w:r>
    </w:p>
    <w:p w:rsidR="009C6845" w:rsidP="00A6661D" w:rsidRDefault="009C6845" w14:paraId="3979F7C6" w14:textId="77777777">
      <w:pPr>
        <w:pStyle w:val="BodyTextDSW"/>
        <w:numPr>
          <w:ilvl w:val="0"/>
          <w:numId w:val="5"/>
        </w:numPr>
        <w:tabs>
          <w:tab w:val="clear" w:pos="1080"/>
          <w:tab w:val="num" w:pos="1620"/>
        </w:tabs>
        <w:ind w:left="1627"/>
      </w:pPr>
      <w:r w:rsidRPr="009C6845">
        <w:t>In-house employee audit (</w:t>
      </w:r>
      <w:r>
        <w:t xml:space="preserve">for </w:t>
      </w:r>
      <w:r w:rsidRPr="009C6845">
        <w:t>generator-controlled exclusion)</w:t>
      </w:r>
      <w:r>
        <w:t>: $780</w:t>
      </w:r>
      <w:r>
        <w:rPr>
          <w:rStyle w:val="FootnoteReference"/>
        </w:rPr>
        <w:footnoteReference w:id="12"/>
      </w:r>
    </w:p>
    <w:p w:rsidR="005F7E2A" w:rsidP="00A6661D" w:rsidRDefault="005F7E2A" w14:paraId="1723336F" w14:textId="77777777">
      <w:pPr>
        <w:pStyle w:val="BodyTextDSW"/>
        <w:numPr>
          <w:ilvl w:val="0"/>
          <w:numId w:val="5"/>
        </w:numPr>
        <w:tabs>
          <w:tab w:val="clear" w:pos="1080"/>
          <w:tab w:val="num" w:pos="1620"/>
        </w:tabs>
        <w:ind w:left="1627"/>
      </w:pPr>
      <w:r w:rsidRPr="005F7E2A">
        <w:t>Hiring an outside vendor for preparation of legitimacy documentation</w:t>
      </w:r>
      <w:r>
        <w:t>: $3,900</w:t>
      </w:r>
      <w:r>
        <w:rPr>
          <w:rStyle w:val="FootnoteReference"/>
        </w:rPr>
        <w:footnoteReference w:id="13"/>
      </w:r>
    </w:p>
    <w:p w:rsidR="00A1612F" w:rsidRDefault="00F37EB9" w14:paraId="3C78EE42" w14:textId="694FAF35">
      <w:pPr>
        <w:pStyle w:val="Heading2"/>
      </w:pPr>
      <w:r>
        <w:br w:type="page"/>
      </w:r>
      <w:bookmarkStart w:name="__RefHeading__202_717627523" w:id="50"/>
      <w:bookmarkStart w:name="_Toc404344923" w:id="51"/>
      <w:bookmarkEnd w:id="50"/>
      <w:r w:rsidR="00A1612F">
        <w:lastRenderedPageBreak/>
        <w:t>6(c)</w:t>
      </w:r>
      <w:r w:rsidR="00A1612F">
        <w:tab/>
        <w:t xml:space="preserve">Estimating </w:t>
      </w:r>
      <w:r w:rsidR="00DB6233">
        <w:t xml:space="preserve">State </w:t>
      </w:r>
      <w:r w:rsidR="00A1612F">
        <w:t>Agency Hour and Cost Burden</w:t>
      </w:r>
      <w:bookmarkEnd w:id="51"/>
    </w:p>
    <w:p w:rsidR="00134BCA" w:rsidP="00134BCA" w:rsidRDefault="00A1612F" w14:paraId="06593804" w14:textId="6B66212A">
      <w:pPr>
        <w:pStyle w:val="BodyTextDSW"/>
        <w:rPr>
          <w:bCs/>
        </w:rPr>
      </w:pPr>
      <w:r>
        <w:t xml:space="preserve">The </w:t>
      </w:r>
      <w:r w:rsidR="00014573">
        <w:t>information collection</w:t>
      </w:r>
      <w:r w:rsidR="005E4207">
        <w:t xml:space="preserve"> requirements covered in this ICR </w:t>
      </w:r>
      <w:r>
        <w:t>will be administered by RCRA-</w:t>
      </w:r>
      <w:r w:rsidR="005E4207">
        <w:t>A</w:t>
      </w:r>
      <w:r>
        <w:t xml:space="preserve">uthorized </w:t>
      </w:r>
      <w:r w:rsidR="005E4207">
        <w:t>S</w:t>
      </w:r>
      <w:r>
        <w:t>tate government regulatory programs</w:t>
      </w:r>
      <w:r w:rsidR="00267110">
        <w:t xml:space="preserve"> and EPA</w:t>
      </w:r>
      <w:r>
        <w:t xml:space="preserve">. </w:t>
      </w:r>
      <w:r w:rsidR="00CC388F">
        <w:t xml:space="preserve">The States </w:t>
      </w:r>
      <w:r w:rsidR="006E63D6">
        <w:t>administer</w:t>
      </w:r>
      <w:r w:rsidR="00CC388F">
        <w:t xml:space="preserve"> the program – thus there is </w:t>
      </w:r>
      <w:r w:rsidR="006E63D6">
        <w:t xml:space="preserve">no Federal burden. </w:t>
      </w:r>
      <w:r w:rsidR="002E1E9D">
        <w:rPr>
          <w:bCs/>
        </w:rPr>
        <w:t xml:space="preserve">The hourly labor wage rates used to estimate costs to agencies were calculated as shown in Table 2. </w:t>
      </w:r>
      <w:r>
        <w:t xml:space="preserve">Unloaded mean hourly labor wage rates for </w:t>
      </w:r>
      <w:r w:rsidR="002E1E9D">
        <w:t>agency</w:t>
      </w:r>
      <w:r>
        <w:t xml:space="preserve"> activities were taken from the </w:t>
      </w:r>
      <w:r w:rsidRPr="00014573" w:rsidR="00014573">
        <w:rPr>
          <w:bCs/>
        </w:rPr>
        <w:t>May 2020 National Industry-Specific Occupational Employment and Wage Estimates</w:t>
      </w:r>
      <w:r w:rsidR="001502AC">
        <w:rPr>
          <w:bCs/>
        </w:rPr>
        <w:t xml:space="preserve"> for </w:t>
      </w:r>
      <w:r w:rsidRPr="001502AC" w:rsidR="001502AC">
        <w:rPr>
          <w:bCs/>
        </w:rPr>
        <w:t xml:space="preserve">Federal, State, and </w:t>
      </w:r>
      <w:r w:rsidR="001502AC">
        <w:rPr>
          <w:bCs/>
        </w:rPr>
        <w:t>l</w:t>
      </w:r>
      <w:r w:rsidRPr="001502AC" w:rsidR="001502AC">
        <w:rPr>
          <w:bCs/>
        </w:rPr>
        <w:t xml:space="preserve">ocal </w:t>
      </w:r>
      <w:r w:rsidR="001502AC">
        <w:rPr>
          <w:bCs/>
        </w:rPr>
        <w:t>g</w:t>
      </w:r>
      <w:r w:rsidRPr="001502AC" w:rsidR="001502AC">
        <w:rPr>
          <w:bCs/>
        </w:rPr>
        <w:t>overnment</w:t>
      </w:r>
      <w:r w:rsidR="00014573">
        <w:rPr>
          <w:rStyle w:val="FootnoteReference"/>
          <w:bCs/>
        </w:rPr>
        <w:footnoteReference w:id="14"/>
      </w:r>
      <w:r w:rsidR="001502AC">
        <w:rPr>
          <w:bCs/>
        </w:rPr>
        <w:t xml:space="preserve"> and adjusted to 2021 dollars using Employment Cost Indices developed by BLS.</w:t>
      </w:r>
      <w:r w:rsidR="001502AC">
        <w:rPr>
          <w:rStyle w:val="FootnoteReference"/>
          <w:bCs/>
        </w:rPr>
        <w:footnoteReference w:id="15"/>
      </w:r>
      <w:r w:rsidR="00134BCA">
        <w:rPr>
          <w:bCs/>
        </w:rPr>
        <w:t xml:space="preserve"> The fringe </w:t>
      </w:r>
      <w:r w:rsidRPr="009C72AB" w:rsidR="00134BCA">
        <w:rPr>
          <w:bCs/>
        </w:rPr>
        <w:t>benefit</w:t>
      </w:r>
      <w:r w:rsidR="00134BCA">
        <w:rPr>
          <w:bCs/>
        </w:rPr>
        <w:t>s</w:t>
      </w:r>
      <w:r w:rsidRPr="009C72AB" w:rsidR="00134BCA">
        <w:rPr>
          <w:bCs/>
        </w:rPr>
        <w:t xml:space="preserve"> cost factor</w:t>
      </w:r>
      <w:r w:rsidR="00134BCA">
        <w:rPr>
          <w:bCs/>
        </w:rPr>
        <w:t xml:space="preserve"> is</w:t>
      </w:r>
      <w:r w:rsidRPr="009C72AB" w:rsidR="00134BCA">
        <w:rPr>
          <w:bCs/>
        </w:rPr>
        <w:t xml:space="preserve"> </w:t>
      </w:r>
      <w:r w:rsidR="00134BCA">
        <w:rPr>
          <w:bCs/>
        </w:rPr>
        <w:t xml:space="preserve">based on </w:t>
      </w:r>
      <w:r w:rsidRPr="009C72AB" w:rsidR="00134BCA">
        <w:rPr>
          <w:bCs/>
        </w:rPr>
        <w:t>Employer Costs for Worker Compensation</w:t>
      </w:r>
      <w:r w:rsidR="00134BCA">
        <w:rPr>
          <w:bCs/>
        </w:rPr>
        <w:t xml:space="preserve"> data published by BLS.</w:t>
      </w:r>
      <w:r w:rsidR="00134BCA">
        <w:rPr>
          <w:rStyle w:val="FootnoteReference"/>
          <w:bCs/>
        </w:rPr>
        <w:footnoteReference w:id="16"/>
      </w:r>
      <w:r w:rsidRPr="009C72AB" w:rsidR="00134BCA">
        <w:rPr>
          <w:bCs/>
        </w:rPr>
        <w:t xml:space="preserve"> </w:t>
      </w:r>
      <w:r w:rsidR="00134BCA">
        <w:rPr>
          <w:bCs/>
        </w:rPr>
        <w:t>The overhead</w:t>
      </w:r>
      <w:r w:rsidRPr="009C72AB" w:rsidR="00134BCA">
        <w:rPr>
          <w:bCs/>
        </w:rPr>
        <w:t xml:space="preserve"> </w:t>
      </w:r>
      <w:r w:rsidR="00134BCA">
        <w:rPr>
          <w:bCs/>
        </w:rPr>
        <w:t xml:space="preserve">cost </w:t>
      </w:r>
      <w:r w:rsidRPr="009C72AB" w:rsidR="00134BCA">
        <w:rPr>
          <w:bCs/>
        </w:rPr>
        <w:t xml:space="preserve">factor </w:t>
      </w:r>
      <w:r w:rsidR="00134BCA">
        <w:rPr>
          <w:bCs/>
        </w:rPr>
        <w:t>was obtained from the previously approved ICR</w:t>
      </w:r>
      <w:r w:rsidRPr="009C72AB" w:rsidR="00134BCA">
        <w:rPr>
          <w:bCs/>
        </w:rPr>
        <w:t>.</w:t>
      </w:r>
    </w:p>
    <w:p w:rsidR="00134BCA" w:rsidP="00134BCA" w:rsidRDefault="00134BCA" w14:paraId="27C6A35B" w14:textId="77777777">
      <w:pPr>
        <w:pStyle w:val="BodyTextDSW"/>
        <w:keepNext/>
        <w:spacing w:after="0"/>
        <w:ind w:firstLine="0"/>
        <w:jc w:val="center"/>
        <w:rPr>
          <w:b/>
          <w:bCs/>
        </w:rPr>
      </w:pPr>
      <w:r w:rsidRPr="001D27C3">
        <w:rPr>
          <w:b/>
          <w:bCs/>
        </w:rPr>
        <w:t xml:space="preserve">Table </w:t>
      </w:r>
      <w:r w:rsidR="00E534BA">
        <w:rPr>
          <w:b/>
          <w:bCs/>
        </w:rPr>
        <w:t>2</w:t>
      </w:r>
    </w:p>
    <w:p w:rsidRPr="001D27C3" w:rsidR="00134BCA" w:rsidP="00134BCA" w:rsidRDefault="00134BCA" w14:paraId="0A75B2DA" w14:textId="2AEACBF5">
      <w:pPr>
        <w:pStyle w:val="BodyTextDSW"/>
        <w:keepNext/>
        <w:ind w:firstLine="0"/>
        <w:jc w:val="center"/>
        <w:rPr>
          <w:b/>
          <w:bCs/>
        </w:rPr>
      </w:pPr>
      <w:r>
        <w:rPr>
          <w:b/>
          <w:bCs/>
        </w:rPr>
        <w:t xml:space="preserve">Derivation of </w:t>
      </w:r>
      <w:r w:rsidR="00DB6233">
        <w:rPr>
          <w:b/>
          <w:bCs/>
        </w:rPr>
        <w:t xml:space="preserve">State </w:t>
      </w:r>
      <w:r>
        <w:rPr>
          <w:b/>
          <w:bCs/>
        </w:rPr>
        <w:t xml:space="preserve">Agency Hourly </w:t>
      </w:r>
      <w:r w:rsidRPr="001D27C3">
        <w:rPr>
          <w:b/>
          <w:bCs/>
        </w:rPr>
        <w:t>Labor</w:t>
      </w:r>
      <w:r>
        <w:rPr>
          <w:b/>
          <w:bCs/>
        </w:rPr>
        <w:t xml:space="preserve"> Wage Rates Used in this ICR</w:t>
      </w:r>
    </w:p>
    <w:tbl>
      <w:tblPr>
        <w:tblW w:w="5971" w:type="pct"/>
        <w:jc w:val="center"/>
        <w:tblCellMar>
          <w:left w:w="0" w:type="dxa"/>
          <w:right w:w="0" w:type="dxa"/>
        </w:tblCellMar>
        <w:tblLook w:val="0000" w:firstRow="0" w:lastRow="0" w:firstColumn="0" w:lastColumn="0" w:noHBand="0" w:noVBand="0"/>
      </w:tblPr>
      <w:tblGrid>
        <w:gridCol w:w="1312"/>
        <w:gridCol w:w="1668"/>
        <w:gridCol w:w="1856"/>
        <w:gridCol w:w="1461"/>
        <w:gridCol w:w="1735"/>
        <w:gridCol w:w="1289"/>
        <w:gridCol w:w="1845"/>
      </w:tblGrid>
      <w:tr w:rsidRPr="004E37EB" w:rsidR="00134BCA" w:rsidTr="00861C26" w14:paraId="5963C2E6" w14:textId="77777777">
        <w:trPr>
          <w:jc w:val="center"/>
        </w:trPr>
        <w:tc>
          <w:tcPr>
            <w:tcW w:w="588" w:type="pct"/>
            <w:tcBorders>
              <w:top w:val="single" w:color="000000" w:sz="4" w:space="0"/>
              <w:left w:val="single" w:color="000000" w:sz="4" w:space="0"/>
            </w:tcBorders>
            <w:shd w:val="clear" w:color="auto" w:fill="EFEFEF"/>
            <w:vAlign w:val="center"/>
          </w:tcPr>
          <w:p w:rsidRPr="001D27C3" w:rsidR="00134BCA" w:rsidP="00861C26" w:rsidRDefault="00134BCA" w14:paraId="605B1209" w14:textId="77777777">
            <w:pPr>
              <w:keepNext/>
              <w:keepLines/>
              <w:snapToGrid w:val="0"/>
              <w:jc w:val="center"/>
              <w:rPr>
                <w:b/>
                <w:bCs/>
                <w:color w:val="000000"/>
                <w:szCs w:val="20"/>
              </w:rPr>
            </w:pPr>
            <w:r w:rsidRPr="001D27C3">
              <w:rPr>
                <w:b/>
                <w:bCs/>
                <w:color w:val="000000"/>
                <w:szCs w:val="20"/>
              </w:rPr>
              <w:t>Labor</w:t>
            </w:r>
            <w:r>
              <w:rPr>
                <w:b/>
                <w:bCs/>
                <w:color w:val="000000"/>
                <w:szCs w:val="20"/>
              </w:rPr>
              <w:br/>
            </w:r>
            <w:r w:rsidRPr="001D27C3">
              <w:rPr>
                <w:b/>
                <w:bCs/>
                <w:color w:val="000000"/>
                <w:szCs w:val="20"/>
              </w:rPr>
              <w:t>Category</w:t>
            </w:r>
          </w:p>
        </w:tc>
        <w:tc>
          <w:tcPr>
            <w:tcW w:w="747" w:type="pct"/>
            <w:tcBorders>
              <w:top w:val="single" w:color="000000" w:sz="4" w:space="0"/>
              <w:left w:val="single" w:color="000000" w:sz="4" w:space="0"/>
            </w:tcBorders>
            <w:shd w:val="clear" w:color="auto" w:fill="EFEFEF"/>
            <w:vAlign w:val="center"/>
          </w:tcPr>
          <w:p w:rsidRPr="001D27C3" w:rsidR="00134BCA" w:rsidP="00861C26" w:rsidRDefault="00134BCA" w14:paraId="20CFCFFE" w14:textId="77777777">
            <w:pPr>
              <w:keepNext/>
              <w:keepLines/>
              <w:snapToGrid w:val="0"/>
              <w:ind w:left="15"/>
              <w:jc w:val="center"/>
              <w:rPr>
                <w:b/>
                <w:bCs/>
                <w:color w:val="000000"/>
                <w:szCs w:val="20"/>
              </w:rPr>
            </w:pPr>
            <w:r w:rsidRPr="001D27C3">
              <w:rPr>
                <w:b/>
                <w:bCs/>
                <w:color w:val="000000"/>
                <w:szCs w:val="20"/>
              </w:rPr>
              <w:t>Standard</w:t>
            </w:r>
            <w:r>
              <w:rPr>
                <w:b/>
                <w:bCs/>
                <w:color w:val="000000"/>
                <w:szCs w:val="20"/>
              </w:rPr>
              <w:br/>
            </w:r>
            <w:r w:rsidRPr="001D27C3">
              <w:rPr>
                <w:b/>
                <w:bCs/>
                <w:color w:val="000000"/>
                <w:szCs w:val="20"/>
              </w:rPr>
              <w:t>Occupational</w:t>
            </w:r>
            <w:r>
              <w:rPr>
                <w:b/>
                <w:bCs/>
                <w:color w:val="000000"/>
                <w:szCs w:val="20"/>
              </w:rPr>
              <w:br/>
            </w:r>
            <w:r w:rsidRPr="001D27C3">
              <w:rPr>
                <w:b/>
                <w:bCs/>
                <w:color w:val="000000"/>
                <w:szCs w:val="20"/>
              </w:rPr>
              <w:t>Code</w:t>
            </w:r>
          </w:p>
        </w:tc>
        <w:tc>
          <w:tcPr>
            <w:tcW w:w="831" w:type="pct"/>
            <w:tcBorders>
              <w:top w:val="single" w:color="000000" w:sz="4" w:space="0"/>
              <w:left w:val="single" w:color="000000" w:sz="4" w:space="0"/>
            </w:tcBorders>
            <w:shd w:val="clear" w:color="auto" w:fill="EFEFEF"/>
            <w:vAlign w:val="center"/>
          </w:tcPr>
          <w:p w:rsidRPr="001D27C3" w:rsidR="00134BCA" w:rsidP="00861C26" w:rsidRDefault="00134BCA" w14:paraId="5F6B0C41" w14:textId="77777777">
            <w:pPr>
              <w:keepNext/>
              <w:keepLines/>
              <w:snapToGrid w:val="0"/>
              <w:ind w:left="15"/>
              <w:jc w:val="center"/>
              <w:rPr>
                <w:b/>
                <w:bCs/>
                <w:color w:val="000000"/>
                <w:szCs w:val="20"/>
              </w:rPr>
            </w:pPr>
            <w:r>
              <w:rPr>
                <w:b/>
                <w:bCs/>
                <w:color w:val="000000"/>
                <w:szCs w:val="20"/>
              </w:rPr>
              <w:t>2020 Unl</w:t>
            </w:r>
            <w:r w:rsidRPr="001D27C3">
              <w:rPr>
                <w:b/>
                <w:bCs/>
                <w:color w:val="000000"/>
                <w:szCs w:val="20"/>
              </w:rPr>
              <w:t>oaded</w:t>
            </w:r>
          </w:p>
          <w:p w:rsidR="00134BCA" w:rsidP="00861C26" w:rsidRDefault="00134BCA" w14:paraId="28C1F04F" w14:textId="77777777">
            <w:pPr>
              <w:keepNext/>
              <w:keepLines/>
              <w:ind w:left="15"/>
              <w:jc w:val="center"/>
              <w:rPr>
                <w:b/>
                <w:bCs/>
                <w:color w:val="000000"/>
                <w:szCs w:val="20"/>
              </w:rPr>
            </w:pPr>
            <w:r>
              <w:rPr>
                <w:b/>
                <w:bCs/>
                <w:color w:val="000000"/>
                <w:szCs w:val="20"/>
              </w:rPr>
              <w:t>A</w:t>
            </w:r>
            <w:r w:rsidRPr="001D27C3">
              <w:rPr>
                <w:b/>
                <w:bCs/>
                <w:color w:val="000000"/>
                <w:szCs w:val="20"/>
              </w:rPr>
              <w:t>verage (</w:t>
            </w:r>
            <w:r>
              <w:rPr>
                <w:b/>
                <w:bCs/>
                <w:color w:val="000000"/>
                <w:szCs w:val="20"/>
              </w:rPr>
              <w:t>M</w:t>
            </w:r>
            <w:r w:rsidRPr="001D27C3">
              <w:rPr>
                <w:b/>
                <w:bCs/>
                <w:color w:val="000000"/>
                <w:szCs w:val="20"/>
              </w:rPr>
              <w:t>ean)</w:t>
            </w:r>
          </w:p>
          <w:p w:rsidRPr="001D27C3" w:rsidR="00134BCA" w:rsidP="00861C26" w:rsidRDefault="00134BCA" w14:paraId="332CC03F" w14:textId="77777777">
            <w:pPr>
              <w:keepNext/>
              <w:keepLines/>
              <w:ind w:left="15"/>
              <w:jc w:val="center"/>
              <w:rPr>
                <w:b/>
                <w:bCs/>
                <w:color w:val="000000"/>
                <w:szCs w:val="20"/>
              </w:rPr>
            </w:pPr>
            <w:r>
              <w:rPr>
                <w:b/>
                <w:bCs/>
                <w:color w:val="000000"/>
                <w:szCs w:val="20"/>
              </w:rPr>
              <w:t>Hourly W</w:t>
            </w:r>
            <w:r w:rsidRPr="001D27C3">
              <w:rPr>
                <w:b/>
                <w:bCs/>
                <w:color w:val="000000"/>
                <w:szCs w:val="20"/>
              </w:rPr>
              <w:t xml:space="preserve">age </w:t>
            </w:r>
            <w:r>
              <w:rPr>
                <w:b/>
                <w:bCs/>
                <w:color w:val="000000"/>
                <w:szCs w:val="20"/>
              </w:rPr>
              <w:t>R</w:t>
            </w:r>
            <w:r w:rsidRPr="001D27C3">
              <w:rPr>
                <w:b/>
                <w:bCs/>
                <w:color w:val="000000"/>
                <w:szCs w:val="20"/>
              </w:rPr>
              <w:t xml:space="preserve">ate </w:t>
            </w:r>
          </w:p>
        </w:tc>
        <w:tc>
          <w:tcPr>
            <w:tcW w:w="654" w:type="pct"/>
            <w:tcBorders>
              <w:top w:val="single" w:color="000000" w:sz="4" w:space="0"/>
              <w:left w:val="single" w:color="000000" w:sz="4" w:space="0"/>
            </w:tcBorders>
            <w:shd w:val="clear" w:color="auto" w:fill="EFEFEF"/>
            <w:vAlign w:val="center"/>
          </w:tcPr>
          <w:p w:rsidR="00134BCA" w:rsidP="00861C26" w:rsidRDefault="00134BCA" w14:paraId="56D7F78B" w14:textId="77777777">
            <w:pPr>
              <w:keepNext/>
              <w:keepLines/>
              <w:snapToGrid w:val="0"/>
              <w:ind w:left="15"/>
              <w:jc w:val="center"/>
              <w:rPr>
                <w:b/>
                <w:bCs/>
                <w:color w:val="000000"/>
                <w:szCs w:val="20"/>
              </w:rPr>
            </w:pPr>
            <w:r>
              <w:rPr>
                <w:b/>
                <w:bCs/>
                <w:color w:val="000000"/>
                <w:szCs w:val="20"/>
              </w:rPr>
              <w:t>2021</w:t>
            </w:r>
          </w:p>
          <w:p w:rsidR="00134BCA" w:rsidP="00861C26" w:rsidRDefault="00134BCA" w14:paraId="3640745A" w14:textId="77777777">
            <w:pPr>
              <w:keepNext/>
              <w:keepLines/>
              <w:snapToGrid w:val="0"/>
              <w:ind w:left="15"/>
              <w:jc w:val="center"/>
              <w:rPr>
                <w:b/>
                <w:bCs/>
                <w:color w:val="000000"/>
                <w:szCs w:val="20"/>
              </w:rPr>
            </w:pPr>
            <w:r>
              <w:rPr>
                <w:b/>
                <w:bCs/>
                <w:color w:val="000000"/>
                <w:szCs w:val="20"/>
              </w:rPr>
              <w:t>Adjustment</w:t>
            </w:r>
          </w:p>
          <w:p w:rsidRPr="001D27C3" w:rsidR="00134BCA" w:rsidP="00861C26" w:rsidRDefault="00134BCA" w14:paraId="61BC66E7" w14:textId="77777777">
            <w:pPr>
              <w:keepNext/>
              <w:keepLines/>
              <w:snapToGrid w:val="0"/>
              <w:ind w:left="15"/>
              <w:jc w:val="center"/>
              <w:rPr>
                <w:b/>
                <w:bCs/>
                <w:color w:val="000000"/>
                <w:szCs w:val="20"/>
              </w:rPr>
            </w:pPr>
            <w:r>
              <w:rPr>
                <w:b/>
                <w:bCs/>
                <w:color w:val="000000"/>
                <w:szCs w:val="20"/>
              </w:rPr>
              <w:t>Factor</w:t>
            </w:r>
          </w:p>
        </w:tc>
        <w:tc>
          <w:tcPr>
            <w:tcW w:w="777" w:type="pct"/>
            <w:tcBorders>
              <w:top w:val="single" w:color="000000" w:sz="4" w:space="0"/>
              <w:left w:val="single" w:color="000000" w:sz="4" w:space="0"/>
            </w:tcBorders>
            <w:shd w:val="clear" w:color="auto" w:fill="EFEFEF"/>
            <w:vAlign w:val="center"/>
          </w:tcPr>
          <w:p w:rsidR="00134BCA" w:rsidP="00861C26" w:rsidRDefault="00134BCA" w14:paraId="13C48D54" w14:textId="77777777">
            <w:pPr>
              <w:keepNext/>
              <w:keepLines/>
              <w:snapToGrid w:val="0"/>
              <w:ind w:left="15"/>
              <w:jc w:val="center"/>
              <w:rPr>
                <w:b/>
                <w:bCs/>
                <w:color w:val="000000"/>
                <w:szCs w:val="20"/>
              </w:rPr>
            </w:pPr>
            <w:r w:rsidRPr="001D27C3">
              <w:rPr>
                <w:b/>
                <w:bCs/>
                <w:color w:val="000000"/>
                <w:szCs w:val="20"/>
              </w:rPr>
              <w:t>Fring</w:t>
            </w:r>
            <w:r>
              <w:rPr>
                <w:b/>
                <w:bCs/>
                <w:color w:val="000000"/>
                <w:szCs w:val="20"/>
              </w:rPr>
              <w:t>e</w:t>
            </w:r>
          </w:p>
          <w:p w:rsidR="00134BCA" w:rsidP="00861C26" w:rsidRDefault="00134BCA" w14:paraId="766E8815" w14:textId="77777777">
            <w:pPr>
              <w:keepNext/>
              <w:keepLines/>
              <w:snapToGrid w:val="0"/>
              <w:ind w:left="15"/>
              <w:jc w:val="center"/>
              <w:rPr>
                <w:b/>
                <w:bCs/>
                <w:color w:val="000000"/>
                <w:szCs w:val="20"/>
              </w:rPr>
            </w:pPr>
            <w:r>
              <w:rPr>
                <w:b/>
                <w:bCs/>
                <w:color w:val="000000"/>
                <w:szCs w:val="20"/>
              </w:rPr>
              <w:t>B</w:t>
            </w:r>
            <w:r w:rsidRPr="001D27C3">
              <w:rPr>
                <w:b/>
                <w:bCs/>
                <w:color w:val="000000"/>
                <w:szCs w:val="20"/>
              </w:rPr>
              <w:t>enefits</w:t>
            </w:r>
          </w:p>
          <w:p w:rsidRPr="001D27C3" w:rsidR="00134BCA" w:rsidP="00861C26" w:rsidRDefault="00134BCA" w14:paraId="09679328" w14:textId="77777777">
            <w:pPr>
              <w:keepNext/>
              <w:keepLines/>
              <w:snapToGrid w:val="0"/>
              <w:ind w:left="15"/>
              <w:jc w:val="center"/>
              <w:rPr>
                <w:b/>
                <w:bCs/>
                <w:color w:val="000000"/>
                <w:szCs w:val="20"/>
              </w:rPr>
            </w:pPr>
            <w:r>
              <w:rPr>
                <w:b/>
                <w:bCs/>
                <w:color w:val="000000"/>
                <w:szCs w:val="20"/>
              </w:rPr>
              <w:t>Cost Factor</w:t>
            </w:r>
          </w:p>
        </w:tc>
        <w:tc>
          <w:tcPr>
            <w:tcW w:w="577" w:type="pct"/>
            <w:tcBorders>
              <w:top w:val="single" w:color="000000" w:sz="4" w:space="0"/>
              <w:left w:val="single" w:color="000000" w:sz="4" w:space="0"/>
            </w:tcBorders>
            <w:shd w:val="clear" w:color="auto" w:fill="EFEFEF"/>
            <w:vAlign w:val="center"/>
          </w:tcPr>
          <w:p w:rsidR="00134BCA" w:rsidP="00861C26" w:rsidRDefault="00134BCA" w14:paraId="65850D04" w14:textId="77777777">
            <w:pPr>
              <w:keepNext/>
              <w:keepLines/>
              <w:snapToGrid w:val="0"/>
              <w:ind w:left="15"/>
              <w:jc w:val="center"/>
              <w:rPr>
                <w:b/>
                <w:bCs/>
                <w:color w:val="000000"/>
                <w:szCs w:val="20"/>
              </w:rPr>
            </w:pPr>
            <w:r>
              <w:rPr>
                <w:b/>
                <w:bCs/>
                <w:color w:val="000000"/>
                <w:szCs w:val="20"/>
              </w:rPr>
              <w:t>Overhead</w:t>
            </w:r>
          </w:p>
          <w:p w:rsidRPr="001D27C3" w:rsidR="00134BCA" w:rsidP="00861C26" w:rsidRDefault="00134BCA" w14:paraId="3C514817" w14:textId="77777777">
            <w:pPr>
              <w:keepNext/>
              <w:keepLines/>
              <w:snapToGrid w:val="0"/>
              <w:ind w:left="15"/>
              <w:jc w:val="center"/>
              <w:rPr>
                <w:b/>
                <w:bCs/>
                <w:color w:val="000000"/>
                <w:szCs w:val="20"/>
              </w:rPr>
            </w:pPr>
            <w:r>
              <w:rPr>
                <w:b/>
                <w:bCs/>
                <w:color w:val="000000"/>
                <w:szCs w:val="20"/>
              </w:rPr>
              <w:t>Cost Factor</w:t>
            </w:r>
          </w:p>
        </w:tc>
        <w:tc>
          <w:tcPr>
            <w:tcW w:w="826" w:type="pct"/>
            <w:tcBorders>
              <w:top w:val="single" w:color="000000" w:sz="4" w:space="0"/>
              <w:left w:val="single" w:color="000000" w:sz="4" w:space="0"/>
              <w:right w:val="single" w:color="000000" w:sz="4" w:space="0"/>
            </w:tcBorders>
            <w:shd w:val="clear" w:color="auto" w:fill="EFEFEF"/>
            <w:vAlign w:val="center"/>
          </w:tcPr>
          <w:p w:rsidRPr="001D27C3" w:rsidR="00134BCA" w:rsidP="00861C26" w:rsidRDefault="00134BCA" w14:paraId="15477AF1" w14:textId="77777777">
            <w:pPr>
              <w:keepNext/>
              <w:keepLines/>
              <w:snapToGrid w:val="0"/>
              <w:ind w:left="15"/>
              <w:jc w:val="center"/>
              <w:rPr>
                <w:b/>
                <w:bCs/>
                <w:color w:val="000000"/>
                <w:szCs w:val="20"/>
              </w:rPr>
            </w:pPr>
            <w:r w:rsidRPr="001D27C3">
              <w:rPr>
                <w:b/>
                <w:bCs/>
                <w:color w:val="000000"/>
                <w:szCs w:val="20"/>
              </w:rPr>
              <w:t>Loaded</w:t>
            </w:r>
          </w:p>
          <w:p w:rsidR="00134BCA" w:rsidP="00861C26" w:rsidRDefault="00134BCA" w14:paraId="72442832" w14:textId="77777777">
            <w:pPr>
              <w:keepNext/>
              <w:keepLines/>
              <w:ind w:left="15"/>
              <w:jc w:val="center"/>
              <w:rPr>
                <w:b/>
                <w:bCs/>
                <w:color w:val="000000"/>
                <w:szCs w:val="20"/>
              </w:rPr>
            </w:pPr>
            <w:r>
              <w:rPr>
                <w:b/>
                <w:bCs/>
                <w:color w:val="000000"/>
                <w:szCs w:val="20"/>
              </w:rPr>
              <w:t>A</w:t>
            </w:r>
            <w:r w:rsidRPr="001D27C3">
              <w:rPr>
                <w:b/>
                <w:bCs/>
                <w:color w:val="000000"/>
                <w:szCs w:val="20"/>
              </w:rPr>
              <w:t xml:space="preserve">verage </w:t>
            </w:r>
            <w:r>
              <w:rPr>
                <w:b/>
                <w:bCs/>
                <w:color w:val="000000"/>
                <w:szCs w:val="20"/>
              </w:rPr>
              <w:t>(Mean)</w:t>
            </w:r>
          </w:p>
          <w:p w:rsidRPr="001D27C3" w:rsidR="00134BCA" w:rsidP="00861C26" w:rsidRDefault="00134BCA" w14:paraId="3BC6EC4B" w14:textId="77777777">
            <w:pPr>
              <w:keepNext/>
              <w:keepLines/>
              <w:jc w:val="center"/>
              <w:rPr>
                <w:b/>
                <w:bCs/>
                <w:color w:val="000000"/>
                <w:szCs w:val="20"/>
              </w:rPr>
            </w:pPr>
            <w:r>
              <w:rPr>
                <w:b/>
                <w:bCs/>
                <w:color w:val="000000"/>
                <w:szCs w:val="20"/>
              </w:rPr>
              <w:t>Hourly W</w:t>
            </w:r>
            <w:r w:rsidRPr="001D27C3">
              <w:rPr>
                <w:b/>
                <w:bCs/>
                <w:color w:val="000000"/>
                <w:szCs w:val="20"/>
              </w:rPr>
              <w:t xml:space="preserve">age </w:t>
            </w:r>
            <w:r>
              <w:rPr>
                <w:b/>
                <w:bCs/>
                <w:color w:val="000000"/>
                <w:szCs w:val="20"/>
              </w:rPr>
              <w:t>R</w:t>
            </w:r>
            <w:r w:rsidRPr="001D27C3">
              <w:rPr>
                <w:b/>
                <w:bCs/>
                <w:color w:val="000000"/>
                <w:szCs w:val="20"/>
              </w:rPr>
              <w:t xml:space="preserve">ate </w:t>
            </w:r>
          </w:p>
        </w:tc>
      </w:tr>
      <w:tr w:rsidRPr="004E37EB" w:rsidR="00134BCA" w:rsidTr="007D40B6" w14:paraId="5E3130ED" w14:textId="77777777">
        <w:trPr>
          <w:trHeight w:val="297"/>
          <w:jc w:val="center"/>
        </w:trPr>
        <w:tc>
          <w:tcPr>
            <w:tcW w:w="588" w:type="pct"/>
            <w:tcBorders>
              <w:left w:val="single" w:color="000000" w:sz="4" w:space="0"/>
              <w:bottom w:val="single" w:color="000000" w:sz="4" w:space="0"/>
            </w:tcBorders>
            <w:shd w:val="clear" w:color="auto" w:fill="EFEFEF"/>
            <w:vAlign w:val="center"/>
          </w:tcPr>
          <w:p w:rsidRPr="001D27C3" w:rsidR="00134BCA" w:rsidP="00861C26" w:rsidRDefault="00134BCA" w14:paraId="6338E099" w14:textId="77777777">
            <w:pPr>
              <w:keepNext/>
              <w:keepLines/>
              <w:snapToGrid w:val="0"/>
              <w:jc w:val="center"/>
              <w:rPr>
                <w:b/>
                <w:bCs/>
                <w:color w:val="000000"/>
                <w:szCs w:val="20"/>
              </w:rPr>
            </w:pPr>
            <w:r w:rsidRPr="001D27C3">
              <w:rPr>
                <w:rFonts w:ascii="Helv" w:hAnsi="Helv" w:cs="Helv"/>
                <w:b/>
                <w:bCs/>
                <w:color w:val="000000"/>
                <w:sz w:val="18"/>
                <w:szCs w:val="18"/>
              </w:rPr>
              <w:t>A</w:t>
            </w:r>
          </w:p>
        </w:tc>
        <w:tc>
          <w:tcPr>
            <w:tcW w:w="747" w:type="pct"/>
            <w:tcBorders>
              <w:left w:val="single" w:color="000000" w:sz="4" w:space="0"/>
              <w:bottom w:val="single" w:color="000000" w:sz="4" w:space="0"/>
            </w:tcBorders>
            <w:shd w:val="clear" w:color="auto" w:fill="EFEFEF"/>
            <w:vAlign w:val="center"/>
          </w:tcPr>
          <w:p w:rsidRPr="001D27C3" w:rsidR="00134BCA" w:rsidP="00861C26" w:rsidRDefault="00134BCA" w14:paraId="180D2EC4" w14:textId="77777777">
            <w:pPr>
              <w:keepNext/>
              <w:keepLines/>
              <w:snapToGrid w:val="0"/>
              <w:ind w:left="15"/>
              <w:jc w:val="center"/>
              <w:rPr>
                <w:b/>
                <w:bCs/>
                <w:color w:val="000000"/>
                <w:szCs w:val="20"/>
              </w:rPr>
            </w:pPr>
            <w:r w:rsidRPr="001D27C3">
              <w:rPr>
                <w:b/>
                <w:bCs/>
                <w:color w:val="000000"/>
                <w:szCs w:val="20"/>
              </w:rPr>
              <w:t>B</w:t>
            </w:r>
          </w:p>
        </w:tc>
        <w:tc>
          <w:tcPr>
            <w:tcW w:w="831" w:type="pct"/>
            <w:tcBorders>
              <w:left w:val="single" w:color="000000" w:sz="4" w:space="0"/>
              <w:bottom w:val="single" w:color="000000" w:sz="4" w:space="0"/>
            </w:tcBorders>
            <w:shd w:val="clear" w:color="auto" w:fill="EFEFEF"/>
            <w:vAlign w:val="center"/>
          </w:tcPr>
          <w:p w:rsidRPr="001D27C3" w:rsidR="00134BCA" w:rsidP="00861C26" w:rsidRDefault="00134BCA" w14:paraId="4CC7DF3B" w14:textId="77777777">
            <w:pPr>
              <w:keepNext/>
              <w:keepLines/>
              <w:snapToGrid w:val="0"/>
              <w:ind w:left="15"/>
              <w:jc w:val="center"/>
              <w:rPr>
                <w:b/>
                <w:bCs/>
                <w:color w:val="000000"/>
                <w:szCs w:val="20"/>
              </w:rPr>
            </w:pPr>
            <w:r w:rsidRPr="001D27C3">
              <w:rPr>
                <w:b/>
                <w:bCs/>
                <w:color w:val="000000"/>
                <w:szCs w:val="20"/>
              </w:rPr>
              <w:t>C</w:t>
            </w:r>
          </w:p>
        </w:tc>
        <w:tc>
          <w:tcPr>
            <w:tcW w:w="654" w:type="pct"/>
            <w:tcBorders>
              <w:left w:val="single" w:color="000000" w:sz="4" w:space="0"/>
              <w:bottom w:val="single" w:color="000000" w:sz="4" w:space="0"/>
            </w:tcBorders>
            <w:shd w:val="clear" w:color="auto" w:fill="EFEFEF"/>
            <w:vAlign w:val="center"/>
          </w:tcPr>
          <w:p w:rsidRPr="001D27C3" w:rsidR="00134BCA" w:rsidP="00861C26" w:rsidRDefault="00134BCA" w14:paraId="2ACBC5F5" w14:textId="77777777">
            <w:pPr>
              <w:keepNext/>
              <w:keepLines/>
              <w:snapToGrid w:val="0"/>
              <w:ind w:left="15"/>
              <w:jc w:val="center"/>
              <w:rPr>
                <w:b/>
                <w:bCs/>
                <w:color w:val="000000"/>
                <w:szCs w:val="20"/>
              </w:rPr>
            </w:pPr>
            <w:r w:rsidRPr="001D27C3">
              <w:rPr>
                <w:b/>
                <w:bCs/>
                <w:color w:val="000000"/>
                <w:szCs w:val="20"/>
              </w:rPr>
              <w:t>D</w:t>
            </w:r>
          </w:p>
        </w:tc>
        <w:tc>
          <w:tcPr>
            <w:tcW w:w="777" w:type="pct"/>
            <w:tcBorders>
              <w:left w:val="single" w:color="000000" w:sz="4" w:space="0"/>
              <w:bottom w:val="single" w:color="000000" w:sz="4" w:space="0"/>
            </w:tcBorders>
            <w:shd w:val="clear" w:color="auto" w:fill="EFEFEF"/>
            <w:vAlign w:val="center"/>
          </w:tcPr>
          <w:p w:rsidRPr="001D27C3" w:rsidR="00134BCA" w:rsidP="00861C26" w:rsidRDefault="00134BCA" w14:paraId="66761494" w14:textId="77777777">
            <w:pPr>
              <w:keepNext/>
              <w:keepLines/>
              <w:snapToGrid w:val="0"/>
              <w:ind w:left="15"/>
              <w:jc w:val="center"/>
              <w:rPr>
                <w:b/>
                <w:bCs/>
                <w:color w:val="000000"/>
                <w:szCs w:val="20"/>
              </w:rPr>
            </w:pPr>
            <w:r w:rsidRPr="001D27C3">
              <w:rPr>
                <w:b/>
                <w:bCs/>
                <w:color w:val="000000"/>
                <w:szCs w:val="20"/>
              </w:rPr>
              <w:t>E</w:t>
            </w:r>
          </w:p>
        </w:tc>
        <w:tc>
          <w:tcPr>
            <w:tcW w:w="577" w:type="pct"/>
            <w:tcBorders>
              <w:left w:val="single" w:color="000000" w:sz="4" w:space="0"/>
              <w:bottom w:val="single" w:color="000000" w:sz="4" w:space="0"/>
            </w:tcBorders>
            <w:shd w:val="clear" w:color="auto" w:fill="EFEFEF"/>
          </w:tcPr>
          <w:p w:rsidRPr="001D27C3" w:rsidR="00134BCA" w:rsidP="00861C26" w:rsidRDefault="00134BCA" w14:paraId="5B006408" w14:textId="77777777">
            <w:pPr>
              <w:keepNext/>
              <w:keepLines/>
              <w:snapToGrid w:val="0"/>
              <w:ind w:left="15"/>
              <w:jc w:val="center"/>
              <w:rPr>
                <w:b/>
                <w:bCs/>
                <w:color w:val="000000"/>
                <w:szCs w:val="20"/>
              </w:rPr>
            </w:pPr>
            <w:r>
              <w:rPr>
                <w:b/>
                <w:bCs/>
                <w:color w:val="000000"/>
                <w:szCs w:val="20"/>
              </w:rPr>
              <w:t>F</w:t>
            </w:r>
          </w:p>
        </w:tc>
        <w:tc>
          <w:tcPr>
            <w:tcW w:w="826" w:type="pct"/>
            <w:tcBorders>
              <w:left w:val="single" w:color="000000" w:sz="4" w:space="0"/>
              <w:bottom w:val="single" w:color="000000" w:sz="4" w:space="0"/>
              <w:right w:val="single" w:color="000000" w:sz="4" w:space="0"/>
            </w:tcBorders>
            <w:shd w:val="clear" w:color="auto" w:fill="EFEFEF"/>
            <w:vAlign w:val="center"/>
          </w:tcPr>
          <w:p w:rsidRPr="001D27C3" w:rsidR="00134BCA" w:rsidP="00861C26" w:rsidRDefault="00134BCA" w14:paraId="390A60D2" w14:textId="77777777">
            <w:pPr>
              <w:keepNext/>
              <w:keepLines/>
              <w:snapToGrid w:val="0"/>
              <w:ind w:left="15"/>
              <w:jc w:val="center"/>
              <w:rPr>
                <w:b/>
                <w:bCs/>
                <w:color w:val="000000"/>
                <w:szCs w:val="20"/>
              </w:rPr>
            </w:pPr>
            <w:r>
              <w:rPr>
                <w:b/>
                <w:bCs/>
                <w:color w:val="000000"/>
                <w:szCs w:val="20"/>
              </w:rPr>
              <w:t xml:space="preserve">G = </w:t>
            </w:r>
            <w:r w:rsidRPr="001D27C3">
              <w:rPr>
                <w:b/>
                <w:bCs/>
                <w:color w:val="000000"/>
                <w:szCs w:val="20"/>
              </w:rPr>
              <w:t>[</w:t>
            </w:r>
            <w:r>
              <w:rPr>
                <w:b/>
                <w:bCs/>
                <w:color w:val="000000"/>
                <w:szCs w:val="20"/>
              </w:rPr>
              <w:t>C</w:t>
            </w:r>
            <w:r w:rsidRPr="001D27C3">
              <w:rPr>
                <w:b/>
                <w:bCs/>
                <w:color w:val="000000"/>
                <w:szCs w:val="20"/>
              </w:rPr>
              <w:t xml:space="preserve"> x D x E</w:t>
            </w:r>
            <w:r>
              <w:rPr>
                <w:b/>
                <w:bCs/>
                <w:color w:val="000000"/>
                <w:szCs w:val="20"/>
              </w:rPr>
              <w:t xml:space="preserve"> x F</w:t>
            </w:r>
            <w:r w:rsidRPr="001D27C3">
              <w:rPr>
                <w:b/>
                <w:bCs/>
                <w:color w:val="000000"/>
                <w:szCs w:val="20"/>
              </w:rPr>
              <w:t>]</w:t>
            </w:r>
          </w:p>
        </w:tc>
      </w:tr>
      <w:tr w:rsidRPr="004E37EB" w:rsidR="00852DDE" w:rsidTr="00861C26" w14:paraId="13F1C66A" w14:textId="77777777">
        <w:trPr>
          <w:trHeight w:val="314"/>
          <w:jc w:val="center"/>
        </w:trPr>
        <w:tc>
          <w:tcPr>
            <w:tcW w:w="588" w:type="pct"/>
            <w:tcBorders>
              <w:top w:val="single" w:color="000000" w:sz="4" w:space="0"/>
              <w:left w:val="single" w:color="000000" w:sz="4" w:space="0"/>
              <w:bottom w:val="single" w:color="000000" w:sz="4" w:space="0"/>
            </w:tcBorders>
            <w:shd w:val="clear" w:color="auto" w:fill="auto"/>
          </w:tcPr>
          <w:p w:rsidRPr="006D28E0" w:rsidR="00852DDE" w:rsidP="00852DDE" w:rsidRDefault="00852DDE" w14:paraId="202EEFBB" w14:textId="77777777">
            <w:pPr>
              <w:keepNext/>
              <w:keepLines/>
              <w:snapToGrid w:val="0"/>
              <w:ind w:left="15"/>
              <w:rPr>
                <w:color w:val="000000"/>
                <w:szCs w:val="20"/>
              </w:rPr>
            </w:pPr>
            <w:r w:rsidRPr="006D28E0">
              <w:rPr>
                <w:color w:val="000000"/>
                <w:szCs w:val="20"/>
              </w:rPr>
              <w:t>1. Legal</w:t>
            </w:r>
          </w:p>
        </w:tc>
        <w:tc>
          <w:tcPr>
            <w:tcW w:w="747" w:type="pct"/>
            <w:tcBorders>
              <w:top w:val="single" w:color="000000" w:sz="4" w:space="0"/>
              <w:left w:val="single" w:color="000000" w:sz="4" w:space="0"/>
              <w:bottom w:val="single" w:color="000000" w:sz="4" w:space="0"/>
            </w:tcBorders>
            <w:shd w:val="clear" w:color="auto" w:fill="auto"/>
            <w:vAlign w:val="center"/>
          </w:tcPr>
          <w:p w:rsidRPr="006D28E0" w:rsidR="00852DDE" w:rsidP="00852DDE" w:rsidRDefault="00852DDE" w14:paraId="43AFA789" w14:textId="77777777">
            <w:pPr>
              <w:keepNext/>
              <w:keepLines/>
              <w:snapToGrid w:val="0"/>
              <w:rPr>
                <w:color w:val="000000"/>
                <w:szCs w:val="20"/>
              </w:rPr>
            </w:pPr>
            <w:r w:rsidRPr="006D28E0">
              <w:rPr>
                <w:color w:val="000000"/>
                <w:szCs w:val="20"/>
              </w:rPr>
              <w:t xml:space="preserve">23-1011 </w:t>
            </w:r>
            <w:r>
              <w:rPr>
                <w:color w:val="000000"/>
                <w:szCs w:val="20"/>
              </w:rPr>
              <w:t>L</w:t>
            </w:r>
            <w:r w:rsidRPr="006D28E0">
              <w:rPr>
                <w:color w:val="000000"/>
                <w:szCs w:val="20"/>
              </w:rPr>
              <w:t>awyers</w:t>
            </w:r>
          </w:p>
        </w:tc>
        <w:tc>
          <w:tcPr>
            <w:tcW w:w="831" w:type="pct"/>
            <w:tcBorders>
              <w:top w:val="single" w:color="000000" w:sz="4" w:space="0"/>
              <w:left w:val="single" w:color="000000" w:sz="4" w:space="0"/>
              <w:bottom w:val="single" w:color="000000" w:sz="4" w:space="0"/>
            </w:tcBorders>
            <w:shd w:val="clear" w:color="auto" w:fill="auto"/>
            <w:vAlign w:val="center"/>
          </w:tcPr>
          <w:p w:rsidRPr="006D28E0" w:rsidR="00852DDE" w:rsidP="00852DDE" w:rsidRDefault="00852DDE" w14:paraId="44BAFB00" w14:textId="77777777">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Cs w:val="20"/>
                <w:highlight w:val="green"/>
              </w:rPr>
            </w:pPr>
            <w:r w:rsidRPr="000A048A">
              <w:rPr>
                <w:color w:val="000000"/>
                <w:szCs w:val="20"/>
              </w:rPr>
              <w:t>$56.06</w:t>
            </w:r>
          </w:p>
        </w:tc>
        <w:tc>
          <w:tcPr>
            <w:tcW w:w="654" w:type="pct"/>
            <w:tcBorders>
              <w:top w:val="single" w:color="000000" w:sz="4" w:space="0"/>
              <w:left w:val="single" w:color="000000" w:sz="4" w:space="0"/>
              <w:bottom w:val="single" w:color="000000" w:sz="4" w:space="0"/>
            </w:tcBorders>
            <w:shd w:val="clear" w:color="auto" w:fill="auto"/>
            <w:vAlign w:val="center"/>
          </w:tcPr>
          <w:p w:rsidRPr="006D28E0" w:rsidR="00852DDE" w:rsidP="00852DDE" w:rsidRDefault="00852DDE" w14:paraId="543C0CBC" w14:textId="77777777">
            <w:pPr>
              <w:keepNext/>
              <w:keepLines/>
              <w:ind w:left="15"/>
              <w:jc w:val="center"/>
              <w:rPr>
                <w:color w:val="000000"/>
                <w:szCs w:val="20"/>
              </w:rPr>
            </w:pPr>
            <w:r>
              <w:rPr>
                <w:color w:val="000000"/>
                <w:szCs w:val="20"/>
              </w:rPr>
              <w:t>1.033</w:t>
            </w:r>
          </w:p>
        </w:tc>
        <w:tc>
          <w:tcPr>
            <w:tcW w:w="777" w:type="pct"/>
            <w:tcBorders>
              <w:top w:val="single" w:color="000000" w:sz="4" w:space="0"/>
              <w:left w:val="single" w:color="000000" w:sz="4" w:space="0"/>
              <w:bottom w:val="single" w:color="000000" w:sz="4" w:space="0"/>
            </w:tcBorders>
            <w:shd w:val="clear" w:color="auto" w:fill="auto"/>
            <w:vAlign w:val="center"/>
          </w:tcPr>
          <w:p w:rsidRPr="006D28E0" w:rsidR="00852DDE" w:rsidP="00852DDE" w:rsidRDefault="00852DDE" w14:paraId="1EC16B0E" w14:textId="77777777">
            <w:pPr>
              <w:keepNext/>
              <w:keepLines/>
              <w:snapToGrid w:val="0"/>
              <w:ind w:left="15"/>
              <w:jc w:val="center"/>
              <w:rPr>
                <w:color w:val="000000"/>
                <w:szCs w:val="20"/>
              </w:rPr>
            </w:pPr>
            <w:r>
              <w:rPr>
                <w:color w:val="000000"/>
                <w:szCs w:val="20"/>
              </w:rPr>
              <w:t>1.383</w:t>
            </w:r>
          </w:p>
        </w:tc>
        <w:tc>
          <w:tcPr>
            <w:tcW w:w="577" w:type="pct"/>
            <w:tcBorders>
              <w:top w:val="single" w:color="000000" w:sz="4" w:space="0"/>
              <w:left w:val="single" w:color="000000" w:sz="4" w:space="0"/>
              <w:bottom w:val="single" w:color="000000" w:sz="4" w:space="0"/>
            </w:tcBorders>
          </w:tcPr>
          <w:p w:rsidRPr="006D28E0" w:rsidR="00852DDE" w:rsidP="00852DDE" w:rsidRDefault="00852DDE" w14:paraId="7D34BAFE" w14:textId="77777777">
            <w:pPr>
              <w:keepNext/>
              <w:keepLines/>
              <w:snapToGrid w:val="0"/>
              <w:ind w:left="15"/>
              <w:jc w:val="center"/>
              <w:rPr>
                <w:bCs/>
                <w:color w:val="000000"/>
                <w:szCs w:val="20"/>
              </w:rPr>
            </w:pPr>
            <w:r>
              <w:rPr>
                <w:bCs/>
                <w:color w:val="000000"/>
                <w:szCs w:val="20"/>
              </w:rPr>
              <w:t>1.336</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D28E0" w:rsidR="00852DDE" w:rsidP="00852DDE" w:rsidRDefault="00852DDE" w14:paraId="6AF6AA57" w14:textId="77777777">
            <w:pPr>
              <w:keepNext/>
              <w:keepLines/>
              <w:snapToGrid w:val="0"/>
              <w:ind w:left="15"/>
              <w:jc w:val="center"/>
              <w:rPr>
                <w:bCs/>
                <w:color w:val="000000"/>
                <w:szCs w:val="20"/>
                <w:highlight w:val="green"/>
              </w:rPr>
            </w:pPr>
            <w:r w:rsidRPr="00852DDE">
              <w:rPr>
                <w:color w:val="000000"/>
                <w:szCs w:val="20"/>
                <w:lang w:eastAsia="en-US"/>
              </w:rPr>
              <w:t xml:space="preserve">$107.00 </w:t>
            </w:r>
          </w:p>
        </w:tc>
      </w:tr>
      <w:tr w:rsidRPr="004E37EB" w:rsidR="00852DDE" w:rsidTr="00861C26" w14:paraId="59F8A516" w14:textId="77777777">
        <w:trPr>
          <w:jc w:val="center"/>
        </w:trPr>
        <w:tc>
          <w:tcPr>
            <w:tcW w:w="588" w:type="pct"/>
            <w:tcBorders>
              <w:top w:val="single" w:color="000000" w:sz="4" w:space="0"/>
              <w:left w:val="single" w:color="000000" w:sz="4" w:space="0"/>
              <w:bottom w:val="single" w:color="000000" w:sz="4" w:space="0"/>
            </w:tcBorders>
            <w:shd w:val="clear" w:color="auto" w:fill="auto"/>
          </w:tcPr>
          <w:p w:rsidRPr="006D28E0" w:rsidR="00852DDE" w:rsidP="00852DDE" w:rsidRDefault="00852DDE" w14:paraId="3D559F42" w14:textId="77777777">
            <w:pPr>
              <w:keepNext/>
              <w:keepLines/>
              <w:snapToGrid w:val="0"/>
              <w:ind w:left="15"/>
              <w:rPr>
                <w:color w:val="000000"/>
                <w:szCs w:val="20"/>
              </w:rPr>
            </w:pPr>
            <w:r w:rsidRPr="006D28E0">
              <w:rPr>
                <w:color w:val="000000"/>
                <w:szCs w:val="20"/>
              </w:rPr>
              <w:t>2. Managerial</w:t>
            </w:r>
          </w:p>
        </w:tc>
        <w:tc>
          <w:tcPr>
            <w:tcW w:w="747" w:type="pct"/>
            <w:tcBorders>
              <w:top w:val="single" w:color="000000" w:sz="4" w:space="0"/>
              <w:left w:val="single" w:color="000000" w:sz="4" w:space="0"/>
              <w:bottom w:val="single" w:color="000000" w:sz="4" w:space="0"/>
            </w:tcBorders>
            <w:shd w:val="clear" w:color="auto" w:fill="auto"/>
            <w:vAlign w:val="center"/>
          </w:tcPr>
          <w:p w:rsidRPr="006D28E0" w:rsidR="00852DDE" w:rsidP="00852DDE" w:rsidRDefault="00852DDE" w14:paraId="18CB7D26" w14:textId="77777777">
            <w:pPr>
              <w:keepNext/>
              <w:keepLines/>
              <w:snapToGrid w:val="0"/>
              <w:ind w:left="15"/>
              <w:rPr>
                <w:color w:val="000000"/>
                <w:szCs w:val="20"/>
              </w:rPr>
            </w:pPr>
            <w:r w:rsidRPr="006D28E0">
              <w:rPr>
                <w:color w:val="000000"/>
                <w:szCs w:val="20"/>
              </w:rPr>
              <w:t>11-</w:t>
            </w:r>
            <w:r>
              <w:rPr>
                <w:color w:val="000000"/>
                <w:szCs w:val="20"/>
              </w:rPr>
              <w:t>0000 Management Occupations</w:t>
            </w:r>
          </w:p>
        </w:tc>
        <w:tc>
          <w:tcPr>
            <w:tcW w:w="831" w:type="pct"/>
            <w:tcBorders>
              <w:top w:val="single" w:color="000000" w:sz="4" w:space="0"/>
              <w:left w:val="single" w:color="000000" w:sz="4" w:space="0"/>
              <w:bottom w:val="single" w:color="000000" w:sz="4" w:space="0"/>
            </w:tcBorders>
            <w:shd w:val="clear" w:color="auto" w:fill="auto"/>
            <w:vAlign w:val="center"/>
          </w:tcPr>
          <w:p w:rsidRPr="006D28E0" w:rsidR="00852DDE" w:rsidP="00852DDE" w:rsidRDefault="00852DDE" w14:paraId="518CC9EF" w14:textId="77777777">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Cs w:val="20"/>
                <w:highlight w:val="green"/>
              </w:rPr>
            </w:pPr>
            <w:r w:rsidRPr="000A048A">
              <w:rPr>
                <w:color w:val="000000"/>
                <w:szCs w:val="20"/>
              </w:rPr>
              <w:t>$51.66</w:t>
            </w:r>
          </w:p>
        </w:tc>
        <w:tc>
          <w:tcPr>
            <w:tcW w:w="654" w:type="pct"/>
            <w:tcBorders>
              <w:top w:val="single" w:color="000000" w:sz="4" w:space="0"/>
              <w:left w:val="single" w:color="000000" w:sz="4" w:space="0"/>
              <w:bottom w:val="single" w:color="000000" w:sz="4" w:space="0"/>
            </w:tcBorders>
            <w:shd w:val="clear" w:color="auto" w:fill="auto"/>
            <w:vAlign w:val="center"/>
          </w:tcPr>
          <w:p w:rsidRPr="006D28E0" w:rsidR="00852DDE" w:rsidP="00852DDE" w:rsidRDefault="00852DDE" w14:paraId="212BB955" w14:textId="77777777">
            <w:pPr>
              <w:keepNext/>
              <w:keepLines/>
              <w:ind w:left="15"/>
              <w:jc w:val="center"/>
              <w:rPr>
                <w:color w:val="000000"/>
                <w:szCs w:val="20"/>
              </w:rPr>
            </w:pPr>
            <w:r>
              <w:rPr>
                <w:color w:val="000000"/>
                <w:szCs w:val="20"/>
              </w:rPr>
              <w:t>1.033</w:t>
            </w:r>
          </w:p>
        </w:tc>
        <w:tc>
          <w:tcPr>
            <w:tcW w:w="777" w:type="pct"/>
            <w:tcBorders>
              <w:top w:val="single" w:color="000000" w:sz="4" w:space="0"/>
              <w:left w:val="single" w:color="000000" w:sz="4" w:space="0"/>
              <w:bottom w:val="single" w:color="000000" w:sz="4" w:space="0"/>
            </w:tcBorders>
            <w:shd w:val="clear" w:color="auto" w:fill="auto"/>
            <w:vAlign w:val="center"/>
          </w:tcPr>
          <w:p w:rsidRPr="006D28E0" w:rsidR="00852DDE" w:rsidP="00852DDE" w:rsidRDefault="00852DDE" w14:paraId="2571ADC0" w14:textId="77777777">
            <w:pPr>
              <w:keepNext/>
              <w:keepLines/>
              <w:snapToGrid w:val="0"/>
              <w:ind w:left="15"/>
              <w:jc w:val="center"/>
              <w:rPr>
                <w:color w:val="000000"/>
                <w:szCs w:val="20"/>
              </w:rPr>
            </w:pPr>
            <w:r>
              <w:rPr>
                <w:color w:val="000000"/>
                <w:szCs w:val="20"/>
              </w:rPr>
              <w:t>1.383</w:t>
            </w:r>
          </w:p>
        </w:tc>
        <w:tc>
          <w:tcPr>
            <w:tcW w:w="577" w:type="pct"/>
            <w:tcBorders>
              <w:top w:val="single" w:color="000000" w:sz="4" w:space="0"/>
              <w:left w:val="single" w:color="000000" w:sz="4" w:space="0"/>
              <w:bottom w:val="single" w:color="000000" w:sz="4" w:space="0"/>
            </w:tcBorders>
          </w:tcPr>
          <w:p w:rsidR="00852DDE" w:rsidP="00852DDE" w:rsidRDefault="00852DDE" w14:paraId="15235740" w14:textId="77777777">
            <w:pPr>
              <w:keepNext/>
              <w:keepLines/>
              <w:snapToGrid w:val="0"/>
              <w:ind w:left="15"/>
              <w:jc w:val="center"/>
              <w:rPr>
                <w:bCs/>
                <w:color w:val="000000"/>
                <w:szCs w:val="20"/>
              </w:rPr>
            </w:pPr>
            <w:r>
              <w:rPr>
                <w:bCs/>
                <w:color w:val="000000"/>
                <w:szCs w:val="20"/>
              </w:rPr>
              <w:t>1.336</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D28E0" w:rsidR="00852DDE" w:rsidP="00852DDE" w:rsidRDefault="00852DDE" w14:paraId="07D6E415" w14:textId="77777777">
            <w:pPr>
              <w:keepNext/>
              <w:keepLines/>
              <w:snapToGrid w:val="0"/>
              <w:ind w:left="15"/>
              <w:jc w:val="center"/>
              <w:rPr>
                <w:bCs/>
                <w:color w:val="000000"/>
                <w:szCs w:val="20"/>
                <w:highlight w:val="green"/>
              </w:rPr>
            </w:pPr>
            <w:r w:rsidRPr="00852DDE">
              <w:rPr>
                <w:color w:val="000000"/>
                <w:szCs w:val="20"/>
                <w:lang w:eastAsia="en-US"/>
              </w:rPr>
              <w:t xml:space="preserve">$98.60 </w:t>
            </w:r>
          </w:p>
        </w:tc>
      </w:tr>
      <w:tr w:rsidRPr="004E37EB" w:rsidR="00852DDE" w:rsidTr="00861C26" w14:paraId="1A0D5E0B" w14:textId="77777777">
        <w:trPr>
          <w:jc w:val="center"/>
        </w:trPr>
        <w:tc>
          <w:tcPr>
            <w:tcW w:w="588" w:type="pct"/>
            <w:tcBorders>
              <w:top w:val="single" w:color="000000" w:sz="4" w:space="0"/>
              <w:left w:val="single" w:color="000000" w:sz="4" w:space="0"/>
              <w:bottom w:val="single" w:color="000000" w:sz="4" w:space="0"/>
            </w:tcBorders>
            <w:shd w:val="clear" w:color="auto" w:fill="auto"/>
          </w:tcPr>
          <w:p w:rsidRPr="006D28E0" w:rsidR="00852DDE" w:rsidP="00852DDE" w:rsidRDefault="00852DDE" w14:paraId="32E22452" w14:textId="77777777">
            <w:pPr>
              <w:keepNext/>
              <w:keepLines/>
              <w:snapToGrid w:val="0"/>
              <w:ind w:left="15"/>
              <w:rPr>
                <w:color w:val="000000"/>
                <w:szCs w:val="20"/>
              </w:rPr>
            </w:pPr>
            <w:r w:rsidRPr="006D28E0">
              <w:rPr>
                <w:color w:val="000000"/>
                <w:szCs w:val="20"/>
              </w:rPr>
              <w:t>3. Technical</w:t>
            </w:r>
          </w:p>
        </w:tc>
        <w:tc>
          <w:tcPr>
            <w:tcW w:w="747" w:type="pct"/>
            <w:tcBorders>
              <w:top w:val="single" w:color="000000" w:sz="4" w:space="0"/>
              <w:left w:val="single" w:color="000000" w:sz="4" w:space="0"/>
              <w:bottom w:val="single" w:color="000000" w:sz="4" w:space="0"/>
            </w:tcBorders>
            <w:shd w:val="clear" w:color="auto" w:fill="auto"/>
            <w:vAlign w:val="center"/>
          </w:tcPr>
          <w:p w:rsidRPr="006D28E0" w:rsidR="00852DDE" w:rsidP="00852DDE" w:rsidRDefault="00852DDE" w14:paraId="289823C6" w14:textId="77777777">
            <w:pPr>
              <w:keepNext/>
              <w:keepLines/>
              <w:snapToGrid w:val="0"/>
              <w:ind w:left="15"/>
              <w:rPr>
                <w:color w:val="000000"/>
                <w:szCs w:val="20"/>
              </w:rPr>
            </w:pPr>
            <w:r w:rsidRPr="006D28E0">
              <w:rPr>
                <w:color w:val="000000"/>
                <w:szCs w:val="20"/>
              </w:rPr>
              <w:t xml:space="preserve">17-2081 </w:t>
            </w:r>
            <w:r>
              <w:rPr>
                <w:color w:val="000000"/>
                <w:szCs w:val="20"/>
              </w:rPr>
              <w:t>E</w:t>
            </w:r>
            <w:r w:rsidRPr="006D28E0">
              <w:rPr>
                <w:color w:val="000000"/>
                <w:szCs w:val="20"/>
              </w:rPr>
              <w:t xml:space="preserve">nvironmental </w:t>
            </w:r>
            <w:r>
              <w:rPr>
                <w:color w:val="000000"/>
                <w:szCs w:val="20"/>
              </w:rPr>
              <w:t>E</w:t>
            </w:r>
            <w:r w:rsidRPr="006D28E0">
              <w:rPr>
                <w:color w:val="000000"/>
                <w:szCs w:val="20"/>
              </w:rPr>
              <w:t>ngineers</w:t>
            </w:r>
          </w:p>
        </w:tc>
        <w:tc>
          <w:tcPr>
            <w:tcW w:w="831" w:type="pct"/>
            <w:tcBorders>
              <w:top w:val="single" w:color="000000" w:sz="4" w:space="0"/>
              <w:left w:val="single" w:color="000000" w:sz="4" w:space="0"/>
              <w:bottom w:val="single" w:color="000000" w:sz="4" w:space="0"/>
            </w:tcBorders>
            <w:shd w:val="clear" w:color="auto" w:fill="auto"/>
            <w:vAlign w:val="center"/>
          </w:tcPr>
          <w:p w:rsidRPr="006D28E0" w:rsidR="00852DDE" w:rsidP="00852DDE" w:rsidRDefault="00852DDE" w14:paraId="6FA12F6E" w14:textId="77777777">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Cs w:val="20"/>
                <w:highlight w:val="green"/>
              </w:rPr>
            </w:pPr>
            <w:r w:rsidRPr="00E534BA">
              <w:rPr>
                <w:color w:val="000000"/>
                <w:szCs w:val="20"/>
              </w:rPr>
              <w:t>$44.58</w:t>
            </w:r>
          </w:p>
        </w:tc>
        <w:tc>
          <w:tcPr>
            <w:tcW w:w="654" w:type="pct"/>
            <w:tcBorders>
              <w:top w:val="single" w:color="000000" w:sz="4" w:space="0"/>
              <w:left w:val="single" w:color="000000" w:sz="4" w:space="0"/>
              <w:bottom w:val="single" w:color="000000" w:sz="4" w:space="0"/>
            </w:tcBorders>
            <w:shd w:val="clear" w:color="auto" w:fill="auto"/>
            <w:vAlign w:val="center"/>
          </w:tcPr>
          <w:p w:rsidRPr="006D28E0" w:rsidR="00852DDE" w:rsidP="00852DDE" w:rsidRDefault="00852DDE" w14:paraId="15A57A43" w14:textId="77777777">
            <w:pPr>
              <w:keepNext/>
              <w:keepLines/>
              <w:ind w:left="15"/>
              <w:jc w:val="center"/>
              <w:rPr>
                <w:color w:val="000000"/>
                <w:szCs w:val="20"/>
              </w:rPr>
            </w:pPr>
            <w:r>
              <w:rPr>
                <w:color w:val="000000"/>
                <w:szCs w:val="20"/>
              </w:rPr>
              <w:t>1.033</w:t>
            </w:r>
          </w:p>
        </w:tc>
        <w:tc>
          <w:tcPr>
            <w:tcW w:w="777" w:type="pct"/>
            <w:tcBorders>
              <w:top w:val="single" w:color="000000" w:sz="4" w:space="0"/>
              <w:left w:val="single" w:color="000000" w:sz="4" w:space="0"/>
              <w:bottom w:val="single" w:color="000000" w:sz="4" w:space="0"/>
            </w:tcBorders>
            <w:shd w:val="clear" w:color="auto" w:fill="auto"/>
            <w:vAlign w:val="center"/>
          </w:tcPr>
          <w:p w:rsidRPr="006D28E0" w:rsidR="00852DDE" w:rsidP="00852DDE" w:rsidRDefault="00852DDE" w14:paraId="08501404" w14:textId="77777777">
            <w:pPr>
              <w:keepNext/>
              <w:keepLines/>
              <w:snapToGrid w:val="0"/>
              <w:ind w:left="15"/>
              <w:jc w:val="center"/>
              <w:rPr>
                <w:color w:val="000000"/>
                <w:szCs w:val="20"/>
              </w:rPr>
            </w:pPr>
            <w:r>
              <w:rPr>
                <w:color w:val="000000"/>
                <w:szCs w:val="20"/>
              </w:rPr>
              <w:t>1.383</w:t>
            </w:r>
          </w:p>
        </w:tc>
        <w:tc>
          <w:tcPr>
            <w:tcW w:w="577" w:type="pct"/>
            <w:tcBorders>
              <w:top w:val="single" w:color="000000" w:sz="4" w:space="0"/>
              <w:left w:val="single" w:color="000000" w:sz="4" w:space="0"/>
              <w:bottom w:val="single" w:color="000000" w:sz="4" w:space="0"/>
            </w:tcBorders>
          </w:tcPr>
          <w:p w:rsidR="00852DDE" w:rsidP="00852DDE" w:rsidRDefault="00852DDE" w14:paraId="031C8F5C" w14:textId="77777777">
            <w:pPr>
              <w:keepNext/>
              <w:keepLines/>
              <w:snapToGrid w:val="0"/>
              <w:ind w:left="15"/>
              <w:jc w:val="center"/>
              <w:rPr>
                <w:bCs/>
                <w:color w:val="000000"/>
                <w:szCs w:val="20"/>
              </w:rPr>
            </w:pPr>
            <w:r>
              <w:rPr>
                <w:bCs/>
                <w:color w:val="000000"/>
                <w:szCs w:val="20"/>
              </w:rPr>
              <w:t>1.336</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D28E0" w:rsidR="00852DDE" w:rsidP="00852DDE" w:rsidRDefault="00852DDE" w14:paraId="79B46ED8" w14:textId="77777777">
            <w:pPr>
              <w:keepNext/>
              <w:keepLines/>
              <w:snapToGrid w:val="0"/>
              <w:ind w:left="15"/>
              <w:jc w:val="center"/>
              <w:rPr>
                <w:bCs/>
                <w:color w:val="000000"/>
                <w:szCs w:val="20"/>
                <w:highlight w:val="green"/>
              </w:rPr>
            </w:pPr>
            <w:r w:rsidRPr="00852DDE">
              <w:rPr>
                <w:color w:val="000000"/>
                <w:szCs w:val="20"/>
                <w:lang w:eastAsia="en-US"/>
              </w:rPr>
              <w:t xml:space="preserve">$85.09 </w:t>
            </w:r>
          </w:p>
        </w:tc>
      </w:tr>
      <w:tr w:rsidRPr="004E37EB" w:rsidR="00852DDE" w:rsidTr="00861C26" w14:paraId="0B54DDF1" w14:textId="77777777">
        <w:trPr>
          <w:jc w:val="center"/>
        </w:trPr>
        <w:tc>
          <w:tcPr>
            <w:tcW w:w="588" w:type="pct"/>
            <w:tcBorders>
              <w:top w:val="single" w:color="000000" w:sz="4" w:space="0"/>
              <w:left w:val="single" w:color="000000" w:sz="4" w:space="0"/>
              <w:bottom w:val="single" w:color="000000" w:sz="4" w:space="0"/>
            </w:tcBorders>
            <w:shd w:val="clear" w:color="auto" w:fill="auto"/>
          </w:tcPr>
          <w:p w:rsidRPr="006D28E0" w:rsidR="00852DDE" w:rsidP="00852DDE" w:rsidRDefault="00852DDE" w14:paraId="0DDD8312" w14:textId="77777777">
            <w:pPr>
              <w:keepNext/>
              <w:keepLines/>
              <w:snapToGrid w:val="0"/>
              <w:ind w:left="15"/>
              <w:rPr>
                <w:color w:val="000000"/>
                <w:szCs w:val="20"/>
              </w:rPr>
            </w:pPr>
            <w:r w:rsidRPr="006D28E0">
              <w:rPr>
                <w:color w:val="000000"/>
                <w:szCs w:val="20"/>
              </w:rPr>
              <w:t>4. Clerical</w:t>
            </w:r>
          </w:p>
        </w:tc>
        <w:tc>
          <w:tcPr>
            <w:tcW w:w="747" w:type="pct"/>
            <w:tcBorders>
              <w:top w:val="single" w:color="000000" w:sz="4" w:space="0"/>
              <w:left w:val="single" w:color="000000" w:sz="4" w:space="0"/>
              <w:bottom w:val="single" w:color="000000" w:sz="4" w:space="0"/>
            </w:tcBorders>
            <w:shd w:val="clear" w:color="auto" w:fill="auto"/>
            <w:vAlign w:val="center"/>
          </w:tcPr>
          <w:p w:rsidRPr="006D28E0" w:rsidR="00852DDE" w:rsidP="00852DDE" w:rsidRDefault="00852DDE" w14:paraId="05FA106D" w14:textId="77777777">
            <w:pPr>
              <w:keepNext/>
              <w:keepLines/>
              <w:snapToGrid w:val="0"/>
              <w:ind w:left="15"/>
              <w:rPr>
                <w:color w:val="000000"/>
                <w:szCs w:val="20"/>
              </w:rPr>
            </w:pPr>
            <w:r w:rsidRPr="006D28E0">
              <w:rPr>
                <w:color w:val="000000"/>
                <w:szCs w:val="20"/>
              </w:rPr>
              <w:t xml:space="preserve">43-9061 </w:t>
            </w:r>
            <w:r>
              <w:rPr>
                <w:color w:val="000000"/>
                <w:szCs w:val="20"/>
              </w:rPr>
              <w:t>O</w:t>
            </w:r>
            <w:r w:rsidRPr="006D28E0">
              <w:rPr>
                <w:color w:val="000000"/>
                <w:szCs w:val="20"/>
              </w:rPr>
              <w:t xml:space="preserve">ffice </w:t>
            </w:r>
            <w:r>
              <w:rPr>
                <w:color w:val="000000"/>
                <w:szCs w:val="20"/>
              </w:rPr>
              <w:t>C</w:t>
            </w:r>
            <w:r w:rsidRPr="006D28E0">
              <w:rPr>
                <w:color w:val="000000"/>
                <w:szCs w:val="20"/>
              </w:rPr>
              <w:t xml:space="preserve">lerks, </w:t>
            </w:r>
            <w:r>
              <w:rPr>
                <w:color w:val="000000"/>
                <w:szCs w:val="20"/>
              </w:rPr>
              <w:t>G</w:t>
            </w:r>
            <w:r w:rsidRPr="006D28E0">
              <w:rPr>
                <w:color w:val="000000"/>
                <w:szCs w:val="20"/>
              </w:rPr>
              <w:t>eneral</w:t>
            </w:r>
          </w:p>
        </w:tc>
        <w:tc>
          <w:tcPr>
            <w:tcW w:w="831" w:type="pct"/>
            <w:tcBorders>
              <w:top w:val="single" w:color="000000" w:sz="4" w:space="0"/>
              <w:left w:val="single" w:color="000000" w:sz="4" w:space="0"/>
              <w:bottom w:val="single" w:color="000000" w:sz="4" w:space="0"/>
            </w:tcBorders>
            <w:shd w:val="clear" w:color="auto" w:fill="auto"/>
            <w:vAlign w:val="center"/>
          </w:tcPr>
          <w:p w:rsidRPr="006D28E0" w:rsidR="00852DDE" w:rsidP="00852DDE" w:rsidRDefault="00852DDE" w14:paraId="6554D2A1" w14:textId="77777777">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Cs w:val="20"/>
                <w:highlight w:val="green"/>
              </w:rPr>
            </w:pPr>
            <w:r w:rsidRPr="00E534BA">
              <w:rPr>
                <w:color w:val="000000"/>
                <w:szCs w:val="20"/>
              </w:rPr>
              <w:t>$18.96</w:t>
            </w:r>
          </w:p>
        </w:tc>
        <w:tc>
          <w:tcPr>
            <w:tcW w:w="654" w:type="pct"/>
            <w:tcBorders>
              <w:top w:val="single" w:color="000000" w:sz="4" w:space="0"/>
              <w:left w:val="single" w:color="000000" w:sz="4" w:space="0"/>
              <w:bottom w:val="single" w:color="000000" w:sz="4" w:space="0"/>
            </w:tcBorders>
            <w:shd w:val="clear" w:color="auto" w:fill="auto"/>
            <w:vAlign w:val="center"/>
          </w:tcPr>
          <w:p w:rsidRPr="006D28E0" w:rsidR="00852DDE" w:rsidP="00852DDE" w:rsidRDefault="00852DDE" w14:paraId="02214AB3" w14:textId="77777777">
            <w:pPr>
              <w:keepNext/>
              <w:keepLines/>
              <w:ind w:left="15"/>
              <w:jc w:val="center"/>
              <w:rPr>
                <w:color w:val="000000"/>
                <w:szCs w:val="20"/>
              </w:rPr>
            </w:pPr>
            <w:r>
              <w:rPr>
                <w:color w:val="000000"/>
                <w:szCs w:val="20"/>
              </w:rPr>
              <w:t>1.033</w:t>
            </w:r>
          </w:p>
        </w:tc>
        <w:tc>
          <w:tcPr>
            <w:tcW w:w="777" w:type="pct"/>
            <w:tcBorders>
              <w:top w:val="single" w:color="000000" w:sz="4" w:space="0"/>
              <w:left w:val="single" w:color="000000" w:sz="4" w:space="0"/>
              <w:bottom w:val="single" w:color="000000" w:sz="4" w:space="0"/>
            </w:tcBorders>
            <w:shd w:val="clear" w:color="auto" w:fill="auto"/>
            <w:vAlign w:val="center"/>
          </w:tcPr>
          <w:p w:rsidRPr="006D28E0" w:rsidR="00852DDE" w:rsidP="00852DDE" w:rsidRDefault="00852DDE" w14:paraId="523B7132" w14:textId="77777777">
            <w:pPr>
              <w:keepNext/>
              <w:keepLines/>
              <w:snapToGrid w:val="0"/>
              <w:ind w:left="15"/>
              <w:jc w:val="center"/>
              <w:rPr>
                <w:color w:val="000000"/>
                <w:szCs w:val="20"/>
              </w:rPr>
            </w:pPr>
            <w:r>
              <w:rPr>
                <w:color w:val="000000"/>
                <w:szCs w:val="20"/>
              </w:rPr>
              <w:t>1.383</w:t>
            </w:r>
          </w:p>
        </w:tc>
        <w:tc>
          <w:tcPr>
            <w:tcW w:w="577" w:type="pct"/>
            <w:tcBorders>
              <w:top w:val="single" w:color="000000" w:sz="4" w:space="0"/>
              <w:left w:val="single" w:color="000000" w:sz="4" w:space="0"/>
              <w:bottom w:val="single" w:color="000000" w:sz="4" w:space="0"/>
            </w:tcBorders>
          </w:tcPr>
          <w:p w:rsidR="00852DDE" w:rsidP="00852DDE" w:rsidRDefault="00852DDE" w14:paraId="4D725F89" w14:textId="77777777">
            <w:pPr>
              <w:keepNext/>
              <w:keepLines/>
              <w:snapToGrid w:val="0"/>
              <w:ind w:left="15"/>
              <w:jc w:val="center"/>
              <w:rPr>
                <w:bCs/>
                <w:color w:val="000000"/>
                <w:szCs w:val="20"/>
              </w:rPr>
            </w:pPr>
            <w:r>
              <w:rPr>
                <w:bCs/>
                <w:color w:val="000000"/>
                <w:szCs w:val="20"/>
              </w:rPr>
              <w:t>1.336</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6D28E0" w:rsidR="00852DDE" w:rsidP="00852DDE" w:rsidRDefault="00852DDE" w14:paraId="37C7E97B" w14:textId="77777777">
            <w:pPr>
              <w:keepNext/>
              <w:keepLines/>
              <w:snapToGrid w:val="0"/>
              <w:ind w:left="15"/>
              <w:jc w:val="center"/>
              <w:rPr>
                <w:bCs/>
                <w:color w:val="000000"/>
                <w:szCs w:val="20"/>
                <w:highlight w:val="green"/>
              </w:rPr>
            </w:pPr>
            <w:r w:rsidRPr="00852DDE">
              <w:rPr>
                <w:color w:val="000000"/>
                <w:szCs w:val="20"/>
                <w:lang w:eastAsia="en-US"/>
              </w:rPr>
              <w:t xml:space="preserve">$36.19 </w:t>
            </w:r>
          </w:p>
        </w:tc>
      </w:tr>
    </w:tbl>
    <w:p w:rsidR="00852DDE" w:rsidRDefault="00852DDE" w14:paraId="51D31A40" w14:textId="77777777">
      <w:pPr>
        <w:pStyle w:val="BodyTextDSW"/>
        <w:ind w:firstLine="0"/>
      </w:pPr>
    </w:p>
    <w:p w:rsidR="00A1612F" w:rsidRDefault="00F37EB9" w14:paraId="2AA2EFD4" w14:textId="77777777">
      <w:pPr>
        <w:pStyle w:val="Heading2"/>
        <w:ind w:left="1440" w:hanging="720"/>
      </w:pPr>
      <w:bookmarkStart w:name="__RefHeading__204_717627523" w:id="52"/>
      <w:bookmarkStart w:name="_Toc404344924" w:id="53"/>
      <w:bookmarkEnd w:id="52"/>
      <w:r>
        <w:br w:type="page"/>
      </w:r>
      <w:r w:rsidR="00A1612F">
        <w:lastRenderedPageBreak/>
        <w:t>6(d)</w:t>
      </w:r>
      <w:r w:rsidR="00A1612F">
        <w:tab/>
        <w:t>Estimating the Annual Respondent Universe and Total Hour and Cost Burden</w:t>
      </w:r>
      <w:bookmarkEnd w:id="53"/>
    </w:p>
    <w:p w:rsidR="00A1612F" w:rsidRDefault="00A1612F" w14:paraId="47D7650B" w14:textId="77777777">
      <w:pPr>
        <w:pStyle w:val="BodyTextDSW"/>
      </w:pPr>
      <w:r>
        <w:t>In this section, EPA first describes the estimat</w:t>
      </w:r>
      <w:r w:rsidR="00B2553D">
        <w:t>ed respondent universe</w:t>
      </w:r>
      <w:r>
        <w:t xml:space="preserve">. EPA then estimates the annual burden to respondents </w:t>
      </w:r>
      <w:r w:rsidR="00B2553D">
        <w:t>for the DSW paperwork requirements.</w:t>
      </w:r>
    </w:p>
    <w:p w:rsidR="00A1612F" w:rsidRDefault="00A1612F" w14:paraId="2D4C2659" w14:textId="77777777">
      <w:pPr>
        <w:pStyle w:val="BodyTextDSW"/>
        <w:rPr>
          <w:b/>
        </w:rPr>
      </w:pPr>
      <w:r>
        <w:rPr>
          <w:b/>
        </w:rPr>
        <w:t>(1)</w:t>
      </w:r>
      <w:r>
        <w:rPr>
          <w:b/>
        </w:rPr>
        <w:tab/>
        <w:t>Respondent Universe</w:t>
      </w:r>
    </w:p>
    <w:p w:rsidR="00F86C86" w:rsidRDefault="00A1612F" w14:paraId="5D67E585" w14:textId="77777777">
      <w:pPr>
        <w:pStyle w:val="BodyTextDSW"/>
      </w:pPr>
      <w:r>
        <w:t>Following are the primary respondent universe estimates used in this ICR:</w:t>
      </w:r>
    </w:p>
    <w:p w:rsidR="00CD33A9" w:rsidRDefault="00CD33A9" w14:paraId="75DCFA34" w14:textId="77777777">
      <w:pPr>
        <w:pStyle w:val="BodyTextDSW"/>
        <w:numPr>
          <w:ilvl w:val="0"/>
          <w:numId w:val="3"/>
        </w:numPr>
      </w:pPr>
      <w:r>
        <w:rPr>
          <w:b/>
          <w:bCs/>
          <w:i/>
          <w:iCs/>
        </w:rPr>
        <w:t>7</w:t>
      </w:r>
      <w:r w:rsidR="00337568">
        <w:rPr>
          <w:b/>
          <w:bCs/>
          <w:i/>
          <w:iCs/>
        </w:rPr>
        <w:t>9</w:t>
      </w:r>
      <w:r w:rsidRPr="007D40B6">
        <w:rPr>
          <w:b/>
          <w:bCs/>
          <w:i/>
          <w:iCs/>
        </w:rPr>
        <w:t xml:space="preserve"> </w:t>
      </w:r>
      <w:r w:rsidRPr="007D40B6" w:rsidR="00A1612F">
        <w:rPr>
          <w:b/>
          <w:bCs/>
          <w:i/>
          <w:iCs/>
        </w:rPr>
        <w:t xml:space="preserve">generators will participate in the </w:t>
      </w:r>
      <w:r w:rsidRPr="007D40B6" w:rsidR="004F5F7F">
        <w:rPr>
          <w:b/>
          <w:bCs/>
          <w:i/>
          <w:iCs/>
        </w:rPr>
        <w:t xml:space="preserve">transfer-based </w:t>
      </w:r>
      <w:r w:rsidRPr="007D40B6" w:rsidR="00BD79F1">
        <w:rPr>
          <w:b/>
          <w:bCs/>
          <w:i/>
          <w:iCs/>
        </w:rPr>
        <w:t xml:space="preserve">exclusion </w:t>
      </w:r>
      <w:r w:rsidRPr="007D40B6">
        <w:rPr>
          <w:b/>
          <w:bCs/>
          <w:i/>
          <w:iCs/>
        </w:rPr>
        <w:t xml:space="preserve">at </w:t>
      </w:r>
      <w:r w:rsidRPr="007D40B6" w:rsidR="00BD79F1">
        <w:rPr>
          <w:b/>
          <w:bCs/>
          <w:i/>
          <w:iCs/>
        </w:rPr>
        <w:t>40 CFR 261.4(a)(24)</w:t>
      </w:r>
      <w:r>
        <w:rPr>
          <w:b/>
          <w:bCs/>
          <w:i/>
          <w:iCs/>
        </w:rPr>
        <w:t xml:space="preserve"> each year</w:t>
      </w:r>
      <w:r w:rsidRPr="007D40B6" w:rsidR="00A1612F">
        <w:rPr>
          <w:b/>
          <w:bCs/>
          <w:i/>
          <w:iCs/>
        </w:rPr>
        <w:t>.</w:t>
      </w:r>
      <w:r w:rsidR="00A1612F">
        <w:t xml:space="preserve"> </w:t>
      </w:r>
      <w:r>
        <w:t xml:space="preserve">This estimate is based on the </w:t>
      </w:r>
      <w:r w:rsidR="00685370">
        <w:t xml:space="preserve">average annual </w:t>
      </w:r>
      <w:r>
        <w:t xml:space="preserve">number of generators that, </w:t>
      </w:r>
      <w:r w:rsidR="00685370">
        <w:t>during the 2018-2020 period</w:t>
      </w:r>
      <w:r>
        <w:t xml:space="preserve">, </w:t>
      </w:r>
      <w:r w:rsidR="00685370">
        <w:t xml:space="preserve">submitted a Site Identification (ID) Form notifying </w:t>
      </w:r>
      <w:r>
        <w:t xml:space="preserve">that they </w:t>
      </w:r>
      <w:r w:rsidR="00685370">
        <w:t>transfer</w:t>
      </w:r>
      <w:r>
        <w:t xml:space="preserve"> hazardous secondary material offsite to a permitted or verified site</w:t>
      </w:r>
      <w:r w:rsidR="001A5EED">
        <w:t xml:space="preserve"> (Facility Code 06 in the Hazardous Secondary Material Addendum to the Site ID Form)</w:t>
      </w:r>
      <w:r w:rsidR="00A76536">
        <w:t>.</w:t>
      </w:r>
    </w:p>
    <w:p w:rsidRPr="00863109" w:rsidR="00865C7F" w:rsidP="00E5754E" w:rsidRDefault="003A2141" w14:paraId="39778365" w14:textId="77777777">
      <w:pPr>
        <w:pStyle w:val="BodyTextDSW"/>
        <w:numPr>
          <w:ilvl w:val="0"/>
          <w:numId w:val="3"/>
        </w:numPr>
      </w:pPr>
      <w:r w:rsidRPr="00863109">
        <w:rPr>
          <w:b/>
          <w:bCs/>
          <w:i/>
          <w:iCs/>
        </w:rPr>
        <w:t>13</w:t>
      </w:r>
      <w:r w:rsidRPr="00863109" w:rsidR="00603508">
        <w:rPr>
          <w:b/>
          <w:bCs/>
          <w:i/>
          <w:iCs/>
        </w:rPr>
        <w:t xml:space="preserve"> generators will need to conduct a reasonable efforts environmental audit for reclaimers </w:t>
      </w:r>
      <w:r w:rsidRPr="00863109" w:rsidR="003C7134">
        <w:rPr>
          <w:b/>
          <w:bCs/>
          <w:i/>
          <w:iCs/>
        </w:rPr>
        <w:t>and intermediate facilities</w:t>
      </w:r>
      <w:r w:rsidRPr="008E1762" w:rsidR="005C2ED9">
        <w:rPr>
          <w:b/>
          <w:bCs/>
          <w:i/>
          <w:iCs/>
        </w:rPr>
        <w:t xml:space="preserve"> each year</w:t>
      </w:r>
      <w:r w:rsidRPr="008E1762" w:rsidR="00603508">
        <w:rPr>
          <w:b/>
          <w:bCs/>
          <w:i/>
          <w:iCs/>
        </w:rPr>
        <w:t>.</w:t>
      </w:r>
      <w:r w:rsidRPr="008E1762" w:rsidR="00603508">
        <w:t xml:space="preserve"> This </w:t>
      </w:r>
      <w:r w:rsidRPr="008E1762" w:rsidR="00865C7F">
        <w:t xml:space="preserve">estimate is based on the average annual number of </w:t>
      </w:r>
      <w:r w:rsidRPr="00863109" w:rsidR="00603508">
        <w:t>facilities</w:t>
      </w:r>
      <w:r w:rsidRPr="00863109" w:rsidR="00865C7F">
        <w:t xml:space="preserve"> that, during the 2018-2020 period, submitted a Site ID Form notifying that they are </w:t>
      </w:r>
      <w:r w:rsidRPr="00863109" w:rsidR="00945F8A">
        <w:t xml:space="preserve">reclaimers </w:t>
      </w:r>
      <w:r w:rsidRPr="00863109" w:rsidR="003C7134">
        <w:t xml:space="preserve">or intermediate facilities </w:t>
      </w:r>
      <w:r w:rsidRPr="00863109" w:rsidR="00945F8A">
        <w:t>receiving hazardous secondary material from off-site</w:t>
      </w:r>
      <w:r w:rsidRPr="00863109" w:rsidR="003C7134">
        <w:t xml:space="preserve"> (Facility Codes 07 and 08 in the Hazardous Secondary Material Addendum to the Site ID Form).</w:t>
      </w:r>
    </w:p>
    <w:p w:rsidRPr="00603508" w:rsidR="00696176" w:rsidP="00603508" w:rsidRDefault="005C2ED9" w14:paraId="38F87FC0" w14:textId="77777777">
      <w:pPr>
        <w:pStyle w:val="BodyTextDSW"/>
        <w:numPr>
          <w:ilvl w:val="0"/>
          <w:numId w:val="3"/>
        </w:numPr>
      </w:pPr>
      <w:r>
        <w:rPr>
          <w:b/>
          <w:bCs/>
          <w:i/>
          <w:iCs/>
        </w:rPr>
        <w:t>110</w:t>
      </w:r>
      <w:r w:rsidRPr="007D40B6" w:rsidR="00A1612F">
        <w:rPr>
          <w:b/>
          <w:bCs/>
          <w:i/>
          <w:iCs/>
        </w:rPr>
        <w:t xml:space="preserve"> generators will generate and reclaim their hazardous secondary materials </w:t>
      </w:r>
      <w:r>
        <w:rPr>
          <w:b/>
          <w:bCs/>
          <w:i/>
          <w:iCs/>
        </w:rPr>
        <w:t xml:space="preserve">at facilities </w:t>
      </w:r>
      <w:r w:rsidRPr="007D40B6" w:rsidR="00A1612F">
        <w:rPr>
          <w:b/>
          <w:bCs/>
          <w:i/>
          <w:iCs/>
        </w:rPr>
        <w:t xml:space="preserve">under the control of the generator </w:t>
      </w:r>
      <w:r>
        <w:rPr>
          <w:b/>
          <w:bCs/>
          <w:i/>
          <w:iCs/>
        </w:rPr>
        <w:t xml:space="preserve">per the exclusion at </w:t>
      </w:r>
      <w:r w:rsidRPr="007D40B6" w:rsidR="00BB7998">
        <w:rPr>
          <w:b/>
          <w:bCs/>
          <w:i/>
          <w:iCs/>
        </w:rPr>
        <w:t xml:space="preserve">40 CFR </w:t>
      </w:r>
      <w:r w:rsidRPr="007D40B6" w:rsidR="00A1612F">
        <w:rPr>
          <w:b/>
          <w:bCs/>
          <w:i/>
          <w:iCs/>
        </w:rPr>
        <w:t>261.4(a)(23)</w:t>
      </w:r>
      <w:r>
        <w:rPr>
          <w:b/>
          <w:bCs/>
          <w:i/>
          <w:iCs/>
        </w:rPr>
        <w:t xml:space="preserve"> each year</w:t>
      </w:r>
      <w:r w:rsidRPr="007D40B6" w:rsidR="00A1612F">
        <w:rPr>
          <w:b/>
          <w:bCs/>
          <w:i/>
          <w:iCs/>
        </w:rPr>
        <w:t>.</w:t>
      </w:r>
      <w:r w:rsidR="00A1612F">
        <w:t xml:space="preserve"> </w:t>
      </w:r>
      <w:r w:rsidR="004F5F7F">
        <w:t xml:space="preserve">This </w:t>
      </w:r>
      <w:r>
        <w:t xml:space="preserve">estimate is based on the average annual number of facilities that, during the 2018-2020 period, submitted a Site ID Form notifying </w:t>
      </w:r>
      <w:r w:rsidR="000B5A4A">
        <w:t xml:space="preserve">as </w:t>
      </w:r>
      <w:r w:rsidR="003E12BC">
        <w:t>hazardous secondary material generator</w:t>
      </w:r>
      <w:r w:rsidR="000B5A4A">
        <w:t>s</w:t>
      </w:r>
      <w:r w:rsidR="003E12BC">
        <w:t xml:space="preserve"> that participated in the generator-controlled exclusion. </w:t>
      </w:r>
      <w:r w:rsidRPr="00B05180" w:rsidR="00A1612F">
        <w:t>Of these generators,</w:t>
      </w:r>
      <w:r w:rsidR="003E12BC">
        <w:t xml:space="preserve"> </w:t>
      </w:r>
      <w:r>
        <w:t xml:space="preserve">109 </w:t>
      </w:r>
      <w:r w:rsidR="003E12BC">
        <w:t>reported that they reclaimed hazardous secondary material on-site or transferred hazardous secondary material to a reclaimer within the same company</w:t>
      </w:r>
      <w:r w:rsidR="0039438D">
        <w:t xml:space="preserve"> (Facility Codes 01 and 02 in the Hazardous Secondary Material Addendum to the Site ID Form)</w:t>
      </w:r>
      <w:r w:rsidR="000B5A4A">
        <w:t>, and</w:t>
      </w:r>
      <w:r w:rsidR="003E12BC">
        <w:t xml:space="preserve"> </w:t>
      </w:r>
      <w:r>
        <w:t>1</w:t>
      </w:r>
      <w:r w:rsidR="003E12BC">
        <w:t xml:space="preserve"> reported that they managed hazardous secondary material under a tolling arrangement</w:t>
      </w:r>
      <w:r w:rsidR="0039438D">
        <w:t xml:space="preserve"> (Facility Code 05 in the Hazardous Secondary Material Addendum to the Site ID Form)</w:t>
      </w:r>
      <w:r w:rsidR="003E12BC">
        <w:t>.</w:t>
      </w:r>
      <w:r w:rsidR="00603508">
        <w:t xml:space="preserve"> </w:t>
      </w:r>
    </w:p>
    <w:p w:rsidR="00740219" w:rsidP="00740219" w:rsidRDefault="00F2385F" w14:paraId="3049BC39" w14:textId="77777777">
      <w:pPr>
        <w:pStyle w:val="BodyTextDSW"/>
        <w:numPr>
          <w:ilvl w:val="0"/>
          <w:numId w:val="3"/>
        </w:numPr>
      </w:pPr>
      <w:r w:rsidRPr="00643DC5">
        <w:rPr>
          <w:b/>
          <w:bCs/>
          <w:i/>
          <w:iCs/>
        </w:rPr>
        <w:t>2</w:t>
      </w:r>
      <w:r w:rsidRPr="00643DC5" w:rsidR="00B85116">
        <w:rPr>
          <w:b/>
          <w:bCs/>
          <w:i/>
          <w:iCs/>
        </w:rPr>
        <w:t xml:space="preserve"> facilities</w:t>
      </w:r>
      <w:r w:rsidRPr="00643DC5" w:rsidDel="00870508" w:rsidR="00B85116">
        <w:rPr>
          <w:b/>
          <w:bCs/>
          <w:i/>
          <w:iCs/>
        </w:rPr>
        <w:t xml:space="preserve"> </w:t>
      </w:r>
      <w:r w:rsidRPr="00643DC5" w:rsidR="00B85116">
        <w:rPr>
          <w:b/>
          <w:bCs/>
          <w:i/>
          <w:iCs/>
        </w:rPr>
        <w:t xml:space="preserve">will re-submit a variance petition annually </w:t>
      </w:r>
      <w:r w:rsidR="008A46A6">
        <w:rPr>
          <w:b/>
          <w:bCs/>
          <w:i/>
          <w:iCs/>
        </w:rPr>
        <w:t>due to</w:t>
      </w:r>
      <w:r w:rsidRPr="00643DC5" w:rsidR="00B85116">
        <w:rPr>
          <w:b/>
          <w:bCs/>
          <w:i/>
          <w:iCs/>
        </w:rPr>
        <w:t xml:space="preserve"> the provision at 40</w:t>
      </w:r>
      <w:r w:rsidR="008A46A6">
        <w:rPr>
          <w:b/>
          <w:bCs/>
          <w:i/>
          <w:iCs/>
        </w:rPr>
        <w:t> </w:t>
      </w:r>
      <w:r w:rsidRPr="00863109" w:rsidR="00B85116">
        <w:rPr>
          <w:b/>
          <w:bCs/>
          <w:i/>
          <w:iCs/>
        </w:rPr>
        <w:t>CFR 260.33(d) that variances and non-waste determinations should be effective for a fixed term not to exceed ten years.</w:t>
      </w:r>
      <w:r w:rsidRPr="009D4845" w:rsidR="00B85116">
        <w:t xml:space="preserve"> </w:t>
      </w:r>
      <w:r w:rsidR="00740219">
        <w:t xml:space="preserve">This estimate is based on the average annual number of facilities that, during the 2018-2020 period, submitted a Site ID Form notifying that they operate under an approved variance </w:t>
      </w:r>
      <w:r w:rsidR="00EB54D4">
        <w:t>for: (1) materials that are accumulated speculatively, (2) materials that are reclaimed and then reused within the original production process, (3) materials that are partially reclaimed, (4) materials transferred for reclamation and managed at</w:t>
      </w:r>
      <w:r w:rsidR="008E1762">
        <w:t xml:space="preserve"> </w:t>
      </w:r>
      <w:r w:rsidR="00EB54D4">
        <w:t xml:space="preserve">a verified reclamation site, (5) materials transferred and managed at an intermediate site, and (6) materials imported and managed at a verified reclamation site </w:t>
      </w:r>
      <w:r w:rsidR="00740219">
        <w:t>(Facility Codes 14, 15, 16, 17, 18, and 19 in the Hazardous Secondary Material Addendum to the Site ID Form).</w:t>
      </w:r>
    </w:p>
    <w:p w:rsidR="00631723" w:rsidP="00631723" w:rsidRDefault="00631723" w14:paraId="17C69786" w14:textId="77777777">
      <w:pPr>
        <w:pStyle w:val="BodyTextDSW"/>
        <w:numPr>
          <w:ilvl w:val="0"/>
          <w:numId w:val="3"/>
        </w:numPr>
      </w:pPr>
      <w:r w:rsidRPr="00643DC5">
        <w:rPr>
          <w:b/>
          <w:bCs/>
          <w:i/>
          <w:iCs/>
        </w:rPr>
        <w:lastRenderedPageBreak/>
        <w:t xml:space="preserve">4 variance re-applications will be submitted annually </w:t>
      </w:r>
      <w:r w:rsidRPr="00643DC5" w:rsidR="004111F3">
        <w:rPr>
          <w:b/>
          <w:bCs/>
          <w:i/>
          <w:iCs/>
        </w:rPr>
        <w:t>due to</w:t>
      </w:r>
      <w:r w:rsidRPr="00643DC5">
        <w:rPr>
          <w:b/>
          <w:bCs/>
          <w:i/>
          <w:iCs/>
        </w:rPr>
        <w:t xml:space="preserve"> the requirement to re-apply for a variance if material no longer meets relevant variance criteria. </w:t>
      </w:r>
      <w:r w:rsidRPr="009D4845">
        <w:t xml:space="preserve">This </w:t>
      </w:r>
      <w:r w:rsidR="004111F3">
        <w:t>assumption was taken from the previously approved ICR</w:t>
      </w:r>
      <w:r w:rsidRPr="009D4845">
        <w:t xml:space="preserve">. </w:t>
      </w:r>
    </w:p>
    <w:p w:rsidRPr="005A2D75" w:rsidR="001F3F6B" w:rsidP="001F3F6B" w:rsidRDefault="001F3F6B" w14:paraId="38AFA7BA" w14:textId="77777777">
      <w:pPr>
        <w:pStyle w:val="BodyTextDSW"/>
        <w:numPr>
          <w:ilvl w:val="0"/>
          <w:numId w:val="3"/>
        </w:numPr>
      </w:pPr>
      <w:r>
        <w:rPr>
          <w:b/>
          <w:bCs/>
          <w:i/>
          <w:iCs/>
        </w:rPr>
        <w:t>0</w:t>
      </w:r>
      <w:r w:rsidRPr="00643DC5">
        <w:rPr>
          <w:b/>
          <w:bCs/>
          <w:i/>
          <w:iCs/>
        </w:rPr>
        <w:t xml:space="preserve"> facilit</w:t>
      </w:r>
      <w:r>
        <w:rPr>
          <w:b/>
          <w:bCs/>
          <w:i/>
          <w:iCs/>
        </w:rPr>
        <w:t>ies</w:t>
      </w:r>
      <w:r w:rsidRPr="005A2D75" w:rsidDel="00870508">
        <w:rPr>
          <w:b/>
          <w:bCs/>
          <w:i/>
          <w:iCs/>
        </w:rPr>
        <w:t xml:space="preserve"> </w:t>
      </w:r>
      <w:r w:rsidRPr="005A2D75">
        <w:rPr>
          <w:b/>
          <w:bCs/>
          <w:i/>
          <w:iCs/>
        </w:rPr>
        <w:t>will re-submit a non-waste determination petition annually due to the provision at 40 CFR 260.33(d) that non-waste determinations should be effective for a fixed term not to exceed ten years.</w:t>
      </w:r>
      <w:r w:rsidRPr="005A2D75">
        <w:t xml:space="preserve"> </w:t>
      </w:r>
      <w:r>
        <w:t>D</w:t>
      </w:r>
      <w:r w:rsidRPr="00643DC5">
        <w:t xml:space="preserve">uring the 2018-2020 period, </w:t>
      </w:r>
      <w:r>
        <w:t xml:space="preserve">no facility submitted a </w:t>
      </w:r>
      <w:r w:rsidRPr="005A2D75">
        <w:t xml:space="preserve">Site ID Form notifying that </w:t>
      </w:r>
      <w:r>
        <w:t xml:space="preserve">they were operating under: </w:t>
      </w:r>
      <w:r w:rsidRPr="005A2D75">
        <w:t>(1)</w:t>
      </w:r>
      <w:r>
        <w:t> </w:t>
      </w:r>
      <w:r w:rsidRPr="005A2D75">
        <w:t>a non-waste determination for hazardous secondary material reclaimed in a continuous industrial process or (2) a non-waste determination for hazardous secondary material that is indistinguishable from a product or intermediate (Facility Codes 20 and 21 in the Hazardous Secondary Material Addendum to the Site ID Form).</w:t>
      </w:r>
      <w:r>
        <w:t xml:space="preserve"> </w:t>
      </w:r>
    </w:p>
    <w:p w:rsidR="006608C4" w:rsidP="00643DC5" w:rsidRDefault="0010712A" w14:paraId="45C25F50" w14:textId="77777777">
      <w:pPr>
        <w:pStyle w:val="BodyTextDSW"/>
        <w:numPr>
          <w:ilvl w:val="0"/>
          <w:numId w:val="3"/>
        </w:numPr>
      </w:pPr>
      <w:r w:rsidRPr="00643DC5">
        <w:rPr>
          <w:b/>
          <w:bCs/>
          <w:i/>
          <w:iCs/>
        </w:rPr>
        <w:t>1 generator</w:t>
      </w:r>
      <w:r w:rsidRPr="00643DC5" w:rsidR="00A1612F">
        <w:rPr>
          <w:b/>
          <w:bCs/>
          <w:i/>
          <w:iCs/>
        </w:rPr>
        <w:t xml:space="preserve"> will generate and reclaim their hazardous secondary materials under the remanufacturing exclusion.</w:t>
      </w:r>
      <w:r w:rsidRPr="007C173A" w:rsidR="00A1612F">
        <w:t xml:space="preserve"> </w:t>
      </w:r>
      <w:r w:rsidR="006E1981">
        <w:t>D</w:t>
      </w:r>
      <w:r w:rsidRPr="005A2D75" w:rsidR="006E1981">
        <w:t xml:space="preserve">uring the 2018-2020 period, </w:t>
      </w:r>
      <w:r w:rsidR="006E1981">
        <w:t xml:space="preserve">no facility submitted a </w:t>
      </w:r>
      <w:r w:rsidRPr="005A2D75" w:rsidR="006E1981">
        <w:t xml:space="preserve">Site ID Form notifying that </w:t>
      </w:r>
      <w:r w:rsidR="006E1981">
        <w:t xml:space="preserve">they were </w:t>
      </w:r>
      <w:r w:rsidRPr="003A2795" w:rsidR="003A2795">
        <w:t>remanufactur</w:t>
      </w:r>
      <w:r w:rsidR="003A2795">
        <w:t>ing</w:t>
      </w:r>
      <w:r w:rsidRPr="003A2795" w:rsidR="003A2795">
        <w:t xml:space="preserve"> hazardous secondary material received from an off-site domestic hazardous secondary material generator</w:t>
      </w:r>
      <w:r w:rsidR="003A2795">
        <w:t xml:space="preserve"> </w:t>
      </w:r>
      <w:r w:rsidRPr="005A2D75" w:rsidR="006E1981">
        <w:t xml:space="preserve">(Facility Code </w:t>
      </w:r>
      <w:r w:rsidR="003A2795">
        <w:t>13</w:t>
      </w:r>
      <w:r w:rsidRPr="005A2D75" w:rsidR="006E1981">
        <w:t xml:space="preserve"> in the Hazardous Secondary Material Addendum to the Site ID Form).</w:t>
      </w:r>
      <w:r w:rsidR="006E1981">
        <w:t xml:space="preserve"> </w:t>
      </w:r>
      <w:r w:rsidR="003A2795">
        <w:t>However, for purposes of this analysis, EPA assumes that 1 generator will generate and reclaim their hazardous secondary material under the remanufacturing exclusion.</w:t>
      </w:r>
    </w:p>
    <w:p w:rsidR="00EA2A86" w:rsidP="006608C4" w:rsidRDefault="004C1270" w14:paraId="4CCF6A9C" w14:textId="77777777">
      <w:pPr>
        <w:pStyle w:val="BodyTextDSW"/>
        <w:numPr>
          <w:ilvl w:val="0"/>
          <w:numId w:val="3"/>
        </w:numPr>
      </w:pPr>
      <w:r w:rsidRPr="00643DC5">
        <w:rPr>
          <w:b/>
          <w:bCs/>
          <w:i/>
          <w:iCs/>
        </w:rPr>
        <w:t>4,800</w:t>
      </w:r>
      <w:r w:rsidRPr="00643DC5" w:rsidR="00A1612F">
        <w:rPr>
          <w:b/>
          <w:bCs/>
          <w:i/>
          <w:iCs/>
        </w:rPr>
        <w:t xml:space="preserve"> </w:t>
      </w:r>
      <w:r w:rsidRPr="00643DC5" w:rsidR="00B34FAC">
        <w:rPr>
          <w:b/>
          <w:bCs/>
          <w:i/>
          <w:iCs/>
        </w:rPr>
        <w:t xml:space="preserve">facilities </w:t>
      </w:r>
      <w:r w:rsidRPr="00643DC5" w:rsidR="00A1612F">
        <w:rPr>
          <w:b/>
          <w:bCs/>
          <w:i/>
          <w:iCs/>
        </w:rPr>
        <w:t xml:space="preserve">utilize the pre-2008 </w:t>
      </w:r>
      <w:r w:rsidRPr="00643DC5" w:rsidR="005D0FD9">
        <w:rPr>
          <w:b/>
          <w:bCs/>
          <w:i/>
          <w:iCs/>
        </w:rPr>
        <w:t xml:space="preserve">DSW </w:t>
      </w:r>
      <w:r w:rsidRPr="00643DC5" w:rsidR="00A1612F">
        <w:rPr>
          <w:b/>
          <w:bCs/>
          <w:i/>
          <w:iCs/>
        </w:rPr>
        <w:t>exclusions.</w:t>
      </w:r>
      <w:r w:rsidRPr="00192B76" w:rsidR="00A1612F">
        <w:t xml:space="preserve"> </w:t>
      </w:r>
      <w:r>
        <w:t xml:space="preserve">This estimate is based on the </w:t>
      </w:r>
      <w:r w:rsidR="00A01760">
        <w:t>number of facilities in the following sectors that reported recycling</w:t>
      </w:r>
      <w:r w:rsidR="006608C4">
        <w:rPr>
          <w:rStyle w:val="FootnoteReference"/>
        </w:rPr>
        <w:footnoteReference w:id="17"/>
      </w:r>
      <w:r w:rsidR="00A01760">
        <w:t xml:space="preserve"> hazardous wastes in 2019:</w:t>
      </w:r>
      <w:r w:rsidR="006608C4">
        <w:t xml:space="preserve"> </w:t>
      </w:r>
      <w:r w:rsidR="00A01760">
        <w:t>Agriculture, Forestry, Fishing and Hunting (NAICS code 11)</w:t>
      </w:r>
      <w:r w:rsidR="006608C4">
        <w:t xml:space="preserve">; </w:t>
      </w:r>
      <w:r w:rsidR="00A01760">
        <w:t>Mining (NAICS code 21)</w:t>
      </w:r>
      <w:r w:rsidR="006608C4">
        <w:t xml:space="preserve">; </w:t>
      </w:r>
      <w:r w:rsidR="00A01760">
        <w:t>Utilities (NAICS code 22)</w:t>
      </w:r>
      <w:r w:rsidR="006608C4">
        <w:t xml:space="preserve">; </w:t>
      </w:r>
      <w:r w:rsidR="00A01760">
        <w:t>Construction (NAICS code 23)</w:t>
      </w:r>
      <w:r w:rsidR="006608C4">
        <w:t xml:space="preserve">; </w:t>
      </w:r>
      <w:r w:rsidR="00A01760">
        <w:t>Manufacturing (NAICS code 31)</w:t>
      </w:r>
      <w:r w:rsidR="006608C4">
        <w:t xml:space="preserve">; </w:t>
      </w:r>
      <w:r w:rsidR="00A01760">
        <w:t>Manufacturing (NAICS code 32)</w:t>
      </w:r>
      <w:r w:rsidR="006608C4">
        <w:t xml:space="preserve">; </w:t>
      </w:r>
      <w:r w:rsidR="00A01760">
        <w:t>Manufacturing (NAICS code 33)</w:t>
      </w:r>
      <w:r w:rsidR="006608C4">
        <w:t xml:space="preserve">; </w:t>
      </w:r>
      <w:r w:rsidR="00A01760">
        <w:t>Wholesale Trade</w:t>
      </w:r>
      <w:r w:rsidR="004123A1">
        <w:t xml:space="preserve"> (NAICS code 42)</w:t>
      </w:r>
      <w:r w:rsidR="006608C4">
        <w:t xml:space="preserve">; </w:t>
      </w:r>
      <w:r w:rsidR="00A01760">
        <w:t>Retail Trade</w:t>
      </w:r>
      <w:r w:rsidR="004123A1">
        <w:t xml:space="preserve"> (NAICS codes 44 and 45)</w:t>
      </w:r>
      <w:r w:rsidR="006608C4">
        <w:t xml:space="preserve">; </w:t>
      </w:r>
      <w:r w:rsidR="00A01760">
        <w:t>Transportation</w:t>
      </w:r>
      <w:r w:rsidR="004123A1">
        <w:t xml:space="preserve"> (NAICS codes 48 and 49)</w:t>
      </w:r>
      <w:r w:rsidR="006608C4">
        <w:t xml:space="preserve">; </w:t>
      </w:r>
      <w:r w:rsidR="00A01760">
        <w:t>Information</w:t>
      </w:r>
      <w:r w:rsidR="004123A1">
        <w:t xml:space="preserve"> (NAICS code 51)</w:t>
      </w:r>
      <w:r w:rsidR="006608C4">
        <w:t xml:space="preserve">; </w:t>
      </w:r>
      <w:r w:rsidR="00A01760">
        <w:t>Finance and Insurance</w:t>
      </w:r>
      <w:r w:rsidR="004123A1">
        <w:t xml:space="preserve"> (NAICS code 52)</w:t>
      </w:r>
      <w:r w:rsidR="006608C4">
        <w:t xml:space="preserve">; </w:t>
      </w:r>
      <w:r w:rsidR="00A01760">
        <w:t>Real Estate, Rental, Leasing</w:t>
      </w:r>
      <w:r w:rsidR="004123A1">
        <w:t xml:space="preserve"> (NAICS code 53)</w:t>
      </w:r>
      <w:r w:rsidR="006608C4">
        <w:t xml:space="preserve">; </w:t>
      </w:r>
      <w:r w:rsidR="00A01760">
        <w:t>Professional, Scientific &amp; Technical Services</w:t>
      </w:r>
      <w:r w:rsidR="004123A1">
        <w:t xml:space="preserve"> (NAICS code 54)</w:t>
      </w:r>
      <w:r w:rsidR="006608C4">
        <w:t xml:space="preserve">; </w:t>
      </w:r>
      <w:r w:rsidR="00A01760">
        <w:t>Management of Companies and Enterprises</w:t>
      </w:r>
      <w:r w:rsidR="004123A1">
        <w:t xml:space="preserve"> (NAICS code 55)</w:t>
      </w:r>
      <w:r w:rsidR="006608C4">
        <w:t xml:space="preserve">; </w:t>
      </w:r>
      <w:r w:rsidR="00A01760">
        <w:t>Administrative Support, Waste Management &amp; Remediation</w:t>
      </w:r>
      <w:r w:rsidR="004123A1">
        <w:t xml:space="preserve"> (NAICS code 56)</w:t>
      </w:r>
      <w:r w:rsidR="006608C4">
        <w:t xml:space="preserve">; </w:t>
      </w:r>
      <w:r w:rsidRPr="003A3AE0" w:rsidR="003A3AE0">
        <w:t>Educational Services</w:t>
      </w:r>
      <w:r w:rsidR="003A3AE0">
        <w:t xml:space="preserve"> (NAICS code 61)</w:t>
      </w:r>
      <w:r w:rsidR="006608C4">
        <w:t xml:space="preserve">; </w:t>
      </w:r>
      <w:r w:rsidRPr="003A3AE0" w:rsidR="003A3AE0">
        <w:t>Health Care, Social Assistance</w:t>
      </w:r>
      <w:r w:rsidR="003A3AE0">
        <w:t xml:space="preserve"> (NAICS code 62)</w:t>
      </w:r>
      <w:r w:rsidR="006608C4">
        <w:t xml:space="preserve">; </w:t>
      </w:r>
      <w:r w:rsidRPr="00EA2A86" w:rsidR="00EA2A86">
        <w:t>Arts, Entertainment, Recreation</w:t>
      </w:r>
      <w:r w:rsidR="00EA2A86">
        <w:t xml:space="preserve"> (NAICS code 71)</w:t>
      </w:r>
      <w:r w:rsidR="006608C4">
        <w:t xml:space="preserve">; </w:t>
      </w:r>
      <w:r w:rsidRPr="00EA2A86" w:rsidR="00EA2A86">
        <w:t>Accommod</w:t>
      </w:r>
      <w:r w:rsidR="006608C4">
        <w:t>ation</w:t>
      </w:r>
      <w:r w:rsidRPr="00EA2A86" w:rsidR="00EA2A86">
        <w:t xml:space="preserve"> &amp; Food Services</w:t>
      </w:r>
      <w:r w:rsidR="00EA2A86">
        <w:t xml:space="preserve"> (NAICS code 72)</w:t>
      </w:r>
      <w:r w:rsidR="006608C4">
        <w:t xml:space="preserve">; </w:t>
      </w:r>
      <w:r w:rsidRPr="00EA2A86" w:rsidR="00EA2A86">
        <w:t>Other Services</w:t>
      </w:r>
      <w:r w:rsidR="00EA2A86">
        <w:t xml:space="preserve"> (NAICS code 81)</w:t>
      </w:r>
      <w:r w:rsidR="006608C4">
        <w:t xml:space="preserve">; and </w:t>
      </w:r>
      <w:r w:rsidRPr="00EA2A86" w:rsidR="00EA2A86">
        <w:t>Public Administration</w:t>
      </w:r>
      <w:r w:rsidR="00EA2A86">
        <w:t xml:space="preserve"> (NAICS code 92)</w:t>
      </w:r>
      <w:r w:rsidR="006608C4">
        <w:t>.</w:t>
      </w:r>
    </w:p>
    <w:p w:rsidR="00944022" w:rsidP="006608C4" w:rsidRDefault="00944022" w14:paraId="4C39C7C0" w14:textId="77777777">
      <w:pPr>
        <w:pStyle w:val="BodyTextDSW"/>
        <w:numPr>
          <w:ilvl w:val="0"/>
          <w:numId w:val="3"/>
        </w:numPr>
      </w:pPr>
      <w:r w:rsidRPr="006608C4">
        <w:rPr>
          <w:b/>
          <w:bCs/>
          <w:i/>
          <w:iCs/>
        </w:rPr>
        <w:t xml:space="preserve">2 </w:t>
      </w:r>
      <w:r w:rsidRPr="006608C4" w:rsidR="0022240F">
        <w:rPr>
          <w:b/>
          <w:bCs/>
          <w:i/>
          <w:iCs/>
        </w:rPr>
        <w:t>exporters will complete a notification to EPA prior to shipment, keep copies of notifications and Acknowledgements of Consent to Export, and submit an annual report.</w:t>
      </w:r>
      <w:r w:rsidRPr="00D14418" w:rsidR="00AB424B">
        <w:t xml:space="preserve"> </w:t>
      </w:r>
      <w:r>
        <w:t xml:space="preserve">This estimate is based on the average annual number of facilities that, during the 2018-2020 period, submitted a Site ID Form notifying that they </w:t>
      </w:r>
      <w:r w:rsidRPr="00944022">
        <w:t xml:space="preserve">generate and plan to send hazardous secondary material for reclamation to a foreign entity for reclamation and will meet the notice and consent procedures in </w:t>
      </w:r>
      <w:r w:rsidRPr="00944022">
        <w:lastRenderedPageBreak/>
        <w:t>40 CFR 261.4(a)(25)</w:t>
      </w:r>
      <w:r>
        <w:t xml:space="preserve"> (Facility Code 09 in the Hazardous Secondary Material Addendum to the Site ID Form).</w:t>
      </w:r>
    </w:p>
    <w:p w:rsidR="00A1612F" w:rsidRDefault="00A1612F" w14:paraId="5FB0EBDC" w14:textId="77777777">
      <w:pPr>
        <w:widowControl/>
        <w:ind w:firstLine="720"/>
        <w:rPr>
          <w:b/>
          <w:bCs/>
          <w:sz w:val="24"/>
        </w:rPr>
      </w:pPr>
      <w:r>
        <w:rPr>
          <w:b/>
          <w:bCs/>
          <w:sz w:val="24"/>
        </w:rPr>
        <w:t>(2)</w:t>
      </w:r>
      <w:r>
        <w:rPr>
          <w:b/>
          <w:bCs/>
          <w:sz w:val="24"/>
        </w:rPr>
        <w:tab/>
        <w:t xml:space="preserve">Annual Respondent Burden </w:t>
      </w:r>
    </w:p>
    <w:p w:rsidR="00A1612F" w:rsidRDefault="00A1612F" w14:paraId="21555255" w14:textId="77777777">
      <w:pPr>
        <w:rPr>
          <w:bCs/>
        </w:rPr>
      </w:pPr>
    </w:p>
    <w:p w:rsidR="00B54101" w:rsidP="008E1762" w:rsidRDefault="004C2035" w14:paraId="61444092" w14:textId="77777777">
      <w:pPr>
        <w:pStyle w:val="BodyTextDSW"/>
      </w:pPr>
      <w:r>
        <w:t>A</w:t>
      </w:r>
      <w:r w:rsidR="00B54101">
        <w:t>ssumptions</w:t>
      </w:r>
      <w:r>
        <w:t xml:space="preserve"> used in the development of annual respondent burden</w:t>
      </w:r>
      <w:r w:rsidR="00B54101">
        <w:t xml:space="preserve"> </w:t>
      </w:r>
      <w:r>
        <w:t xml:space="preserve">and costs </w:t>
      </w:r>
      <w:r w:rsidR="00B54101">
        <w:t>are reflected in Exhibit 1.</w:t>
      </w:r>
    </w:p>
    <w:p w:rsidR="00686678" w:rsidP="008E1762" w:rsidRDefault="00686678" w14:paraId="126E1C00" w14:textId="77777777">
      <w:pPr>
        <w:pStyle w:val="BodyTextDSW"/>
        <w:keepNext/>
        <w:numPr>
          <w:ilvl w:val="0"/>
          <w:numId w:val="49"/>
        </w:numPr>
        <w:spacing w:before="240" w:after="240"/>
        <w:rPr>
          <w:b/>
        </w:rPr>
      </w:pPr>
      <w:r w:rsidRPr="002F7A09">
        <w:rPr>
          <w:b/>
        </w:rPr>
        <w:t>Off-site Transfer Based Exclusion for Hazardous Secondary Material</w:t>
      </w:r>
    </w:p>
    <w:p w:rsidR="00A1612F" w:rsidRDefault="00A1612F" w14:paraId="2534E240" w14:textId="77777777">
      <w:pPr>
        <w:pStyle w:val="BodyTextDSW"/>
      </w:pPr>
      <w:r w:rsidRPr="00684657">
        <w:t xml:space="preserve">EPA estimates that </w:t>
      </w:r>
      <w:r w:rsidR="00EE63B5">
        <w:t>7</w:t>
      </w:r>
      <w:r w:rsidR="00337568">
        <w:t>9</w:t>
      </w:r>
      <w:r w:rsidRPr="00684657" w:rsidR="00EE63B5">
        <w:t xml:space="preserve"> </w:t>
      </w:r>
      <w:r w:rsidRPr="00684657">
        <w:t xml:space="preserve">generators will be eligible for the </w:t>
      </w:r>
      <w:r w:rsidRPr="00684657" w:rsidR="00684657">
        <w:t>transfer-based</w:t>
      </w:r>
      <w:r w:rsidRPr="00684657" w:rsidR="00BD79F1">
        <w:t xml:space="preserve"> exclusion</w:t>
      </w:r>
      <w:r w:rsidRPr="00684657">
        <w:t xml:space="preserve"> during the period covered by this ICR. </w:t>
      </w:r>
    </w:p>
    <w:p w:rsidR="00BD79F1" w:rsidP="00D900B5" w:rsidRDefault="00BD79F1" w14:paraId="78D87834" w14:textId="77777777">
      <w:pPr>
        <w:pStyle w:val="BodyTextDSW"/>
        <w:keepNext/>
        <w:numPr>
          <w:ilvl w:val="0"/>
          <w:numId w:val="50"/>
        </w:numPr>
        <w:spacing w:before="240" w:after="240"/>
        <w:rPr>
          <w:b/>
          <w:bCs/>
        </w:rPr>
      </w:pPr>
      <w:r w:rsidRPr="00D900B5">
        <w:rPr>
          <w:b/>
          <w:bCs/>
        </w:rPr>
        <w:t>Emergency Preparedness and Response</w:t>
      </w:r>
    </w:p>
    <w:p w:rsidRPr="00D900B5" w:rsidR="00805BB1" w:rsidP="008E1762" w:rsidRDefault="00805BB1" w14:paraId="2388639F" w14:textId="77777777">
      <w:pPr>
        <w:pStyle w:val="BodyTextDSW"/>
        <w:keepNext/>
        <w:tabs>
          <w:tab w:val="left" w:pos="540"/>
        </w:tabs>
        <w:spacing w:before="240" w:after="240"/>
        <w:ind w:firstLine="0"/>
        <w:rPr>
          <w:b/>
          <w:bCs/>
        </w:rPr>
      </w:pPr>
      <w:r>
        <w:rPr>
          <w:b/>
          <w:bCs/>
        </w:rPr>
        <w:t>(a1)</w:t>
      </w:r>
      <w:r>
        <w:rPr>
          <w:b/>
          <w:bCs/>
        </w:rPr>
        <w:tab/>
      </w:r>
      <w:r w:rsidRPr="00805BB1">
        <w:rPr>
          <w:b/>
          <w:bCs/>
        </w:rPr>
        <w:t>Generators that accumulate less than 6,000 kg of hazardous secondary material</w:t>
      </w:r>
    </w:p>
    <w:p w:rsidRPr="00D900B5" w:rsidR="00BD79F1" w:rsidP="00D900B5" w:rsidRDefault="00BD79F1" w14:paraId="426280A3" w14:textId="77777777">
      <w:pPr>
        <w:spacing w:before="240" w:after="240"/>
        <w:ind w:left="720"/>
        <w:rPr>
          <w:sz w:val="24"/>
          <w:u w:val="single"/>
        </w:rPr>
      </w:pPr>
      <w:r w:rsidRPr="00D900B5">
        <w:rPr>
          <w:sz w:val="24"/>
          <w:u w:val="single"/>
        </w:rPr>
        <w:t>Personnel Training</w:t>
      </w:r>
    </w:p>
    <w:p w:rsidR="00BD79F1" w:rsidP="008E1762" w:rsidRDefault="004338F0" w14:paraId="57EDB7B1" w14:textId="77777777">
      <w:pPr>
        <w:pStyle w:val="BodyTextDSW"/>
      </w:pPr>
      <w:r>
        <w:t>T</w:t>
      </w:r>
      <w:r w:rsidR="00364593">
        <w:t xml:space="preserve">he </w:t>
      </w:r>
      <w:r w:rsidR="007C4C8B">
        <w:t>RCRA DSW requirements include</w:t>
      </w:r>
      <w:r w:rsidRPr="00364593" w:rsidR="00364593">
        <w:t xml:space="preserve"> training requirements for </w:t>
      </w:r>
      <w:r w:rsidR="00282693">
        <w:t xml:space="preserve">generators </w:t>
      </w:r>
      <w:r w:rsidRPr="00364593" w:rsidR="00364593">
        <w:t>who are accumulating less than 6,000 kg</w:t>
      </w:r>
      <w:r w:rsidRPr="00707261" w:rsidR="00707261">
        <w:t xml:space="preserve"> </w:t>
      </w:r>
      <w:r w:rsidR="00D92240">
        <w:t xml:space="preserve">of hazardous secondary material </w:t>
      </w:r>
      <w:r w:rsidR="00707261">
        <w:t xml:space="preserve">and recycling them under the DSW </w:t>
      </w:r>
      <w:r w:rsidR="00282693">
        <w:t>transfer</w:t>
      </w:r>
      <w:r w:rsidR="007C4C8B">
        <w:t>-based exclusion</w:t>
      </w:r>
      <w:r w:rsidR="00364593">
        <w:t xml:space="preserve">. </w:t>
      </w:r>
      <w:r w:rsidR="00F12F7B">
        <w:rPr>
          <w:bCs/>
          <w:iCs/>
        </w:rPr>
        <w:t>Of the</w:t>
      </w:r>
      <w:r w:rsidRPr="007A514F" w:rsidR="007A514F">
        <w:rPr>
          <w:bCs/>
          <w:iCs/>
        </w:rPr>
        <w:t xml:space="preserve"> total of </w:t>
      </w:r>
      <w:r w:rsidR="00E63A11">
        <w:rPr>
          <w:bCs/>
          <w:iCs/>
        </w:rPr>
        <w:t>7</w:t>
      </w:r>
      <w:r w:rsidR="00F22891">
        <w:rPr>
          <w:bCs/>
          <w:iCs/>
        </w:rPr>
        <w:t>9</w:t>
      </w:r>
      <w:r w:rsidRPr="007A514F" w:rsidR="00E63A11">
        <w:rPr>
          <w:bCs/>
          <w:iCs/>
        </w:rPr>
        <w:t xml:space="preserve"> </w:t>
      </w:r>
      <w:r w:rsidR="00F12F7B">
        <w:rPr>
          <w:bCs/>
          <w:iCs/>
        </w:rPr>
        <w:t>generators</w:t>
      </w:r>
      <w:r w:rsidRPr="007A514F" w:rsidR="00F12F7B">
        <w:rPr>
          <w:bCs/>
          <w:iCs/>
        </w:rPr>
        <w:t xml:space="preserve"> </w:t>
      </w:r>
      <w:r w:rsidRPr="007A514F" w:rsidR="007A514F">
        <w:rPr>
          <w:bCs/>
          <w:iCs/>
        </w:rPr>
        <w:t xml:space="preserve">participating in </w:t>
      </w:r>
      <w:r w:rsidR="007A514F">
        <w:rPr>
          <w:bCs/>
          <w:iCs/>
        </w:rPr>
        <w:t xml:space="preserve">the </w:t>
      </w:r>
      <w:r w:rsidR="007C4C8B">
        <w:rPr>
          <w:bCs/>
          <w:iCs/>
        </w:rPr>
        <w:t>transfer-based</w:t>
      </w:r>
      <w:r w:rsidR="007A514F">
        <w:rPr>
          <w:bCs/>
          <w:iCs/>
        </w:rPr>
        <w:t xml:space="preserve"> exclusion, </w:t>
      </w:r>
      <w:r w:rsidRPr="007A514F" w:rsidR="007A514F">
        <w:rPr>
          <w:bCs/>
          <w:iCs/>
        </w:rPr>
        <w:t>1</w:t>
      </w:r>
      <w:r w:rsidR="00E63A11">
        <w:rPr>
          <w:bCs/>
          <w:iCs/>
        </w:rPr>
        <w:t>4 percent</w:t>
      </w:r>
      <w:r w:rsidRPr="007A514F" w:rsidR="007A514F">
        <w:rPr>
          <w:bCs/>
          <w:iCs/>
        </w:rPr>
        <w:t xml:space="preserve"> </w:t>
      </w:r>
      <w:r w:rsidR="007C4C8B">
        <w:rPr>
          <w:bCs/>
          <w:iCs/>
        </w:rPr>
        <w:t xml:space="preserve">are </w:t>
      </w:r>
      <w:r w:rsidR="00BF66D0">
        <w:rPr>
          <w:bCs/>
          <w:iCs/>
        </w:rPr>
        <w:t>very small quantity generators (</w:t>
      </w:r>
      <w:r w:rsidR="007C4C8B">
        <w:rPr>
          <w:bCs/>
          <w:iCs/>
        </w:rPr>
        <w:t>V</w:t>
      </w:r>
      <w:r w:rsidRPr="007A514F" w:rsidR="007A514F">
        <w:rPr>
          <w:bCs/>
          <w:iCs/>
        </w:rPr>
        <w:t>SQGs</w:t>
      </w:r>
      <w:r w:rsidR="00BF66D0">
        <w:rPr>
          <w:bCs/>
          <w:iCs/>
        </w:rPr>
        <w:t>)</w:t>
      </w:r>
      <w:r w:rsidR="00E63A11">
        <w:rPr>
          <w:rStyle w:val="FootnoteReference"/>
          <w:bCs/>
        </w:rPr>
        <w:footnoteReference w:id="18"/>
      </w:r>
      <w:r w:rsidR="00F12F7B">
        <w:rPr>
          <w:bCs/>
        </w:rPr>
        <w:t>. As a result</w:t>
      </w:r>
      <w:r w:rsidRPr="007A514F" w:rsidR="007A514F">
        <w:rPr>
          <w:bCs/>
          <w:iCs/>
        </w:rPr>
        <w:t xml:space="preserve">, </w:t>
      </w:r>
      <w:r w:rsidR="00E83277">
        <w:rPr>
          <w:bCs/>
          <w:iCs/>
        </w:rPr>
        <w:t xml:space="preserve">EPA estimates that </w:t>
      </w:r>
      <w:r w:rsidR="00F12F7B">
        <w:rPr>
          <w:bCs/>
          <w:iCs/>
        </w:rPr>
        <w:t>1</w:t>
      </w:r>
      <w:r w:rsidR="007A514F">
        <w:rPr>
          <w:bCs/>
          <w:iCs/>
        </w:rPr>
        <w:t xml:space="preserve">1 </w:t>
      </w:r>
      <w:r w:rsidR="002934AC">
        <w:rPr>
          <w:bCs/>
          <w:iCs/>
        </w:rPr>
        <w:t xml:space="preserve">generators </w:t>
      </w:r>
      <w:r w:rsidR="007A514F">
        <w:rPr>
          <w:bCs/>
          <w:iCs/>
        </w:rPr>
        <w:t xml:space="preserve">will conduct personnel training </w:t>
      </w:r>
      <w:r w:rsidR="00B46D48">
        <w:rPr>
          <w:bCs/>
          <w:iCs/>
        </w:rPr>
        <w:t xml:space="preserve">each </w:t>
      </w:r>
      <w:r w:rsidR="007A514F">
        <w:rPr>
          <w:bCs/>
          <w:iCs/>
        </w:rPr>
        <w:t>year</w:t>
      </w:r>
      <w:r w:rsidR="00F12F7B">
        <w:rPr>
          <w:bCs/>
          <w:iCs/>
        </w:rPr>
        <w:t xml:space="preserve"> (i.e., 7</w:t>
      </w:r>
      <w:r w:rsidR="00F22891">
        <w:rPr>
          <w:bCs/>
          <w:iCs/>
        </w:rPr>
        <w:t>9</w:t>
      </w:r>
      <w:r w:rsidR="00F12F7B">
        <w:rPr>
          <w:bCs/>
          <w:iCs/>
        </w:rPr>
        <w:t xml:space="preserve"> x 0.14)</w:t>
      </w:r>
      <w:r w:rsidRPr="007A514F" w:rsidR="007A514F">
        <w:rPr>
          <w:bCs/>
          <w:iCs/>
        </w:rPr>
        <w:t>.</w:t>
      </w:r>
      <w:r w:rsidR="003B74B5">
        <w:rPr>
          <w:bCs/>
          <w:iCs/>
        </w:rPr>
        <w:t xml:space="preserve"> </w:t>
      </w:r>
    </w:p>
    <w:p w:rsidRPr="00D900B5" w:rsidR="00805BB1" w:rsidP="00805BB1" w:rsidRDefault="00805BB1" w14:paraId="55ACF045" w14:textId="77777777">
      <w:pPr>
        <w:spacing w:before="240" w:after="240"/>
        <w:ind w:left="720"/>
        <w:rPr>
          <w:sz w:val="24"/>
          <w:u w:val="single"/>
        </w:rPr>
      </w:pPr>
      <w:r w:rsidRPr="00D900B5">
        <w:rPr>
          <w:sz w:val="24"/>
          <w:u w:val="single"/>
        </w:rPr>
        <w:t>Emergency Procedures</w:t>
      </w:r>
    </w:p>
    <w:p w:rsidR="00805BB1" w:rsidP="00805BB1" w:rsidRDefault="00805BB1" w14:paraId="668A6147" w14:textId="77777777">
      <w:pPr>
        <w:pStyle w:val="BodyTextDSW"/>
      </w:pPr>
      <w:r>
        <w:t>EPA estimates that, each year,</w:t>
      </w:r>
      <w:r w:rsidRPr="007A514F">
        <w:rPr>
          <w:bCs/>
          <w:iCs/>
        </w:rPr>
        <w:t xml:space="preserve"> </w:t>
      </w:r>
      <w:r w:rsidRPr="00C6473D">
        <w:rPr>
          <w:bCs/>
          <w:iCs/>
        </w:rPr>
        <w:t>1.7</w:t>
      </w:r>
      <w:r>
        <w:rPr>
          <w:bCs/>
          <w:iCs/>
        </w:rPr>
        <w:t xml:space="preserve"> percent</w:t>
      </w:r>
      <w:r>
        <w:rPr>
          <w:rStyle w:val="FootnoteReference"/>
          <w:bCs/>
          <w:iCs/>
        </w:rPr>
        <w:footnoteReference w:id="19"/>
      </w:r>
      <w:r w:rsidRPr="00C6473D">
        <w:rPr>
          <w:bCs/>
          <w:iCs/>
        </w:rPr>
        <w:t xml:space="preserve"> of </w:t>
      </w:r>
      <w:r>
        <w:t>generators that</w:t>
      </w:r>
      <w:r w:rsidRPr="00364593">
        <w:t xml:space="preserve"> are accumulating less than 6,000 kg</w:t>
      </w:r>
      <w:r w:rsidRPr="00707261">
        <w:t xml:space="preserve"> </w:t>
      </w:r>
      <w:r>
        <w:t>of hazardous secondary material and recycling them under the transfer-based exclusion</w:t>
      </w:r>
      <w:r w:rsidDel="005F2A37">
        <w:rPr>
          <w:bCs/>
          <w:iCs/>
        </w:rPr>
        <w:t xml:space="preserve"> </w:t>
      </w:r>
      <w:r>
        <w:rPr>
          <w:bCs/>
          <w:iCs/>
        </w:rPr>
        <w:t xml:space="preserve">(i.e., 11 generators) </w:t>
      </w:r>
      <w:r w:rsidRPr="00C6473D">
        <w:rPr>
          <w:bCs/>
          <w:iCs/>
        </w:rPr>
        <w:t>have an emergency incident</w:t>
      </w:r>
      <w:r>
        <w:rPr>
          <w:bCs/>
          <w:iCs/>
        </w:rPr>
        <w:t>. As result, EPA estimates that none of the generators accumulating less than 6,000 kg of hazardous secondary material will conduct emergency procedure activities (i.e., 11 x 0.017)</w:t>
      </w:r>
      <w:r w:rsidRPr="007A514F">
        <w:rPr>
          <w:bCs/>
          <w:iCs/>
        </w:rPr>
        <w:t>.</w:t>
      </w:r>
      <w:r>
        <w:rPr>
          <w:bCs/>
          <w:iCs/>
        </w:rPr>
        <w:t xml:space="preserve"> </w:t>
      </w:r>
    </w:p>
    <w:p w:rsidR="00805BB1" w:rsidP="00805BB1" w:rsidRDefault="00805BB1" w14:paraId="65C2D54E" w14:textId="77777777">
      <w:pPr>
        <w:pStyle w:val="BodyTextDSW"/>
        <w:keepNext/>
        <w:tabs>
          <w:tab w:val="left" w:pos="540"/>
        </w:tabs>
        <w:spacing w:before="240" w:after="240"/>
        <w:ind w:firstLine="0"/>
        <w:rPr>
          <w:b/>
          <w:bCs/>
        </w:rPr>
      </w:pPr>
      <w:r>
        <w:rPr>
          <w:b/>
          <w:bCs/>
        </w:rPr>
        <w:t>(a2)</w:t>
      </w:r>
      <w:r>
        <w:rPr>
          <w:b/>
          <w:bCs/>
        </w:rPr>
        <w:tab/>
      </w:r>
      <w:r w:rsidRPr="00805BB1">
        <w:rPr>
          <w:b/>
          <w:bCs/>
        </w:rPr>
        <w:t xml:space="preserve">Generators that accumulate </w:t>
      </w:r>
      <w:r>
        <w:rPr>
          <w:b/>
          <w:bCs/>
        </w:rPr>
        <w:t>more</w:t>
      </w:r>
      <w:r w:rsidRPr="00805BB1">
        <w:rPr>
          <w:b/>
          <w:bCs/>
        </w:rPr>
        <w:t xml:space="preserve"> than 6,000 kg of hazardous secondary material</w:t>
      </w:r>
    </w:p>
    <w:p w:rsidRPr="00D900B5" w:rsidR="00805BB1" w:rsidP="00805BB1" w:rsidRDefault="00805BB1" w14:paraId="7E7DFC7B" w14:textId="77777777">
      <w:pPr>
        <w:spacing w:before="240" w:after="240"/>
        <w:ind w:left="720"/>
        <w:rPr>
          <w:sz w:val="24"/>
          <w:u w:val="single"/>
        </w:rPr>
      </w:pPr>
      <w:r w:rsidRPr="00D900B5">
        <w:rPr>
          <w:sz w:val="24"/>
          <w:u w:val="single"/>
        </w:rPr>
        <w:t xml:space="preserve">Contingency Plan </w:t>
      </w:r>
    </w:p>
    <w:p w:rsidR="00805BB1" w:rsidP="003B30B6" w:rsidRDefault="00805BB1" w14:paraId="424BF125" w14:textId="77777777">
      <w:pPr>
        <w:pStyle w:val="BodyTextDSW"/>
      </w:pPr>
      <w:r>
        <w:t xml:space="preserve">Under the DSW requirements, generators that accumulate more than 6,000 kg of hazardous secondary material </w:t>
      </w:r>
      <w:r>
        <w:rPr>
          <w:bCs/>
        </w:rPr>
        <w:t xml:space="preserve">are required to </w:t>
      </w:r>
      <w:r>
        <w:t>prepare and implement a contingency plan</w:t>
      </w:r>
      <w:r w:rsidRPr="00B76F66">
        <w:t xml:space="preserve"> </w:t>
      </w:r>
      <w:r>
        <w:t xml:space="preserve">if they are recycling under the transfer-based exclusion or are intermediate facilities and recyclers that do not have a RCRA permit. </w:t>
      </w:r>
      <w:r>
        <w:rPr>
          <w:bCs/>
          <w:iCs/>
        </w:rPr>
        <w:t>Of the total of 79</w:t>
      </w:r>
      <w:r w:rsidRPr="007A514F">
        <w:rPr>
          <w:bCs/>
          <w:iCs/>
        </w:rPr>
        <w:t xml:space="preserve"> </w:t>
      </w:r>
      <w:r>
        <w:rPr>
          <w:bCs/>
          <w:iCs/>
        </w:rPr>
        <w:t>generators</w:t>
      </w:r>
      <w:r w:rsidRPr="007A514F">
        <w:rPr>
          <w:bCs/>
          <w:iCs/>
        </w:rPr>
        <w:t xml:space="preserve"> participating in </w:t>
      </w:r>
      <w:r>
        <w:rPr>
          <w:bCs/>
          <w:iCs/>
        </w:rPr>
        <w:t>the transfer-based exclusion, 86 percent are small quantity generators (SQGs) or large quantity generators (LQGs). As a result, EPA estimates that 6</w:t>
      </w:r>
      <w:r w:rsidR="00F8690B">
        <w:rPr>
          <w:bCs/>
          <w:iCs/>
        </w:rPr>
        <w:t>8</w:t>
      </w:r>
      <w:r>
        <w:rPr>
          <w:bCs/>
          <w:iCs/>
        </w:rPr>
        <w:t xml:space="preserve"> generators will conduct contingency planning activities each </w:t>
      </w:r>
      <w:r>
        <w:rPr>
          <w:bCs/>
          <w:iCs/>
        </w:rPr>
        <w:lastRenderedPageBreak/>
        <w:t>year (i.e., 7</w:t>
      </w:r>
      <w:r w:rsidR="00F8690B">
        <w:rPr>
          <w:bCs/>
          <w:iCs/>
        </w:rPr>
        <w:t>9</w:t>
      </w:r>
      <w:r>
        <w:rPr>
          <w:bCs/>
          <w:iCs/>
        </w:rPr>
        <w:t xml:space="preserve"> x 0.86)</w:t>
      </w:r>
      <w:r w:rsidRPr="007A514F">
        <w:rPr>
          <w:bCs/>
          <w:iCs/>
        </w:rPr>
        <w:t>.</w:t>
      </w:r>
      <w:r w:rsidRPr="00B76F66">
        <w:t xml:space="preserve"> </w:t>
      </w:r>
      <w:r>
        <w:t xml:space="preserve">In addition, EPA assumes that </w:t>
      </w:r>
      <w:r w:rsidRPr="00B76F66">
        <w:rPr>
          <w:bCs/>
        </w:rPr>
        <w:t>10</w:t>
      </w:r>
      <w:r>
        <w:rPr>
          <w:bCs/>
        </w:rPr>
        <w:t xml:space="preserve"> percent</w:t>
      </w:r>
      <w:r w:rsidRPr="00B76F66">
        <w:rPr>
          <w:bCs/>
        </w:rPr>
        <w:t xml:space="preserve"> of </w:t>
      </w:r>
      <w:r>
        <w:rPr>
          <w:bCs/>
        </w:rPr>
        <w:t>these generators</w:t>
      </w:r>
      <w:r w:rsidRPr="00B76F66">
        <w:rPr>
          <w:bCs/>
        </w:rPr>
        <w:t xml:space="preserve"> </w:t>
      </w:r>
      <w:r>
        <w:rPr>
          <w:bCs/>
        </w:rPr>
        <w:t xml:space="preserve">will </w:t>
      </w:r>
      <w:r w:rsidRPr="00B76F66">
        <w:rPr>
          <w:bCs/>
        </w:rPr>
        <w:t xml:space="preserve">amend </w:t>
      </w:r>
      <w:r>
        <w:rPr>
          <w:bCs/>
        </w:rPr>
        <w:t xml:space="preserve">their </w:t>
      </w:r>
      <w:r w:rsidRPr="00B76F66">
        <w:rPr>
          <w:bCs/>
        </w:rPr>
        <w:t>contingency plans each year</w:t>
      </w:r>
      <w:r>
        <w:rPr>
          <w:bCs/>
        </w:rPr>
        <w:t xml:space="preserve"> (i.e., 6</w:t>
      </w:r>
      <w:r w:rsidR="00F8690B">
        <w:rPr>
          <w:bCs/>
        </w:rPr>
        <w:t>8</w:t>
      </w:r>
      <w:r>
        <w:rPr>
          <w:bCs/>
        </w:rPr>
        <w:t xml:space="preserve"> x 0.10 = 7)</w:t>
      </w:r>
      <w:r>
        <w:t xml:space="preserve">. </w:t>
      </w:r>
    </w:p>
    <w:p w:rsidRPr="00D900B5" w:rsidR="00BD79F1" w:rsidP="00D900B5" w:rsidRDefault="00BD79F1" w14:paraId="766EF905" w14:textId="77777777">
      <w:pPr>
        <w:spacing w:before="240" w:after="240"/>
        <w:ind w:left="720"/>
        <w:rPr>
          <w:sz w:val="24"/>
          <w:u w:val="single"/>
        </w:rPr>
      </w:pPr>
      <w:r w:rsidRPr="00D900B5">
        <w:rPr>
          <w:sz w:val="24"/>
          <w:u w:val="single"/>
        </w:rPr>
        <w:t>Emergency Procedures</w:t>
      </w:r>
    </w:p>
    <w:p w:rsidR="00BD79F1" w:rsidP="008E1762" w:rsidRDefault="002934AC" w14:paraId="1A543A31" w14:textId="77777777">
      <w:pPr>
        <w:pStyle w:val="BodyTextDSW"/>
      </w:pPr>
      <w:r>
        <w:t>EPA estimates that, each year,</w:t>
      </w:r>
      <w:r w:rsidRPr="007A514F">
        <w:rPr>
          <w:bCs/>
          <w:iCs/>
        </w:rPr>
        <w:t xml:space="preserve"> </w:t>
      </w:r>
      <w:r w:rsidRPr="00C6473D">
        <w:rPr>
          <w:bCs/>
          <w:iCs/>
        </w:rPr>
        <w:t>1.7</w:t>
      </w:r>
      <w:r>
        <w:rPr>
          <w:bCs/>
          <w:iCs/>
        </w:rPr>
        <w:t xml:space="preserve"> percent</w:t>
      </w:r>
      <w:r>
        <w:rPr>
          <w:rStyle w:val="FootnoteReference"/>
          <w:bCs/>
          <w:iCs/>
        </w:rPr>
        <w:footnoteReference w:id="20"/>
      </w:r>
      <w:r w:rsidRPr="00C6473D">
        <w:rPr>
          <w:bCs/>
          <w:iCs/>
        </w:rPr>
        <w:t xml:space="preserve"> of </w:t>
      </w:r>
      <w:r>
        <w:t>generators that</w:t>
      </w:r>
      <w:r w:rsidRPr="00364593">
        <w:t xml:space="preserve"> are accumulating </w:t>
      </w:r>
      <w:r>
        <w:t>more</w:t>
      </w:r>
      <w:r w:rsidRPr="00364593">
        <w:t xml:space="preserve"> than 6,000 kg</w:t>
      </w:r>
      <w:r w:rsidRPr="00707261">
        <w:t xml:space="preserve"> </w:t>
      </w:r>
      <w:r>
        <w:t>of hazardous secondary material and recycling them under the transfer-based exclusion</w:t>
      </w:r>
      <w:r w:rsidDel="005F2A37">
        <w:rPr>
          <w:bCs/>
          <w:iCs/>
        </w:rPr>
        <w:t xml:space="preserve"> </w:t>
      </w:r>
      <w:r>
        <w:rPr>
          <w:bCs/>
          <w:iCs/>
        </w:rPr>
        <w:t xml:space="preserve">(i.e., 67 generators) </w:t>
      </w:r>
      <w:r w:rsidRPr="00C6473D">
        <w:rPr>
          <w:bCs/>
          <w:iCs/>
        </w:rPr>
        <w:t>have an emergency incident</w:t>
      </w:r>
      <w:r>
        <w:rPr>
          <w:bCs/>
          <w:iCs/>
        </w:rPr>
        <w:t>. As result, EPA estimates that, each year, 1 generator accumulating more than 6,000 kg of hazardous secondary material will conduct emergency procedure activities (i.e., 67 x 0.017)</w:t>
      </w:r>
      <w:r w:rsidRPr="007A514F">
        <w:rPr>
          <w:bCs/>
          <w:iCs/>
        </w:rPr>
        <w:t>.</w:t>
      </w:r>
      <w:r w:rsidR="003B30B6">
        <w:rPr>
          <w:bCs/>
          <w:iCs/>
        </w:rPr>
        <w:t xml:space="preserve"> </w:t>
      </w:r>
    </w:p>
    <w:p w:rsidRPr="00D900B5" w:rsidR="00153B60" w:rsidP="00D900B5" w:rsidRDefault="00E5754E" w14:paraId="2C492991" w14:textId="77777777">
      <w:pPr>
        <w:pStyle w:val="BodyTextDSW"/>
        <w:keepNext/>
        <w:numPr>
          <w:ilvl w:val="0"/>
          <w:numId w:val="50"/>
        </w:numPr>
        <w:spacing w:before="240" w:after="240"/>
        <w:rPr>
          <w:b/>
          <w:bCs/>
        </w:rPr>
      </w:pPr>
      <w:r w:rsidRPr="00D900B5">
        <w:rPr>
          <w:b/>
          <w:bCs/>
        </w:rPr>
        <w:t xml:space="preserve">Reasonable Efforts </w:t>
      </w:r>
    </w:p>
    <w:p w:rsidR="00E5754E" w:rsidP="008E1762" w:rsidRDefault="00041879" w14:paraId="0DCC6942" w14:textId="77777777">
      <w:pPr>
        <w:widowControl/>
        <w:ind w:firstLine="720"/>
        <w:rPr>
          <w:sz w:val="24"/>
        </w:rPr>
      </w:pPr>
      <w:r>
        <w:rPr>
          <w:sz w:val="24"/>
        </w:rPr>
        <w:t xml:space="preserve">EPA assumes </w:t>
      </w:r>
      <w:r w:rsidRPr="00041879">
        <w:rPr>
          <w:sz w:val="24"/>
        </w:rPr>
        <w:t>an equal distribution of</w:t>
      </w:r>
      <w:r>
        <w:rPr>
          <w:sz w:val="24"/>
        </w:rPr>
        <w:t xml:space="preserve">: (1) reclaimers and intermediate facilities </w:t>
      </w:r>
      <w:r w:rsidRPr="00041879">
        <w:rPr>
          <w:sz w:val="24"/>
        </w:rPr>
        <w:t xml:space="preserve">receiving hazardous secondary material from off-site </w:t>
      </w:r>
      <w:r>
        <w:rPr>
          <w:sz w:val="24"/>
        </w:rPr>
        <w:t xml:space="preserve">to (2) </w:t>
      </w:r>
      <w:r w:rsidRPr="00041879">
        <w:rPr>
          <w:sz w:val="24"/>
        </w:rPr>
        <w:t xml:space="preserve">generators that ship </w:t>
      </w:r>
      <w:r w:rsidR="00232A71">
        <w:rPr>
          <w:sz w:val="24"/>
        </w:rPr>
        <w:t xml:space="preserve">hazardous secondary materials </w:t>
      </w:r>
      <w:r w:rsidRPr="00041879">
        <w:rPr>
          <w:sz w:val="24"/>
        </w:rPr>
        <w:t>to reclaimers</w:t>
      </w:r>
      <w:r>
        <w:rPr>
          <w:sz w:val="24"/>
        </w:rPr>
        <w:t xml:space="preserve"> and intermediate facilities.</w:t>
      </w:r>
      <w:r>
        <w:rPr>
          <w:rStyle w:val="FootnoteReference"/>
          <w:sz w:val="24"/>
        </w:rPr>
        <w:footnoteReference w:id="21"/>
      </w:r>
      <w:r>
        <w:rPr>
          <w:sz w:val="24"/>
        </w:rPr>
        <w:t xml:space="preserve"> As a result, </w:t>
      </w:r>
      <w:r w:rsidR="00E5754E">
        <w:rPr>
          <w:sz w:val="24"/>
        </w:rPr>
        <w:t>EPA estimates that</w:t>
      </w:r>
      <w:r w:rsidR="00E51EC0">
        <w:rPr>
          <w:sz w:val="24"/>
        </w:rPr>
        <w:t>, each year,</w:t>
      </w:r>
      <w:r w:rsidR="00E5754E">
        <w:rPr>
          <w:sz w:val="24"/>
        </w:rPr>
        <w:t xml:space="preserve"> </w:t>
      </w:r>
      <w:r w:rsidR="00B50210">
        <w:rPr>
          <w:sz w:val="24"/>
        </w:rPr>
        <w:t xml:space="preserve">13 </w:t>
      </w:r>
      <w:r w:rsidR="00E5754E">
        <w:rPr>
          <w:sz w:val="24"/>
        </w:rPr>
        <w:t>generators will conduct a reasonable efforts environmental audit</w:t>
      </w:r>
      <w:r w:rsidR="00E90F9C">
        <w:rPr>
          <w:sz w:val="24"/>
        </w:rPr>
        <w:t xml:space="preserve"> u</w:t>
      </w:r>
      <w:r w:rsidR="00E5754E">
        <w:rPr>
          <w:sz w:val="24"/>
        </w:rPr>
        <w:t>nder the requirements found at 261.4(a)(24)</w:t>
      </w:r>
      <w:r w:rsidRPr="00E5754E" w:rsidR="00E5754E">
        <w:rPr>
          <w:sz w:val="24"/>
        </w:rPr>
        <w:t>.</w:t>
      </w:r>
    </w:p>
    <w:p w:rsidRPr="00D900B5" w:rsidR="003344DD" w:rsidP="003344DD" w:rsidRDefault="003344DD" w14:paraId="75EECAB0" w14:textId="77777777">
      <w:pPr>
        <w:pStyle w:val="BodyTextDSW"/>
        <w:keepNext/>
        <w:numPr>
          <w:ilvl w:val="0"/>
          <w:numId w:val="50"/>
        </w:numPr>
        <w:spacing w:before="240" w:after="240"/>
        <w:rPr>
          <w:b/>
          <w:bCs/>
        </w:rPr>
      </w:pPr>
      <w:r w:rsidRPr="00D900B5">
        <w:rPr>
          <w:b/>
          <w:bCs/>
        </w:rPr>
        <w:t>Financial Requirements</w:t>
      </w:r>
    </w:p>
    <w:p w:rsidR="003344DD" w:rsidP="003344DD" w:rsidRDefault="003344DD" w14:paraId="64E2A73D" w14:textId="77777777">
      <w:pPr>
        <w:ind w:firstLine="720"/>
        <w:rPr>
          <w:sz w:val="24"/>
        </w:rPr>
      </w:pPr>
      <w:r w:rsidRPr="003344DD">
        <w:rPr>
          <w:sz w:val="24"/>
        </w:rPr>
        <w:t>EPA estimates that</w:t>
      </w:r>
      <w:r w:rsidRPr="005A2D75">
        <w:rPr>
          <w:sz w:val="24"/>
        </w:rPr>
        <w:t>, each year, 13 reclaimers and intermediate facilities will claim an exclusion under 40 CFR 261.4(a)(24) and, therefore, be subject to the financial assurance requirements. Of these 13 facilities, 9 are expected to have a RCRA Part B permit or interim status. The 4 facilities that do not have a RCRA Part B permit must prepare a cost estimate under 40 CFR 261.142. Each of these facilities also must update the cost estimate annually, revise it as required, and maintain records of the most up-to-date version. In addition, each facility must establish financial assurance as required under 40 CFR 261.143. Facilities must establish coverage by using one or more of the following: trust fund, surety bond guaranteeing payment into a trust fund, letter of credit, insurance, and financial test or guarantee.</w:t>
      </w:r>
    </w:p>
    <w:p w:rsidRPr="00D900B5" w:rsidR="001916BF" w:rsidP="001916BF" w:rsidRDefault="00B46EFF" w14:paraId="6636BF2D" w14:textId="77777777">
      <w:pPr>
        <w:pStyle w:val="BodyTextDSW"/>
        <w:keepNext/>
        <w:numPr>
          <w:ilvl w:val="0"/>
          <w:numId w:val="50"/>
        </w:numPr>
        <w:spacing w:before="240" w:after="240"/>
        <w:rPr>
          <w:b/>
          <w:bCs/>
        </w:rPr>
      </w:pPr>
      <w:r>
        <w:rPr>
          <w:b/>
          <w:bCs/>
        </w:rPr>
        <w:t xml:space="preserve"> Receipt</w:t>
      </w:r>
      <w:r w:rsidR="00FF2A53">
        <w:rPr>
          <w:b/>
          <w:bCs/>
        </w:rPr>
        <w:t xml:space="preserve"> Confirmations</w:t>
      </w:r>
    </w:p>
    <w:p w:rsidR="00142F6B" w:rsidP="008E1762" w:rsidRDefault="001916BF" w14:paraId="5D511064" w14:textId="77777777">
      <w:pPr>
        <w:rPr>
          <w:sz w:val="24"/>
        </w:rPr>
      </w:pPr>
      <w:r>
        <w:rPr>
          <w:sz w:val="24"/>
        </w:rPr>
        <w:t xml:space="preserve">Generators </w:t>
      </w:r>
      <w:r w:rsidR="00142F6B">
        <w:rPr>
          <w:sz w:val="24"/>
        </w:rPr>
        <w:t>must</w:t>
      </w:r>
      <w:r>
        <w:rPr>
          <w:sz w:val="24"/>
        </w:rPr>
        <w:t xml:space="preserve"> m</w:t>
      </w:r>
      <w:r w:rsidRPr="001916BF">
        <w:rPr>
          <w:sz w:val="24"/>
        </w:rPr>
        <w:t xml:space="preserve">aintain at the generating facility for no less than three (3) years </w:t>
      </w:r>
      <w:r w:rsidR="00142F6B">
        <w:rPr>
          <w:sz w:val="24"/>
        </w:rPr>
        <w:t>c</w:t>
      </w:r>
      <w:r w:rsidRPr="00142F6B" w:rsidR="00142F6B">
        <w:rPr>
          <w:sz w:val="24"/>
        </w:rPr>
        <w:t xml:space="preserve">onfirmations of receipt from each reclaimer and, if applicable, each intermediate facility for all off-site shipments of hazardous secondary materials. </w:t>
      </w:r>
      <w:r w:rsidR="00142F6B">
        <w:rPr>
          <w:sz w:val="24"/>
        </w:rPr>
        <w:t>Reclaimers</w:t>
      </w:r>
      <w:r w:rsidRPr="00142F6B" w:rsidR="00142F6B">
        <w:rPr>
          <w:sz w:val="24"/>
        </w:rPr>
        <w:t xml:space="preserve"> and intermediate facilit</w:t>
      </w:r>
      <w:r w:rsidR="00142F6B">
        <w:rPr>
          <w:sz w:val="24"/>
        </w:rPr>
        <w:t>ies</w:t>
      </w:r>
      <w:r w:rsidRPr="00142F6B" w:rsidR="00142F6B">
        <w:rPr>
          <w:sz w:val="24"/>
        </w:rPr>
        <w:t xml:space="preserve"> must send to the hazardous secondary material generator confirmations of receipt for all off-site shipments of hazardous secondary materials.</w:t>
      </w:r>
    </w:p>
    <w:p w:rsidR="00E5754E" w:rsidP="00E5754E" w:rsidRDefault="00E5754E" w14:paraId="09EEAD84" w14:textId="77777777">
      <w:pPr>
        <w:widowControl/>
        <w:rPr>
          <w:sz w:val="24"/>
        </w:rPr>
      </w:pPr>
    </w:p>
    <w:p w:rsidR="00A1612F" w:rsidP="00D900B5" w:rsidRDefault="00797B42" w14:paraId="2483449F" w14:textId="77777777">
      <w:pPr>
        <w:pStyle w:val="BodyTextDSW"/>
        <w:keepNext/>
        <w:numPr>
          <w:ilvl w:val="0"/>
          <w:numId w:val="49"/>
        </w:numPr>
        <w:rPr>
          <w:b/>
        </w:rPr>
      </w:pPr>
      <w:bookmarkStart w:name="_Hlk88482353" w:id="54"/>
      <w:r>
        <w:rPr>
          <w:b/>
        </w:rPr>
        <w:t>Hazardous Secondary Material Generated and Reclaimed under the Control of the Generator</w:t>
      </w:r>
    </w:p>
    <w:bookmarkEnd w:id="54"/>
    <w:p w:rsidR="00A1612F" w:rsidRDefault="00A1612F" w14:paraId="5AEC4CEB" w14:textId="77777777">
      <w:pPr>
        <w:pStyle w:val="BodyTextDSW"/>
      </w:pPr>
      <w:r>
        <w:t xml:space="preserve">EPA estimates </w:t>
      </w:r>
      <w:r w:rsidRPr="00776605">
        <w:t xml:space="preserve">that </w:t>
      </w:r>
      <w:r w:rsidR="00D663D0">
        <w:t>110</w:t>
      </w:r>
      <w:r w:rsidRPr="00776605" w:rsidR="00C55513">
        <w:t xml:space="preserve"> </w:t>
      </w:r>
      <w:r w:rsidRPr="00700CD4">
        <w:t>generators</w:t>
      </w:r>
      <w:r>
        <w:t xml:space="preserve"> will </w:t>
      </w:r>
      <w:r w:rsidR="00797B42">
        <w:t>utilize</w:t>
      </w:r>
      <w:r>
        <w:t xml:space="preserve"> DSW exclusion for generator-controlled recycling during the </w:t>
      </w:r>
      <w:r w:rsidR="00797B42">
        <w:t>period</w:t>
      </w:r>
      <w:r>
        <w:t xml:space="preserve"> covered by this ICR. </w:t>
      </w:r>
    </w:p>
    <w:p w:rsidRPr="00D900B5" w:rsidR="00A1612F" w:rsidP="00D900B5" w:rsidRDefault="00A1612F" w14:paraId="364FC650" w14:textId="77777777">
      <w:pPr>
        <w:pStyle w:val="BodyTextDSW"/>
        <w:keepNext/>
        <w:numPr>
          <w:ilvl w:val="0"/>
          <w:numId w:val="51"/>
        </w:numPr>
        <w:spacing w:before="240" w:after="240"/>
        <w:rPr>
          <w:b/>
          <w:bCs/>
        </w:rPr>
      </w:pPr>
      <w:r w:rsidRPr="00D900B5">
        <w:rPr>
          <w:b/>
          <w:bCs/>
        </w:rPr>
        <w:lastRenderedPageBreak/>
        <w:t>Recordkeeping for the Tolling Provision</w:t>
      </w:r>
    </w:p>
    <w:p w:rsidR="00700CD4" w:rsidP="008E1762" w:rsidRDefault="00A1612F" w14:paraId="2D77B6F7" w14:textId="77777777">
      <w:pPr>
        <w:pStyle w:val="BodyTextDSW"/>
        <w:ind w:firstLine="0"/>
      </w:pPr>
      <w:r>
        <w:t xml:space="preserve">EPA estimates </w:t>
      </w:r>
      <w:r w:rsidRPr="00700CD4">
        <w:t xml:space="preserve">that </w:t>
      </w:r>
      <w:r w:rsidR="00D663D0">
        <w:t>1</w:t>
      </w:r>
      <w:r w:rsidRPr="00700CD4" w:rsidR="00644608">
        <w:t xml:space="preserve"> </w:t>
      </w:r>
      <w:r w:rsidRPr="00700CD4">
        <w:t>generator</w:t>
      </w:r>
      <w:r>
        <w:t xml:space="preserve"> operating under the exclusion at </w:t>
      </w:r>
      <w:r w:rsidR="007104BB">
        <w:t xml:space="preserve">40 CFR </w:t>
      </w:r>
      <w:r>
        <w:t>261.4(a)(23)</w:t>
      </w:r>
      <w:r w:rsidR="007104BB">
        <w:t xml:space="preserve"> will operate under a tolling arrangement</w:t>
      </w:r>
      <w:r>
        <w:t xml:space="preserve">. Both the generator and the contractor must maintain records of all hazardous secondary materials shipped pursuant to the tolling arrangement. </w:t>
      </w:r>
    </w:p>
    <w:p w:rsidRPr="00D900B5" w:rsidR="007E077B" w:rsidP="00D900B5" w:rsidRDefault="007E077B" w14:paraId="64B2FBA4" w14:textId="77777777">
      <w:pPr>
        <w:pStyle w:val="BodyTextDSW"/>
        <w:keepNext/>
        <w:numPr>
          <w:ilvl w:val="0"/>
          <w:numId w:val="51"/>
        </w:numPr>
        <w:spacing w:before="240" w:after="240"/>
        <w:rPr>
          <w:b/>
          <w:bCs/>
        </w:rPr>
      </w:pPr>
      <w:r w:rsidRPr="00D900B5">
        <w:rPr>
          <w:b/>
          <w:bCs/>
        </w:rPr>
        <w:t>Legitimacy Documentation</w:t>
      </w:r>
    </w:p>
    <w:p w:rsidR="00F1281F" w:rsidP="009D5D73" w:rsidRDefault="00D663D0" w14:paraId="416CC195" w14:textId="77777777">
      <w:pPr>
        <w:pStyle w:val="BodyTextDSW"/>
      </w:pPr>
      <w:r>
        <w:t>All 110 f</w:t>
      </w:r>
      <w:r w:rsidR="00F62E1C">
        <w:t xml:space="preserve">acilities recycling hazardous secondary materials under the generator-controlled exclusions of 40 CFR 261.4(a)(23) </w:t>
      </w:r>
      <w:r>
        <w:t xml:space="preserve">must </w:t>
      </w:r>
      <w:r w:rsidR="00F62E1C">
        <w:t xml:space="preserve">maintain documentation of their legitimacy determination onsite. </w:t>
      </w:r>
      <w:r w:rsidR="00A16409">
        <w:t>EPA estimates that facilities will perform their legitimacy determination once during the three-year period covered by this ICR. As a result, EPA estimates that, each year, 3</w:t>
      </w:r>
      <w:r w:rsidR="009D5D73">
        <w:t>7</w:t>
      </w:r>
      <w:r w:rsidR="00A16409">
        <w:t xml:space="preserve"> f</w:t>
      </w:r>
      <w:r w:rsidRPr="008E125D" w:rsidR="00FA7330">
        <w:t>acilities</w:t>
      </w:r>
      <w:r w:rsidR="00FA7330">
        <w:t xml:space="preserve"> </w:t>
      </w:r>
      <w:r w:rsidR="00A16409">
        <w:t xml:space="preserve">will be </w:t>
      </w:r>
      <w:r w:rsidR="00FA7330">
        <w:t>subject to this requirement</w:t>
      </w:r>
      <w:r w:rsidR="00E552DB">
        <w:t xml:space="preserve"> </w:t>
      </w:r>
      <w:r w:rsidR="00FA7330">
        <w:t>(</w:t>
      </w:r>
      <w:r w:rsidR="00A16409">
        <w:t xml:space="preserve">i.e., 110 </w:t>
      </w:r>
      <w:r w:rsidR="00A16409">
        <w:sym w:font="Symbol" w:char="F0B8"/>
      </w:r>
      <w:r w:rsidR="00A16409">
        <w:t xml:space="preserve"> 3</w:t>
      </w:r>
      <w:r w:rsidR="0011020E">
        <w:t>)</w:t>
      </w:r>
      <w:r w:rsidR="00F1281F">
        <w:t>.</w:t>
      </w:r>
      <w:r w:rsidR="00A16409">
        <w:t xml:space="preserve"> Of these facilities, </w:t>
      </w:r>
      <w:r w:rsidR="009D5D73">
        <w:t xml:space="preserve">one-third will </w:t>
      </w:r>
      <w:r w:rsidR="00A16409">
        <w:t xml:space="preserve">prepare </w:t>
      </w:r>
      <w:r w:rsidR="009D5D73">
        <w:t xml:space="preserve">documentation </w:t>
      </w:r>
      <w:r w:rsidR="00A16409">
        <w:t xml:space="preserve">using </w:t>
      </w:r>
      <w:r w:rsidR="004E05F5">
        <w:t xml:space="preserve">an </w:t>
      </w:r>
      <w:r w:rsidR="00A16409">
        <w:t>in-house employee audit</w:t>
      </w:r>
      <w:r w:rsidR="009D5D73">
        <w:t xml:space="preserve">, one third will prepare documentation </w:t>
      </w:r>
      <w:r w:rsidR="00A16409">
        <w:t xml:space="preserve">using </w:t>
      </w:r>
      <w:r w:rsidR="009D5D73">
        <w:t xml:space="preserve">an </w:t>
      </w:r>
      <w:r w:rsidR="00A16409">
        <w:t>outside vendor</w:t>
      </w:r>
      <w:r w:rsidR="009D5D73">
        <w:t xml:space="preserve">, and one third will prepare documentation </w:t>
      </w:r>
      <w:r w:rsidR="00A16409">
        <w:t>using readily available information</w:t>
      </w:r>
      <w:r w:rsidR="009D5D73">
        <w:t>.</w:t>
      </w:r>
    </w:p>
    <w:p w:rsidRPr="00F1281F" w:rsidR="00ED607E" w:rsidP="008E1762" w:rsidRDefault="00ED607E" w14:paraId="044B4667" w14:textId="77777777">
      <w:pPr>
        <w:pStyle w:val="BodyTextDSW"/>
      </w:pPr>
      <w:r>
        <w:t>In addition, EPA estimates that</w:t>
      </w:r>
      <w:r w:rsidR="00732947">
        <w:t>, each year,</w:t>
      </w:r>
      <w:r>
        <w:t xml:space="preserve"> 5 facilities will m</w:t>
      </w:r>
      <w:r w:rsidRPr="00ED607E">
        <w:t xml:space="preserve">ake documentation available upon request by a regulatory authority within 72 hours, or within a longer </w:t>
      </w:r>
      <w:proofErr w:type="gramStart"/>
      <w:r w:rsidRPr="00ED607E">
        <w:t>period of time</w:t>
      </w:r>
      <w:proofErr w:type="gramEnd"/>
      <w:r w:rsidRPr="00ED607E">
        <w:t xml:space="preserve"> as specified by the regulatory authority</w:t>
      </w:r>
      <w:r>
        <w:t>.</w:t>
      </w:r>
      <w:r>
        <w:rPr>
          <w:rStyle w:val="FootnoteReference"/>
        </w:rPr>
        <w:footnoteReference w:id="22"/>
      </w:r>
    </w:p>
    <w:p w:rsidR="00F1281F" w:rsidP="00D900B5" w:rsidRDefault="00F1281F" w14:paraId="56D885A7" w14:textId="77777777">
      <w:pPr>
        <w:pStyle w:val="BodyTextDSW"/>
        <w:keepNext/>
        <w:numPr>
          <w:ilvl w:val="0"/>
          <w:numId w:val="51"/>
        </w:numPr>
        <w:spacing w:before="240" w:after="240"/>
        <w:rPr>
          <w:b/>
          <w:bCs/>
        </w:rPr>
      </w:pPr>
      <w:r w:rsidRPr="00D900B5">
        <w:rPr>
          <w:b/>
          <w:bCs/>
        </w:rPr>
        <w:t>Emergency Preparedness and Response</w:t>
      </w:r>
    </w:p>
    <w:p w:rsidRPr="00D900B5" w:rsidR="007472AD" w:rsidP="008E1762" w:rsidRDefault="007472AD" w14:paraId="4B8C4643" w14:textId="77777777">
      <w:pPr>
        <w:pStyle w:val="BodyTextDSW"/>
        <w:keepNext/>
        <w:tabs>
          <w:tab w:val="left" w:pos="540"/>
        </w:tabs>
        <w:spacing w:before="240" w:after="240"/>
        <w:ind w:firstLine="0"/>
        <w:rPr>
          <w:b/>
          <w:bCs/>
        </w:rPr>
      </w:pPr>
      <w:r>
        <w:rPr>
          <w:b/>
          <w:bCs/>
        </w:rPr>
        <w:t>(c1)</w:t>
      </w:r>
      <w:r>
        <w:rPr>
          <w:b/>
          <w:bCs/>
        </w:rPr>
        <w:tab/>
      </w:r>
      <w:r w:rsidRPr="00805BB1">
        <w:rPr>
          <w:b/>
          <w:bCs/>
        </w:rPr>
        <w:t>Generators that accumulate less than 6,000 kg of hazardous secondary material</w:t>
      </w:r>
    </w:p>
    <w:p w:rsidRPr="00D900B5" w:rsidR="007472AD" w:rsidP="008E1762" w:rsidRDefault="007472AD" w14:paraId="5F705613" w14:textId="77777777">
      <w:pPr>
        <w:spacing w:before="240" w:after="240"/>
        <w:ind w:left="360"/>
        <w:rPr>
          <w:sz w:val="24"/>
          <w:u w:val="single"/>
        </w:rPr>
      </w:pPr>
      <w:r w:rsidRPr="00D900B5">
        <w:rPr>
          <w:sz w:val="24"/>
          <w:u w:val="single"/>
        </w:rPr>
        <w:t>Personnel Training</w:t>
      </w:r>
    </w:p>
    <w:p w:rsidR="007472AD" w:rsidP="008E1762" w:rsidRDefault="007472AD" w14:paraId="73A2F9A8" w14:textId="77777777">
      <w:pPr>
        <w:pStyle w:val="BodyTextDSW"/>
      </w:pPr>
      <w:r>
        <w:t>The RCRA DSW requirements include</w:t>
      </w:r>
      <w:r w:rsidRPr="00364593">
        <w:t xml:space="preserve"> training requirements for </w:t>
      </w:r>
      <w:r>
        <w:t xml:space="preserve">generators </w:t>
      </w:r>
      <w:r w:rsidRPr="00364593">
        <w:t>who are accumulating less than 6,000 kg</w:t>
      </w:r>
      <w:r w:rsidRPr="00707261">
        <w:t xml:space="preserve"> </w:t>
      </w:r>
      <w:r>
        <w:t xml:space="preserve">of hazardous secondary material and recycling them under the </w:t>
      </w:r>
      <w:r w:rsidR="00135995">
        <w:t>generator-controlled</w:t>
      </w:r>
      <w:r>
        <w:t xml:space="preserve"> exclusion. </w:t>
      </w:r>
      <w:r>
        <w:rPr>
          <w:bCs/>
          <w:iCs/>
        </w:rPr>
        <w:t>Of the</w:t>
      </w:r>
      <w:r w:rsidRPr="007A514F">
        <w:rPr>
          <w:bCs/>
          <w:iCs/>
        </w:rPr>
        <w:t xml:space="preserve"> total of </w:t>
      </w:r>
      <w:r w:rsidR="0047021E">
        <w:rPr>
          <w:bCs/>
          <w:iCs/>
        </w:rPr>
        <w:t>110</w:t>
      </w:r>
      <w:r w:rsidRPr="007A514F">
        <w:rPr>
          <w:bCs/>
          <w:iCs/>
        </w:rPr>
        <w:t xml:space="preserve"> </w:t>
      </w:r>
      <w:r>
        <w:rPr>
          <w:bCs/>
          <w:iCs/>
        </w:rPr>
        <w:t>generators</w:t>
      </w:r>
      <w:r w:rsidRPr="007A514F">
        <w:rPr>
          <w:bCs/>
          <w:iCs/>
        </w:rPr>
        <w:t xml:space="preserve"> participating in </w:t>
      </w:r>
      <w:r>
        <w:rPr>
          <w:bCs/>
          <w:iCs/>
        </w:rPr>
        <w:t xml:space="preserve">the </w:t>
      </w:r>
      <w:r w:rsidR="00135995">
        <w:rPr>
          <w:bCs/>
          <w:iCs/>
        </w:rPr>
        <w:t xml:space="preserve">generator-controlled </w:t>
      </w:r>
      <w:r>
        <w:rPr>
          <w:bCs/>
          <w:iCs/>
        </w:rPr>
        <w:t>exclusion, 4 percent</w:t>
      </w:r>
      <w:r w:rsidRPr="007A514F">
        <w:rPr>
          <w:bCs/>
          <w:iCs/>
        </w:rPr>
        <w:t xml:space="preserve"> </w:t>
      </w:r>
      <w:r>
        <w:rPr>
          <w:bCs/>
          <w:iCs/>
        </w:rPr>
        <w:t>are V</w:t>
      </w:r>
      <w:r w:rsidRPr="007A514F">
        <w:rPr>
          <w:bCs/>
          <w:iCs/>
        </w:rPr>
        <w:t>SQGs</w:t>
      </w:r>
      <w:r>
        <w:rPr>
          <w:rStyle w:val="FootnoteReference"/>
          <w:bCs/>
        </w:rPr>
        <w:footnoteReference w:id="23"/>
      </w:r>
      <w:r>
        <w:rPr>
          <w:bCs/>
        </w:rPr>
        <w:t>. As a result</w:t>
      </w:r>
      <w:r w:rsidRPr="007A514F">
        <w:rPr>
          <w:bCs/>
          <w:iCs/>
        </w:rPr>
        <w:t xml:space="preserve">, </w:t>
      </w:r>
      <w:r>
        <w:rPr>
          <w:bCs/>
          <w:iCs/>
        </w:rPr>
        <w:t xml:space="preserve">EPA estimates that </w:t>
      </w:r>
      <w:r w:rsidR="001B6171">
        <w:rPr>
          <w:bCs/>
          <w:iCs/>
        </w:rPr>
        <w:t>5</w:t>
      </w:r>
      <w:r>
        <w:rPr>
          <w:bCs/>
          <w:iCs/>
        </w:rPr>
        <w:t xml:space="preserve"> generators will conduct personnel training each year (i.e., </w:t>
      </w:r>
      <w:r w:rsidR="0047021E">
        <w:rPr>
          <w:bCs/>
          <w:iCs/>
        </w:rPr>
        <w:t>110</w:t>
      </w:r>
      <w:r>
        <w:rPr>
          <w:bCs/>
          <w:iCs/>
        </w:rPr>
        <w:t xml:space="preserve"> x 0.</w:t>
      </w:r>
      <w:r w:rsidR="001D358E">
        <w:rPr>
          <w:bCs/>
          <w:iCs/>
        </w:rPr>
        <w:t>0</w:t>
      </w:r>
      <w:r>
        <w:rPr>
          <w:bCs/>
          <w:iCs/>
        </w:rPr>
        <w:t>4)</w:t>
      </w:r>
      <w:r w:rsidRPr="007A514F">
        <w:rPr>
          <w:bCs/>
          <w:iCs/>
        </w:rPr>
        <w:t>.</w:t>
      </w:r>
    </w:p>
    <w:p w:rsidRPr="00D900B5" w:rsidR="007472AD" w:rsidP="008E1762" w:rsidRDefault="007472AD" w14:paraId="4E508B4E" w14:textId="77777777">
      <w:pPr>
        <w:spacing w:before="240" w:after="240"/>
        <w:ind w:firstLine="360"/>
        <w:rPr>
          <w:sz w:val="24"/>
          <w:u w:val="single"/>
        </w:rPr>
      </w:pPr>
      <w:r w:rsidRPr="00D900B5">
        <w:rPr>
          <w:sz w:val="24"/>
          <w:u w:val="single"/>
        </w:rPr>
        <w:t>Emergency Procedures</w:t>
      </w:r>
    </w:p>
    <w:p w:rsidR="007472AD" w:rsidP="008E1762" w:rsidRDefault="007472AD" w14:paraId="02FD111F" w14:textId="77777777">
      <w:pPr>
        <w:pStyle w:val="BodyTextDSW"/>
      </w:pPr>
      <w:r>
        <w:t>EPA estimates that, each year,</w:t>
      </w:r>
      <w:r w:rsidRPr="007A514F">
        <w:rPr>
          <w:bCs/>
          <w:iCs/>
        </w:rPr>
        <w:t xml:space="preserve"> </w:t>
      </w:r>
      <w:r w:rsidRPr="00C6473D">
        <w:rPr>
          <w:bCs/>
          <w:iCs/>
        </w:rPr>
        <w:t>1.7</w:t>
      </w:r>
      <w:r>
        <w:rPr>
          <w:bCs/>
          <w:iCs/>
        </w:rPr>
        <w:t xml:space="preserve"> percent</w:t>
      </w:r>
      <w:r>
        <w:rPr>
          <w:rStyle w:val="FootnoteReference"/>
          <w:bCs/>
          <w:iCs/>
        </w:rPr>
        <w:footnoteReference w:id="24"/>
      </w:r>
      <w:r w:rsidRPr="00C6473D">
        <w:rPr>
          <w:bCs/>
          <w:iCs/>
        </w:rPr>
        <w:t xml:space="preserve"> of </w:t>
      </w:r>
      <w:r>
        <w:t>generators that</w:t>
      </w:r>
      <w:r w:rsidRPr="00364593">
        <w:t xml:space="preserve"> are accumulating less than 6,000 kg</w:t>
      </w:r>
      <w:r w:rsidRPr="00707261">
        <w:t xml:space="preserve"> </w:t>
      </w:r>
      <w:r>
        <w:t xml:space="preserve">of hazardous secondary material and recycling them under the </w:t>
      </w:r>
      <w:r w:rsidR="00135995">
        <w:t>generator-controlled</w:t>
      </w:r>
      <w:r>
        <w:t xml:space="preserve"> exclusion</w:t>
      </w:r>
      <w:r w:rsidDel="005F2A37">
        <w:rPr>
          <w:bCs/>
          <w:iCs/>
        </w:rPr>
        <w:t xml:space="preserve"> </w:t>
      </w:r>
      <w:r>
        <w:rPr>
          <w:bCs/>
          <w:iCs/>
        </w:rPr>
        <w:t xml:space="preserve">(i.e., </w:t>
      </w:r>
      <w:r w:rsidR="001B6171">
        <w:rPr>
          <w:bCs/>
          <w:iCs/>
        </w:rPr>
        <w:t>5</w:t>
      </w:r>
      <w:r>
        <w:rPr>
          <w:bCs/>
          <w:iCs/>
        </w:rPr>
        <w:t xml:space="preserve"> generators) </w:t>
      </w:r>
      <w:r w:rsidRPr="00C6473D">
        <w:rPr>
          <w:bCs/>
          <w:iCs/>
        </w:rPr>
        <w:t>have an emergency incident</w:t>
      </w:r>
      <w:r>
        <w:rPr>
          <w:bCs/>
          <w:iCs/>
        </w:rPr>
        <w:t xml:space="preserve">. As result, EPA estimates that none of the generators accumulating less than 6,000 kg of hazardous secondary material will conduct emergency procedure activities (i.e., </w:t>
      </w:r>
      <w:r w:rsidR="001B6171">
        <w:rPr>
          <w:bCs/>
          <w:iCs/>
        </w:rPr>
        <w:t>5</w:t>
      </w:r>
      <w:r>
        <w:rPr>
          <w:bCs/>
          <w:iCs/>
        </w:rPr>
        <w:t xml:space="preserve"> x 0.017)</w:t>
      </w:r>
      <w:r w:rsidRPr="007A514F">
        <w:rPr>
          <w:bCs/>
          <w:iCs/>
        </w:rPr>
        <w:t>.</w:t>
      </w:r>
      <w:r>
        <w:rPr>
          <w:bCs/>
          <w:iCs/>
        </w:rPr>
        <w:t xml:space="preserve"> </w:t>
      </w:r>
    </w:p>
    <w:p w:rsidR="007472AD" w:rsidP="008E1762" w:rsidRDefault="007472AD" w14:paraId="41868750" w14:textId="77777777">
      <w:pPr>
        <w:pStyle w:val="BodyTextDSW"/>
        <w:keepNext/>
        <w:tabs>
          <w:tab w:val="left" w:pos="540"/>
        </w:tabs>
        <w:spacing w:before="240" w:after="240"/>
        <w:ind w:firstLine="0"/>
        <w:rPr>
          <w:b/>
          <w:bCs/>
        </w:rPr>
      </w:pPr>
      <w:r>
        <w:rPr>
          <w:b/>
          <w:bCs/>
        </w:rPr>
        <w:lastRenderedPageBreak/>
        <w:t>(c2)</w:t>
      </w:r>
      <w:r>
        <w:rPr>
          <w:b/>
          <w:bCs/>
        </w:rPr>
        <w:tab/>
      </w:r>
      <w:r w:rsidRPr="00805BB1">
        <w:rPr>
          <w:b/>
          <w:bCs/>
        </w:rPr>
        <w:t xml:space="preserve">Generators that accumulate </w:t>
      </w:r>
      <w:r>
        <w:rPr>
          <w:b/>
          <w:bCs/>
        </w:rPr>
        <w:t>more</w:t>
      </w:r>
      <w:r w:rsidRPr="00805BB1">
        <w:rPr>
          <w:b/>
          <w:bCs/>
        </w:rPr>
        <w:t xml:space="preserve"> than 6,000 kg of hazardous secondary material</w:t>
      </w:r>
    </w:p>
    <w:p w:rsidRPr="00D900B5" w:rsidR="007472AD" w:rsidP="008E1762" w:rsidRDefault="007472AD" w14:paraId="6101D29E" w14:textId="77777777">
      <w:pPr>
        <w:spacing w:before="240" w:after="240"/>
        <w:ind w:left="360"/>
        <w:rPr>
          <w:sz w:val="24"/>
          <w:u w:val="single"/>
        </w:rPr>
      </w:pPr>
      <w:r w:rsidRPr="00D900B5">
        <w:rPr>
          <w:sz w:val="24"/>
          <w:u w:val="single"/>
        </w:rPr>
        <w:t xml:space="preserve">Contingency Plan </w:t>
      </w:r>
    </w:p>
    <w:p w:rsidR="007472AD" w:rsidP="008E1762" w:rsidRDefault="007472AD" w14:paraId="1DF9DDFA" w14:textId="77777777">
      <w:pPr>
        <w:pStyle w:val="BodyTextDSW"/>
      </w:pPr>
      <w:r>
        <w:t xml:space="preserve">Under the DSW requirements, generators that accumulate more than 6,000 kg of hazardous secondary material </w:t>
      </w:r>
      <w:r>
        <w:rPr>
          <w:bCs/>
        </w:rPr>
        <w:t xml:space="preserve">are required to </w:t>
      </w:r>
      <w:r>
        <w:t>prepare and implement a contingency plan</w:t>
      </w:r>
      <w:r w:rsidRPr="00B76F66">
        <w:t xml:space="preserve"> </w:t>
      </w:r>
      <w:r>
        <w:t xml:space="preserve">if they are recycling under the </w:t>
      </w:r>
      <w:r w:rsidR="00135995">
        <w:t>generator-controlled</w:t>
      </w:r>
      <w:r>
        <w:t xml:space="preserve"> exclusion or are intermediate facilities and recyclers that do not have a RCRA permit. </w:t>
      </w:r>
      <w:r>
        <w:rPr>
          <w:bCs/>
          <w:iCs/>
        </w:rPr>
        <w:t xml:space="preserve">Of the total of </w:t>
      </w:r>
      <w:r w:rsidR="001B6171">
        <w:rPr>
          <w:bCs/>
          <w:iCs/>
        </w:rPr>
        <w:t>110</w:t>
      </w:r>
      <w:r w:rsidRPr="007A514F">
        <w:rPr>
          <w:bCs/>
          <w:iCs/>
        </w:rPr>
        <w:t xml:space="preserve"> </w:t>
      </w:r>
      <w:r>
        <w:rPr>
          <w:bCs/>
          <w:iCs/>
        </w:rPr>
        <w:t>generators</w:t>
      </w:r>
      <w:r w:rsidRPr="007A514F">
        <w:rPr>
          <w:bCs/>
          <w:iCs/>
        </w:rPr>
        <w:t xml:space="preserve"> participating in </w:t>
      </w:r>
      <w:r>
        <w:rPr>
          <w:bCs/>
          <w:iCs/>
        </w:rPr>
        <w:t xml:space="preserve">the </w:t>
      </w:r>
      <w:r w:rsidR="00135995">
        <w:rPr>
          <w:bCs/>
          <w:iCs/>
        </w:rPr>
        <w:t>generator-controlled</w:t>
      </w:r>
      <w:r>
        <w:rPr>
          <w:bCs/>
          <w:iCs/>
        </w:rPr>
        <w:t xml:space="preserve"> exclusion, </w:t>
      </w:r>
      <w:r w:rsidR="00135995">
        <w:rPr>
          <w:bCs/>
          <w:iCs/>
        </w:rPr>
        <w:t>96</w:t>
      </w:r>
      <w:r>
        <w:rPr>
          <w:bCs/>
          <w:iCs/>
        </w:rPr>
        <w:t xml:space="preserve"> percent are SQGs or LQGs. As a result, EPA estimates that </w:t>
      </w:r>
      <w:r w:rsidR="002A54B6">
        <w:rPr>
          <w:bCs/>
          <w:iCs/>
        </w:rPr>
        <w:t>105</w:t>
      </w:r>
      <w:r>
        <w:rPr>
          <w:bCs/>
          <w:iCs/>
        </w:rPr>
        <w:t xml:space="preserve"> generators will conduct contingency planning activities each year (i.e., </w:t>
      </w:r>
      <w:r w:rsidR="00135995">
        <w:rPr>
          <w:bCs/>
          <w:iCs/>
        </w:rPr>
        <w:t>110</w:t>
      </w:r>
      <w:r>
        <w:rPr>
          <w:bCs/>
          <w:iCs/>
        </w:rPr>
        <w:t xml:space="preserve"> x 0.</w:t>
      </w:r>
      <w:r w:rsidR="00135995">
        <w:rPr>
          <w:bCs/>
          <w:iCs/>
        </w:rPr>
        <w:t>9</w:t>
      </w:r>
      <w:r>
        <w:rPr>
          <w:bCs/>
          <w:iCs/>
        </w:rPr>
        <w:t>6)</w:t>
      </w:r>
      <w:r w:rsidRPr="007A514F">
        <w:rPr>
          <w:bCs/>
          <w:iCs/>
        </w:rPr>
        <w:t>.</w:t>
      </w:r>
      <w:r w:rsidRPr="00B76F66">
        <w:t xml:space="preserve"> </w:t>
      </w:r>
      <w:r>
        <w:t xml:space="preserve">In addition, EPA assumes that </w:t>
      </w:r>
      <w:r w:rsidRPr="00B76F66">
        <w:rPr>
          <w:bCs/>
        </w:rPr>
        <w:t>10</w:t>
      </w:r>
      <w:r>
        <w:rPr>
          <w:bCs/>
        </w:rPr>
        <w:t xml:space="preserve"> percent</w:t>
      </w:r>
      <w:r w:rsidRPr="00B76F66">
        <w:rPr>
          <w:bCs/>
        </w:rPr>
        <w:t xml:space="preserve"> of </w:t>
      </w:r>
      <w:r>
        <w:rPr>
          <w:bCs/>
        </w:rPr>
        <w:t>these generators</w:t>
      </w:r>
      <w:r w:rsidRPr="00B76F66">
        <w:rPr>
          <w:bCs/>
        </w:rPr>
        <w:t xml:space="preserve"> </w:t>
      </w:r>
      <w:r>
        <w:rPr>
          <w:bCs/>
        </w:rPr>
        <w:t xml:space="preserve">will </w:t>
      </w:r>
      <w:r w:rsidRPr="00B76F66">
        <w:rPr>
          <w:bCs/>
        </w:rPr>
        <w:t xml:space="preserve">amend </w:t>
      </w:r>
      <w:r>
        <w:rPr>
          <w:bCs/>
        </w:rPr>
        <w:t xml:space="preserve">their </w:t>
      </w:r>
      <w:r w:rsidRPr="00B76F66">
        <w:rPr>
          <w:bCs/>
        </w:rPr>
        <w:t>contingency plans each year</w:t>
      </w:r>
      <w:r>
        <w:rPr>
          <w:bCs/>
        </w:rPr>
        <w:t xml:space="preserve"> (i.e., </w:t>
      </w:r>
      <w:r w:rsidR="002A54B6">
        <w:rPr>
          <w:bCs/>
        </w:rPr>
        <w:t>105</w:t>
      </w:r>
      <w:r>
        <w:rPr>
          <w:bCs/>
        </w:rPr>
        <w:t xml:space="preserve"> x 0.10 = </w:t>
      </w:r>
      <w:r w:rsidR="002A54B6">
        <w:rPr>
          <w:bCs/>
        </w:rPr>
        <w:t>11</w:t>
      </w:r>
      <w:r>
        <w:rPr>
          <w:bCs/>
        </w:rPr>
        <w:t>)</w:t>
      </w:r>
      <w:r>
        <w:t xml:space="preserve">. </w:t>
      </w:r>
    </w:p>
    <w:p w:rsidRPr="00D900B5" w:rsidR="007472AD" w:rsidP="008E1762" w:rsidRDefault="007472AD" w14:paraId="15C58CD9" w14:textId="77777777">
      <w:pPr>
        <w:keepNext/>
        <w:widowControl/>
        <w:spacing w:before="240" w:after="240"/>
        <w:ind w:left="360"/>
        <w:rPr>
          <w:sz w:val="24"/>
          <w:u w:val="single"/>
        </w:rPr>
      </w:pPr>
      <w:r w:rsidRPr="00D900B5">
        <w:rPr>
          <w:sz w:val="24"/>
          <w:u w:val="single"/>
        </w:rPr>
        <w:t>Emergency Procedures</w:t>
      </w:r>
    </w:p>
    <w:p w:rsidR="007472AD" w:rsidP="007472AD" w:rsidRDefault="007472AD" w14:paraId="56B9302E" w14:textId="77777777">
      <w:pPr>
        <w:pStyle w:val="BodyTextDSW"/>
      </w:pPr>
      <w:r>
        <w:t>EPA estimates that, each year,</w:t>
      </w:r>
      <w:r w:rsidRPr="007A514F">
        <w:rPr>
          <w:bCs/>
          <w:iCs/>
        </w:rPr>
        <w:t xml:space="preserve"> </w:t>
      </w:r>
      <w:r w:rsidRPr="00C6473D">
        <w:rPr>
          <w:bCs/>
          <w:iCs/>
        </w:rPr>
        <w:t>1.7</w:t>
      </w:r>
      <w:r>
        <w:rPr>
          <w:bCs/>
          <w:iCs/>
        </w:rPr>
        <w:t xml:space="preserve"> percent</w:t>
      </w:r>
      <w:r>
        <w:rPr>
          <w:rStyle w:val="FootnoteReference"/>
          <w:bCs/>
          <w:iCs/>
        </w:rPr>
        <w:footnoteReference w:id="25"/>
      </w:r>
      <w:r w:rsidRPr="00C6473D">
        <w:rPr>
          <w:bCs/>
          <w:iCs/>
        </w:rPr>
        <w:t xml:space="preserve"> of </w:t>
      </w:r>
      <w:r>
        <w:t>generators that</w:t>
      </w:r>
      <w:r w:rsidRPr="00364593">
        <w:t xml:space="preserve"> are accumulating </w:t>
      </w:r>
      <w:r>
        <w:t>more</w:t>
      </w:r>
      <w:r w:rsidRPr="00364593">
        <w:t xml:space="preserve"> than 6,000 kg</w:t>
      </w:r>
      <w:r w:rsidRPr="00707261">
        <w:t xml:space="preserve"> </w:t>
      </w:r>
      <w:r>
        <w:t xml:space="preserve">of hazardous secondary material and recycling them under the </w:t>
      </w:r>
      <w:r w:rsidR="00AE0F48">
        <w:t>generator-controlled</w:t>
      </w:r>
      <w:r>
        <w:t xml:space="preserve"> exclusion</w:t>
      </w:r>
      <w:r w:rsidDel="005F2A37">
        <w:rPr>
          <w:bCs/>
          <w:iCs/>
        </w:rPr>
        <w:t xml:space="preserve"> </w:t>
      </w:r>
      <w:r>
        <w:rPr>
          <w:bCs/>
          <w:iCs/>
        </w:rPr>
        <w:t xml:space="preserve">(i.e., </w:t>
      </w:r>
      <w:r w:rsidR="00AE0F48">
        <w:rPr>
          <w:bCs/>
          <w:iCs/>
        </w:rPr>
        <w:t>105</w:t>
      </w:r>
      <w:r>
        <w:rPr>
          <w:bCs/>
          <w:iCs/>
        </w:rPr>
        <w:t xml:space="preserve"> generators) </w:t>
      </w:r>
      <w:r w:rsidRPr="00C6473D">
        <w:rPr>
          <w:bCs/>
          <w:iCs/>
        </w:rPr>
        <w:t>have an emergency incident</w:t>
      </w:r>
      <w:r>
        <w:rPr>
          <w:bCs/>
          <w:iCs/>
        </w:rPr>
        <w:t xml:space="preserve">. As result, EPA estimates that, each year, </w:t>
      </w:r>
      <w:r w:rsidR="00AE0F48">
        <w:rPr>
          <w:bCs/>
          <w:iCs/>
        </w:rPr>
        <w:t>2</w:t>
      </w:r>
      <w:r>
        <w:rPr>
          <w:bCs/>
          <w:iCs/>
        </w:rPr>
        <w:t> generator</w:t>
      </w:r>
      <w:r w:rsidR="00AE0F48">
        <w:rPr>
          <w:bCs/>
          <w:iCs/>
        </w:rPr>
        <w:t>s</w:t>
      </w:r>
      <w:r>
        <w:rPr>
          <w:bCs/>
          <w:iCs/>
        </w:rPr>
        <w:t xml:space="preserve"> accumulating more than 6,000 kg of hazardous secondary material will conduct emergency procedure activities (i.e., </w:t>
      </w:r>
      <w:r w:rsidR="00AE0F48">
        <w:rPr>
          <w:bCs/>
          <w:iCs/>
        </w:rPr>
        <w:t>105</w:t>
      </w:r>
      <w:r>
        <w:rPr>
          <w:bCs/>
          <w:iCs/>
        </w:rPr>
        <w:t xml:space="preserve"> x 0.017)</w:t>
      </w:r>
      <w:r w:rsidRPr="007A514F">
        <w:rPr>
          <w:bCs/>
          <w:iCs/>
        </w:rPr>
        <w:t>.</w:t>
      </w:r>
      <w:r>
        <w:rPr>
          <w:bCs/>
          <w:iCs/>
        </w:rPr>
        <w:t xml:space="preserve"> </w:t>
      </w:r>
    </w:p>
    <w:p w:rsidR="00A92531" w:rsidP="00A92531" w:rsidRDefault="00A92531" w14:paraId="197A3C44" w14:textId="77777777">
      <w:pPr>
        <w:pStyle w:val="BodyTextDSW"/>
        <w:keepNext/>
        <w:numPr>
          <w:ilvl w:val="0"/>
          <w:numId w:val="51"/>
        </w:numPr>
        <w:spacing w:before="240" w:after="240"/>
        <w:rPr>
          <w:b/>
          <w:bCs/>
        </w:rPr>
      </w:pPr>
      <w:r w:rsidRPr="008E1762">
        <w:rPr>
          <w:b/>
          <w:bCs/>
        </w:rPr>
        <w:t>Certifications</w:t>
      </w:r>
    </w:p>
    <w:p w:rsidRPr="008E1762" w:rsidR="00A92531" w:rsidP="008E1762" w:rsidRDefault="00ED7A40" w14:paraId="0166B13B" w14:textId="77777777">
      <w:pPr>
        <w:pStyle w:val="BodyTextDSW"/>
        <w:keepNext/>
        <w:spacing w:before="240" w:after="240"/>
      </w:pPr>
      <w:r>
        <w:t xml:space="preserve">All 110 facilities are expected to prepare </w:t>
      </w:r>
      <w:r w:rsidRPr="00ED7A40">
        <w:t>certifications for hazardous secondary material generated and reclaimed under the control of the generator</w:t>
      </w:r>
      <w:r>
        <w:t>.</w:t>
      </w:r>
    </w:p>
    <w:p w:rsidR="00A1612F" w:rsidP="00D900B5" w:rsidRDefault="00D068A8" w14:paraId="5BA9E492" w14:textId="77777777">
      <w:pPr>
        <w:pStyle w:val="BodyTextDSW"/>
        <w:keepNext/>
        <w:numPr>
          <w:ilvl w:val="0"/>
          <w:numId w:val="49"/>
        </w:numPr>
        <w:rPr>
          <w:b/>
        </w:rPr>
      </w:pPr>
      <w:r>
        <w:rPr>
          <w:b/>
        </w:rPr>
        <w:t xml:space="preserve">Solid Waste </w:t>
      </w:r>
      <w:r w:rsidRPr="00BF2F8E" w:rsidR="00D854DE">
        <w:rPr>
          <w:b/>
        </w:rPr>
        <w:t>Variance</w:t>
      </w:r>
      <w:r>
        <w:rPr>
          <w:b/>
        </w:rPr>
        <w:t>s</w:t>
      </w:r>
      <w:r w:rsidRPr="00BF2F8E" w:rsidR="00D854DE">
        <w:rPr>
          <w:b/>
        </w:rPr>
        <w:t xml:space="preserve"> and Non-Waste Determination</w:t>
      </w:r>
      <w:r>
        <w:rPr>
          <w:b/>
        </w:rPr>
        <w:t>s</w:t>
      </w:r>
      <w:r w:rsidRPr="00BF2F8E" w:rsidR="00D854DE">
        <w:rPr>
          <w:b/>
        </w:rPr>
        <w:t xml:space="preserve"> </w:t>
      </w:r>
    </w:p>
    <w:p w:rsidRPr="008E1762" w:rsidR="0052409E" w:rsidP="008E1762" w:rsidRDefault="0052409E" w14:paraId="1FB2A177" w14:textId="77777777">
      <w:pPr>
        <w:pStyle w:val="BodyTextDSW"/>
        <w:keepNext/>
        <w:numPr>
          <w:ilvl w:val="0"/>
          <w:numId w:val="53"/>
        </w:numPr>
        <w:spacing w:before="240" w:after="240"/>
        <w:rPr>
          <w:b/>
          <w:bCs/>
        </w:rPr>
      </w:pPr>
      <w:r w:rsidRPr="008E1762">
        <w:rPr>
          <w:b/>
          <w:bCs/>
        </w:rPr>
        <w:t xml:space="preserve">Variances </w:t>
      </w:r>
    </w:p>
    <w:p w:rsidR="0052409E" w:rsidP="00B3490A" w:rsidRDefault="0052409E" w14:paraId="22E90ACE" w14:textId="77777777">
      <w:pPr>
        <w:pStyle w:val="BodyTextDSW"/>
        <w:keepNext/>
        <w:spacing w:before="240" w:after="240"/>
        <w:ind w:firstLine="0"/>
        <w:rPr>
          <w:b/>
          <w:bCs/>
        </w:rPr>
      </w:pPr>
      <w:r>
        <w:rPr>
          <w:b/>
          <w:bCs/>
        </w:rPr>
        <w:t>(</w:t>
      </w:r>
      <w:r w:rsidR="001F3F6B">
        <w:rPr>
          <w:b/>
          <w:bCs/>
        </w:rPr>
        <w:t>a</w:t>
      </w:r>
      <w:r>
        <w:rPr>
          <w:b/>
          <w:bCs/>
        </w:rPr>
        <w:t>1)</w:t>
      </w:r>
      <w:r>
        <w:rPr>
          <w:b/>
          <w:bCs/>
        </w:rPr>
        <w:tab/>
      </w:r>
      <w:r w:rsidRPr="0052409E">
        <w:rPr>
          <w:b/>
          <w:bCs/>
        </w:rPr>
        <w:t>Variance from Classification as a Solid Waste</w:t>
      </w:r>
    </w:p>
    <w:p w:rsidR="0052409E" w:rsidP="0052409E" w:rsidRDefault="0052409E" w14:paraId="615039A1" w14:textId="77777777">
      <w:pPr>
        <w:pStyle w:val="BodyTextDSW"/>
        <w:rPr>
          <w:u w:val="single"/>
        </w:rPr>
      </w:pPr>
      <w:r>
        <w:t xml:space="preserve">Facilities applying for partial reclamation variances are required to meet a revised list of five factors to obtain the variance. EPA estimates that there are an average </w:t>
      </w:r>
      <w:r w:rsidRPr="00810E8A">
        <w:t xml:space="preserve">of </w:t>
      </w:r>
      <w:r w:rsidRPr="009D4845">
        <w:t>four</w:t>
      </w:r>
      <w:r>
        <w:t xml:space="preserve"> variance applications annually under 40 CFR 260.31(c).</w:t>
      </w:r>
      <w:r w:rsidRPr="0052409E">
        <w:rPr>
          <w:rStyle w:val="FootnoteReference"/>
        </w:rPr>
        <w:t xml:space="preserve"> </w:t>
      </w:r>
      <w:r>
        <w:rPr>
          <w:rStyle w:val="FootnoteReference"/>
        </w:rPr>
        <w:footnoteReference w:id="26"/>
      </w:r>
      <w:r>
        <w:t xml:space="preserve"> The facilities applying for these variances will be required to document that their applications meet </w:t>
      </w:r>
      <w:r w:rsidRPr="008A4338">
        <w:t xml:space="preserve">these </w:t>
      </w:r>
      <w:r w:rsidRPr="009D4845">
        <w:t>five factors</w:t>
      </w:r>
      <w:r w:rsidRPr="008A4338">
        <w:t xml:space="preserve">. </w:t>
      </w:r>
    </w:p>
    <w:p w:rsidRPr="00D900B5" w:rsidR="0052409E" w:rsidP="008E1762" w:rsidRDefault="0052409E" w14:paraId="5DBFC98D" w14:textId="77777777">
      <w:pPr>
        <w:pStyle w:val="BodyTextDSW"/>
        <w:keepNext/>
        <w:spacing w:before="240" w:after="240"/>
        <w:ind w:left="720" w:hanging="720"/>
        <w:rPr>
          <w:b/>
          <w:bCs/>
        </w:rPr>
      </w:pPr>
      <w:r>
        <w:rPr>
          <w:b/>
          <w:bCs/>
        </w:rPr>
        <w:t>(</w:t>
      </w:r>
      <w:r w:rsidR="001F3F6B">
        <w:rPr>
          <w:b/>
          <w:bCs/>
        </w:rPr>
        <w:t>a</w:t>
      </w:r>
      <w:r>
        <w:rPr>
          <w:b/>
          <w:bCs/>
        </w:rPr>
        <w:t>2)</w:t>
      </w:r>
      <w:r>
        <w:rPr>
          <w:b/>
          <w:bCs/>
        </w:rPr>
        <w:tab/>
      </w:r>
      <w:r w:rsidRPr="00D900B5">
        <w:rPr>
          <w:b/>
          <w:bCs/>
        </w:rPr>
        <w:t>Notice and Potential Re-Application for Solid Waste Variances in the Event of a Change</w:t>
      </w:r>
    </w:p>
    <w:p w:rsidR="0052409E" w:rsidP="0052409E" w:rsidRDefault="0052409E" w14:paraId="21A40DED" w14:textId="77777777">
      <w:pPr>
        <w:pStyle w:val="BodyTextDSW"/>
      </w:pPr>
      <w:r>
        <w:t xml:space="preserve">EPA estimates that, each year, there will be four variance re-applications under 40 CFR 260.33(c). </w:t>
      </w:r>
    </w:p>
    <w:p w:rsidRPr="00D900B5" w:rsidR="007146D1" w:rsidP="008E1762" w:rsidRDefault="0052409E" w14:paraId="2DB6FF8F" w14:textId="77777777">
      <w:pPr>
        <w:pStyle w:val="BodyTextDSW"/>
        <w:keepNext/>
        <w:spacing w:before="240" w:after="240"/>
        <w:ind w:firstLine="0"/>
        <w:rPr>
          <w:b/>
          <w:bCs/>
        </w:rPr>
      </w:pPr>
      <w:r>
        <w:rPr>
          <w:b/>
          <w:bCs/>
        </w:rPr>
        <w:lastRenderedPageBreak/>
        <w:t>(</w:t>
      </w:r>
      <w:r w:rsidR="001F3F6B">
        <w:rPr>
          <w:b/>
          <w:bCs/>
        </w:rPr>
        <w:t>a</w:t>
      </w:r>
      <w:r w:rsidR="00A82651">
        <w:rPr>
          <w:b/>
          <w:bCs/>
        </w:rPr>
        <w:t>3</w:t>
      </w:r>
      <w:r>
        <w:rPr>
          <w:b/>
          <w:bCs/>
        </w:rPr>
        <w:t>)</w:t>
      </w:r>
      <w:r>
        <w:rPr>
          <w:b/>
          <w:bCs/>
        </w:rPr>
        <w:tab/>
      </w:r>
      <w:r w:rsidRPr="00D900B5" w:rsidR="007146D1">
        <w:rPr>
          <w:b/>
          <w:bCs/>
        </w:rPr>
        <w:t>Re-Application for Solid Waste Variances Every Ten Years</w:t>
      </w:r>
    </w:p>
    <w:p w:rsidR="007146D1" w:rsidP="005A555E" w:rsidRDefault="007146D1" w14:paraId="6076EF35" w14:textId="77777777">
      <w:pPr>
        <w:pStyle w:val="BodyTextDSW"/>
      </w:pPr>
      <w:r>
        <w:t xml:space="preserve">EPA anticipates that, each year, two facilities will submit a solid waste variance </w:t>
      </w:r>
      <w:r w:rsidR="00B737DF">
        <w:t>due to</w:t>
      </w:r>
      <w:r w:rsidRPr="009D4845">
        <w:t xml:space="preserve"> the provision at 40 CFR 260.33(d) that variances should be effective for a fixed term not to exceed ten years. At the end of this term, facilities must re-apply for a variance. </w:t>
      </w:r>
    </w:p>
    <w:p w:rsidRPr="00D900B5" w:rsidR="001F3F6B" w:rsidP="001F3F6B" w:rsidRDefault="001F3F6B" w14:paraId="4DC3B16D" w14:textId="77777777">
      <w:pPr>
        <w:pStyle w:val="BodyTextDSW"/>
        <w:keepNext/>
        <w:numPr>
          <w:ilvl w:val="0"/>
          <w:numId w:val="53"/>
        </w:numPr>
        <w:spacing w:before="240" w:after="240"/>
        <w:rPr>
          <w:b/>
          <w:bCs/>
        </w:rPr>
      </w:pPr>
      <w:r>
        <w:rPr>
          <w:b/>
          <w:bCs/>
        </w:rPr>
        <w:t>Non-Waste Determinations</w:t>
      </w:r>
    </w:p>
    <w:p w:rsidR="001F3F6B" w:rsidP="001F3F6B" w:rsidRDefault="001F3F6B" w14:paraId="677A6F06" w14:textId="77777777">
      <w:pPr>
        <w:pStyle w:val="BodyTextDSW"/>
        <w:ind w:firstLine="0"/>
        <w:rPr>
          <w:b/>
          <w:bCs/>
        </w:rPr>
      </w:pPr>
      <w:r w:rsidRPr="005A2D75">
        <w:rPr>
          <w:b/>
          <w:bCs/>
        </w:rPr>
        <w:t>(</w:t>
      </w:r>
      <w:r>
        <w:rPr>
          <w:b/>
          <w:bCs/>
        </w:rPr>
        <w:t>b</w:t>
      </w:r>
      <w:r w:rsidRPr="005A2D75">
        <w:rPr>
          <w:b/>
          <w:bCs/>
        </w:rPr>
        <w:t>1)</w:t>
      </w:r>
      <w:r w:rsidRPr="005A2D75">
        <w:rPr>
          <w:b/>
          <w:bCs/>
        </w:rPr>
        <w:tab/>
      </w:r>
      <w:r w:rsidRPr="00047901">
        <w:rPr>
          <w:b/>
          <w:bCs/>
        </w:rPr>
        <w:t>Application for Non-Waste Determination</w:t>
      </w:r>
    </w:p>
    <w:p w:rsidR="001F3F6B" w:rsidP="001F3F6B" w:rsidRDefault="001F3F6B" w14:paraId="5F021D82" w14:textId="77777777">
      <w:pPr>
        <w:pStyle w:val="BodyTextDSW"/>
      </w:pPr>
      <w:r>
        <w:t xml:space="preserve">EPA </w:t>
      </w:r>
      <w:r w:rsidRPr="00810E8A">
        <w:t xml:space="preserve">estimates </w:t>
      </w:r>
      <w:r>
        <w:t xml:space="preserve">that, each year, </w:t>
      </w:r>
      <w:r w:rsidRPr="009D4845">
        <w:t>seven</w:t>
      </w:r>
      <w:r w:rsidRPr="00810E8A">
        <w:t xml:space="preserve"> facilities</w:t>
      </w:r>
      <w:r>
        <w:t xml:space="preserve"> will seek non-waste determinations.</w:t>
      </w:r>
      <w:r>
        <w:rPr>
          <w:rStyle w:val="FootnoteReference"/>
        </w:rPr>
        <w:footnoteReference w:id="27"/>
      </w:r>
      <w:r>
        <w:t xml:space="preserve"> </w:t>
      </w:r>
    </w:p>
    <w:p w:rsidRPr="00D900B5" w:rsidR="001F3F6B" w:rsidP="001F3F6B" w:rsidRDefault="001F3F6B" w14:paraId="6F32E661" w14:textId="77777777">
      <w:pPr>
        <w:pStyle w:val="BodyTextDSW"/>
        <w:keepNext/>
        <w:spacing w:before="240" w:after="240"/>
        <w:ind w:firstLine="0"/>
        <w:rPr>
          <w:b/>
          <w:bCs/>
        </w:rPr>
      </w:pPr>
      <w:r>
        <w:rPr>
          <w:b/>
          <w:bCs/>
        </w:rPr>
        <w:t>(b2)</w:t>
      </w:r>
      <w:r>
        <w:rPr>
          <w:b/>
          <w:bCs/>
        </w:rPr>
        <w:tab/>
      </w:r>
      <w:r w:rsidRPr="00D900B5">
        <w:rPr>
          <w:b/>
          <w:bCs/>
        </w:rPr>
        <w:t>Change to Non-Waste Determination Process</w:t>
      </w:r>
    </w:p>
    <w:p w:rsidR="001F3F6B" w:rsidP="001F3F6B" w:rsidRDefault="001F3F6B" w14:paraId="0EBD157F" w14:textId="77777777">
      <w:pPr>
        <w:pStyle w:val="BodyTextDSW"/>
      </w:pPr>
      <w:r>
        <w:t xml:space="preserve">EPA </w:t>
      </w:r>
      <w:r w:rsidRPr="00810E8A">
        <w:t xml:space="preserve">estimates </w:t>
      </w:r>
      <w:r>
        <w:t xml:space="preserve">that, each year, </w:t>
      </w:r>
      <w:r w:rsidRPr="009D4845">
        <w:t>seven</w:t>
      </w:r>
      <w:r w:rsidRPr="00810E8A">
        <w:t xml:space="preserve"> facilities</w:t>
      </w:r>
      <w:r>
        <w:t xml:space="preserve"> will seek non-waste determinations.</w:t>
      </w:r>
      <w:r>
        <w:rPr>
          <w:rStyle w:val="FootnoteReference"/>
        </w:rPr>
        <w:footnoteReference w:id="28"/>
      </w:r>
      <w:r>
        <w:t xml:space="preserve"> Facilities seeking a non-waste determination under 40 CFR 260.34 are required to demonstrate why they cannot or should not meet existing exclusions to the definition of solid waste.</w:t>
      </w:r>
    </w:p>
    <w:p w:rsidRPr="00D900B5" w:rsidR="001F3F6B" w:rsidP="001F3F6B" w:rsidRDefault="001F3F6B" w14:paraId="06EE5F2A" w14:textId="77777777">
      <w:pPr>
        <w:pStyle w:val="BodyTextDSW"/>
        <w:keepNext/>
        <w:spacing w:before="240" w:after="240"/>
        <w:ind w:firstLine="0"/>
        <w:rPr>
          <w:b/>
          <w:bCs/>
        </w:rPr>
      </w:pPr>
      <w:r>
        <w:rPr>
          <w:b/>
          <w:bCs/>
        </w:rPr>
        <w:t>(b3)</w:t>
      </w:r>
      <w:r>
        <w:rPr>
          <w:b/>
          <w:bCs/>
        </w:rPr>
        <w:tab/>
      </w:r>
      <w:r w:rsidRPr="005A2D75">
        <w:rPr>
          <w:b/>
          <w:bCs/>
        </w:rPr>
        <w:t>Re-Application for Non-Waste Determinations Every Ten Years</w:t>
      </w:r>
    </w:p>
    <w:p w:rsidR="001F3F6B" w:rsidP="001F3F6B" w:rsidRDefault="001F3F6B" w14:paraId="01C58050" w14:textId="77777777">
      <w:pPr>
        <w:pStyle w:val="BodyTextDSW"/>
      </w:pPr>
      <w:r>
        <w:t xml:space="preserve">EPA does not anticipate that any </w:t>
      </w:r>
      <w:r w:rsidRPr="009D4845">
        <w:t>facilit</w:t>
      </w:r>
      <w:r>
        <w:t>y</w:t>
      </w:r>
      <w:r w:rsidRPr="009D4845" w:rsidDel="00870508">
        <w:t xml:space="preserve"> </w:t>
      </w:r>
      <w:r w:rsidRPr="009D4845">
        <w:t xml:space="preserve">will re-submit a non-waste determination petition </w:t>
      </w:r>
      <w:r>
        <w:t>during the three-year period covered by this ICR.</w:t>
      </w:r>
    </w:p>
    <w:p w:rsidR="00A1612F" w:rsidP="008E1762" w:rsidRDefault="00A1612F" w14:paraId="10D83D6E" w14:textId="77777777">
      <w:pPr>
        <w:pStyle w:val="BodyTextDSW"/>
        <w:keepNext/>
        <w:numPr>
          <w:ilvl w:val="0"/>
          <w:numId w:val="49"/>
        </w:numPr>
        <w:spacing w:before="240" w:after="240"/>
        <w:rPr>
          <w:b/>
        </w:rPr>
      </w:pPr>
      <w:r>
        <w:rPr>
          <w:b/>
        </w:rPr>
        <w:t>Re</w:t>
      </w:r>
      <w:r w:rsidR="00D22EA5">
        <w:rPr>
          <w:b/>
        </w:rPr>
        <w:t>m</w:t>
      </w:r>
      <w:r>
        <w:rPr>
          <w:b/>
        </w:rPr>
        <w:t>anufacturing Exclusion</w:t>
      </w:r>
    </w:p>
    <w:p w:rsidR="00A1612F" w:rsidRDefault="00A1612F" w14:paraId="52B95990" w14:textId="77777777">
      <w:pPr>
        <w:pStyle w:val="BodyTextDSW"/>
      </w:pPr>
      <w:r>
        <w:t xml:space="preserve">EPA estimates that </w:t>
      </w:r>
      <w:r w:rsidR="009F14DF">
        <w:t>one</w:t>
      </w:r>
      <w:r>
        <w:t xml:space="preserve"> </w:t>
      </w:r>
      <w:r w:rsidR="00116F3C">
        <w:t xml:space="preserve">generator </w:t>
      </w:r>
      <w:r>
        <w:t xml:space="preserve">will </w:t>
      </w:r>
      <w:r w:rsidR="009F14DF">
        <w:t>utilize the</w:t>
      </w:r>
      <w:r>
        <w:t xml:space="preserve"> remanufacturing exclusion. </w:t>
      </w:r>
    </w:p>
    <w:p w:rsidRPr="00D900B5" w:rsidR="00A1612F" w:rsidP="00D900B5" w:rsidRDefault="00A1612F" w14:paraId="2BADC76D" w14:textId="77777777">
      <w:pPr>
        <w:pStyle w:val="BodyTextDSW"/>
        <w:keepNext/>
        <w:numPr>
          <w:ilvl w:val="0"/>
          <w:numId w:val="54"/>
        </w:numPr>
        <w:spacing w:before="240" w:after="240"/>
        <w:rPr>
          <w:b/>
          <w:bCs/>
        </w:rPr>
      </w:pPr>
      <w:r w:rsidRPr="00D900B5">
        <w:rPr>
          <w:b/>
          <w:bCs/>
        </w:rPr>
        <w:t>Petition Process</w:t>
      </w:r>
    </w:p>
    <w:p w:rsidR="00A1612F" w:rsidRDefault="00116F3C" w14:paraId="44C85978" w14:textId="77777777">
      <w:pPr>
        <w:pStyle w:val="BodyTextDSW"/>
      </w:pPr>
      <w:r>
        <w:t>EPA estimates that one facility</w:t>
      </w:r>
      <w:r w:rsidRPr="00C95AC3" w:rsidR="00A1612F">
        <w:t xml:space="preserve"> will file a petition to add chemicals or industrial and/or chemical functions to the exclusion, which </w:t>
      </w:r>
      <w:r w:rsidR="002B0F28">
        <w:t xml:space="preserve">also </w:t>
      </w:r>
      <w:r w:rsidRPr="00C95AC3" w:rsidR="00A1612F">
        <w:t xml:space="preserve">will require sampling and analytical costs to document hazardous secondary material characterization. </w:t>
      </w:r>
      <w:r w:rsidRPr="00810E8A" w:rsidR="00A1612F">
        <w:t>EPA estim</w:t>
      </w:r>
      <w:r w:rsidRPr="00C95AC3" w:rsidR="00A1612F">
        <w:t>ates that</w:t>
      </w:r>
      <w:r w:rsidR="00F73F7C">
        <w:t>, on average,</w:t>
      </w:r>
      <w:r w:rsidRPr="00C95AC3" w:rsidR="00A1612F">
        <w:t xml:space="preserve"> these petitions are submitted once every five years. </w:t>
      </w:r>
      <w:r w:rsidR="00F73F7C">
        <w:t>As a result, o</w:t>
      </w:r>
      <w:r w:rsidRPr="00C95AC3" w:rsidR="00A1612F">
        <w:t xml:space="preserve">n an annual basis, </w:t>
      </w:r>
      <w:r w:rsidRPr="009D4845" w:rsidR="00A1612F">
        <w:t>0.</w:t>
      </w:r>
      <w:r w:rsidRPr="009D4845" w:rsidR="00686441">
        <w:t>04</w:t>
      </w:r>
      <w:r w:rsidRPr="00810E8A" w:rsidR="00A1612F">
        <w:t xml:space="preserve"> facilities</w:t>
      </w:r>
      <w:r w:rsidR="00A1612F">
        <w:t xml:space="preserve"> will perform </w:t>
      </w:r>
      <w:r w:rsidR="007A5592">
        <w:t xml:space="preserve">petition process </w:t>
      </w:r>
      <w:r w:rsidR="00A1612F">
        <w:t>activities.</w:t>
      </w:r>
      <w:r w:rsidRPr="008C1565" w:rsidR="008C1565">
        <w:rPr>
          <w:rStyle w:val="FootnoteReference"/>
        </w:rPr>
        <w:t xml:space="preserve"> </w:t>
      </w:r>
      <w:r w:rsidR="008C1565">
        <w:rPr>
          <w:rStyle w:val="FootnoteReference"/>
        </w:rPr>
        <w:footnoteReference w:id="29"/>
      </w:r>
      <w:r w:rsidR="00A1612F">
        <w:t xml:space="preserve"> </w:t>
      </w:r>
    </w:p>
    <w:p w:rsidR="00A1612F" w:rsidP="00D900B5" w:rsidRDefault="008C1565" w14:paraId="551D2543" w14:textId="77777777">
      <w:pPr>
        <w:pStyle w:val="BodyTextDSW"/>
        <w:keepNext/>
        <w:numPr>
          <w:ilvl w:val="0"/>
          <w:numId w:val="54"/>
        </w:numPr>
        <w:spacing w:before="240" w:after="240"/>
        <w:rPr>
          <w:b/>
          <w:bCs/>
        </w:rPr>
      </w:pPr>
      <w:r w:rsidRPr="008E1762">
        <w:rPr>
          <w:b/>
          <w:bCs/>
        </w:rPr>
        <w:t>Exclusion Conditions</w:t>
      </w:r>
    </w:p>
    <w:p w:rsidRPr="008E1762" w:rsidR="008C1565" w:rsidP="008E1762" w:rsidRDefault="008C1565" w14:paraId="5A2B5EEB" w14:textId="77777777">
      <w:pPr>
        <w:pStyle w:val="BodyTextDSW"/>
        <w:keepNext/>
        <w:spacing w:before="240" w:after="240"/>
        <w:ind w:firstLine="0"/>
        <w:rPr>
          <w:b/>
          <w:bCs/>
        </w:rPr>
      </w:pPr>
      <w:r>
        <w:rPr>
          <w:b/>
          <w:bCs/>
        </w:rPr>
        <w:t>(b1)</w:t>
      </w:r>
      <w:r>
        <w:rPr>
          <w:b/>
          <w:bCs/>
        </w:rPr>
        <w:tab/>
        <w:t>Generator</w:t>
      </w:r>
    </w:p>
    <w:p w:rsidRPr="00D900B5" w:rsidR="00A1612F" w:rsidP="00D900B5" w:rsidRDefault="00A1612F" w14:paraId="4CE54692" w14:textId="77777777">
      <w:pPr>
        <w:spacing w:before="240" w:after="240"/>
        <w:ind w:left="720"/>
        <w:rPr>
          <w:sz w:val="24"/>
          <w:u w:val="single"/>
        </w:rPr>
      </w:pPr>
      <w:r w:rsidRPr="00D900B5">
        <w:rPr>
          <w:sz w:val="24"/>
          <w:u w:val="single"/>
        </w:rPr>
        <w:t>Remanufacturing Plan</w:t>
      </w:r>
    </w:p>
    <w:p w:rsidRPr="00304BFF" w:rsidR="00A1612F" w:rsidRDefault="00A1612F" w14:paraId="12D129C8" w14:textId="77777777">
      <w:pPr>
        <w:pStyle w:val="BodyTextDSW"/>
      </w:pPr>
      <w:r>
        <w:t xml:space="preserve">Remanufacturing plans are prepared by the generator and the remanufacturer. EPA assumes </w:t>
      </w:r>
      <w:r w:rsidR="00116F3C">
        <w:t>the one generator</w:t>
      </w:r>
      <w:r>
        <w:t xml:space="preserve"> will work with a single remanufacturer. Based on this information, EPA estimates </w:t>
      </w:r>
      <w:r w:rsidRPr="00810E8A">
        <w:t xml:space="preserve">that </w:t>
      </w:r>
      <w:r w:rsidR="00116F3C">
        <w:t>0.3</w:t>
      </w:r>
      <w:r w:rsidRPr="00810E8A" w:rsidR="00686441">
        <w:t xml:space="preserve"> </w:t>
      </w:r>
      <w:r w:rsidRPr="00810E8A">
        <w:t>generator</w:t>
      </w:r>
      <w:r w:rsidR="00116F3C">
        <w:t>s</w:t>
      </w:r>
      <w:r w:rsidRPr="00810E8A">
        <w:t xml:space="preserve"> per year will be required to make advance arrangements for </w:t>
      </w:r>
      <w:r w:rsidRPr="00810E8A">
        <w:lastRenderedPageBreak/>
        <w:t xml:space="preserve">remanufacturing and to prepare a remanufacturing plan in accordance with the </w:t>
      </w:r>
      <w:r w:rsidRPr="00304BFF" w:rsidR="001F7D60">
        <w:t>finalized</w:t>
      </w:r>
      <w:r w:rsidRPr="00304BFF">
        <w:t xml:space="preserve"> remanufacturing exemption.</w:t>
      </w:r>
      <w:r w:rsidR="008C1565">
        <w:rPr>
          <w:rStyle w:val="FootnoteReference"/>
        </w:rPr>
        <w:footnoteReference w:id="30"/>
      </w:r>
    </w:p>
    <w:p w:rsidRPr="00810E8A" w:rsidR="00A1612F" w:rsidRDefault="00A1612F" w14:paraId="7D3C8FDB" w14:textId="77777777">
      <w:pPr>
        <w:pStyle w:val="BodyTextDSW"/>
      </w:pPr>
      <w:r w:rsidRPr="00B53282">
        <w:t xml:space="preserve">Generators will be required to maintain this </w:t>
      </w:r>
      <w:r w:rsidRPr="00D17C82">
        <w:t>plan on-site for three years, and therefore the equivalent of one-third of generators (</w:t>
      </w:r>
      <w:r w:rsidRPr="009D4845" w:rsidR="00686441">
        <w:t>1</w:t>
      </w:r>
      <w:r w:rsidRPr="00810E8A">
        <w:t>) will perform this activity on an annual basis.</w:t>
      </w:r>
    </w:p>
    <w:p w:rsidRPr="00810E8A" w:rsidR="00A1612F" w:rsidRDefault="00A1612F" w14:paraId="1767B93A" w14:textId="77777777">
      <w:pPr>
        <w:pStyle w:val="BodyTextDSW"/>
      </w:pPr>
      <w:r w:rsidRPr="00C95AC3">
        <w:t>EPA estimates that generators will submit contractual arrangements with every twentieth shipment. Because each generator</w:t>
      </w:r>
      <w:r w:rsidRPr="00B53282">
        <w:t xml:space="preserve"> will ship an average of 10.6 shipments per year, an average of 53</w:t>
      </w:r>
      <w:r w:rsidR="008C1565">
        <w:t xml:space="preserve"> percent</w:t>
      </w:r>
      <w:r w:rsidRPr="00B53282">
        <w:t xml:space="preserve"> of facilities (</w:t>
      </w:r>
      <w:r w:rsidR="008C1565">
        <w:t>0</w:t>
      </w:r>
      <w:r w:rsidR="00116F3C">
        <w:t>.5</w:t>
      </w:r>
      <w:r w:rsidRPr="00810E8A">
        <w:t>) will be required to submit contractual arrangements in a single year.</w:t>
      </w:r>
      <w:r w:rsidR="008C1565">
        <w:rPr>
          <w:rStyle w:val="FootnoteReference"/>
        </w:rPr>
        <w:footnoteReference w:id="31"/>
      </w:r>
    </w:p>
    <w:p w:rsidRPr="00D900B5" w:rsidR="00A1612F" w:rsidP="00D900B5" w:rsidRDefault="00A1612F" w14:paraId="01399282" w14:textId="77777777">
      <w:pPr>
        <w:spacing w:before="240" w:after="240"/>
        <w:ind w:left="720"/>
        <w:rPr>
          <w:sz w:val="24"/>
          <w:u w:val="single"/>
        </w:rPr>
      </w:pPr>
      <w:r w:rsidRPr="00D900B5">
        <w:rPr>
          <w:sz w:val="24"/>
          <w:u w:val="single"/>
        </w:rPr>
        <w:t>Record of Shipments and Confirmations of Receipts</w:t>
      </w:r>
    </w:p>
    <w:p w:rsidR="00A1612F" w:rsidRDefault="00A1612F" w14:paraId="18B62DB1" w14:textId="77777777">
      <w:pPr>
        <w:pStyle w:val="BodyTextDSW"/>
      </w:pPr>
      <w:r>
        <w:t xml:space="preserve">Facilities operating under the </w:t>
      </w:r>
      <w:r w:rsidR="001F7D60">
        <w:t>finalized</w:t>
      </w:r>
      <w:r>
        <w:t xml:space="preserve"> remanufacturing exclusion will be required to maintain records of shipments and confirmations of receipts for a three-year period from the date of shipment. EPA </w:t>
      </w:r>
      <w:r w:rsidRPr="00810E8A">
        <w:t xml:space="preserve">estimates that </w:t>
      </w:r>
      <w:r w:rsidR="00116F3C">
        <w:t>one</w:t>
      </w:r>
      <w:r w:rsidRPr="00810E8A" w:rsidR="006D0B44">
        <w:t xml:space="preserve"> </w:t>
      </w:r>
      <w:r w:rsidRPr="00C95AC3">
        <w:t xml:space="preserve">eligible </w:t>
      </w:r>
      <w:r w:rsidR="00116F3C">
        <w:t>facility</w:t>
      </w:r>
      <w:r w:rsidRPr="00C95AC3">
        <w:t xml:space="preserve"> will be required to maintain these records over three years, and that each</w:t>
      </w:r>
      <w:r>
        <w:t xml:space="preserve"> facility will produce 10.6 shipments per year.</w:t>
      </w:r>
      <w:r w:rsidR="00C17AE4">
        <w:rPr>
          <w:rStyle w:val="FootnoteReference"/>
        </w:rPr>
        <w:footnoteReference w:id="32"/>
      </w:r>
      <w:r>
        <w:t xml:space="preserve"> On an annual basis, </w:t>
      </w:r>
      <w:r w:rsidR="00686441">
        <w:t xml:space="preserve">one </w:t>
      </w:r>
      <w:r>
        <w:t>facilit</w:t>
      </w:r>
      <w:r w:rsidR="00686441">
        <w:t>y</w:t>
      </w:r>
      <w:r>
        <w:t xml:space="preserve"> will produce a total of </w:t>
      </w:r>
      <w:r w:rsidR="00686441">
        <w:t xml:space="preserve">10.6 </w:t>
      </w:r>
      <w:r>
        <w:t xml:space="preserve">shipments per year and will perform each of these two activities with each shipment. </w:t>
      </w:r>
      <w:r w:rsidR="00CF58A8">
        <w:t>Therefore, the annual number of res</w:t>
      </w:r>
      <w:r w:rsidR="00116F3C">
        <w:t>pondent activities is 3.5</w:t>
      </w:r>
      <w:r w:rsidR="00CF58A8">
        <w:t xml:space="preserve"> (</w:t>
      </w:r>
      <w:r w:rsidR="00116F3C">
        <w:t>one</w:t>
      </w:r>
      <w:r w:rsidR="00CF58A8">
        <w:t xml:space="preserve"> facilit</w:t>
      </w:r>
      <w:r w:rsidR="00C17AE4">
        <w:t>y</w:t>
      </w:r>
      <w:r w:rsidR="00CF58A8">
        <w:t xml:space="preserve"> over three years, multiplied by 10.6 shipments per year).</w:t>
      </w:r>
    </w:p>
    <w:p w:rsidRPr="00D900B5" w:rsidR="00A1612F" w:rsidP="00D900B5" w:rsidRDefault="00A1612F" w14:paraId="20039614" w14:textId="77777777">
      <w:pPr>
        <w:spacing w:before="240" w:after="240"/>
        <w:ind w:left="720"/>
        <w:rPr>
          <w:sz w:val="24"/>
          <w:u w:val="single"/>
        </w:rPr>
      </w:pPr>
      <w:r w:rsidRPr="00D900B5">
        <w:rPr>
          <w:sz w:val="24"/>
          <w:u w:val="single"/>
        </w:rPr>
        <w:t>Management in Tanks and Containers</w:t>
      </w:r>
    </w:p>
    <w:p w:rsidR="00A1612F" w:rsidRDefault="00A1612F" w14:paraId="44A133C7" w14:textId="77777777">
      <w:pPr>
        <w:pStyle w:val="BodyTextDSW"/>
      </w:pPr>
      <w:r>
        <w:t xml:space="preserve">EPA estimates that </w:t>
      </w:r>
      <w:r w:rsidRPr="00A10DCE">
        <w:t xml:space="preserve">the </w:t>
      </w:r>
      <w:r w:rsidR="00116F3C">
        <w:t>one</w:t>
      </w:r>
      <w:r>
        <w:t xml:space="preserve"> </w:t>
      </w:r>
      <w:r w:rsidR="006F5822">
        <w:t xml:space="preserve">facility </w:t>
      </w:r>
      <w:r>
        <w:t xml:space="preserve">operating under the remanufacturing exclusion will be required to label or record in a </w:t>
      </w:r>
      <w:proofErr w:type="gramStart"/>
      <w:r>
        <w:t>log materials</w:t>
      </w:r>
      <w:proofErr w:type="gramEnd"/>
      <w:r>
        <w:t xml:space="preserve"> stored in tanks or containers prior to manufacturing. </w:t>
      </w:r>
    </w:p>
    <w:p w:rsidRPr="00D900B5" w:rsidR="00A1612F" w:rsidP="008E1762" w:rsidRDefault="005F0A77" w14:paraId="774C2574" w14:textId="77777777">
      <w:pPr>
        <w:pStyle w:val="BodyTextDSW"/>
        <w:keepNext/>
        <w:spacing w:before="240" w:after="240"/>
        <w:ind w:firstLine="0"/>
        <w:rPr>
          <w:b/>
          <w:bCs/>
        </w:rPr>
      </w:pPr>
      <w:r>
        <w:rPr>
          <w:b/>
          <w:bCs/>
        </w:rPr>
        <w:t>(b2)</w:t>
      </w:r>
      <w:r>
        <w:rPr>
          <w:b/>
          <w:bCs/>
        </w:rPr>
        <w:tab/>
      </w:r>
      <w:r w:rsidRPr="00D900B5" w:rsidR="00A1612F">
        <w:rPr>
          <w:b/>
          <w:bCs/>
        </w:rPr>
        <w:t>Re</w:t>
      </w:r>
      <w:r w:rsidRPr="00D900B5" w:rsidR="00915DB1">
        <w:rPr>
          <w:b/>
          <w:bCs/>
        </w:rPr>
        <w:t>m</w:t>
      </w:r>
      <w:r w:rsidRPr="00D900B5" w:rsidR="00A1612F">
        <w:rPr>
          <w:b/>
          <w:bCs/>
        </w:rPr>
        <w:t>anufacturer</w:t>
      </w:r>
    </w:p>
    <w:p w:rsidRPr="00D900B5" w:rsidR="00A1612F" w:rsidP="00D900B5" w:rsidRDefault="00A1612F" w14:paraId="3F45D8AA" w14:textId="77777777">
      <w:pPr>
        <w:spacing w:before="240" w:after="240"/>
        <w:ind w:left="720"/>
        <w:rPr>
          <w:sz w:val="24"/>
          <w:u w:val="single"/>
        </w:rPr>
      </w:pPr>
      <w:r w:rsidRPr="00D900B5">
        <w:rPr>
          <w:sz w:val="24"/>
          <w:u w:val="single"/>
        </w:rPr>
        <w:t>Remanufacturing Plan</w:t>
      </w:r>
    </w:p>
    <w:p w:rsidRPr="0028480C" w:rsidR="00A1612F" w:rsidRDefault="00A1612F" w14:paraId="7595BF9B" w14:textId="77777777">
      <w:pPr>
        <w:pStyle w:val="BodyTextDSW"/>
      </w:pPr>
      <w:r>
        <w:t xml:space="preserve">Remanufacturing plans are prepared by the generator and the remanufacturer. EPA assumes the number of remanufacturers is equivalent to the number of generators. Based on this </w:t>
      </w:r>
      <w:r w:rsidR="000E561D">
        <w:t>assumption</w:t>
      </w:r>
      <w:r>
        <w:t xml:space="preserve">, EPA estimates </w:t>
      </w:r>
      <w:r w:rsidRPr="00C95AC3">
        <w:t>that</w:t>
      </w:r>
      <w:r w:rsidR="000E561D">
        <w:t>, each year,</w:t>
      </w:r>
      <w:r w:rsidRPr="00C95AC3">
        <w:t xml:space="preserve"> </w:t>
      </w:r>
      <w:r w:rsidRPr="009D4845" w:rsidR="00686441">
        <w:t>one</w:t>
      </w:r>
      <w:r w:rsidRPr="00C95AC3" w:rsidR="00686441">
        <w:t xml:space="preserve"> </w:t>
      </w:r>
      <w:r w:rsidRPr="00C95AC3">
        <w:t xml:space="preserve">remanufacturer will be required to make advance arrangements with a generator and to prepare </w:t>
      </w:r>
      <w:r w:rsidRPr="00B53282">
        <w:t xml:space="preserve">a remanufacturing plan in accordance with the </w:t>
      </w:r>
      <w:r w:rsidRPr="00D17C82" w:rsidR="001F7D60">
        <w:t>finalized</w:t>
      </w:r>
      <w:r w:rsidRPr="0028480C">
        <w:t xml:space="preserve"> re-manufacturing exemption.</w:t>
      </w:r>
    </w:p>
    <w:p w:rsidR="00A1612F" w:rsidRDefault="00A1612F" w14:paraId="0CE492F3" w14:textId="77777777">
      <w:pPr>
        <w:pStyle w:val="BodyTextDSW"/>
      </w:pPr>
      <w:r w:rsidRPr="00631723">
        <w:t>Remanufacturers will be required to maintain this plan on-site for three years, and therefore the equivalent of one-third of remanufacturers (</w:t>
      </w:r>
      <w:r w:rsidR="000F74F2">
        <w:t>0.3</w:t>
      </w:r>
      <w:r w:rsidRPr="00C95AC3">
        <w:t>) will perform this activity on an annual basis.</w:t>
      </w:r>
    </w:p>
    <w:p w:rsidR="00A1612F" w:rsidRDefault="00A1612F" w14:paraId="37E62EA6" w14:textId="77777777">
      <w:pPr>
        <w:pStyle w:val="BodyTextDSW"/>
      </w:pPr>
      <w:r>
        <w:t xml:space="preserve">EPA estimates that remanufacturers will submit contractual arrangements with every twentieth shipment. Because each generator will ship an average of 10.6 shipments per year, and the </w:t>
      </w:r>
      <w:r w:rsidRPr="00C95AC3">
        <w:t xml:space="preserve">number of generators and remanufacturers is assumed to be equal, an average of </w:t>
      </w:r>
      <w:r w:rsidRPr="009D4845">
        <w:t>53</w:t>
      </w:r>
      <w:r w:rsidR="000E561D">
        <w:t xml:space="preserve"> percent</w:t>
      </w:r>
      <w:r w:rsidRPr="00C95AC3">
        <w:t xml:space="preserve"> of facilities (</w:t>
      </w:r>
      <w:r w:rsidR="000E561D">
        <w:t>0</w:t>
      </w:r>
      <w:r w:rsidR="000F74F2">
        <w:t>.5</w:t>
      </w:r>
      <w:r w:rsidRPr="00C95AC3">
        <w:t>) will be required to submit contractual arrangements in a single year.</w:t>
      </w:r>
    </w:p>
    <w:p w:rsidRPr="00D900B5" w:rsidR="00A1612F" w:rsidP="00D900B5" w:rsidRDefault="00A1612F" w14:paraId="14985CE4" w14:textId="77777777">
      <w:pPr>
        <w:spacing w:before="240" w:after="240"/>
        <w:ind w:left="720"/>
        <w:rPr>
          <w:sz w:val="24"/>
          <w:u w:val="single"/>
        </w:rPr>
      </w:pPr>
      <w:r w:rsidRPr="00D900B5">
        <w:rPr>
          <w:sz w:val="24"/>
          <w:u w:val="single"/>
        </w:rPr>
        <w:lastRenderedPageBreak/>
        <w:t>Record of Shipments and Confirmations of Receipts</w:t>
      </w:r>
    </w:p>
    <w:p w:rsidR="00A1612F" w:rsidRDefault="00A1612F" w14:paraId="34304E5A" w14:textId="77777777">
      <w:pPr>
        <w:pStyle w:val="BodyTextDSW"/>
      </w:pPr>
      <w:r>
        <w:t xml:space="preserve">Remanufacturers operating under the remanufacturing exclusion will be required to maintain records of </w:t>
      </w:r>
      <w:r w:rsidRPr="00C95AC3">
        <w:t xml:space="preserve">shipments and confirmations of receipts for a three-year period from the date of shipment. EPA estimates that </w:t>
      </w:r>
      <w:r w:rsidR="00BF7DCA">
        <w:t>one</w:t>
      </w:r>
      <w:r w:rsidRPr="00C95AC3" w:rsidR="00686441">
        <w:t xml:space="preserve"> </w:t>
      </w:r>
      <w:r w:rsidRPr="00C95AC3">
        <w:t>eligible facilit</w:t>
      </w:r>
      <w:r w:rsidR="001A567E">
        <w:t>y</w:t>
      </w:r>
      <w:r w:rsidRPr="00C95AC3">
        <w:t xml:space="preserve"> will be required to maintain these records over three years, and that </w:t>
      </w:r>
      <w:r w:rsidR="00BF7DCA">
        <w:t>the</w:t>
      </w:r>
      <w:r w:rsidRPr="00C95AC3">
        <w:t xml:space="preserve"> facility will produce 10.6 shipments per year. On an annual basis, </w:t>
      </w:r>
      <w:r w:rsidRPr="009D4845" w:rsidR="00686441">
        <w:t>one</w:t>
      </w:r>
      <w:r w:rsidRPr="00C95AC3" w:rsidR="00686441">
        <w:t xml:space="preserve"> </w:t>
      </w:r>
      <w:r w:rsidRPr="00C95AC3">
        <w:t>re-manufacturer</w:t>
      </w:r>
      <w:r>
        <w:t xml:space="preserve"> will produce a total of </w:t>
      </w:r>
      <w:r w:rsidR="00686441">
        <w:t xml:space="preserve">10.6 </w:t>
      </w:r>
      <w:r>
        <w:t xml:space="preserve">shipments per year. </w:t>
      </w:r>
      <w:r w:rsidR="00CF58A8">
        <w:t xml:space="preserve">Therefore, the annual number of respondent activities is </w:t>
      </w:r>
      <w:r w:rsidR="00BF7DCA">
        <w:t xml:space="preserve">3.5. </w:t>
      </w:r>
    </w:p>
    <w:p w:rsidRPr="00D900B5" w:rsidR="00A1612F" w:rsidP="00D900B5" w:rsidRDefault="00A1612F" w14:paraId="3C3A9D06" w14:textId="77777777">
      <w:pPr>
        <w:spacing w:before="240" w:after="240"/>
        <w:ind w:left="720"/>
        <w:rPr>
          <w:sz w:val="24"/>
          <w:u w:val="single"/>
        </w:rPr>
      </w:pPr>
      <w:r w:rsidRPr="00D900B5">
        <w:rPr>
          <w:sz w:val="24"/>
          <w:u w:val="single"/>
        </w:rPr>
        <w:t>Management in Tanks and Containers</w:t>
      </w:r>
    </w:p>
    <w:p w:rsidR="00374C9A" w:rsidP="00374C9A" w:rsidRDefault="00A1612F" w14:paraId="2FA6D037" w14:textId="77777777">
      <w:pPr>
        <w:pStyle w:val="BodyTextDSW"/>
      </w:pPr>
      <w:r>
        <w:t xml:space="preserve">EPA estimates </w:t>
      </w:r>
      <w:r w:rsidRPr="00C95AC3">
        <w:t xml:space="preserve">that the </w:t>
      </w:r>
      <w:r w:rsidR="00374C9A">
        <w:t>one</w:t>
      </w:r>
      <w:r w:rsidRPr="00C95AC3" w:rsidR="004C28BB">
        <w:t xml:space="preserve"> </w:t>
      </w:r>
      <w:r w:rsidR="00374C9A">
        <w:t xml:space="preserve">remanufacturer </w:t>
      </w:r>
      <w:r>
        <w:t xml:space="preserve">operating under the re-manufacturing exclusion will be required to label or record in a log </w:t>
      </w:r>
      <w:r w:rsidR="00B728F7">
        <w:t xml:space="preserve">the </w:t>
      </w:r>
      <w:r>
        <w:t xml:space="preserve">materials stored in tanks or containers prior to remanufacturing. </w:t>
      </w:r>
    </w:p>
    <w:p w:rsidR="00A1612F" w:rsidP="00D900B5" w:rsidRDefault="00B64622" w14:paraId="2D8E8A13" w14:textId="77777777">
      <w:pPr>
        <w:pStyle w:val="BodyTextDSW"/>
        <w:keepNext/>
        <w:numPr>
          <w:ilvl w:val="0"/>
          <w:numId w:val="49"/>
        </w:numPr>
        <w:rPr>
          <w:b/>
        </w:rPr>
      </w:pPr>
      <w:r>
        <w:rPr>
          <w:b/>
        </w:rPr>
        <w:t>Recordkeeping for Speculative Accumulation</w:t>
      </w:r>
    </w:p>
    <w:p w:rsidR="00214B04" w:rsidP="00584BEC" w:rsidRDefault="00A1612F" w14:paraId="5053C84D" w14:textId="77777777">
      <w:pPr>
        <w:pStyle w:val="BodyTextDSW"/>
      </w:pPr>
      <w:r>
        <w:t xml:space="preserve">EPA estimates </w:t>
      </w:r>
      <w:r w:rsidRPr="00C95AC3">
        <w:t xml:space="preserve">that </w:t>
      </w:r>
      <w:r w:rsidR="002F5B93">
        <w:t xml:space="preserve">the </w:t>
      </w:r>
      <w:r w:rsidR="00742E4B">
        <w:t>4,800</w:t>
      </w:r>
      <w:r w:rsidRPr="00D62523">
        <w:t xml:space="preserve"> facilities</w:t>
      </w:r>
      <w:r>
        <w:t xml:space="preserve"> eligible for pre-2008 DSW recycling exclusions will be </w:t>
      </w:r>
      <w:r w:rsidRPr="00C95AC3">
        <w:t>required to</w:t>
      </w:r>
      <w:r w:rsidR="00167A91">
        <w:t xml:space="preserve"> </w:t>
      </w:r>
      <w:r w:rsidRPr="00C95AC3">
        <w:t>label containers in satellite and accumulation areas</w:t>
      </w:r>
      <w:r w:rsidRPr="00D17C82">
        <w:t xml:space="preserve">. </w:t>
      </w:r>
    </w:p>
    <w:p w:rsidR="00A1612F" w:rsidRDefault="00167A91" w14:paraId="3938242A" w14:textId="77777777">
      <w:pPr>
        <w:pStyle w:val="BodyTextDSW"/>
      </w:pPr>
      <w:r>
        <w:t xml:space="preserve">In addition, these </w:t>
      </w:r>
      <w:r w:rsidR="002F5B93">
        <w:t xml:space="preserve">4,800 </w:t>
      </w:r>
      <w:r>
        <w:t>facilities</w:t>
      </w:r>
      <w:r w:rsidR="00214B04">
        <w:t xml:space="preserve"> </w:t>
      </w:r>
      <w:r w:rsidRPr="00C95AC3" w:rsidR="00A1612F">
        <w:t>must demonstr</w:t>
      </w:r>
      <w:r w:rsidRPr="00304BFF" w:rsidR="00A1612F">
        <w:t xml:space="preserve">ate that no speculative accumulation is occurring. </w:t>
      </w:r>
      <w:r w:rsidRPr="00531624" w:rsidR="00531624">
        <w:t>This includes preparing procedures to ensure waste is not stored for more than a year and documenting that these procedures are satisfied, as well as preparing a description of waste generation and management practices and documenting that the unit is emptied at least once annually. Documentation is estimated on an annual basis</w:t>
      </w:r>
      <w:r w:rsidR="00531624">
        <w:t xml:space="preserve">. However, </w:t>
      </w:r>
      <w:r w:rsidRPr="00531624" w:rsidR="00531624">
        <w:t xml:space="preserve">preparing procedures and description only occur once </w:t>
      </w:r>
      <w:r w:rsidR="00531624">
        <w:t>over the three-year period covered by this ICR. T</w:t>
      </w:r>
      <w:r w:rsidRPr="00531624" w:rsidR="00531624">
        <w:t>herefore</w:t>
      </w:r>
      <w:r w:rsidR="00531624">
        <w:t>,</w:t>
      </w:r>
      <w:r w:rsidRPr="00531624" w:rsidR="00531624">
        <w:t xml:space="preserve"> the </w:t>
      </w:r>
      <w:r w:rsidR="00531624">
        <w:t>4</w:t>
      </w:r>
      <w:r w:rsidRPr="00531624" w:rsidR="00531624">
        <w:t>,</w:t>
      </w:r>
      <w:r w:rsidR="00531624">
        <w:t>8</w:t>
      </w:r>
      <w:r w:rsidRPr="00531624" w:rsidR="00531624">
        <w:t>00 facilities are annualized over the three-year ICR period for these two activities</w:t>
      </w:r>
      <w:r w:rsidR="00531624">
        <w:t xml:space="preserve"> (i.e., 4,800 </w:t>
      </w:r>
      <w:r w:rsidR="00531624">
        <w:sym w:font="Symbol" w:char="F0B8"/>
      </w:r>
      <w:r w:rsidR="00531624">
        <w:t xml:space="preserve"> 3)</w:t>
      </w:r>
      <w:r w:rsidRPr="00531624" w:rsidR="00531624">
        <w:t>.</w:t>
      </w:r>
    </w:p>
    <w:p w:rsidR="0036048A" w:rsidP="00D900B5" w:rsidRDefault="0036048A" w14:paraId="39D03234" w14:textId="77777777">
      <w:pPr>
        <w:pStyle w:val="BodyTextDSW"/>
        <w:keepNext/>
        <w:numPr>
          <w:ilvl w:val="0"/>
          <w:numId w:val="49"/>
        </w:numPr>
        <w:rPr>
          <w:b/>
        </w:rPr>
      </w:pPr>
      <w:r w:rsidRPr="002F7A09">
        <w:rPr>
          <w:b/>
        </w:rPr>
        <w:t>Recordkeeping for Export under the Transfer-Based Exclusion</w:t>
      </w:r>
    </w:p>
    <w:p w:rsidR="00FE0AF5" w:rsidP="00FE0AF5" w:rsidRDefault="00FE0AF5" w14:paraId="0322D1A8" w14:textId="77777777">
      <w:pPr>
        <w:pStyle w:val="BodyTextDSW"/>
      </w:pPr>
      <w:r>
        <w:t xml:space="preserve">EPA estimates that </w:t>
      </w:r>
      <w:r w:rsidR="00531624">
        <w:t xml:space="preserve">2 </w:t>
      </w:r>
      <w:r w:rsidRPr="00D14418">
        <w:t xml:space="preserve">exporters will complete a notification to EPA prior to shipment, keep copies of notifications and Acknowledgements of Consent to Export, and submit an annual report. </w:t>
      </w:r>
    </w:p>
    <w:p w:rsidR="00A1612F" w:rsidRDefault="00A1612F" w14:paraId="69D1C88F" w14:textId="77777777">
      <w:pPr>
        <w:pStyle w:val="Heading2"/>
      </w:pPr>
      <w:bookmarkStart w:name="__RefHeading__206_717627523" w:id="55"/>
      <w:bookmarkStart w:name="_Toc404344925" w:id="56"/>
      <w:bookmarkEnd w:id="55"/>
      <w:r>
        <w:t>6(e)</w:t>
      </w:r>
      <w:r>
        <w:tab/>
        <w:t>Bottom Line Hour and Cost Burden</w:t>
      </w:r>
      <w:bookmarkEnd w:id="56"/>
    </w:p>
    <w:p w:rsidR="00A1612F" w:rsidRDefault="00A1612F" w14:paraId="30080E70" w14:textId="77777777">
      <w:pPr>
        <w:pStyle w:val="BodyTextDSW"/>
        <w:rPr>
          <w:b/>
        </w:rPr>
      </w:pPr>
      <w:r>
        <w:rPr>
          <w:b/>
        </w:rPr>
        <w:t>(1)</w:t>
      </w:r>
      <w:r>
        <w:rPr>
          <w:b/>
        </w:rPr>
        <w:tab/>
        <w:t>Respondent Tally</w:t>
      </w:r>
    </w:p>
    <w:p w:rsidR="00A1612F" w:rsidRDefault="00CF3115" w14:paraId="401EAC2A" w14:textId="7BDA21DD">
      <w:pPr>
        <w:pStyle w:val="BodyTextDSW"/>
      </w:pPr>
      <w:r>
        <w:t xml:space="preserve">Exhibit 1 </w:t>
      </w:r>
      <w:r w:rsidRPr="00CF3115">
        <w:t>summarizes the total annual respondent hour and cost burden associated with all the requirements covered in this ICR. As shown in the exhibit, EPA estimates the annual respondent burden to be 3</w:t>
      </w:r>
      <w:r w:rsidR="00B27391">
        <w:t>6,760</w:t>
      </w:r>
      <w:r>
        <w:t xml:space="preserve"> </w:t>
      </w:r>
      <w:r w:rsidRPr="00CF3115">
        <w:t xml:space="preserve">hours.  </w:t>
      </w:r>
    </w:p>
    <w:p w:rsidR="00A1612F" w:rsidRDefault="00A1612F" w14:paraId="73BF9A0D" w14:textId="38327B4D">
      <w:pPr>
        <w:pStyle w:val="BodyTextDSW"/>
        <w:keepNext/>
        <w:rPr>
          <w:b/>
        </w:rPr>
      </w:pPr>
      <w:r>
        <w:rPr>
          <w:b/>
        </w:rPr>
        <w:t>(2)</w:t>
      </w:r>
      <w:r>
        <w:rPr>
          <w:b/>
        </w:rPr>
        <w:tab/>
      </w:r>
      <w:r w:rsidR="00B8362E">
        <w:rPr>
          <w:b/>
        </w:rPr>
        <w:t xml:space="preserve">State </w:t>
      </w:r>
      <w:r>
        <w:rPr>
          <w:b/>
        </w:rPr>
        <w:t>Agency Tally</w:t>
      </w:r>
    </w:p>
    <w:p w:rsidRPr="00F9694E" w:rsidR="00A1612F" w:rsidRDefault="00584BEC" w14:paraId="1885D9EA" w14:textId="13657A1A">
      <w:pPr>
        <w:pStyle w:val="BodyTextDSW"/>
      </w:pPr>
      <w:r w:rsidRPr="00584BEC">
        <w:t xml:space="preserve">Exhibit </w:t>
      </w:r>
      <w:r>
        <w:t>2</w:t>
      </w:r>
      <w:r w:rsidRPr="00584BEC">
        <w:t xml:space="preserve"> summarizes the total annual </w:t>
      </w:r>
      <w:r w:rsidR="00E11EAA">
        <w:t xml:space="preserve">state </w:t>
      </w:r>
      <w:r>
        <w:t>agency</w:t>
      </w:r>
      <w:r w:rsidRPr="00584BEC">
        <w:t xml:space="preserve"> hour and cost burden associated with all the requirements covered in this ICR. As shown in the exhibit, EPA estimates the annual </w:t>
      </w:r>
      <w:r w:rsidR="00B8362E">
        <w:t xml:space="preserve">state </w:t>
      </w:r>
      <w:r>
        <w:t>agency</w:t>
      </w:r>
      <w:r w:rsidRPr="00584BEC">
        <w:t xml:space="preserve"> burden to be 1,70</w:t>
      </w:r>
      <w:r>
        <w:t xml:space="preserve">8 </w:t>
      </w:r>
      <w:r w:rsidRPr="00584BEC">
        <w:t xml:space="preserve">hours.  </w:t>
      </w:r>
    </w:p>
    <w:p w:rsidR="00F0335D" w:rsidP="00F0335D" w:rsidRDefault="00A1612F" w14:paraId="62059CC7" w14:textId="77777777">
      <w:pPr>
        <w:pStyle w:val="Heading2"/>
      </w:pPr>
      <w:bookmarkStart w:name="__RefHeading__208_717627523" w:id="57"/>
      <w:bookmarkStart w:name="_Toc404344926" w:id="58"/>
      <w:bookmarkEnd w:id="57"/>
      <w:r>
        <w:t>6(f)</w:t>
      </w:r>
      <w:r>
        <w:tab/>
        <w:t>Reasons for Change in Burden</w:t>
      </w:r>
      <w:bookmarkEnd w:id="58"/>
    </w:p>
    <w:p w:rsidRPr="00F0335D" w:rsidR="00F0335D" w:rsidP="008311CE" w:rsidRDefault="006D5DF0" w14:paraId="0C5C7608" w14:textId="38C95EA4">
      <w:pPr>
        <w:ind w:firstLine="720"/>
        <w:rPr>
          <w:sz w:val="24"/>
        </w:rPr>
      </w:pPr>
      <w:bookmarkStart w:name="_Hlk89074979" w:id="59"/>
      <w:r>
        <w:rPr>
          <w:sz w:val="24"/>
        </w:rPr>
        <w:t xml:space="preserve">There is </w:t>
      </w:r>
      <w:r w:rsidR="00E11EAA">
        <w:rPr>
          <w:sz w:val="24"/>
        </w:rPr>
        <w:t>an</w:t>
      </w:r>
      <w:r>
        <w:rPr>
          <w:sz w:val="24"/>
        </w:rPr>
        <w:t xml:space="preserve"> increase </w:t>
      </w:r>
      <w:r w:rsidR="00E11EAA">
        <w:rPr>
          <w:sz w:val="24"/>
        </w:rPr>
        <w:t xml:space="preserve">of </w:t>
      </w:r>
      <w:r w:rsidR="00E13526">
        <w:rPr>
          <w:sz w:val="24"/>
        </w:rPr>
        <w:t>1,877</w:t>
      </w:r>
      <w:r w:rsidR="00E11EAA">
        <w:rPr>
          <w:sz w:val="24"/>
        </w:rPr>
        <w:t xml:space="preserve"> hours c</w:t>
      </w:r>
      <w:r>
        <w:rPr>
          <w:sz w:val="24"/>
        </w:rPr>
        <w:t xml:space="preserve">ompared to the currently approved ICR due to </w:t>
      </w:r>
      <w:r w:rsidR="00E11EAA">
        <w:rPr>
          <w:sz w:val="24"/>
        </w:rPr>
        <w:t>the inclusion of State Agency burden</w:t>
      </w:r>
      <w:r>
        <w:rPr>
          <w:sz w:val="24"/>
        </w:rPr>
        <w:t>.</w:t>
      </w:r>
      <w:r w:rsidR="001727F2">
        <w:rPr>
          <w:sz w:val="24"/>
        </w:rPr>
        <w:t xml:space="preserve"> </w:t>
      </w:r>
      <w:r w:rsidRPr="001727F2" w:rsidR="001727F2">
        <w:rPr>
          <w:sz w:val="24"/>
        </w:rPr>
        <w:t>There were no program changes.</w:t>
      </w:r>
    </w:p>
    <w:p w:rsidR="00A1612F" w:rsidRDefault="00A1612F" w14:paraId="5228CE6C" w14:textId="77777777">
      <w:pPr>
        <w:pStyle w:val="Heading2"/>
      </w:pPr>
      <w:bookmarkStart w:name="__RefHeading__210_717627523" w:id="60"/>
      <w:bookmarkStart w:name="a__" w:id="61"/>
      <w:bookmarkStart w:name="_Toc404344927" w:id="62"/>
      <w:bookmarkEnd w:id="60"/>
      <w:bookmarkEnd w:id="61"/>
      <w:bookmarkEnd w:id="59"/>
      <w:r>
        <w:lastRenderedPageBreak/>
        <w:t>6(g)</w:t>
      </w:r>
      <w:r>
        <w:tab/>
        <w:t>Public Burden Statement</w:t>
      </w:r>
      <w:bookmarkEnd w:id="62"/>
    </w:p>
    <w:p w:rsidR="001624B2" w:rsidRDefault="00A1612F" w14:paraId="0283E3F3" w14:textId="77777777">
      <w:pPr>
        <w:pStyle w:val="BodyTextDSW"/>
      </w:pPr>
      <w:r>
        <w:t xml:space="preserve">The annual public reporting and recordkeeping burden for this collection of information is </w:t>
      </w:r>
      <w:r w:rsidRPr="0068756E">
        <w:t xml:space="preserve">estimated to average </w:t>
      </w:r>
      <w:r w:rsidRPr="0068756E" w:rsidR="00E5348E">
        <w:t>1.0</w:t>
      </w:r>
      <w:r w:rsidRPr="0068756E" w:rsidR="00691A68">
        <w:t xml:space="preserve"> </w:t>
      </w:r>
      <w:r w:rsidR="0068756E">
        <w:t>hour</w:t>
      </w:r>
      <w:r w:rsidRPr="0068756E">
        <w:t xml:space="preserve"> per response.</w:t>
      </w:r>
      <w:r>
        <w:t xml:space="preserve"> </w:t>
      </w:r>
    </w:p>
    <w:p w:rsidR="00A1612F" w:rsidRDefault="00A1612F" w14:paraId="18CC852C" w14:textId="77777777">
      <w:pPr>
        <w:pStyle w:val="BodyTextDSW"/>
      </w:pPr>
      <w: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w:t>
      </w:r>
      <w:r w:rsidR="00281E55">
        <w:t>’</w:t>
      </w:r>
      <w:r>
        <w:t>s regulations are listed in 40 CFR part 9 and 48 CFR chapter 15</w:t>
      </w:r>
      <w:r w:rsidR="00E16EA2">
        <w:t>.</w:t>
      </w:r>
    </w:p>
    <w:p w:rsidR="00F9209F" w:rsidP="00F9209F" w:rsidRDefault="00A1612F" w14:paraId="791D9CAF" w14:textId="77777777">
      <w:pPr>
        <w:pStyle w:val="BodyTextDSW"/>
      </w:pPr>
      <w:r>
        <w:t>To comment on the Agency</w:t>
      </w:r>
      <w:r w:rsidR="00281E55">
        <w:t>’</w:t>
      </w:r>
      <w:r>
        <w:t>s need for this information, the accuracy of the provided burden estimates, and any suggested methods for minimizing respondent burden, including the use of automated collection techniques, EPA has established a public docket for this ICR under Docket ID Number</w:t>
      </w:r>
      <w:r>
        <w:rPr>
          <w:color w:val="000000"/>
          <w:szCs w:val="20"/>
        </w:rPr>
        <w:t xml:space="preserve"> </w:t>
      </w:r>
      <w:r w:rsidRPr="007F472F" w:rsidR="007F472F">
        <w:rPr>
          <w:color w:val="000000"/>
          <w:szCs w:val="20"/>
        </w:rPr>
        <w:t>EPA-HQ-OLEM-2018-0013</w:t>
      </w:r>
      <w:r>
        <w:t xml:space="preserve">, which is available for online viewing at </w:t>
      </w:r>
      <w:hyperlink w:history="1" r:id="rId17">
        <w:r w:rsidRPr="007B29EE" w:rsidR="001727F2">
          <w:rPr>
            <w:rStyle w:val="Hyperlink"/>
          </w:rPr>
          <w:t>www.regulations.gov</w:t>
        </w:r>
      </w:hyperlink>
      <w:r>
        <w:t>, or in person viewing at the Resource Conservation and Recovery Act (RCRA) Docket in the EPA Docket Center (EPA/DC), EPA West, Room 3334, 1301</w:t>
      </w:r>
      <w:r w:rsidR="001727F2">
        <w:t> </w:t>
      </w:r>
      <w:r>
        <w:t>Constitution Avenue, NW, Washington, D.C. The EPA Docket Center Public Reading Room is open from 8:30 a.m. to 4:30 p.m., Monday through Friday, excluding legal holidays. The telephone number for the Reading Room is (202) 566-1744</w:t>
      </w:r>
      <w:r w:rsidR="00811535">
        <w:t>. T</w:t>
      </w:r>
      <w:r>
        <w:t xml:space="preserve">he telephone number for the RCRA Docket is </w:t>
      </w:r>
      <w:r w:rsidR="00811535">
        <w:t>(</w:t>
      </w:r>
      <w:r>
        <w:t>202</w:t>
      </w:r>
      <w:r w:rsidR="00811535">
        <w:t xml:space="preserve">) </w:t>
      </w:r>
      <w:r>
        <w:t>566-0270</w:t>
      </w:r>
      <w:r w:rsidRPr="001727F2" w:rsidR="00811535">
        <w:t>, and the fax number is (202) 566-9744</w:t>
      </w:r>
      <w:r>
        <w:t xml:space="preserve">. An electronic version of the public docket is available at </w:t>
      </w:r>
      <w:hyperlink w:history="1" r:id="rId18">
        <w:r w:rsidRPr="007B29EE" w:rsidR="00811535">
          <w:rPr>
            <w:rStyle w:val="Hyperlink"/>
          </w:rPr>
          <w:t>www.regulations.gov</w:t>
        </w:r>
      </w:hyperlink>
      <w:r>
        <w:t xml:space="preserve">. This site can be used to submit or view public comments, access the index listing of the contents of the public docket, and to access those documents in the public docket that are available electronically. When in the system, select </w:t>
      </w:r>
      <w:r w:rsidR="00281E55">
        <w:t>“</w:t>
      </w:r>
      <w:r>
        <w:t>search,</w:t>
      </w:r>
      <w:r w:rsidR="00281E55">
        <w:t>”</w:t>
      </w:r>
      <w:r>
        <w:t xml:space="preserve"> then key in the Docket ID Number identified above. Also, you can send comments to the Office of Information and Regulatory Affairs, Office of Management and Budget, 725 17th Street, NW, Washington, D.C. 20503, Attention: Desk Officer for EPA. Please include the EPA Docket ID Number </w:t>
      </w:r>
      <w:r w:rsidRPr="007F472F" w:rsidR="007F472F">
        <w:t>EPA-HQ-OLEM-2018-0013</w:t>
      </w:r>
      <w:r w:rsidR="007F472F">
        <w:t xml:space="preserve"> </w:t>
      </w:r>
      <w:r>
        <w:t xml:space="preserve">and OMB Control Number </w:t>
      </w:r>
      <w:r w:rsidRPr="00B41136">
        <w:t>2050</w:t>
      </w:r>
      <w:r w:rsidRPr="008920A7">
        <w:rPr>
          <w:shd w:val="clear" w:color="auto" w:fill="FFFFFF"/>
        </w:rPr>
        <w:t>-0202</w:t>
      </w:r>
      <w:r w:rsidRPr="00B41136">
        <w:t xml:space="preserve"> in</w:t>
      </w:r>
      <w:r>
        <w:t xml:space="preserve"> any correspond</w:t>
      </w:r>
      <w:r w:rsidR="00DE02C1">
        <w:t>enc</w:t>
      </w:r>
      <w:r w:rsidR="00510A5F">
        <w:t>e.</w:t>
      </w:r>
    </w:p>
    <w:p w:rsidR="001727F2" w:rsidP="00811535" w:rsidRDefault="001727F2" w14:paraId="0010E329" w14:textId="77777777">
      <w:pPr>
        <w:pStyle w:val="BodyTextDSW"/>
        <w:ind w:firstLine="0"/>
      </w:pPr>
    </w:p>
    <w:p w:rsidR="001727F2" w:rsidP="00863109" w:rsidRDefault="001727F2" w14:paraId="22E7397E" w14:textId="77777777">
      <w:pPr>
        <w:pStyle w:val="BodyTextDSW"/>
        <w:ind w:firstLine="0"/>
        <w:sectPr w:rsidR="001727F2" w:rsidSect="00C06092">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pgNumType w:start="1"/>
          <w:cols w:space="720"/>
          <w:docGrid w:linePitch="360"/>
        </w:sectPr>
      </w:pPr>
    </w:p>
    <w:p w:rsidR="0014479E" w:rsidP="00F24899" w:rsidRDefault="00DC6A51" w14:paraId="1B9566F3" w14:textId="6F1B602C">
      <w:pPr>
        <w:pStyle w:val="BodyTextDSW"/>
        <w:ind w:firstLine="0"/>
      </w:pPr>
      <w:r>
        <w:rPr>
          <w:noProof/>
        </w:rPr>
        <w:lastRenderedPageBreak/>
        <w:drawing>
          <wp:anchor distT="0" distB="0" distL="114300" distR="114300" simplePos="0" relativeHeight="251660800" behindDoc="1" locked="0" layoutInCell="1" allowOverlap="1" wp14:editId="183973C7" wp14:anchorId="2A6AFE3C">
            <wp:simplePos x="0" y="0"/>
            <wp:positionH relativeFrom="column">
              <wp:posOffset>-382905</wp:posOffset>
            </wp:positionH>
            <wp:positionV relativeFrom="paragraph">
              <wp:posOffset>-25400</wp:posOffset>
            </wp:positionV>
            <wp:extent cx="8928100" cy="4218940"/>
            <wp:effectExtent l="0" t="0" r="0" b="0"/>
            <wp:wrapTight wrapText="bothSides">
              <wp:wrapPolygon edited="0">
                <wp:start x="0" y="0"/>
                <wp:lineTo x="0" y="878"/>
                <wp:lineTo x="3871" y="1658"/>
                <wp:lineTo x="7374" y="1658"/>
                <wp:lineTo x="0" y="2341"/>
                <wp:lineTo x="0" y="21457"/>
                <wp:lineTo x="20279" y="21457"/>
                <wp:lineTo x="21569" y="20872"/>
                <wp:lineTo x="21569" y="19214"/>
                <wp:lineTo x="21385" y="18824"/>
                <wp:lineTo x="21569" y="18238"/>
                <wp:lineTo x="21569" y="1853"/>
                <wp:lineTo x="9863" y="1365"/>
                <wp:lineTo x="4517" y="390"/>
                <wp:lineTo x="783"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928100" cy="4218940"/>
                    </a:xfrm>
                    <a:prstGeom prst="rect">
                      <a:avLst/>
                    </a:prstGeom>
                    <a:noFill/>
                  </pic:spPr>
                </pic:pic>
              </a:graphicData>
            </a:graphic>
            <wp14:sizeRelH relativeFrom="page">
              <wp14:pctWidth>0</wp14:pctWidth>
            </wp14:sizeRelH>
            <wp14:sizeRelV relativeFrom="page">
              <wp14:pctHeight>0</wp14:pctHeight>
            </wp14:sizeRelV>
          </wp:anchor>
        </w:drawing>
      </w:r>
    </w:p>
    <w:p w:rsidR="0014479E" w:rsidP="00F24899" w:rsidRDefault="0014479E" w14:paraId="4D9B4707" w14:textId="0E5F4DB4">
      <w:pPr>
        <w:pStyle w:val="BodyTextDSW"/>
        <w:ind w:firstLine="0"/>
      </w:pPr>
      <w:r>
        <w:br w:type="page"/>
      </w:r>
      <w:r w:rsidR="00DC6A51">
        <w:rPr>
          <w:noProof/>
        </w:rPr>
        <w:lastRenderedPageBreak/>
        <w:drawing>
          <wp:anchor distT="0" distB="0" distL="114300" distR="114300" simplePos="0" relativeHeight="251654656" behindDoc="1" locked="0" layoutInCell="1" allowOverlap="1" wp14:editId="0A2A2879" wp14:anchorId="65A808BB">
            <wp:simplePos x="0" y="0"/>
            <wp:positionH relativeFrom="column">
              <wp:posOffset>-269240</wp:posOffset>
            </wp:positionH>
            <wp:positionV relativeFrom="paragraph">
              <wp:posOffset>0</wp:posOffset>
            </wp:positionV>
            <wp:extent cx="8962390" cy="4277360"/>
            <wp:effectExtent l="0" t="0" r="0" b="0"/>
            <wp:wrapTight wrapText="bothSides">
              <wp:wrapPolygon edited="0">
                <wp:start x="0" y="0"/>
                <wp:lineTo x="0" y="866"/>
                <wp:lineTo x="3903" y="1635"/>
                <wp:lineTo x="7392" y="1635"/>
                <wp:lineTo x="0" y="2213"/>
                <wp:lineTo x="0" y="21549"/>
                <wp:lineTo x="20247" y="21549"/>
                <wp:lineTo x="21119" y="20875"/>
                <wp:lineTo x="21119" y="20490"/>
                <wp:lineTo x="20247" y="20106"/>
                <wp:lineTo x="21533" y="20010"/>
                <wp:lineTo x="21533" y="14334"/>
                <wp:lineTo x="20247" y="13949"/>
                <wp:lineTo x="21533" y="13564"/>
                <wp:lineTo x="21533" y="12602"/>
                <wp:lineTo x="20247" y="12410"/>
                <wp:lineTo x="21533" y="11929"/>
                <wp:lineTo x="21533" y="5099"/>
                <wp:lineTo x="21257" y="4714"/>
                <wp:lineTo x="21533" y="4618"/>
                <wp:lineTo x="21533" y="1828"/>
                <wp:lineTo x="9825" y="1347"/>
                <wp:lineTo x="4729" y="385"/>
                <wp:lineTo x="183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962390" cy="4277360"/>
                    </a:xfrm>
                    <a:prstGeom prst="rect">
                      <a:avLst/>
                    </a:prstGeom>
                    <a:noFill/>
                  </pic:spPr>
                </pic:pic>
              </a:graphicData>
            </a:graphic>
            <wp14:sizeRelH relativeFrom="page">
              <wp14:pctWidth>0</wp14:pctWidth>
            </wp14:sizeRelH>
            <wp14:sizeRelV relativeFrom="page">
              <wp14:pctHeight>0</wp14:pctHeight>
            </wp14:sizeRelV>
          </wp:anchor>
        </w:drawing>
      </w:r>
    </w:p>
    <w:p w:rsidR="0014479E" w:rsidP="00F24899" w:rsidRDefault="0014479E" w14:paraId="5900ADB6" w14:textId="77777777">
      <w:pPr>
        <w:pStyle w:val="BodyTextDSW"/>
        <w:ind w:firstLine="0"/>
      </w:pPr>
    </w:p>
    <w:p w:rsidR="0014479E" w:rsidP="00F24899" w:rsidRDefault="0014479E" w14:paraId="0A14F49D" w14:textId="3917D895">
      <w:pPr>
        <w:pStyle w:val="BodyTextDSW"/>
        <w:ind w:firstLine="0"/>
      </w:pPr>
      <w:r>
        <w:br w:type="page"/>
      </w:r>
      <w:r w:rsidR="00DC6A51">
        <w:rPr>
          <w:noProof/>
        </w:rPr>
        <w:lastRenderedPageBreak/>
        <w:drawing>
          <wp:anchor distT="0" distB="0" distL="114300" distR="114300" simplePos="0" relativeHeight="251655680" behindDoc="1" locked="0" layoutInCell="1" allowOverlap="1" wp14:editId="3A5A666B" wp14:anchorId="7A63CBF7">
            <wp:simplePos x="0" y="0"/>
            <wp:positionH relativeFrom="column">
              <wp:posOffset>-332105</wp:posOffset>
            </wp:positionH>
            <wp:positionV relativeFrom="paragraph">
              <wp:posOffset>0</wp:posOffset>
            </wp:positionV>
            <wp:extent cx="8975725" cy="3486150"/>
            <wp:effectExtent l="0" t="0" r="0" b="0"/>
            <wp:wrapTight wrapText="bothSides">
              <wp:wrapPolygon edited="0">
                <wp:start x="0" y="0"/>
                <wp:lineTo x="0" y="1062"/>
                <wp:lineTo x="3897" y="2007"/>
                <wp:lineTo x="7381" y="2007"/>
                <wp:lineTo x="0" y="2833"/>
                <wp:lineTo x="0" y="21482"/>
                <wp:lineTo x="20263" y="21482"/>
                <wp:lineTo x="21226" y="21364"/>
                <wp:lineTo x="21226" y="20892"/>
                <wp:lineTo x="21547" y="20774"/>
                <wp:lineTo x="21547" y="6256"/>
                <wp:lineTo x="21180" y="5784"/>
                <wp:lineTo x="21547" y="5666"/>
                <wp:lineTo x="21547" y="2243"/>
                <wp:lineTo x="9856" y="1652"/>
                <wp:lineTo x="4768" y="472"/>
                <wp:lineTo x="188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975725" cy="3486150"/>
                    </a:xfrm>
                    <a:prstGeom prst="rect">
                      <a:avLst/>
                    </a:prstGeom>
                    <a:noFill/>
                  </pic:spPr>
                </pic:pic>
              </a:graphicData>
            </a:graphic>
            <wp14:sizeRelH relativeFrom="page">
              <wp14:pctWidth>0</wp14:pctWidth>
            </wp14:sizeRelH>
            <wp14:sizeRelV relativeFrom="page">
              <wp14:pctHeight>0</wp14:pctHeight>
            </wp14:sizeRelV>
          </wp:anchor>
        </w:drawing>
      </w:r>
    </w:p>
    <w:p w:rsidR="0014479E" w:rsidP="00F24899" w:rsidRDefault="0014479E" w14:paraId="60F8E82D" w14:textId="77777777">
      <w:pPr>
        <w:pStyle w:val="BodyTextDSW"/>
        <w:ind w:firstLine="0"/>
      </w:pPr>
    </w:p>
    <w:p w:rsidR="00160BD1" w:rsidP="00F24899" w:rsidRDefault="0014479E" w14:paraId="47EFE894" w14:textId="6BB102E2">
      <w:pPr>
        <w:pStyle w:val="BodyTextDSW"/>
        <w:ind w:firstLine="0"/>
      </w:pPr>
      <w:r>
        <w:br w:type="page"/>
      </w:r>
      <w:r w:rsidR="00DC6A51">
        <w:rPr>
          <w:noProof/>
        </w:rPr>
        <w:lastRenderedPageBreak/>
        <w:drawing>
          <wp:anchor distT="0" distB="0" distL="114300" distR="114300" simplePos="0" relativeHeight="251656704" behindDoc="1" locked="0" layoutInCell="1" allowOverlap="1" wp14:editId="56934AFF" wp14:anchorId="6194C15C">
            <wp:simplePos x="0" y="0"/>
            <wp:positionH relativeFrom="column">
              <wp:posOffset>-306705</wp:posOffset>
            </wp:positionH>
            <wp:positionV relativeFrom="paragraph">
              <wp:posOffset>0</wp:posOffset>
            </wp:positionV>
            <wp:extent cx="8984615" cy="3365500"/>
            <wp:effectExtent l="0" t="0" r="0" b="0"/>
            <wp:wrapTight wrapText="bothSides">
              <wp:wrapPolygon edited="0">
                <wp:start x="0" y="0"/>
                <wp:lineTo x="0" y="1100"/>
                <wp:lineTo x="3893" y="2078"/>
                <wp:lineTo x="7374" y="2078"/>
                <wp:lineTo x="0" y="2934"/>
                <wp:lineTo x="0" y="21518"/>
                <wp:lineTo x="20289" y="21518"/>
                <wp:lineTo x="21571" y="21396"/>
                <wp:lineTo x="21571" y="12471"/>
                <wp:lineTo x="21296" y="11860"/>
                <wp:lineTo x="21571" y="11248"/>
                <wp:lineTo x="21571" y="10392"/>
                <wp:lineTo x="20289" y="9903"/>
                <wp:lineTo x="21571" y="9903"/>
                <wp:lineTo x="21571" y="8803"/>
                <wp:lineTo x="20289" y="7947"/>
                <wp:lineTo x="21571" y="7825"/>
                <wp:lineTo x="21571" y="2323"/>
                <wp:lineTo x="9847" y="1712"/>
                <wp:lineTo x="4763" y="489"/>
                <wp:lineTo x="1878"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984615" cy="3365500"/>
                    </a:xfrm>
                    <a:prstGeom prst="rect">
                      <a:avLst/>
                    </a:prstGeom>
                    <a:noFill/>
                  </pic:spPr>
                </pic:pic>
              </a:graphicData>
            </a:graphic>
            <wp14:sizeRelH relativeFrom="page">
              <wp14:pctWidth>0</wp14:pctWidth>
            </wp14:sizeRelH>
            <wp14:sizeRelV relativeFrom="page">
              <wp14:pctHeight>0</wp14:pctHeight>
            </wp14:sizeRelV>
          </wp:anchor>
        </w:drawing>
      </w:r>
    </w:p>
    <w:p w:rsidR="00160BD1" w:rsidP="00F24899" w:rsidRDefault="00160BD1" w14:paraId="59BA54A0" w14:textId="4B92F49C">
      <w:pPr>
        <w:pStyle w:val="BodyTextDSW"/>
        <w:ind w:firstLine="0"/>
      </w:pPr>
      <w:r>
        <w:br w:type="page"/>
      </w:r>
      <w:r w:rsidR="00DC6A51">
        <w:rPr>
          <w:noProof/>
        </w:rPr>
        <w:lastRenderedPageBreak/>
        <w:drawing>
          <wp:anchor distT="0" distB="0" distL="114300" distR="114300" simplePos="0" relativeHeight="251657728" behindDoc="1" locked="0" layoutInCell="1" allowOverlap="1" wp14:editId="4F4CACEE" wp14:anchorId="22CABF5D">
            <wp:simplePos x="0" y="0"/>
            <wp:positionH relativeFrom="column">
              <wp:posOffset>-242570</wp:posOffset>
            </wp:positionH>
            <wp:positionV relativeFrom="paragraph">
              <wp:posOffset>6350</wp:posOffset>
            </wp:positionV>
            <wp:extent cx="8818245" cy="5016500"/>
            <wp:effectExtent l="0" t="0" r="0" b="0"/>
            <wp:wrapTight wrapText="bothSides">
              <wp:wrapPolygon edited="0">
                <wp:start x="0" y="0"/>
                <wp:lineTo x="0" y="738"/>
                <wp:lineTo x="3873" y="1394"/>
                <wp:lineTo x="7373" y="1394"/>
                <wp:lineTo x="0" y="1969"/>
                <wp:lineTo x="0" y="21491"/>
                <wp:lineTo x="20298" y="21491"/>
                <wp:lineTo x="21185" y="21081"/>
                <wp:lineTo x="21558" y="20670"/>
                <wp:lineTo x="21558" y="16159"/>
                <wp:lineTo x="93" y="15831"/>
                <wp:lineTo x="21558" y="15831"/>
                <wp:lineTo x="21558" y="15257"/>
                <wp:lineTo x="21138" y="14518"/>
                <wp:lineTo x="21558" y="13944"/>
                <wp:lineTo x="21558" y="12386"/>
                <wp:lineTo x="21185" y="11894"/>
                <wp:lineTo x="21558" y="11566"/>
                <wp:lineTo x="21558" y="10991"/>
                <wp:lineTo x="21138" y="10581"/>
                <wp:lineTo x="21558" y="10089"/>
                <wp:lineTo x="21558" y="9597"/>
                <wp:lineTo x="20298" y="9269"/>
                <wp:lineTo x="21558" y="9187"/>
                <wp:lineTo x="21558" y="1558"/>
                <wp:lineTo x="9846" y="1230"/>
                <wp:lineTo x="4713" y="328"/>
                <wp:lineTo x="1866"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818245" cy="5016500"/>
                    </a:xfrm>
                    <a:prstGeom prst="rect">
                      <a:avLst/>
                    </a:prstGeom>
                    <a:noFill/>
                  </pic:spPr>
                </pic:pic>
              </a:graphicData>
            </a:graphic>
            <wp14:sizeRelH relativeFrom="page">
              <wp14:pctWidth>0</wp14:pctWidth>
            </wp14:sizeRelH>
            <wp14:sizeRelV relativeFrom="page">
              <wp14:pctHeight>0</wp14:pctHeight>
            </wp14:sizeRelV>
          </wp:anchor>
        </w:drawing>
      </w:r>
    </w:p>
    <w:p w:rsidR="00160BD1" w:rsidP="00F24899" w:rsidRDefault="00160BD1" w14:paraId="5C4D5650" w14:textId="77777777">
      <w:pPr>
        <w:pStyle w:val="BodyTextDSW"/>
        <w:ind w:firstLine="0"/>
      </w:pPr>
    </w:p>
    <w:p w:rsidR="00A75BF3" w:rsidP="00F24899" w:rsidRDefault="00160BD1" w14:paraId="62BBDF36" w14:textId="339A6464">
      <w:pPr>
        <w:pStyle w:val="BodyTextDSW"/>
        <w:ind w:firstLine="0"/>
      </w:pPr>
      <w:r>
        <w:br w:type="page"/>
      </w:r>
      <w:r w:rsidR="00DC6A51">
        <w:rPr>
          <w:noProof/>
        </w:rPr>
        <w:lastRenderedPageBreak/>
        <w:drawing>
          <wp:inline distT="0" distB="0" distL="0" distR="0" wp14:anchorId="50FE88AF" wp14:editId="0B180592">
            <wp:extent cx="8846820" cy="2428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846820" cy="2428240"/>
                    </a:xfrm>
                    <a:prstGeom prst="rect">
                      <a:avLst/>
                    </a:prstGeom>
                    <a:noFill/>
                    <a:ln>
                      <a:noFill/>
                    </a:ln>
                  </pic:spPr>
                </pic:pic>
              </a:graphicData>
            </a:graphic>
          </wp:inline>
        </w:drawing>
      </w:r>
      <w:r w:rsidR="00E85AB6">
        <w:br w:type="page"/>
      </w:r>
      <w:r w:rsidR="00DC6A51">
        <w:rPr>
          <w:noProof/>
        </w:rPr>
        <w:lastRenderedPageBreak/>
        <w:drawing>
          <wp:inline distT="0" distB="0" distL="0" distR="0" wp14:anchorId="0ADC0F77" wp14:editId="3636B81F">
            <wp:extent cx="8217535" cy="52076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217535" cy="5207635"/>
                    </a:xfrm>
                    <a:prstGeom prst="rect">
                      <a:avLst/>
                    </a:prstGeom>
                    <a:noFill/>
                    <a:ln>
                      <a:noFill/>
                    </a:ln>
                  </pic:spPr>
                </pic:pic>
              </a:graphicData>
            </a:graphic>
          </wp:inline>
        </w:drawing>
      </w:r>
    </w:p>
    <w:p w:rsidR="008F7E99" w:rsidP="008E1762" w:rsidRDefault="008F7E99" w14:paraId="5C6F06F6" w14:textId="77777777">
      <w:pPr>
        <w:pStyle w:val="BodyTextDSW"/>
        <w:ind w:firstLine="0"/>
      </w:pPr>
    </w:p>
    <w:sectPr w:rsidR="008F7E99" w:rsidSect="008E176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A84D4" w14:textId="77777777" w:rsidR="003B3F2B" w:rsidRDefault="003B3F2B">
      <w:r>
        <w:separator/>
      </w:r>
    </w:p>
  </w:endnote>
  <w:endnote w:type="continuationSeparator" w:id="0">
    <w:p w14:paraId="3F1967B0" w14:textId="77777777" w:rsidR="003B3F2B" w:rsidRDefault="003B3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C963A" w14:textId="77777777" w:rsidR="003B3F2B" w:rsidRDefault="003B3F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AE218" w14:textId="77777777" w:rsidR="003B3F2B" w:rsidRDefault="003B3F2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CCAC1" w14:textId="77777777" w:rsidR="003B3F2B" w:rsidRPr="00011B03" w:rsidRDefault="003B3F2B" w:rsidP="008A60C1">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C8556" w14:textId="77777777" w:rsidR="003B3F2B" w:rsidRDefault="003B3F2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F1A8C" w14:textId="77777777" w:rsidR="003B3F2B" w:rsidRDefault="003B3F2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D998A" w14:textId="77777777" w:rsidR="003B3F2B" w:rsidRDefault="003B3F2B" w:rsidP="00AF6593">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4615E" w14:textId="77777777" w:rsidR="003B3F2B" w:rsidRDefault="003B3F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C9279" w14:textId="77777777" w:rsidR="003B3F2B" w:rsidRDefault="003B3F2B">
      <w:r>
        <w:separator/>
      </w:r>
    </w:p>
  </w:footnote>
  <w:footnote w:type="continuationSeparator" w:id="0">
    <w:p w14:paraId="44000428" w14:textId="77777777" w:rsidR="003B3F2B" w:rsidRDefault="003B3F2B">
      <w:r>
        <w:continuationSeparator/>
      </w:r>
    </w:p>
  </w:footnote>
  <w:footnote w:id="1">
    <w:p w14:paraId="5A4805A3" w14:textId="77777777" w:rsidR="003B3F2B" w:rsidRDefault="003B3F2B" w:rsidP="00AF6593">
      <w:pPr>
        <w:pStyle w:val="FootnoteText"/>
        <w:spacing w:after="120"/>
      </w:pPr>
      <w:r>
        <w:rPr>
          <w:rStyle w:val="FootnoteReference"/>
        </w:rPr>
        <w:footnoteRef/>
      </w:r>
      <w:r>
        <w:t xml:space="preserve"> U.S. Bureau of Labor Statistics, “</w:t>
      </w:r>
      <w:hyperlink r:id="rId1" w:history="1">
        <w:r w:rsidRPr="00520078">
          <w:rPr>
            <w:rStyle w:val="Hyperlink"/>
          </w:rPr>
          <w:t>May 2020 National Occupational Employment and Wage Estimates</w:t>
        </w:r>
      </w:hyperlink>
      <w:r>
        <w:t>,” March 31, 2021.</w:t>
      </w:r>
    </w:p>
  </w:footnote>
  <w:footnote w:id="2">
    <w:p w14:paraId="180D2C36" w14:textId="77777777" w:rsidR="003B3F2B" w:rsidRDefault="003B3F2B" w:rsidP="00AF6593">
      <w:pPr>
        <w:pStyle w:val="FootnoteText"/>
        <w:spacing w:after="120"/>
      </w:pPr>
      <w:r>
        <w:rPr>
          <w:rStyle w:val="FootnoteReference"/>
        </w:rPr>
        <w:footnoteRef/>
      </w:r>
      <w:r>
        <w:t xml:space="preserve"> U.S. Bureau of Labor Statistics, “</w:t>
      </w:r>
      <w:r w:rsidRPr="0054268A">
        <w:t xml:space="preserve">Table </w:t>
      </w:r>
      <w:r>
        <w:t>5</w:t>
      </w:r>
      <w:r w:rsidRPr="0054268A">
        <w:t xml:space="preserve">. </w:t>
      </w:r>
      <w:r>
        <w:t>Employment Cost Index for total compensation, for private industry workers, by occupation and industry, continuous occupational and industry series (not seasonally adjusted)</w:t>
      </w:r>
      <w:r w:rsidRPr="0054268A">
        <w:t xml:space="preserve">;” </w:t>
      </w:r>
      <w:hyperlink r:id="rId2" w:history="1">
        <w:r w:rsidRPr="001F6B7C">
          <w:rPr>
            <w:rStyle w:val="Hyperlink"/>
          </w:rPr>
          <w:t>Employment Cost Index, Historical Listing – Volume V, Continuous Occupational and Industry Series, September 1975-September 2021 (December 2005=100)</w:t>
        </w:r>
      </w:hyperlink>
      <w:r w:rsidRPr="0054268A">
        <w:t xml:space="preserve">. </w:t>
      </w:r>
      <w:r>
        <w:t>Private Industry Workers</w:t>
      </w:r>
      <w:r w:rsidRPr="0054268A">
        <w:t xml:space="preserve">, All Workers, June </w:t>
      </w:r>
      <w:r>
        <w:t>2020</w:t>
      </w:r>
      <w:r w:rsidRPr="0054268A">
        <w:t>=</w:t>
      </w:r>
      <w:r>
        <w:t>140.1</w:t>
      </w:r>
      <w:r w:rsidRPr="0054268A">
        <w:t xml:space="preserve"> and </w:t>
      </w:r>
      <w:r>
        <w:t>September 2021</w:t>
      </w:r>
      <w:r w:rsidRPr="0054268A">
        <w:t>=</w:t>
      </w:r>
      <w:r w:rsidRPr="001F6B7C">
        <w:t>146.4</w:t>
      </w:r>
      <w:r w:rsidRPr="0054268A">
        <w:t>.</w:t>
      </w:r>
    </w:p>
  </w:footnote>
  <w:footnote w:id="3">
    <w:p w14:paraId="4C65DFF8" w14:textId="77777777" w:rsidR="003B3F2B" w:rsidRDefault="003B3F2B" w:rsidP="00101AD3">
      <w:pPr>
        <w:pStyle w:val="FootnoteText"/>
      </w:pPr>
      <w:r>
        <w:rPr>
          <w:rStyle w:val="FootnoteReference"/>
        </w:rPr>
        <w:footnoteRef/>
      </w:r>
      <w:r>
        <w:t xml:space="preserve"> U.S. Bureau of Labor Statistics, “Table 9. Private industry workers, by major occupational group: employer costs per hour worked for employee compensation and costs as a percentage of total compensation;” </w:t>
      </w:r>
      <w:hyperlink r:id="rId3" w:history="1">
        <w:r w:rsidRPr="00101AD3">
          <w:rPr>
            <w:rStyle w:val="Hyperlink"/>
          </w:rPr>
          <w:t>Employer Costs for Employee Compensation, Historical Listing, National Compensation Survey; March 2004 – June 2021</w:t>
        </w:r>
      </w:hyperlink>
      <w:r>
        <w:t>; September 2021. All Workers, Total Compensation June 2021=3</w:t>
      </w:r>
      <w:r w:rsidRPr="00F738C1">
        <w:t>6.64</w:t>
      </w:r>
      <w:r>
        <w:t xml:space="preserve"> and Total Benefits June 2021=</w:t>
      </w:r>
      <w:r w:rsidRPr="00CF4BD6">
        <w:t>10.76</w:t>
      </w:r>
      <w:r>
        <w:t>.</w:t>
      </w:r>
    </w:p>
  </w:footnote>
  <w:footnote w:id="4">
    <w:p w14:paraId="7B4E0A73" w14:textId="77777777" w:rsidR="003B3F2B" w:rsidRDefault="003B3F2B" w:rsidP="00AF6593">
      <w:pPr>
        <w:pStyle w:val="FootnoteText"/>
        <w:spacing w:after="120"/>
      </w:pPr>
      <w:r>
        <w:rPr>
          <w:rStyle w:val="FootnoteReference"/>
        </w:rPr>
        <w:footnoteRef/>
      </w:r>
      <w:r>
        <w:t xml:space="preserve"> U.S. Postal Service; “Price List,” </w:t>
      </w:r>
      <w:hyperlink r:id="rId4" w:anchor="_c191" w:history="1">
        <w:r w:rsidRPr="00197530">
          <w:rPr>
            <w:rStyle w:val="Hyperlink"/>
          </w:rPr>
          <w:t>Notice 123</w:t>
        </w:r>
      </w:hyperlink>
      <w:r>
        <w:t>, effective October 3, 2021.</w:t>
      </w:r>
    </w:p>
  </w:footnote>
  <w:footnote w:id="5">
    <w:p w14:paraId="7BF3EA6A" w14:textId="77777777" w:rsidR="003B3F2B" w:rsidRDefault="003B3F2B" w:rsidP="00AF6593">
      <w:pPr>
        <w:pStyle w:val="FootnoteText"/>
        <w:spacing w:after="120"/>
      </w:pPr>
      <w:r>
        <w:rPr>
          <w:rStyle w:val="FootnoteReference"/>
        </w:rPr>
        <w:footnoteRef/>
      </w:r>
      <w:r>
        <w:t xml:space="preserve"> </w:t>
      </w:r>
      <w:r w:rsidRPr="00EB30FF">
        <w:t xml:space="preserve">Cost in </w:t>
      </w:r>
      <w:r>
        <w:t xml:space="preserve">the </w:t>
      </w:r>
      <w:r w:rsidRPr="00EB30FF">
        <w:t>previously approved ICR ($334) adjusted to 2021 dollars using BLS Consumer Price Indices</w:t>
      </w:r>
      <w:r>
        <w:t xml:space="preserve">. </w:t>
      </w:r>
      <w:r w:rsidRPr="00EB30FF">
        <w:t xml:space="preserve">U.S. Bureau of Labor Statistics; </w:t>
      </w:r>
      <w:hyperlink r:id="rId5" w:history="1">
        <w:r w:rsidRPr="00A6661D">
          <w:rPr>
            <w:rStyle w:val="Hyperlink"/>
          </w:rPr>
          <w:t>Historical Consumer Price Index for All Urban Consumers (CPI-U): U.S. city average, all items, by month</w:t>
        </w:r>
      </w:hyperlink>
      <w:r w:rsidRPr="00EB30FF">
        <w:t>. April 2018=250.546 and October 2021=276.589.</w:t>
      </w:r>
    </w:p>
  </w:footnote>
  <w:footnote w:id="6">
    <w:p w14:paraId="5774E276" w14:textId="77777777" w:rsidR="003B3F2B" w:rsidRDefault="003B3F2B" w:rsidP="00AF6593">
      <w:pPr>
        <w:pStyle w:val="FootnoteText"/>
        <w:spacing w:after="120"/>
      </w:pPr>
      <w:r>
        <w:rPr>
          <w:rStyle w:val="FootnoteReference"/>
        </w:rPr>
        <w:footnoteRef/>
      </w:r>
      <w:r>
        <w:t xml:space="preserve"> </w:t>
      </w:r>
      <w:r w:rsidRPr="00EB30FF">
        <w:t xml:space="preserve">Cost in </w:t>
      </w:r>
      <w:r>
        <w:t xml:space="preserve">the </w:t>
      </w:r>
      <w:r w:rsidRPr="00EB30FF">
        <w:t>previously approved ICR ($</w:t>
      </w:r>
      <w:r>
        <w:t>0.12</w:t>
      </w:r>
      <w:r w:rsidRPr="00EB30FF">
        <w:t>) adjusted to 2021 dollars using BLS Consumer Price Indices</w:t>
      </w:r>
      <w:r>
        <w:t xml:space="preserve">. </w:t>
      </w:r>
      <w:r w:rsidRPr="00EB30FF">
        <w:t xml:space="preserve">U.S. Bureau of Labor Statistics; </w:t>
      </w:r>
      <w:hyperlink r:id="rId6" w:history="1">
        <w:r w:rsidRPr="00A6661D">
          <w:rPr>
            <w:rStyle w:val="Hyperlink"/>
          </w:rPr>
          <w:t>Historical Consumer Price Index for All Urban Consumers (CPI-U): U.S. city average, all items, by month</w:t>
        </w:r>
      </w:hyperlink>
      <w:r w:rsidRPr="00EB30FF">
        <w:t>. April 2018=250.546 and October 2021=276.589.</w:t>
      </w:r>
    </w:p>
  </w:footnote>
  <w:footnote w:id="7">
    <w:p w14:paraId="3A20AFBF" w14:textId="77777777" w:rsidR="003B3F2B" w:rsidRDefault="003B3F2B" w:rsidP="00AF6593">
      <w:pPr>
        <w:pStyle w:val="FootnoteText"/>
        <w:spacing w:after="120"/>
      </w:pPr>
      <w:r>
        <w:rPr>
          <w:rStyle w:val="FootnoteReference"/>
        </w:rPr>
        <w:footnoteRef/>
      </w:r>
      <w:r>
        <w:t xml:space="preserve"> </w:t>
      </w:r>
      <w:r w:rsidRPr="00EB30FF">
        <w:t xml:space="preserve">Cost in </w:t>
      </w:r>
      <w:r>
        <w:t xml:space="preserve">the </w:t>
      </w:r>
      <w:r w:rsidRPr="00EB30FF">
        <w:t>previously approved ICR ($</w:t>
      </w:r>
      <w:r>
        <w:t>5.67</w:t>
      </w:r>
      <w:r w:rsidRPr="00EB30FF">
        <w:t>) adjusted to 2021 dollars using BLS Consumer Price Indices</w:t>
      </w:r>
      <w:r>
        <w:t xml:space="preserve">. </w:t>
      </w:r>
      <w:r w:rsidRPr="00EB30FF">
        <w:t xml:space="preserve">U.S. Bureau of Labor Statistics; </w:t>
      </w:r>
      <w:hyperlink r:id="rId7" w:history="1">
        <w:r w:rsidRPr="00A6661D">
          <w:rPr>
            <w:rStyle w:val="Hyperlink"/>
          </w:rPr>
          <w:t>Historical Consumer Price Index for All Urban Consumers (CPI-U): U.S. city average, all items, by month</w:t>
        </w:r>
      </w:hyperlink>
      <w:r w:rsidRPr="00EB30FF">
        <w:t>. April 2018=250.546 and October 2021=276.589.</w:t>
      </w:r>
    </w:p>
  </w:footnote>
  <w:footnote w:id="8">
    <w:p w14:paraId="1302F4ED" w14:textId="77777777" w:rsidR="003B3F2B" w:rsidRDefault="003B3F2B" w:rsidP="00AF6593">
      <w:pPr>
        <w:pStyle w:val="FootnoteText"/>
        <w:spacing w:after="120"/>
      </w:pPr>
      <w:r>
        <w:rPr>
          <w:rStyle w:val="FootnoteReference"/>
        </w:rPr>
        <w:footnoteRef/>
      </w:r>
      <w:r>
        <w:t xml:space="preserve"> </w:t>
      </w:r>
      <w:r w:rsidRPr="00EB30FF">
        <w:t xml:space="preserve">Cost in </w:t>
      </w:r>
      <w:r>
        <w:t xml:space="preserve">the </w:t>
      </w:r>
      <w:r w:rsidRPr="00EB30FF">
        <w:t>previously approved ICR ($</w:t>
      </w:r>
      <w:r>
        <w:t>28.26</w:t>
      </w:r>
      <w:r w:rsidRPr="00EB30FF">
        <w:t>) adjusted to 2021 dollars using BLS Consumer Price Indices</w:t>
      </w:r>
      <w:r>
        <w:t xml:space="preserve">. </w:t>
      </w:r>
      <w:r w:rsidRPr="00EB30FF">
        <w:t xml:space="preserve">U.S. Bureau of Labor Statistics; </w:t>
      </w:r>
      <w:hyperlink r:id="rId8" w:history="1">
        <w:r w:rsidRPr="00A6661D">
          <w:rPr>
            <w:rStyle w:val="Hyperlink"/>
          </w:rPr>
          <w:t>Historical Consumer Price Index for All Urban Consumers (CPI-U): U.S. city average, all items, by month</w:t>
        </w:r>
      </w:hyperlink>
      <w:r w:rsidRPr="00EB30FF">
        <w:t>. April 2018=250.546 and October 2021=276.589.</w:t>
      </w:r>
    </w:p>
  </w:footnote>
  <w:footnote w:id="9">
    <w:p w14:paraId="737AE6F6" w14:textId="77777777" w:rsidR="003B3F2B" w:rsidRDefault="003B3F2B" w:rsidP="00AF6593">
      <w:pPr>
        <w:pStyle w:val="FootnoteText"/>
        <w:spacing w:after="120"/>
      </w:pPr>
      <w:r>
        <w:rPr>
          <w:rStyle w:val="FootnoteReference"/>
        </w:rPr>
        <w:footnoteRef/>
      </w:r>
      <w:r>
        <w:t xml:space="preserve"> </w:t>
      </w:r>
      <w:r w:rsidRPr="00EB30FF">
        <w:t xml:space="preserve">Cost in </w:t>
      </w:r>
      <w:r>
        <w:t xml:space="preserve">the </w:t>
      </w:r>
      <w:r w:rsidRPr="00EB30FF">
        <w:t>previously approved ICR ($</w:t>
      </w:r>
      <w:r>
        <w:t>28.18</w:t>
      </w:r>
      <w:r w:rsidRPr="00EB30FF">
        <w:t>) adjusted to 2021 dollars using BLS Consumer Price Indices</w:t>
      </w:r>
      <w:r>
        <w:t xml:space="preserve">. </w:t>
      </w:r>
      <w:r w:rsidRPr="00EB30FF">
        <w:t xml:space="preserve">U.S. Bureau of Labor Statistics; </w:t>
      </w:r>
      <w:hyperlink r:id="rId9" w:history="1">
        <w:r w:rsidRPr="00A6661D">
          <w:rPr>
            <w:rStyle w:val="Hyperlink"/>
          </w:rPr>
          <w:t>Historical Consumer Price Index for All Urban Consumers (CPI-U): U.S. city average, all items, by month</w:t>
        </w:r>
      </w:hyperlink>
      <w:r w:rsidRPr="00EB30FF">
        <w:t>. April 2018=250.546 and October 2021=276.589.</w:t>
      </w:r>
    </w:p>
  </w:footnote>
  <w:footnote w:id="10">
    <w:p w14:paraId="4CFB546B" w14:textId="77777777" w:rsidR="003B3F2B" w:rsidRDefault="003B3F2B" w:rsidP="00AF6593">
      <w:pPr>
        <w:pStyle w:val="FootnoteText"/>
        <w:spacing w:after="120"/>
      </w:pPr>
      <w:r>
        <w:rPr>
          <w:rStyle w:val="FootnoteReference"/>
        </w:rPr>
        <w:footnoteRef/>
      </w:r>
      <w:r>
        <w:t xml:space="preserve"> </w:t>
      </w:r>
      <w:r w:rsidRPr="00EB30FF">
        <w:t xml:space="preserve">Cost in </w:t>
      </w:r>
      <w:r>
        <w:t xml:space="preserve">the </w:t>
      </w:r>
      <w:r w:rsidRPr="00EB30FF">
        <w:t>previously approved ICR ($</w:t>
      </w:r>
      <w:r>
        <w:t>14.09</w:t>
      </w:r>
      <w:r w:rsidRPr="00EB30FF">
        <w:t>) adjusted to 2021 dollars using BLS Consumer Price Indices</w:t>
      </w:r>
      <w:r>
        <w:t xml:space="preserve">. </w:t>
      </w:r>
      <w:r w:rsidRPr="00EB30FF">
        <w:t xml:space="preserve">U.S. Bureau of Labor Statistics; </w:t>
      </w:r>
      <w:hyperlink r:id="rId10" w:history="1">
        <w:r w:rsidRPr="00A6661D">
          <w:rPr>
            <w:rStyle w:val="Hyperlink"/>
          </w:rPr>
          <w:t>Historical Consumer Price Index for All Urban Consumers (CPI-U): U.S. city average, all items, by month</w:t>
        </w:r>
      </w:hyperlink>
      <w:r w:rsidRPr="00EB30FF">
        <w:t>. April 2018=250.546 and October 2021=276.589.</w:t>
      </w:r>
    </w:p>
  </w:footnote>
  <w:footnote w:id="11">
    <w:p w14:paraId="60E259D2" w14:textId="77777777" w:rsidR="003B3F2B" w:rsidRDefault="003B3F2B" w:rsidP="00AF6593">
      <w:pPr>
        <w:pStyle w:val="FootnoteText"/>
        <w:spacing w:after="120"/>
      </w:pPr>
      <w:r>
        <w:rPr>
          <w:rStyle w:val="FootnoteReference"/>
        </w:rPr>
        <w:footnoteRef/>
      </w:r>
      <w:r>
        <w:t xml:space="preserve"> </w:t>
      </w:r>
      <w:r w:rsidRPr="00EB30FF">
        <w:t xml:space="preserve">Cost in </w:t>
      </w:r>
      <w:r>
        <w:t xml:space="preserve">the </w:t>
      </w:r>
      <w:r w:rsidRPr="00EB30FF">
        <w:t>previously approved ICR ($</w:t>
      </w:r>
      <w:r>
        <w:t>3,820</w:t>
      </w:r>
      <w:r w:rsidRPr="00EB30FF">
        <w:t>) adjusted to 2021 dollars using BLS Consumer Price Indices</w:t>
      </w:r>
      <w:r>
        <w:t xml:space="preserve">. </w:t>
      </w:r>
      <w:r w:rsidRPr="00EB30FF">
        <w:t xml:space="preserve">U.S. Bureau of Labor Statistics; </w:t>
      </w:r>
      <w:hyperlink r:id="rId11" w:history="1">
        <w:r w:rsidRPr="00A6661D">
          <w:rPr>
            <w:rStyle w:val="Hyperlink"/>
          </w:rPr>
          <w:t>Historical Consumer Price Index for All Urban Consumers (CPI-U): U.S. city average, all items, by month</w:t>
        </w:r>
      </w:hyperlink>
      <w:r w:rsidRPr="00EB30FF">
        <w:t>. April 2018=250.546 and October 2021=276.589.</w:t>
      </w:r>
    </w:p>
  </w:footnote>
  <w:footnote w:id="12">
    <w:p w14:paraId="669CBC08" w14:textId="77777777" w:rsidR="003B3F2B" w:rsidRDefault="003B3F2B" w:rsidP="009C6845">
      <w:pPr>
        <w:pStyle w:val="FootnoteText"/>
        <w:spacing w:after="120"/>
      </w:pPr>
      <w:r>
        <w:rPr>
          <w:rStyle w:val="FootnoteReference"/>
        </w:rPr>
        <w:footnoteRef/>
      </w:r>
      <w:r>
        <w:t xml:space="preserve"> </w:t>
      </w:r>
      <w:r w:rsidRPr="00EB30FF">
        <w:t xml:space="preserve">Cost in </w:t>
      </w:r>
      <w:r>
        <w:t xml:space="preserve">the </w:t>
      </w:r>
      <w:r w:rsidRPr="00EB30FF">
        <w:t>previously approved ICR ($</w:t>
      </w:r>
      <w:r>
        <w:t>706.52</w:t>
      </w:r>
      <w:r w:rsidRPr="00EB30FF">
        <w:t>) adjusted to 2021 dollars using BLS Consumer Price Indices</w:t>
      </w:r>
      <w:r>
        <w:t xml:space="preserve">. </w:t>
      </w:r>
      <w:r w:rsidRPr="00EB30FF">
        <w:t xml:space="preserve">U.S. Bureau of Labor Statistics; </w:t>
      </w:r>
      <w:hyperlink r:id="rId12" w:history="1">
        <w:r w:rsidRPr="00A6661D">
          <w:rPr>
            <w:rStyle w:val="Hyperlink"/>
          </w:rPr>
          <w:t>Historical Consumer Price Index for All Urban Consumers (CPI-U): U.S. city average, all items, by month</w:t>
        </w:r>
      </w:hyperlink>
      <w:r w:rsidRPr="00EB30FF">
        <w:t>. April 2018=250.546 and October 2021=276.589.</w:t>
      </w:r>
    </w:p>
  </w:footnote>
  <w:footnote w:id="13">
    <w:p w14:paraId="25E66A95" w14:textId="77777777" w:rsidR="003B3F2B" w:rsidRDefault="003B3F2B" w:rsidP="005F7E2A">
      <w:pPr>
        <w:pStyle w:val="FootnoteText"/>
        <w:spacing w:after="120"/>
      </w:pPr>
      <w:r>
        <w:rPr>
          <w:rStyle w:val="FootnoteReference"/>
        </w:rPr>
        <w:footnoteRef/>
      </w:r>
      <w:r>
        <w:t xml:space="preserve"> </w:t>
      </w:r>
      <w:r w:rsidRPr="00EB30FF">
        <w:t xml:space="preserve">Cost in </w:t>
      </w:r>
      <w:r>
        <w:t xml:space="preserve">the </w:t>
      </w:r>
      <w:r w:rsidRPr="00EB30FF">
        <w:t>previously approved ICR (</w:t>
      </w:r>
      <w:r w:rsidRPr="005F7E2A">
        <w:t>$3,532.60</w:t>
      </w:r>
      <w:r w:rsidRPr="00EB30FF">
        <w:t>) adjusted to 2021 dollars using BLS Consumer Price Indices</w:t>
      </w:r>
      <w:r>
        <w:t xml:space="preserve">. </w:t>
      </w:r>
      <w:r w:rsidRPr="00EB30FF">
        <w:t xml:space="preserve">U.S. Bureau of Labor Statistics; </w:t>
      </w:r>
      <w:hyperlink r:id="rId13" w:history="1">
        <w:r w:rsidRPr="00A6661D">
          <w:rPr>
            <w:rStyle w:val="Hyperlink"/>
          </w:rPr>
          <w:t>Historical Consumer Price Index for All Urban Consumers (CPI-U): U.S. city average, all items, by month</w:t>
        </w:r>
      </w:hyperlink>
      <w:r w:rsidRPr="00EB30FF">
        <w:t>. April 2018=250.546 and October 2021=276.589.</w:t>
      </w:r>
    </w:p>
  </w:footnote>
  <w:footnote w:id="14">
    <w:p w14:paraId="13938A48" w14:textId="77777777" w:rsidR="003B3F2B" w:rsidRDefault="003B3F2B" w:rsidP="00014573">
      <w:pPr>
        <w:pStyle w:val="FootnoteText"/>
        <w:spacing w:after="120"/>
      </w:pPr>
      <w:r>
        <w:rPr>
          <w:rStyle w:val="FootnoteReference"/>
        </w:rPr>
        <w:footnoteRef/>
      </w:r>
      <w:r>
        <w:t xml:space="preserve"> U.S. Bureau of Labor Statistics, “</w:t>
      </w:r>
      <w:hyperlink r:id="rId14" w:history="1">
        <w:r w:rsidRPr="001502AC">
          <w:rPr>
            <w:rStyle w:val="Hyperlink"/>
          </w:rPr>
          <w:t>May 2020 National Industry-Specific Occupational Employment and Wage Estimates; NAICS 999000 - Federal, State, and Local Government, excluding state and local schools and hospitals and the U.S. Postal Service (OEWS Designation)</w:t>
        </w:r>
      </w:hyperlink>
      <w:r>
        <w:t>,” March 31, 2021.</w:t>
      </w:r>
    </w:p>
  </w:footnote>
  <w:footnote w:id="15">
    <w:p w14:paraId="1E2CAFD2" w14:textId="77777777" w:rsidR="003B3F2B" w:rsidRDefault="003B3F2B" w:rsidP="00231EDF">
      <w:pPr>
        <w:pStyle w:val="FootnoteText"/>
        <w:spacing w:after="120"/>
      </w:pPr>
      <w:r>
        <w:rPr>
          <w:rStyle w:val="FootnoteReference"/>
        </w:rPr>
        <w:footnoteRef/>
      </w:r>
      <w:r>
        <w:t xml:space="preserve"> U.S. Bureau of Labor Statistics, “Table 7. Employment Cost Index for total compensation, for State and local government workers, by occupation and industry, continuous occupational and industry series (not seasonally adjusted)</w:t>
      </w:r>
      <w:r w:rsidRPr="0054268A">
        <w:t xml:space="preserve">;” </w:t>
      </w:r>
      <w:hyperlink r:id="rId15" w:history="1">
        <w:r w:rsidRPr="001F6B7C">
          <w:rPr>
            <w:rStyle w:val="Hyperlink"/>
          </w:rPr>
          <w:t>Employment Cost Index, Historical Listing – Volume V, Continuous Occupational and Industry Series, September 1975-September 2021 (December 2005=100)</w:t>
        </w:r>
      </w:hyperlink>
      <w:r w:rsidRPr="0054268A">
        <w:t xml:space="preserve">. </w:t>
      </w:r>
      <w:r>
        <w:t>State and Local Government Workers</w:t>
      </w:r>
      <w:r w:rsidRPr="0054268A">
        <w:t>, All Workers, June</w:t>
      </w:r>
      <w:r>
        <w:t> 2020</w:t>
      </w:r>
      <w:r w:rsidRPr="0054268A">
        <w:t>=</w:t>
      </w:r>
      <w:r w:rsidRPr="00231EDF">
        <w:t>142.9</w:t>
      </w:r>
      <w:r w:rsidRPr="0054268A">
        <w:t xml:space="preserve"> and </w:t>
      </w:r>
      <w:r>
        <w:t>September 2021</w:t>
      </w:r>
      <w:r w:rsidRPr="0054268A">
        <w:t>=</w:t>
      </w:r>
      <w:r w:rsidRPr="00231EDF">
        <w:t>147.6</w:t>
      </w:r>
      <w:r w:rsidRPr="0054268A">
        <w:t>.</w:t>
      </w:r>
    </w:p>
  </w:footnote>
  <w:footnote w:id="16">
    <w:p w14:paraId="3361BF97" w14:textId="77777777" w:rsidR="003B3F2B" w:rsidRDefault="003B3F2B" w:rsidP="008E1762">
      <w:pPr>
        <w:pStyle w:val="FootnoteText"/>
        <w:spacing w:after="120"/>
      </w:pPr>
      <w:r>
        <w:rPr>
          <w:rStyle w:val="FootnoteReference"/>
        </w:rPr>
        <w:footnoteRef/>
      </w:r>
      <w:r>
        <w:t xml:space="preserve"> U.S. Bureau of Labor Statistics, “Table 5. State and local government workers, by major occupational group: employer costs per hour worked for employee compensation and costs as a percentage of total compensation;” </w:t>
      </w:r>
      <w:hyperlink r:id="rId16" w:history="1">
        <w:r w:rsidRPr="00101AD3">
          <w:rPr>
            <w:rStyle w:val="Hyperlink"/>
          </w:rPr>
          <w:t>Employer Costs for Employee Compensation, Historical Listing, National Compensation Survey; March 2004 – June 2021</w:t>
        </w:r>
      </w:hyperlink>
      <w:r>
        <w:t>; September 2021. All Workers, Total Compensation June 2021=</w:t>
      </w:r>
      <w:r w:rsidRPr="00231EDF">
        <w:t>53.59</w:t>
      </w:r>
      <w:r>
        <w:t xml:space="preserve"> and Total Benefits June 2021=</w:t>
      </w:r>
      <w:r w:rsidRPr="00CF4BD6">
        <w:t>10.76</w:t>
      </w:r>
      <w:r>
        <w:t>.</w:t>
      </w:r>
    </w:p>
  </w:footnote>
  <w:footnote w:id="17">
    <w:p w14:paraId="47FFD574" w14:textId="77777777" w:rsidR="003B3F2B" w:rsidRDefault="003B3F2B" w:rsidP="008E1762">
      <w:pPr>
        <w:pStyle w:val="FootnoteText"/>
        <w:spacing w:after="120"/>
      </w:pPr>
      <w:r>
        <w:rPr>
          <w:rStyle w:val="FootnoteReference"/>
        </w:rPr>
        <w:footnoteRef/>
      </w:r>
      <w:r>
        <w:t xml:space="preserve"> For purposes of this analysis, recycling includes Biennial Report Management Method Codes H010 (metals recovery), H011 (mercury recovery), H020 (solvents recovery), and H039 (other recovery or reclamation for reuse).</w:t>
      </w:r>
    </w:p>
  </w:footnote>
  <w:footnote w:id="18">
    <w:p w14:paraId="3CAC9590" w14:textId="77777777" w:rsidR="003B3F2B" w:rsidRDefault="003B3F2B" w:rsidP="008E1762">
      <w:pPr>
        <w:pStyle w:val="FootnoteText"/>
        <w:spacing w:after="120"/>
      </w:pPr>
      <w:r>
        <w:rPr>
          <w:rStyle w:val="FootnoteReference"/>
        </w:rPr>
        <w:footnoteRef/>
      </w:r>
      <w:r>
        <w:t xml:space="preserve"> Based on Federal generator status data reported by generators that </w:t>
      </w:r>
      <w:r w:rsidRPr="00E63A11">
        <w:t xml:space="preserve">submitted a </w:t>
      </w:r>
      <w:r>
        <w:t xml:space="preserve">Site ID </w:t>
      </w:r>
      <w:r w:rsidRPr="00E63A11">
        <w:t>Form notifying that they transfer hazardous secondary material offsite to a permitted or verified site (Facility Code 06 in the Hazardous Secondary Material Addendum to the Site ID Form).</w:t>
      </w:r>
    </w:p>
  </w:footnote>
  <w:footnote w:id="19">
    <w:p w14:paraId="43F287A9" w14:textId="77777777" w:rsidR="003B3F2B" w:rsidRDefault="003B3F2B" w:rsidP="00805BB1">
      <w:pPr>
        <w:pStyle w:val="FootnoteText"/>
        <w:spacing w:after="120"/>
      </w:pPr>
      <w:r>
        <w:rPr>
          <w:rStyle w:val="FootnoteReference"/>
        </w:rPr>
        <w:footnoteRef/>
      </w:r>
      <w:r>
        <w:t xml:space="preserve"> Assumption taken from previously approved ICR.</w:t>
      </w:r>
    </w:p>
  </w:footnote>
  <w:footnote w:id="20">
    <w:p w14:paraId="4A4B29C6" w14:textId="77777777" w:rsidR="003B3F2B" w:rsidRDefault="003B3F2B" w:rsidP="002934AC">
      <w:pPr>
        <w:pStyle w:val="FootnoteText"/>
        <w:spacing w:after="120"/>
      </w:pPr>
      <w:r>
        <w:rPr>
          <w:rStyle w:val="FootnoteReference"/>
        </w:rPr>
        <w:footnoteRef/>
      </w:r>
      <w:r>
        <w:t xml:space="preserve"> Ibid.</w:t>
      </w:r>
    </w:p>
  </w:footnote>
  <w:footnote w:id="21">
    <w:p w14:paraId="408E606E" w14:textId="77777777" w:rsidR="003B3F2B" w:rsidRDefault="003B3F2B" w:rsidP="008E1762">
      <w:pPr>
        <w:pStyle w:val="FootnoteText"/>
        <w:spacing w:after="120"/>
      </w:pPr>
      <w:r>
        <w:rPr>
          <w:rStyle w:val="FootnoteReference"/>
        </w:rPr>
        <w:footnoteRef/>
      </w:r>
      <w:r>
        <w:t xml:space="preserve"> This assumption is consistent with the assumption used in the previously approved ICR.</w:t>
      </w:r>
    </w:p>
  </w:footnote>
  <w:footnote w:id="22">
    <w:p w14:paraId="31162B16" w14:textId="77777777" w:rsidR="003B3F2B" w:rsidRDefault="003B3F2B" w:rsidP="008E1762">
      <w:pPr>
        <w:pStyle w:val="FootnoteText"/>
        <w:spacing w:after="120"/>
      </w:pPr>
      <w:r>
        <w:rPr>
          <w:rStyle w:val="FootnoteReference"/>
        </w:rPr>
        <w:footnoteRef/>
      </w:r>
      <w:r>
        <w:t xml:space="preserve"> This assumption was taken from the previously approved ICR.</w:t>
      </w:r>
    </w:p>
  </w:footnote>
  <w:footnote w:id="23">
    <w:p w14:paraId="3A7FBDA4" w14:textId="77777777" w:rsidR="003B3F2B" w:rsidRDefault="003B3F2B" w:rsidP="007472AD">
      <w:pPr>
        <w:pStyle w:val="FootnoteText"/>
        <w:spacing w:after="120"/>
      </w:pPr>
      <w:r>
        <w:rPr>
          <w:rStyle w:val="FootnoteReference"/>
        </w:rPr>
        <w:footnoteRef/>
      </w:r>
      <w:r>
        <w:t xml:space="preserve"> Based on Federal generator status data reported by generators that </w:t>
      </w:r>
      <w:r w:rsidRPr="00E63A11">
        <w:t xml:space="preserve">submitted a </w:t>
      </w:r>
      <w:r>
        <w:t xml:space="preserve">Site ID </w:t>
      </w:r>
      <w:r w:rsidRPr="00E63A11">
        <w:t>Form notifying that they transfer hazardous secondary material offsite to a permitted or verified site (Facility Code</w:t>
      </w:r>
      <w:r>
        <w:t>s</w:t>
      </w:r>
      <w:r w:rsidRPr="00E63A11">
        <w:t xml:space="preserve"> 0</w:t>
      </w:r>
      <w:r>
        <w:t>1, 02, and 05</w:t>
      </w:r>
      <w:r w:rsidRPr="00E63A11">
        <w:t xml:space="preserve"> in the Hazardous Secondary Material Addendum to the Site ID Form).</w:t>
      </w:r>
    </w:p>
  </w:footnote>
  <w:footnote w:id="24">
    <w:p w14:paraId="519AFD77" w14:textId="77777777" w:rsidR="003B3F2B" w:rsidRDefault="003B3F2B" w:rsidP="007472AD">
      <w:pPr>
        <w:pStyle w:val="FootnoteText"/>
        <w:spacing w:after="120"/>
      </w:pPr>
      <w:r>
        <w:rPr>
          <w:rStyle w:val="FootnoteReference"/>
        </w:rPr>
        <w:footnoteRef/>
      </w:r>
      <w:r>
        <w:t xml:space="preserve"> Assumption taken from previously approved ICR.</w:t>
      </w:r>
    </w:p>
  </w:footnote>
  <w:footnote w:id="25">
    <w:p w14:paraId="41FAA39C" w14:textId="77777777" w:rsidR="003B3F2B" w:rsidRDefault="003B3F2B" w:rsidP="007472AD">
      <w:pPr>
        <w:pStyle w:val="FootnoteText"/>
        <w:spacing w:after="120"/>
      </w:pPr>
      <w:r>
        <w:rPr>
          <w:rStyle w:val="FootnoteReference"/>
        </w:rPr>
        <w:footnoteRef/>
      </w:r>
      <w:r>
        <w:t xml:space="preserve"> Ibid.</w:t>
      </w:r>
    </w:p>
  </w:footnote>
  <w:footnote w:id="26">
    <w:p w14:paraId="4763684B" w14:textId="77777777" w:rsidR="003B3F2B" w:rsidRDefault="003B3F2B" w:rsidP="0052409E">
      <w:pPr>
        <w:pStyle w:val="FootnoteText"/>
        <w:spacing w:after="120"/>
      </w:pPr>
      <w:r>
        <w:rPr>
          <w:rStyle w:val="FootnoteReference"/>
        </w:rPr>
        <w:footnoteRef/>
      </w:r>
      <w:r>
        <w:t xml:space="preserve"> Ibid.</w:t>
      </w:r>
    </w:p>
  </w:footnote>
  <w:footnote w:id="27">
    <w:p w14:paraId="4BA4F02B" w14:textId="77777777" w:rsidR="003B3F2B" w:rsidRDefault="003B3F2B" w:rsidP="001F3F6B">
      <w:pPr>
        <w:pStyle w:val="FootnoteText"/>
        <w:spacing w:after="120"/>
      </w:pPr>
      <w:r>
        <w:rPr>
          <w:rStyle w:val="FootnoteReference"/>
        </w:rPr>
        <w:footnoteRef/>
      </w:r>
      <w:r>
        <w:t xml:space="preserve"> Ibid.</w:t>
      </w:r>
    </w:p>
  </w:footnote>
  <w:footnote w:id="28">
    <w:p w14:paraId="119E832E" w14:textId="77777777" w:rsidR="003B3F2B" w:rsidRDefault="003B3F2B" w:rsidP="001F3F6B">
      <w:pPr>
        <w:pStyle w:val="FootnoteText"/>
        <w:spacing w:after="120"/>
      </w:pPr>
      <w:r>
        <w:rPr>
          <w:rStyle w:val="FootnoteReference"/>
        </w:rPr>
        <w:footnoteRef/>
      </w:r>
      <w:r>
        <w:t xml:space="preserve"> Ibid.</w:t>
      </w:r>
    </w:p>
  </w:footnote>
  <w:footnote w:id="29">
    <w:p w14:paraId="091B4239" w14:textId="77777777" w:rsidR="003B3F2B" w:rsidRDefault="003B3F2B" w:rsidP="008C1565">
      <w:pPr>
        <w:pStyle w:val="FootnoteText"/>
        <w:spacing w:after="120"/>
      </w:pPr>
      <w:r>
        <w:rPr>
          <w:rStyle w:val="FootnoteReference"/>
        </w:rPr>
        <w:footnoteRef/>
      </w:r>
      <w:r>
        <w:t xml:space="preserve"> Ibid.</w:t>
      </w:r>
    </w:p>
  </w:footnote>
  <w:footnote w:id="30">
    <w:p w14:paraId="75C83542" w14:textId="77777777" w:rsidR="003B3F2B" w:rsidRDefault="003B3F2B" w:rsidP="008C1565">
      <w:pPr>
        <w:pStyle w:val="FootnoteText"/>
        <w:spacing w:after="120"/>
      </w:pPr>
      <w:r>
        <w:rPr>
          <w:rStyle w:val="FootnoteReference"/>
        </w:rPr>
        <w:footnoteRef/>
      </w:r>
      <w:r>
        <w:t xml:space="preserve"> Ibid.</w:t>
      </w:r>
    </w:p>
  </w:footnote>
  <w:footnote w:id="31">
    <w:p w14:paraId="1CB019CB" w14:textId="77777777" w:rsidR="003B3F2B" w:rsidRDefault="003B3F2B" w:rsidP="008C1565">
      <w:pPr>
        <w:pStyle w:val="FootnoteText"/>
        <w:spacing w:after="120"/>
      </w:pPr>
      <w:r>
        <w:rPr>
          <w:rStyle w:val="FootnoteReference"/>
        </w:rPr>
        <w:footnoteRef/>
      </w:r>
      <w:r>
        <w:t xml:space="preserve"> Ibid.</w:t>
      </w:r>
    </w:p>
  </w:footnote>
  <w:footnote w:id="32">
    <w:p w14:paraId="2ADA3B1E" w14:textId="77777777" w:rsidR="003B3F2B" w:rsidRDefault="003B3F2B" w:rsidP="00C17AE4">
      <w:pPr>
        <w:pStyle w:val="FootnoteText"/>
        <w:spacing w:after="120"/>
      </w:pPr>
      <w:r>
        <w:rPr>
          <w:rStyle w:val="FootnoteReference"/>
        </w:rPr>
        <w:footnoteRef/>
      </w:r>
      <w: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69C1E" w14:textId="77777777" w:rsidR="003B3F2B" w:rsidRDefault="003B3F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4E705" w14:textId="77777777" w:rsidR="003B3F2B" w:rsidRDefault="003B3F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C0AAC" w14:textId="77777777" w:rsidR="003B3F2B" w:rsidRDefault="003B3F2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1CE21" w14:textId="77777777" w:rsidR="003B3F2B" w:rsidRDefault="003B3F2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86B07" w14:textId="77777777" w:rsidR="003B3F2B" w:rsidRPr="00A45E09" w:rsidRDefault="003B3F2B" w:rsidP="00A45E0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7EEB8" w14:textId="77777777" w:rsidR="003B3F2B" w:rsidRDefault="003B3F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lvl w:ilvl="0">
      <w:start w:val="1"/>
      <w:numFmt w:val="bullet"/>
      <w:lvlText w:val=""/>
      <w:lvlJc w:val="left"/>
      <w:pPr>
        <w:tabs>
          <w:tab w:val="num" w:pos="0"/>
        </w:tabs>
        <w:ind w:left="375" w:hanging="360"/>
      </w:pPr>
      <w:rPr>
        <w:rFonts w:ascii="Symbol" w:hAnsi="Symbol" w:cs="Courier New"/>
      </w:rPr>
    </w:lvl>
  </w:abstractNum>
  <w:abstractNum w:abstractNumId="2" w15:restartNumberingAfterBreak="0">
    <w:nsid w:val="00000003"/>
    <w:multiLevelType w:val="multilevel"/>
    <w:tmpl w:val="00000003"/>
    <w:lvl w:ilvl="0">
      <w:start w:val="1"/>
      <w:numFmt w:val="bullet"/>
      <w:lvlText w:val=""/>
      <w:lvlJc w:val="left"/>
      <w:pPr>
        <w:tabs>
          <w:tab w:val="num" w:pos="1440"/>
        </w:tabs>
        <w:ind w:left="1440" w:hanging="360"/>
      </w:pPr>
      <w:rPr>
        <w:rFonts w:ascii="Symbol" w:hAnsi="Symbol" w:cs="Courier New"/>
      </w:rPr>
    </w:lvl>
    <w:lvl w:ilvl="1">
      <w:start w:val="1"/>
      <w:numFmt w:val="bullet"/>
      <w:lvlText w:val="o"/>
      <w:lvlJc w:val="left"/>
      <w:pPr>
        <w:tabs>
          <w:tab w:val="num" w:pos="2160"/>
        </w:tabs>
        <w:ind w:left="2160" w:hanging="360"/>
      </w:pPr>
      <w:rPr>
        <w:rFonts w:ascii="Courier New" w:hAnsi="Courier New" w:cs="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cs="Courier New"/>
      </w:rPr>
    </w:lvl>
    <w:lvl w:ilvl="4">
      <w:start w:val="1"/>
      <w:numFmt w:val="bullet"/>
      <w:lvlText w:val="o"/>
      <w:lvlJc w:val="left"/>
      <w:pPr>
        <w:tabs>
          <w:tab w:val="num" w:pos="4320"/>
        </w:tabs>
        <w:ind w:left="4320" w:hanging="360"/>
      </w:pPr>
      <w:rPr>
        <w:rFonts w:ascii="Courier New" w:hAnsi="Courier New" w:cs="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cs="Courier New"/>
      </w:rPr>
    </w:lvl>
    <w:lvl w:ilvl="7">
      <w:start w:val="1"/>
      <w:numFmt w:val="bullet"/>
      <w:lvlText w:val="o"/>
      <w:lvlJc w:val="left"/>
      <w:pPr>
        <w:tabs>
          <w:tab w:val="num" w:pos="6480"/>
        </w:tabs>
        <w:ind w:left="6480" w:hanging="360"/>
      </w:pPr>
      <w:rPr>
        <w:rFonts w:ascii="Courier New" w:hAnsi="Courier New" w:cs="Courier New"/>
      </w:rPr>
    </w:lvl>
    <w:lvl w:ilvl="8">
      <w:start w:val="1"/>
      <w:numFmt w:val="bullet"/>
      <w:lvlText w:val=""/>
      <w:lvlJc w:val="left"/>
      <w:pPr>
        <w:tabs>
          <w:tab w:val="num" w:pos="7200"/>
        </w:tabs>
        <w:ind w:left="7200" w:hanging="360"/>
      </w:pPr>
      <w:rPr>
        <w:rFonts w:ascii="Wingdings" w:hAnsi="Wingdings"/>
      </w:rPr>
    </w:lvl>
  </w:abstractNum>
  <w:abstractNum w:abstractNumId="3"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cs="Times New Roman"/>
        <w:sz w:val="28"/>
      </w:rPr>
    </w:lvl>
  </w:abstractNum>
  <w:abstractNum w:abstractNumId="4" w15:restartNumberingAfterBreak="0">
    <w:nsid w:val="00000005"/>
    <w:multiLevelType w:val="multilevel"/>
    <w:tmpl w:val="00000005"/>
    <w:name w:val="WW8Num5"/>
    <w:lvl w:ilvl="0">
      <w:start w:val="1"/>
      <w:numFmt w:val="bullet"/>
      <w:lvlText w:val=""/>
      <w:lvlJc w:val="left"/>
      <w:pPr>
        <w:tabs>
          <w:tab w:val="num" w:pos="1080"/>
        </w:tabs>
        <w:ind w:left="1080" w:hanging="360"/>
      </w:pPr>
      <w:rPr>
        <w:rFonts w:ascii="Symbol" w:hAnsi="Symbol" w:cs="Times New Roman"/>
        <w:sz w:val="28"/>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Symbol" w:hAnsi="Symbol" w:cs="Times New Roman"/>
        <w:sz w:val="28"/>
      </w:rPr>
    </w:lvl>
    <w:lvl w:ilvl="3">
      <w:start w:val="1"/>
      <w:numFmt w:val="bullet"/>
      <w:lvlText w:val=""/>
      <w:lvlJc w:val="left"/>
      <w:pPr>
        <w:tabs>
          <w:tab w:val="num" w:pos="3240"/>
        </w:tabs>
        <w:ind w:left="3240" w:hanging="360"/>
      </w:pPr>
      <w:rPr>
        <w:rFonts w:ascii="Symbol" w:hAnsi="Symbol" w:cs="Times New Roman"/>
        <w:sz w:val="28"/>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cs="Times New Roman"/>
        <w:sz w:val="28"/>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5" w15:restartNumberingAfterBreak="0">
    <w:nsid w:val="00000006"/>
    <w:multiLevelType w:val="multilevel"/>
    <w:tmpl w:val="00000006"/>
    <w:name w:val="WW8Num6"/>
    <w:lvl w:ilvl="0">
      <w:start w:val="1"/>
      <w:numFmt w:val="bullet"/>
      <w:lvlText w:val=""/>
      <w:lvlJc w:val="left"/>
      <w:pPr>
        <w:tabs>
          <w:tab w:val="num" w:pos="1080"/>
        </w:tabs>
        <w:ind w:left="1080" w:hanging="360"/>
      </w:pPr>
      <w:rPr>
        <w:rFonts w:ascii="Symbol" w:hAnsi="Symbol" w:cs="Courier New"/>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cs="Courier New"/>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cs="Courier New"/>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6" w15:restartNumberingAfterBreak="0">
    <w:nsid w:val="00000007"/>
    <w:multiLevelType w:val="singleLevel"/>
    <w:tmpl w:val="00000007"/>
    <w:name w:val="WW8Num7"/>
    <w:lvl w:ilvl="0">
      <w:start w:val="1"/>
      <w:numFmt w:val="bullet"/>
      <w:lvlText w:val=""/>
      <w:lvlJc w:val="left"/>
      <w:pPr>
        <w:tabs>
          <w:tab w:val="num" w:pos="1800"/>
        </w:tabs>
        <w:ind w:left="1800" w:hanging="360"/>
      </w:pPr>
      <w:rPr>
        <w:rFonts w:ascii="Symbol" w:hAnsi="Symbol" w:cs="Times New Roman"/>
        <w:color w:val="auto"/>
        <w:spacing w:val="-94"/>
        <w:kern w:val="1"/>
        <w:position w:val="-1"/>
      </w:rPr>
    </w:lvl>
  </w:abstractNum>
  <w:abstractNum w:abstractNumId="7" w15:restartNumberingAfterBreak="0">
    <w:nsid w:val="00000008"/>
    <w:multiLevelType w:val="multilevel"/>
    <w:tmpl w:val="00000008"/>
    <w:name w:val="WW8Num8"/>
    <w:lvl w:ilvl="0">
      <w:start w:val="1"/>
      <w:numFmt w:val="bullet"/>
      <w:lvlText w:val=""/>
      <w:lvlJc w:val="left"/>
      <w:pPr>
        <w:tabs>
          <w:tab w:val="num" w:pos="1440"/>
        </w:tabs>
        <w:ind w:left="1440" w:hanging="360"/>
      </w:pPr>
      <w:rPr>
        <w:rFonts w:ascii="Symbol" w:hAnsi="Symbo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Symbol" w:hAnsi="Symbol"/>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1440" w:hanging="360"/>
      </w:pPr>
      <w:rPr>
        <w:rFonts w:ascii="Symbol" w:hAnsi="Symbol" w:cs="Courier New"/>
      </w:rPr>
    </w:lvl>
  </w:abstractNum>
  <w:abstractNum w:abstractNumId="9" w15:restartNumberingAfterBreak="0">
    <w:nsid w:val="0000000A"/>
    <w:multiLevelType w:val="multilevel"/>
    <w:tmpl w:val="0000000A"/>
    <w:name w:val="WW8Num10"/>
    <w:lvl w:ilvl="0">
      <w:start w:val="1"/>
      <w:numFmt w:val="bullet"/>
      <w:lvlText w:val=""/>
      <w:lvlJc w:val="left"/>
      <w:pPr>
        <w:tabs>
          <w:tab w:val="num" w:pos="1440"/>
        </w:tabs>
        <w:ind w:left="1440" w:hanging="360"/>
      </w:pPr>
      <w:rPr>
        <w:rFonts w:ascii="Symbol" w:hAnsi="Symbol" w:cs="Times New Roman"/>
        <w:sz w:val="28"/>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cs="Times New Roman"/>
        <w:sz w:val="28"/>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cs="Times New Roman"/>
        <w:sz w:val="28"/>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10" w15:restartNumberingAfterBreak="0">
    <w:nsid w:val="0000000B"/>
    <w:multiLevelType w:val="singleLevel"/>
    <w:tmpl w:val="0000000B"/>
    <w:lvl w:ilvl="0">
      <w:start w:val="1"/>
      <w:numFmt w:val="bullet"/>
      <w:lvlText w:val=""/>
      <w:lvlJc w:val="left"/>
      <w:pPr>
        <w:tabs>
          <w:tab w:val="num" w:pos="0"/>
        </w:tabs>
        <w:ind w:left="375" w:hanging="360"/>
      </w:pPr>
      <w:rPr>
        <w:rFonts w:ascii="Symbol" w:hAnsi="Symbol" w:cs="Courier New"/>
      </w:rPr>
    </w:lvl>
  </w:abstractNum>
  <w:abstractNum w:abstractNumId="11" w15:restartNumberingAfterBreak="0">
    <w:nsid w:val="00045A69"/>
    <w:multiLevelType w:val="hybridMultilevel"/>
    <w:tmpl w:val="9090773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065063CD"/>
    <w:multiLevelType w:val="hybridMultilevel"/>
    <w:tmpl w:val="19D20242"/>
    <w:lvl w:ilvl="0" w:tplc="6652EC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7EA5B4F"/>
    <w:multiLevelType w:val="hybridMultilevel"/>
    <w:tmpl w:val="9090773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32B1E28"/>
    <w:multiLevelType w:val="hybridMultilevel"/>
    <w:tmpl w:val="2D8499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59E7F73"/>
    <w:multiLevelType w:val="hybridMultilevel"/>
    <w:tmpl w:val="9090773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6847F93"/>
    <w:multiLevelType w:val="hybridMultilevel"/>
    <w:tmpl w:val="9090773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16916303"/>
    <w:multiLevelType w:val="hybridMultilevel"/>
    <w:tmpl w:val="9090773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214023B"/>
    <w:multiLevelType w:val="hybridMultilevel"/>
    <w:tmpl w:val="7A220014"/>
    <w:lvl w:ilvl="0" w:tplc="2DA0BA7E">
      <w:start w:val="1"/>
      <w:numFmt w:val="bullet"/>
      <w:lvlText w:val=""/>
      <w:lvlJc w:val="left"/>
      <w:pPr>
        <w:tabs>
          <w:tab w:val="num" w:pos="2160"/>
        </w:tabs>
        <w:ind w:left="2160" w:hanging="720"/>
      </w:pPr>
      <w:rPr>
        <w:rFonts w:ascii="Symbol" w:hAnsi="Symbol" w:cs="Times New Roman" w:hint="default"/>
        <w:sz w:val="28"/>
      </w:rPr>
    </w:lvl>
    <w:lvl w:ilvl="1" w:tplc="EE6C352E">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5C7983"/>
    <w:multiLevelType w:val="hybridMultilevel"/>
    <w:tmpl w:val="9090773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8A20C40"/>
    <w:multiLevelType w:val="hybridMultilevel"/>
    <w:tmpl w:val="30103BBA"/>
    <w:lvl w:ilvl="0" w:tplc="2DA0BA7E">
      <w:start w:val="1"/>
      <w:numFmt w:val="bullet"/>
      <w:lvlText w:val=""/>
      <w:lvlJc w:val="left"/>
      <w:pPr>
        <w:tabs>
          <w:tab w:val="num" w:pos="2160"/>
        </w:tabs>
        <w:ind w:left="2160" w:hanging="720"/>
      </w:pPr>
      <w:rPr>
        <w:rFonts w:ascii="Symbol" w:hAnsi="Symbol" w:cs="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8D2831"/>
    <w:multiLevelType w:val="hybridMultilevel"/>
    <w:tmpl w:val="9090773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2CFE43EB"/>
    <w:multiLevelType w:val="hybridMultilevel"/>
    <w:tmpl w:val="9090773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2DE609B3"/>
    <w:multiLevelType w:val="hybridMultilevel"/>
    <w:tmpl w:val="9090773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9361E61"/>
    <w:multiLevelType w:val="hybridMultilevel"/>
    <w:tmpl w:val="36E43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4B1CB3"/>
    <w:multiLevelType w:val="hybridMultilevel"/>
    <w:tmpl w:val="A690900E"/>
    <w:lvl w:ilvl="0" w:tplc="2430BC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1EB2167"/>
    <w:multiLevelType w:val="hybridMultilevel"/>
    <w:tmpl w:val="6AA6E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DC4218"/>
    <w:multiLevelType w:val="hybridMultilevel"/>
    <w:tmpl w:val="17A6BCA4"/>
    <w:lvl w:ilvl="0" w:tplc="2430BC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5410EFB"/>
    <w:multiLevelType w:val="hybridMultilevel"/>
    <w:tmpl w:val="EC92632E"/>
    <w:lvl w:ilvl="0" w:tplc="2CBA23E4">
      <w:start w:val="1"/>
      <w:numFmt w:val="bullet"/>
      <w:lvlText w:val=""/>
      <w:lvlJc w:val="left"/>
      <w:pPr>
        <w:tabs>
          <w:tab w:val="num" w:pos="1987"/>
        </w:tabs>
        <w:ind w:left="1987" w:hanging="360"/>
      </w:pPr>
      <w:rPr>
        <w:rFonts w:ascii="Symbol" w:hAnsi="Symbol" w:hint="default"/>
      </w:rPr>
    </w:lvl>
    <w:lvl w:ilvl="1" w:tplc="FFFFFFFF">
      <w:start w:val="1"/>
      <w:numFmt w:val="bullet"/>
      <w:lvlText w:val=""/>
      <w:lvlJc w:val="left"/>
      <w:pPr>
        <w:tabs>
          <w:tab w:val="num" w:pos="3067"/>
        </w:tabs>
        <w:ind w:left="3067" w:hanging="720"/>
      </w:pPr>
      <w:rPr>
        <w:rFonts w:ascii="Symbol" w:hAnsi="Symbol" w:cs="Times New Roman" w:hint="default"/>
        <w:sz w:val="28"/>
      </w:rPr>
    </w:lvl>
    <w:lvl w:ilvl="2" w:tplc="FFFFFFFF" w:tentative="1">
      <w:start w:val="1"/>
      <w:numFmt w:val="bullet"/>
      <w:lvlText w:val=""/>
      <w:lvlJc w:val="left"/>
      <w:pPr>
        <w:tabs>
          <w:tab w:val="num" w:pos="3427"/>
        </w:tabs>
        <w:ind w:left="3427" w:hanging="360"/>
      </w:pPr>
      <w:rPr>
        <w:rFonts w:ascii="Wingdings" w:hAnsi="Wingdings" w:hint="default"/>
      </w:rPr>
    </w:lvl>
    <w:lvl w:ilvl="3" w:tplc="FFFFFFFF" w:tentative="1">
      <w:start w:val="1"/>
      <w:numFmt w:val="bullet"/>
      <w:lvlText w:val=""/>
      <w:lvlJc w:val="left"/>
      <w:pPr>
        <w:tabs>
          <w:tab w:val="num" w:pos="4147"/>
        </w:tabs>
        <w:ind w:left="4147" w:hanging="360"/>
      </w:pPr>
      <w:rPr>
        <w:rFonts w:ascii="Symbol" w:hAnsi="Symbol" w:hint="default"/>
      </w:rPr>
    </w:lvl>
    <w:lvl w:ilvl="4" w:tplc="FFFFFFFF" w:tentative="1">
      <w:start w:val="1"/>
      <w:numFmt w:val="bullet"/>
      <w:lvlText w:val="o"/>
      <w:lvlJc w:val="left"/>
      <w:pPr>
        <w:tabs>
          <w:tab w:val="num" w:pos="4867"/>
        </w:tabs>
        <w:ind w:left="4867" w:hanging="360"/>
      </w:pPr>
      <w:rPr>
        <w:rFonts w:ascii="Courier New" w:hAnsi="Courier New" w:hint="default"/>
      </w:rPr>
    </w:lvl>
    <w:lvl w:ilvl="5" w:tplc="FFFFFFFF" w:tentative="1">
      <w:start w:val="1"/>
      <w:numFmt w:val="bullet"/>
      <w:lvlText w:val=""/>
      <w:lvlJc w:val="left"/>
      <w:pPr>
        <w:tabs>
          <w:tab w:val="num" w:pos="5587"/>
        </w:tabs>
        <w:ind w:left="5587" w:hanging="360"/>
      </w:pPr>
      <w:rPr>
        <w:rFonts w:ascii="Wingdings" w:hAnsi="Wingdings" w:hint="default"/>
      </w:rPr>
    </w:lvl>
    <w:lvl w:ilvl="6" w:tplc="FFFFFFFF" w:tentative="1">
      <w:start w:val="1"/>
      <w:numFmt w:val="bullet"/>
      <w:lvlText w:val=""/>
      <w:lvlJc w:val="left"/>
      <w:pPr>
        <w:tabs>
          <w:tab w:val="num" w:pos="6307"/>
        </w:tabs>
        <w:ind w:left="6307" w:hanging="360"/>
      </w:pPr>
      <w:rPr>
        <w:rFonts w:ascii="Symbol" w:hAnsi="Symbol" w:hint="default"/>
      </w:rPr>
    </w:lvl>
    <w:lvl w:ilvl="7" w:tplc="FFFFFFFF" w:tentative="1">
      <w:start w:val="1"/>
      <w:numFmt w:val="bullet"/>
      <w:lvlText w:val="o"/>
      <w:lvlJc w:val="left"/>
      <w:pPr>
        <w:tabs>
          <w:tab w:val="num" w:pos="7027"/>
        </w:tabs>
        <w:ind w:left="7027" w:hanging="360"/>
      </w:pPr>
      <w:rPr>
        <w:rFonts w:ascii="Courier New" w:hAnsi="Courier New" w:hint="default"/>
      </w:rPr>
    </w:lvl>
    <w:lvl w:ilvl="8" w:tplc="FFFFFFFF" w:tentative="1">
      <w:start w:val="1"/>
      <w:numFmt w:val="bullet"/>
      <w:lvlText w:val=""/>
      <w:lvlJc w:val="left"/>
      <w:pPr>
        <w:tabs>
          <w:tab w:val="num" w:pos="7747"/>
        </w:tabs>
        <w:ind w:left="7747" w:hanging="360"/>
      </w:pPr>
      <w:rPr>
        <w:rFonts w:ascii="Wingdings" w:hAnsi="Wingdings" w:hint="default"/>
      </w:rPr>
    </w:lvl>
  </w:abstractNum>
  <w:abstractNum w:abstractNumId="29" w15:restartNumberingAfterBreak="0">
    <w:nsid w:val="469F17A9"/>
    <w:multiLevelType w:val="hybridMultilevel"/>
    <w:tmpl w:val="09B4BAA8"/>
    <w:lvl w:ilvl="0" w:tplc="2430BC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8F47C43"/>
    <w:multiLevelType w:val="hybridMultilevel"/>
    <w:tmpl w:val="9090773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490E5679"/>
    <w:multiLevelType w:val="hybridMultilevel"/>
    <w:tmpl w:val="FC4A4E9C"/>
    <w:lvl w:ilvl="0" w:tplc="EE6C352E">
      <w:start w:val="2"/>
      <w:numFmt w:val="bullet"/>
      <w:lvlText w:val="-"/>
      <w:lvlJc w:val="left"/>
      <w:pPr>
        <w:tabs>
          <w:tab w:val="num" w:pos="1800"/>
        </w:tabs>
        <w:ind w:left="1800" w:hanging="360"/>
      </w:pPr>
      <w:rPr>
        <w:rFonts w:ascii="Times New Roman" w:eastAsia="Times New Roman" w:hAnsi="Times New Roman" w:cs="Times New Roman" w:hint="default"/>
      </w:rPr>
    </w:lvl>
    <w:lvl w:ilvl="1" w:tplc="2DA0BA7E">
      <w:start w:val="1"/>
      <w:numFmt w:val="bullet"/>
      <w:lvlText w:val=""/>
      <w:lvlJc w:val="left"/>
      <w:pPr>
        <w:tabs>
          <w:tab w:val="num" w:pos="2880"/>
        </w:tabs>
        <w:ind w:left="2880" w:hanging="720"/>
      </w:pPr>
      <w:rPr>
        <w:rFonts w:ascii="Symbol" w:hAnsi="Symbol" w:cs="Times New Roman" w:hint="default"/>
        <w:sz w:val="28"/>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49811121"/>
    <w:multiLevelType w:val="hybridMultilevel"/>
    <w:tmpl w:val="C6ECCF50"/>
    <w:lvl w:ilvl="0" w:tplc="2430BCF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BD86812"/>
    <w:multiLevelType w:val="hybridMultilevel"/>
    <w:tmpl w:val="97B227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D1617A5"/>
    <w:multiLevelType w:val="hybridMultilevel"/>
    <w:tmpl w:val="A87AC300"/>
    <w:lvl w:ilvl="0" w:tplc="2CBA23E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4D29754D"/>
    <w:multiLevelType w:val="hybridMultilevel"/>
    <w:tmpl w:val="19D2024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4F1B7962"/>
    <w:multiLevelType w:val="hybridMultilevel"/>
    <w:tmpl w:val="124895B6"/>
    <w:lvl w:ilvl="0" w:tplc="2DA0BA7E">
      <w:start w:val="1"/>
      <w:numFmt w:val="bullet"/>
      <w:lvlText w:val=""/>
      <w:lvlJc w:val="left"/>
      <w:pPr>
        <w:tabs>
          <w:tab w:val="num" w:pos="2160"/>
        </w:tabs>
        <w:ind w:left="2160" w:hanging="720"/>
      </w:pPr>
      <w:rPr>
        <w:rFonts w:ascii="Symbol" w:hAnsi="Symbol" w:cs="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9C7173"/>
    <w:multiLevelType w:val="hybridMultilevel"/>
    <w:tmpl w:val="9090773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53FE0945"/>
    <w:multiLevelType w:val="hybridMultilevel"/>
    <w:tmpl w:val="967A2B0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 w15:restartNumberingAfterBreak="0">
    <w:nsid w:val="568A2F7D"/>
    <w:multiLevelType w:val="hybridMultilevel"/>
    <w:tmpl w:val="9A80CE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6BF248D"/>
    <w:multiLevelType w:val="hybridMultilevel"/>
    <w:tmpl w:val="4D74EC04"/>
    <w:lvl w:ilvl="0" w:tplc="2430BC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9E9161C"/>
    <w:multiLevelType w:val="hybridMultilevel"/>
    <w:tmpl w:val="F9F282DE"/>
    <w:lvl w:ilvl="0" w:tplc="2EA61C3E">
      <w:start w:val="1"/>
      <w:numFmt w:val="decimal"/>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F150092"/>
    <w:multiLevelType w:val="hybridMultilevel"/>
    <w:tmpl w:val="9090773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61344303"/>
    <w:multiLevelType w:val="hybridMultilevel"/>
    <w:tmpl w:val="3A1C9AE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4" w15:restartNumberingAfterBreak="0">
    <w:nsid w:val="64BD6738"/>
    <w:multiLevelType w:val="hybridMultilevel"/>
    <w:tmpl w:val="3732CD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BD355C8"/>
    <w:multiLevelType w:val="hybridMultilevel"/>
    <w:tmpl w:val="56B86D38"/>
    <w:lvl w:ilvl="0" w:tplc="0E38DD9C">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CBA627F"/>
    <w:multiLevelType w:val="hybridMultilevel"/>
    <w:tmpl w:val="C664A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DBF77A3"/>
    <w:multiLevelType w:val="hybridMultilevel"/>
    <w:tmpl w:val="6994ACE0"/>
    <w:lvl w:ilvl="0" w:tplc="96969C6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3430F17"/>
    <w:multiLevelType w:val="hybridMultilevel"/>
    <w:tmpl w:val="46D26AC8"/>
    <w:lvl w:ilvl="0" w:tplc="2DA0BA7E">
      <w:start w:val="1"/>
      <w:numFmt w:val="bullet"/>
      <w:lvlText w:val=""/>
      <w:lvlJc w:val="left"/>
      <w:pPr>
        <w:tabs>
          <w:tab w:val="num" w:pos="2160"/>
        </w:tabs>
        <w:ind w:left="2160" w:hanging="720"/>
      </w:pPr>
      <w:rPr>
        <w:rFonts w:ascii="Symbol" w:hAnsi="Symbol" w:cs="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8BA4D07"/>
    <w:multiLevelType w:val="hybridMultilevel"/>
    <w:tmpl w:val="90907734"/>
    <w:lvl w:ilvl="0" w:tplc="4B8E00F2">
      <w:start w:val="1"/>
      <w:numFmt w:val="lowerLetter"/>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A061A0F"/>
    <w:multiLevelType w:val="hybridMultilevel"/>
    <w:tmpl w:val="B088D14C"/>
    <w:lvl w:ilvl="0" w:tplc="2CBA23E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7C2905B1"/>
    <w:multiLevelType w:val="hybridMultilevel"/>
    <w:tmpl w:val="96DE2E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CE11557"/>
    <w:multiLevelType w:val="hybridMultilevel"/>
    <w:tmpl w:val="E064D9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44"/>
  </w:num>
  <w:num w:numId="13">
    <w:abstractNumId w:val="5"/>
  </w:num>
  <w:num w:numId="14">
    <w:abstractNumId w:val="7"/>
  </w:num>
  <w:num w:numId="15">
    <w:abstractNumId w:val="2"/>
  </w:num>
  <w:num w:numId="16">
    <w:abstractNumId w:val="52"/>
  </w:num>
  <w:num w:numId="17">
    <w:abstractNumId w:val="38"/>
  </w:num>
  <w:num w:numId="18">
    <w:abstractNumId w:val="39"/>
  </w:num>
  <w:num w:numId="19">
    <w:abstractNumId w:val="31"/>
  </w:num>
  <w:num w:numId="20">
    <w:abstractNumId w:val="18"/>
  </w:num>
  <w:num w:numId="21">
    <w:abstractNumId w:val="20"/>
  </w:num>
  <w:num w:numId="22">
    <w:abstractNumId w:val="36"/>
  </w:num>
  <w:num w:numId="23">
    <w:abstractNumId w:val="48"/>
  </w:num>
  <w:num w:numId="24">
    <w:abstractNumId w:val="43"/>
  </w:num>
  <w:num w:numId="25">
    <w:abstractNumId w:val="24"/>
  </w:num>
  <w:num w:numId="26">
    <w:abstractNumId w:val="51"/>
  </w:num>
  <w:num w:numId="27">
    <w:abstractNumId w:val="33"/>
  </w:num>
  <w:num w:numId="28">
    <w:abstractNumId w:val="14"/>
  </w:num>
  <w:num w:numId="29">
    <w:abstractNumId w:val="46"/>
  </w:num>
  <w:num w:numId="30">
    <w:abstractNumId w:val="26"/>
  </w:num>
  <w:num w:numId="31">
    <w:abstractNumId w:val="47"/>
  </w:num>
  <w:num w:numId="32">
    <w:abstractNumId w:val="29"/>
  </w:num>
  <w:num w:numId="33">
    <w:abstractNumId w:val="45"/>
  </w:num>
  <w:num w:numId="34">
    <w:abstractNumId w:val="28"/>
  </w:num>
  <w:num w:numId="35">
    <w:abstractNumId w:val="12"/>
  </w:num>
  <w:num w:numId="36">
    <w:abstractNumId w:val="32"/>
  </w:num>
  <w:num w:numId="37">
    <w:abstractNumId w:val="40"/>
  </w:num>
  <w:num w:numId="38">
    <w:abstractNumId w:val="49"/>
  </w:num>
  <w:num w:numId="39">
    <w:abstractNumId w:val="15"/>
  </w:num>
  <w:num w:numId="40">
    <w:abstractNumId w:val="17"/>
  </w:num>
  <w:num w:numId="41">
    <w:abstractNumId w:val="41"/>
  </w:num>
  <w:num w:numId="42">
    <w:abstractNumId w:val="27"/>
  </w:num>
  <w:num w:numId="43">
    <w:abstractNumId w:val="42"/>
  </w:num>
  <w:num w:numId="44">
    <w:abstractNumId w:val="37"/>
  </w:num>
  <w:num w:numId="45">
    <w:abstractNumId w:val="30"/>
  </w:num>
  <w:num w:numId="46">
    <w:abstractNumId w:val="13"/>
  </w:num>
  <w:num w:numId="47">
    <w:abstractNumId w:val="50"/>
  </w:num>
  <w:num w:numId="48">
    <w:abstractNumId w:val="25"/>
  </w:num>
  <w:num w:numId="49">
    <w:abstractNumId w:val="35"/>
  </w:num>
  <w:num w:numId="50">
    <w:abstractNumId w:val="16"/>
  </w:num>
  <w:num w:numId="51">
    <w:abstractNumId w:val="22"/>
  </w:num>
  <w:num w:numId="52">
    <w:abstractNumId w:val="19"/>
  </w:num>
  <w:num w:numId="53">
    <w:abstractNumId w:val="23"/>
  </w:num>
  <w:num w:numId="54">
    <w:abstractNumId w:val="11"/>
  </w:num>
  <w:num w:numId="55">
    <w:abstractNumId w:val="21"/>
  </w:num>
  <w:num w:numId="56">
    <w:abstractNumId w:val="3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331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D06"/>
    <w:rsid w:val="00001491"/>
    <w:rsid w:val="000038C1"/>
    <w:rsid w:val="0000400E"/>
    <w:rsid w:val="00004188"/>
    <w:rsid w:val="00004F7A"/>
    <w:rsid w:val="00006486"/>
    <w:rsid w:val="0000661D"/>
    <w:rsid w:val="000118EC"/>
    <w:rsid w:val="00011B03"/>
    <w:rsid w:val="00012A7C"/>
    <w:rsid w:val="00012AEE"/>
    <w:rsid w:val="00013E7A"/>
    <w:rsid w:val="00014573"/>
    <w:rsid w:val="00015235"/>
    <w:rsid w:val="00015C93"/>
    <w:rsid w:val="00017618"/>
    <w:rsid w:val="00020789"/>
    <w:rsid w:val="00021333"/>
    <w:rsid w:val="00021E94"/>
    <w:rsid w:val="00022F51"/>
    <w:rsid w:val="000253BA"/>
    <w:rsid w:val="00025B5B"/>
    <w:rsid w:val="00026A8E"/>
    <w:rsid w:val="00027421"/>
    <w:rsid w:val="00027CED"/>
    <w:rsid w:val="00031754"/>
    <w:rsid w:val="00033B72"/>
    <w:rsid w:val="000355DD"/>
    <w:rsid w:val="00037205"/>
    <w:rsid w:val="00041879"/>
    <w:rsid w:val="00042118"/>
    <w:rsid w:val="00042499"/>
    <w:rsid w:val="00042F8B"/>
    <w:rsid w:val="00043389"/>
    <w:rsid w:val="00045B59"/>
    <w:rsid w:val="000463DE"/>
    <w:rsid w:val="00046FA4"/>
    <w:rsid w:val="00047901"/>
    <w:rsid w:val="00050E2F"/>
    <w:rsid w:val="00050FB0"/>
    <w:rsid w:val="00052496"/>
    <w:rsid w:val="00054165"/>
    <w:rsid w:val="0005619A"/>
    <w:rsid w:val="00056486"/>
    <w:rsid w:val="00056545"/>
    <w:rsid w:val="000567B9"/>
    <w:rsid w:val="00063407"/>
    <w:rsid w:val="00063CE6"/>
    <w:rsid w:val="0006570A"/>
    <w:rsid w:val="00066493"/>
    <w:rsid w:val="000701E0"/>
    <w:rsid w:val="00071AEF"/>
    <w:rsid w:val="000723A6"/>
    <w:rsid w:val="00074AEF"/>
    <w:rsid w:val="00074EED"/>
    <w:rsid w:val="000803A4"/>
    <w:rsid w:val="00080665"/>
    <w:rsid w:val="00082C80"/>
    <w:rsid w:val="00082EC1"/>
    <w:rsid w:val="000830FD"/>
    <w:rsid w:val="00083DF3"/>
    <w:rsid w:val="000871DD"/>
    <w:rsid w:val="000923BC"/>
    <w:rsid w:val="00095E36"/>
    <w:rsid w:val="00095EFF"/>
    <w:rsid w:val="00097493"/>
    <w:rsid w:val="000A048A"/>
    <w:rsid w:val="000A0B87"/>
    <w:rsid w:val="000A0FD9"/>
    <w:rsid w:val="000A18B9"/>
    <w:rsid w:val="000A6364"/>
    <w:rsid w:val="000A7C41"/>
    <w:rsid w:val="000B03E0"/>
    <w:rsid w:val="000B0A30"/>
    <w:rsid w:val="000B1B21"/>
    <w:rsid w:val="000B356F"/>
    <w:rsid w:val="000B42A2"/>
    <w:rsid w:val="000B536D"/>
    <w:rsid w:val="000B5A4A"/>
    <w:rsid w:val="000B63CB"/>
    <w:rsid w:val="000B6C1B"/>
    <w:rsid w:val="000B7BE0"/>
    <w:rsid w:val="000C13E8"/>
    <w:rsid w:val="000C6DA4"/>
    <w:rsid w:val="000C6DBC"/>
    <w:rsid w:val="000D0985"/>
    <w:rsid w:val="000D10D0"/>
    <w:rsid w:val="000D14B8"/>
    <w:rsid w:val="000D2B38"/>
    <w:rsid w:val="000D7582"/>
    <w:rsid w:val="000E2F54"/>
    <w:rsid w:val="000E3E77"/>
    <w:rsid w:val="000E561D"/>
    <w:rsid w:val="000E5E4F"/>
    <w:rsid w:val="000E6D93"/>
    <w:rsid w:val="000E7BE4"/>
    <w:rsid w:val="000F072E"/>
    <w:rsid w:val="000F5D54"/>
    <w:rsid w:val="000F7282"/>
    <w:rsid w:val="000F74F2"/>
    <w:rsid w:val="001006E0"/>
    <w:rsid w:val="00101A74"/>
    <w:rsid w:val="00101AD3"/>
    <w:rsid w:val="00102B87"/>
    <w:rsid w:val="00102D81"/>
    <w:rsid w:val="00102DC8"/>
    <w:rsid w:val="00106E31"/>
    <w:rsid w:val="0010712A"/>
    <w:rsid w:val="0011020E"/>
    <w:rsid w:val="00113E7D"/>
    <w:rsid w:val="001142B4"/>
    <w:rsid w:val="00116F3C"/>
    <w:rsid w:val="0012014C"/>
    <w:rsid w:val="00124159"/>
    <w:rsid w:val="00126F18"/>
    <w:rsid w:val="00130EA4"/>
    <w:rsid w:val="0013172B"/>
    <w:rsid w:val="001330C2"/>
    <w:rsid w:val="00133922"/>
    <w:rsid w:val="00134BCA"/>
    <w:rsid w:val="00135995"/>
    <w:rsid w:val="00136091"/>
    <w:rsid w:val="00136C6B"/>
    <w:rsid w:val="00136FC7"/>
    <w:rsid w:val="001375EC"/>
    <w:rsid w:val="0014063C"/>
    <w:rsid w:val="001413C7"/>
    <w:rsid w:val="00141831"/>
    <w:rsid w:val="00142F6B"/>
    <w:rsid w:val="0014315F"/>
    <w:rsid w:val="0014479E"/>
    <w:rsid w:val="00145FE4"/>
    <w:rsid w:val="00146FDB"/>
    <w:rsid w:val="00147F34"/>
    <w:rsid w:val="001502AC"/>
    <w:rsid w:val="00151BBA"/>
    <w:rsid w:val="00153184"/>
    <w:rsid w:val="00153B60"/>
    <w:rsid w:val="00155307"/>
    <w:rsid w:val="0015711F"/>
    <w:rsid w:val="00160B9B"/>
    <w:rsid w:val="00160BD1"/>
    <w:rsid w:val="001624B2"/>
    <w:rsid w:val="0016480B"/>
    <w:rsid w:val="001665DD"/>
    <w:rsid w:val="001678A7"/>
    <w:rsid w:val="00167A91"/>
    <w:rsid w:val="00167BD6"/>
    <w:rsid w:val="00171BCF"/>
    <w:rsid w:val="00171F5B"/>
    <w:rsid w:val="001727F2"/>
    <w:rsid w:val="00172E8E"/>
    <w:rsid w:val="00173D6E"/>
    <w:rsid w:val="0017424A"/>
    <w:rsid w:val="00174311"/>
    <w:rsid w:val="00174C97"/>
    <w:rsid w:val="00177E9E"/>
    <w:rsid w:val="00180310"/>
    <w:rsid w:val="001811C1"/>
    <w:rsid w:val="0018670F"/>
    <w:rsid w:val="00186D56"/>
    <w:rsid w:val="00186EB1"/>
    <w:rsid w:val="001916BF"/>
    <w:rsid w:val="001926CD"/>
    <w:rsid w:val="001927E3"/>
    <w:rsid w:val="00192B76"/>
    <w:rsid w:val="00195342"/>
    <w:rsid w:val="00196712"/>
    <w:rsid w:val="00197530"/>
    <w:rsid w:val="001A13D5"/>
    <w:rsid w:val="001A15B4"/>
    <w:rsid w:val="001A2AFA"/>
    <w:rsid w:val="001A567E"/>
    <w:rsid w:val="001A5EED"/>
    <w:rsid w:val="001A70C3"/>
    <w:rsid w:val="001A781B"/>
    <w:rsid w:val="001B2F88"/>
    <w:rsid w:val="001B6171"/>
    <w:rsid w:val="001B76E9"/>
    <w:rsid w:val="001C24CD"/>
    <w:rsid w:val="001C3F1B"/>
    <w:rsid w:val="001C6B36"/>
    <w:rsid w:val="001C7A46"/>
    <w:rsid w:val="001D1467"/>
    <w:rsid w:val="001D1A98"/>
    <w:rsid w:val="001D358E"/>
    <w:rsid w:val="001D4C78"/>
    <w:rsid w:val="001D73DF"/>
    <w:rsid w:val="001D7CAE"/>
    <w:rsid w:val="001E0B82"/>
    <w:rsid w:val="001E1AE6"/>
    <w:rsid w:val="001E20BA"/>
    <w:rsid w:val="001E235E"/>
    <w:rsid w:val="001E3094"/>
    <w:rsid w:val="001E3441"/>
    <w:rsid w:val="001E5560"/>
    <w:rsid w:val="001E5CC5"/>
    <w:rsid w:val="001E61EE"/>
    <w:rsid w:val="001F1DB2"/>
    <w:rsid w:val="001F285C"/>
    <w:rsid w:val="001F3C2B"/>
    <w:rsid w:val="001F3F6B"/>
    <w:rsid w:val="001F6B7C"/>
    <w:rsid w:val="001F7D60"/>
    <w:rsid w:val="001F7F62"/>
    <w:rsid w:val="00201024"/>
    <w:rsid w:val="00203B60"/>
    <w:rsid w:val="002101D4"/>
    <w:rsid w:val="00211C1F"/>
    <w:rsid w:val="00211FAF"/>
    <w:rsid w:val="00214898"/>
    <w:rsid w:val="00214B04"/>
    <w:rsid w:val="002154D4"/>
    <w:rsid w:val="002207BC"/>
    <w:rsid w:val="00220B8E"/>
    <w:rsid w:val="00221269"/>
    <w:rsid w:val="00221837"/>
    <w:rsid w:val="0022240F"/>
    <w:rsid w:val="00223D05"/>
    <w:rsid w:val="00224CDE"/>
    <w:rsid w:val="00225427"/>
    <w:rsid w:val="00225767"/>
    <w:rsid w:val="00227629"/>
    <w:rsid w:val="00231EDF"/>
    <w:rsid w:val="00232A71"/>
    <w:rsid w:val="00236708"/>
    <w:rsid w:val="00241507"/>
    <w:rsid w:val="00242BA5"/>
    <w:rsid w:val="00244915"/>
    <w:rsid w:val="0024784F"/>
    <w:rsid w:val="00255E4F"/>
    <w:rsid w:val="002606D7"/>
    <w:rsid w:val="002620FE"/>
    <w:rsid w:val="0026290F"/>
    <w:rsid w:val="00262985"/>
    <w:rsid w:val="00263978"/>
    <w:rsid w:val="002651C7"/>
    <w:rsid w:val="0026597E"/>
    <w:rsid w:val="00265FA6"/>
    <w:rsid w:val="00266255"/>
    <w:rsid w:val="00267110"/>
    <w:rsid w:val="00267CC3"/>
    <w:rsid w:val="00267F0E"/>
    <w:rsid w:val="002711C8"/>
    <w:rsid w:val="0027460E"/>
    <w:rsid w:val="00275251"/>
    <w:rsid w:val="0027566B"/>
    <w:rsid w:val="00276DB6"/>
    <w:rsid w:val="00276F3F"/>
    <w:rsid w:val="002776DE"/>
    <w:rsid w:val="002802F1"/>
    <w:rsid w:val="00281E55"/>
    <w:rsid w:val="00282693"/>
    <w:rsid w:val="00283870"/>
    <w:rsid w:val="00283FAB"/>
    <w:rsid w:val="0028480C"/>
    <w:rsid w:val="00285286"/>
    <w:rsid w:val="0028564C"/>
    <w:rsid w:val="0029260C"/>
    <w:rsid w:val="002934AC"/>
    <w:rsid w:val="002938B1"/>
    <w:rsid w:val="00293A03"/>
    <w:rsid w:val="0029583A"/>
    <w:rsid w:val="00296C07"/>
    <w:rsid w:val="00297402"/>
    <w:rsid w:val="002A14F8"/>
    <w:rsid w:val="002A1BC9"/>
    <w:rsid w:val="002A2C09"/>
    <w:rsid w:val="002A54B6"/>
    <w:rsid w:val="002A59C2"/>
    <w:rsid w:val="002A5AD4"/>
    <w:rsid w:val="002A7391"/>
    <w:rsid w:val="002B0F28"/>
    <w:rsid w:val="002B339D"/>
    <w:rsid w:val="002B341A"/>
    <w:rsid w:val="002B522B"/>
    <w:rsid w:val="002B7A48"/>
    <w:rsid w:val="002C0280"/>
    <w:rsid w:val="002C17F0"/>
    <w:rsid w:val="002C6AEA"/>
    <w:rsid w:val="002C6CC4"/>
    <w:rsid w:val="002D0D92"/>
    <w:rsid w:val="002D2DC2"/>
    <w:rsid w:val="002D4BAF"/>
    <w:rsid w:val="002D54B8"/>
    <w:rsid w:val="002D6133"/>
    <w:rsid w:val="002D64DF"/>
    <w:rsid w:val="002E0577"/>
    <w:rsid w:val="002E0C3C"/>
    <w:rsid w:val="002E1E9D"/>
    <w:rsid w:val="002E2236"/>
    <w:rsid w:val="002E336A"/>
    <w:rsid w:val="002E4EE1"/>
    <w:rsid w:val="002E5753"/>
    <w:rsid w:val="002E5AE6"/>
    <w:rsid w:val="002F0370"/>
    <w:rsid w:val="002F1A82"/>
    <w:rsid w:val="002F2010"/>
    <w:rsid w:val="002F22D6"/>
    <w:rsid w:val="002F490D"/>
    <w:rsid w:val="002F5B93"/>
    <w:rsid w:val="002F6334"/>
    <w:rsid w:val="002F65B9"/>
    <w:rsid w:val="002F753A"/>
    <w:rsid w:val="002F7A09"/>
    <w:rsid w:val="00304BFF"/>
    <w:rsid w:val="00305D54"/>
    <w:rsid w:val="0030712E"/>
    <w:rsid w:val="0031145A"/>
    <w:rsid w:val="00314D26"/>
    <w:rsid w:val="0031696A"/>
    <w:rsid w:val="00320AC7"/>
    <w:rsid w:val="00325A0E"/>
    <w:rsid w:val="003321A8"/>
    <w:rsid w:val="0033255D"/>
    <w:rsid w:val="003344DD"/>
    <w:rsid w:val="00334F17"/>
    <w:rsid w:val="003350A3"/>
    <w:rsid w:val="00337568"/>
    <w:rsid w:val="0033785D"/>
    <w:rsid w:val="00340337"/>
    <w:rsid w:val="003417F7"/>
    <w:rsid w:val="00342DD5"/>
    <w:rsid w:val="00344660"/>
    <w:rsid w:val="003468CF"/>
    <w:rsid w:val="0034694E"/>
    <w:rsid w:val="00347AC8"/>
    <w:rsid w:val="0035006E"/>
    <w:rsid w:val="00351079"/>
    <w:rsid w:val="00352824"/>
    <w:rsid w:val="003540D7"/>
    <w:rsid w:val="00354237"/>
    <w:rsid w:val="00354E12"/>
    <w:rsid w:val="00355851"/>
    <w:rsid w:val="00356797"/>
    <w:rsid w:val="00356FFC"/>
    <w:rsid w:val="00357BC3"/>
    <w:rsid w:val="0036048A"/>
    <w:rsid w:val="0036081D"/>
    <w:rsid w:val="00362F8A"/>
    <w:rsid w:val="00364593"/>
    <w:rsid w:val="00364EB2"/>
    <w:rsid w:val="003701C3"/>
    <w:rsid w:val="00370DE7"/>
    <w:rsid w:val="00370EA0"/>
    <w:rsid w:val="0037106A"/>
    <w:rsid w:val="00371893"/>
    <w:rsid w:val="00372F79"/>
    <w:rsid w:val="00374C9A"/>
    <w:rsid w:val="00375C14"/>
    <w:rsid w:val="00377064"/>
    <w:rsid w:val="003773F4"/>
    <w:rsid w:val="00377BB4"/>
    <w:rsid w:val="00377C94"/>
    <w:rsid w:val="00380494"/>
    <w:rsid w:val="00380C77"/>
    <w:rsid w:val="003814A4"/>
    <w:rsid w:val="003828A8"/>
    <w:rsid w:val="00382FF3"/>
    <w:rsid w:val="00384E4A"/>
    <w:rsid w:val="00386D31"/>
    <w:rsid w:val="003879BD"/>
    <w:rsid w:val="0039304C"/>
    <w:rsid w:val="00394251"/>
    <w:rsid w:val="0039438D"/>
    <w:rsid w:val="003958F6"/>
    <w:rsid w:val="003A06C3"/>
    <w:rsid w:val="003A0817"/>
    <w:rsid w:val="003A0A78"/>
    <w:rsid w:val="003A1085"/>
    <w:rsid w:val="003A128A"/>
    <w:rsid w:val="003A2141"/>
    <w:rsid w:val="003A2795"/>
    <w:rsid w:val="003A3AE0"/>
    <w:rsid w:val="003A4E75"/>
    <w:rsid w:val="003A4F56"/>
    <w:rsid w:val="003A66C0"/>
    <w:rsid w:val="003B0365"/>
    <w:rsid w:val="003B0942"/>
    <w:rsid w:val="003B2735"/>
    <w:rsid w:val="003B30B6"/>
    <w:rsid w:val="003B3A0C"/>
    <w:rsid w:val="003B3F2B"/>
    <w:rsid w:val="003B4055"/>
    <w:rsid w:val="003B48BC"/>
    <w:rsid w:val="003B5516"/>
    <w:rsid w:val="003B67E3"/>
    <w:rsid w:val="003B684B"/>
    <w:rsid w:val="003B6FF4"/>
    <w:rsid w:val="003B74B5"/>
    <w:rsid w:val="003C1C71"/>
    <w:rsid w:val="003C1E6E"/>
    <w:rsid w:val="003C1F31"/>
    <w:rsid w:val="003C346F"/>
    <w:rsid w:val="003C475B"/>
    <w:rsid w:val="003C5A3A"/>
    <w:rsid w:val="003C7134"/>
    <w:rsid w:val="003D1CAC"/>
    <w:rsid w:val="003D296A"/>
    <w:rsid w:val="003D2A14"/>
    <w:rsid w:val="003D3B4C"/>
    <w:rsid w:val="003D3B50"/>
    <w:rsid w:val="003D5E47"/>
    <w:rsid w:val="003D687F"/>
    <w:rsid w:val="003D6C17"/>
    <w:rsid w:val="003E12BC"/>
    <w:rsid w:val="003E5AF6"/>
    <w:rsid w:val="003E6285"/>
    <w:rsid w:val="003E7982"/>
    <w:rsid w:val="003F0454"/>
    <w:rsid w:val="003F14C1"/>
    <w:rsid w:val="003F1D48"/>
    <w:rsid w:val="003F2047"/>
    <w:rsid w:val="0040322E"/>
    <w:rsid w:val="00403817"/>
    <w:rsid w:val="00406128"/>
    <w:rsid w:val="0040705A"/>
    <w:rsid w:val="0041016F"/>
    <w:rsid w:val="00410F71"/>
    <w:rsid w:val="004111F3"/>
    <w:rsid w:val="004123A1"/>
    <w:rsid w:val="00413112"/>
    <w:rsid w:val="00415399"/>
    <w:rsid w:val="00417E6C"/>
    <w:rsid w:val="0042135A"/>
    <w:rsid w:val="004225B4"/>
    <w:rsid w:val="00422F62"/>
    <w:rsid w:val="00423781"/>
    <w:rsid w:val="00423B37"/>
    <w:rsid w:val="004240C9"/>
    <w:rsid w:val="00424DBA"/>
    <w:rsid w:val="00425396"/>
    <w:rsid w:val="004305B3"/>
    <w:rsid w:val="004338F0"/>
    <w:rsid w:val="004355BB"/>
    <w:rsid w:val="004364CD"/>
    <w:rsid w:val="00437301"/>
    <w:rsid w:val="00442D29"/>
    <w:rsid w:val="004457F4"/>
    <w:rsid w:val="0045005F"/>
    <w:rsid w:val="00451D82"/>
    <w:rsid w:val="0045371C"/>
    <w:rsid w:val="00457B1B"/>
    <w:rsid w:val="004600A7"/>
    <w:rsid w:val="00460FFD"/>
    <w:rsid w:val="004656BF"/>
    <w:rsid w:val="00466E18"/>
    <w:rsid w:val="004673CB"/>
    <w:rsid w:val="0047021E"/>
    <w:rsid w:val="00472F9C"/>
    <w:rsid w:val="00473ED6"/>
    <w:rsid w:val="00476987"/>
    <w:rsid w:val="00481AAA"/>
    <w:rsid w:val="00485B7C"/>
    <w:rsid w:val="004913D2"/>
    <w:rsid w:val="00491E58"/>
    <w:rsid w:val="004950E7"/>
    <w:rsid w:val="00495BD4"/>
    <w:rsid w:val="00496A39"/>
    <w:rsid w:val="00496DD8"/>
    <w:rsid w:val="004973DD"/>
    <w:rsid w:val="004A33D5"/>
    <w:rsid w:val="004A4825"/>
    <w:rsid w:val="004A490A"/>
    <w:rsid w:val="004A4FF9"/>
    <w:rsid w:val="004A5581"/>
    <w:rsid w:val="004A664D"/>
    <w:rsid w:val="004A7C0B"/>
    <w:rsid w:val="004B1F8C"/>
    <w:rsid w:val="004B258E"/>
    <w:rsid w:val="004B2706"/>
    <w:rsid w:val="004B345E"/>
    <w:rsid w:val="004B5959"/>
    <w:rsid w:val="004B6308"/>
    <w:rsid w:val="004B6ED0"/>
    <w:rsid w:val="004C1270"/>
    <w:rsid w:val="004C2035"/>
    <w:rsid w:val="004C282E"/>
    <w:rsid w:val="004C28BB"/>
    <w:rsid w:val="004C3B5D"/>
    <w:rsid w:val="004C7DA9"/>
    <w:rsid w:val="004D0E45"/>
    <w:rsid w:val="004D0FFD"/>
    <w:rsid w:val="004D3BF3"/>
    <w:rsid w:val="004D4199"/>
    <w:rsid w:val="004D660F"/>
    <w:rsid w:val="004D7975"/>
    <w:rsid w:val="004E05F5"/>
    <w:rsid w:val="004E2A90"/>
    <w:rsid w:val="004E37EB"/>
    <w:rsid w:val="004E5041"/>
    <w:rsid w:val="004E623A"/>
    <w:rsid w:val="004E7DF3"/>
    <w:rsid w:val="004F06F5"/>
    <w:rsid w:val="004F45F6"/>
    <w:rsid w:val="004F532A"/>
    <w:rsid w:val="004F538D"/>
    <w:rsid w:val="004F5F7F"/>
    <w:rsid w:val="005011A3"/>
    <w:rsid w:val="00501703"/>
    <w:rsid w:val="005024BA"/>
    <w:rsid w:val="0051016F"/>
    <w:rsid w:val="00510A5F"/>
    <w:rsid w:val="00511167"/>
    <w:rsid w:val="005134DA"/>
    <w:rsid w:val="00514015"/>
    <w:rsid w:val="00515B2F"/>
    <w:rsid w:val="00515EA3"/>
    <w:rsid w:val="00517B16"/>
    <w:rsid w:val="00520078"/>
    <w:rsid w:val="00520555"/>
    <w:rsid w:val="00520BFD"/>
    <w:rsid w:val="00521B32"/>
    <w:rsid w:val="0052409E"/>
    <w:rsid w:val="0052460E"/>
    <w:rsid w:val="00524940"/>
    <w:rsid w:val="00525D61"/>
    <w:rsid w:val="00526146"/>
    <w:rsid w:val="00526CF0"/>
    <w:rsid w:val="0052735A"/>
    <w:rsid w:val="0052770F"/>
    <w:rsid w:val="00531017"/>
    <w:rsid w:val="00531624"/>
    <w:rsid w:val="00534972"/>
    <w:rsid w:val="00534C05"/>
    <w:rsid w:val="00534FAA"/>
    <w:rsid w:val="00535661"/>
    <w:rsid w:val="0054216D"/>
    <w:rsid w:val="0054268A"/>
    <w:rsid w:val="005454FA"/>
    <w:rsid w:val="0054664E"/>
    <w:rsid w:val="00550E46"/>
    <w:rsid w:val="005516AF"/>
    <w:rsid w:val="0055657C"/>
    <w:rsid w:val="00557593"/>
    <w:rsid w:val="005601F5"/>
    <w:rsid w:val="005637A4"/>
    <w:rsid w:val="00564D39"/>
    <w:rsid w:val="00570D68"/>
    <w:rsid w:val="00573BAC"/>
    <w:rsid w:val="00574497"/>
    <w:rsid w:val="0057624C"/>
    <w:rsid w:val="00576DA0"/>
    <w:rsid w:val="00582E75"/>
    <w:rsid w:val="00583296"/>
    <w:rsid w:val="00584BEC"/>
    <w:rsid w:val="00590845"/>
    <w:rsid w:val="00591140"/>
    <w:rsid w:val="00591E0A"/>
    <w:rsid w:val="005921E9"/>
    <w:rsid w:val="00593AB8"/>
    <w:rsid w:val="005957B1"/>
    <w:rsid w:val="005A227B"/>
    <w:rsid w:val="005A4499"/>
    <w:rsid w:val="005A555E"/>
    <w:rsid w:val="005A7328"/>
    <w:rsid w:val="005A7E0A"/>
    <w:rsid w:val="005B1A6B"/>
    <w:rsid w:val="005B644E"/>
    <w:rsid w:val="005B6FD8"/>
    <w:rsid w:val="005C2ED9"/>
    <w:rsid w:val="005C5035"/>
    <w:rsid w:val="005C563D"/>
    <w:rsid w:val="005C5B89"/>
    <w:rsid w:val="005D083D"/>
    <w:rsid w:val="005D0FD9"/>
    <w:rsid w:val="005D2549"/>
    <w:rsid w:val="005D27AE"/>
    <w:rsid w:val="005D2ABF"/>
    <w:rsid w:val="005D35E4"/>
    <w:rsid w:val="005D3C42"/>
    <w:rsid w:val="005D3D70"/>
    <w:rsid w:val="005D49D9"/>
    <w:rsid w:val="005D76A3"/>
    <w:rsid w:val="005E08AD"/>
    <w:rsid w:val="005E1E3D"/>
    <w:rsid w:val="005E1F4A"/>
    <w:rsid w:val="005E4207"/>
    <w:rsid w:val="005E4FBD"/>
    <w:rsid w:val="005E6344"/>
    <w:rsid w:val="005E64FC"/>
    <w:rsid w:val="005E7618"/>
    <w:rsid w:val="005F0A77"/>
    <w:rsid w:val="005F207F"/>
    <w:rsid w:val="005F2A37"/>
    <w:rsid w:val="005F4381"/>
    <w:rsid w:val="005F47AE"/>
    <w:rsid w:val="005F5EE0"/>
    <w:rsid w:val="005F7DC6"/>
    <w:rsid w:val="005F7E2A"/>
    <w:rsid w:val="0060183A"/>
    <w:rsid w:val="00601A55"/>
    <w:rsid w:val="006024F2"/>
    <w:rsid w:val="00602519"/>
    <w:rsid w:val="0060255F"/>
    <w:rsid w:val="00603508"/>
    <w:rsid w:val="00603C72"/>
    <w:rsid w:val="00605B36"/>
    <w:rsid w:val="00605C11"/>
    <w:rsid w:val="00605FBD"/>
    <w:rsid w:val="006060FA"/>
    <w:rsid w:val="0060646F"/>
    <w:rsid w:val="00606F63"/>
    <w:rsid w:val="00607461"/>
    <w:rsid w:val="00614B28"/>
    <w:rsid w:val="00616AD1"/>
    <w:rsid w:val="00617CB5"/>
    <w:rsid w:val="00621763"/>
    <w:rsid w:val="00622804"/>
    <w:rsid w:val="00623AF7"/>
    <w:rsid w:val="00623FF6"/>
    <w:rsid w:val="00625F34"/>
    <w:rsid w:val="006270B8"/>
    <w:rsid w:val="006311B3"/>
    <w:rsid w:val="0063124C"/>
    <w:rsid w:val="00631723"/>
    <w:rsid w:val="00634B56"/>
    <w:rsid w:val="00636779"/>
    <w:rsid w:val="00640839"/>
    <w:rsid w:val="00640C3A"/>
    <w:rsid w:val="00640FC7"/>
    <w:rsid w:val="006429DE"/>
    <w:rsid w:val="00643DC5"/>
    <w:rsid w:val="00644608"/>
    <w:rsid w:val="006456A2"/>
    <w:rsid w:val="006458D8"/>
    <w:rsid w:val="00647870"/>
    <w:rsid w:val="0064787E"/>
    <w:rsid w:val="00655131"/>
    <w:rsid w:val="00660617"/>
    <w:rsid w:val="00660838"/>
    <w:rsid w:val="006608C4"/>
    <w:rsid w:val="00661B01"/>
    <w:rsid w:val="006653D9"/>
    <w:rsid w:val="00667AA0"/>
    <w:rsid w:val="00667F26"/>
    <w:rsid w:val="00670B14"/>
    <w:rsid w:val="006710B1"/>
    <w:rsid w:val="00673449"/>
    <w:rsid w:val="00673907"/>
    <w:rsid w:val="0068168F"/>
    <w:rsid w:val="0068348D"/>
    <w:rsid w:val="00684657"/>
    <w:rsid w:val="00685370"/>
    <w:rsid w:val="00685C16"/>
    <w:rsid w:val="00686441"/>
    <w:rsid w:val="00686678"/>
    <w:rsid w:val="0068756E"/>
    <w:rsid w:val="00691A68"/>
    <w:rsid w:val="00692169"/>
    <w:rsid w:val="006935B4"/>
    <w:rsid w:val="006948A2"/>
    <w:rsid w:val="00696176"/>
    <w:rsid w:val="006962F2"/>
    <w:rsid w:val="006A2829"/>
    <w:rsid w:val="006A2DA8"/>
    <w:rsid w:val="006A3474"/>
    <w:rsid w:val="006A3C1F"/>
    <w:rsid w:val="006A3DB5"/>
    <w:rsid w:val="006A762A"/>
    <w:rsid w:val="006A77E5"/>
    <w:rsid w:val="006A7F6C"/>
    <w:rsid w:val="006B11F7"/>
    <w:rsid w:val="006B14D7"/>
    <w:rsid w:val="006B278C"/>
    <w:rsid w:val="006B31D8"/>
    <w:rsid w:val="006B3A3C"/>
    <w:rsid w:val="006B3ADE"/>
    <w:rsid w:val="006B3ED8"/>
    <w:rsid w:val="006B5BE5"/>
    <w:rsid w:val="006B6449"/>
    <w:rsid w:val="006B6D57"/>
    <w:rsid w:val="006B76B9"/>
    <w:rsid w:val="006B7AA1"/>
    <w:rsid w:val="006B7F6C"/>
    <w:rsid w:val="006C0A56"/>
    <w:rsid w:val="006C49E1"/>
    <w:rsid w:val="006C6E21"/>
    <w:rsid w:val="006D0B44"/>
    <w:rsid w:val="006D0BAE"/>
    <w:rsid w:val="006D28E0"/>
    <w:rsid w:val="006D2EE7"/>
    <w:rsid w:val="006D5DF0"/>
    <w:rsid w:val="006D605F"/>
    <w:rsid w:val="006D71FD"/>
    <w:rsid w:val="006D7308"/>
    <w:rsid w:val="006D760C"/>
    <w:rsid w:val="006E1981"/>
    <w:rsid w:val="006E32DB"/>
    <w:rsid w:val="006E3412"/>
    <w:rsid w:val="006E63D6"/>
    <w:rsid w:val="006E6F97"/>
    <w:rsid w:val="006E7813"/>
    <w:rsid w:val="006F0271"/>
    <w:rsid w:val="006F0334"/>
    <w:rsid w:val="006F2765"/>
    <w:rsid w:val="006F2D9E"/>
    <w:rsid w:val="006F5822"/>
    <w:rsid w:val="00700CD4"/>
    <w:rsid w:val="007027FD"/>
    <w:rsid w:val="00703FC4"/>
    <w:rsid w:val="0070466C"/>
    <w:rsid w:val="00704C48"/>
    <w:rsid w:val="00705EFA"/>
    <w:rsid w:val="00707261"/>
    <w:rsid w:val="007104BB"/>
    <w:rsid w:val="007113E3"/>
    <w:rsid w:val="00711B6B"/>
    <w:rsid w:val="0071288F"/>
    <w:rsid w:val="007146D1"/>
    <w:rsid w:val="00714F38"/>
    <w:rsid w:val="007170AE"/>
    <w:rsid w:val="00717AC4"/>
    <w:rsid w:val="00721585"/>
    <w:rsid w:val="00722CC5"/>
    <w:rsid w:val="007247E5"/>
    <w:rsid w:val="007255F9"/>
    <w:rsid w:val="00730E90"/>
    <w:rsid w:val="00731846"/>
    <w:rsid w:val="00731C99"/>
    <w:rsid w:val="00732947"/>
    <w:rsid w:val="00735C20"/>
    <w:rsid w:val="00737110"/>
    <w:rsid w:val="00740219"/>
    <w:rsid w:val="00741747"/>
    <w:rsid w:val="0074290A"/>
    <w:rsid w:val="00742E4B"/>
    <w:rsid w:val="00744494"/>
    <w:rsid w:val="00744836"/>
    <w:rsid w:val="00745088"/>
    <w:rsid w:val="007459ED"/>
    <w:rsid w:val="007472AD"/>
    <w:rsid w:val="00750446"/>
    <w:rsid w:val="00751682"/>
    <w:rsid w:val="00753CDC"/>
    <w:rsid w:val="007540D6"/>
    <w:rsid w:val="00754B3E"/>
    <w:rsid w:val="007626F6"/>
    <w:rsid w:val="007634EE"/>
    <w:rsid w:val="0076490E"/>
    <w:rsid w:val="007667B6"/>
    <w:rsid w:val="00767BBD"/>
    <w:rsid w:val="00772135"/>
    <w:rsid w:val="00773AEE"/>
    <w:rsid w:val="00773FBB"/>
    <w:rsid w:val="0077425D"/>
    <w:rsid w:val="007750B5"/>
    <w:rsid w:val="00775D06"/>
    <w:rsid w:val="00776605"/>
    <w:rsid w:val="007814EA"/>
    <w:rsid w:val="00782D89"/>
    <w:rsid w:val="00783697"/>
    <w:rsid w:val="00783F70"/>
    <w:rsid w:val="007850F7"/>
    <w:rsid w:val="00785DAF"/>
    <w:rsid w:val="0078661A"/>
    <w:rsid w:val="00787115"/>
    <w:rsid w:val="007871A4"/>
    <w:rsid w:val="00787410"/>
    <w:rsid w:val="00790E02"/>
    <w:rsid w:val="00794B2E"/>
    <w:rsid w:val="00795713"/>
    <w:rsid w:val="00797AA9"/>
    <w:rsid w:val="00797B42"/>
    <w:rsid w:val="007A46AD"/>
    <w:rsid w:val="007A4E7B"/>
    <w:rsid w:val="007A514F"/>
    <w:rsid w:val="007A5592"/>
    <w:rsid w:val="007A575D"/>
    <w:rsid w:val="007A5BEE"/>
    <w:rsid w:val="007A6BD9"/>
    <w:rsid w:val="007A6F8A"/>
    <w:rsid w:val="007B2F1A"/>
    <w:rsid w:val="007B6C44"/>
    <w:rsid w:val="007C06F6"/>
    <w:rsid w:val="007C081A"/>
    <w:rsid w:val="007C0F1B"/>
    <w:rsid w:val="007C1552"/>
    <w:rsid w:val="007C173A"/>
    <w:rsid w:val="007C25CD"/>
    <w:rsid w:val="007C418F"/>
    <w:rsid w:val="007C4C8B"/>
    <w:rsid w:val="007C613A"/>
    <w:rsid w:val="007C6F48"/>
    <w:rsid w:val="007C7601"/>
    <w:rsid w:val="007D0231"/>
    <w:rsid w:val="007D40B6"/>
    <w:rsid w:val="007E04E7"/>
    <w:rsid w:val="007E077B"/>
    <w:rsid w:val="007E14C4"/>
    <w:rsid w:val="007E2417"/>
    <w:rsid w:val="007E242D"/>
    <w:rsid w:val="007E37AE"/>
    <w:rsid w:val="007E45F9"/>
    <w:rsid w:val="007E4D31"/>
    <w:rsid w:val="007F0F59"/>
    <w:rsid w:val="007F1887"/>
    <w:rsid w:val="007F18B3"/>
    <w:rsid w:val="007F1D7B"/>
    <w:rsid w:val="007F472F"/>
    <w:rsid w:val="007F7A81"/>
    <w:rsid w:val="00803853"/>
    <w:rsid w:val="00803C25"/>
    <w:rsid w:val="00803D6A"/>
    <w:rsid w:val="00804508"/>
    <w:rsid w:val="00805BB1"/>
    <w:rsid w:val="00806D51"/>
    <w:rsid w:val="00807CB6"/>
    <w:rsid w:val="00807D87"/>
    <w:rsid w:val="00807FE1"/>
    <w:rsid w:val="008109D2"/>
    <w:rsid w:val="00810E8A"/>
    <w:rsid w:val="00811535"/>
    <w:rsid w:val="008118F4"/>
    <w:rsid w:val="00811B37"/>
    <w:rsid w:val="00812182"/>
    <w:rsid w:val="00813041"/>
    <w:rsid w:val="00813FEA"/>
    <w:rsid w:val="008142F9"/>
    <w:rsid w:val="00814F07"/>
    <w:rsid w:val="0081665F"/>
    <w:rsid w:val="008174BC"/>
    <w:rsid w:val="008178A4"/>
    <w:rsid w:val="00817CFE"/>
    <w:rsid w:val="0082353B"/>
    <w:rsid w:val="0082563D"/>
    <w:rsid w:val="00825D95"/>
    <w:rsid w:val="00825F91"/>
    <w:rsid w:val="008260A8"/>
    <w:rsid w:val="008311CE"/>
    <w:rsid w:val="0083164C"/>
    <w:rsid w:val="00831AE0"/>
    <w:rsid w:val="00833028"/>
    <w:rsid w:val="0083674F"/>
    <w:rsid w:val="00837C7D"/>
    <w:rsid w:val="00840366"/>
    <w:rsid w:val="008407B9"/>
    <w:rsid w:val="00841905"/>
    <w:rsid w:val="00841AE1"/>
    <w:rsid w:val="0084660D"/>
    <w:rsid w:val="00850261"/>
    <w:rsid w:val="00852DDE"/>
    <w:rsid w:val="00853650"/>
    <w:rsid w:val="00856DF2"/>
    <w:rsid w:val="00860BB3"/>
    <w:rsid w:val="00860FE1"/>
    <w:rsid w:val="00861562"/>
    <w:rsid w:val="00861C26"/>
    <w:rsid w:val="00861F35"/>
    <w:rsid w:val="00863109"/>
    <w:rsid w:val="008653D7"/>
    <w:rsid w:val="0086543F"/>
    <w:rsid w:val="00865C7F"/>
    <w:rsid w:val="008671AF"/>
    <w:rsid w:val="00867942"/>
    <w:rsid w:val="00870EF4"/>
    <w:rsid w:val="00870F1A"/>
    <w:rsid w:val="00871905"/>
    <w:rsid w:val="0087315E"/>
    <w:rsid w:val="00874CBA"/>
    <w:rsid w:val="00875475"/>
    <w:rsid w:val="008805C9"/>
    <w:rsid w:val="008829EE"/>
    <w:rsid w:val="00884030"/>
    <w:rsid w:val="00884942"/>
    <w:rsid w:val="0088545E"/>
    <w:rsid w:val="008920A7"/>
    <w:rsid w:val="008935AF"/>
    <w:rsid w:val="00893929"/>
    <w:rsid w:val="008943E7"/>
    <w:rsid w:val="008947F3"/>
    <w:rsid w:val="008A0D7D"/>
    <w:rsid w:val="008A3F0D"/>
    <w:rsid w:val="008A4309"/>
    <w:rsid w:val="008A4338"/>
    <w:rsid w:val="008A46A6"/>
    <w:rsid w:val="008A595E"/>
    <w:rsid w:val="008A5AB5"/>
    <w:rsid w:val="008A60C1"/>
    <w:rsid w:val="008A6315"/>
    <w:rsid w:val="008A7180"/>
    <w:rsid w:val="008A71CE"/>
    <w:rsid w:val="008A7219"/>
    <w:rsid w:val="008B1395"/>
    <w:rsid w:val="008B16EA"/>
    <w:rsid w:val="008B57CD"/>
    <w:rsid w:val="008B6019"/>
    <w:rsid w:val="008C1565"/>
    <w:rsid w:val="008C4E4A"/>
    <w:rsid w:val="008C582E"/>
    <w:rsid w:val="008C717C"/>
    <w:rsid w:val="008C7DC2"/>
    <w:rsid w:val="008D069C"/>
    <w:rsid w:val="008D06F8"/>
    <w:rsid w:val="008D4CC0"/>
    <w:rsid w:val="008D51BA"/>
    <w:rsid w:val="008D7AAE"/>
    <w:rsid w:val="008D7C55"/>
    <w:rsid w:val="008D7E4C"/>
    <w:rsid w:val="008E04CC"/>
    <w:rsid w:val="008E0725"/>
    <w:rsid w:val="008E125D"/>
    <w:rsid w:val="008E1762"/>
    <w:rsid w:val="008E31AF"/>
    <w:rsid w:val="008E42E4"/>
    <w:rsid w:val="008E778E"/>
    <w:rsid w:val="008E7F10"/>
    <w:rsid w:val="008F1115"/>
    <w:rsid w:val="008F4A6D"/>
    <w:rsid w:val="008F4BA2"/>
    <w:rsid w:val="008F733D"/>
    <w:rsid w:val="008F7A31"/>
    <w:rsid w:val="008F7E99"/>
    <w:rsid w:val="00900084"/>
    <w:rsid w:val="009001C9"/>
    <w:rsid w:val="0090323B"/>
    <w:rsid w:val="00903F8E"/>
    <w:rsid w:val="00910178"/>
    <w:rsid w:val="00910772"/>
    <w:rsid w:val="00915051"/>
    <w:rsid w:val="00915DB1"/>
    <w:rsid w:val="00915E07"/>
    <w:rsid w:val="00920018"/>
    <w:rsid w:val="009216CC"/>
    <w:rsid w:val="009228A0"/>
    <w:rsid w:val="009228CC"/>
    <w:rsid w:val="0092483C"/>
    <w:rsid w:val="00925818"/>
    <w:rsid w:val="00925BE8"/>
    <w:rsid w:val="00925F13"/>
    <w:rsid w:val="00926719"/>
    <w:rsid w:val="00926E30"/>
    <w:rsid w:val="00926F7A"/>
    <w:rsid w:val="00940B12"/>
    <w:rsid w:val="009410AA"/>
    <w:rsid w:val="0094218D"/>
    <w:rsid w:val="00943675"/>
    <w:rsid w:val="00944022"/>
    <w:rsid w:val="00945F8A"/>
    <w:rsid w:val="00950A68"/>
    <w:rsid w:val="0095111A"/>
    <w:rsid w:val="00951DC3"/>
    <w:rsid w:val="00952494"/>
    <w:rsid w:val="00954BE3"/>
    <w:rsid w:val="00955B7F"/>
    <w:rsid w:val="00955BE8"/>
    <w:rsid w:val="00962D9F"/>
    <w:rsid w:val="00964573"/>
    <w:rsid w:val="00965A19"/>
    <w:rsid w:val="0097083B"/>
    <w:rsid w:val="0097089F"/>
    <w:rsid w:val="00972F56"/>
    <w:rsid w:val="009745E1"/>
    <w:rsid w:val="00975E17"/>
    <w:rsid w:val="0097636B"/>
    <w:rsid w:val="009768BA"/>
    <w:rsid w:val="009804F3"/>
    <w:rsid w:val="00980B85"/>
    <w:rsid w:val="009813E8"/>
    <w:rsid w:val="00986E52"/>
    <w:rsid w:val="00987549"/>
    <w:rsid w:val="009879E6"/>
    <w:rsid w:val="00990BF5"/>
    <w:rsid w:val="0099361C"/>
    <w:rsid w:val="009971B2"/>
    <w:rsid w:val="00997D07"/>
    <w:rsid w:val="009A0F2D"/>
    <w:rsid w:val="009A2D5C"/>
    <w:rsid w:val="009A48A6"/>
    <w:rsid w:val="009A5675"/>
    <w:rsid w:val="009B0EAC"/>
    <w:rsid w:val="009B1010"/>
    <w:rsid w:val="009B2BC6"/>
    <w:rsid w:val="009B3792"/>
    <w:rsid w:val="009B3C51"/>
    <w:rsid w:val="009B515C"/>
    <w:rsid w:val="009B52F6"/>
    <w:rsid w:val="009B73F8"/>
    <w:rsid w:val="009C0766"/>
    <w:rsid w:val="009C106A"/>
    <w:rsid w:val="009C11AF"/>
    <w:rsid w:val="009C24CC"/>
    <w:rsid w:val="009C29A1"/>
    <w:rsid w:val="009C5D21"/>
    <w:rsid w:val="009C6845"/>
    <w:rsid w:val="009C72AB"/>
    <w:rsid w:val="009C7E02"/>
    <w:rsid w:val="009C7EA7"/>
    <w:rsid w:val="009D2724"/>
    <w:rsid w:val="009D293B"/>
    <w:rsid w:val="009D2B54"/>
    <w:rsid w:val="009D2F99"/>
    <w:rsid w:val="009D30BB"/>
    <w:rsid w:val="009D33C2"/>
    <w:rsid w:val="009D3947"/>
    <w:rsid w:val="009D4049"/>
    <w:rsid w:val="009D4845"/>
    <w:rsid w:val="009D4C42"/>
    <w:rsid w:val="009D5D73"/>
    <w:rsid w:val="009D7DF2"/>
    <w:rsid w:val="009E1BB0"/>
    <w:rsid w:val="009E1F51"/>
    <w:rsid w:val="009E3672"/>
    <w:rsid w:val="009E45B6"/>
    <w:rsid w:val="009F14DF"/>
    <w:rsid w:val="009F202B"/>
    <w:rsid w:val="009F2758"/>
    <w:rsid w:val="009F71DD"/>
    <w:rsid w:val="00A01760"/>
    <w:rsid w:val="00A02DD3"/>
    <w:rsid w:val="00A052E1"/>
    <w:rsid w:val="00A103C1"/>
    <w:rsid w:val="00A10DCE"/>
    <w:rsid w:val="00A12C40"/>
    <w:rsid w:val="00A130AF"/>
    <w:rsid w:val="00A14124"/>
    <w:rsid w:val="00A150CD"/>
    <w:rsid w:val="00A15509"/>
    <w:rsid w:val="00A15FC3"/>
    <w:rsid w:val="00A1612F"/>
    <w:rsid w:val="00A16409"/>
    <w:rsid w:val="00A2028F"/>
    <w:rsid w:val="00A210A4"/>
    <w:rsid w:val="00A21237"/>
    <w:rsid w:val="00A21AF0"/>
    <w:rsid w:val="00A24E6E"/>
    <w:rsid w:val="00A25C09"/>
    <w:rsid w:val="00A26BFE"/>
    <w:rsid w:val="00A347DA"/>
    <w:rsid w:val="00A35494"/>
    <w:rsid w:val="00A36CD3"/>
    <w:rsid w:val="00A42A46"/>
    <w:rsid w:val="00A45E09"/>
    <w:rsid w:val="00A55AAA"/>
    <w:rsid w:val="00A5669D"/>
    <w:rsid w:val="00A612F4"/>
    <w:rsid w:val="00A62102"/>
    <w:rsid w:val="00A634D2"/>
    <w:rsid w:val="00A654D1"/>
    <w:rsid w:val="00A6661D"/>
    <w:rsid w:val="00A6667D"/>
    <w:rsid w:val="00A67985"/>
    <w:rsid w:val="00A74C03"/>
    <w:rsid w:val="00A75BF3"/>
    <w:rsid w:val="00A76536"/>
    <w:rsid w:val="00A77940"/>
    <w:rsid w:val="00A8200D"/>
    <w:rsid w:val="00A82651"/>
    <w:rsid w:val="00A83B11"/>
    <w:rsid w:val="00A85FEC"/>
    <w:rsid w:val="00A86E03"/>
    <w:rsid w:val="00A91BA5"/>
    <w:rsid w:val="00A92531"/>
    <w:rsid w:val="00A928D4"/>
    <w:rsid w:val="00A93CE3"/>
    <w:rsid w:val="00A943A2"/>
    <w:rsid w:val="00A95CAF"/>
    <w:rsid w:val="00A95ED4"/>
    <w:rsid w:val="00A96889"/>
    <w:rsid w:val="00AA362B"/>
    <w:rsid w:val="00AA4CD5"/>
    <w:rsid w:val="00AA5855"/>
    <w:rsid w:val="00AA5BFC"/>
    <w:rsid w:val="00AB01BE"/>
    <w:rsid w:val="00AB1409"/>
    <w:rsid w:val="00AB193A"/>
    <w:rsid w:val="00AB3E29"/>
    <w:rsid w:val="00AB424B"/>
    <w:rsid w:val="00AB507B"/>
    <w:rsid w:val="00AB5264"/>
    <w:rsid w:val="00AB7022"/>
    <w:rsid w:val="00AC1E6D"/>
    <w:rsid w:val="00AC2768"/>
    <w:rsid w:val="00AD0A99"/>
    <w:rsid w:val="00AD2DA6"/>
    <w:rsid w:val="00AD3921"/>
    <w:rsid w:val="00AD54CD"/>
    <w:rsid w:val="00AD632F"/>
    <w:rsid w:val="00AD761C"/>
    <w:rsid w:val="00AE0000"/>
    <w:rsid w:val="00AE048F"/>
    <w:rsid w:val="00AE0F48"/>
    <w:rsid w:val="00AE1621"/>
    <w:rsid w:val="00AE1792"/>
    <w:rsid w:val="00AE641D"/>
    <w:rsid w:val="00AE67D0"/>
    <w:rsid w:val="00AE68EA"/>
    <w:rsid w:val="00AF450B"/>
    <w:rsid w:val="00AF563B"/>
    <w:rsid w:val="00AF6593"/>
    <w:rsid w:val="00B0157A"/>
    <w:rsid w:val="00B01B53"/>
    <w:rsid w:val="00B05180"/>
    <w:rsid w:val="00B05979"/>
    <w:rsid w:val="00B06C22"/>
    <w:rsid w:val="00B07A9B"/>
    <w:rsid w:val="00B07F2E"/>
    <w:rsid w:val="00B1267B"/>
    <w:rsid w:val="00B179AC"/>
    <w:rsid w:val="00B228E0"/>
    <w:rsid w:val="00B229D5"/>
    <w:rsid w:val="00B23242"/>
    <w:rsid w:val="00B24978"/>
    <w:rsid w:val="00B2553D"/>
    <w:rsid w:val="00B271D3"/>
    <w:rsid w:val="00B27391"/>
    <w:rsid w:val="00B279E1"/>
    <w:rsid w:val="00B30254"/>
    <w:rsid w:val="00B305D7"/>
    <w:rsid w:val="00B30FCE"/>
    <w:rsid w:val="00B32AD3"/>
    <w:rsid w:val="00B32E18"/>
    <w:rsid w:val="00B3308F"/>
    <w:rsid w:val="00B338AC"/>
    <w:rsid w:val="00B339A9"/>
    <w:rsid w:val="00B3490A"/>
    <w:rsid w:val="00B34FAC"/>
    <w:rsid w:val="00B36D45"/>
    <w:rsid w:val="00B373ED"/>
    <w:rsid w:val="00B40E9F"/>
    <w:rsid w:val="00B40FFE"/>
    <w:rsid w:val="00B41136"/>
    <w:rsid w:val="00B414D2"/>
    <w:rsid w:val="00B421BE"/>
    <w:rsid w:val="00B43AC1"/>
    <w:rsid w:val="00B4420B"/>
    <w:rsid w:val="00B46D48"/>
    <w:rsid w:val="00B46EFF"/>
    <w:rsid w:val="00B50210"/>
    <w:rsid w:val="00B5096B"/>
    <w:rsid w:val="00B50ECD"/>
    <w:rsid w:val="00B53282"/>
    <w:rsid w:val="00B54101"/>
    <w:rsid w:val="00B5444A"/>
    <w:rsid w:val="00B54785"/>
    <w:rsid w:val="00B56877"/>
    <w:rsid w:val="00B57515"/>
    <w:rsid w:val="00B60ADF"/>
    <w:rsid w:val="00B6172A"/>
    <w:rsid w:val="00B61FB3"/>
    <w:rsid w:val="00B64622"/>
    <w:rsid w:val="00B648C5"/>
    <w:rsid w:val="00B67F8F"/>
    <w:rsid w:val="00B703CF"/>
    <w:rsid w:val="00B7101B"/>
    <w:rsid w:val="00B714FD"/>
    <w:rsid w:val="00B71973"/>
    <w:rsid w:val="00B728F7"/>
    <w:rsid w:val="00B737DF"/>
    <w:rsid w:val="00B744C0"/>
    <w:rsid w:val="00B76F66"/>
    <w:rsid w:val="00B77591"/>
    <w:rsid w:val="00B82F50"/>
    <w:rsid w:val="00B8362E"/>
    <w:rsid w:val="00B84A63"/>
    <w:rsid w:val="00B85116"/>
    <w:rsid w:val="00B855D9"/>
    <w:rsid w:val="00B85B54"/>
    <w:rsid w:val="00B86BF0"/>
    <w:rsid w:val="00B8791A"/>
    <w:rsid w:val="00B87973"/>
    <w:rsid w:val="00B902B3"/>
    <w:rsid w:val="00B92A97"/>
    <w:rsid w:val="00B93010"/>
    <w:rsid w:val="00B931D7"/>
    <w:rsid w:val="00B93E16"/>
    <w:rsid w:val="00B94B7D"/>
    <w:rsid w:val="00BA1345"/>
    <w:rsid w:val="00BA53FC"/>
    <w:rsid w:val="00BA569E"/>
    <w:rsid w:val="00BA6BEE"/>
    <w:rsid w:val="00BB302F"/>
    <w:rsid w:val="00BB3991"/>
    <w:rsid w:val="00BB3E4A"/>
    <w:rsid w:val="00BB57A7"/>
    <w:rsid w:val="00BB7998"/>
    <w:rsid w:val="00BC06CB"/>
    <w:rsid w:val="00BC1EDD"/>
    <w:rsid w:val="00BC212F"/>
    <w:rsid w:val="00BC33C6"/>
    <w:rsid w:val="00BC7F66"/>
    <w:rsid w:val="00BD049C"/>
    <w:rsid w:val="00BD1840"/>
    <w:rsid w:val="00BD1975"/>
    <w:rsid w:val="00BD3424"/>
    <w:rsid w:val="00BD44AB"/>
    <w:rsid w:val="00BD79F1"/>
    <w:rsid w:val="00BE061B"/>
    <w:rsid w:val="00BE1587"/>
    <w:rsid w:val="00BE16E0"/>
    <w:rsid w:val="00BE1AC0"/>
    <w:rsid w:val="00BE2406"/>
    <w:rsid w:val="00BE37E1"/>
    <w:rsid w:val="00BE5B61"/>
    <w:rsid w:val="00BE5BDD"/>
    <w:rsid w:val="00BE5FA1"/>
    <w:rsid w:val="00BF037F"/>
    <w:rsid w:val="00BF13DA"/>
    <w:rsid w:val="00BF2F8E"/>
    <w:rsid w:val="00BF5CFB"/>
    <w:rsid w:val="00BF66D0"/>
    <w:rsid w:val="00BF7DCA"/>
    <w:rsid w:val="00C0284D"/>
    <w:rsid w:val="00C02FDB"/>
    <w:rsid w:val="00C03252"/>
    <w:rsid w:val="00C04566"/>
    <w:rsid w:val="00C06092"/>
    <w:rsid w:val="00C06142"/>
    <w:rsid w:val="00C06C02"/>
    <w:rsid w:val="00C06FBA"/>
    <w:rsid w:val="00C0713E"/>
    <w:rsid w:val="00C072AC"/>
    <w:rsid w:val="00C074F6"/>
    <w:rsid w:val="00C11DE0"/>
    <w:rsid w:val="00C12806"/>
    <w:rsid w:val="00C14024"/>
    <w:rsid w:val="00C17AE4"/>
    <w:rsid w:val="00C200EF"/>
    <w:rsid w:val="00C20BEF"/>
    <w:rsid w:val="00C22F9C"/>
    <w:rsid w:val="00C26000"/>
    <w:rsid w:val="00C271A7"/>
    <w:rsid w:val="00C27ECA"/>
    <w:rsid w:val="00C300E6"/>
    <w:rsid w:val="00C30105"/>
    <w:rsid w:val="00C34307"/>
    <w:rsid w:val="00C34C09"/>
    <w:rsid w:val="00C35886"/>
    <w:rsid w:val="00C36876"/>
    <w:rsid w:val="00C37911"/>
    <w:rsid w:val="00C40A92"/>
    <w:rsid w:val="00C41B69"/>
    <w:rsid w:val="00C4491D"/>
    <w:rsid w:val="00C518BD"/>
    <w:rsid w:val="00C5403B"/>
    <w:rsid w:val="00C55513"/>
    <w:rsid w:val="00C55544"/>
    <w:rsid w:val="00C55DC5"/>
    <w:rsid w:val="00C55DE1"/>
    <w:rsid w:val="00C55E6D"/>
    <w:rsid w:val="00C6193B"/>
    <w:rsid w:val="00C62D3B"/>
    <w:rsid w:val="00C6307A"/>
    <w:rsid w:val="00C63094"/>
    <w:rsid w:val="00C644F9"/>
    <w:rsid w:val="00C6473D"/>
    <w:rsid w:val="00C65BC1"/>
    <w:rsid w:val="00C7184F"/>
    <w:rsid w:val="00C73844"/>
    <w:rsid w:val="00C750E1"/>
    <w:rsid w:val="00C7527C"/>
    <w:rsid w:val="00C75C32"/>
    <w:rsid w:val="00C77BF0"/>
    <w:rsid w:val="00C813BD"/>
    <w:rsid w:val="00C815BE"/>
    <w:rsid w:val="00C83562"/>
    <w:rsid w:val="00C83D34"/>
    <w:rsid w:val="00C863BF"/>
    <w:rsid w:val="00C875C1"/>
    <w:rsid w:val="00C9072A"/>
    <w:rsid w:val="00C90850"/>
    <w:rsid w:val="00C9565F"/>
    <w:rsid w:val="00C95AC3"/>
    <w:rsid w:val="00C95ECF"/>
    <w:rsid w:val="00CA18C9"/>
    <w:rsid w:val="00CA2969"/>
    <w:rsid w:val="00CA6D65"/>
    <w:rsid w:val="00CA6EEC"/>
    <w:rsid w:val="00CA75D6"/>
    <w:rsid w:val="00CB20D5"/>
    <w:rsid w:val="00CB2E6E"/>
    <w:rsid w:val="00CB51A8"/>
    <w:rsid w:val="00CB6C26"/>
    <w:rsid w:val="00CC3175"/>
    <w:rsid w:val="00CC388F"/>
    <w:rsid w:val="00CC3F51"/>
    <w:rsid w:val="00CC3FF4"/>
    <w:rsid w:val="00CC41F6"/>
    <w:rsid w:val="00CC5E5B"/>
    <w:rsid w:val="00CC6759"/>
    <w:rsid w:val="00CD0D89"/>
    <w:rsid w:val="00CD1B47"/>
    <w:rsid w:val="00CD33A9"/>
    <w:rsid w:val="00CD5065"/>
    <w:rsid w:val="00CD506D"/>
    <w:rsid w:val="00CD66AC"/>
    <w:rsid w:val="00CE0B75"/>
    <w:rsid w:val="00CE10C1"/>
    <w:rsid w:val="00CE1697"/>
    <w:rsid w:val="00CE1B8D"/>
    <w:rsid w:val="00CE2690"/>
    <w:rsid w:val="00CE3966"/>
    <w:rsid w:val="00CE4171"/>
    <w:rsid w:val="00CE4AC1"/>
    <w:rsid w:val="00CE55CC"/>
    <w:rsid w:val="00CE6008"/>
    <w:rsid w:val="00CF2D8C"/>
    <w:rsid w:val="00CF2DF9"/>
    <w:rsid w:val="00CF3115"/>
    <w:rsid w:val="00CF443C"/>
    <w:rsid w:val="00CF47A3"/>
    <w:rsid w:val="00CF4BD6"/>
    <w:rsid w:val="00CF58A8"/>
    <w:rsid w:val="00CF5B13"/>
    <w:rsid w:val="00CF5B35"/>
    <w:rsid w:val="00D0194F"/>
    <w:rsid w:val="00D038F7"/>
    <w:rsid w:val="00D06222"/>
    <w:rsid w:val="00D068A8"/>
    <w:rsid w:val="00D13F94"/>
    <w:rsid w:val="00D14418"/>
    <w:rsid w:val="00D15D2A"/>
    <w:rsid w:val="00D16555"/>
    <w:rsid w:val="00D17C82"/>
    <w:rsid w:val="00D20BF4"/>
    <w:rsid w:val="00D20C49"/>
    <w:rsid w:val="00D20EFB"/>
    <w:rsid w:val="00D22EA5"/>
    <w:rsid w:val="00D24193"/>
    <w:rsid w:val="00D276A3"/>
    <w:rsid w:val="00D33A39"/>
    <w:rsid w:val="00D33B1E"/>
    <w:rsid w:val="00D3446B"/>
    <w:rsid w:val="00D348F5"/>
    <w:rsid w:val="00D3587B"/>
    <w:rsid w:val="00D4379E"/>
    <w:rsid w:val="00D46498"/>
    <w:rsid w:val="00D469B4"/>
    <w:rsid w:val="00D509AB"/>
    <w:rsid w:val="00D51346"/>
    <w:rsid w:val="00D525F6"/>
    <w:rsid w:val="00D544D4"/>
    <w:rsid w:val="00D56BF9"/>
    <w:rsid w:val="00D611FE"/>
    <w:rsid w:val="00D62523"/>
    <w:rsid w:val="00D64331"/>
    <w:rsid w:val="00D663D0"/>
    <w:rsid w:val="00D700BE"/>
    <w:rsid w:val="00D70ED8"/>
    <w:rsid w:val="00D71C69"/>
    <w:rsid w:val="00D776FE"/>
    <w:rsid w:val="00D82BA4"/>
    <w:rsid w:val="00D854DE"/>
    <w:rsid w:val="00D86220"/>
    <w:rsid w:val="00D900B5"/>
    <w:rsid w:val="00D919B4"/>
    <w:rsid w:val="00D91C14"/>
    <w:rsid w:val="00D92240"/>
    <w:rsid w:val="00D93A5D"/>
    <w:rsid w:val="00D961CD"/>
    <w:rsid w:val="00DA023F"/>
    <w:rsid w:val="00DA044B"/>
    <w:rsid w:val="00DA0A5B"/>
    <w:rsid w:val="00DA0E7B"/>
    <w:rsid w:val="00DA366C"/>
    <w:rsid w:val="00DA5768"/>
    <w:rsid w:val="00DA74CA"/>
    <w:rsid w:val="00DB6233"/>
    <w:rsid w:val="00DB64D1"/>
    <w:rsid w:val="00DC0B2A"/>
    <w:rsid w:val="00DC2370"/>
    <w:rsid w:val="00DC300A"/>
    <w:rsid w:val="00DC45CA"/>
    <w:rsid w:val="00DC4BEA"/>
    <w:rsid w:val="00DC503E"/>
    <w:rsid w:val="00DC5848"/>
    <w:rsid w:val="00DC59DC"/>
    <w:rsid w:val="00DC5C5F"/>
    <w:rsid w:val="00DC6633"/>
    <w:rsid w:val="00DC6A51"/>
    <w:rsid w:val="00DC74B6"/>
    <w:rsid w:val="00DC7AC7"/>
    <w:rsid w:val="00DD3CD7"/>
    <w:rsid w:val="00DD54DB"/>
    <w:rsid w:val="00DD7970"/>
    <w:rsid w:val="00DE02C1"/>
    <w:rsid w:val="00DE2629"/>
    <w:rsid w:val="00DF0325"/>
    <w:rsid w:val="00DF2866"/>
    <w:rsid w:val="00DF4CD1"/>
    <w:rsid w:val="00DF6328"/>
    <w:rsid w:val="00DF63A0"/>
    <w:rsid w:val="00DF79B8"/>
    <w:rsid w:val="00DF7E6F"/>
    <w:rsid w:val="00E00FBB"/>
    <w:rsid w:val="00E02A19"/>
    <w:rsid w:val="00E03D61"/>
    <w:rsid w:val="00E040F1"/>
    <w:rsid w:val="00E06E37"/>
    <w:rsid w:val="00E06FCB"/>
    <w:rsid w:val="00E1116D"/>
    <w:rsid w:val="00E11EAA"/>
    <w:rsid w:val="00E12B5A"/>
    <w:rsid w:val="00E13526"/>
    <w:rsid w:val="00E1386F"/>
    <w:rsid w:val="00E150AB"/>
    <w:rsid w:val="00E164EA"/>
    <w:rsid w:val="00E16EA2"/>
    <w:rsid w:val="00E1721F"/>
    <w:rsid w:val="00E17848"/>
    <w:rsid w:val="00E21533"/>
    <w:rsid w:val="00E21B49"/>
    <w:rsid w:val="00E243D1"/>
    <w:rsid w:val="00E33A16"/>
    <w:rsid w:val="00E33DF1"/>
    <w:rsid w:val="00E342CB"/>
    <w:rsid w:val="00E36F68"/>
    <w:rsid w:val="00E404C5"/>
    <w:rsid w:val="00E41418"/>
    <w:rsid w:val="00E41CAB"/>
    <w:rsid w:val="00E43DCF"/>
    <w:rsid w:val="00E43DE9"/>
    <w:rsid w:val="00E5051D"/>
    <w:rsid w:val="00E51EC0"/>
    <w:rsid w:val="00E52808"/>
    <w:rsid w:val="00E5348E"/>
    <w:rsid w:val="00E534BA"/>
    <w:rsid w:val="00E552DB"/>
    <w:rsid w:val="00E5754E"/>
    <w:rsid w:val="00E60A0A"/>
    <w:rsid w:val="00E615FF"/>
    <w:rsid w:val="00E61FB4"/>
    <w:rsid w:val="00E61FBF"/>
    <w:rsid w:val="00E62377"/>
    <w:rsid w:val="00E637AB"/>
    <w:rsid w:val="00E63A11"/>
    <w:rsid w:val="00E63BC3"/>
    <w:rsid w:val="00E646B8"/>
    <w:rsid w:val="00E66351"/>
    <w:rsid w:val="00E66472"/>
    <w:rsid w:val="00E7112D"/>
    <w:rsid w:val="00E7200C"/>
    <w:rsid w:val="00E72CA2"/>
    <w:rsid w:val="00E73291"/>
    <w:rsid w:val="00E752A5"/>
    <w:rsid w:val="00E76A54"/>
    <w:rsid w:val="00E81C31"/>
    <w:rsid w:val="00E8257D"/>
    <w:rsid w:val="00E83277"/>
    <w:rsid w:val="00E85AB6"/>
    <w:rsid w:val="00E90F9C"/>
    <w:rsid w:val="00E917CA"/>
    <w:rsid w:val="00E943BE"/>
    <w:rsid w:val="00E963CF"/>
    <w:rsid w:val="00E97713"/>
    <w:rsid w:val="00EA0961"/>
    <w:rsid w:val="00EA09D7"/>
    <w:rsid w:val="00EA0E33"/>
    <w:rsid w:val="00EA1447"/>
    <w:rsid w:val="00EA273B"/>
    <w:rsid w:val="00EA2A86"/>
    <w:rsid w:val="00EA6273"/>
    <w:rsid w:val="00EB1D8C"/>
    <w:rsid w:val="00EB2F29"/>
    <w:rsid w:val="00EB30FF"/>
    <w:rsid w:val="00EB37AA"/>
    <w:rsid w:val="00EB4846"/>
    <w:rsid w:val="00EB5133"/>
    <w:rsid w:val="00EB54D4"/>
    <w:rsid w:val="00EC64B0"/>
    <w:rsid w:val="00EC655A"/>
    <w:rsid w:val="00EC7341"/>
    <w:rsid w:val="00EC7C70"/>
    <w:rsid w:val="00ED02D3"/>
    <w:rsid w:val="00ED1710"/>
    <w:rsid w:val="00ED1B00"/>
    <w:rsid w:val="00ED2764"/>
    <w:rsid w:val="00ED3A3A"/>
    <w:rsid w:val="00ED5EA1"/>
    <w:rsid w:val="00ED607E"/>
    <w:rsid w:val="00ED76D1"/>
    <w:rsid w:val="00ED7A40"/>
    <w:rsid w:val="00EE32DA"/>
    <w:rsid w:val="00EE5F3B"/>
    <w:rsid w:val="00EE63B5"/>
    <w:rsid w:val="00EE6EBC"/>
    <w:rsid w:val="00EE7C1D"/>
    <w:rsid w:val="00EF0745"/>
    <w:rsid w:val="00EF13AB"/>
    <w:rsid w:val="00EF25F3"/>
    <w:rsid w:val="00EF3079"/>
    <w:rsid w:val="00EF32F7"/>
    <w:rsid w:val="00F02774"/>
    <w:rsid w:val="00F0335D"/>
    <w:rsid w:val="00F03AE7"/>
    <w:rsid w:val="00F03C01"/>
    <w:rsid w:val="00F0703B"/>
    <w:rsid w:val="00F07266"/>
    <w:rsid w:val="00F07B81"/>
    <w:rsid w:val="00F07F5C"/>
    <w:rsid w:val="00F11C51"/>
    <w:rsid w:val="00F1281F"/>
    <w:rsid w:val="00F12F7B"/>
    <w:rsid w:val="00F13FF2"/>
    <w:rsid w:val="00F1510D"/>
    <w:rsid w:val="00F20207"/>
    <w:rsid w:val="00F2221F"/>
    <w:rsid w:val="00F22891"/>
    <w:rsid w:val="00F23662"/>
    <w:rsid w:val="00F2385F"/>
    <w:rsid w:val="00F24899"/>
    <w:rsid w:val="00F252A2"/>
    <w:rsid w:val="00F309DA"/>
    <w:rsid w:val="00F30C2C"/>
    <w:rsid w:val="00F31DFF"/>
    <w:rsid w:val="00F3219B"/>
    <w:rsid w:val="00F3288A"/>
    <w:rsid w:val="00F37842"/>
    <w:rsid w:val="00F37EB9"/>
    <w:rsid w:val="00F41FD4"/>
    <w:rsid w:val="00F434E7"/>
    <w:rsid w:val="00F47921"/>
    <w:rsid w:val="00F47CAA"/>
    <w:rsid w:val="00F50B07"/>
    <w:rsid w:val="00F50C87"/>
    <w:rsid w:val="00F53748"/>
    <w:rsid w:val="00F53F2B"/>
    <w:rsid w:val="00F53F65"/>
    <w:rsid w:val="00F5448D"/>
    <w:rsid w:val="00F62E1C"/>
    <w:rsid w:val="00F63286"/>
    <w:rsid w:val="00F638D5"/>
    <w:rsid w:val="00F643F3"/>
    <w:rsid w:val="00F64C06"/>
    <w:rsid w:val="00F64C48"/>
    <w:rsid w:val="00F66F1D"/>
    <w:rsid w:val="00F67DDD"/>
    <w:rsid w:val="00F70B03"/>
    <w:rsid w:val="00F71B15"/>
    <w:rsid w:val="00F738C1"/>
    <w:rsid w:val="00F73F7C"/>
    <w:rsid w:val="00F74EDE"/>
    <w:rsid w:val="00F75265"/>
    <w:rsid w:val="00F76283"/>
    <w:rsid w:val="00F801E0"/>
    <w:rsid w:val="00F8187F"/>
    <w:rsid w:val="00F82D6C"/>
    <w:rsid w:val="00F84E41"/>
    <w:rsid w:val="00F84EDA"/>
    <w:rsid w:val="00F85165"/>
    <w:rsid w:val="00F85ED1"/>
    <w:rsid w:val="00F864DB"/>
    <w:rsid w:val="00F8690B"/>
    <w:rsid w:val="00F86C86"/>
    <w:rsid w:val="00F87732"/>
    <w:rsid w:val="00F87D80"/>
    <w:rsid w:val="00F9209F"/>
    <w:rsid w:val="00F92ED6"/>
    <w:rsid w:val="00F93166"/>
    <w:rsid w:val="00F95400"/>
    <w:rsid w:val="00F9694E"/>
    <w:rsid w:val="00F97177"/>
    <w:rsid w:val="00F97473"/>
    <w:rsid w:val="00F978D2"/>
    <w:rsid w:val="00F979A5"/>
    <w:rsid w:val="00F97FED"/>
    <w:rsid w:val="00FA2DC7"/>
    <w:rsid w:val="00FA7330"/>
    <w:rsid w:val="00FA7912"/>
    <w:rsid w:val="00FB09F7"/>
    <w:rsid w:val="00FB2C0B"/>
    <w:rsid w:val="00FB77E1"/>
    <w:rsid w:val="00FC0E89"/>
    <w:rsid w:val="00FC1575"/>
    <w:rsid w:val="00FC5848"/>
    <w:rsid w:val="00FC5949"/>
    <w:rsid w:val="00FC5FC5"/>
    <w:rsid w:val="00FC687C"/>
    <w:rsid w:val="00FD163B"/>
    <w:rsid w:val="00FD1BF3"/>
    <w:rsid w:val="00FD2CE1"/>
    <w:rsid w:val="00FD5738"/>
    <w:rsid w:val="00FD5884"/>
    <w:rsid w:val="00FD65D8"/>
    <w:rsid w:val="00FE0A77"/>
    <w:rsid w:val="00FE0AF5"/>
    <w:rsid w:val="00FE1234"/>
    <w:rsid w:val="00FE1535"/>
    <w:rsid w:val="00FE244E"/>
    <w:rsid w:val="00FE29BE"/>
    <w:rsid w:val="00FE2C5A"/>
    <w:rsid w:val="00FE347E"/>
    <w:rsid w:val="00FE42A0"/>
    <w:rsid w:val="00FF1078"/>
    <w:rsid w:val="00FF1932"/>
    <w:rsid w:val="00FF2727"/>
    <w:rsid w:val="00FF2A53"/>
    <w:rsid w:val="00FF4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oNotEmbedSmartTags/>
  <w:decimalSymbol w:val="."/>
  <w:listSeparator w:val=","/>
  <w14:docId w14:val="0BA49B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pPr>
    <w:rPr>
      <w:szCs w:val="24"/>
      <w:lang w:eastAsia="ar-SA"/>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Heading2">
    <w:name w:val="heading 2"/>
    <w:basedOn w:val="Normal"/>
    <w:next w:val="Normal"/>
    <w:qFormat/>
    <w:pPr>
      <w:keepNext/>
      <w:numPr>
        <w:ilvl w:val="1"/>
        <w:numId w:val="1"/>
      </w:numPr>
      <w:spacing w:before="240" w:after="120"/>
      <w:ind w:left="720" w:firstLine="0"/>
      <w:outlineLvl w:val="1"/>
    </w:pPr>
    <w:rPr>
      <w:rFonts w:ascii="Arial" w:hAnsi="Arial" w:cs="Arial"/>
      <w:b/>
      <w:bCs/>
      <w:i/>
      <w:i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Courier New" w:hAnsi="Courier New" w:cs="Courier New"/>
    </w:rPr>
  </w:style>
  <w:style w:type="character" w:customStyle="1" w:styleId="WW8Num3z0">
    <w:name w:val="WW8Num3z0"/>
    <w:rPr>
      <w:rFonts w:ascii="Courier New" w:hAnsi="Courier New" w:cs="Courier New"/>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Symbol" w:hAnsi="Symbol" w:cs="Times New Roman"/>
      <w:sz w:val="28"/>
    </w:rPr>
  </w:style>
  <w:style w:type="character" w:customStyle="1" w:styleId="WW8Num5z0">
    <w:name w:val="WW8Num5z0"/>
    <w:rPr>
      <w:rFonts w:ascii="Symbol" w:hAnsi="Symbol" w:cs="Times New Roman"/>
      <w:sz w:val="28"/>
    </w:rPr>
  </w:style>
  <w:style w:type="character" w:customStyle="1" w:styleId="WW8Num5z1">
    <w:name w:val="WW8Num5z1"/>
    <w:rPr>
      <w:rFonts w:ascii="Courier New" w:hAnsi="Courier New"/>
    </w:rPr>
  </w:style>
  <w:style w:type="character" w:customStyle="1" w:styleId="WW8Num5z5">
    <w:name w:val="WW8Num5z5"/>
    <w:rPr>
      <w:rFonts w:ascii="Wingdings" w:hAnsi="Wingdings"/>
    </w:rPr>
  </w:style>
  <w:style w:type="character" w:customStyle="1" w:styleId="WW8Num6z0">
    <w:name w:val="WW8Num6z0"/>
    <w:rPr>
      <w:rFonts w:ascii="Courier New" w:hAnsi="Courier New" w:cs="Courier New"/>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Symbol" w:hAnsi="Symbol" w:cs="Times New Roman"/>
      <w:color w:val="auto"/>
      <w:spacing w:val="-94"/>
      <w:kern w:val="1"/>
      <w:position w:val="-1"/>
    </w:rPr>
  </w:style>
  <w:style w:type="character" w:customStyle="1" w:styleId="WW8Num8z0">
    <w:name w:val="WW8Num8z0"/>
    <w:rPr>
      <w:rFonts w:ascii="Symbol" w:hAnsi="Symbol"/>
    </w:rPr>
  </w:style>
  <w:style w:type="character" w:customStyle="1" w:styleId="WW8Num8z1">
    <w:name w:val="WW8Num8z1"/>
    <w:rPr>
      <w:rFonts w:ascii="Courier New" w:hAnsi="Courier New"/>
    </w:rPr>
  </w:style>
  <w:style w:type="character" w:customStyle="1" w:styleId="WW8Num8z5">
    <w:name w:val="WW8Num8z5"/>
    <w:rPr>
      <w:rFonts w:ascii="Wingdings" w:hAnsi="Wingdings"/>
    </w:rPr>
  </w:style>
  <w:style w:type="character" w:customStyle="1" w:styleId="WW8Num9z0">
    <w:name w:val="WW8Num9z0"/>
    <w:rPr>
      <w:rFonts w:ascii="Courier New" w:hAnsi="Courier New" w:cs="Courier New"/>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cs="Times New Roman"/>
      <w:sz w:val="28"/>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1z0">
    <w:name w:val="WW8Num11z0"/>
    <w:rPr>
      <w:rFonts w:ascii="Courier New" w:hAnsi="Courier New" w:cs="Courier New"/>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DefaultParagraphFont">
    <w:name w:val="WW-Default Paragraph Font"/>
  </w:style>
  <w:style w:type="character" w:customStyle="1" w:styleId="WW8Num1z0">
    <w:name w:val="WW8Num1z0"/>
    <w:rPr>
      <w:rFonts w:ascii="Symbol" w:hAnsi="Symbol"/>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3">
    <w:name w:val="WW8Num3z3"/>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3">
    <w:name w:val="WW8Num6z3"/>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2">
    <w:name w:val="WW8Num8z2"/>
    <w:rPr>
      <w:rFonts w:ascii="Wingdings" w:hAnsi="Wingdings"/>
    </w:rPr>
  </w:style>
  <w:style w:type="character" w:customStyle="1" w:styleId="WW8Num9z3">
    <w:name w:val="WW8Num9z3"/>
    <w:rPr>
      <w:rFonts w:ascii="Symbol" w:hAnsi="Symbol"/>
    </w:rPr>
  </w:style>
  <w:style w:type="character" w:customStyle="1" w:styleId="WW8Num10z3">
    <w:name w:val="WW8Num10z3"/>
    <w:rPr>
      <w:rFonts w:ascii="Symbol" w:hAnsi="Symbol"/>
    </w:rPr>
  </w:style>
  <w:style w:type="character" w:customStyle="1" w:styleId="WW8Num11z3">
    <w:name w:val="WW8Num11z3"/>
    <w:rPr>
      <w:rFonts w:ascii="Symbol" w:hAnsi="Symbol"/>
    </w:rPr>
  </w:style>
  <w:style w:type="character" w:customStyle="1" w:styleId="WW8Num12z0">
    <w:name w:val="WW8Num12z0"/>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Symbol" w:hAnsi="Symbol" w:cs="Times New Roman"/>
      <w:sz w:val="28"/>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cs="Times New Roman"/>
      <w:sz w:val="28"/>
    </w:rPr>
  </w:style>
  <w:style w:type="character" w:customStyle="1" w:styleId="WW8Num16z1">
    <w:name w:val="WW8Num16z1"/>
    <w:rPr>
      <w:rFonts w:ascii="Times New Roman" w:eastAsia="Times New Roman" w:hAnsi="Times New Roman" w:cs="Times New Roman"/>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6z4">
    <w:name w:val="WW8Num16z4"/>
    <w:rPr>
      <w:rFonts w:ascii="Courier New" w:hAnsi="Courier New"/>
    </w:rPr>
  </w:style>
  <w:style w:type="character" w:customStyle="1" w:styleId="WW8Num17z0">
    <w:name w:val="WW8Num17z0"/>
    <w:rPr>
      <w:rFonts w:ascii="Symbol" w:hAnsi="Symbol" w:cs="Times New Roman"/>
      <w:sz w:val="28"/>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Symbol" w:hAnsi="Symbol" w:cs="Times New Roman"/>
      <w:sz w:val="28"/>
    </w:rPr>
  </w:style>
  <w:style w:type="character" w:customStyle="1" w:styleId="WW8Num19z1">
    <w:name w:val="WW8Num19z1"/>
    <w:rPr>
      <w:rFonts w:ascii="Times New Roman" w:eastAsia="Times New Roman" w:hAnsi="Times New Roman" w:cs="Times New Roman"/>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19z4">
    <w:name w:val="WW8Num19z4"/>
    <w:rPr>
      <w:rFonts w:ascii="Courier New" w:hAnsi="Courier New"/>
    </w:rPr>
  </w:style>
  <w:style w:type="character" w:customStyle="1" w:styleId="WW8Num20z0">
    <w:name w:val="WW8Num20z0"/>
    <w:rPr>
      <w:rFonts w:ascii="Symbol" w:hAnsi="Symbol" w:cs="Times New Roman"/>
      <w:color w:val="auto"/>
      <w:spacing w:val="-94"/>
      <w:kern w:val="1"/>
      <w:position w:val="-1"/>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Symbol" w:hAnsi="Symbol" w:cs="Times New Roman"/>
      <w:sz w:val="28"/>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ascii="Symbol" w:hAnsi="Symbol" w:cs="Times New Roman"/>
      <w:sz w:val="28"/>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3z0">
    <w:name w:val="WW8Num23z0"/>
    <w:rPr>
      <w:rFonts w:ascii="Symbol" w:hAnsi="Symbol"/>
      <w:color w:val="auto"/>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5">
    <w:name w:val="WW8Num24z5"/>
    <w:rPr>
      <w:rFonts w:ascii="Wingdings" w:hAnsi="Wingdings"/>
    </w:rPr>
  </w:style>
  <w:style w:type="character" w:customStyle="1" w:styleId="WW8Num25z0">
    <w:name w:val="WW8Num25z0"/>
    <w:rPr>
      <w:rFonts w:ascii="Symbol" w:hAnsi="Symbol" w:cs="Times New Roman"/>
      <w:sz w:val="28"/>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Symbol" w:hAnsi="Symbol" w:cs="Times New Roman"/>
      <w:sz w:val="28"/>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Symbol" w:hAnsi="Symbol" w:cs="Times New Roman"/>
      <w:sz w:val="28"/>
    </w:rPr>
  </w:style>
  <w:style w:type="character" w:customStyle="1" w:styleId="WW8Num28z1">
    <w:name w:val="WW8Num28z1"/>
    <w:rPr>
      <w:rFonts w:ascii="Courier New" w:hAnsi="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Symbol" w:hAnsi="Symbol" w:cs="Times New Roman"/>
      <w:sz w:val="28"/>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29z4">
    <w:name w:val="WW8Num29z4"/>
    <w:rPr>
      <w:rFonts w:ascii="Courier New" w:hAnsi="Courier New"/>
    </w:rPr>
  </w:style>
  <w:style w:type="character" w:customStyle="1" w:styleId="WW8Num30z0">
    <w:name w:val="WW8Num30z0"/>
    <w:rPr>
      <w:rFonts w:ascii="Symbol" w:hAnsi="Symbol" w:cs="Times New Roman"/>
      <w:sz w:val="28"/>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cs="Times New Roman"/>
      <w:sz w:val="28"/>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0">
    <w:name w:val="WW8Num32z0"/>
    <w:rPr>
      <w:rFonts w:ascii="Symbol" w:hAnsi="Symbol" w:cs="Times New Roman"/>
      <w:sz w:val="28"/>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WW8Num33z0">
    <w:name w:val="WW8Num33z0"/>
    <w:rPr>
      <w:rFonts w:ascii="Symbol" w:hAnsi="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4z0">
    <w:name w:val="WW8Num34z0"/>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cs="Times New Roman"/>
      <w:sz w:val="28"/>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5z3">
    <w:name w:val="WW8Num35z3"/>
    <w:rPr>
      <w:rFonts w:ascii="Symbol" w:hAnsi="Symbol"/>
    </w:rPr>
  </w:style>
  <w:style w:type="character" w:customStyle="1" w:styleId="WW8Num36z0">
    <w:name w:val="WW8Num36z0"/>
    <w:rPr>
      <w:rFonts w:ascii="Courier New" w:hAnsi="Courier New" w:cs="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5">
    <w:name w:val="WW8Num38z5"/>
    <w:rPr>
      <w:rFonts w:ascii="Wingdings" w:hAnsi="Wingdings"/>
    </w:rPr>
  </w:style>
  <w:style w:type="character" w:customStyle="1" w:styleId="WW8Num39z0">
    <w:name w:val="WW8Num39z0"/>
    <w:rPr>
      <w:rFonts w:ascii="Symbol" w:hAnsi="Symbol"/>
    </w:rPr>
  </w:style>
  <w:style w:type="character" w:customStyle="1" w:styleId="WW8Num39z1">
    <w:name w:val="WW8Num39z1"/>
    <w:rPr>
      <w:rFonts w:ascii="Courier New" w:hAnsi="Courier New"/>
    </w:rPr>
  </w:style>
  <w:style w:type="character" w:customStyle="1" w:styleId="WW8Num39z2">
    <w:name w:val="WW8Num39z2"/>
    <w:rPr>
      <w:rFonts w:ascii="Wingdings" w:hAnsi="Wingdings"/>
    </w:rPr>
  </w:style>
  <w:style w:type="character" w:customStyle="1" w:styleId="WW8Num40z0">
    <w:name w:val="WW8Num40z0"/>
    <w:rPr>
      <w:rFonts w:ascii="Times New Roman" w:eastAsia="Times New Roman" w:hAnsi="Times New Roman" w:cs="Times New Roman"/>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1z0">
    <w:name w:val="WW8Num41z0"/>
    <w:rPr>
      <w:rFonts w:ascii="Symbol" w:hAnsi="Symbol" w:cs="Times New Roman"/>
      <w:color w:val="auto"/>
      <w:spacing w:val="-94"/>
      <w:kern w:val="1"/>
      <w:position w:val="-1"/>
    </w:rPr>
  </w:style>
  <w:style w:type="character" w:customStyle="1" w:styleId="WW8Num41z1">
    <w:name w:val="WW8Num41z1"/>
    <w:rPr>
      <w:rFonts w:ascii="Courier New" w:hAnsi="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2z0">
    <w:name w:val="WW8Num42z0"/>
    <w:rPr>
      <w:rFonts w:ascii="Symbol" w:hAnsi="Symbol" w:cs="Times New Roman"/>
      <w:sz w:val="28"/>
    </w:rPr>
  </w:style>
  <w:style w:type="character" w:customStyle="1" w:styleId="WW8Num42z1">
    <w:name w:val="WW8Num42z1"/>
    <w:rPr>
      <w:rFonts w:ascii="Courier New" w:hAnsi="Courier New"/>
    </w:rPr>
  </w:style>
  <w:style w:type="character" w:customStyle="1" w:styleId="WW8Num42z2">
    <w:name w:val="WW8Num42z2"/>
    <w:rPr>
      <w:rFonts w:ascii="Wingdings" w:hAnsi="Wingdings"/>
    </w:rPr>
  </w:style>
  <w:style w:type="character" w:customStyle="1" w:styleId="WW8Num42z3">
    <w:name w:val="WW8Num42z3"/>
    <w:rPr>
      <w:rFonts w:ascii="Symbol" w:hAnsi="Symbol"/>
    </w:rPr>
  </w:style>
  <w:style w:type="character" w:customStyle="1" w:styleId="WW8Num43z0">
    <w:name w:val="WW8Num43z0"/>
    <w:rPr>
      <w:rFonts w:ascii="Symbol" w:hAnsi="Symbol" w:cs="Times New Roman"/>
      <w:sz w:val="28"/>
    </w:rPr>
  </w:style>
  <w:style w:type="character" w:customStyle="1" w:styleId="WW8Num43z1">
    <w:name w:val="WW8Num43z1"/>
    <w:rPr>
      <w:rFonts w:ascii="Courier New" w:hAnsi="Courier New"/>
    </w:rPr>
  </w:style>
  <w:style w:type="character" w:customStyle="1" w:styleId="WW8Num43z2">
    <w:name w:val="WW8Num43z2"/>
    <w:rPr>
      <w:rFonts w:ascii="Wingdings" w:hAnsi="Wingdings"/>
    </w:rPr>
  </w:style>
  <w:style w:type="character" w:customStyle="1" w:styleId="WW8Num43z3">
    <w:name w:val="WW8Num43z3"/>
    <w:rPr>
      <w:rFonts w:ascii="Symbol" w:hAnsi="Symbol"/>
    </w:rPr>
  </w:style>
  <w:style w:type="character" w:customStyle="1" w:styleId="WW8Num44z0">
    <w:name w:val="WW8Num44z0"/>
    <w:rPr>
      <w:rFonts w:ascii="Symbol" w:hAnsi="Symbol" w:cs="Times New Roman"/>
      <w:color w:val="auto"/>
      <w:spacing w:val="-94"/>
      <w:kern w:val="1"/>
      <w:position w:val="-1"/>
    </w:rPr>
  </w:style>
  <w:style w:type="character" w:customStyle="1" w:styleId="WW8Num44z1">
    <w:name w:val="WW8Num44z1"/>
    <w:rPr>
      <w:rFonts w:ascii="Courier New" w:hAnsi="Courier New"/>
    </w:rPr>
  </w:style>
  <w:style w:type="character" w:customStyle="1" w:styleId="WW8Num44z2">
    <w:name w:val="WW8Num44z2"/>
    <w:rPr>
      <w:rFonts w:ascii="Wingdings" w:hAnsi="Wingdings"/>
    </w:rPr>
  </w:style>
  <w:style w:type="character" w:customStyle="1" w:styleId="WW8Num44z3">
    <w:name w:val="WW8Num44z3"/>
    <w:rPr>
      <w:rFonts w:ascii="Symbol" w:hAnsi="Symbol"/>
    </w:rPr>
  </w:style>
  <w:style w:type="character" w:customStyle="1" w:styleId="WW-DefaultParagraphFont1">
    <w:name w:val="WW-Default Paragraph Font1"/>
  </w:style>
  <w:style w:type="character" w:customStyle="1" w:styleId="FootnoteCharacters">
    <w:name w:val="Footnote Characters"/>
  </w:style>
  <w:style w:type="character" w:styleId="CommentReference">
    <w:name w:val="annotation reference"/>
    <w:uiPriority w:val="99"/>
    <w:rPr>
      <w:sz w:val="16"/>
      <w:szCs w:val="16"/>
    </w:rPr>
  </w:style>
  <w:style w:type="character" w:styleId="PageNumber">
    <w:name w:val="page number"/>
    <w:basedOn w:val="WW-DefaultParagraphFont1"/>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character" w:customStyle="1" w:styleId="BodyTextDSWChar">
    <w:name w:val="Body Text DSW Char"/>
    <w:rPr>
      <w:sz w:val="24"/>
      <w:szCs w:val="24"/>
      <w:lang w:val="en-US" w:eastAsia="ar-SA" w:bidi="ar-SA"/>
    </w:rPr>
  </w:style>
  <w:style w:type="character" w:customStyle="1" w:styleId="FootnoteTextChar1">
    <w:name w:val="Footnote Text Char1"/>
    <w:rPr>
      <w:lang w:val="en-US" w:eastAsia="ar-SA" w:bidi="ar-SA"/>
    </w:rPr>
  </w:style>
  <w:style w:type="character" w:customStyle="1" w:styleId="FootnoteTextChar">
    <w:name w:val="Footnote Text Char"/>
    <w:aliases w:val="Char Char, Char Char,Footnote Text Char1 Char,Footnote Text Char Char Char,Footnote Text Char1 Char Char Char,Footnote Text Char Char Char Char Char,Footnote Text Char Char1 Char,ALTS FOOTNOTE Char,fn Char,Char4 Char,Char2 Char,f Char"/>
    <w:uiPriority w:val="99"/>
    <w:rPr>
      <w:rFonts w:ascii="Calibri" w:eastAsia="Calibri" w:hAnsi="Calibri"/>
      <w:lang w:eastAsia="ar-SA" w:bidi="ar-SA"/>
    </w:rPr>
  </w:style>
  <w:style w:type="character" w:customStyle="1" w:styleId="CommentTextChar">
    <w:name w:val="Comment Text Char"/>
    <w:uiPriority w:val="99"/>
    <w:rPr>
      <w:lang w:val="en-US" w:eastAsia="ar-SA" w:bidi="ar-SA"/>
    </w:rPr>
  </w:style>
  <w:style w:type="character" w:customStyle="1" w:styleId="WW-FootnoteCharacters">
    <w:name w:val="WW-Footnote Characters"/>
  </w:style>
  <w:style w:type="character" w:customStyle="1" w:styleId="BalloonTextChar">
    <w:name w:val="Balloon Text Char"/>
    <w:uiPriority w:val="99"/>
    <w:rPr>
      <w:rFonts w:ascii="Tahoma" w:hAnsi="Tahoma" w:cs="Tahoma"/>
      <w:sz w:val="16"/>
      <w:szCs w:val="16"/>
    </w:rPr>
  </w:style>
  <w:style w:type="character" w:styleId="FootnoteReference">
    <w:name w:val="footnote reference"/>
    <w:uiPriority w:val="99"/>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WW-FootnoteReference">
    <w:name w:val="WW-Footnote Reference"/>
    <w:rPr>
      <w:vertAlign w:val="superscript"/>
    </w:rPr>
  </w:style>
  <w:style w:type="character" w:styleId="EndnoteReference">
    <w:name w:val="endnote reference"/>
    <w:rPr>
      <w:vertAlign w:val="superscript"/>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rPr>
  </w:style>
  <w:style w:type="paragraph" w:customStyle="1" w:styleId="Index">
    <w:name w:val="Index"/>
    <w:basedOn w:val="Normal"/>
    <w:pPr>
      <w:suppressLineNumbers/>
    </w:pPr>
    <w:rPr>
      <w:rFonts w:cs="Mangal"/>
    </w:rPr>
  </w:style>
  <w:style w:type="paragraph" w:customStyle="1" w:styleId="Level1">
    <w:name w:val="Level 1"/>
    <w:basedOn w:val="Normal"/>
    <w:pPr>
      <w:ind w:left="1440" w:hanging="720"/>
    </w:pPr>
  </w:style>
  <w:style w:type="paragraph" w:styleId="BalloonText">
    <w:name w:val="Balloon Text"/>
    <w:basedOn w:val="Normal"/>
    <w:uiPriority w:val="99"/>
    <w:rPr>
      <w:rFonts w:ascii="Tahoma" w:hAnsi="Tahoma"/>
      <w:sz w:val="16"/>
      <w:szCs w:val="16"/>
      <w:lang w:val="x-none"/>
    </w:rPr>
  </w:style>
  <w:style w:type="paragraph" w:styleId="FootnoteText">
    <w:name w:val="footnote text"/>
    <w:aliases w:val="Char, Char,Footnote Text Char Char,Footnote Text Char1 Char Char,Footnote Text Char Char Char Char,Footnote Text Char Char1,ALTS FOOTNOTE,fn,Char4,Footnote Text - Preamble,Char2,Footnote Text - Preamble1,Char3,f"/>
    <w:basedOn w:val="Normal"/>
    <w:uiPriority w:val="99"/>
    <w:pPr>
      <w:widowControl/>
      <w:autoSpaceDE/>
    </w:pPr>
    <w:rPr>
      <w:szCs w:val="20"/>
    </w:rPr>
  </w:style>
  <w:style w:type="paragraph" w:styleId="CommentText">
    <w:name w:val="annotation text"/>
    <w:basedOn w:val="Normal"/>
    <w:uiPriority w:val="99"/>
    <w:rPr>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C26000"/>
    <w:rPr>
      <w:szCs w:val="24"/>
      <w:lang w:eastAsia="ar-SA"/>
    </w:rPr>
  </w:style>
  <w:style w:type="paragraph" w:styleId="TOC1">
    <w:name w:val="toc 1"/>
    <w:basedOn w:val="Normal"/>
    <w:next w:val="Normal"/>
    <w:uiPriority w:val="39"/>
    <w:pPr>
      <w:tabs>
        <w:tab w:val="left" w:pos="360"/>
        <w:tab w:val="left" w:pos="400"/>
        <w:tab w:val="left" w:pos="720"/>
        <w:tab w:val="right" w:leader="dot" w:pos="9350"/>
      </w:tabs>
      <w:ind w:left="360" w:hanging="360"/>
    </w:pPr>
  </w:style>
  <w:style w:type="paragraph" w:styleId="TOC2">
    <w:name w:val="toc 2"/>
    <w:basedOn w:val="Normal"/>
    <w:next w:val="Normal"/>
    <w:uiPriority w:val="39"/>
    <w:pPr>
      <w:tabs>
        <w:tab w:val="left" w:pos="800"/>
        <w:tab w:val="left" w:pos="1000"/>
        <w:tab w:val="left" w:pos="1080"/>
        <w:tab w:val="right" w:leader="dot" w:pos="9350"/>
      </w:tabs>
      <w:ind w:left="900" w:hanging="540"/>
    </w:pPr>
  </w:style>
  <w:style w:type="paragraph" w:styleId="TOC3">
    <w:name w:val="toc 3"/>
    <w:basedOn w:val="Normal"/>
    <w:next w:val="Normal"/>
    <w:pPr>
      <w:ind w:left="400"/>
    </w:pPr>
  </w:style>
  <w:style w:type="paragraph" w:styleId="TOC4">
    <w:name w:val="toc 4"/>
    <w:basedOn w:val="Normal"/>
    <w:next w:val="Normal"/>
    <w:pPr>
      <w:ind w:left="600"/>
    </w:pPr>
  </w:style>
  <w:style w:type="paragraph" w:styleId="TOC5">
    <w:name w:val="toc 5"/>
    <w:basedOn w:val="Normal"/>
    <w:next w:val="Normal"/>
    <w:pPr>
      <w:ind w:left="800"/>
    </w:pPr>
  </w:style>
  <w:style w:type="paragraph" w:styleId="TOC6">
    <w:name w:val="toc 6"/>
    <w:basedOn w:val="Normal"/>
    <w:next w:val="Normal"/>
    <w:pPr>
      <w:ind w:left="1000"/>
    </w:pPr>
  </w:style>
  <w:style w:type="paragraph" w:styleId="TOC7">
    <w:name w:val="toc 7"/>
    <w:basedOn w:val="Normal"/>
    <w:next w:val="Normal"/>
    <w:pPr>
      <w:ind w:left="1200"/>
    </w:pPr>
  </w:style>
  <w:style w:type="paragraph" w:styleId="TOC8">
    <w:name w:val="toc 8"/>
    <w:basedOn w:val="Normal"/>
    <w:next w:val="Normal"/>
    <w:pPr>
      <w:ind w:left="1400"/>
    </w:pPr>
  </w:style>
  <w:style w:type="paragraph" w:styleId="TOC9">
    <w:name w:val="toc 9"/>
    <w:basedOn w:val="Normal"/>
    <w:next w:val="Normal"/>
    <w:pPr>
      <w:ind w:left="1600"/>
    </w:p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C26000"/>
    <w:rPr>
      <w:szCs w:val="24"/>
      <w:lang w:eastAsia="ar-SA"/>
    </w:rPr>
  </w:style>
  <w:style w:type="paragraph" w:styleId="CommentSubject">
    <w:name w:val="annotation subject"/>
    <w:basedOn w:val="CommentText"/>
    <w:next w:val="CommentText"/>
    <w:rPr>
      <w:b/>
      <w:bCs/>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eastAsia="Courier New" w:hAnsi="Courier New" w:cs="Courier New"/>
      <w:szCs w:val="20"/>
    </w:rPr>
  </w:style>
  <w:style w:type="paragraph" w:customStyle="1" w:styleId="BodyTextDSW">
    <w:name w:val="Body Text DSW"/>
    <w:basedOn w:val="Normal"/>
    <w:pPr>
      <w:widowControl/>
      <w:spacing w:after="120"/>
      <w:ind w:firstLine="720"/>
    </w:pPr>
    <w:rPr>
      <w:sz w:val="24"/>
    </w:rPr>
  </w:style>
  <w:style w:type="paragraph" w:customStyle="1" w:styleId="Heading1DSW">
    <w:name w:val="Heading 1 DSW"/>
    <w:basedOn w:val="Heading1"/>
    <w:pPr>
      <w:numPr>
        <w:numId w:val="0"/>
      </w:numPr>
      <w:spacing w:after="120"/>
      <w:ind w:left="720" w:hanging="720"/>
    </w:pPr>
    <w:rPr>
      <w:rFonts w:cs="Times New Roman"/>
      <w:sz w:val="22"/>
    </w:rPr>
  </w:style>
  <w:style w:type="paragraph" w:styleId="ListParagraph">
    <w:name w:val="List Paragraph"/>
    <w:basedOn w:val="Normal"/>
    <w:uiPriority w:val="34"/>
    <w:qFormat/>
    <w:pPr>
      <w:widowControl/>
      <w:autoSpaceDE/>
      <w:spacing w:after="200" w:line="276" w:lineRule="auto"/>
      <w:ind w:left="720"/>
    </w:pPr>
    <w:rPr>
      <w:rFonts w:ascii="Calibri" w:hAnsi="Calibri"/>
      <w:sz w:val="22"/>
      <w:szCs w:val="22"/>
    </w:rPr>
  </w:style>
  <w:style w:type="paragraph" w:customStyle="1" w:styleId="font5">
    <w:name w:val="font5"/>
    <w:basedOn w:val="Normal"/>
    <w:pPr>
      <w:widowControl/>
      <w:autoSpaceDE/>
      <w:spacing w:before="280" w:after="280"/>
    </w:pPr>
    <w:rPr>
      <w:rFonts w:ascii="Tahoma" w:hAnsi="Tahoma" w:cs="Tahoma"/>
      <w:b/>
      <w:bCs/>
      <w:color w:val="000000"/>
      <w:sz w:val="16"/>
      <w:szCs w:val="16"/>
    </w:rPr>
  </w:style>
  <w:style w:type="paragraph" w:customStyle="1" w:styleId="font6">
    <w:name w:val="font6"/>
    <w:basedOn w:val="Normal"/>
    <w:pPr>
      <w:widowControl/>
      <w:autoSpaceDE/>
      <w:spacing w:before="280" w:after="280"/>
    </w:pPr>
    <w:rPr>
      <w:rFonts w:ascii="Tahoma" w:hAnsi="Tahoma" w:cs="Tahoma"/>
      <w:color w:val="000000"/>
      <w:sz w:val="16"/>
      <w:szCs w:val="16"/>
    </w:rPr>
  </w:style>
  <w:style w:type="paragraph" w:customStyle="1" w:styleId="font7">
    <w:name w:val="font7"/>
    <w:basedOn w:val="Normal"/>
    <w:pPr>
      <w:widowControl/>
      <w:autoSpaceDE/>
      <w:spacing w:before="280" w:after="280"/>
    </w:pPr>
    <w:rPr>
      <w:rFonts w:ascii="Tahoma" w:hAnsi="Tahoma" w:cs="Tahoma"/>
      <w:color w:val="000000"/>
      <w:sz w:val="18"/>
      <w:szCs w:val="18"/>
    </w:rPr>
  </w:style>
  <w:style w:type="paragraph" w:customStyle="1" w:styleId="font8">
    <w:name w:val="font8"/>
    <w:basedOn w:val="Normal"/>
    <w:pPr>
      <w:widowControl/>
      <w:autoSpaceDE/>
      <w:spacing w:before="280" w:after="280"/>
    </w:pPr>
    <w:rPr>
      <w:rFonts w:ascii="Tahoma" w:hAnsi="Tahoma" w:cs="Tahoma"/>
      <w:b/>
      <w:bCs/>
      <w:color w:val="000000"/>
      <w:sz w:val="18"/>
      <w:szCs w:val="18"/>
    </w:rPr>
  </w:style>
  <w:style w:type="paragraph" w:customStyle="1" w:styleId="xl65">
    <w:name w:val="xl65"/>
    <w:basedOn w:val="Normal"/>
    <w:pPr>
      <w:widowControl/>
      <w:autoSpaceDE/>
      <w:spacing w:before="280" w:after="280"/>
      <w:textAlignment w:val="center"/>
    </w:pPr>
    <w:rPr>
      <w:rFonts w:ascii="Arial" w:hAnsi="Arial" w:cs="Arial"/>
      <w:sz w:val="16"/>
      <w:szCs w:val="16"/>
    </w:rPr>
  </w:style>
  <w:style w:type="paragraph" w:customStyle="1" w:styleId="xl66">
    <w:name w:val="xl66"/>
    <w:basedOn w:val="Normal"/>
    <w:pPr>
      <w:widowControl/>
      <w:autoSpaceDE/>
      <w:spacing w:before="280" w:after="280"/>
      <w:textAlignment w:val="center"/>
    </w:pPr>
    <w:rPr>
      <w:rFonts w:ascii="Arial" w:hAnsi="Arial" w:cs="Arial"/>
      <w:b/>
      <w:bCs/>
      <w:sz w:val="16"/>
      <w:szCs w:val="16"/>
    </w:rPr>
  </w:style>
  <w:style w:type="paragraph" w:customStyle="1" w:styleId="xl67">
    <w:name w:val="xl67"/>
    <w:basedOn w:val="Normal"/>
    <w:pPr>
      <w:widowControl/>
      <w:autoSpaceDE/>
      <w:spacing w:before="280" w:after="280"/>
    </w:pPr>
    <w:rPr>
      <w:rFonts w:ascii="Arial" w:hAnsi="Arial" w:cs="Arial"/>
      <w:sz w:val="16"/>
      <w:szCs w:val="16"/>
    </w:rPr>
  </w:style>
  <w:style w:type="paragraph" w:customStyle="1" w:styleId="xl68">
    <w:name w:val="xl68"/>
    <w:basedOn w:val="Normal"/>
    <w:pPr>
      <w:widowControl/>
      <w:autoSpaceDE/>
      <w:spacing w:before="280" w:after="280"/>
      <w:textAlignment w:val="center"/>
    </w:pPr>
    <w:rPr>
      <w:rFonts w:ascii="Arial" w:hAnsi="Arial" w:cs="Arial"/>
      <w:sz w:val="16"/>
      <w:szCs w:val="16"/>
    </w:rPr>
  </w:style>
  <w:style w:type="paragraph" w:customStyle="1" w:styleId="xl69">
    <w:name w:val="xl69"/>
    <w:basedOn w:val="Normal"/>
    <w:pPr>
      <w:widowControl/>
      <w:autoSpaceDE/>
      <w:spacing w:before="280" w:after="280"/>
    </w:pPr>
    <w:rPr>
      <w:rFonts w:ascii="Arial" w:hAnsi="Arial" w:cs="Arial"/>
      <w:sz w:val="16"/>
      <w:szCs w:val="16"/>
    </w:rPr>
  </w:style>
  <w:style w:type="paragraph" w:customStyle="1" w:styleId="xl70">
    <w:name w:val="xl70"/>
    <w:basedOn w:val="Normal"/>
    <w:pPr>
      <w:widowControl/>
      <w:autoSpaceDE/>
      <w:spacing w:before="280" w:after="280"/>
    </w:pPr>
    <w:rPr>
      <w:rFonts w:ascii="Arial" w:hAnsi="Arial" w:cs="Arial"/>
      <w:sz w:val="16"/>
      <w:szCs w:val="16"/>
    </w:rPr>
  </w:style>
  <w:style w:type="paragraph" w:customStyle="1" w:styleId="xl71">
    <w:name w:val="xl71"/>
    <w:basedOn w:val="Normal"/>
    <w:pPr>
      <w:widowControl/>
      <w:autoSpaceDE/>
      <w:spacing w:before="280" w:after="280"/>
      <w:textAlignment w:val="center"/>
    </w:pPr>
    <w:rPr>
      <w:rFonts w:ascii="Arial" w:hAnsi="Arial" w:cs="Arial"/>
      <w:sz w:val="16"/>
      <w:szCs w:val="16"/>
    </w:rPr>
  </w:style>
  <w:style w:type="paragraph" w:customStyle="1" w:styleId="xl72">
    <w:name w:val="xl72"/>
    <w:basedOn w:val="Normal"/>
    <w:pPr>
      <w:widowControl/>
      <w:autoSpaceDE/>
      <w:spacing w:before="280" w:after="280"/>
    </w:pPr>
    <w:rPr>
      <w:rFonts w:ascii="Arial" w:hAnsi="Arial" w:cs="Arial"/>
      <w:b/>
      <w:bCs/>
      <w:sz w:val="16"/>
      <w:szCs w:val="16"/>
    </w:rPr>
  </w:style>
  <w:style w:type="paragraph" w:customStyle="1" w:styleId="xl73">
    <w:name w:val="xl73"/>
    <w:basedOn w:val="Normal"/>
    <w:pPr>
      <w:widowControl/>
      <w:autoSpaceDE/>
      <w:spacing w:before="280" w:after="280"/>
    </w:pPr>
    <w:rPr>
      <w:rFonts w:ascii="Arial" w:hAnsi="Arial" w:cs="Arial"/>
      <w:sz w:val="16"/>
      <w:szCs w:val="16"/>
    </w:rPr>
  </w:style>
  <w:style w:type="paragraph" w:customStyle="1" w:styleId="xl74">
    <w:name w:val="xl74"/>
    <w:basedOn w:val="Normal"/>
    <w:pPr>
      <w:widowControl/>
      <w:pBdr>
        <w:left w:val="single" w:sz="4" w:space="9" w:color="000000"/>
        <w:bottom w:val="single" w:sz="4" w:space="0" w:color="000000"/>
      </w:pBdr>
      <w:autoSpaceDE/>
      <w:spacing w:before="280" w:after="280"/>
      <w:textAlignment w:val="center"/>
    </w:pPr>
    <w:rPr>
      <w:rFonts w:ascii="Arial" w:hAnsi="Arial" w:cs="Arial"/>
      <w:b/>
      <w:bCs/>
      <w:sz w:val="16"/>
      <w:szCs w:val="16"/>
    </w:rPr>
  </w:style>
  <w:style w:type="paragraph" w:customStyle="1" w:styleId="xl75">
    <w:name w:val="xl75"/>
    <w:basedOn w:val="Normal"/>
    <w:pPr>
      <w:widowControl/>
      <w:autoSpaceDE/>
      <w:spacing w:before="280" w:after="280"/>
      <w:textAlignment w:val="center"/>
    </w:pPr>
    <w:rPr>
      <w:rFonts w:ascii="Arial" w:hAnsi="Arial" w:cs="Arial"/>
      <w:sz w:val="16"/>
      <w:szCs w:val="16"/>
    </w:rPr>
  </w:style>
  <w:style w:type="paragraph" w:customStyle="1" w:styleId="xl76">
    <w:name w:val="xl76"/>
    <w:basedOn w:val="Normal"/>
    <w:pPr>
      <w:widowControl/>
      <w:autoSpaceDE/>
      <w:spacing w:before="280" w:after="280"/>
      <w:textAlignment w:val="center"/>
    </w:pPr>
    <w:rPr>
      <w:rFonts w:ascii="Arial" w:hAnsi="Arial" w:cs="Arial"/>
      <w:sz w:val="16"/>
      <w:szCs w:val="16"/>
    </w:rPr>
  </w:style>
  <w:style w:type="paragraph" w:customStyle="1" w:styleId="xl77">
    <w:name w:val="xl77"/>
    <w:basedOn w:val="Normal"/>
    <w:pPr>
      <w:widowControl/>
      <w:autoSpaceDE/>
      <w:spacing w:before="280" w:after="280"/>
      <w:textAlignment w:val="center"/>
    </w:pPr>
    <w:rPr>
      <w:rFonts w:ascii="Arial" w:hAnsi="Arial" w:cs="Arial"/>
      <w:sz w:val="16"/>
      <w:szCs w:val="16"/>
    </w:rPr>
  </w:style>
  <w:style w:type="paragraph" w:customStyle="1" w:styleId="xl78">
    <w:name w:val="xl78"/>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79">
    <w:name w:val="xl79"/>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80">
    <w:name w:val="xl80"/>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81">
    <w:name w:val="xl81"/>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82">
    <w:name w:val="xl82"/>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83">
    <w:name w:val="xl83"/>
    <w:basedOn w:val="Normal"/>
    <w:pPr>
      <w:widowControl/>
      <w:pBdr>
        <w:top w:val="single" w:sz="4" w:space="0" w:color="000000"/>
        <w:left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84">
    <w:name w:val="xl84"/>
    <w:basedOn w:val="Normal"/>
    <w:pPr>
      <w:widowControl/>
      <w:pBdr>
        <w:top w:val="single" w:sz="4" w:space="0" w:color="000000"/>
        <w:left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85">
    <w:name w:val="xl85"/>
    <w:basedOn w:val="Normal"/>
    <w:pPr>
      <w:widowControl/>
      <w:pBdr>
        <w:top w:val="single" w:sz="4" w:space="0" w:color="000000"/>
        <w:left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86">
    <w:name w:val="xl86"/>
    <w:basedOn w:val="Normal"/>
    <w:pPr>
      <w:widowControl/>
      <w:pBdr>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87">
    <w:name w:val="xl87"/>
    <w:basedOn w:val="Normal"/>
    <w:pPr>
      <w:widowControl/>
      <w:pBdr>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88">
    <w:name w:val="xl88"/>
    <w:basedOn w:val="Normal"/>
    <w:pPr>
      <w:widowControl/>
      <w:pBdr>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89">
    <w:name w:val="xl89"/>
    <w:basedOn w:val="Normal"/>
    <w:pPr>
      <w:widowControl/>
      <w:pBdr>
        <w:bottom w:val="single" w:sz="4" w:space="0" w:color="000000"/>
      </w:pBdr>
      <w:autoSpaceDE/>
      <w:spacing w:before="280" w:after="280"/>
      <w:jc w:val="center"/>
      <w:textAlignment w:val="center"/>
    </w:pPr>
    <w:rPr>
      <w:rFonts w:ascii="Arial" w:hAnsi="Arial" w:cs="Arial"/>
      <w:sz w:val="16"/>
      <w:szCs w:val="16"/>
    </w:rPr>
  </w:style>
  <w:style w:type="paragraph" w:customStyle="1" w:styleId="xl90">
    <w:name w:val="xl90"/>
    <w:basedOn w:val="Normal"/>
    <w:pPr>
      <w:widowControl/>
      <w:pBdr>
        <w:bottom w:val="single" w:sz="4" w:space="0" w:color="000000"/>
      </w:pBdr>
      <w:autoSpaceDE/>
      <w:spacing w:before="280" w:after="280"/>
      <w:jc w:val="center"/>
      <w:textAlignment w:val="center"/>
    </w:pPr>
    <w:rPr>
      <w:rFonts w:ascii="Arial" w:hAnsi="Arial" w:cs="Arial"/>
      <w:sz w:val="16"/>
      <w:szCs w:val="16"/>
    </w:rPr>
  </w:style>
  <w:style w:type="paragraph" w:customStyle="1" w:styleId="xl91">
    <w:name w:val="xl91"/>
    <w:basedOn w:val="Normal"/>
    <w:pPr>
      <w:widowControl/>
      <w:pBdr>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92">
    <w:name w:val="xl92"/>
    <w:basedOn w:val="Normal"/>
    <w:pPr>
      <w:widowControl/>
      <w:pBdr>
        <w:top w:val="single" w:sz="4" w:space="0" w:color="000000"/>
        <w:bottom w:val="single" w:sz="4" w:space="0" w:color="000000"/>
      </w:pBdr>
      <w:autoSpaceDE/>
      <w:spacing w:before="280" w:after="280"/>
      <w:jc w:val="center"/>
      <w:textAlignment w:val="center"/>
    </w:pPr>
    <w:rPr>
      <w:rFonts w:ascii="Arial" w:hAnsi="Arial" w:cs="Arial"/>
      <w:sz w:val="16"/>
      <w:szCs w:val="16"/>
    </w:rPr>
  </w:style>
  <w:style w:type="paragraph" w:customStyle="1" w:styleId="xl93">
    <w:name w:val="xl93"/>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94">
    <w:name w:val="xl94"/>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b/>
      <w:bCs/>
      <w:sz w:val="16"/>
      <w:szCs w:val="16"/>
    </w:rPr>
  </w:style>
  <w:style w:type="paragraph" w:customStyle="1" w:styleId="xl95">
    <w:name w:val="xl95"/>
    <w:basedOn w:val="Normal"/>
    <w:pPr>
      <w:widowControl/>
      <w:pBdr>
        <w:top w:val="single" w:sz="4" w:space="0" w:color="000000"/>
        <w:left w:val="single" w:sz="4" w:space="18" w:color="000000"/>
        <w:bottom w:val="single" w:sz="4" w:space="0" w:color="000000"/>
        <w:right w:val="single" w:sz="4" w:space="0" w:color="000000"/>
      </w:pBdr>
      <w:autoSpaceDE/>
      <w:spacing w:before="280" w:after="280"/>
    </w:pPr>
    <w:rPr>
      <w:rFonts w:ascii="Arial" w:hAnsi="Arial" w:cs="Arial"/>
      <w:sz w:val="16"/>
      <w:szCs w:val="16"/>
    </w:rPr>
  </w:style>
  <w:style w:type="paragraph" w:customStyle="1" w:styleId="xl96">
    <w:name w:val="xl96"/>
    <w:basedOn w:val="Normal"/>
    <w:pPr>
      <w:widowControl/>
      <w:pBdr>
        <w:top w:val="single" w:sz="4" w:space="0" w:color="000000"/>
        <w:left w:val="single" w:sz="4" w:space="27" w:color="000000"/>
        <w:bottom w:val="single" w:sz="4" w:space="0" w:color="000000"/>
        <w:right w:val="single" w:sz="4" w:space="0" w:color="000000"/>
      </w:pBdr>
      <w:autoSpaceDE/>
      <w:spacing w:before="280" w:after="280"/>
    </w:pPr>
    <w:rPr>
      <w:rFonts w:ascii="Arial" w:hAnsi="Arial" w:cs="Arial"/>
      <w:sz w:val="16"/>
      <w:szCs w:val="16"/>
    </w:rPr>
  </w:style>
  <w:style w:type="paragraph" w:customStyle="1" w:styleId="xl97">
    <w:name w:val="xl97"/>
    <w:basedOn w:val="Normal"/>
    <w:pPr>
      <w:widowControl/>
      <w:pBdr>
        <w:top w:val="single" w:sz="4" w:space="0" w:color="000000"/>
        <w:left w:val="single" w:sz="4" w:space="18" w:color="000000"/>
        <w:right w:val="single" w:sz="4" w:space="0" w:color="000000"/>
      </w:pBdr>
      <w:autoSpaceDE/>
      <w:spacing w:before="280" w:after="280"/>
    </w:pPr>
    <w:rPr>
      <w:rFonts w:ascii="Arial" w:hAnsi="Arial" w:cs="Arial"/>
      <w:sz w:val="16"/>
      <w:szCs w:val="16"/>
    </w:rPr>
  </w:style>
  <w:style w:type="paragraph" w:customStyle="1" w:styleId="xl98">
    <w:name w:val="xl98"/>
    <w:basedOn w:val="Normal"/>
    <w:pPr>
      <w:widowControl/>
      <w:pBdr>
        <w:top w:val="single" w:sz="4" w:space="0" w:color="000000"/>
        <w:left w:val="single" w:sz="4" w:space="9" w:color="000000"/>
        <w:bottom w:val="single" w:sz="4" w:space="0" w:color="000000"/>
        <w:right w:val="single" w:sz="4" w:space="0" w:color="000000"/>
      </w:pBdr>
      <w:autoSpaceDE/>
      <w:spacing w:before="280" w:after="280"/>
    </w:pPr>
    <w:rPr>
      <w:rFonts w:ascii="Arial" w:hAnsi="Arial" w:cs="Arial"/>
      <w:sz w:val="16"/>
      <w:szCs w:val="16"/>
    </w:rPr>
  </w:style>
  <w:style w:type="paragraph" w:customStyle="1" w:styleId="xl99">
    <w:name w:val="xl99"/>
    <w:basedOn w:val="Normal"/>
    <w:pPr>
      <w:widowControl/>
      <w:pBdr>
        <w:left w:val="single" w:sz="4" w:space="18" w:color="000000"/>
        <w:bottom w:val="single" w:sz="4" w:space="0" w:color="000000"/>
        <w:right w:val="single" w:sz="4" w:space="0" w:color="000000"/>
      </w:pBdr>
      <w:autoSpaceDE/>
      <w:spacing w:before="280" w:after="280"/>
    </w:pPr>
    <w:rPr>
      <w:rFonts w:ascii="Arial" w:hAnsi="Arial" w:cs="Arial"/>
      <w:sz w:val="16"/>
      <w:szCs w:val="16"/>
    </w:rPr>
  </w:style>
  <w:style w:type="paragraph" w:customStyle="1" w:styleId="xl100">
    <w:name w:val="xl100"/>
    <w:basedOn w:val="Normal"/>
    <w:pPr>
      <w:widowControl/>
      <w:pBdr>
        <w:left w:val="single" w:sz="4" w:space="18" w:color="000000"/>
        <w:right w:val="single" w:sz="4" w:space="0" w:color="000000"/>
      </w:pBdr>
      <w:autoSpaceDE/>
      <w:spacing w:before="280" w:after="280"/>
    </w:pPr>
    <w:rPr>
      <w:rFonts w:ascii="Arial" w:hAnsi="Arial" w:cs="Arial"/>
      <w:sz w:val="16"/>
      <w:szCs w:val="16"/>
    </w:rPr>
  </w:style>
  <w:style w:type="paragraph" w:customStyle="1" w:styleId="xl101">
    <w:name w:val="xl101"/>
    <w:basedOn w:val="Normal"/>
    <w:pPr>
      <w:widowControl/>
      <w:pBdr>
        <w:top w:val="single" w:sz="4" w:space="0" w:color="000000"/>
        <w:left w:val="single" w:sz="4" w:space="27" w:color="000000"/>
        <w:right w:val="single" w:sz="4" w:space="0" w:color="000000"/>
      </w:pBdr>
      <w:autoSpaceDE/>
      <w:spacing w:before="280" w:after="280"/>
    </w:pPr>
    <w:rPr>
      <w:rFonts w:ascii="Arial" w:hAnsi="Arial" w:cs="Arial"/>
      <w:sz w:val="16"/>
      <w:szCs w:val="16"/>
    </w:rPr>
  </w:style>
  <w:style w:type="paragraph" w:customStyle="1" w:styleId="xl102">
    <w:name w:val="xl102"/>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103">
    <w:name w:val="xl103"/>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color w:val="000000"/>
      <w:sz w:val="16"/>
      <w:szCs w:val="16"/>
    </w:rPr>
  </w:style>
  <w:style w:type="paragraph" w:customStyle="1" w:styleId="xl104">
    <w:name w:val="xl104"/>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105">
    <w:name w:val="xl105"/>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pPr>
    <w:rPr>
      <w:rFonts w:ascii="Arial" w:hAnsi="Arial" w:cs="Arial"/>
      <w:sz w:val="16"/>
      <w:szCs w:val="16"/>
    </w:rPr>
  </w:style>
  <w:style w:type="paragraph" w:customStyle="1" w:styleId="xl106">
    <w:name w:val="xl106"/>
    <w:basedOn w:val="Normal"/>
    <w:pPr>
      <w:widowControl/>
      <w:pBdr>
        <w:top w:val="single" w:sz="4" w:space="0" w:color="000000"/>
        <w:left w:val="single" w:sz="4" w:space="0" w:color="000000"/>
        <w:right w:val="single" w:sz="4" w:space="0" w:color="000000"/>
      </w:pBdr>
      <w:autoSpaceDE/>
      <w:spacing w:before="280" w:after="280"/>
      <w:jc w:val="center"/>
      <w:textAlignment w:val="center"/>
    </w:pPr>
    <w:rPr>
      <w:rFonts w:ascii="Arial" w:hAnsi="Arial" w:cs="Arial"/>
      <w:color w:val="000000"/>
      <w:sz w:val="16"/>
      <w:szCs w:val="16"/>
    </w:rPr>
  </w:style>
  <w:style w:type="paragraph" w:customStyle="1" w:styleId="xl107">
    <w:name w:val="xl107"/>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pPr>
    <w:rPr>
      <w:rFonts w:ascii="Arial" w:hAnsi="Arial" w:cs="Arial"/>
      <w:sz w:val="16"/>
      <w:szCs w:val="16"/>
    </w:rPr>
  </w:style>
  <w:style w:type="paragraph" w:customStyle="1" w:styleId="xl108">
    <w:name w:val="xl108"/>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color w:val="000000"/>
      <w:sz w:val="16"/>
      <w:szCs w:val="16"/>
    </w:rPr>
  </w:style>
  <w:style w:type="paragraph" w:customStyle="1" w:styleId="xl109">
    <w:name w:val="xl109"/>
    <w:basedOn w:val="Normal"/>
    <w:pPr>
      <w:widowControl/>
      <w:pBdr>
        <w:top w:val="single" w:sz="4" w:space="0" w:color="000000"/>
      </w:pBdr>
      <w:autoSpaceDE/>
      <w:spacing w:before="280" w:after="280"/>
      <w:jc w:val="center"/>
      <w:textAlignment w:val="center"/>
    </w:pPr>
    <w:rPr>
      <w:rFonts w:ascii="Arial" w:hAnsi="Arial" w:cs="Arial"/>
      <w:sz w:val="16"/>
      <w:szCs w:val="16"/>
    </w:rPr>
  </w:style>
  <w:style w:type="paragraph" w:customStyle="1" w:styleId="xl110">
    <w:name w:val="xl110"/>
    <w:basedOn w:val="Normal"/>
    <w:pPr>
      <w:widowControl/>
      <w:pBdr>
        <w:top w:val="single" w:sz="4" w:space="0" w:color="000000"/>
      </w:pBdr>
      <w:autoSpaceDE/>
      <w:spacing w:before="280" w:after="280"/>
      <w:jc w:val="center"/>
      <w:textAlignment w:val="center"/>
    </w:pPr>
    <w:rPr>
      <w:rFonts w:ascii="Arial" w:hAnsi="Arial" w:cs="Arial"/>
      <w:sz w:val="16"/>
      <w:szCs w:val="16"/>
    </w:rPr>
  </w:style>
  <w:style w:type="paragraph" w:customStyle="1" w:styleId="xl111">
    <w:name w:val="xl111"/>
    <w:basedOn w:val="Normal"/>
    <w:pPr>
      <w:widowControl/>
      <w:pBdr>
        <w:bottom w:val="single" w:sz="4" w:space="0" w:color="000000"/>
      </w:pBdr>
      <w:autoSpaceDE/>
      <w:spacing w:before="280" w:after="280"/>
      <w:jc w:val="center"/>
      <w:textAlignment w:val="center"/>
    </w:pPr>
    <w:rPr>
      <w:rFonts w:ascii="Arial" w:hAnsi="Arial" w:cs="Arial"/>
      <w:sz w:val="16"/>
      <w:szCs w:val="16"/>
    </w:rPr>
  </w:style>
  <w:style w:type="paragraph" w:customStyle="1" w:styleId="xl112">
    <w:name w:val="xl112"/>
    <w:basedOn w:val="Normal"/>
    <w:pPr>
      <w:widowControl/>
      <w:pBdr>
        <w:top w:val="single" w:sz="4" w:space="0" w:color="000000"/>
        <w:left w:val="single" w:sz="4" w:space="0" w:color="000000"/>
      </w:pBdr>
      <w:autoSpaceDE/>
      <w:spacing w:before="280" w:after="280"/>
    </w:pPr>
    <w:rPr>
      <w:rFonts w:ascii="Arial" w:hAnsi="Arial" w:cs="Arial"/>
      <w:b/>
      <w:bCs/>
      <w:sz w:val="16"/>
      <w:szCs w:val="16"/>
    </w:rPr>
  </w:style>
  <w:style w:type="paragraph" w:customStyle="1" w:styleId="xl113">
    <w:name w:val="xl113"/>
    <w:basedOn w:val="Normal"/>
    <w:pPr>
      <w:widowControl/>
      <w:pBdr>
        <w:top w:val="single" w:sz="4" w:space="0" w:color="000000"/>
        <w:bottom w:val="single" w:sz="4" w:space="0" w:color="000000"/>
      </w:pBdr>
      <w:autoSpaceDE/>
      <w:spacing w:before="280" w:after="280"/>
      <w:jc w:val="center"/>
      <w:textAlignment w:val="center"/>
    </w:pPr>
    <w:rPr>
      <w:rFonts w:ascii="Arial" w:hAnsi="Arial" w:cs="Arial"/>
      <w:sz w:val="16"/>
      <w:szCs w:val="16"/>
    </w:rPr>
  </w:style>
  <w:style w:type="paragraph" w:customStyle="1" w:styleId="xl114">
    <w:name w:val="xl114"/>
    <w:basedOn w:val="Normal"/>
    <w:pPr>
      <w:widowControl/>
      <w:pBdr>
        <w:top w:val="single" w:sz="4" w:space="0" w:color="000000"/>
        <w:left w:val="single" w:sz="4" w:space="9" w:color="000000"/>
        <w:bottom w:val="single" w:sz="4" w:space="0" w:color="000000"/>
      </w:pBdr>
      <w:shd w:val="clear" w:color="auto" w:fill="C0C0C0"/>
      <w:autoSpaceDE/>
      <w:spacing w:before="280" w:after="280"/>
      <w:textAlignment w:val="center"/>
    </w:pPr>
    <w:rPr>
      <w:rFonts w:ascii="Arial" w:hAnsi="Arial" w:cs="Arial"/>
      <w:b/>
      <w:bCs/>
      <w:sz w:val="16"/>
      <w:szCs w:val="16"/>
    </w:rPr>
  </w:style>
  <w:style w:type="paragraph" w:customStyle="1" w:styleId="xl115">
    <w:name w:val="xl115"/>
    <w:basedOn w:val="Normal"/>
    <w:pPr>
      <w:widowControl/>
      <w:pBdr>
        <w:top w:val="single" w:sz="4" w:space="0" w:color="000000"/>
        <w:bottom w:val="single" w:sz="4" w:space="0" w:color="000000"/>
      </w:pBdr>
      <w:shd w:val="clear" w:color="auto" w:fill="C0C0C0"/>
      <w:autoSpaceDE/>
      <w:spacing w:before="280" w:after="280"/>
      <w:textAlignment w:val="center"/>
    </w:pPr>
    <w:rPr>
      <w:rFonts w:ascii="Arial" w:hAnsi="Arial" w:cs="Arial"/>
      <w:sz w:val="24"/>
    </w:rPr>
  </w:style>
  <w:style w:type="paragraph" w:customStyle="1" w:styleId="xl116">
    <w:name w:val="xl116"/>
    <w:basedOn w:val="Normal"/>
    <w:pPr>
      <w:widowControl/>
      <w:pBdr>
        <w:top w:val="single" w:sz="4" w:space="0" w:color="000000"/>
        <w:bottom w:val="single" w:sz="4" w:space="0" w:color="000000"/>
        <w:right w:val="single" w:sz="4" w:space="0" w:color="000000"/>
      </w:pBdr>
      <w:shd w:val="clear" w:color="auto" w:fill="C0C0C0"/>
      <w:autoSpaceDE/>
      <w:spacing w:before="280" w:after="280"/>
      <w:textAlignment w:val="center"/>
    </w:pPr>
    <w:rPr>
      <w:rFonts w:ascii="Arial" w:hAnsi="Arial" w:cs="Arial"/>
      <w:sz w:val="24"/>
    </w:rPr>
  </w:style>
  <w:style w:type="paragraph" w:customStyle="1" w:styleId="xl117">
    <w:name w:val="xl117"/>
    <w:basedOn w:val="Normal"/>
    <w:pPr>
      <w:widowControl/>
      <w:pBdr>
        <w:top w:val="single" w:sz="4" w:space="0" w:color="000000"/>
        <w:left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118">
    <w:name w:val="xl118"/>
    <w:basedOn w:val="Normal"/>
    <w:pPr>
      <w:widowControl/>
      <w:pBdr>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119">
    <w:name w:val="xl119"/>
    <w:basedOn w:val="Normal"/>
    <w:pPr>
      <w:widowControl/>
      <w:pBdr>
        <w:top w:val="single" w:sz="4" w:space="0" w:color="000000"/>
        <w:left w:val="single" w:sz="4" w:space="18" w:color="000000"/>
        <w:bottom w:val="single" w:sz="4" w:space="0" w:color="000000"/>
      </w:pBdr>
      <w:autoSpaceDE/>
      <w:spacing w:before="280" w:after="280"/>
      <w:textAlignment w:val="center"/>
    </w:pPr>
    <w:rPr>
      <w:rFonts w:ascii="Arial" w:hAnsi="Arial" w:cs="Arial"/>
      <w:b/>
      <w:bCs/>
      <w:sz w:val="16"/>
      <w:szCs w:val="16"/>
    </w:rPr>
  </w:style>
  <w:style w:type="paragraph" w:customStyle="1" w:styleId="xl120">
    <w:name w:val="xl120"/>
    <w:basedOn w:val="Normal"/>
    <w:pPr>
      <w:widowControl/>
      <w:pBdr>
        <w:top w:val="single" w:sz="4" w:space="0" w:color="000000"/>
        <w:bottom w:val="single" w:sz="4" w:space="0" w:color="000000"/>
      </w:pBdr>
      <w:autoSpaceDE/>
      <w:spacing w:before="280" w:after="280"/>
      <w:textAlignment w:val="center"/>
    </w:pPr>
    <w:rPr>
      <w:sz w:val="24"/>
    </w:rPr>
  </w:style>
  <w:style w:type="paragraph" w:customStyle="1" w:styleId="xl121">
    <w:name w:val="xl121"/>
    <w:basedOn w:val="Normal"/>
    <w:pPr>
      <w:widowControl/>
      <w:pBdr>
        <w:top w:val="single" w:sz="4" w:space="0" w:color="000000"/>
        <w:bottom w:val="single" w:sz="4" w:space="0" w:color="000000"/>
        <w:right w:val="single" w:sz="4" w:space="0" w:color="000000"/>
      </w:pBdr>
      <w:autoSpaceDE/>
      <w:spacing w:before="280" w:after="280"/>
      <w:textAlignment w:val="center"/>
    </w:pPr>
    <w:rPr>
      <w:sz w:val="24"/>
    </w:rPr>
  </w:style>
  <w:style w:type="paragraph" w:customStyle="1" w:styleId="xl122">
    <w:name w:val="xl122"/>
    <w:basedOn w:val="Normal"/>
    <w:pPr>
      <w:widowControl/>
      <w:pBdr>
        <w:top w:val="single" w:sz="4" w:space="0" w:color="000000"/>
        <w:left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123">
    <w:name w:val="xl123"/>
    <w:basedOn w:val="Normal"/>
    <w:pPr>
      <w:widowControl/>
      <w:pBdr>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124">
    <w:name w:val="xl124"/>
    <w:basedOn w:val="Normal"/>
    <w:pPr>
      <w:widowControl/>
      <w:pBdr>
        <w:top w:val="single" w:sz="4" w:space="0" w:color="000000"/>
        <w:left w:val="single" w:sz="4" w:space="0" w:color="000000"/>
        <w:bottom w:val="single" w:sz="4" w:space="0" w:color="000000"/>
      </w:pBdr>
      <w:shd w:val="clear" w:color="auto" w:fill="C0C0C0"/>
      <w:autoSpaceDE/>
      <w:spacing w:before="280" w:after="280"/>
    </w:pPr>
    <w:rPr>
      <w:rFonts w:ascii="Arial" w:hAnsi="Arial" w:cs="Arial"/>
      <w:b/>
      <w:bCs/>
      <w:sz w:val="16"/>
      <w:szCs w:val="16"/>
    </w:rPr>
  </w:style>
  <w:style w:type="paragraph" w:customStyle="1" w:styleId="xl125">
    <w:name w:val="xl125"/>
    <w:basedOn w:val="Normal"/>
    <w:pPr>
      <w:widowControl/>
      <w:pBdr>
        <w:top w:val="single" w:sz="4" w:space="0" w:color="000000"/>
        <w:bottom w:val="single" w:sz="4" w:space="0" w:color="000000"/>
      </w:pBdr>
      <w:autoSpaceDE/>
      <w:spacing w:before="280" w:after="280"/>
    </w:pPr>
    <w:rPr>
      <w:sz w:val="24"/>
    </w:rPr>
  </w:style>
  <w:style w:type="paragraph" w:customStyle="1" w:styleId="xl126">
    <w:name w:val="xl126"/>
    <w:basedOn w:val="Normal"/>
    <w:pPr>
      <w:widowControl/>
      <w:pBdr>
        <w:top w:val="single" w:sz="4" w:space="0" w:color="000000"/>
        <w:bottom w:val="single" w:sz="4" w:space="0" w:color="000000"/>
        <w:right w:val="single" w:sz="4" w:space="0" w:color="000000"/>
      </w:pBdr>
      <w:autoSpaceDE/>
      <w:spacing w:before="280" w:after="280"/>
    </w:pPr>
    <w:rPr>
      <w:sz w:val="24"/>
    </w:rPr>
  </w:style>
  <w:style w:type="paragraph" w:customStyle="1" w:styleId="xl127">
    <w:name w:val="xl127"/>
    <w:basedOn w:val="Normal"/>
    <w:pPr>
      <w:widowControl/>
      <w:pBdr>
        <w:top w:val="single" w:sz="4" w:space="0" w:color="000000"/>
        <w:bottom w:val="single" w:sz="4" w:space="0" w:color="000000"/>
      </w:pBdr>
      <w:autoSpaceDE/>
      <w:spacing w:before="280" w:after="280"/>
      <w:textAlignment w:val="center"/>
    </w:pPr>
    <w:rPr>
      <w:sz w:val="24"/>
    </w:rPr>
  </w:style>
  <w:style w:type="paragraph" w:customStyle="1" w:styleId="xl128">
    <w:name w:val="xl128"/>
    <w:basedOn w:val="Normal"/>
    <w:pPr>
      <w:widowControl/>
      <w:pBdr>
        <w:top w:val="single" w:sz="4" w:space="0" w:color="000000"/>
        <w:bottom w:val="single" w:sz="4" w:space="0" w:color="000000"/>
        <w:right w:val="single" w:sz="4" w:space="0" w:color="000000"/>
      </w:pBdr>
      <w:autoSpaceDE/>
      <w:spacing w:before="280" w:after="280"/>
      <w:textAlignment w:val="center"/>
    </w:pPr>
    <w:rPr>
      <w:sz w:val="24"/>
    </w:rPr>
  </w:style>
  <w:style w:type="paragraph" w:customStyle="1" w:styleId="xl129">
    <w:name w:val="xl129"/>
    <w:basedOn w:val="Normal"/>
    <w:pPr>
      <w:widowControl/>
      <w:pBdr>
        <w:top w:val="single" w:sz="4" w:space="0" w:color="000000"/>
        <w:left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130">
    <w:name w:val="xl130"/>
    <w:basedOn w:val="Normal"/>
    <w:pPr>
      <w:widowControl/>
      <w:pBdr>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131">
    <w:name w:val="xl131"/>
    <w:basedOn w:val="Normal"/>
    <w:pPr>
      <w:widowControl/>
      <w:pBdr>
        <w:top w:val="single" w:sz="4" w:space="0" w:color="000000"/>
        <w:left w:val="single" w:sz="4" w:space="0" w:color="000000"/>
        <w:bottom w:val="single" w:sz="4" w:space="0" w:color="000000"/>
      </w:pBdr>
      <w:autoSpaceDE/>
      <w:spacing w:before="280" w:after="280"/>
      <w:jc w:val="center"/>
      <w:textAlignment w:val="center"/>
    </w:pPr>
    <w:rPr>
      <w:rFonts w:ascii="Arial" w:hAnsi="Arial" w:cs="Arial"/>
      <w:b/>
      <w:bCs/>
      <w:sz w:val="16"/>
      <w:szCs w:val="16"/>
    </w:rPr>
  </w:style>
  <w:style w:type="paragraph" w:customStyle="1" w:styleId="xl132">
    <w:name w:val="xl132"/>
    <w:basedOn w:val="Normal"/>
    <w:pPr>
      <w:widowControl/>
      <w:pBdr>
        <w:top w:val="single" w:sz="4" w:space="0" w:color="000000"/>
        <w:bottom w:val="single" w:sz="4" w:space="0" w:color="000000"/>
      </w:pBdr>
      <w:autoSpaceDE/>
      <w:spacing w:before="280" w:after="280"/>
      <w:jc w:val="center"/>
      <w:textAlignment w:val="center"/>
    </w:pPr>
    <w:rPr>
      <w:rFonts w:ascii="Arial" w:hAnsi="Arial" w:cs="Arial"/>
      <w:b/>
      <w:bCs/>
      <w:sz w:val="16"/>
      <w:szCs w:val="16"/>
    </w:rPr>
  </w:style>
  <w:style w:type="paragraph" w:customStyle="1" w:styleId="xl133">
    <w:name w:val="xl133"/>
    <w:basedOn w:val="Normal"/>
    <w:pPr>
      <w:widowControl/>
      <w:pBdr>
        <w:top w:val="single" w:sz="4" w:space="0" w:color="000000"/>
        <w:bottom w:val="single" w:sz="4" w:space="0" w:color="000000"/>
        <w:right w:val="single" w:sz="4" w:space="0" w:color="000000"/>
      </w:pBdr>
      <w:autoSpaceDE/>
      <w:spacing w:before="280" w:after="280"/>
      <w:jc w:val="center"/>
      <w:textAlignment w:val="center"/>
    </w:pPr>
    <w:rPr>
      <w:rFonts w:ascii="Arial" w:hAnsi="Arial" w:cs="Arial"/>
      <w:b/>
      <w:bCs/>
      <w:sz w:val="16"/>
      <w:szCs w:val="16"/>
    </w:rPr>
  </w:style>
  <w:style w:type="paragraph" w:customStyle="1" w:styleId="xl134">
    <w:name w:val="xl134"/>
    <w:basedOn w:val="Normal"/>
    <w:pPr>
      <w:widowControl/>
      <w:pBdr>
        <w:top w:val="single" w:sz="4" w:space="0" w:color="000000"/>
        <w:left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135">
    <w:name w:val="xl135"/>
    <w:basedOn w:val="Normal"/>
    <w:pPr>
      <w:widowControl/>
      <w:pBdr>
        <w:left w:val="single" w:sz="4" w:space="0" w:color="000000"/>
        <w:bottom w:val="single" w:sz="4" w:space="0" w:color="000000"/>
        <w:right w:val="single" w:sz="4" w:space="0" w:color="000000"/>
      </w:pBdr>
      <w:autoSpaceDE/>
      <w:spacing w:before="280" w:after="280"/>
    </w:pPr>
    <w:rPr>
      <w:sz w:val="24"/>
    </w:rPr>
  </w:style>
  <w:style w:type="paragraph" w:customStyle="1" w:styleId="xl136">
    <w:name w:val="xl136"/>
    <w:basedOn w:val="Normal"/>
    <w:pPr>
      <w:widowControl/>
      <w:pBdr>
        <w:top w:val="single" w:sz="4" w:space="0" w:color="000000"/>
        <w:bottom w:val="single" w:sz="4" w:space="0" w:color="000000"/>
      </w:pBdr>
      <w:autoSpaceDE/>
      <w:spacing w:before="280" w:after="280"/>
      <w:textAlignment w:val="center"/>
    </w:pPr>
    <w:rPr>
      <w:sz w:val="24"/>
    </w:rPr>
  </w:style>
  <w:style w:type="paragraph" w:customStyle="1" w:styleId="xl137">
    <w:name w:val="xl137"/>
    <w:basedOn w:val="Normal"/>
    <w:pPr>
      <w:widowControl/>
      <w:pBdr>
        <w:top w:val="single" w:sz="4" w:space="0" w:color="000000"/>
        <w:bottom w:val="single" w:sz="4" w:space="0" w:color="000000"/>
        <w:right w:val="single" w:sz="4" w:space="0" w:color="000000"/>
      </w:pBdr>
      <w:autoSpaceDE/>
      <w:spacing w:before="280" w:after="280"/>
      <w:textAlignment w:val="center"/>
    </w:pPr>
    <w:rPr>
      <w:sz w:val="24"/>
    </w:rPr>
  </w:style>
  <w:style w:type="paragraph" w:customStyle="1" w:styleId="xl138">
    <w:name w:val="xl138"/>
    <w:basedOn w:val="Normal"/>
    <w:pPr>
      <w:widowControl/>
      <w:pBdr>
        <w:top w:val="single" w:sz="4" w:space="0" w:color="000000"/>
        <w:left w:val="single" w:sz="4" w:space="0" w:color="000000"/>
        <w:bottom w:val="single" w:sz="4" w:space="0" w:color="000000"/>
      </w:pBdr>
      <w:shd w:val="clear" w:color="auto" w:fill="C0C0C0"/>
      <w:autoSpaceDE/>
      <w:spacing w:before="280" w:after="280"/>
      <w:textAlignment w:val="center"/>
    </w:pPr>
    <w:rPr>
      <w:rFonts w:ascii="Arial" w:hAnsi="Arial" w:cs="Arial"/>
      <w:b/>
      <w:bCs/>
      <w:sz w:val="16"/>
      <w:szCs w:val="16"/>
    </w:rPr>
  </w:style>
  <w:style w:type="paragraph" w:customStyle="1" w:styleId="xl139">
    <w:name w:val="xl139"/>
    <w:basedOn w:val="Normal"/>
    <w:pPr>
      <w:widowControl/>
      <w:pBdr>
        <w:top w:val="single" w:sz="4" w:space="0" w:color="000000"/>
        <w:bottom w:val="single" w:sz="4" w:space="0" w:color="000000"/>
      </w:pBdr>
      <w:autoSpaceDE/>
      <w:spacing w:before="280" w:after="280"/>
      <w:textAlignment w:val="center"/>
    </w:pPr>
    <w:rPr>
      <w:sz w:val="24"/>
    </w:rPr>
  </w:style>
  <w:style w:type="paragraph" w:customStyle="1" w:styleId="xl140">
    <w:name w:val="xl140"/>
    <w:basedOn w:val="Normal"/>
    <w:pPr>
      <w:widowControl/>
      <w:pBdr>
        <w:top w:val="single" w:sz="4" w:space="0" w:color="000000"/>
        <w:bottom w:val="single" w:sz="4" w:space="0" w:color="000000"/>
        <w:right w:val="single" w:sz="4" w:space="0" w:color="000000"/>
      </w:pBdr>
      <w:autoSpaceDE/>
      <w:spacing w:before="280" w:after="280"/>
      <w:textAlignment w:val="center"/>
    </w:pPr>
    <w:rPr>
      <w:sz w:val="24"/>
    </w:rPr>
  </w:style>
  <w:style w:type="paragraph" w:customStyle="1" w:styleId="xl141">
    <w:name w:val="xl141"/>
    <w:basedOn w:val="Normal"/>
    <w:pPr>
      <w:widowControl/>
      <w:pBdr>
        <w:top w:val="single" w:sz="4" w:space="0" w:color="000000"/>
        <w:bottom w:val="single" w:sz="4" w:space="0" w:color="000000"/>
      </w:pBdr>
      <w:shd w:val="clear" w:color="auto" w:fill="C0C0C0"/>
      <w:autoSpaceDE/>
      <w:spacing w:before="280" w:after="280"/>
      <w:textAlignment w:val="center"/>
    </w:pPr>
    <w:rPr>
      <w:sz w:val="24"/>
    </w:rPr>
  </w:style>
  <w:style w:type="paragraph" w:customStyle="1" w:styleId="xl142">
    <w:name w:val="xl142"/>
    <w:basedOn w:val="Normal"/>
    <w:pPr>
      <w:widowControl/>
      <w:pBdr>
        <w:top w:val="single" w:sz="4" w:space="0" w:color="000000"/>
        <w:bottom w:val="single" w:sz="4" w:space="0" w:color="000000"/>
        <w:right w:val="single" w:sz="4" w:space="0" w:color="000000"/>
      </w:pBdr>
      <w:shd w:val="clear" w:color="auto" w:fill="C0C0C0"/>
      <w:autoSpaceDE/>
      <w:spacing w:before="280" w:after="280"/>
      <w:textAlignment w:val="center"/>
    </w:pPr>
    <w:rPr>
      <w:sz w:val="24"/>
    </w:rPr>
  </w:style>
  <w:style w:type="paragraph" w:customStyle="1" w:styleId="xl143">
    <w:name w:val="xl143"/>
    <w:basedOn w:val="Normal"/>
    <w:pPr>
      <w:widowControl/>
      <w:pBdr>
        <w:top w:val="single" w:sz="4" w:space="0" w:color="000000"/>
        <w:left w:val="single" w:sz="4" w:space="9" w:color="000000"/>
        <w:bottom w:val="single" w:sz="4" w:space="0" w:color="000000"/>
      </w:pBdr>
      <w:autoSpaceDE/>
      <w:spacing w:before="280" w:after="280"/>
      <w:textAlignment w:val="center"/>
    </w:pPr>
    <w:rPr>
      <w:rFonts w:ascii="Arial" w:hAnsi="Arial" w:cs="Arial"/>
      <w:b/>
      <w:bCs/>
      <w:i/>
      <w:iCs/>
      <w:sz w:val="16"/>
      <w:szCs w:val="16"/>
    </w:rPr>
  </w:style>
  <w:style w:type="paragraph" w:customStyle="1" w:styleId="xl144">
    <w:name w:val="xl144"/>
    <w:basedOn w:val="Normal"/>
    <w:pPr>
      <w:widowControl/>
      <w:pBdr>
        <w:top w:val="single" w:sz="4" w:space="0" w:color="000000"/>
        <w:left w:val="single" w:sz="4" w:space="0" w:color="000000"/>
        <w:bottom w:val="single" w:sz="4" w:space="0" w:color="000000"/>
      </w:pBdr>
      <w:shd w:val="clear" w:color="auto" w:fill="C0C0C0"/>
      <w:autoSpaceDE/>
      <w:spacing w:before="280" w:after="280"/>
      <w:textAlignment w:val="center"/>
    </w:pPr>
    <w:rPr>
      <w:rFonts w:ascii="Arial" w:hAnsi="Arial" w:cs="Arial"/>
      <w:b/>
      <w:bCs/>
      <w:sz w:val="16"/>
      <w:szCs w:val="16"/>
    </w:rPr>
  </w:style>
  <w:style w:type="paragraph" w:customStyle="1" w:styleId="xl145">
    <w:name w:val="xl145"/>
    <w:basedOn w:val="Normal"/>
    <w:pPr>
      <w:widowControl/>
      <w:pBdr>
        <w:top w:val="single" w:sz="4" w:space="0" w:color="000000"/>
        <w:left w:val="single" w:sz="4" w:space="18" w:color="000000"/>
        <w:bottom w:val="single" w:sz="4" w:space="0" w:color="000000"/>
      </w:pBdr>
      <w:autoSpaceDE/>
      <w:spacing w:before="280" w:after="280"/>
      <w:textAlignment w:val="center"/>
    </w:pPr>
    <w:rPr>
      <w:rFonts w:ascii="Arial" w:hAnsi="Arial" w:cs="Arial"/>
      <w:b/>
      <w:bCs/>
      <w:i/>
      <w:iCs/>
      <w:sz w:val="16"/>
      <w:szCs w:val="16"/>
    </w:rPr>
  </w:style>
  <w:style w:type="paragraph" w:customStyle="1" w:styleId="xl146">
    <w:name w:val="xl146"/>
    <w:basedOn w:val="Normal"/>
    <w:pPr>
      <w:widowControl/>
      <w:pBdr>
        <w:top w:val="single" w:sz="4" w:space="0" w:color="000000"/>
        <w:left w:val="single" w:sz="4" w:space="9" w:color="000000"/>
        <w:bottom w:val="single" w:sz="4" w:space="0" w:color="000000"/>
      </w:pBdr>
      <w:autoSpaceDE/>
      <w:spacing w:before="280" w:after="280"/>
      <w:textAlignment w:val="center"/>
    </w:pPr>
    <w:rPr>
      <w:rFonts w:ascii="Arial" w:hAnsi="Arial" w:cs="Arial"/>
      <w:b/>
      <w:bCs/>
      <w:sz w:val="16"/>
      <w:szCs w:val="16"/>
    </w:rPr>
  </w:style>
  <w:style w:type="paragraph" w:customStyle="1" w:styleId="xl147">
    <w:name w:val="xl147"/>
    <w:basedOn w:val="Normal"/>
    <w:pPr>
      <w:widowControl/>
      <w:pBdr>
        <w:left w:val="single" w:sz="4" w:space="18" w:color="000000"/>
        <w:bottom w:val="single" w:sz="4" w:space="0" w:color="000000"/>
      </w:pBdr>
      <w:autoSpaceDE/>
      <w:spacing w:before="280" w:after="280"/>
      <w:textAlignment w:val="center"/>
    </w:pPr>
    <w:rPr>
      <w:rFonts w:ascii="Arial" w:hAnsi="Arial" w:cs="Arial"/>
      <w:b/>
      <w:bCs/>
      <w:i/>
      <w:iCs/>
      <w:sz w:val="16"/>
      <w:szCs w:val="16"/>
    </w:rPr>
  </w:style>
  <w:style w:type="paragraph" w:customStyle="1" w:styleId="xl148">
    <w:name w:val="xl148"/>
    <w:basedOn w:val="Normal"/>
    <w:pPr>
      <w:widowControl/>
      <w:pBdr>
        <w:bottom w:val="single" w:sz="4" w:space="0" w:color="000000"/>
      </w:pBdr>
      <w:autoSpaceDE/>
      <w:spacing w:before="280" w:after="280"/>
      <w:textAlignment w:val="center"/>
    </w:pPr>
    <w:rPr>
      <w:sz w:val="24"/>
    </w:rPr>
  </w:style>
  <w:style w:type="paragraph" w:customStyle="1" w:styleId="xl149">
    <w:name w:val="xl149"/>
    <w:basedOn w:val="Normal"/>
    <w:pPr>
      <w:widowControl/>
      <w:pBdr>
        <w:bottom w:val="single" w:sz="4" w:space="0" w:color="000000"/>
        <w:right w:val="single" w:sz="4" w:space="0" w:color="000000"/>
      </w:pBdr>
      <w:autoSpaceDE/>
      <w:spacing w:before="280" w:after="280"/>
      <w:textAlignment w:val="center"/>
    </w:pPr>
    <w:rPr>
      <w:sz w:val="24"/>
    </w:rPr>
  </w:style>
  <w:style w:type="paragraph" w:customStyle="1" w:styleId="xl150">
    <w:name w:val="xl150"/>
    <w:basedOn w:val="Normal"/>
    <w:pPr>
      <w:widowControl/>
      <w:pBdr>
        <w:top w:val="single" w:sz="4" w:space="0" w:color="000000"/>
        <w:left w:val="single" w:sz="4" w:space="0" w:color="000000"/>
        <w:bottom w:val="single" w:sz="4" w:space="0" w:color="000000"/>
      </w:pBdr>
      <w:autoSpaceDE/>
      <w:spacing w:before="280" w:after="280"/>
      <w:jc w:val="center"/>
    </w:pPr>
    <w:rPr>
      <w:rFonts w:ascii="Arial" w:hAnsi="Arial" w:cs="Arial"/>
      <w:b/>
      <w:bCs/>
      <w:sz w:val="16"/>
      <w:szCs w:val="16"/>
    </w:rPr>
  </w:style>
  <w:style w:type="paragraph" w:customStyle="1" w:styleId="xl151">
    <w:name w:val="xl151"/>
    <w:basedOn w:val="Normal"/>
    <w:pPr>
      <w:widowControl/>
      <w:pBdr>
        <w:top w:val="single" w:sz="4" w:space="0" w:color="000000"/>
        <w:bottom w:val="single" w:sz="4" w:space="0" w:color="000000"/>
      </w:pBdr>
      <w:autoSpaceDE/>
      <w:spacing w:before="280" w:after="280"/>
      <w:jc w:val="center"/>
    </w:pPr>
    <w:rPr>
      <w:sz w:val="24"/>
    </w:rPr>
  </w:style>
  <w:style w:type="paragraph" w:customStyle="1" w:styleId="xl152">
    <w:name w:val="xl152"/>
    <w:basedOn w:val="Normal"/>
    <w:pPr>
      <w:widowControl/>
      <w:pBdr>
        <w:top w:val="single" w:sz="4" w:space="0" w:color="000000"/>
        <w:bottom w:val="single" w:sz="4" w:space="0" w:color="000000"/>
        <w:right w:val="single" w:sz="4" w:space="0" w:color="000000"/>
      </w:pBdr>
      <w:autoSpaceDE/>
      <w:spacing w:before="280" w:after="280"/>
      <w:jc w:val="center"/>
    </w:pPr>
    <w:rPr>
      <w:sz w:val="24"/>
    </w:rPr>
  </w:style>
  <w:style w:type="paragraph" w:customStyle="1" w:styleId="xl153">
    <w:name w:val="xl153"/>
    <w:basedOn w:val="Normal"/>
    <w:pPr>
      <w:widowControl/>
      <w:pBdr>
        <w:top w:val="single" w:sz="4" w:space="0" w:color="000000"/>
        <w:left w:val="single" w:sz="4" w:space="18" w:color="000000"/>
        <w:bottom w:val="single" w:sz="4" w:space="0" w:color="000000"/>
      </w:pBdr>
      <w:autoSpaceDE/>
      <w:spacing w:before="280" w:after="280"/>
      <w:textAlignment w:val="center"/>
    </w:pPr>
    <w:rPr>
      <w:rFonts w:ascii="Arial" w:hAnsi="Arial" w:cs="Arial"/>
      <w:b/>
      <w:bCs/>
      <w:i/>
      <w:iCs/>
      <w:sz w:val="16"/>
      <w:szCs w:val="16"/>
    </w:rPr>
  </w:style>
  <w:style w:type="paragraph" w:customStyle="1" w:styleId="xl154">
    <w:name w:val="xl154"/>
    <w:basedOn w:val="Normal"/>
    <w:pPr>
      <w:widowControl/>
      <w:pBdr>
        <w:top w:val="single" w:sz="4" w:space="0" w:color="000000"/>
        <w:bottom w:val="single" w:sz="4" w:space="0" w:color="000000"/>
      </w:pBdr>
      <w:autoSpaceDE/>
      <w:spacing w:before="280" w:after="280"/>
      <w:textAlignment w:val="center"/>
    </w:pPr>
    <w:rPr>
      <w:rFonts w:ascii="Arial" w:hAnsi="Arial" w:cs="Arial"/>
      <w:b/>
      <w:bCs/>
      <w:i/>
      <w:iCs/>
      <w:sz w:val="16"/>
      <w:szCs w:val="16"/>
    </w:rPr>
  </w:style>
  <w:style w:type="paragraph" w:customStyle="1" w:styleId="xl155">
    <w:name w:val="xl155"/>
    <w:basedOn w:val="Normal"/>
    <w:pPr>
      <w:widowControl/>
      <w:pBdr>
        <w:top w:val="single" w:sz="4" w:space="0" w:color="000000"/>
        <w:bottom w:val="single" w:sz="4" w:space="0" w:color="000000"/>
        <w:right w:val="single" w:sz="4" w:space="0" w:color="000000"/>
      </w:pBdr>
      <w:autoSpaceDE/>
      <w:spacing w:before="280" w:after="280"/>
      <w:textAlignment w:val="center"/>
    </w:pPr>
    <w:rPr>
      <w:rFonts w:ascii="Arial" w:hAnsi="Arial" w:cs="Arial"/>
      <w:b/>
      <w:bCs/>
      <w:i/>
      <w:iCs/>
      <w:sz w:val="16"/>
      <w:szCs w:val="16"/>
    </w:rPr>
  </w:style>
  <w:style w:type="paragraph" w:customStyle="1" w:styleId="xl156">
    <w:name w:val="xl156"/>
    <w:basedOn w:val="Normal"/>
    <w:pPr>
      <w:widowControl/>
      <w:pBdr>
        <w:top w:val="single" w:sz="4" w:space="0" w:color="000000"/>
        <w:left w:val="single" w:sz="4" w:space="27" w:color="000000"/>
        <w:bottom w:val="single" w:sz="4" w:space="0" w:color="000000"/>
      </w:pBdr>
      <w:autoSpaceDE/>
      <w:spacing w:before="280" w:after="280"/>
      <w:textAlignment w:val="center"/>
    </w:pPr>
    <w:rPr>
      <w:rFonts w:ascii="Arial" w:hAnsi="Arial" w:cs="Arial"/>
      <w:i/>
      <w:iCs/>
      <w:sz w:val="16"/>
      <w:szCs w:val="16"/>
    </w:rPr>
  </w:style>
  <w:style w:type="paragraph" w:customStyle="1" w:styleId="xl157">
    <w:name w:val="xl157"/>
    <w:basedOn w:val="Normal"/>
    <w:pPr>
      <w:widowControl/>
      <w:pBdr>
        <w:top w:val="single" w:sz="4" w:space="0" w:color="000000"/>
        <w:bottom w:val="single" w:sz="4" w:space="0" w:color="000000"/>
      </w:pBdr>
      <w:autoSpaceDE/>
      <w:spacing w:before="280" w:after="280"/>
      <w:textAlignment w:val="center"/>
    </w:pPr>
    <w:rPr>
      <w:rFonts w:ascii="Arial" w:hAnsi="Arial" w:cs="Arial"/>
      <w:i/>
      <w:iCs/>
      <w:sz w:val="16"/>
      <w:szCs w:val="16"/>
    </w:rPr>
  </w:style>
  <w:style w:type="paragraph" w:customStyle="1" w:styleId="xl158">
    <w:name w:val="xl158"/>
    <w:basedOn w:val="Normal"/>
    <w:pPr>
      <w:widowControl/>
      <w:pBdr>
        <w:top w:val="single" w:sz="4" w:space="0" w:color="000000"/>
        <w:bottom w:val="single" w:sz="4" w:space="0" w:color="000000"/>
        <w:right w:val="single" w:sz="4" w:space="0" w:color="000000"/>
      </w:pBdr>
      <w:autoSpaceDE/>
      <w:spacing w:before="280" w:after="280"/>
      <w:textAlignment w:val="center"/>
    </w:pPr>
    <w:rPr>
      <w:rFonts w:ascii="Arial" w:hAnsi="Arial" w:cs="Arial"/>
      <w:i/>
      <w:iCs/>
      <w:sz w:val="16"/>
      <w:szCs w:val="16"/>
    </w:rPr>
  </w:style>
  <w:style w:type="paragraph" w:customStyle="1" w:styleId="xl159">
    <w:name w:val="xl159"/>
    <w:basedOn w:val="Normal"/>
    <w:pPr>
      <w:widowControl/>
      <w:pBdr>
        <w:top w:val="single" w:sz="4" w:space="0" w:color="000000"/>
        <w:left w:val="single" w:sz="4" w:space="18" w:color="000000"/>
        <w:bottom w:val="single" w:sz="4" w:space="0" w:color="000000"/>
      </w:pBdr>
      <w:autoSpaceDE/>
      <w:spacing w:before="280" w:after="280"/>
      <w:textAlignment w:val="center"/>
    </w:pPr>
    <w:rPr>
      <w:rFonts w:ascii="Arial" w:hAnsi="Arial" w:cs="Arial"/>
      <w:i/>
      <w:iCs/>
      <w:sz w:val="16"/>
      <w:szCs w:val="16"/>
    </w:rPr>
  </w:style>
  <w:style w:type="paragraph" w:customStyle="1" w:styleId="xl160">
    <w:name w:val="xl160"/>
    <w:basedOn w:val="Normal"/>
    <w:pPr>
      <w:widowControl/>
      <w:pBdr>
        <w:top w:val="single" w:sz="4" w:space="0" w:color="000000"/>
        <w:bottom w:val="single" w:sz="4" w:space="0" w:color="000000"/>
      </w:pBdr>
      <w:autoSpaceDE/>
      <w:spacing w:before="280" w:after="280"/>
      <w:textAlignment w:val="center"/>
    </w:pPr>
    <w:rPr>
      <w:rFonts w:ascii="Arial" w:hAnsi="Arial" w:cs="Arial"/>
      <w:i/>
      <w:iCs/>
      <w:sz w:val="16"/>
      <w:szCs w:val="16"/>
    </w:rPr>
  </w:style>
  <w:style w:type="paragraph" w:customStyle="1" w:styleId="xl161">
    <w:name w:val="xl161"/>
    <w:basedOn w:val="Normal"/>
    <w:pPr>
      <w:widowControl/>
      <w:pBdr>
        <w:top w:val="single" w:sz="4" w:space="0" w:color="000000"/>
        <w:bottom w:val="single" w:sz="4" w:space="0" w:color="000000"/>
        <w:right w:val="single" w:sz="4" w:space="0" w:color="000000"/>
      </w:pBdr>
      <w:autoSpaceDE/>
      <w:spacing w:before="280" w:after="280"/>
      <w:textAlignment w:val="center"/>
    </w:pPr>
    <w:rPr>
      <w:rFonts w:ascii="Arial" w:hAnsi="Arial" w:cs="Arial"/>
      <w:i/>
      <w:iCs/>
      <w:sz w:val="16"/>
      <w:szCs w:val="16"/>
    </w:rPr>
  </w:style>
  <w:style w:type="paragraph" w:customStyle="1" w:styleId="xl162">
    <w:name w:val="xl162"/>
    <w:basedOn w:val="Normal"/>
    <w:pPr>
      <w:widowControl/>
      <w:pBdr>
        <w:top w:val="single" w:sz="4" w:space="0" w:color="000000"/>
        <w:right w:val="single" w:sz="4" w:space="0" w:color="000000"/>
      </w:pBdr>
      <w:autoSpaceDE/>
      <w:spacing w:before="280" w:after="280"/>
      <w:jc w:val="center"/>
      <w:textAlignment w:val="center"/>
    </w:pPr>
    <w:rPr>
      <w:rFonts w:ascii="Arial" w:hAnsi="Arial" w:cs="Arial"/>
      <w:b/>
      <w:bCs/>
      <w:sz w:val="16"/>
      <w:szCs w:val="16"/>
    </w:rPr>
  </w:style>
  <w:style w:type="paragraph" w:customStyle="1" w:styleId="xl163">
    <w:name w:val="xl163"/>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b/>
      <w:bCs/>
      <w:sz w:val="16"/>
      <w:szCs w:val="16"/>
    </w:rPr>
  </w:style>
  <w:style w:type="paragraph" w:customStyle="1" w:styleId="xl164">
    <w:name w:val="xl164"/>
    <w:basedOn w:val="Normal"/>
    <w:pPr>
      <w:widowControl/>
      <w:pBdr>
        <w:top w:val="single" w:sz="4" w:space="0" w:color="000000"/>
        <w:left w:val="single" w:sz="4" w:space="0" w:color="000000"/>
        <w:right w:val="single" w:sz="4" w:space="0" w:color="000000"/>
      </w:pBdr>
      <w:autoSpaceDE/>
      <w:spacing w:before="280" w:after="280"/>
      <w:jc w:val="center"/>
      <w:textAlignment w:val="center"/>
    </w:pPr>
    <w:rPr>
      <w:rFonts w:ascii="Arial" w:hAnsi="Arial" w:cs="Arial"/>
      <w:b/>
      <w:bCs/>
      <w:sz w:val="16"/>
      <w:szCs w:val="16"/>
    </w:rPr>
  </w:style>
  <w:style w:type="paragraph" w:customStyle="1" w:styleId="xl165">
    <w:name w:val="xl165"/>
    <w:basedOn w:val="Normal"/>
    <w:pPr>
      <w:widowControl/>
      <w:pBdr>
        <w:top w:val="single" w:sz="4" w:space="0" w:color="000000"/>
        <w:left w:val="single" w:sz="4" w:space="18" w:color="000000"/>
        <w:bottom w:val="single" w:sz="4" w:space="0" w:color="000000"/>
        <w:right w:val="single" w:sz="4" w:space="0" w:color="000000"/>
      </w:pBdr>
      <w:autoSpaceDE/>
      <w:spacing w:before="280" w:after="280"/>
    </w:pPr>
    <w:rPr>
      <w:rFonts w:ascii="Arial" w:hAnsi="Arial" w:cs="Arial"/>
      <w:sz w:val="16"/>
      <w:szCs w:val="16"/>
    </w:rPr>
  </w:style>
  <w:style w:type="paragraph" w:customStyle="1" w:styleId="Contents10">
    <w:name w:val="Contents 10"/>
    <w:basedOn w:val="Index"/>
    <w:pPr>
      <w:tabs>
        <w:tab w:val="right" w:leader="dot" w:pos="7425"/>
      </w:tabs>
      <w:ind w:left="2547"/>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Revision">
    <w:name w:val="Revision"/>
    <w:pPr>
      <w:suppressAutoHyphens/>
    </w:pPr>
    <w:rPr>
      <w:rFonts w:eastAsia="Arial"/>
      <w:szCs w:val="24"/>
      <w:lang w:eastAsia="ar-SA"/>
    </w:rPr>
  </w:style>
  <w:style w:type="table" w:styleId="TableGrid">
    <w:name w:val="Table Grid"/>
    <w:basedOn w:val="TableNormal"/>
    <w:uiPriority w:val="59"/>
    <w:rsid w:val="00E63B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9">
    <w:name w:val="font9"/>
    <w:basedOn w:val="Normal"/>
    <w:rsid w:val="00C26000"/>
    <w:pPr>
      <w:widowControl/>
      <w:suppressAutoHyphens w:val="0"/>
      <w:autoSpaceDE/>
      <w:spacing w:before="100" w:beforeAutospacing="1" w:after="100" w:afterAutospacing="1"/>
    </w:pPr>
    <w:rPr>
      <w:rFonts w:ascii="Tahoma" w:hAnsi="Tahoma" w:cs="Tahoma"/>
      <w:color w:val="000000"/>
      <w:sz w:val="18"/>
      <w:szCs w:val="18"/>
      <w:lang w:eastAsia="en-US"/>
    </w:rPr>
  </w:style>
  <w:style w:type="paragraph" w:customStyle="1" w:styleId="font10">
    <w:name w:val="font10"/>
    <w:basedOn w:val="Normal"/>
    <w:rsid w:val="00C26000"/>
    <w:pPr>
      <w:widowControl/>
      <w:suppressAutoHyphens w:val="0"/>
      <w:autoSpaceDE/>
      <w:spacing w:before="100" w:beforeAutospacing="1" w:after="100" w:afterAutospacing="1"/>
    </w:pPr>
    <w:rPr>
      <w:rFonts w:ascii="Tahoma" w:hAnsi="Tahoma" w:cs="Tahoma"/>
      <w:b/>
      <w:bCs/>
      <w:color w:val="000000"/>
      <w:sz w:val="18"/>
      <w:szCs w:val="18"/>
      <w:lang w:eastAsia="en-US"/>
    </w:rPr>
  </w:style>
  <w:style w:type="paragraph" w:customStyle="1" w:styleId="font11">
    <w:name w:val="font11"/>
    <w:basedOn w:val="Normal"/>
    <w:rsid w:val="00C26000"/>
    <w:pPr>
      <w:widowControl/>
      <w:suppressAutoHyphens w:val="0"/>
      <w:autoSpaceDE/>
      <w:spacing w:before="100" w:beforeAutospacing="1" w:after="100" w:afterAutospacing="1"/>
    </w:pPr>
    <w:rPr>
      <w:rFonts w:ascii="Tahoma" w:hAnsi="Tahoma" w:cs="Tahoma"/>
      <w:color w:val="000000"/>
      <w:sz w:val="18"/>
      <w:szCs w:val="18"/>
      <w:lang w:eastAsia="en-US"/>
    </w:rPr>
  </w:style>
  <w:style w:type="paragraph" w:customStyle="1" w:styleId="font12">
    <w:name w:val="font12"/>
    <w:basedOn w:val="Normal"/>
    <w:rsid w:val="00C26000"/>
    <w:pPr>
      <w:widowControl/>
      <w:suppressAutoHyphens w:val="0"/>
      <w:autoSpaceDE/>
      <w:spacing w:before="100" w:beforeAutospacing="1" w:after="100" w:afterAutospacing="1"/>
    </w:pPr>
    <w:rPr>
      <w:rFonts w:ascii="Tahoma" w:hAnsi="Tahoma" w:cs="Tahoma"/>
      <w:b/>
      <w:bCs/>
      <w:color w:val="000000"/>
      <w:sz w:val="18"/>
      <w:szCs w:val="18"/>
      <w:lang w:eastAsia="en-US"/>
    </w:rPr>
  </w:style>
  <w:style w:type="paragraph" w:customStyle="1" w:styleId="xl166">
    <w:name w:val="xl166"/>
    <w:basedOn w:val="Normal"/>
    <w:rsid w:val="00C26000"/>
    <w:pPr>
      <w:widowControl/>
      <w:pBdr>
        <w:top w:val="single" w:sz="4" w:space="0" w:color="auto"/>
        <w:left w:val="single" w:sz="4" w:space="0" w:color="auto"/>
        <w:right w:val="single" w:sz="4" w:space="0" w:color="auto"/>
      </w:pBdr>
      <w:shd w:val="clear" w:color="000000" w:fill="92D050"/>
      <w:suppressAutoHyphens w:val="0"/>
      <w:autoSpaceDE/>
      <w:spacing w:before="100" w:beforeAutospacing="1" w:after="100" w:afterAutospacing="1"/>
      <w:jc w:val="center"/>
      <w:textAlignment w:val="center"/>
    </w:pPr>
    <w:rPr>
      <w:sz w:val="24"/>
      <w:lang w:eastAsia="en-US"/>
    </w:rPr>
  </w:style>
  <w:style w:type="paragraph" w:customStyle="1" w:styleId="xl167">
    <w:name w:val="xl167"/>
    <w:basedOn w:val="Normal"/>
    <w:rsid w:val="00C26000"/>
    <w:pPr>
      <w:widowControl/>
      <w:pBdr>
        <w:top w:val="single" w:sz="4" w:space="0" w:color="auto"/>
        <w:left w:val="single" w:sz="4" w:space="0" w:color="auto"/>
        <w:right w:val="single" w:sz="4" w:space="0" w:color="auto"/>
      </w:pBdr>
      <w:shd w:val="clear" w:color="000000" w:fill="92D050"/>
      <w:suppressAutoHyphens w:val="0"/>
      <w:autoSpaceDE/>
      <w:spacing w:before="100" w:beforeAutospacing="1" w:after="100" w:afterAutospacing="1"/>
      <w:jc w:val="center"/>
      <w:textAlignment w:val="center"/>
    </w:pPr>
    <w:rPr>
      <w:sz w:val="24"/>
      <w:lang w:eastAsia="en-US"/>
    </w:rPr>
  </w:style>
  <w:style w:type="paragraph" w:customStyle="1" w:styleId="xl168">
    <w:name w:val="xl168"/>
    <w:basedOn w:val="Normal"/>
    <w:rsid w:val="00C26000"/>
    <w:pPr>
      <w:widowControl/>
      <w:pBdr>
        <w:left w:val="single" w:sz="4" w:space="18" w:color="auto"/>
        <w:right w:val="single" w:sz="4" w:space="0" w:color="auto"/>
      </w:pBdr>
      <w:suppressAutoHyphens w:val="0"/>
      <w:autoSpaceDE/>
      <w:spacing w:before="100" w:beforeAutospacing="1" w:after="100" w:afterAutospacing="1"/>
      <w:ind w:firstLineChars="200" w:firstLine="200"/>
    </w:pPr>
    <w:rPr>
      <w:sz w:val="24"/>
      <w:lang w:eastAsia="en-US"/>
    </w:rPr>
  </w:style>
  <w:style w:type="paragraph" w:customStyle="1" w:styleId="xl169">
    <w:name w:val="xl169"/>
    <w:basedOn w:val="Normal"/>
    <w:rsid w:val="00C26000"/>
    <w:pPr>
      <w:widowControl/>
      <w:pBdr>
        <w:top w:val="single" w:sz="4" w:space="0" w:color="auto"/>
      </w:pBdr>
      <w:suppressAutoHyphens w:val="0"/>
      <w:autoSpaceDE/>
      <w:spacing w:before="100" w:beforeAutospacing="1" w:after="100" w:afterAutospacing="1"/>
      <w:jc w:val="center"/>
      <w:textAlignment w:val="center"/>
    </w:pPr>
    <w:rPr>
      <w:b/>
      <w:bCs/>
      <w:sz w:val="24"/>
      <w:lang w:eastAsia="en-US"/>
    </w:rPr>
  </w:style>
  <w:style w:type="paragraph" w:customStyle="1" w:styleId="xl170">
    <w:name w:val="xl170"/>
    <w:basedOn w:val="Normal"/>
    <w:rsid w:val="00C26000"/>
    <w:pPr>
      <w:widowControl/>
      <w:pBdr>
        <w:top w:val="single" w:sz="4" w:space="0" w:color="auto"/>
      </w:pBdr>
      <w:suppressAutoHyphens w:val="0"/>
      <w:autoSpaceDE/>
      <w:spacing w:before="100" w:beforeAutospacing="1" w:after="100" w:afterAutospacing="1"/>
      <w:jc w:val="center"/>
      <w:textAlignment w:val="center"/>
    </w:pPr>
    <w:rPr>
      <w:b/>
      <w:bCs/>
      <w:sz w:val="24"/>
      <w:lang w:eastAsia="en-US"/>
    </w:rPr>
  </w:style>
  <w:style w:type="paragraph" w:customStyle="1" w:styleId="xl171">
    <w:name w:val="xl171"/>
    <w:basedOn w:val="Normal"/>
    <w:rsid w:val="00C26000"/>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b/>
      <w:bCs/>
      <w:sz w:val="24"/>
      <w:lang w:eastAsia="en-US"/>
    </w:rPr>
  </w:style>
  <w:style w:type="paragraph" w:customStyle="1" w:styleId="xl172">
    <w:name w:val="xl172"/>
    <w:basedOn w:val="Normal"/>
    <w:rsid w:val="00C26000"/>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b/>
      <w:bCs/>
      <w:sz w:val="24"/>
      <w:lang w:eastAsia="en-US"/>
    </w:rPr>
  </w:style>
  <w:style w:type="paragraph" w:customStyle="1" w:styleId="xl173">
    <w:name w:val="xl173"/>
    <w:basedOn w:val="Normal"/>
    <w:rsid w:val="00C26000"/>
    <w:pPr>
      <w:widowControl/>
      <w:pBdr>
        <w:top w:val="single" w:sz="4" w:space="0" w:color="auto"/>
        <w:left w:val="single" w:sz="4" w:space="0" w:color="auto"/>
      </w:pBdr>
      <w:suppressAutoHyphens w:val="0"/>
      <w:autoSpaceDE/>
      <w:spacing w:before="100" w:beforeAutospacing="1" w:after="100" w:afterAutospacing="1"/>
    </w:pPr>
    <w:rPr>
      <w:b/>
      <w:bCs/>
      <w:sz w:val="24"/>
      <w:lang w:eastAsia="en-US"/>
    </w:rPr>
  </w:style>
  <w:style w:type="paragraph" w:customStyle="1" w:styleId="xl174">
    <w:name w:val="xl174"/>
    <w:basedOn w:val="Normal"/>
    <w:rsid w:val="00C26000"/>
    <w:pPr>
      <w:widowControl/>
      <w:pBdr>
        <w:top w:val="single" w:sz="4" w:space="0" w:color="auto"/>
      </w:pBdr>
      <w:suppressAutoHyphens w:val="0"/>
      <w:autoSpaceDE/>
      <w:spacing w:before="100" w:beforeAutospacing="1" w:after="100" w:afterAutospacing="1"/>
      <w:jc w:val="center"/>
      <w:textAlignment w:val="center"/>
    </w:pPr>
    <w:rPr>
      <w:sz w:val="24"/>
      <w:lang w:eastAsia="en-US"/>
    </w:rPr>
  </w:style>
  <w:style w:type="paragraph" w:customStyle="1" w:styleId="xl175">
    <w:name w:val="xl175"/>
    <w:basedOn w:val="Normal"/>
    <w:rsid w:val="00C26000"/>
    <w:pPr>
      <w:widowControl/>
      <w:pBdr>
        <w:top w:val="single" w:sz="4" w:space="0" w:color="auto"/>
      </w:pBdr>
      <w:suppressAutoHyphens w:val="0"/>
      <w:autoSpaceDE/>
      <w:spacing w:before="100" w:beforeAutospacing="1" w:after="100" w:afterAutospacing="1"/>
      <w:jc w:val="center"/>
      <w:textAlignment w:val="center"/>
    </w:pPr>
    <w:rPr>
      <w:sz w:val="24"/>
      <w:lang w:eastAsia="en-US"/>
    </w:rPr>
  </w:style>
  <w:style w:type="paragraph" w:customStyle="1" w:styleId="xl176">
    <w:name w:val="xl176"/>
    <w:basedOn w:val="Normal"/>
    <w:rsid w:val="00C26000"/>
    <w:pPr>
      <w:widowControl/>
      <w:pBdr>
        <w:top w:val="single" w:sz="4" w:space="0" w:color="auto"/>
        <w:left w:val="single" w:sz="4" w:space="0" w:color="auto"/>
        <w:right w:val="single" w:sz="4" w:space="0" w:color="auto"/>
      </w:pBdr>
      <w:shd w:val="clear" w:color="000000" w:fill="FFC000"/>
      <w:suppressAutoHyphens w:val="0"/>
      <w:autoSpaceDE/>
      <w:spacing w:before="100" w:beforeAutospacing="1" w:after="100" w:afterAutospacing="1"/>
      <w:jc w:val="center"/>
      <w:textAlignment w:val="center"/>
    </w:pPr>
    <w:rPr>
      <w:b/>
      <w:bCs/>
      <w:sz w:val="24"/>
      <w:lang w:eastAsia="en-US"/>
    </w:rPr>
  </w:style>
  <w:style w:type="paragraph" w:customStyle="1" w:styleId="xl177">
    <w:name w:val="xl177"/>
    <w:basedOn w:val="Normal"/>
    <w:rsid w:val="00C26000"/>
    <w:pPr>
      <w:widowControl/>
      <w:pBdr>
        <w:top w:val="single" w:sz="4" w:space="0" w:color="auto"/>
        <w:right w:val="single" w:sz="4" w:space="0" w:color="auto"/>
      </w:pBdr>
      <w:shd w:val="clear" w:color="000000" w:fill="FFC000"/>
      <w:suppressAutoHyphens w:val="0"/>
      <w:autoSpaceDE/>
      <w:spacing w:before="100" w:beforeAutospacing="1" w:after="100" w:afterAutospacing="1"/>
      <w:jc w:val="center"/>
      <w:textAlignment w:val="center"/>
    </w:pPr>
    <w:rPr>
      <w:b/>
      <w:bCs/>
      <w:sz w:val="24"/>
      <w:lang w:eastAsia="en-US"/>
    </w:rPr>
  </w:style>
  <w:style w:type="paragraph" w:customStyle="1" w:styleId="xl178">
    <w:name w:val="xl178"/>
    <w:basedOn w:val="Normal"/>
    <w:rsid w:val="00C26000"/>
    <w:pPr>
      <w:widowControl/>
      <w:suppressAutoHyphens w:val="0"/>
      <w:autoSpaceDE/>
      <w:spacing w:before="100" w:beforeAutospacing="1" w:after="100" w:afterAutospacing="1"/>
    </w:pPr>
    <w:rPr>
      <w:sz w:val="24"/>
      <w:lang w:eastAsia="en-US"/>
    </w:rPr>
  </w:style>
  <w:style w:type="paragraph" w:customStyle="1" w:styleId="xl179">
    <w:name w:val="xl179"/>
    <w:basedOn w:val="Normal"/>
    <w:rsid w:val="00C26000"/>
    <w:pPr>
      <w:widowControl/>
      <w:suppressAutoHyphens w:val="0"/>
      <w:autoSpaceDE/>
      <w:spacing w:before="100" w:beforeAutospacing="1" w:after="100" w:afterAutospacing="1"/>
    </w:pPr>
    <w:rPr>
      <w:sz w:val="24"/>
      <w:lang w:eastAsia="en-US"/>
    </w:rPr>
  </w:style>
  <w:style w:type="paragraph" w:customStyle="1" w:styleId="xl180">
    <w:name w:val="xl180"/>
    <w:basedOn w:val="Normal"/>
    <w:rsid w:val="00C26000"/>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color w:val="0070C0"/>
      <w:sz w:val="24"/>
      <w:lang w:eastAsia="en-US"/>
    </w:rPr>
  </w:style>
  <w:style w:type="paragraph" w:customStyle="1" w:styleId="xl181">
    <w:name w:val="xl181"/>
    <w:basedOn w:val="Normal"/>
    <w:rsid w:val="00C26000"/>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b/>
      <w:bCs/>
      <w:color w:val="0070C0"/>
      <w:sz w:val="24"/>
      <w:lang w:eastAsia="en-US"/>
    </w:rPr>
  </w:style>
  <w:style w:type="paragraph" w:customStyle="1" w:styleId="xl182">
    <w:name w:val="xl182"/>
    <w:basedOn w:val="Normal"/>
    <w:rsid w:val="00C26000"/>
    <w:pPr>
      <w:widowControl/>
      <w:pBdr>
        <w:top w:val="single" w:sz="4" w:space="0" w:color="auto"/>
        <w:left w:val="single" w:sz="4" w:space="18" w:color="auto"/>
        <w:bottom w:val="single" w:sz="4" w:space="0" w:color="auto"/>
      </w:pBdr>
      <w:suppressAutoHyphens w:val="0"/>
      <w:autoSpaceDE/>
      <w:spacing w:before="100" w:beforeAutospacing="1" w:after="100" w:afterAutospacing="1"/>
      <w:ind w:firstLineChars="200" w:firstLine="200"/>
    </w:pPr>
    <w:rPr>
      <w:sz w:val="24"/>
      <w:lang w:eastAsia="en-US"/>
    </w:rPr>
  </w:style>
  <w:style w:type="paragraph" w:customStyle="1" w:styleId="xl183">
    <w:name w:val="xl183"/>
    <w:basedOn w:val="Normal"/>
    <w:rsid w:val="00C26000"/>
    <w:pPr>
      <w:widowControl/>
      <w:pBdr>
        <w:top w:val="single" w:sz="4" w:space="0" w:color="auto"/>
        <w:left w:val="single" w:sz="4" w:space="18" w:color="auto"/>
        <w:bottom w:val="single" w:sz="4" w:space="0" w:color="auto"/>
      </w:pBdr>
      <w:suppressAutoHyphens w:val="0"/>
      <w:autoSpaceDE/>
      <w:spacing w:before="100" w:beforeAutospacing="1" w:after="100" w:afterAutospacing="1"/>
      <w:ind w:firstLineChars="200" w:firstLine="200"/>
    </w:pPr>
    <w:rPr>
      <w:b/>
      <w:bCs/>
      <w:sz w:val="24"/>
      <w:lang w:eastAsia="en-US"/>
    </w:rPr>
  </w:style>
  <w:style w:type="paragraph" w:customStyle="1" w:styleId="xl184">
    <w:name w:val="xl184"/>
    <w:basedOn w:val="Normal"/>
    <w:rsid w:val="00C26000"/>
    <w:pPr>
      <w:widowControl/>
      <w:pBdr>
        <w:top w:val="single" w:sz="4" w:space="0" w:color="auto"/>
        <w:bottom w:val="single" w:sz="4" w:space="0" w:color="auto"/>
      </w:pBdr>
      <w:suppressAutoHyphens w:val="0"/>
      <w:autoSpaceDE/>
      <w:spacing w:before="100" w:beforeAutospacing="1" w:after="100" w:afterAutospacing="1"/>
      <w:ind w:firstLineChars="200" w:firstLine="200"/>
    </w:pPr>
    <w:rPr>
      <w:b/>
      <w:bCs/>
      <w:sz w:val="24"/>
      <w:lang w:eastAsia="en-US"/>
    </w:rPr>
  </w:style>
  <w:style w:type="paragraph" w:customStyle="1" w:styleId="xl185">
    <w:name w:val="xl185"/>
    <w:basedOn w:val="Normal"/>
    <w:rsid w:val="00C26000"/>
    <w:pPr>
      <w:widowControl/>
      <w:pBdr>
        <w:top w:val="single" w:sz="4" w:space="0" w:color="auto"/>
        <w:bottom w:val="single" w:sz="4" w:space="0" w:color="auto"/>
        <w:right w:val="single" w:sz="4" w:space="0" w:color="auto"/>
      </w:pBdr>
      <w:suppressAutoHyphens w:val="0"/>
      <w:autoSpaceDE/>
      <w:spacing w:before="100" w:beforeAutospacing="1" w:after="100" w:afterAutospacing="1"/>
      <w:ind w:firstLineChars="200" w:firstLine="200"/>
    </w:pPr>
    <w:rPr>
      <w:b/>
      <w:bCs/>
      <w:sz w:val="24"/>
      <w:lang w:eastAsia="en-US"/>
    </w:rPr>
  </w:style>
  <w:style w:type="paragraph" w:customStyle="1" w:styleId="xl186">
    <w:name w:val="xl186"/>
    <w:basedOn w:val="Normal"/>
    <w:rsid w:val="00C26000"/>
    <w:pPr>
      <w:widowControl/>
      <w:pBdr>
        <w:top w:val="single" w:sz="4" w:space="0" w:color="auto"/>
        <w:left w:val="single" w:sz="4" w:space="9" w:color="auto"/>
        <w:bottom w:val="single" w:sz="4" w:space="0" w:color="auto"/>
      </w:pBdr>
      <w:shd w:val="clear" w:color="000000" w:fill="D9D9D9"/>
      <w:suppressAutoHyphens w:val="0"/>
      <w:autoSpaceDE/>
      <w:spacing w:before="100" w:beforeAutospacing="1" w:after="100" w:afterAutospacing="1"/>
      <w:ind w:firstLineChars="100" w:firstLine="100"/>
      <w:textAlignment w:val="center"/>
    </w:pPr>
    <w:rPr>
      <w:b/>
      <w:bCs/>
      <w:sz w:val="24"/>
      <w:lang w:eastAsia="en-US"/>
    </w:rPr>
  </w:style>
  <w:style w:type="paragraph" w:customStyle="1" w:styleId="xl187">
    <w:name w:val="xl187"/>
    <w:basedOn w:val="Normal"/>
    <w:rsid w:val="00C26000"/>
    <w:pPr>
      <w:widowControl/>
      <w:pBdr>
        <w:top w:val="single" w:sz="4" w:space="0" w:color="auto"/>
        <w:bottom w:val="single" w:sz="4" w:space="0" w:color="auto"/>
      </w:pBdr>
      <w:shd w:val="clear" w:color="000000" w:fill="D9D9D9"/>
      <w:suppressAutoHyphens w:val="0"/>
      <w:autoSpaceDE/>
      <w:spacing w:before="100" w:beforeAutospacing="1" w:after="100" w:afterAutospacing="1"/>
      <w:ind w:firstLineChars="100" w:firstLine="100"/>
      <w:textAlignment w:val="center"/>
    </w:pPr>
    <w:rPr>
      <w:sz w:val="24"/>
      <w:lang w:eastAsia="en-US"/>
    </w:rPr>
  </w:style>
  <w:style w:type="paragraph" w:customStyle="1" w:styleId="xl188">
    <w:name w:val="xl188"/>
    <w:basedOn w:val="Normal"/>
    <w:rsid w:val="00C26000"/>
    <w:pPr>
      <w:widowControl/>
      <w:pBdr>
        <w:top w:val="single" w:sz="4" w:space="0" w:color="auto"/>
        <w:bottom w:val="single" w:sz="4" w:space="0" w:color="auto"/>
        <w:right w:val="single" w:sz="4" w:space="0" w:color="auto"/>
      </w:pBdr>
      <w:shd w:val="clear" w:color="000000" w:fill="D9D9D9"/>
      <w:suppressAutoHyphens w:val="0"/>
      <w:autoSpaceDE/>
      <w:spacing w:before="100" w:beforeAutospacing="1" w:after="100" w:afterAutospacing="1"/>
      <w:ind w:firstLineChars="100" w:firstLine="100"/>
      <w:textAlignment w:val="center"/>
    </w:pPr>
    <w:rPr>
      <w:sz w:val="24"/>
      <w:lang w:eastAsia="en-US"/>
    </w:rPr>
  </w:style>
  <w:style w:type="paragraph" w:customStyle="1" w:styleId="xl189">
    <w:name w:val="xl189"/>
    <w:basedOn w:val="Normal"/>
    <w:rsid w:val="00C26000"/>
    <w:pPr>
      <w:widowControl/>
      <w:pBdr>
        <w:top w:val="single" w:sz="4" w:space="0" w:color="auto"/>
        <w:left w:val="single" w:sz="4" w:space="0" w:color="auto"/>
        <w:bottom w:val="single" w:sz="4" w:space="0" w:color="auto"/>
      </w:pBdr>
      <w:shd w:val="clear" w:color="000000" w:fill="DA9694"/>
      <w:suppressAutoHyphens w:val="0"/>
      <w:autoSpaceDE/>
      <w:spacing w:before="100" w:beforeAutospacing="1" w:after="100" w:afterAutospacing="1"/>
      <w:textAlignment w:val="center"/>
    </w:pPr>
    <w:rPr>
      <w:b/>
      <w:bCs/>
      <w:sz w:val="24"/>
      <w:lang w:eastAsia="en-US"/>
    </w:rPr>
  </w:style>
  <w:style w:type="paragraph" w:customStyle="1" w:styleId="xl190">
    <w:name w:val="xl190"/>
    <w:basedOn w:val="Normal"/>
    <w:rsid w:val="00C26000"/>
    <w:pPr>
      <w:widowControl/>
      <w:pBdr>
        <w:top w:val="single" w:sz="4" w:space="0" w:color="auto"/>
        <w:bottom w:val="single" w:sz="4" w:space="0" w:color="auto"/>
      </w:pBdr>
      <w:shd w:val="clear" w:color="000000" w:fill="DA9694"/>
      <w:suppressAutoHyphens w:val="0"/>
      <w:autoSpaceDE/>
      <w:spacing w:before="100" w:beforeAutospacing="1" w:after="100" w:afterAutospacing="1"/>
      <w:textAlignment w:val="center"/>
    </w:pPr>
    <w:rPr>
      <w:sz w:val="24"/>
      <w:lang w:eastAsia="en-US"/>
    </w:rPr>
  </w:style>
  <w:style w:type="paragraph" w:customStyle="1" w:styleId="xl191">
    <w:name w:val="xl191"/>
    <w:basedOn w:val="Normal"/>
    <w:rsid w:val="00C26000"/>
    <w:pPr>
      <w:widowControl/>
      <w:pBdr>
        <w:top w:val="single" w:sz="4" w:space="0" w:color="auto"/>
        <w:bottom w:val="single" w:sz="4" w:space="0" w:color="auto"/>
        <w:right w:val="single" w:sz="4" w:space="0" w:color="auto"/>
      </w:pBdr>
      <w:shd w:val="clear" w:color="000000" w:fill="DA9694"/>
      <w:suppressAutoHyphens w:val="0"/>
      <w:autoSpaceDE/>
      <w:spacing w:before="100" w:beforeAutospacing="1" w:after="100" w:afterAutospacing="1"/>
      <w:textAlignment w:val="center"/>
    </w:pPr>
    <w:rPr>
      <w:sz w:val="24"/>
      <w:lang w:eastAsia="en-US"/>
    </w:rPr>
  </w:style>
  <w:style w:type="paragraph" w:customStyle="1" w:styleId="xl192">
    <w:name w:val="xl192"/>
    <w:basedOn w:val="Normal"/>
    <w:rsid w:val="00C26000"/>
    <w:pPr>
      <w:widowControl/>
      <w:pBdr>
        <w:top w:val="single" w:sz="4" w:space="0" w:color="auto"/>
        <w:left w:val="single" w:sz="4" w:space="0" w:color="auto"/>
        <w:bottom w:val="single" w:sz="4" w:space="0" w:color="auto"/>
      </w:pBdr>
      <w:shd w:val="clear" w:color="000000" w:fill="DA9694"/>
      <w:suppressAutoHyphens w:val="0"/>
      <w:autoSpaceDE/>
      <w:spacing w:before="100" w:beforeAutospacing="1" w:after="100" w:afterAutospacing="1"/>
    </w:pPr>
    <w:rPr>
      <w:b/>
      <w:bCs/>
      <w:sz w:val="24"/>
      <w:lang w:eastAsia="en-US"/>
    </w:rPr>
  </w:style>
  <w:style w:type="paragraph" w:customStyle="1" w:styleId="xl193">
    <w:name w:val="xl193"/>
    <w:basedOn w:val="Normal"/>
    <w:rsid w:val="00C26000"/>
    <w:pPr>
      <w:widowControl/>
      <w:pBdr>
        <w:top w:val="single" w:sz="4" w:space="0" w:color="auto"/>
        <w:bottom w:val="single" w:sz="4" w:space="0" w:color="auto"/>
      </w:pBdr>
      <w:shd w:val="clear" w:color="000000" w:fill="DA9694"/>
      <w:suppressAutoHyphens w:val="0"/>
      <w:autoSpaceDE/>
      <w:spacing w:before="100" w:beforeAutospacing="1" w:after="100" w:afterAutospacing="1"/>
    </w:pPr>
    <w:rPr>
      <w:sz w:val="24"/>
      <w:lang w:eastAsia="en-US"/>
    </w:rPr>
  </w:style>
  <w:style w:type="paragraph" w:customStyle="1" w:styleId="xl194">
    <w:name w:val="xl194"/>
    <w:basedOn w:val="Normal"/>
    <w:rsid w:val="00C26000"/>
    <w:pPr>
      <w:widowControl/>
      <w:pBdr>
        <w:top w:val="single" w:sz="4" w:space="0" w:color="auto"/>
        <w:bottom w:val="single" w:sz="4" w:space="0" w:color="auto"/>
        <w:right w:val="single" w:sz="4" w:space="0" w:color="auto"/>
      </w:pBdr>
      <w:shd w:val="clear" w:color="000000" w:fill="DA9694"/>
      <w:suppressAutoHyphens w:val="0"/>
      <w:autoSpaceDE/>
      <w:spacing w:before="100" w:beforeAutospacing="1" w:after="100" w:afterAutospacing="1"/>
    </w:pPr>
    <w:rPr>
      <w:sz w:val="24"/>
      <w:lang w:eastAsia="en-US"/>
    </w:rPr>
  </w:style>
  <w:style w:type="paragraph" w:customStyle="1" w:styleId="xl195">
    <w:name w:val="xl195"/>
    <w:basedOn w:val="Normal"/>
    <w:rsid w:val="00C26000"/>
    <w:pPr>
      <w:widowControl/>
      <w:pBdr>
        <w:top w:val="single" w:sz="4" w:space="0" w:color="auto"/>
        <w:left w:val="single" w:sz="4" w:space="9" w:color="auto"/>
        <w:bottom w:val="single" w:sz="4" w:space="0" w:color="auto"/>
      </w:pBdr>
      <w:suppressAutoHyphens w:val="0"/>
      <w:autoSpaceDE/>
      <w:spacing w:before="100" w:beforeAutospacing="1" w:after="100" w:afterAutospacing="1"/>
      <w:ind w:firstLineChars="100" w:firstLine="100"/>
      <w:textAlignment w:val="center"/>
    </w:pPr>
    <w:rPr>
      <w:b/>
      <w:bCs/>
      <w:i/>
      <w:iCs/>
      <w:sz w:val="24"/>
      <w:lang w:eastAsia="en-US"/>
    </w:rPr>
  </w:style>
  <w:style w:type="paragraph" w:customStyle="1" w:styleId="xl196">
    <w:name w:val="xl196"/>
    <w:basedOn w:val="Normal"/>
    <w:rsid w:val="00C26000"/>
    <w:pPr>
      <w:widowControl/>
      <w:pBdr>
        <w:top w:val="single" w:sz="4" w:space="0" w:color="auto"/>
        <w:bottom w:val="single" w:sz="4" w:space="0" w:color="auto"/>
      </w:pBdr>
      <w:suppressAutoHyphens w:val="0"/>
      <w:autoSpaceDE/>
      <w:spacing w:before="100" w:beforeAutospacing="1" w:after="100" w:afterAutospacing="1"/>
      <w:ind w:firstLineChars="100" w:firstLine="100"/>
      <w:textAlignment w:val="center"/>
    </w:pPr>
    <w:rPr>
      <w:i/>
      <w:iCs/>
      <w:sz w:val="24"/>
      <w:lang w:eastAsia="en-US"/>
    </w:rPr>
  </w:style>
  <w:style w:type="paragraph" w:customStyle="1" w:styleId="xl197">
    <w:name w:val="xl197"/>
    <w:basedOn w:val="Normal"/>
    <w:rsid w:val="00C26000"/>
    <w:pPr>
      <w:widowControl/>
      <w:pBdr>
        <w:top w:val="single" w:sz="4" w:space="0" w:color="auto"/>
        <w:bottom w:val="single" w:sz="4" w:space="0" w:color="auto"/>
        <w:right w:val="single" w:sz="4" w:space="0" w:color="auto"/>
      </w:pBdr>
      <w:suppressAutoHyphens w:val="0"/>
      <w:autoSpaceDE/>
      <w:spacing w:before="100" w:beforeAutospacing="1" w:after="100" w:afterAutospacing="1"/>
      <w:ind w:firstLineChars="100" w:firstLine="100"/>
      <w:textAlignment w:val="center"/>
    </w:pPr>
    <w:rPr>
      <w:i/>
      <w:iCs/>
      <w:sz w:val="24"/>
      <w:lang w:eastAsia="en-US"/>
    </w:rPr>
  </w:style>
  <w:style w:type="paragraph" w:customStyle="1" w:styleId="xl198">
    <w:name w:val="xl198"/>
    <w:basedOn w:val="Normal"/>
    <w:rsid w:val="00C26000"/>
    <w:pPr>
      <w:widowControl/>
      <w:pBdr>
        <w:top w:val="single" w:sz="4" w:space="0" w:color="auto"/>
        <w:left w:val="single" w:sz="4" w:space="18" w:color="auto"/>
        <w:bottom w:val="single" w:sz="4" w:space="0" w:color="auto"/>
      </w:pBdr>
      <w:suppressAutoHyphens w:val="0"/>
      <w:autoSpaceDE/>
      <w:spacing w:before="100" w:beforeAutospacing="1" w:after="100" w:afterAutospacing="1"/>
      <w:ind w:firstLineChars="200" w:firstLine="200"/>
      <w:textAlignment w:val="center"/>
    </w:pPr>
    <w:rPr>
      <w:b/>
      <w:bCs/>
      <w:i/>
      <w:iCs/>
      <w:sz w:val="24"/>
      <w:lang w:eastAsia="en-US"/>
    </w:rPr>
  </w:style>
  <w:style w:type="paragraph" w:customStyle="1" w:styleId="xl199">
    <w:name w:val="xl199"/>
    <w:basedOn w:val="Normal"/>
    <w:rsid w:val="00C26000"/>
    <w:pPr>
      <w:widowControl/>
      <w:pBdr>
        <w:top w:val="single" w:sz="4" w:space="0" w:color="auto"/>
        <w:bottom w:val="single" w:sz="4" w:space="0" w:color="auto"/>
      </w:pBdr>
      <w:suppressAutoHyphens w:val="0"/>
      <w:autoSpaceDE/>
      <w:spacing w:before="100" w:beforeAutospacing="1" w:after="100" w:afterAutospacing="1"/>
      <w:ind w:firstLineChars="200" w:firstLine="200"/>
      <w:textAlignment w:val="center"/>
    </w:pPr>
    <w:rPr>
      <w:sz w:val="24"/>
      <w:lang w:eastAsia="en-US"/>
    </w:rPr>
  </w:style>
  <w:style w:type="paragraph" w:customStyle="1" w:styleId="xl200">
    <w:name w:val="xl200"/>
    <w:basedOn w:val="Normal"/>
    <w:rsid w:val="00C26000"/>
    <w:pPr>
      <w:widowControl/>
      <w:pBdr>
        <w:top w:val="single" w:sz="4" w:space="0" w:color="auto"/>
        <w:bottom w:val="single" w:sz="4" w:space="0" w:color="auto"/>
        <w:right w:val="single" w:sz="4" w:space="0" w:color="auto"/>
      </w:pBdr>
      <w:suppressAutoHyphens w:val="0"/>
      <w:autoSpaceDE/>
      <w:spacing w:before="100" w:beforeAutospacing="1" w:after="100" w:afterAutospacing="1"/>
      <w:ind w:firstLineChars="200" w:firstLine="200"/>
      <w:textAlignment w:val="center"/>
    </w:pPr>
    <w:rPr>
      <w:sz w:val="24"/>
      <w:lang w:eastAsia="en-US"/>
    </w:rPr>
  </w:style>
  <w:style w:type="paragraph" w:customStyle="1" w:styleId="xl201">
    <w:name w:val="xl201"/>
    <w:basedOn w:val="Normal"/>
    <w:rsid w:val="00C26000"/>
    <w:pPr>
      <w:widowControl/>
      <w:pBdr>
        <w:top w:val="single" w:sz="4" w:space="0" w:color="auto"/>
        <w:bottom w:val="single" w:sz="4" w:space="0" w:color="auto"/>
      </w:pBdr>
      <w:suppressAutoHyphens w:val="0"/>
      <w:autoSpaceDE/>
      <w:spacing w:before="100" w:beforeAutospacing="1" w:after="100" w:afterAutospacing="1"/>
      <w:ind w:firstLineChars="200" w:firstLine="200"/>
      <w:textAlignment w:val="center"/>
    </w:pPr>
    <w:rPr>
      <w:b/>
      <w:bCs/>
      <w:i/>
      <w:iCs/>
      <w:sz w:val="24"/>
      <w:lang w:eastAsia="en-US"/>
    </w:rPr>
  </w:style>
  <w:style w:type="paragraph" w:customStyle="1" w:styleId="xl202">
    <w:name w:val="xl202"/>
    <w:basedOn w:val="Normal"/>
    <w:rsid w:val="00C26000"/>
    <w:pPr>
      <w:widowControl/>
      <w:pBdr>
        <w:top w:val="single" w:sz="4" w:space="0" w:color="auto"/>
        <w:bottom w:val="single" w:sz="4" w:space="0" w:color="auto"/>
        <w:right w:val="single" w:sz="4" w:space="0" w:color="auto"/>
      </w:pBdr>
      <w:suppressAutoHyphens w:val="0"/>
      <w:autoSpaceDE/>
      <w:spacing w:before="100" w:beforeAutospacing="1" w:after="100" w:afterAutospacing="1"/>
      <w:ind w:firstLineChars="200" w:firstLine="200"/>
      <w:textAlignment w:val="center"/>
    </w:pPr>
    <w:rPr>
      <w:b/>
      <w:bCs/>
      <w:i/>
      <w:iCs/>
      <w:sz w:val="24"/>
      <w:lang w:eastAsia="en-US"/>
    </w:rPr>
  </w:style>
  <w:style w:type="paragraph" w:customStyle="1" w:styleId="xl203">
    <w:name w:val="xl203"/>
    <w:basedOn w:val="Normal"/>
    <w:rsid w:val="00C26000"/>
    <w:pPr>
      <w:widowControl/>
      <w:pBdr>
        <w:top w:val="single" w:sz="4" w:space="0" w:color="auto"/>
        <w:left w:val="single" w:sz="4" w:space="27" w:color="auto"/>
        <w:bottom w:val="single" w:sz="4" w:space="0" w:color="auto"/>
      </w:pBdr>
      <w:suppressAutoHyphens w:val="0"/>
      <w:autoSpaceDE/>
      <w:spacing w:before="100" w:beforeAutospacing="1" w:after="100" w:afterAutospacing="1"/>
      <w:ind w:firstLineChars="300" w:firstLine="300"/>
      <w:textAlignment w:val="center"/>
    </w:pPr>
    <w:rPr>
      <w:i/>
      <w:iCs/>
      <w:sz w:val="24"/>
      <w:lang w:eastAsia="en-US"/>
    </w:rPr>
  </w:style>
  <w:style w:type="paragraph" w:customStyle="1" w:styleId="xl204">
    <w:name w:val="xl204"/>
    <w:basedOn w:val="Normal"/>
    <w:rsid w:val="00C26000"/>
    <w:pPr>
      <w:widowControl/>
      <w:pBdr>
        <w:top w:val="single" w:sz="4" w:space="0" w:color="auto"/>
        <w:bottom w:val="single" w:sz="4" w:space="0" w:color="auto"/>
      </w:pBdr>
      <w:suppressAutoHyphens w:val="0"/>
      <w:autoSpaceDE/>
      <w:spacing w:before="100" w:beforeAutospacing="1" w:after="100" w:afterAutospacing="1"/>
      <w:ind w:firstLineChars="300" w:firstLine="300"/>
      <w:textAlignment w:val="center"/>
    </w:pPr>
    <w:rPr>
      <w:i/>
      <w:iCs/>
      <w:sz w:val="24"/>
      <w:lang w:eastAsia="en-US"/>
    </w:rPr>
  </w:style>
  <w:style w:type="paragraph" w:customStyle="1" w:styleId="xl205">
    <w:name w:val="xl205"/>
    <w:basedOn w:val="Normal"/>
    <w:rsid w:val="00C26000"/>
    <w:pPr>
      <w:widowControl/>
      <w:pBdr>
        <w:top w:val="single" w:sz="4" w:space="0" w:color="auto"/>
        <w:bottom w:val="single" w:sz="4" w:space="0" w:color="auto"/>
        <w:right w:val="single" w:sz="4" w:space="0" w:color="auto"/>
      </w:pBdr>
      <w:suppressAutoHyphens w:val="0"/>
      <w:autoSpaceDE/>
      <w:spacing w:before="100" w:beforeAutospacing="1" w:after="100" w:afterAutospacing="1"/>
      <w:ind w:firstLineChars="300" w:firstLine="300"/>
      <w:textAlignment w:val="center"/>
    </w:pPr>
    <w:rPr>
      <w:i/>
      <w:iCs/>
      <w:sz w:val="24"/>
      <w:lang w:eastAsia="en-US"/>
    </w:rPr>
  </w:style>
  <w:style w:type="paragraph" w:customStyle="1" w:styleId="xl206">
    <w:name w:val="xl206"/>
    <w:basedOn w:val="Normal"/>
    <w:rsid w:val="00C26000"/>
    <w:pPr>
      <w:widowControl/>
      <w:pBdr>
        <w:top w:val="single" w:sz="4" w:space="0" w:color="auto"/>
        <w:left w:val="single" w:sz="4" w:space="0" w:color="auto"/>
        <w:bottom w:val="single" w:sz="4" w:space="0" w:color="auto"/>
      </w:pBdr>
      <w:shd w:val="clear" w:color="000000" w:fill="DA9694"/>
      <w:suppressAutoHyphens w:val="0"/>
      <w:autoSpaceDE/>
      <w:spacing w:before="100" w:beforeAutospacing="1" w:after="100" w:afterAutospacing="1"/>
      <w:textAlignment w:val="center"/>
    </w:pPr>
    <w:rPr>
      <w:b/>
      <w:bCs/>
      <w:sz w:val="24"/>
      <w:lang w:eastAsia="en-US"/>
    </w:rPr>
  </w:style>
  <w:style w:type="paragraph" w:customStyle="1" w:styleId="xl207">
    <w:name w:val="xl207"/>
    <w:basedOn w:val="Normal"/>
    <w:rsid w:val="00C26000"/>
    <w:pPr>
      <w:widowControl/>
      <w:pBdr>
        <w:top w:val="single" w:sz="4" w:space="0" w:color="auto"/>
        <w:left w:val="single" w:sz="4" w:space="18" w:color="auto"/>
        <w:bottom w:val="single" w:sz="4" w:space="0" w:color="auto"/>
      </w:pBdr>
      <w:suppressAutoHyphens w:val="0"/>
      <w:autoSpaceDE/>
      <w:spacing w:before="100" w:beforeAutospacing="1" w:after="100" w:afterAutospacing="1"/>
      <w:ind w:firstLineChars="200" w:firstLine="200"/>
      <w:textAlignment w:val="center"/>
    </w:pPr>
    <w:rPr>
      <w:i/>
      <w:iCs/>
      <w:sz w:val="24"/>
      <w:lang w:eastAsia="en-US"/>
    </w:rPr>
  </w:style>
  <w:style w:type="paragraph" w:customStyle="1" w:styleId="xl208">
    <w:name w:val="xl208"/>
    <w:basedOn w:val="Normal"/>
    <w:rsid w:val="00C26000"/>
    <w:pPr>
      <w:widowControl/>
      <w:pBdr>
        <w:top w:val="single" w:sz="4" w:space="0" w:color="auto"/>
        <w:bottom w:val="single" w:sz="4" w:space="0" w:color="auto"/>
      </w:pBdr>
      <w:suppressAutoHyphens w:val="0"/>
      <w:autoSpaceDE/>
      <w:spacing w:before="100" w:beforeAutospacing="1" w:after="100" w:afterAutospacing="1"/>
      <w:textAlignment w:val="center"/>
    </w:pPr>
    <w:rPr>
      <w:i/>
      <w:iCs/>
      <w:sz w:val="24"/>
      <w:lang w:eastAsia="en-US"/>
    </w:rPr>
  </w:style>
  <w:style w:type="paragraph" w:customStyle="1" w:styleId="xl209">
    <w:name w:val="xl209"/>
    <w:basedOn w:val="Normal"/>
    <w:rsid w:val="00C26000"/>
    <w:pPr>
      <w:widowControl/>
      <w:pBdr>
        <w:top w:val="single" w:sz="4" w:space="0" w:color="auto"/>
        <w:bottom w:val="single" w:sz="4" w:space="0" w:color="auto"/>
        <w:right w:val="single" w:sz="4" w:space="0" w:color="auto"/>
      </w:pBdr>
      <w:suppressAutoHyphens w:val="0"/>
      <w:autoSpaceDE/>
      <w:spacing w:before="100" w:beforeAutospacing="1" w:after="100" w:afterAutospacing="1"/>
      <w:textAlignment w:val="center"/>
    </w:pPr>
    <w:rPr>
      <w:i/>
      <w:iCs/>
      <w:sz w:val="24"/>
      <w:lang w:eastAsia="en-US"/>
    </w:rPr>
  </w:style>
  <w:style w:type="paragraph" w:customStyle="1" w:styleId="xl210">
    <w:name w:val="xl210"/>
    <w:basedOn w:val="Normal"/>
    <w:rsid w:val="00C26000"/>
    <w:pPr>
      <w:widowControl/>
      <w:pBdr>
        <w:top w:val="single" w:sz="4" w:space="0" w:color="auto"/>
        <w:left w:val="single" w:sz="4" w:space="0" w:color="auto"/>
        <w:bottom w:val="single" w:sz="4" w:space="0" w:color="auto"/>
      </w:pBdr>
      <w:shd w:val="clear" w:color="000000" w:fill="BFBFBF"/>
      <w:suppressAutoHyphens w:val="0"/>
      <w:autoSpaceDE/>
      <w:spacing w:before="100" w:beforeAutospacing="1" w:after="100" w:afterAutospacing="1"/>
      <w:jc w:val="center"/>
      <w:textAlignment w:val="center"/>
    </w:pPr>
    <w:rPr>
      <w:b/>
      <w:bCs/>
      <w:sz w:val="24"/>
      <w:lang w:eastAsia="en-US"/>
    </w:rPr>
  </w:style>
  <w:style w:type="paragraph" w:customStyle="1" w:styleId="xl211">
    <w:name w:val="xl211"/>
    <w:basedOn w:val="Normal"/>
    <w:rsid w:val="00C26000"/>
    <w:pPr>
      <w:widowControl/>
      <w:pBdr>
        <w:top w:val="single" w:sz="4" w:space="0" w:color="auto"/>
        <w:bottom w:val="single" w:sz="4" w:space="0" w:color="auto"/>
      </w:pBdr>
      <w:shd w:val="clear" w:color="000000" w:fill="BFBFBF"/>
      <w:suppressAutoHyphens w:val="0"/>
      <w:autoSpaceDE/>
      <w:spacing w:before="100" w:beforeAutospacing="1" w:after="100" w:afterAutospacing="1"/>
      <w:jc w:val="center"/>
      <w:textAlignment w:val="center"/>
    </w:pPr>
    <w:rPr>
      <w:b/>
      <w:bCs/>
      <w:sz w:val="24"/>
      <w:lang w:eastAsia="en-US"/>
    </w:rPr>
  </w:style>
  <w:style w:type="paragraph" w:customStyle="1" w:styleId="xl212">
    <w:name w:val="xl212"/>
    <w:basedOn w:val="Normal"/>
    <w:rsid w:val="00C26000"/>
    <w:pPr>
      <w:widowControl/>
      <w:pBdr>
        <w:top w:val="single" w:sz="4" w:space="0" w:color="auto"/>
        <w:bottom w:val="single" w:sz="4" w:space="0" w:color="auto"/>
        <w:right w:val="single" w:sz="4" w:space="0" w:color="auto"/>
      </w:pBdr>
      <w:shd w:val="clear" w:color="000000" w:fill="BFBFBF"/>
      <w:suppressAutoHyphens w:val="0"/>
      <w:autoSpaceDE/>
      <w:spacing w:before="100" w:beforeAutospacing="1" w:after="100" w:afterAutospacing="1"/>
      <w:jc w:val="center"/>
      <w:textAlignment w:val="center"/>
    </w:pPr>
    <w:rPr>
      <w:b/>
      <w:bCs/>
      <w:sz w:val="24"/>
      <w:lang w:eastAsia="en-US"/>
    </w:rPr>
  </w:style>
  <w:style w:type="paragraph" w:customStyle="1" w:styleId="xl213">
    <w:name w:val="xl213"/>
    <w:basedOn w:val="Normal"/>
    <w:rsid w:val="00C26000"/>
    <w:pPr>
      <w:widowControl/>
      <w:pBdr>
        <w:top w:val="single" w:sz="4" w:space="0" w:color="auto"/>
        <w:bottom w:val="single" w:sz="4" w:space="0" w:color="auto"/>
      </w:pBdr>
      <w:shd w:val="clear" w:color="000000" w:fill="BFBFBF"/>
      <w:suppressAutoHyphens w:val="0"/>
      <w:autoSpaceDE/>
      <w:spacing w:before="100" w:beforeAutospacing="1" w:after="100" w:afterAutospacing="1"/>
    </w:pPr>
    <w:rPr>
      <w:sz w:val="24"/>
      <w:lang w:eastAsia="en-US"/>
    </w:rPr>
  </w:style>
  <w:style w:type="paragraph" w:customStyle="1" w:styleId="xl214">
    <w:name w:val="xl214"/>
    <w:basedOn w:val="Normal"/>
    <w:rsid w:val="00C26000"/>
    <w:pPr>
      <w:widowControl/>
      <w:pBdr>
        <w:top w:val="single" w:sz="4" w:space="0" w:color="auto"/>
        <w:bottom w:val="single" w:sz="4" w:space="0" w:color="auto"/>
        <w:right w:val="single" w:sz="4" w:space="0" w:color="auto"/>
      </w:pBdr>
      <w:shd w:val="clear" w:color="000000" w:fill="BFBFBF"/>
      <w:suppressAutoHyphens w:val="0"/>
      <w:autoSpaceDE/>
      <w:spacing w:before="100" w:beforeAutospacing="1" w:after="100" w:afterAutospacing="1"/>
    </w:pPr>
    <w:rPr>
      <w:sz w:val="24"/>
      <w:lang w:eastAsia="en-US"/>
    </w:rPr>
  </w:style>
  <w:style w:type="paragraph" w:customStyle="1" w:styleId="xl215">
    <w:name w:val="xl215"/>
    <w:basedOn w:val="Normal"/>
    <w:rsid w:val="00C26000"/>
    <w:pPr>
      <w:widowControl/>
      <w:pBdr>
        <w:top w:val="single" w:sz="4" w:space="0" w:color="auto"/>
        <w:left w:val="single" w:sz="4" w:space="0" w:color="auto"/>
        <w:right w:val="single" w:sz="4" w:space="0" w:color="auto"/>
      </w:pBdr>
      <w:shd w:val="clear" w:color="000000" w:fill="BFBFBF"/>
      <w:suppressAutoHyphens w:val="0"/>
      <w:autoSpaceDE/>
      <w:spacing w:before="100" w:beforeAutospacing="1" w:after="100" w:afterAutospacing="1"/>
      <w:jc w:val="center"/>
      <w:textAlignment w:val="center"/>
    </w:pPr>
    <w:rPr>
      <w:sz w:val="24"/>
      <w:lang w:eastAsia="en-US"/>
    </w:rPr>
  </w:style>
  <w:style w:type="paragraph" w:customStyle="1" w:styleId="xl216">
    <w:name w:val="xl216"/>
    <w:basedOn w:val="Normal"/>
    <w:rsid w:val="00C26000"/>
    <w:pPr>
      <w:widowControl/>
      <w:pBdr>
        <w:left w:val="single" w:sz="4" w:space="0" w:color="auto"/>
        <w:bottom w:val="single" w:sz="4" w:space="0" w:color="auto"/>
        <w:right w:val="single" w:sz="4" w:space="0" w:color="auto"/>
      </w:pBdr>
      <w:shd w:val="clear" w:color="000000" w:fill="BFBFBF"/>
      <w:suppressAutoHyphens w:val="0"/>
      <w:autoSpaceDE/>
      <w:spacing w:before="100" w:beforeAutospacing="1" w:after="100" w:afterAutospacing="1"/>
    </w:pPr>
    <w:rPr>
      <w:sz w:val="24"/>
      <w:lang w:eastAsia="en-US"/>
    </w:rPr>
  </w:style>
  <w:style w:type="paragraph" w:customStyle="1" w:styleId="xl217">
    <w:name w:val="xl217"/>
    <w:basedOn w:val="Normal"/>
    <w:rsid w:val="00C26000"/>
    <w:pPr>
      <w:widowControl/>
      <w:pBdr>
        <w:left w:val="single" w:sz="4" w:space="9" w:color="auto"/>
        <w:bottom w:val="single" w:sz="4" w:space="0" w:color="auto"/>
      </w:pBdr>
      <w:suppressAutoHyphens w:val="0"/>
      <w:autoSpaceDE/>
      <w:spacing w:before="100" w:beforeAutospacing="1" w:after="100" w:afterAutospacing="1"/>
      <w:ind w:firstLineChars="100" w:firstLine="100"/>
      <w:textAlignment w:val="center"/>
    </w:pPr>
    <w:rPr>
      <w:b/>
      <w:bCs/>
      <w:i/>
      <w:iCs/>
      <w:color w:val="0070C0"/>
      <w:sz w:val="24"/>
      <w:lang w:eastAsia="en-US"/>
    </w:rPr>
  </w:style>
  <w:style w:type="paragraph" w:customStyle="1" w:styleId="xl218">
    <w:name w:val="xl218"/>
    <w:basedOn w:val="Normal"/>
    <w:rsid w:val="00C26000"/>
    <w:pPr>
      <w:widowControl/>
      <w:pBdr>
        <w:bottom w:val="single" w:sz="4" w:space="0" w:color="auto"/>
      </w:pBdr>
      <w:suppressAutoHyphens w:val="0"/>
      <w:autoSpaceDE/>
      <w:spacing w:before="100" w:beforeAutospacing="1" w:after="100" w:afterAutospacing="1"/>
      <w:ind w:firstLineChars="100" w:firstLine="100"/>
      <w:textAlignment w:val="center"/>
    </w:pPr>
    <w:rPr>
      <w:color w:val="0070C0"/>
      <w:sz w:val="24"/>
      <w:lang w:eastAsia="en-US"/>
    </w:rPr>
  </w:style>
  <w:style w:type="paragraph" w:customStyle="1" w:styleId="xl219">
    <w:name w:val="xl219"/>
    <w:basedOn w:val="Normal"/>
    <w:rsid w:val="00C26000"/>
    <w:pPr>
      <w:widowControl/>
      <w:pBdr>
        <w:top w:val="single" w:sz="4" w:space="0" w:color="auto"/>
        <w:bottom w:val="single" w:sz="4" w:space="0" w:color="auto"/>
      </w:pBdr>
      <w:suppressAutoHyphens w:val="0"/>
      <w:autoSpaceDE/>
      <w:spacing w:before="100" w:beforeAutospacing="1" w:after="100" w:afterAutospacing="1"/>
      <w:ind w:firstLineChars="100" w:firstLine="100"/>
      <w:textAlignment w:val="center"/>
    </w:pPr>
    <w:rPr>
      <w:color w:val="0070C0"/>
      <w:sz w:val="24"/>
      <w:lang w:eastAsia="en-US"/>
    </w:rPr>
  </w:style>
  <w:style w:type="paragraph" w:customStyle="1" w:styleId="xl220">
    <w:name w:val="xl220"/>
    <w:basedOn w:val="Normal"/>
    <w:rsid w:val="00C26000"/>
    <w:pPr>
      <w:widowControl/>
      <w:pBdr>
        <w:top w:val="single" w:sz="4" w:space="0" w:color="auto"/>
        <w:bottom w:val="single" w:sz="4" w:space="0" w:color="auto"/>
        <w:right w:val="single" w:sz="4" w:space="0" w:color="auto"/>
      </w:pBdr>
      <w:suppressAutoHyphens w:val="0"/>
      <w:autoSpaceDE/>
      <w:spacing w:before="100" w:beforeAutospacing="1" w:after="100" w:afterAutospacing="1"/>
      <w:ind w:firstLineChars="100" w:firstLine="100"/>
      <w:textAlignment w:val="center"/>
    </w:pPr>
    <w:rPr>
      <w:color w:val="0070C0"/>
      <w:sz w:val="24"/>
      <w:lang w:eastAsia="en-US"/>
    </w:rPr>
  </w:style>
  <w:style w:type="paragraph" w:customStyle="1" w:styleId="xl221">
    <w:name w:val="xl221"/>
    <w:basedOn w:val="Normal"/>
    <w:rsid w:val="00C26000"/>
    <w:pPr>
      <w:widowControl/>
      <w:pBdr>
        <w:top w:val="single" w:sz="4" w:space="0" w:color="auto"/>
        <w:left w:val="single" w:sz="4" w:space="9" w:color="auto"/>
        <w:bottom w:val="single" w:sz="4" w:space="0" w:color="auto"/>
      </w:pBdr>
      <w:shd w:val="clear" w:color="000000" w:fill="FFC000"/>
      <w:suppressAutoHyphens w:val="0"/>
      <w:autoSpaceDE/>
      <w:spacing w:before="100" w:beforeAutospacing="1" w:after="100" w:afterAutospacing="1"/>
      <w:ind w:firstLineChars="100" w:firstLine="100"/>
      <w:textAlignment w:val="center"/>
    </w:pPr>
    <w:rPr>
      <w:b/>
      <w:bCs/>
      <w:color w:val="0070C0"/>
      <w:sz w:val="24"/>
      <w:lang w:eastAsia="en-US"/>
    </w:rPr>
  </w:style>
  <w:style w:type="paragraph" w:customStyle="1" w:styleId="xl222">
    <w:name w:val="xl222"/>
    <w:basedOn w:val="Normal"/>
    <w:rsid w:val="00C26000"/>
    <w:pPr>
      <w:widowControl/>
      <w:pBdr>
        <w:top w:val="single" w:sz="4" w:space="0" w:color="auto"/>
        <w:bottom w:val="single" w:sz="4" w:space="0" w:color="auto"/>
      </w:pBdr>
      <w:shd w:val="clear" w:color="000000" w:fill="FFC000"/>
      <w:suppressAutoHyphens w:val="0"/>
      <w:autoSpaceDE/>
      <w:spacing w:before="100" w:beforeAutospacing="1" w:after="100" w:afterAutospacing="1"/>
      <w:ind w:firstLineChars="100" w:firstLine="100"/>
      <w:textAlignment w:val="center"/>
    </w:pPr>
    <w:rPr>
      <w:color w:val="0070C0"/>
      <w:sz w:val="24"/>
      <w:lang w:eastAsia="en-US"/>
    </w:rPr>
  </w:style>
  <w:style w:type="paragraph" w:customStyle="1" w:styleId="xl223">
    <w:name w:val="xl223"/>
    <w:basedOn w:val="Normal"/>
    <w:rsid w:val="00C26000"/>
    <w:pPr>
      <w:widowControl/>
      <w:pBdr>
        <w:top w:val="single" w:sz="4" w:space="0" w:color="auto"/>
        <w:bottom w:val="single" w:sz="4" w:space="0" w:color="auto"/>
        <w:right w:val="single" w:sz="4" w:space="0" w:color="auto"/>
      </w:pBdr>
      <w:shd w:val="clear" w:color="000000" w:fill="FFC000"/>
      <w:suppressAutoHyphens w:val="0"/>
      <w:autoSpaceDE/>
      <w:spacing w:before="100" w:beforeAutospacing="1" w:after="100" w:afterAutospacing="1"/>
      <w:ind w:firstLineChars="100" w:firstLine="100"/>
      <w:textAlignment w:val="center"/>
    </w:pPr>
    <w:rPr>
      <w:color w:val="0070C0"/>
      <w:sz w:val="24"/>
      <w:lang w:eastAsia="en-US"/>
    </w:rPr>
  </w:style>
  <w:style w:type="paragraph" w:customStyle="1" w:styleId="xl224">
    <w:name w:val="xl224"/>
    <w:basedOn w:val="Normal"/>
    <w:rsid w:val="00C26000"/>
    <w:pPr>
      <w:widowControl/>
      <w:pBdr>
        <w:left w:val="single" w:sz="4" w:space="0" w:color="auto"/>
        <w:bottom w:val="single" w:sz="4" w:space="0" w:color="auto"/>
      </w:pBdr>
      <w:shd w:val="clear" w:color="000000" w:fill="DA9694"/>
      <w:suppressAutoHyphens w:val="0"/>
      <w:autoSpaceDE/>
      <w:spacing w:before="100" w:beforeAutospacing="1" w:after="100" w:afterAutospacing="1"/>
      <w:textAlignment w:val="center"/>
    </w:pPr>
    <w:rPr>
      <w:b/>
      <w:bCs/>
      <w:sz w:val="24"/>
      <w:lang w:eastAsia="en-US"/>
    </w:rPr>
  </w:style>
  <w:style w:type="paragraph" w:customStyle="1" w:styleId="xl225">
    <w:name w:val="xl225"/>
    <w:basedOn w:val="Normal"/>
    <w:rsid w:val="00C26000"/>
    <w:pPr>
      <w:widowControl/>
      <w:pBdr>
        <w:bottom w:val="single" w:sz="4" w:space="0" w:color="auto"/>
      </w:pBdr>
      <w:shd w:val="clear" w:color="000000" w:fill="DA9694"/>
      <w:suppressAutoHyphens w:val="0"/>
      <w:autoSpaceDE/>
      <w:spacing w:before="100" w:beforeAutospacing="1" w:after="100" w:afterAutospacing="1"/>
      <w:textAlignment w:val="center"/>
    </w:pPr>
    <w:rPr>
      <w:sz w:val="24"/>
      <w:lang w:eastAsia="en-US"/>
    </w:rPr>
  </w:style>
  <w:style w:type="paragraph" w:customStyle="1" w:styleId="xl226">
    <w:name w:val="xl226"/>
    <w:basedOn w:val="Normal"/>
    <w:rsid w:val="00C26000"/>
    <w:pPr>
      <w:widowControl/>
      <w:pBdr>
        <w:bottom w:val="single" w:sz="4" w:space="0" w:color="auto"/>
      </w:pBdr>
      <w:shd w:val="clear" w:color="000000" w:fill="D9D9D9"/>
      <w:suppressAutoHyphens w:val="0"/>
      <w:autoSpaceDE/>
      <w:spacing w:before="100" w:beforeAutospacing="1" w:after="100" w:afterAutospacing="1"/>
      <w:ind w:firstLineChars="100" w:firstLine="100"/>
      <w:textAlignment w:val="center"/>
    </w:pPr>
    <w:rPr>
      <w:sz w:val="24"/>
      <w:lang w:eastAsia="en-US"/>
    </w:rPr>
  </w:style>
  <w:style w:type="paragraph" w:customStyle="1" w:styleId="xl227">
    <w:name w:val="xl227"/>
    <w:basedOn w:val="Normal"/>
    <w:rsid w:val="00C26000"/>
    <w:pPr>
      <w:widowControl/>
      <w:pBdr>
        <w:top w:val="single" w:sz="4" w:space="0" w:color="auto"/>
        <w:left w:val="single" w:sz="4" w:space="9" w:color="auto"/>
        <w:bottom w:val="single" w:sz="4" w:space="0" w:color="auto"/>
      </w:pBdr>
      <w:shd w:val="clear" w:color="000000" w:fill="92D050"/>
      <w:suppressAutoHyphens w:val="0"/>
      <w:autoSpaceDE/>
      <w:spacing w:before="100" w:beforeAutospacing="1" w:after="100" w:afterAutospacing="1"/>
      <w:ind w:firstLineChars="100" w:firstLine="100"/>
      <w:textAlignment w:val="center"/>
    </w:pPr>
    <w:rPr>
      <w:b/>
      <w:bCs/>
      <w:i/>
      <w:iCs/>
      <w:sz w:val="24"/>
      <w:lang w:eastAsia="en-US"/>
    </w:rPr>
  </w:style>
  <w:style w:type="paragraph" w:customStyle="1" w:styleId="xl228">
    <w:name w:val="xl228"/>
    <w:basedOn w:val="Normal"/>
    <w:rsid w:val="00C26000"/>
    <w:pPr>
      <w:widowControl/>
      <w:pBdr>
        <w:top w:val="single" w:sz="4" w:space="0" w:color="auto"/>
        <w:bottom w:val="single" w:sz="4" w:space="0" w:color="auto"/>
      </w:pBdr>
      <w:shd w:val="clear" w:color="000000" w:fill="92D050"/>
      <w:suppressAutoHyphens w:val="0"/>
      <w:autoSpaceDE/>
      <w:spacing w:before="100" w:beforeAutospacing="1" w:after="100" w:afterAutospacing="1"/>
      <w:ind w:firstLineChars="100" w:firstLine="100"/>
      <w:textAlignment w:val="center"/>
    </w:pPr>
    <w:rPr>
      <w:sz w:val="24"/>
      <w:lang w:eastAsia="en-US"/>
    </w:rPr>
  </w:style>
  <w:style w:type="paragraph" w:customStyle="1" w:styleId="xl229">
    <w:name w:val="xl229"/>
    <w:basedOn w:val="Normal"/>
    <w:rsid w:val="00C26000"/>
    <w:pPr>
      <w:widowControl/>
      <w:pBdr>
        <w:top w:val="single" w:sz="4" w:space="0" w:color="auto"/>
        <w:bottom w:val="single" w:sz="4" w:space="0" w:color="auto"/>
        <w:right w:val="single" w:sz="4" w:space="0" w:color="auto"/>
      </w:pBdr>
      <w:shd w:val="clear" w:color="000000" w:fill="92D050"/>
      <w:suppressAutoHyphens w:val="0"/>
      <w:autoSpaceDE/>
      <w:spacing w:before="100" w:beforeAutospacing="1" w:after="100" w:afterAutospacing="1"/>
      <w:ind w:firstLineChars="100" w:firstLine="100"/>
      <w:textAlignment w:val="center"/>
    </w:pPr>
    <w:rPr>
      <w:sz w:val="24"/>
      <w:lang w:eastAsia="en-US"/>
    </w:rPr>
  </w:style>
  <w:style w:type="paragraph" w:customStyle="1" w:styleId="xl230">
    <w:name w:val="xl230"/>
    <w:basedOn w:val="Normal"/>
    <w:rsid w:val="00C26000"/>
    <w:pPr>
      <w:widowControl/>
      <w:pBdr>
        <w:left w:val="single" w:sz="4" w:space="9" w:color="auto"/>
        <w:bottom w:val="single" w:sz="4" w:space="0" w:color="auto"/>
      </w:pBdr>
      <w:shd w:val="clear" w:color="000000" w:fill="92D050"/>
      <w:suppressAutoHyphens w:val="0"/>
      <w:autoSpaceDE/>
      <w:spacing w:before="100" w:beforeAutospacing="1" w:after="100" w:afterAutospacing="1"/>
      <w:ind w:firstLineChars="100" w:firstLine="100"/>
      <w:textAlignment w:val="center"/>
    </w:pPr>
    <w:rPr>
      <w:b/>
      <w:bCs/>
      <w:i/>
      <w:iCs/>
      <w:sz w:val="24"/>
      <w:lang w:eastAsia="en-US"/>
    </w:rPr>
  </w:style>
  <w:style w:type="paragraph" w:customStyle="1" w:styleId="xl231">
    <w:name w:val="xl231"/>
    <w:basedOn w:val="Normal"/>
    <w:rsid w:val="00C26000"/>
    <w:pPr>
      <w:widowControl/>
      <w:pBdr>
        <w:bottom w:val="single" w:sz="4" w:space="0" w:color="auto"/>
      </w:pBdr>
      <w:shd w:val="clear" w:color="000000" w:fill="92D050"/>
      <w:suppressAutoHyphens w:val="0"/>
      <w:autoSpaceDE/>
      <w:spacing w:before="100" w:beforeAutospacing="1" w:after="100" w:afterAutospacing="1"/>
      <w:ind w:firstLineChars="100" w:firstLine="100"/>
      <w:textAlignment w:val="center"/>
    </w:pPr>
    <w:rPr>
      <w:sz w:val="24"/>
      <w:lang w:eastAsia="en-US"/>
    </w:rPr>
  </w:style>
  <w:style w:type="paragraph" w:customStyle="1" w:styleId="xl232">
    <w:name w:val="xl232"/>
    <w:basedOn w:val="Normal"/>
    <w:rsid w:val="00C26000"/>
    <w:pPr>
      <w:widowControl/>
      <w:pBdr>
        <w:top w:val="single" w:sz="4" w:space="0" w:color="auto"/>
        <w:left w:val="single" w:sz="4" w:space="9" w:color="auto"/>
        <w:bottom w:val="single" w:sz="4" w:space="0" w:color="auto"/>
      </w:pBdr>
      <w:suppressAutoHyphens w:val="0"/>
      <w:autoSpaceDE/>
      <w:spacing w:before="100" w:beforeAutospacing="1" w:after="100" w:afterAutospacing="1"/>
      <w:ind w:firstLineChars="100" w:firstLine="100"/>
      <w:textAlignment w:val="center"/>
    </w:pPr>
    <w:rPr>
      <w:b/>
      <w:bCs/>
      <w:sz w:val="24"/>
      <w:lang w:eastAsia="en-US"/>
    </w:rPr>
  </w:style>
  <w:style w:type="paragraph" w:customStyle="1" w:styleId="xl233">
    <w:name w:val="xl233"/>
    <w:basedOn w:val="Normal"/>
    <w:rsid w:val="00C26000"/>
    <w:pPr>
      <w:widowControl/>
      <w:pBdr>
        <w:top w:val="single" w:sz="4" w:space="0" w:color="auto"/>
        <w:bottom w:val="single" w:sz="4" w:space="0" w:color="auto"/>
      </w:pBdr>
      <w:suppressAutoHyphens w:val="0"/>
      <w:autoSpaceDE/>
      <w:spacing w:before="100" w:beforeAutospacing="1" w:after="100" w:afterAutospacing="1"/>
      <w:ind w:firstLineChars="100" w:firstLine="100"/>
      <w:textAlignment w:val="center"/>
    </w:pPr>
    <w:rPr>
      <w:sz w:val="24"/>
      <w:lang w:eastAsia="en-US"/>
    </w:rPr>
  </w:style>
  <w:style w:type="paragraph" w:customStyle="1" w:styleId="xl234">
    <w:name w:val="xl234"/>
    <w:basedOn w:val="Normal"/>
    <w:rsid w:val="00C26000"/>
    <w:pPr>
      <w:widowControl/>
      <w:pBdr>
        <w:top w:val="single" w:sz="4" w:space="0" w:color="auto"/>
        <w:bottom w:val="single" w:sz="4" w:space="0" w:color="auto"/>
        <w:right w:val="single" w:sz="4" w:space="0" w:color="auto"/>
      </w:pBdr>
      <w:suppressAutoHyphens w:val="0"/>
      <w:autoSpaceDE/>
      <w:spacing w:before="100" w:beforeAutospacing="1" w:after="100" w:afterAutospacing="1"/>
      <w:ind w:firstLineChars="100" w:firstLine="100"/>
      <w:textAlignment w:val="center"/>
    </w:pPr>
    <w:rPr>
      <w:sz w:val="24"/>
      <w:lang w:eastAsia="en-US"/>
    </w:rPr>
  </w:style>
  <w:style w:type="paragraph" w:customStyle="1" w:styleId="xl235">
    <w:name w:val="xl235"/>
    <w:basedOn w:val="Normal"/>
    <w:rsid w:val="00C26000"/>
    <w:pPr>
      <w:widowControl/>
      <w:pBdr>
        <w:left w:val="single" w:sz="4" w:space="18" w:color="auto"/>
        <w:bottom w:val="single" w:sz="4" w:space="0" w:color="auto"/>
      </w:pBdr>
      <w:suppressAutoHyphens w:val="0"/>
      <w:autoSpaceDE/>
      <w:spacing w:before="100" w:beforeAutospacing="1" w:after="100" w:afterAutospacing="1"/>
      <w:ind w:firstLineChars="200" w:firstLine="200"/>
      <w:textAlignment w:val="center"/>
    </w:pPr>
    <w:rPr>
      <w:b/>
      <w:bCs/>
      <w:i/>
      <w:iCs/>
      <w:sz w:val="24"/>
      <w:lang w:eastAsia="en-US"/>
    </w:rPr>
  </w:style>
  <w:style w:type="paragraph" w:customStyle="1" w:styleId="xl236">
    <w:name w:val="xl236"/>
    <w:basedOn w:val="Normal"/>
    <w:rsid w:val="00C26000"/>
    <w:pPr>
      <w:widowControl/>
      <w:pBdr>
        <w:bottom w:val="single" w:sz="4" w:space="0" w:color="auto"/>
      </w:pBdr>
      <w:suppressAutoHyphens w:val="0"/>
      <w:autoSpaceDE/>
      <w:spacing w:before="100" w:beforeAutospacing="1" w:after="100" w:afterAutospacing="1"/>
      <w:ind w:firstLineChars="200" w:firstLine="200"/>
      <w:textAlignment w:val="center"/>
    </w:pPr>
    <w:rPr>
      <w:sz w:val="24"/>
      <w:lang w:eastAsia="en-US"/>
    </w:rPr>
  </w:style>
  <w:style w:type="paragraph" w:customStyle="1" w:styleId="xl237">
    <w:name w:val="xl237"/>
    <w:basedOn w:val="Normal"/>
    <w:rsid w:val="00C26000"/>
    <w:pPr>
      <w:widowControl/>
      <w:pBdr>
        <w:bottom w:val="single" w:sz="4" w:space="0" w:color="auto"/>
        <w:right w:val="single" w:sz="4" w:space="0" w:color="auto"/>
      </w:pBdr>
      <w:suppressAutoHyphens w:val="0"/>
      <w:autoSpaceDE/>
      <w:spacing w:before="100" w:beforeAutospacing="1" w:after="100" w:afterAutospacing="1"/>
      <w:ind w:firstLineChars="200" w:firstLine="200"/>
      <w:textAlignment w:val="center"/>
    </w:pPr>
    <w:rPr>
      <w:sz w:val="24"/>
      <w:lang w:eastAsia="en-US"/>
    </w:rPr>
  </w:style>
  <w:style w:type="paragraph" w:customStyle="1" w:styleId="xl238">
    <w:name w:val="xl238"/>
    <w:basedOn w:val="Normal"/>
    <w:rsid w:val="00C26000"/>
    <w:pPr>
      <w:widowControl/>
      <w:pBdr>
        <w:top w:val="single" w:sz="4" w:space="0" w:color="auto"/>
        <w:left w:val="single" w:sz="4" w:space="9" w:color="auto"/>
        <w:bottom w:val="single" w:sz="4" w:space="0" w:color="auto"/>
      </w:pBdr>
      <w:shd w:val="clear" w:color="000000" w:fill="C4D79B"/>
      <w:suppressAutoHyphens w:val="0"/>
      <w:autoSpaceDE/>
      <w:spacing w:before="100" w:beforeAutospacing="1" w:after="100" w:afterAutospacing="1"/>
      <w:ind w:firstLineChars="100" w:firstLine="100"/>
      <w:textAlignment w:val="center"/>
    </w:pPr>
    <w:rPr>
      <w:b/>
      <w:bCs/>
      <w:sz w:val="24"/>
      <w:lang w:eastAsia="en-US"/>
    </w:rPr>
  </w:style>
  <w:style w:type="paragraph" w:customStyle="1" w:styleId="xl239">
    <w:name w:val="xl239"/>
    <w:basedOn w:val="Normal"/>
    <w:rsid w:val="00C26000"/>
    <w:pPr>
      <w:widowControl/>
      <w:pBdr>
        <w:top w:val="single" w:sz="4" w:space="0" w:color="auto"/>
        <w:bottom w:val="single" w:sz="4" w:space="0" w:color="auto"/>
      </w:pBdr>
      <w:shd w:val="clear" w:color="000000" w:fill="C4D79B"/>
      <w:suppressAutoHyphens w:val="0"/>
      <w:autoSpaceDE/>
      <w:spacing w:before="100" w:beforeAutospacing="1" w:after="100" w:afterAutospacing="1"/>
      <w:ind w:firstLineChars="100" w:firstLine="100"/>
      <w:textAlignment w:val="center"/>
    </w:pPr>
    <w:rPr>
      <w:sz w:val="24"/>
      <w:lang w:eastAsia="en-US"/>
    </w:rPr>
  </w:style>
  <w:style w:type="paragraph" w:customStyle="1" w:styleId="xl240">
    <w:name w:val="xl240"/>
    <w:basedOn w:val="Normal"/>
    <w:rsid w:val="00C26000"/>
    <w:pPr>
      <w:widowControl/>
      <w:pBdr>
        <w:top w:val="single" w:sz="4" w:space="0" w:color="auto"/>
        <w:bottom w:val="single" w:sz="4" w:space="0" w:color="auto"/>
        <w:right w:val="single" w:sz="4" w:space="0" w:color="auto"/>
      </w:pBdr>
      <w:shd w:val="clear" w:color="000000" w:fill="C4D79B"/>
      <w:suppressAutoHyphens w:val="0"/>
      <w:autoSpaceDE/>
      <w:spacing w:before="100" w:beforeAutospacing="1" w:after="100" w:afterAutospacing="1"/>
      <w:ind w:firstLineChars="100" w:firstLine="100"/>
      <w:textAlignment w:val="center"/>
    </w:pPr>
    <w:rPr>
      <w:sz w:val="24"/>
      <w:lang w:eastAsia="en-US"/>
    </w:rPr>
  </w:style>
  <w:style w:type="paragraph" w:customStyle="1" w:styleId="xl241">
    <w:name w:val="xl241"/>
    <w:basedOn w:val="Normal"/>
    <w:rsid w:val="00C26000"/>
    <w:pPr>
      <w:widowControl/>
      <w:pBdr>
        <w:top w:val="single" w:sz="4" w:space="0" w:color="auto"/>
        <w:left w:val="single" w:sz="4" w:space="9" w:color="auto"/>
        <w:bottom w:val="single" w:sz="4" w:space="0" w:color="auto"/>
      </w:pBdr>
      <w:shd w:val="clear" w:color="000000" w:fill="92D050"/>
      <w:suppressAutoHyphens w:val="0"/>
      <w:autoSpaceDE/>
      <w:spacing w:before="100" w:beforeAutospacing="1" w:after="100" w:afterAutospacing="1"/>
      <w:ind w:firstLineChars="100" w:firstLine="100"/>
      <w:textAlignment w:val="center"/>
    </w:pPr>
    <w:rPr>
      <w:b/>
      <w:bCs/>
      <w:sz w:val="24"/>
      <w:lang w:eastAsia="en-US"/>
    </w:rPr>
  </w:style>
  <w:style w:type="paragraph" w:customStyle="1" w:styleId="xl242">
    <w:name w:val="xl242"/>
    <w:basedOn w:val="Normal"/>
    <w:rsid w:val="00C26000"/>
    <w:pPr>
      <w:widowControl/>
      <w:pBdr>
        <w:top w:val="single" w:sz="4" w:space="0" w:color="auto"/>
        <w:left w:val="single" w:sz="4" w:space="0" w:color="auto"/>
        <w:bottom w:val="single" w:sz="4" w:space="0" w:color="auto"/>
      </w:pBdr>
      <w:shd w:val="clear" w:color="000000" w:fill="C4D79B"/>
      <w:suppressAutoHyphens w:val="0"/>
      <w:autoSpaceDE/>
      <w:spacing w:before="100" w:beforeAutospacing="1" w:after="100" w:afterAutospacing="1"/>
      <w:textAlignment w:val="center"/>
    </w:pPr>
    <w:rPr>
      <w:b/>
      <w:bCs/>
      <w:sz w:val="24"/>
      <w:lang w:eastAsia="en-US"/>
    </w:rPr>
  </w:style>
  <w:style w:type="paragraph" w:customStyle="1" w:styleId="xl243">
    <w:name w:val="xl243"/>
    <w:basedOn w:val="Normal"/>
    <w:rsid w:val="00C26000"/>
    <w:pPr>
      <w:widowControl/>
      <w:pBdr>
        <w:top w:val="single" w:sz="4" w:space="0" w:color="auto"/>
        <w:bottom w:val="single" w:sz="4" w:space="0" w:color="auto"/>
      </w:pBdr>
      <w:shd w:val="clear" w:color="000000" w:fill="C4D79B"/>
      <w:suppressAutoHyphens w:val="0"/>
      <w:autoSpaceDE/>
      <w:spacing w:before="100" w:beforeAutospacing="1" w:after="100" w:afterAutospacing="1"/>
      <w:textAlignment w:val="center"/>
    </w:pPr>
    <w:rPr>
      <w:sz w:val="24"/>
      <w:lang w:eastAsia="en-US"/>
    </w:rPr>
  </w:style>
  <w:style w:type="paragraph" w:customStyle="1" w:styleId="xl244">
    <w:name w:val="xl244"/>
    <w:basedOn w:val="Normal"/>
    <w:rsid w:val="00C26000"/>
    <w:pPr>
      <w:widowControl/>
      <w:pBdr>
        <w:top w:val="single" w:sz="4" w:space="0" w:color="auto"/>
        <w:bottom w:val="single" w:sz="4" w:space="0" w:color="auto"/>
        <w:right w:val="single" w:sz="4" w:space="0" w:color="auto"/>
      </w:pBdr>
      <w:shd w:val="clear" w:color="000000" w:fill="C4D79B"/>
      <w:suppressAutoHyphens w:val="0"/>
      <w:autoSpaceDE/>
      <w:spacing w:before="100" w:beforeAutospacing="1" w:after="100" w:afterAutospacing="1"/>
      <w:textAlignment w:val="center"/>
    </w:pPr>
    <w:rPr>
      <w:sz w:val="24"/>
      <w:lang w:eastAsia="en-US"/>
    </w:rPr>
  </w:style>
  <w:style w:type="paragraph" w:customStyle="1" w:styleId="msonormal0">
    <w:name w:val="msonormal"/>
    <w:basedOn w:val="Normal"/>
    <w:rsid w:val="00E41418"/>
    <w:pPr>
      <w:widowControl/>
      <w:suppressAutoHyphens w:val="0"/>
      <w:autoSpaceDE/>
      <w:spacing w:before="100" w:beforeAutospacing="1" w:after="100" w:afterAutospacing="1"/>
    </w:pPr>
    <w:rPr>
      <w:sz w:val="24"/>
      <w:lang w:eastAsia="en-US"/>
    </w:rPr>
  </w:style>
  <w:style w:type="character" w:styleId="UnresolvedMention">
    <w:name w:val="Unresolved Mention"/>
    <w:uiPriority w:val="99"/>
    <w:semiHidden/>
    <w:unhideWhenUsed/>
    <w:rsid w:val="00B249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47815">
      <w:bodyDiv w:val="1"/>
      <w:marLeft w:val="0"/>
      <w:marRight w:val="0"/>
      <w:marTop w:val="0"/>
      <w:marBottom w:val="0"/>
      <w:divBdr>
        <w:top w:val="none" w:sz="0" w:space="0" w:color="auto"/>
        <w:left w:val="none" w:sz="0" w:space="0" w:color="auto"/>
        <w:bottom w:val="none" w:sz="0" w:space="0" w:color="auto"/>
        <w:right w:val="none" w:sz="0" w:space="0" w:color="auto"/>
      </w:divBdr>
    </w:div>
    <w:div w:id="248196760">
      <w:bodyDiv w:val="1"/>
      <w:marLeft w:val="0"/>
      <w:marRight w:val="0"/>
      <w:marTop w:val="0"/>
      <w:marBottom w:val="0"/>
      <w:divBdr>
        <w:top w:val="none" w:sz="0" w:space="0" w:color="auto"/>
        <w:left w:val="none" w:sz="0" w:space="0" w:color="auto"/>
        <w:bottom w:val="none" w:sz="0" w:space="0" w:color="auto"/>
        <w:right w:val="none" w:sz="0" w:space="0" w:color="auto"/>
      </w:divBdr>
    </w:div>
    <w:div w:id="280654451">
      <w:bodyDiv w:val="1"/>
      <w:marLeft w:val="0"/>
      <w:marRight w:val="0"/>
      <w:marTop w:val="0"/>
      <w:marBottom w:val="0"/>
      <w:divBdr>
        <w:top w:val="none" w:sz="0" w:space="0" w:color="auto"/>
        <w:left w:val="none" w:sz="0" w:space="0" w:color="auto"/>
        <w:bottom w:val="none" w:sz="0" w:space="0" w:color="auto"/>
        <w:right w:val="none" w:sz="0" w:space="0" w:color="auto"/>
      </w:divBdr>
    </w:div>
    <w:div w:id="538588253">
      <w:bodyDiv w:val="1"/>
      <w:marLeft w:val="0"/>
      <w:marRight w:val="0"/>
      <w:marTop w:val="0"/>
      <w:marBottom w:val="0"/>
      <w:divBdr>
        <w:top w:val="none" w:sz="0" w:space="0" w:color="auto"/>
        <w:left w:val="none" w:sz="0" w:space="0" w:color="auto"/>
        <w:bottom w:val="none" w:sz="0" w:space="0" w:color="auto"/>
        <w:right w:val="none" w:sz="0" w:space="0" w:color="auto"/>
      </w:divBdr>
    </w:div>
    <w:div w:id="545072060">
      <w:bodyDiv w:val="1"/>
      <w:marLeft w:val="0"/>
      <w:marRight w:val="0"/>
      <w:marTop w:val="0"/>
      <w:marBottom w:val="0"/>
      <w:divBdr>
        <w:top w:val="none" w:sz="0" w:space="0" w:color="auto"/>
        <w:left w:val="none" w:sz="0" w:space="0" w:color="auto"/>
        <w:bottom w:val="none" w:sz="0" w:space="0" w:color="auto"/>
        <w:right w:val="none" w:sz="0" w:space="0" w:color="auto"/>
      </w:divBdr>
    </w:div>
    <w:div w:id="730809681">
      <w:bodyDiv w:val="1"/>
      <w:marLeft w:val="0"/>
      <w:marRight w:val="0"/>
      <w:marTop w:val="0"/>
      <w:marBottom w:val="0"/>
      <w:divBdr>
        <w:top w:val="none" w:sz="0" w:space="0" w:color="auto"/>
        <w:left w:val="none" w:sz="0" w:space="0" w:color="auto"/>
        <w:bottom w:val="none" w:sz="0" w:space="0" w:color="auto"/>
        <w:right w:val="none" w:sz="0" w:space="0" w:color="auto"/>
      </w:divBdr>
    </w:div>
    <w:div w:id="735130898">
      <w:bodyDiv w:val="1"/>
      <w:marLeft w:val="0"/>
      <w:marRight w:val="0"/>
      <w:marTop w:val="0"/>
      <w:marBottom w:val="0"/>
      <w:divBdr>
        <w:top w:val="none" w:sz="0" w:space="0" w:color="auto"/>
        <w:left w:val="none" w:sz="0" w:space="0" w:color="auto"/>
        <w:bottom w:val="none" w:sz="0" w:space="0" w:color="auto"/>
        <w:right w:val="none" w:sz="0" w:space="0" w:color="auto"/>
      </w:divBdr>
    </w:div>
    <w:div w:id="745881591">
      <w:bodyDiv w:val="1"/>
      <w:marLeft w:val="0"/>
      <w:marRight w:val="0"/>
      <w:marTop w:val="0"/>
      <w:marBottom w:val="0"/>
      <w:divBdr>
        <w:top w:val="none" w:sz="0" w:space="0" w:color="auto"/>
        <w:left w:val="none" w:sz="0" w:space="0" w:color="auto"/>
        <w:bottom w:val="none" w:sz="0" w:space="0" w:color="auto"/>
        <w:right w:val="none" w:sz="0" w:space="0" w:color="auto"/>
      </w:divBdr>
    </w:div>
    <w:div w:id="879241263">
      <w:bodyDiv w:val="1"/>
      <w:marLeft w:val="0"/>
      <w:marRight w:val="0"/>
      <w:marTop w:val="0"/>
      <w:marBottom w:val="0"/>
      <w:divBdr>
        <w:top w:val="none" w:sz="0" w:space="0" w:color="auto"/>
        <w:left w:val="none" w:sz="0" w:space="0" w:color="auto"/>
        <w:bottom w:val="none" w:sz="0" w:space="0" w:color="auto"/>
        <w:right w:val="none" w:sz="0" w:space="0" w:color="auto"/>
      </w:divBdr>
    </w:div>
    <w:div w:id="947469156">
      <w:bodyDiv w:val="1"/>
      <w:marLeft w:val="0"/>
      <w:marRight w:val="0"/>
      <w:marTop w:val="0"/>
      <w:marBottom w:val="0"/>
      <w:divBdr>
        <w:top w:val="none" w:sz="0" w:space="0" w:color="auto"/>
        <w:left w:val="none" w:sz="0" w:space="0" w:color="auto"/>
        <w:bottom w:val="none" w:sz="0" w:space="0" w:color="auto"/>
        <w:right w:val="none" w:sz="0" w:space="0" w:color="auto"/>
      </w:divBdr>
    </w:div>
    <w:div w:id="956251255">
      <w:bodyDiv w:val="1"/>
      <w:marLeft w:val="0"/>
      <w:marRight w:val="0"/>
      <w:marTop w:val="0"/>
      <w:marBottom w:val="0"/>
      <w:divBdr>
        <w:top w:val="none" w:sz="0" w:space="0" w:color="auto"/>
        <w:left w:val="none" w:sz="0" w:space="0" w:color="auto"/>
        <w:bottom w:val="none" w:sz="0" w:space="0" w:color="auto"/>
        <w:right w:val="none" w:sz="0" w:space="0" w:color="auto"/>
      </w:divBdr>
    </w:div>
    <w:div w:id="994408008">
      <w:bodyDiv w:val="1"/>
      <w:marLeft w:val="0"/>
      <w:marRight w:val="0"/>
      <w:marTop w:val="0"/>
      <w:marBottom w:val="0"/>
      <w:divBdr>
        <w:top w:val="none" w:sz="0" w:space="0" w:color="auto"/>
        <w:left w:val="none" w:sz="0" w:space="0" w:color="auto"/>
        <w:bottom w:val="none" w:sz="0" w:space="0" w:color="auto"/>
        <w:right w:val="none" w:sz="0" w:space="0" w:color="auto"/>
      </w:divBdr>
    </w:div>
    <w:div w:id="1042899820">
      <w:bodyDiv w:val="1"/>
      <w:marLeft w:val="0"/>
      <w:marRight w:val="0"/>
      <w:marTop w:val="0"/>
      <w:marBottom w:val="0"/>
      <w:divBdr>
        <w:top w:val="none" w:sz="0" w:space="0" w:color="auto"/>
        <w:left w:val="none" w:sz="0" w:space="0" w:color="auto"/>
        <w:bottom w:val="none" w:sz="0" w:space="0" w:color="auto"/>
        <w:right w:val="none" w:sz="0" w:space="0" w:color="auto"/>
      </w:divBdr>
    </w:div>
    <w:div w:id="1043670924">
      <w:bodyDiv w:val="1"/>
      <w:marLeft w:val="0"/>
      <w:marRight w:val="0"/>
      <w:marTop w:val="0"/>
      <w:marBottom w:val="0"/>
      <w:divBdr>
        <w:top w:val="none" w:sz="0" w:space="0" w:color="auto"/>
        <w:left w:val="none" w:sz="0" w:space="0" w:color="auto"/>
        <w:bottom w:val="none" w:sz="0" w:space="0" w:color="auto"/>
        <w:right w:val="none" w:sz="0" w:space="0" w:color="auto"/>
      </w:divBdr>
    </w:div>
    <w:div w:id="1119447467">
      <w:bodyDiv w:val="1"/>
      <w:marLeft w:val="0"/>
      <w:marRight w:val="0"/>
      <w:marTop w:val="0"/>
      <w:marBottom w:val="0"/>
      <w:divBdr>
        <w:top w:val="none" w:sz="0" w:space="0" w:color="auto"/>
        <w:left w:val="none" w:sz="0" w:space="0" w:color="auto"/>
        <w:bottom w:val="none" w:sz="0" w:space="0" w:color="auto"/>
        <w:right w:val="none" w:sz="0" w:space="0" w:color="auto"/>
      </w:divBdr>
    </w:div>
    <w:div w:id="1138885691">
      <w:bodyDiv w:val="1"/>
      <w:marLeft w:val="0"/>
      <w:marRight w:val="0"/>
      <w:marTop w:val="0"/>
      <w:marBottom w:val="0"/>
      <w:divBdr>
        <w:top w:val="none" w:sz="0" w:space="0" w:color="auto"/>
        <w:left w:val="none" w:sz="0" w:space="0" w:color="auto"/>
        <w:bottom w:val="none" w:sz="0" w:space="0" w:color="auto"/>
        <w:right w:val="none" w:sz="0" w:space="0" w:color="auto"/>
      </w:divBdr>
    </w:div>
    <w:div w:id="1439909099">
      <w:bodyDiv w:val="1"/>
      <w:marLeft w:val="0"/>
      <w:marRight w:val="0"/>
      <w:marTop w:val="0"/>
      <w:marBottom w:val="0"/>
      <w:divBdr>
        <w:top w:val="none" w:sz="0" w:space="0" w:color="auto"/>
        <w:left w:val="none" w:sz="0" w:space="0" w:color="auto"/>
        <w:bottom w:val="none" w:sz="0" w:space="0" w:color="auto"/>
        <w:right w:val="none" w:sz="0" w:space="0" w:color="auto"/>
      </w:divBdr>
    </w:div>
    <w:div w:id="1443572741">
      <w:bodyDiv w:val="1"/>
      <w:marLeft w:val="0"/>
      <w:marRight w:val="0"/>
      <w:marTop w:val="0"/>
      <w:marBottom w:val="0"/>
      <w:divBdr>
        <w:top w:val="none" w:sz="0" w:space="0" w:color="auto"/>
        <w:left w:val="none" w:sz="0" w:space="0" w:color="auto"/>
        <w:bottom w:val="none" w:sz="0" w:space="0" w:color="auto"/>
        <w:right w:val="none" w:sz="0" w:space="0" w:color="auto"/>
      </w:divBdr>
    </w:div>
    <w:div w:id="1449163430">
      <w:bodyDiv w:val="1"/>
      <w:marLeft w:val="0"/>
      <w:marRight w:val="0"/>
      <w:marTop w:val="0"/>
      <w:marBottom w:val="0"/>
      <w:divBdr>
        <w:top w:val="none" w:sz="0" w:space="0" w:color="auto"/>
        <w:left w:val="none" w:sz="0" w:space="0" w:color="auto"/>
        <w:bottom w:val="none" w:sz="0" w:space="0" w:color="auto"/>
        <w:right w:val="none" w:sz="0" w:space="0" w:color="auto"/>
      </w:divBdr>
    </w:div>
    <w:div w:id="1553153099">
      <w:bodyDiv w:val="1"/>
      <w:marLeft w:val="0"/>
      <w:marRight w:val="0"/>
      <w:marTop w:val="0"/>
      <w:marBottom w:val="0"/>
      <w:divBdr>
        <w:top w:val="none" w:sz="0" w:space="0" w:color="auto"/>
        <w:left w:val="none" w:sz="0" w:space="0" w:color="auto"/>
        <w:bottom w:val="none" w:sz="0" w:space="0" w:color="auto"/>
        <w:right w:val="none" w:sz="0" w:space="0" w:color="auto"/>
      </w:divBdr>
    </w:div>
    <w:div w:id="1580749709">
      <w:bodyDiv w:val="1"/>
      <w:marLeft w:val="0"/>
      <w:marRight w:val="0"/>
      <w:marTop w:val="0"/>
      <w:marBottom w:val="0"/>
      <w:divBdr>
        <w:top w:val="none" w:sz="0" w:space="0" w:color="auto"/>
        <w:left w:val="none" w:sz="0" w:space="0" w:color="auto"/>
        <w:bottom w:val="none" w:sz="0" w:space="0" w:color="auto"/>
        <w:right w:val="none" w:sz="0" w:space="0" w:color="auto"/>
      </w:divBdr>
    </w:div>
    <w:div w:id="1599217591">
      <w:bodyDiv w:val="1"/>
      <w:marLeft w:val="0"/>
      <w:marRight w:val="0"/>
      <w:marTop w:val="0"/>
      <w:marBottom w:val="0"/>
      <w:divBdr>
        <w:top w:val="none" w:sz="0" w:space="0" w:color="auto"/>
        <w:left w:val="none" w:sz="0" w:space="0" w:color="auto"/>
        <w:bottom w:val="none" w:sz="0" w:space="0" w:color="auto"/>
        <w:right w:val="none" w:sz="0" w:space="0" w:color="auto"/>
      </w:divBdr>
    </w:div>
    <w:div w:id="1633317665">
      <w:bodyDiv w:val="1"/>
      <w:marLeft w:val="0"/>
      <w:marRight w:val="0"/>
      <w:marTop w:val="0"/>
      <w:marBottom w:val="0"/>
      <w:divBdr>
        <w:top w:val="none" w:sz="0" w:space="0" w:color="auto"/>
        <w:left w:val="none" w:sz="0" w:space="0" w:color="auto"/>
        <w:bottom w:val="none" w:sz="0" w:space="0" w:color="auto"/>
        <w:right w:val="none" w:sz="0" w:space="0" w:color="auto"/>
      </w:divBdr>
    </w:div>
    <w:div w:id="1740589944">
      <w:bodyDiv w:val="1"/>
      <w:marLeft w:val="0"/>
      <w:marRight w:val="0"/>
      <w:marTop w:val="0"/>
      <w:marBottom w:val="0"/>
      <w:divBdr>
        <w:top w:val="none" w:sz="0" w:space="0" w:color="auto"/>
        <w:left w:val="none" w:sz="0" w:space="0" w:color="auto"/>
        <w:bottom w:val="none" w:sz="0" w:space="0" w:color="auto"/>
        <w:right w:val="none" w:sz="0" w:space="0" w:color="auto"/>
      </w:divBdr>
    </w:div>
    <w:div w:id="1809661082">
      <w:bodyDiv w:val="1"/>
      <w:marLeft w:val="0"/>
      <w:marRight w:val="0"/>
      <w:marTop w:val="0"/>
      <w:marBottom w:val="0"/>
      <w:divBdr>
        <w:top w:val="none" w:sz="0" w:space="0" w:color="auto"/>
        <w:left w:val="none" w:sz="0" w:space="0" w:color="auto"/>
        <w:bottom w:val="none" w:sz="0" w:space="0" w:color="auto"/>
        <w:right w:val="none" w:sz="0" w:space="0" w:color="auto"/>
      </w:divBdr>
    </w:div>
    <w:div w:id="1824007132">
      <w:bodyDiv w:val="1"/>
      <w:marLeft w:val="0"/>
      <w:marRight w:val="0"/>
      <w:marTop w:val="0"/>
      <w:marBottom w:val="0"/>
      <w:divBdr>
        <w:top w:val="none" w:sz="0" w:space="0" w:color="auto"/>
        <w:left w:val="none" w:sz="0" w:space="0" w:color="auto"/>
        <w:bottom w:val="none" w:sz="0" w:space="0" w:color="auto"/>
        <w:right w:val="none" w:sz="0" w:space="0" w:color="auto"/>
      </w:divBdr>
    </w:div>
    <w:div w:id="1848861284">
      <w:bodyDiv w:val="1"/>
      <w:marLeft w:val="0"/>
      <w:marRight w:val="0"/>
      <w:marTop w:val="0"/>
      <w:marBottom w:val="0"/>
      <w:divBdr>
        <w:top w:val="none" w:sz="0" w:space="0" w:color="auto"/>
        <w:left w:val="none" w:sz="0" w:space="0" w:color="auto"/>
        <w:bottom w:val="none" w:sz="0" w:space="0" w:color="auto"/>
        <w:right w:val="none" w:sz="0" w:space="0" w:color="auto"/>
      </w:divBdr>
    </w:div>
    <w:div w:id="1889562141">
      <w:bodyDiv w:val="1"/>
      <w:marLeft w:val="0"/>
      <w:marRight w:val="0"/>
      <w:marTop w:val="0"/>
      <w:marBottom w:val="0"/>
      <w:divBdr>
        <w:top w:val="none" w:sz="0" w:space="0" w:color="auto"/>
        <w:left w:val="none" w:sz="0" w:space="0" w:color="auto"/>
        <w:bottom w:val="none" w:sz="0" w:space="0" w:color="auto"/>
        <w:right w:val="none" w:sz="0" w:space="0" w:color="auto"/>
      </w:divBdr>
    </w:div>
    <w:div w:id="1976443519">
      <w:bodyDiv w:val="1"/>
      <w:marLeft w:val="0"/>
      <w:marRight w:val="0"/>
      <w:marTop w:val="0"/>
      <w:marBottom w:val="0"/>
      <w:divBdr>
        <w:top w:val="none" w:sz="0" w:space="0" w:color="auto"/>
        <w:left w:val="none" w:sz="0" w:space="0" w:color="auto"/>
        <w:bottom w:val="none" w:sz="0" w:space="0" w:color="auto"/>
        <w:right w:val="none" w:sz="0" w:space="0" w:color="auto"/>
      </w:divBdr>
    </w:div>
    <w:div w:id="2040080928">
      <w:bodyDiv w:val="1"/>
      <w:marLeft w:val="0"/>
      <w:marRight w:val="0"/>
      <w:marTop w:val="0"/>
      <w:marBottom w:val="0"/>
      <w:divBdr>
        <w:top w:val="none" w:sz="0" w:space="0" w:color="auto"/>
        <w:left w:val="none" w:sz="0" w:space="0" w:color="auto"/>
        <w:bottom w:val="none" w:sz="0" w:space="0" w:color="auto"/>
        <w:right w:val="none" w:sz="0" w:space="0" w:color="auto"/>
      </w:divBdr>
    </w:div>
    <w:div w:id="214677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regulations.gov" TargetMode="External"/><Relationship Id="rId26" Type="http://schemas.openxmlformats.org/officeDocument/2006/relationships/image" Target="media/image2.emf"/><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regulations.gov" TargetMode="External"/><Relationship Id="rId25" Type="http://schemas.openxmlformats.org/officeDocument/2006/relationships/image" Target="media/image1.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info.gov/content/pkg/FR-2021-06-28/pdf/2021-13738.pdf" TargetMode="External"/><Relationship Id="rId20" Type="http://schemas.openxmlformats.org/officeDocument/2006/relationships/header" Target="header5.xml"/><Relationship Id="rId29"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info.gov/content/pkg/FR-2008-10-30/pdf/E8-24399.pdf" TargetMode="External"/><Relationship Id="rId23" Type="http://schemas.openxmlformats.org/officeDocument/2006/relationships/header" Target="header6.xml"/><Relationship Id="rId28" Type="http://schemas.openxmlformats.org/officeDocument/2006/relationships/image" Target="media/image4.emf"/><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6.xml"/><Relationship Id="rId27" Type="http://schemas.openxmlformats.org/officeDocument/2006/relationships/image" Target="media/image3.emf"/><Relationship Id="rId30" Type="http://schemas.openxmlformats.org/officeDocument/2006/relationships/image" Target="media/image6.emf"/><Relationship Id="rId8"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bls.gov/cpi/tables/supplemental-files/historical-cpi-u-202110.pdf" TargetMode="External"/><Relationship Id="rId13" Type="http://schemas.openxmlformats.org/officeDocument/2006/relationships/hyperlink" Target="https://www.bls.gov/cpi/tables/supplemental-files/historical-cpi-u-202110.pdf" TargetMode="External"/><Relationship Id="rId3" Type="http://schemas.openxmlformats.org/officeDocument/2006/relationships/hyperlink" Target="https://www.bls.gov/web/ecec/ececqrtn.pdf" TargetMode="External"/><Relationship Id="rId7" Type="http://schemas.openxmlformats.org/officeDocument/2006/relationships/hyperlink" Target="https://www.bls.gov/cpi/tables/supplemental-files/historical-cpi-u-202110.pdf" TargetMode="External"/><Relationship Id="rId12" Type="http://schemas.openxmlformats.org/officeDocument/2006/relationships/hyperlink" Target="https://www.bls.gov/cpi/tables/supplemental-files/historical-cpi-u-202110.pdf" TargetMode="External"/><Relationship Id="rId2" Type="http://schemas.openxmlformats.org/officeDocument/2006/relationships/hyperlink" Target="https://www.bls.gov/web/eci/eci-continuous-dollar.pdf" TargetMode="External"/><Relationship Id="rId16" Type="http://schemas.openxmlformats.org/officeDocument/2006/relationships/hyperlink" Target="https://www.bls.gov/web/ecec/ececqrtn.pdf" TargetMode="External"/><Relationship Id="rId1" Type="http://schemas.openxmlformats.org/officeDocument/2006/relationships/hyperlink" Target="https://www.bls.gov/oes/current/oes_nat.htm" TargetMode="External"/><Relationship Id="rId6" Type="http://schemas.openxmlformats.org/officeDocument/2006/relationships/hyperlink" Target="https://www.bls.gov/cpi/tables/supplemental-files/historical-cpi-u-202110.pdf" TargetMode="External"/><Relationship Id="rId11" Type="http://schemas.openxmlformats.org/officeDocument/2006/relationships/hyperlink" Target="https://www.bls.gov/cpi/tables/supplemental-files/historical-cpi-u-202110.pdf" TargetMode="External"/><Relationship Id="rId5" Type="http://schemas.openxmlformats.org/officeDocument/2006/relationships/hyperlink" Target="https://www.bls.gov/cpi/tables/supplemental-files/historical-cpi-u-202110.pdf" TargetMode="External"/><Relationship Id="rId15" Type="http://schemas.openxmlformats.org/officeDocument/2006/relationships/hyperlink" Target="https://www.bls.gov/web/eci/eci-continuous-dollar.pdf" TargetMode="External"/><Relationship Id="rId10" Type="http://schemas.openxmlformats.org/officeDocument/2006/relationships/hyperlink" Target="https://www.bls.gov/cpi/tables/supplemental-files/historical-cpi-u-202110.pdf" TargetMode="External"/><Relationship Id="rId4" Type="http://schemas.openxmlformats.org/officeDocument/2006/relationships/hyperlink" Target="https://pe.usps.com/text/dmm300/Notice123.htm?_gl=1*1h1rbud*_ga*MTgzODQzMDI5NC4xNjM3NTQyMDc1*_ga_3NXP3C8S9V*MTYzNzU0MjA3NS4xLjEuMTYzNzU0MjUwOS4w" TargetMode="External"/><Relationship Id="rId9" Type="http://schemas.openxmlformats.org/officeDocument/2006/relationships/hyperlink" Target="https://www.bls.gov/cpi/tables/supplemental-files/historical-cpi-u-202110.pdf" TargetMode="External"/><Relationship Id="rId14" Type="http://schemas.openxmlformats.org/officeDocument/2006/relationships/hyperlink" Target="https://www.bls.gov/oes/current/naics3_999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DAB1F-AFF3-487F-AEA0-30F9D891F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13400</Words>
  <Characters>76382</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89603</CharactersWithSpaces>
  <SharedDoc>false</SharedDoc>
  <HLinks>
    <vt:vector size="120" baseType="variant">
      <vt:variant>
        <vt:i4>2818151</vt:i4>
      </vt:variant>
      <vt:variant>
        <vt:i4>102</vt:i4>
      </vt:variant>
      <vt:variant>
        <vt:i4>0</vt:i4>
      </vt:variant>
      <vt:variant>
        <vt:i4>5</vt:i4>
      </vt:variant>
      <vt:variant>
        <vt:lpwstr>http://www.regulations.gov/</vt:lpwstr>
      </vt:variant>
      <vt:variant>
        <vt:lpwstr/>
      </vt:variant>
      <vt:variant>
        <vt:i4>2818151</vt:i4>
      </vt:variant>
      <vt:variant>
        <vt:i4>99</vt:i4>
      </vt:variant>
      <vt:variant>
        <vt:i4>0</vt:i4>
      </vt:variant>
      <vt:variant>
        <vt:i4>5</vt:i4>
      </vt:variant>
      <vt:variant>
        <vt:lpwstr>http://www.regulations.gov/</vt:lpwstr>
      </vt:variant>
      <vt:variant>
        <vt:lpwstr/>
      </vt:variant>
      <vt:variant>
        <vt:i4>5111892</vt:i4>
      </vt:variant>
      <vt:variant>
        <vt:i4>96</vt:i4>
      </vt:variant>
      <vt:variant>
        <vt:i4>0</vt:i4>
      </vt:variant>
      <vt:variant>
        <vt:i4>5</vt:i4>
      </vt:variant>
      <vt:variant>
        <vt:lpwstr>https://www.govinfo.gov/content/pkg/FR-2021-06-28/pdf/2021-13738.pdf</vt:lpwstr>
      </vt:variant>
      <vt:variant>
        <vt:lpwstr/>
      </vt:variant>
      <vt:variant>
        <vt:i4>7602236</vt:i4>
      </vt:variant>
      <vt:variant>
        <vt:i4>93</vt:i4>
      </vt:variant>
      <vt:variant>
        <vt:i4>0</vt:i4>
      </vt:variant>
      <vt:variant>
        <vt:i4>5</vt:i4>
      </vt:variant>
      <vt:variant>
        <vt:lpwstr>https://www.govinfo.gov/content/pkg/FR-2008-10-30/pdf/E8-24399.pdf</vt:lpwstr>
      </vt:variant>
      <vt:variant>
        <vt:lpwstr/>
      </vt:variant>
      <vt:variant>
        <vt:i4>5177366</vt:i4>
      </vt:variant>
      <vt:variant>
        <vt:i4>45</vt:i4>
      </vt:variant>
      <vt:variant>
        <vt:i4>0</vt:i4>
      </vt:variant>
      <vt:variant>
        <vt:i4>5</vt:i4>
      </vt:variant>
      <vt:variant>
        <vt:lpwstr>https://www.bls.gov/web/ecec/ececqrtn.pdf</vt:lpwstr>
      </vt:variant>
      <vt:variant>
        <vt:lpwstr/>
      </vt:variant>
      <vt:variant>
        <vt:i4>4718621</vt:i4>
      </vt:variant>
      <vt:variant>
        <vt:i4>42</vt:i4>
      </vt:variant>
      <vt:variant>
        <vt:i4>0</vt:i4>
      </vt:variant>
      <vt:variant>
        <vt:i4>5</vt:i4>
      </vt:variant>
      <vt:variant>
        <vt:lpwstr>https://www.bls.gov/web/eci/eci-continuous-dollar.pdf</vt:lpwstr>
      </vt:variant>
      <vt:variant>
        <vt:lpwstr/>
      </vt:variant>
      <vt:variant>
        <vt:i4>1900582</vt:i4>
      </vt:variant>
      <vt:variant>
        <vt:i4>39</vt:i4>
      </vt:variant>
      <vt:variant>
        <vt:i4>0</vt:i4>
      </vt:variant>
      <vt:variant>
        <vt:i4>5</vt:i4>
      </vt:variant>
      <vt:variant>
        <vt:lpwstr>https://www.bls.gov/oes/current/naics3_999000.htm</vt:lpwstr>
      </vt:variant>
      <vt:variant>
        <vt:lpwstr/>
      </vt:variant>
      <vt:variant>
        <vt:i4>786450</vt:i4>
      </vt:variant>
      <vt:variant>
        <vt:i4>36</vt:i4>
      </vt:variant>
      <vt:variant>
        <vt:i4>0</vt:i4>
      </vt:variant>
      <vt:variant>
        <vt:i4>5</vt:i4>
      </vt:variant>
      <vt:variant>
        <vt:lpwstr>https://www.bls.gov/cpi/tables/supplemental-files/historical-cpi-u-202110.pdf</vt:lpwstr>
      </vt:variant>
      <vt:variant>
        <vt:lpwstr/>
      </vt:variant>
      <vt:variant>
        <vt:i4>786450</vt:i4>
      </vt:variant>
      <vt:variant>
        <vt:i4>33</vt:i4>
      </vt:variant>
      <vt:variant>
        <vt:i4>0</vt:i4>
      </vt:variant>
      <vt:variant>
        <vt:i4>5</vt:i4>
      </vt:variant>
      <vt:variant>
        <vt:lpwstr>https://www.bls.gov/cpi/tables/supplemental-files/historical-cpi-u-202110.pdf</vt:lpwstr>
      </vt:variant>
      <vt:variant>
        <vt:lpwstr/>
      </vt:variant>
      <vt:variant>
        <vt:i4>786450</vt:i4>
      </vt:variant>
      <vt:variant>
        <vt:i4>30</vt:i4>
      </vt:variant>
      <vt:variant>
        <vt:i4>0</vt:i4>
      </vt:variant>
      <vt:variant>
        <vt:i4>5</vt:i4>
      </vt:variant>
      <vt:variant>
        <vt:lpwstr>https://www.bls.gov/cpi/tables/supplemental-files/historical-cpi-u-202110.pdf</vt:lpwstr>
      </vt:variant>
      <vt:variant>
        <vt:lpwstr/>
      </vt:variant>
      <vt:variant>
        <vt:i4>786450</vt:i4>
      </vt:variant>
      <vt:variant>
        <vt:i4>27</vt:i4>
      </vt:variant>
      <vt:variant>
        <vt:i4>0</vt:i4>
      </vt:variant>
      <vt:variant>
        <vt:i4>5</vt:i4>
      </vt:variant>
      <vt:variant>
        <vt:lpwstr>https://www.bls.gov/cpi/tables/supplemental-files/historical-cpi-u-202110.pdf</vt:lpwstr>
      </vt:variant>
      <vt:variant>
        <vt:lpwstr/>
      </vt:variant>
      <vt:variant>
        <vt:i4>786450</vt:i4>
      </vt:variant>
      <vt:variant>
        <vt:i4>24</vt:i4>
      </vt:variant>
      <vt:variant>
        <vt:i4>0</vt:i4>
      </vt:variant>
      <vt:variant>
        <vt:i4>5</vt:i4>
      </vt:variant>
      <vt:variant>
        <vt:lpwstr>https://www.bls.gov/cpi/tables/supplemental-files/historical-cpi-u-202110.pdf</vt:lpwstr>
      </vt:variant>
      <vt:variant>
        <vt:lpwstr/>
      </vt:variant>
      <vt:variant>
        <vt:i4>786450</vt:i4>
      </vt:variant>
      <vt:variant>
        <vt:i4>21</vt:i4>
      </vt:variant>
      <vt:variant>
        <vt:i4>0</vt:i4>
      </vt:variant>
      <vt:variant>
        <vt:i4>5</vt:i4>
      </vt:variant>
      <vt:variant>
        <vt:lpwstr>https://www.bls.gov/cpi/tables/supplemental-files/historical-cpi-u-202110.pdf</vt:lpwstr>
      </vt:variant>
      <vt:variant>
        <vt:lpwstr/>
      </vt:variant>
      <vt:variant>
        <vt:i4>786450</vt:i4>
      </vt:variant>
      <vt:variant>
        <vt:i4>18</vt:i4>
      </vt:variant>
      <vt:variant>
        <vt:i4>0</vt:i4>
      </vt:variant>
      <vt:variant>
        <vt:i4>5</vt:i4>
      </vt:variant>
      <vt:variant>
        <vt:lpwstr>https://www.bls.gov/cpi/tables/supplemental-files/historical-cpi-u-202110.pdf</vt:lpwstr>
      </vt:variant>
      <vt:variant>
        <vt:lpwstr/>
      </vt:variant>
      <vt:variant>
        <vt:i4>786450</vt:i4>
      </vt:variant>
      <vt:variant>
        <vt:i4>15</vt:i4>
      </vt:variant>
      <vt:variant>
        <vt:i4>0</vt:i4>
      </vt:variant>
      <vt:variant>
        <vt:i4>5</vt:i4>
      </vt:variant>
      <vt:variant>
        <vt:lpwstr>https://www.bls.gov/cpi/tables/supplemental-files/historical-cpi-u-202110.pdf</vt:lpwstr>
      </vt:variant>
      <vt:variant>
        <vt:lpwstr/>
      </vt:variant>
      <vt:variant>
        <vt:i4>786450</vt:i4>
      </vt:variant>
      <vt:variant>
        <vt:i4>12</vt:i4>
      </vt:variant>
      <vt:variant>
        <vt:i4>0</vt:i4>
      </vt:variant>
      <vt:variant>
        <vt:i4>5</vt:i4>
      </vt:variant>
      <vt:variant>
        <vt:lpwstr>https://www.bls.gov/cpi/tables/supplemental-files/historical-cpi-u-202110.pdf</vt:lpwstr>
      </vt:variant>
      <vt:variant>
        <vt:lpwstr/>
      </vt:variant>
      <vt:variant>
        <vt:i4>7077977</vt:i4>
      </vt:variant>
      <vt:variant>
        <vt:i4>9</vt:i4>
      </vt:variant>
      <vt:variant>
        <vt:i4>0</vt:i4>
      </vt:variant>
      <vt:variant>
        <vt:i4>5</vt:i4>
      </vt:variant>
      <vt:variant>
        <vt:lpwstr>https://pe.usps.com/text/dmm300/Notice123.htm?_gl=1*1h1rbud*_ga*MTgzODQzMDI5NC4xNjM3NTQyMDc1*_ga_3NXP3C8S9V*MTYzNzU0MjA3NS4xLjEuMTYzNzU0MjUwOS4w</vt:lpwstr>
      </vt:variant>
      <vt:variant>
        <vt:lpwstr>_c191</vt:lpwstr>
      </vt:variant>
      <vt:variant>
        <vt:i4>5177366</vt:i4>
      </vt:variant>
      <vt:variant>
        <vt:i4>6</vt:i4>
      </vt:variant>
      <vt:variant>
        <vt:i4>0</vt:i4>
      </vt:variant>
      <vt:variant>
        <vt:i4>5</vt:i4>
      </vt:variant>
      <vt:variant>
        <vt:lpwstr>https://www.bls.gov/web/ecec/ececqrtn.pdf</vt:lpwstr>
      </vt:variant>
      <vt:variant>
        <vt:lpwstr/>
      </vt:variant>
      <vt:variant>
        <vt:i4>4718621</vt:i4>
      </vt:variant>
      <vt:variant>
        <vt:i4>3</vt:i4>
      </vt:variant>
      <vt:variant>
        <vt:i4>0</vt:i4>
      </vt:variant>
      <vt:variant>
        <vt:i4>5</vt:i4>
      </vt:variant>
      <vt:variant>
        <vt:lpwstr>https://www.bls.gov/web/eci/eci-continuous-dollar.pdf</vt:lpwstr>
      </vt:variant>
      <vt:variant>
        <vt:lpwstr/>
      </vt: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2022-01-20T15:10:00Z</dcterms:created>
  <dcterms:modified xsi:type="dcterms:W3CDTF">2022-01-20T15:10:00Z</dcterms:modified>
</cp:coreProperties>
</file>