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58EC" w:rsidP="00AE4978" w:rsidRDefault="001658EC" w14:paraId="49F3FE8A" w14:textId="7DFC8DA9">
      <w:pPr>
        <w:pStyle w:val="Level1"/>
      </w:pPr>
    </w:p>
    <w:p w:rsidR="001658EC" w:rsidP="001658EC" w:rsidRDefault="001658EC" w14:paraId="1846EC04" w14:textId="77777777">
      <w:pPr>
        <w:jc w:val="center"/>
        <w:rPr>
          <w:rFonts w:cs="Times New Roman"/>
          <w:sz w:val="40"/>
          <w:szCs w:val="24"/>
        </w:rPr>
      </w:pPr>
    </w:p>
    <w:p w:rsidR="001658EC" w:rsidP="001658EC" w:rsidRDefault="001658EC" w14:paraId="6B7CDE7F" w14:textId="77777777">
      <w:pPr>
        <w:jc w:val="center"/>
        <w:rPr>
          <w:rFonts w:cs="Times New Roman"/>
          <w:sz w:val="40"/>
          <w:szCs w:val="24"/>
        </w:rPr>
      </w:pPr>
    </w:p>
    <w:p w:rsidRPr="005777F1" w:rsidR="001658EC" w:rsidP="001658EC" w:rsidRDefault="001658EC" w14:paraId="6C506332" w14:textId="3781B352">
      <w:pPr>
        <w:jc w:val="center"/>
        <w:rPr>
          <w:rFonts w:cs="Times New Roman"/>
          <w:sz w:val="40"/>
          <w:szCs w:val="24"/>
        </w:rPr>
      </w:pPr>
      <w:r w:rsidRPr="005777F1">
        <w:rPr>
          <w:rFonts w:cs="Times New Roman"/>
          <w:sz w:val="40"/>
          <w:szCs w:val="24"/>
        </w:rPr>
        <w:t>Mariner Survey</w:t>
      </w:r>
      <w:r w:rsidRPr="005777F1" w:rsidR="00A74829">
        <w:rPr>
          <w:rFonts w:cs="Times New Roman"/>
          <w:sz w:val="40"/>
          <w:szCs w:val="24"/>
        </w:rPr>
        <w:t xml:space="preserve"> P</w:t>
      </w:r>
      <w:r w:rsidR="00CD1DE9">
        <w:rPr>
          <w:rFonts w:cs="Times New Roman"/>
          <w:sz w:val="40"/>
          <w:szCs w:val="24"/>
        </w:rPr>
        <w:t>re-</w:t>
      </w:r>
      <w:r w:rsidRPr="005777F1" w:rsidR="00A74829">
        <w:rPr>
          <w:rFonts w:cs="Times New Roman"/>
          <w:sz w:val="40"/>
          <w:szCs w:val="24"/>
        </w:rPr>
        <w:t>Test</w:t>
      </w:r>
    </w:p>
    <w:p w:rsidRPr="005777F1" w:rsidR="001658EC" w:rsidP="001658EC" w:rsidRDefault="001658EC" w14:paraId="3D6CC935" w14:textId="49D028B4">
      <w:pPr>
        <w:jc w:val="center"/>
        <w:rPr>
          <w:rFonts w:cs="Times New Roman"/>
          <w:szCs w:val="24"/>
        </w:rPr>
      </w:pPr>
    </w:p>
    <w:p w:rsidRPr="005777F1" w:rsidR="001658EC" w:rsidP="001658EC" w:rsidRDefault="001658EC" w14:paraId="51B66A37" w14:textId="77777777">
      <w:pPr>
        <w:jc w:val="center"/>
        <w:rPr>
          <w:rFonts w:cs="Times New Roman"/>
          <w:szCs w:val="24"/>
        </w:rPr>
      </w:pPr>
    </w:p>
    <w:p w:rsidRPr="005777F1" w:rsidR="001658EC" w:rsidP="001658EC" w:rsidRDefault="001658EC" w14:paraId="0B5805D5" w14:textId="77777777">
      <w:pPr>
        <w:jc w:val="center"/>
        <w:rPr>
          <w:rFonts w:cs="Times New Roman"/>
          <w:szCs w:val="24"/>
        </w:rPr>
      </w:pPr>
    </w:p>
    <w:p w:rsidRPr="005777F1" w:rsidR="001658EC" w:rsidP="001658EC" w:rsidRDefault="001658EC" w14:paraId="503B45AA" w14:textId="762E6AB4">
      <w:pPr>
        <w:jc w:val="center"/>
        <w:rPr>
          <w:rFonts w:cs="Times New Roman"/>
          <w:sz w:val="28"/>
          <w:szCs w:val="24"/>
        </w:rPr>
      </w:pPr>
      <w:r w:rsidRPr="005777F1">
        <w:rPr>
          <w:rFonts w:cs="Times New Roman"/>
          <w:sz w:val="28"/>
          <w:szCs w:val="24"/>
        </w:rPr>
        <w:t>Supporting Statement Part A</w:t>
      </w:r>
      <w:r w:rsidR="00F67AE9">
        <w:rPr>
          <w:rFonts w:cs="Times New Roman"/>
          <w:sz w:val="28"/>
          <w:szCs w:val="24"/>
        </w:rPr>
        <w:t xml:space="preserve"> </w:t>
      </w:r>
    </w:p>
    <w:p w:rsidRPr="005777F1" w:rsidR="001658EC" w:rsidP="001658EC" w:rsidRDefault="001658EC" w14:paraId="63DEF31F" w14:textId="77777777">
      <w:pPr>
        <w:jc w:val="center"/>
        <w:rPr>
          <w:rFonts w:cs="Times New Roman"/>
          <w:szCs w:val="24"/>
        </w:rPr>
      </w:pPr>
    </w:p>
    <w:p w:rsidRPr="005777F1" w:rsidR="001658EC" w:rsidP="001658EC" w:rsidRDefault="001658EC" w14:paraId="5ECA0ACA" w14:textId="3729422A">
      <w:pPr>
        <w:jc w:val="center"/>
        <w:rPr>
          <w:rFonts w:cs="Times New Roman"/>
          <w:szCs w:val="24"/>
        </w:rPr>
      </w:pPr>
    </w:p>
    <w:p w:rsidRPr="005777F1" w:rsidR="001658EC" w:rsidP="001658EC" w:rsidRDefault="001658EC" w14:paraId="44DC12F5" w14:textId="77777777">
      <w:pPr>
        <w:jc w:val="center"/>
        <w:rPr>
          <w:rFonts w:cs="Times New Roman"/>
          <w:szCs w:val="24"/>
        </w:rPr>
      </w:pPr>
    </w:p>
    <w:p w:rsidRPr="005777F1" w:rsidR="001658EC" w:rsidP="001658EC" w:rsidRDefault="001658EC" w14:paraId="6F7C956C" w14:textId="77777777">
      <w:pPr>
        <w:jc w:val="center"/>
        <w:rPr>
          <w:rFonts w:cs="Times New Roman"/>
          <w:szCs w:val="24"/>
        </w:rPr>
      </w:pPr>
    </w:p>
    <w:p w:rsidRPr="005777F1" w:rsidR="001658EC" w:rsidP="001658EC" w:rsidRDefault="001658EC" w14:paraId="4B51E16B" w14:textId="77777777">
      <w:pPr>
        <w:jc w:val="center"/>
        <w:rPr>
          <w:rFonts w:cs="Times New Roman"/>
          <w:szCs w:val="24"/>
        </w:rPr>
      </w:pPr>
      <w:r w:rsidRPr="005777F1">
        <w:rPr>
          <w:rFonts w:cs="Times New Roman"/>
          <w:szCs w:val="24"/>
        </w:rPr>
        <w:t>Maritime Administration (MARAD)</w:t>
      </w:r>
    </w:p>
    <w:p w:rsidRPr="005777F1" w:rsidR="001658EC" w:rsidP="001658EC" w:rsidRDefault="001658EC" w14:paraId="1B507B18" w14:textId="1A014143">
      <w:pPr>
        <w:jc w:val="center"/>
        <w:rPr>
          <w:rFonts w:cs="Times New Roman"/>
          <w:szCs w:val="24"/>
        </w:rPr>
      </w:pPr>
      <w:r w:rsidRPr="005777F1">
        <w:rPr>
          <w:rFonts w:cs="Times New Roman"/>
          <w:szCs w:val="24"/>
        </w:rPr>
        <w:t>U.S. Department of Transportation</w:t>
      </w:r>
    </w:p>
    <w:p w:rsidRPr="005777F1" w:rsidR="001658EC" w:rsidP="001658EC" w:rsidRDefault="001658EC" w14:paraId="2A560B83" w14:textId="77777777">
      <w:pPr>
        <w:jc w:val="center"/>
        <w:rPr>
          <w:rFonts w:cs="Times New Roman"/>
          <w:szCs w:val="24"/>
        </w:rPr>
      </w:pPr>
      <w:r w:rsidRPr="005777F1">
        <w:rPr>
          <w:rFonts w:cs="Times New Roman"/>
          <w:szCs w:val="24"/>
        </w:rPr>
        <w:t>Washington, D.C.</w:t>
      </w:r>
    </w:p>
    <w:p w:rsidRPr="005777F1" w:rsidR="001658EC" w:rsidP="001658EC" w:rsidRDefault="001658EC" w14:paraId="3E9AB980" w14:textId="77777777">
      <w:pPr>
        <w:jc w:val="center"/>
        <w:rPr>
          <w:rFonts w:cs="Times New Roman"/>
          <w:szCs w:val="24"/>
        </w:rPr>
      </w:pPr>
    </w:p>
    <w:p w:rsidRPr="005777F1" w:rsidR="001658EC" w:rsidP="001658EC" w:rsidRDefault="001658EC" w14:paraId="1CF4E733" w14:textId="77777777">
      <w:pPr>
        <w:jc w:val="center"/>
        <w:rPr>
          <w:rFonts w:cs="Times New Roman"/>
          <w:szCs w:val="24"/>
        </w:rPr>
      </w:pPr>
    </w:p>
    <w:p w:rsidRPr="005777F1" w:rsidR="001658EC" w:rsidP="001658EC" w:rsidRDefault="001658EC" w14:paraId="5A49CF8D" w14:textId="77777777">
      <w:pPr>
        <w:jc w:val="center"/>
        <w:rPr>
          <w:rFonts w:cs="Times New Roman"/>
          <w:szCs w:val="24"/>
        </w:rPr>
      </w:pPr>
    </w:p>
    <w:p w:rsidRPr="005777F1" w:rsidR="001658EC" w:rsidP="001658EC" w:rsidRDefault="001658EC" w14:paraId="56DCD18D" w14:textId="77777777">
      <w:pPr>
        <w:jc w:val="center"/>
        <w:rPr>
          <w:rFonts w:cs="Times New Roman"/>
          <w:szCs w:val="24"/>
        </w:rPr>
      </w:pPr>
    </w:p>
    <w:p w:rsidRPr="005777F1" w:rsidR="001658EC" w:rsidP="001658EC" w:rsidRDefault="001658EC" w14:paraId="291A4DB6" w14:textId="77777777">
      <w:pPr>
        <w:jc w:val="center"/>
        <w:rPr>
          <w:rFonts w:cs="Times New Roman"/>
          <w:szCs w:val="24"/>
        </w:rPr>
      </w:pPr>
    </w:p>
    <w:p w:rsidRPr="005777F1" w:rsidR="001658EC" w:rsidP="001658EC" w:rsidRDefault="001658EC" w14:paraId="0FBECD9D" w14:textId="77777777">
      <w:pPr>
        <w:jc w:val="center"/>
        <w:rPr>
          <w:rFonts w:cs="Times New Roman"/>
          <w:szCs w:val="24"/>
        </w:rPr>
      </w:pPr>
    </w:p>
    <w:p w:rsidRPr="005777F1" w:rsidR="001658EC" w:rsidP="001658EC" w:rsidRDefault="001658EC" w14:paraId="03868BDB" w14:textId="77777777">
      <w:pPr>
        <w:jc w:val="center"/>
        <w:rPr>
          <w:rFonts w:cs="Times New Roman"/>
          <w:szCs w:val="24"/>
        </w:rPr>
      </w:pPr>
    </w:p>
    <w:p w:rsidRPr="005777F1" w:rsidR="001658EC" w:rsidP="001658EC" w:rsidRDefault="001658EC" w14:paraId="471A769C" w14:textId="77777777">
      <w:pPr>
        <w:rPr>
          <w:rFonts w:cs="Times New Roman"/>
          <w:szCs w:val="24"/>
        </w:rPr>
      </w:pPr>
    </w:p>
    <w:p w:rsidRPr="005777F1" w:rsidR="001658EC" w:rsidP="001658EC" w:rsidRDefault="001658EC" w14:paraId="27378779" w14:textId="090F1638">
      <w:pPr>
        <w:jc w:val="center"/>
        <w:rPr>
          <w:rFonts w:cs="Times New Roman"/>
          <w:szCs w:val="24"/>
        </w:rPr>
      </w:pPr>
      <w:r w:rsidRPr="005777F1">
        <w:rPr>
          <w:rFonts w:cs="Times New Roman"/>
          <w:szCs w:val="24"/>
        </w:rPr>
        <w:br w:type="page"/>
      </w:r>
    </w:p>
    <w:sdt>
      <w:sdtPr>
        <w:rPr>
          <w:rFonts w:asciiTheme="minorHAnsi" w:hAnsiTheme="minorHAnsi" w:eastAsiaTheme="minorHAnsi" w:cstheme="minorBidi"/>
          <w:color w:val="auto"/>
          <w:sz w:val="22"/>
          <w:szCs w:val="22"/>
        </w:rPr>
        <w:id w:val="-1512836733"/>
        <w:docPartObj>
          <w:docPartGallery w:val="Table of Contents"/>
          <w:docPartUnique/>
        </w:docPartObj>
      </w:sdtPr>
      <w:sdtEndPr>
        <w:rPr>
          <w:rFonts w:ascii="Times New Roman" w:hAnsi="Times New Roman"/>
          <w:b/>
          <w:bCs/>
          <w:noProof/>
          <w:sz w:val="24"/>
        </w:rPr>
      </w:sdtEndPr>
      <w:sdtContent>
        <w:p w:rsidRPr="005777F1" w:rsidR="00E4011D" w:rsidRDefault="00E4011D" w14:paraId="55B70170" w14:textId="72403015">
          <w:pPr>
            <w:pStyle w:val="TOCHeading"/>
          </w:pPr>
          <w:r w:rsidRPr="005777F1">
            <w:t>Table of Contents</w:t>
          </w:r>
        </w:p>
        <w:p w:rsidR="00962220" w:rsidRDefault="00E4011D" w14:paraId="1340B421" w14:textId="4402D974">
          <w:pPr>
            <w:pStyle w:val="TOC1"/>
            <w:tabs>
              <w:tab w:val="right" w:leader="dot" w:pos="9350"/>
            </w:tabs>
            <w:rPr>
              <w:rFonts w:asciiTheme="minorHAnsi" w:hAnsiTheme="minorHAnsi" w:eastAsiaTheme="minorEastAsia" w:cstheme="minorBidi"/>
              <w:b w:val="0"/>
              <w:bCs w:val="0"/>
              <w:caps w:val="0"/>
              <w:noProof/>
              <w:sz w:val="22"/>
              <w:szCs w:val="22"/>
            </w:rPr>
          </w:pPr>
          <w:r w:rsidRPr="005777F1">
            <w:fldChar w:fldCharType="begin"/>
          </w:r>
          <w:r w:rsidRPr="005777F1">
            <w:instrText xml:space="preserve"> TOC \o "1-3" \h \z \u </w:instrText>
          </w:r>
          <w:r w:rsidRPr="005777F1">
            <w:fldChar w:fldCharType="separate"/>
          </w:r>
          <w:hyperlink w:history="1" w:anchor="_Toc90302107">
            <w:r w:rsidRPr="00A1136B" w:rsidR="00962220">
              <w:rPr>
                <w:rStyle w:val="Hyperlink"/>
                <w:noProof/>
              </w:rPr>
              <w:t>SUPPORTING STATEMENT PART A</w:t>
            </w:r>
            <w:r w:rsidR="00962220">
              <w:rPr>
                <w:noProof/>
                <w:webHidden/>
              </w:rPr>
              <w:tab/>
            </w:r>
            <w:r w:rsidR="00962220">
              <w:rPr>
                <w:noProof/>
                <w:webHidden/>
              </w:rPr>
              <w:fldChar w:fldCharType="begin"/>
            </w:r>
            <w:r w:rsidR="00962220">
              <w:rPr>
                <w:noProof/>
                <w:webHidden/>
              </w:rPr>
              <w:instrText xml:space="preserve"> PAGEREF _Toc90302107 \h </w:instrText>
            </w:r>
            <w:r w:rsidR="00962220">
              <w:rPr>
                <w:noProof/>
                <w:webHidden/>
              </w:rPr>
            </w:r>
            <w:r w:rsidR="00962220">
              <w:rPr>
                <w:noProof/>
                <w:webHidden/>
              </w:rPr>
              <w:fldChar w:fldCharType="separate"/>
            </w:r>
            <w:r w:rsidR="007657B2">
              <w:rPr>
                <w:noProof/>
                <w:webHidden/>
              </w:rPr>
              <w:t>2</w:t>
            </w:r>
            <w:r w:rsidR="00962220">
              <w:rPr>
                <w:noProof/>
                <w:webHidden/>
              </w:rPr>
              <w:fldChar w:fldCharType="end"/>
            </w:r>
          </w:hyperlink>
        </w:p>
        <w:p w:rsidR="00962220" w:rsidRDefault="00132345" w14:paraId="344B1626" w14:textId="00ED69FF">
          <w:pPr>
            <w:pStyle w:val="TOC2"/>
            <w:tabs>
              <w:tab w:val="right" w:leader="dot" w:pos="9350"/>
            </w:tabs>
            <w:rPr>
              <w:rFonts w:asciiTheme="minorHAnsi" w:hAnsiTheme="minorHAnsi" w:eastAsiaTheme="minorEastAsia" w:cstheme="minorBidi"/>
              <w:noProof/>
              <w:sz w:val="22"/>
              <w:szCs w:val="22"/>
            </w:rPr>
          </w:pPr>
          <w:hyperlink w:history="1" w:anchor="_Toc90302108">
            <w:r w:rsidRPr="00A1136B" w:rsidR="00962220">
              <w:rPr>
                <w:rStyle w:val="Hyperlink"/>
                <w:noProof/>
              </w:rPr>
              <w:t>INTRODUCTION</w:t>
            </w:r>
            <w:r w:rsidR="00962220">
              <w:rPr>
                <w:noProof/>
                <w:webHidden/>
              </w:rPr>
              <w:tab/>
            </w:r>
            <w:r w:rsidR="00962220">
              <w:rPr>
                <w:noProof/>
                <w:webHidden/>
              </w:rPr>
              <w:fldChar w:fldCharType="begin"/>
            </w:r>
            <w:r w:rsidR="00962220">
              <w:rPr>
                <w:noProof/>
                <w:webHidden/>
              </w:rPr>
              <w:instrText xml:space="preserve"> PAGEREF _Toc90302108 \h </w:instrText>
            </w:r>
            <w:r w:rsidR="00962220">
              <w:rPr>
                <w:noProof/>
                <w:webHidden/>
              </w:rPr>
            </w:r>
            <w:r w:rsidR="00962220">
              <w:rPr>
                <w:noProof/>
                <w:webHidden/>
              </w:rPr>
              <w:fldChar w:fldCharType="separate"/>
            </w:r>
            <w:r w:rsidR="007657B2">
              <w:rPr>
                <w:noProof/>
                <w:webHidden/>
              </w:rPr>
              <w:t>2</w:t>
            </w:r>
            <w:r w:rsidR="00962220">
              <w:rPr>
                <w:noProof/>
                <w:webHidden/>
              </w:rPr>
              <w:fldChar w:fldCharType="end"/>
            </w:r>
          </w:hyperlink>
        </w:p>
        <w:p w:rsidR="00962220" w:rsidRDefault="00132345" w14:paraId="3F9D6E04" w14:textId="4D3EA754">
          <w:pPr>
            <w:pStyle w:val="TOC2"/>
            <w:tabs>
              <w:tab w:val="right" w:leader="dot" w:pos="9350"/>
            </w:tabs>
            <w:rPr>
              <w:rFonts w:asciiTheme="minorHAnsi" w:hAnsiTheme="minorHAnsi" w:eastAsiaTheme="minorEastAsia" w:cstheme="minorBidi"/>
              <w:noProof/>
              <w:sz w:val="22"/>
              <w:szCs w:val="22"/>
            </w:rPr>
          </w:pPr>
          <w:hyperlink w:history="1" w:anchor="_Toc90302109">
            <w:r w:rsidRPr="00A1136B" w:rsidR="00962220">
              <w:rPr>
                <w:rStyle w:val="Hyperlink"/>
                <w:noProof/>
              </w:rPr>
              <w:t>A. JUSTIFICATION</w:t>
            </w:r>
            <w:r w:rsidR="00962220">
              <w:rPr>
                <w:noProof/>
                <w:webHidden/>
              </w:rPr>
              <w:tab/>
            </w:r>
            <w:r w:rsidR="00962220">
              <w:rPr>
                <w:noProof/>
                <w:webHidden/>
              </w:rPr>
              <w:fldChar w:fldCharType="begin"/>
            </w:r>
            <w:r w:rsidR="00962220">
              <w:rPr>
                <w:noProof/>
                <w:webHidden/>
              </w:rPr>
              <w:instrText xml:space="preserve"> PAGEREF _Toc90302109 \h </w:instrText>
            </w:r>
            <w:r w:rsidR="00962220">
              <w:rPr>
                <w:noProof/>
                <w:webHidden/>
              </w:rPr>
            </w:r>
            <w:r w:rsidR="00962220">
              <w:rPr>
                <w:noProof/>
                <w:webHidden/>
              </w:rPr>
              <w:fldChar w:fldCharType="separate"/>
            </w:r>
            <w:r w:rsidR="007657B2">
              <w:rPr>
                <w:noProof/>
                <w:webHidden/>
              </w:rPr>
              <w:t>3</w:t>
            </w:r>
            <w:r w:rsidR="00962220">
              <w:rPr>
                <w:noProof/>
                <w:webHidden/>
              </w:rPr>
              <w:fldChar w:fldCharType="end"/>
            </w:r>
          </w:hyperlink>
        </w:p>
        <w:p w:rsidR="00962220" w:rsidRDefault="00132345" w14:paraId="15925849" w14:textId="0BE7DCD9">
          <w:pPr>
            <w:pStyle w:val="TOC3"/>
            <w:tabs>
              <w:tab w:val="right" w:leader="dot" w:pos="9350"/>
            </w:tabs>
            <w:rPr>
              <w:rFonts w:asciiTheme="minorHAnsi" w:hAnsiTheme="minorHAnsi" w:eastAsiaTheme="minorEastAsia"/>
              <w:noProof/>
              <w:sz w:val="22"/>
            </w:rPr>
          </w:pPr>
          <w:hyperlink w:history="1" w:anchor="_Toc90302110">
            <w:r w:rsidRPr="00A1136B" w:rsidR="00962220">
              <w:rPr>
                <w:rStyle w:val="Hyperlink"/>
                <w:noProof/>
              </w:rPr>
              <w:t>A.1 Importance of Information</w:t>
            </w:r>
            <w:r w:rsidR="00962220">
              <w:rPr>
                <w:noProof/>
                <w:webHidden/>
              </w:rPr>
              <w:tab/>
            </w:r>
            <w:r w:rsidR="00962220">
              <w:rPr>
                <w:noProof/>
                <w:webHidden/>
              </w:rPr>
              <w:fldChar w:fldCharType="begin"/>
            </w:r>
            <w:r w:rsidR="00962220">
              <w:rPr>
                <w:noProof/>
                <w:webHidden/>
              </w:rPr>
              <w:instrText xml:space="preserve"> PAGEREF _Toc90302110 \h </w:instrText>
            </w:r>
            <w:r w:rsidR="00962220">
              <w:rPr>
                <w:noProof/>
                <w:webHidden/>
              </w:rPr>
            </w:r>
            <w:r w:rsidR="00962220">
              <w:rPr>
                <w:noProof/>
                <w:webHidden/>
              </w:rPr>
              <w:fldChar w:fldCharType="separate"/>
            </w:r>
            <w:r w:rsidR="007657B2">
              <w:rPr>
                <w:noProof/>
                <w:webHidden/>
              </w:rPr>
              <w:t>3</w:t>
            </w:r>
            <w:r w:rsidR="00962220">
              <w:rPr>
                <w:noProof/>
                <w:webHidden/>
              </w:rPr>
              <w:fldChar w:fldCharType="end"/>
            </w:r>
          </w:hyperlink>
        </w:p>
        <w:p w:rsidR="00962220" w:rsidRDefault="00132345" w14:paraId="2A51B147" w14:textId="71AD8CF2">
          <w:pPr>
            <w:pStyle w:val="TOC3"/>
            <w:tabs>
              <w:tab w:val="right" w:leader="dot" w:pos="9350"/>
            </w:tabs>
            <w:rPr>
              <w:rFonts w:asciiTheme="minorHAnsi" w:hAnsiTheme="minorHAnsi" w:eastAsiaTheme="minorEastAsia"/>
              <w:noProof/>
              <w:sz w:val="22"/>
            </w:rPr>
          </w:pPr>
          <w:hyperlink w:history="1" w:anchor="_Toc90302111">
            <w:r w:rsidRPr="00A1136B" w:rsidR="00962220">
              <w:rPr>
                <w:rStyle w:val="Hyperlink"/>
                <w:noProof/>
              </w:rPr>
              <w:t>A.2 Purposes and Uses of Data</w:t>
            </w:r>
            <w:r w:rsidR="00962220">
              <w:rPr>
                <w:noProof/>
                <w:webHidden/>
              </w:rPr>
              <w:tab/>
            </w:r>
            <w:r w:rsidR="00962220">
              <w:rPr>
                <w:noProof/>
                <w:webHidden/>
              </w:rPr>
              <w:fldChar w:fldCharType="begin"/>
            </w:r>
            <w:r w:rsidR="00962220">
              <w:rPr>
                <w:noProof/>
                <w:webHidden/>
              </w:rPr>
              <w:instrText xml:space="preserve"> PAGEREF _Toc90302111 \h </w:instrText>
            </w:r>
            <w:r w:rsidR="00962220">
              <w:rPr>
                <w:noProof/>
                <w:webHidden/>
              </w:rPr>
            </w:r>
            <w:r w:rsidR="00962220">
              <w:rPr>
                <w:noProof/>
                <w:webHidden/>
              </w:rPr>
              <w:fldChar w:fldCharType="separate"/>
            </w:r>
            <w:r w:rsidR="007657B2">
              <w:rPr>
                <w:noProof/>
                <w:webHidden/>
              </w:rPr>
              <w:t>5</w:t>
            </w:r>
            <w:r w:rsidR="00962220">
              <w:rPr>
                <w:noProof/>
                <w:webHidden/>
              </w:rPr>
              <w:fldChar w:fldCharType="end"/>
            </w:r>
          </w:hyperlink>
        </w:p>
        <w:p w:rsidR="00962220" w:rsidRDefault="00132345" w14:paraId="1B0AB295" w14:textId="0B75847D">
          <w:pPr>
            <w:pStyle w:val="TOC3"/>
            <w:tabs>
              <w:tab w:val="right" w:leader="dot" w:pos="9350"/>
            </w:tabs>
            <w:rPr>
              <w:rFonts w:asciiTheme="minorHAnsi" w:hAnsiTheme="minorHAnsi" w:eastAsiaTheme="minorEastAsia"/>
              <w:noProof/>
              <w:sz w:val="22"/>
            </w:rPr>
          </w:pPr>
          <w:hyperlink w:history="1" w:anchor="_Toc90302112">
            <w:r w:rsidRPr="00A1136B" w:rsidR="00962220">
              <w:rPr>
                <w:rStyle w:val="Hyperlink"/>
                <w:noProof/>
              </w:rPr>
              <w:t>A.3 Improved Information Technology (Reduction of Burden)</w:t>
            </w:r>
            <w:r w:rsidR="00962220">
              <w:rPr>
                <w:noProof/>
                <w:webHidden/>
              </w:rPr>
              <w:tab/>
            </w:r>
            <w:r w:rsidR="00962220">
              <w:rPr>
                <w:noProof/>
                <w:webHidden/>
              </w:rPr>
              <w:fldChar w:fldCharType="begin"/>
            </w:r>
            <w:r w:rsidR="00962220">
              <w:rPr>
                <w:noProof/>
                <w:webHidden/>
              </w:rPr>
              <w:instrText xml:space="preserve"> PAGEREF _Toc90302112 \h </w:instrText>
            </w:r>
            <w:r w:rsidR="00962220">
              <w:rPr>
                <w:noProof/>
                <w:webHidden/>
              </w:rPr>
            </w:r>
            <w:r w:rsidR="00962220">
              <w:rPr>
                <w:noProof/>
                <w:webHidden/>
              </w:rPr>
              <w:fldChar w:fldCharType="separate"/>
            </w:r>
            <w:r w:rsidR="007657B2">
              <w:rPr>
                <w:noProof/>
                <w:webHidden/>
              </w:rPr>
              <w:t>11</w:t>
            </w:r>
            <w:r w:rsidR="00962220">
              <w:rPr>
                <w:noProof/>
                <w:webHidden/>
              </w:rPr>
              <w:fldChar w:fldCharType="end"/>
            </w:r>
          </w:hyperlink>
        </w:p>
        <w:p w:rsidR="00962220" w:rsidRDefault="00132345" w14:paraId="0471C40A" w14:textId="58B85604">
          <w:pPr>
            <w:pStyle w:val="TOC3"/>
            <w:tabs>
              <w:tab w:val="right" w:leader="dot" w:pos="9350"/>
            </w:tabs>
            <w:rPr>
              <w:rFonts w:asciiTheme="minorHAnsi" w:hAnsiTheme="minorHAnsi" w:eastAsiaTheme="minorEastAsia"/>
              <w:noProof/>
              <w:sz w:val="22"/>
            </w:rPr>
          </w:pPr>
          <w:hyperlink w:history="1" w:anchor="_Toc90302113">
            <w:r w:rsidRPr="00A1136B" w:rsidR="00962220">
              <w:rPr>
                <w:rStyle w:val="Hyperlink"/>
                <w:noProof/>
              </w:rPr>
              <w:t>A.4 Efforts to Identify Duplication</w:t>
            </w:r>
            <w:r w:rsidR="00962220">
              <w:rPr>
                <w:noProof/>
                <w:webHidden/>
              </w:rPr>
              <w:tab/>
            </w:r>
            <w:r w:rsidR="00962220">
              <w:rPr>
                <w:noProof/>
                <w:webHidden/>
              </w:rPr>
              <w:fldChar w:fldCharType="begin"/>
            </w:r>
            <w:r w:rsidR="00962220">
              <w:rPr>
                <w:noProof/>
                <w:webHidden/>
              </w:rPr>
              <w:instrText xml:space="preserve"> PAGEREF _Toc90302113 \h </w:instrText>
            </w:r>
            <w:r w:rsidR="00962220">
              <w:rPr>
                <w:noProof/>
                <w:webHidden/>
              </w:rPr>
            </w:r>
            <w:r w:rsidR="00962220">
              <w:rPr>
                <w:noProof/>
                <w:webHidden/>
              </w:rPr>
              <w:fldChar w:fldCharType="separate"/>
            </w:r>
            <w:r w:rsidR="007657B2">
              <w:rPr>
                <w:noProof/>
                <w:webHidden/>
              </w:rPr>
              <w:t>12</w:t>
            </w:r>
            <w:r w:rsidR="00962220">
              <w:rPr>
                <w:noProof/>
                <w:webHidden/>
              </w:rPr>
              <w:fldChar w:fldCharType="end"/>
            </w:r>
          </w:hyperlink>
        </w:p>
        <w:p w:rsidR="00962220" w:rsidRDefault="00132345" w14:paraId="1B7A792B" w14:textId="5E990042">
          <w:pPr>
            <w:pStyle w:val="TOC3"/>
            <w:tabs>
              <w:tab w:val="right" w:leader="dot" w:pos="9350"/>
            </w:tabs>
            <w:rPr>
              <w:rFonts w:asciiTheme="minorHAnsi" w:hAnsiTheme="minorHAnsi" w:eastAsiaTheme="minorEastAsia"/>
              <w:noProof/>
              <w:sz w:val="22"/>
            </w:rPr>
          </w:pPr>
          <w:hyperlink w:history="1" w:anchor="_Toc90302114">
            <w:r w:rsidRPr="00A1136B" w:rsidR="00962220">
              <w:rPr>
                <w:rStyle w:val="Hyperlink"/>
                <w:noProof/>
              </w:rPr>
              <w:t>A.5 Minimizing Burden for Small Entities</w:t>
            </w:r>
            <w:r w:rsidR="00962220">
              <w:rPr>
                <w:noProof/>
                <w:webHidden/>
              </w:rPr>
              <w:tab/>
            </w:r>
            <w:r w:rsidR="00962220">
              <w:rPr>
                <w:noProof/>
                <w:webHidden/>
              </w:rPr>
              <w:fldChar w:fldCharType="begin"/>
            </w:r>
            <w:r w:rsidR="00962220">
              <w:rPr>
                <w:noProof/>
                <w:webHidden/>
              </w:rPr>
              <w:instrText xml:space="preserve"> PAGEREF _Toc90302114 \h </w:instrText>
            </w:r>
            <w:r w:rsidR="00962220">
              <w:rPr>
                <w:noProof/>
                <w:webHidden/>
              </w:rPr>
            </w:r>
            <w:r w:rsidR="00962220">
              <w:rPr>
                <w:noProof/>
                <w:webHidden/>
              </w:rPr>
              <w:fldChar w:fldCharType="separate"/>
            </w:r>
            <w:r w:rsidR="007657B2">
              <w:rPr>
                <w:noProof/>
                <w:webHidden/>
              </w:rPr>
              <w:t>13</w:t>
            </w:r>
            <w:r w:rsidR="00962220">
              <w:rPr>
                <w:noProof/>
                <w:webHidden/>
              </w:rPr>
              <w:fldChar w:fldCharType="end"/>
            </w:r>
          </w:hyperlink>
        </w:p>
        <w:p w:rsidR="00962220" w:rsidRDefault="00132345" w14:paraId="44872FAD" w14:textId="5058D059">
          <w:pPr>
            <w:pStyle w:val="TOC3"/>
            <w:tabs>
              <w:tab w:val="right" w:leader="dot" w:pos="9350"/>
            </w:tabs>
            <w:rPr>
              <w:rFonts w:asciiTheme="minorHAnsi" w:hAnsiTheme="minorHAnsi" w:eastAsiaTheme="minorEastAsia"/>
              <w:noProof/>
              <w:sz w:val="22"/>
            </w:rPr>
          </w:pPr>
          <w:hyperlink w:history="1" w:anchor="_Toc90302115">
            <w:r w:rsidRPr="00A1136B" w:rsidR="00962220">
              <w:rPr>
                <w:rStyle w:val="Hyperlink"/>
                <w:noProof/>
              </w:rPr>
              <w:t>A.6 Frequency of Data Collection</w:t>
            </w:r>
            <w:r w:rsidR="00962220">
              <w:rPr>
                <w:noProof/>
                <w:webHidden/>
              </w:rPr>
              <w:tab/>
            </w:r>
            <w:r w:rsidR="00962220">
              <w:rPr>
                <w:noProof/>
                <w:webHidden/>
              </w:rPr>
              <w:fldChar w:fldCharType="begin"/>
            </w:r>
            <w:r w:rsidR="00962220">
              <w:rPr>
                <w:noProof/>
                <w:webHidden/>
              </w:rPr>
              <w:instrText xml:space="preserve"> PAGEREF _Toc90302115 \h </w:instrText>
            </w:r>
            <w:r w:rsidR="00962220">
              <w:rPr>
                <w:noProof/>
                <w:webHidden/>
              </w:rPr>
            </w:r>
            <w:r w:rsidR="00962220">
              <w:rPr>
                <w:noProof/>
                <w:webHidden/>
              </w:rPr>
              <w:fldChar w:fldCharType="separate"/>
            </w:r>
            <w:r w:rsidR="007657B2">
              <w:rPr>
                <w:noProof/>
                <w:webHidden/>
              </w:rPr>
              <w:t>13</w:t>
            </w:r>
            <w:r w:rsidR="00962220">
              <w:rPr>
                <w:noProof/>
                <w:webHidden/>
              </w:rPr>
              <w:fldChar w:fldCharType="end"/>
            </w:r>
          </w:hyperlink>
        </w:p>
        <w:p w:rsidR="00962220" w:rsidRDefault="00132345" w14:paraId="113CDD83" w14:textId="10647153">
          <w:pPr>
            <w:pStyle w:val="TOC3"/>
            <w:tabs>
              <w:tab w:val="right" w:leader="dot" w:pos="9350"/>
            </w:tabs>
            <w:rPr>
              <w:rFonts w:asciiTheme="minorHAnsi" w:hAnsiTheme="minorHAnsi" w:eastAsiaTheme="minorEastAsia"/>
              <w:noProof/>
              <w:sz w:val="22"/>
            </w:rPr>
          </w:pPr>
          <w:hyperlink w:history="1" w:anchor="_Toc90302116">
            <w:r w:rsidRPr="00A1136B" w:rsidR="00962220">
              <w:rPr>
                <w:rStyle w:val="Hyperlink"/>
                <w:noProof/>
              </w:rPr>
              <w:t>A.7 Special Circumstances</w:t>
            </w:r>
            <w:r w:rsidR="00962220">
              <w:rPr>
                <w:noProof/>
                <w:webHidden/>
              </w:rPr>
              <w:tab/>
            </w:r>
            <w:r w:rsidR="00962220">
              <w:rPr>
                <w:noProof/>
                <w:webHidden/>
              </w:rPr>
              <w:fldChar w:fldCharType="begin"/>
            </w:r>
            <w:r w:rsidR="00962220">
              <w:rPr>
                <w:noProof/>
                <w:webHidden/>
              </w:rPr>
              <w:instrText xml:space="preserve"> PAGEREF _Toc90302116 \h </w:instrText>
            </w:r>
            <w:r w:rsidR="00962220">
              <w:rPr>
                <w:noProof/>
                <w:webHidden/>
              </w:rPr>
            </w:r>
            <w:r w:rsidR="00962220">
              <w:rPr>
                <w:noProof/>
                <w:webHidden/>
              </w:rPr>
              <w:fldChar w:fldCharType="separate"/>
            </w:r>
            <w:r w:rsidR="007657B2">
              <w:rPr>
                <w:noProof/>
                <w:webHidden/>
              </w:rPr>
              <w:t>13</w:t>
            </w:r>
            <w:r w:rsidR="00962220">
              <w:rPr>
                <w:noProof/>
                <w:webHidden/>
              </w:rPr>
              <w:fldChar w:fldCharType="end"/>
            </w:r>
          </w:hyperlink>
        </w:p>
        <w:p w:rsidR="00962220" w:rsidRDefault="00132345" w14:paraId="670AA003" w14:textId="48E0584B">
          <w:pPr>
            <w:pStyle w:val="TOC3"/>
            <w:tabs>
              <w:tab w:val="right" w:leader="dot" w:pos="9350"/>
            </w:tabs>
            <w:rPr>
              <w:rFonts w:asciiTheme="minorHAnsi" w:hAnsiTheme="minorHAnsi" w:eastAsiaTheme="minorEastAsia"/>
              <w:noProof/>
              <w:sz w:val="22"/>
            </w:rPr>
          </w:pPr>
          <w:hyperlink w:history="1" w:anchor="_Toc90302117">
            <w:r w:rsidRPr="00A1136B" w:rsidR="00962220">
              <w:rPr>
                <w:rStyle w:val="Hyperlink"/>
                <w:noProof/>
              </w:rPr>
              <w:t>A.8 Compliance with 5 CFR 1320.8</w:t>
            </w:r>
            <w:r w:rsidR="00962220">
              <w:rPr>
                <w:noProof/>
                <w:webHidden/>
              </w:rPr>
              <w:tab/>
            </w:r>
            <w:r w:rsidR="00962220">
              <w:rPr>
                <w:noProof/>
                <w:webHidden/>
              </w:rPr>
              <w:fldChar w:fldCharType="begin"/>
            </w:r>
            <w:r w:rsidR="00962220">
              <w:rPr>
                <w:noProof/>
                <w:webHidden/>
              </w:rPr>
              <w:instrText xml:space="preserve"> PAGEREF _Toc90302117 \h </w:instrText>
            </w:r>
            <w:r w:rsidR="00962220">
              <w:rPr>
                <w:noProof/>
                <w:webHidden/>
              </w:rPr>
            </w:r>
            <w:r w:rsidR="00962220">
              <w:rPr>
                <w:noProof/>
                <w:webHidden/>
              </w:rPr>
              <w:fldChar w:fldCharType="separate"/>
            </w:r>
            <w:r w:rsidR="007657B2">
              <w:rPr>
                <w:noProof/>
                <w:webHidden/>
              </w:rPr>
              <w:t>14</w:t>
            </w:r>
            <w:r w:rsidR="00962220">
              <w:rPr>
                <w:noProof/>
                <w:webHidden/>
              </w:rPr>
              <w:fldChar w:fldCharType="end"/>
            </w:r>
          </w:hyperlink>
        </w:p>
        <w:p w:rsidR="00962220" w:rsidRDefault="00132345" w14:paraId="1DA9807D" w14:textId="35FF6588">
          <w:pPr>
            <w:pStyle w:val="TOC3"/>
            <w:tabs>
              <w:tab w:val="right" w:leader="dot" w:pos="9350"/>
            </w:tabs>
            <w:rPr>
              <w:rFonts w:asciiTheme="minorHAnsi" w:hAnsiTheme="minorHAnsi" w:eastAsiaTheme="minorEastAsia"/>
              <w:noProof/>
              <w:sz w:val="22"/>
            </w:rPr>
          </w:pPr>
          <w:hyperlink w:history="1" w:anchor="_Toc90302118">
            <w:r w:rsidRPr="00A1136B" w:rsidR="00962220">
              <w:rPr>
                <w:rStyle w:val="Hyperlink"/>
                <w:noProof/>
              </w:rPr>
              <w:t>A.9 Payments or Gifts to Respondents</w:t>
            </w:r>
            <w:r w:rsidR="00962220">
              <w:rPr>
                <w:noProof/>
                <w:webHidden/>
              </w:rPr>
              <w:tab/>
            </w:r>
            <w:r w:rsidR="00962220">
              <w:rPr>
                <w:noProof/>
                <w:webHidden/>
              </w:rPr>
              <w:fldChar w:fldCharType="begin"/>
            </w:r>
            <w:r w:rsidR="00962220">
              <w:rPr>
                <w:noProof/>
                <w:webHidden/>
              </w:rPr>
              <w:instrText xml:space="preserve"> PAGEREF _Toc90302118 \h </w:instrText>
            </w:r>
            <w:r w:rsidR="00962220">
              <w:rPr>
                <w:noProof/>
                <w:webHidden/>
              </w:rPr>
            </w:r>
            <w:r w:rsidR="00962220">
              <w:rPr>
                <w:noProof/>
                <w:webHidden/>
              </w:rPr>
              <w:fldChar w:fldCharType="separate"/>
            </w:r>
            <w:r w:rsidR="007657B2">
              <w:rPr>
                <w:noProof/>
                <w:webHidden/>
              </w:rPr>
              <w:t>15</w:t>
            </w:r>
            <w:r w:rsidR="00962220">
              <w:rPr>
                <w:noProof/>
                <w:webHidden/>
              </w:rPr>
              <w:fldChar w:fldCharType="end"/>
            </w:r>
          </w:hyperlink>
        </w:p>
        <w:p w:rsidR="00962220" w:rsidRDefault="00132345" w14:paraId="0AB2F662" w14:textId="76E5CC3C">
          <w:pPr>
            <w:pStyle w:val="TOC3"/>
            <w:tabs>
              <w:tab w:val="right" w:leader="dot" w:pos="9350"/>
            </w:tabs>
            <w:rPr>
              <w:rFonts w:asciiTheme="minorHAnsi" w:hAnsiTheme="minorHAnsi" w:eastAsiaTheme="minorEastAsia"/>
              <w:noProof/>
              <w:sz w:val="22"/>
            </w:rPr>
          </w:pPr>
          <w:hyperlink w:history="1" w:anchor="_Toc90302119">
            <w:r w:rsidRPr="00A1136B" w:rsidR="00962220">
              <w:rPr>
                <w:rStyle w:val="Hyperlink"/>
                <w:noProof/>
              </w:rPr>
              <w:t>A.10 Assurance of Confidentiality</w:t>
            </w:r>
            <w:r w:rsidR="00962220">
              <w:rPr>
                <w:noProof/>
                <w:webHidden/>
              </w:rPr>
              <w:tab/>
            </w:r>
            <w:r w:rsidR="00962220">
              <w:rPr>
                <w:noProof/>
                <w:webHidden/>
              </w:rPr>
              <w:fldChar w:fldCharType="begin"/>
            </w:r>
            <w:r w:rsidR="00962220">
              <w:rPr>
                <w:noProof/>
                <w:webHidden/>
              </w:rPr>
              <w:instrText xml:space="preserve"> PAGEREF _Toc90302119 \h </w:instrText>
            </w:r>
            <w:r w:rsidR="00962220">
              <w:rPr>
                <w:noProof/>
                <w:webHidden/>
              </w:rPr>
            </w:r>
            <w:r w:rsidR="00962220">
              <w:rPr>
                <w:noProof/>
                <w:webHidden/>
              </w:rPr>
              <w:fldChar w:fldCharType="separate"/>
            </w:r>
            <w:r w:rsidR="007657B2">
              <w:rPr>
                <w:noProof/>
                <w:webHidden/>
              </w:rPr>
              <w:t>16</w:t>
            </w:r>
            <w:r w:rsidR="00962220">
              <w:rPr>
                <w:noProof/>
                <w:webHidden/>
              </w:rPr>
              <w:fldChar w:fldCharType="end"/>
            </w:r>
          </w:hyperlink>
        </w:p>
        <w:p w:rsidR="00962220" w:rsidRDefault="00132345" w14:paraId="0EA2BF35" w14:textId="55366416">
          <w:pPr>
            <w:pStyle w:val="TOC3"/>
            <w:tabs>
              <w:tab w:val="right" w:leader="dot" w:pos="9350"/>
            </w:tabs>
            <w:rPr>
              <w:rFonts w:asciiTheme="minorHAnsi" w:hAnsiTheme="minorHAnsi" w:eastAsiaTheme="minorEastAsia"/>
              <w:noProof/>
              <w:sz w:val="22"/>
            </w:rPr>
          </w:pPr>
          <w:hyperlink w:history="1" w:anchor="_Toc90302120">
            <w:r w:rsidRPr="00A1136B" w:rsidR="00962220">
              <w:rPr>
                <w:rStyle w:val="Hyperlink"/>
                <w:noProof/>
              </w:rPr>
              <w:t>A.11 Sensitive Questions</w:t>
            </w:r>
            <w:r w:rsidR="00962220">
              <w:rPr>
                <w:noProof/>
                <w:webHidden/>
              </w:rPr>
              <w:tab/>
            </w:r>
            <w:r w:rsidR="00962220">
              <w:rPr>
                <w:noProof/>
                <w:webHidden/>
              </w:rPr>
              <w:fldChar w:fldCharType="begin"/>
            </w:r>
            <w:r w:rsidR="00962220">
              <w:rPr>
                <w:noProof/>
                <w:webHidden/>
              </w:rPr>
              <w:instrText xml:space="preserve"> PAGEREF _Toc90302120 \h </w:instrText>
            </w:r>
            <w:r w:rsidR="00962220">
              <w:rPr>
                <w:noProof/>
                <w:webHidden/>
              </w:rPr>
            </w:r>
            <w:r w:rsidR="00962220">
              <w:rPr>
                <w:noProof/>
                <w:webHidden/>
              </w:rPr>
              <w:fldChar w:fldCharType="separate"/>
            </w:r>
            <w:r w:rsidR="007657B2">
              <w:rPr>
                <w:noProof/>
                <w:webHidden/>
              </w:rPr>
              <w:t>17</w:t>
            </w:r>
            <w:r w:rsidR="00962220">
              <w:rPr>
                <w:noProof/>
                <w:webHidden/>
              </w:rPr>
              <w:fldChar w:fldCharType="end"/>
            </w:r>
          </w:hyperlink>
        </w:p>
        <w:p w:rsidR="00962220" w:rsidRDefault="00132345" w14:paraId="148E112C" w14:textId="7E7E5C84">
          <w:pPr>
            <w:pStyle w:val="TOC3"/>
            <w:tabs>
              <w:tab w:val="right" w:leader="dot" w:pos="9350"/>
            </w:tabs>
            <w:rPr>
              <w:rFonts w:asciiTheme="minorHAnsi" w:hAnsiTheme="minorHAnsi" w:eastAsiaTheme="minorEastAsia"/>
              <w:noProof/>
              <w:sz w:val="22"/>
            </w:rPr>
          </w:pPr>
          <w:hyperlink w:history="1" w:anchor="_Toc90302121">
            <w:r w:rsidRPr="00A1136B" w:rsidR="00962220">
              <w:rPr>
                <w:rStyle w:val="Hyperlink"/>
                <w:noProof/>
              </w:rPr>
              <w:t>A.12 Estimates of Burden</w:t>
            </w:r>
            <w:r w:rsidR="00962220">
              <w:rPr>
                <w:noProof/>
                <w:webHidden/>
              </w:rPr>
              <w:tab/>
            </w:r>
            <w:r w:rsidR="00962220">
              <w:rPr>
                <w:noProof/>
                <w:webHidden/>
              </w:rPr>
              <w:fldChar w:fldCharType="begin"/>
            </w:r>
            <w:r w:rsidR="00962220">
              <w:rPr>
                <w:noProof/>
                <w:webHidden/>
              </w:rPr>
              <w:instrText xml:space="preserve"> PAGEREF _Toc90302121 \h </w:instrText>
            </w:r>
            <w:r w:rsidR="00962220">
              <w:rPr>
                <w:noProof/>
                <w:webHidden/>
              </w:rPr>
            </w:r>
            <w:r w:rsidR="00962220">
              <w:rPr>
                <w:noProof/>
                <w:webHidden/>
              </w:rPr>
              <w:fldChar w:fldCharType="separate"/>
            </w:r>
            <w:r w:rsidR="007657B2">
              <w:rPr>
                <w:noProof/>
                <w:webHidden/>
              </w:rPr>
              <w:t>17</w:t>
            </w:r>
            <w:r w:rsidR="00962220">
              <w:rPr>
                <w:noProof/>
                <w:webHidden/>
              </w:rPr>
              <w:fldChar w:fldCharType="end"/>
            </w:r>
          </w:hyperlink>
        </w:p>
        <w:p w:rsidR="00962220" w:rsidRDefault="00132345" w14:paraId="29359250" w14:textId="535E1756">
          <w:pPr>
            <w:pStyle w:val="TOC3"/>
            <w:tabs>
              <w:tab w:val="right" w:leader="dot" w:pos="9350"/>
            </w:tabs>
            <w:rPr>
              <w:rFonts w:asciiTheme="minorHAnsi" w:hAnsiTheme="minorHAnsi" w:eastAsiaTheme="minorEastAsia"/>
              <w:noProof/>
              <w:sz w:val="22"/>
            </w:rPr>
          </w:pPr>
          <w:hyperlink w:history="1" w:anchor="_Toc90302122">
            <w:r w:rsidRPr="00A1136B" w:rsidR="00962220">
              <w:rPr>
                <w:rStyle w:val="Hyperlink"/>
                <w:noProof/>
              </w:rPr>
              <w:t>A.13 Total Annual Cost Burden</w:t>
            </w:r>
            <w:r w:rsidR="00962220">
              <w:rPr>
                <w:noProof/>
                <w:webHidden/>
              </w:rPr>
              <w:tab/>
            </w:r>
            <w:r w:rsidR="00962220">
              <w:rPr>
                <w:noProof/>
                <w:webHidden/>
              </w:rPr>
              <w:fldChar w:fldCharType="begin"/>
            </w:r>
            <w:r w:rsidR="00962220">
              <w:rPr>
                <w:noProof/>
                <w:webHidden/>
              </w:rPr>
              <w:instrText xml:space="preserve"> PAGEREF _Toc90302122 \h </w:instrText>
            </w:r>
            <w:r w:rsidR="00962220">
              <w:rPr>
                <w:noProof/>
                <w:webHidden/>
              </w:rPr>
            </w:r>
            <w:r w:rsidR="00962220">
              <w:rPr>
                <w:noProof/>
                <w:webHidden/>
              </w:rPr>
              <w:fldChar w:fldCharType="separate"/>
            </w:r>
            <w:r w:rsidR="007657B2">
              <w:rPr>
                <w:noProof/>
                <w:webHidden/>
              </w:rPr>
              <w:t>18</w:t>
            </w:r>
            <w:r w:rsidR="00962220">
              <w:rPr>
                <w:noProof/>
                <w:webHidden/>
              </w:rPr>
              <w:fldChar w:fldCharType="end"/>
            </w:r>
          </w:hyperlink>
        </w:p>
        <w:p w:rsidR="00962220" w:rsidRDefault="00132345" w14:paraId="073ACBED" w14:textId="1CDFEAA8">
          <w:pPr>
            <w:pStyle w:val="TOC3"/>
            <w:tabs>
              <w:tab w:val="right" w:leader="dot" w:pos="9350"/>
            </w:tabs>
            <w:rPr>
              <w:rFonts w:asciiTheme="minorHAnsi" w:hAnsiTheme="minorHAnsi" w:eastAsiaTheme="minorEastAsia"/>
              <w:noProof/>
              <w:sz w:val="22"/>
            </w:rPr>
          </w:pPr>
          <w:hyperlink w:history="1" w:anchor="_Toc90302123">
            <w:r w:rsidRPr="00A1136B" w:rsidR="00962220">
              <w:rPr>
                <w:rStyle w:val="Hyperlink"/>
                <w:noProof/>
              </w:rPr>
              <w:t>A.14 Estimated Cost to the Federal Government</w:t>
            </w:r>
            <w:r w:rsidR="00962220">
              <w:rPr>
                <w:noProof/>
                <w:webHidden/>
              </w:rPr>
              <w:tab/>
            </w:r>
            <w:r w:rsidR="00962220">
              <w:rPr>
                <w:noProof/>
                <w:webHidden/>
              </w:rPr>
              <w:fldChar w:fldCharType="begin"/>
            </w:r>
            <w:r w:rsidR="00962220">
              <w:rPr>
                <w:noProof/>
                <w:webHidden/>
              </w:rPr>
              <w:instrText xml:space="preserve"> PAGEREF _Toc90302123 \h </w:instrText>
            </w:r>
            <w:r w:rsidR="00962220">
              <w:rPr>
                <w:noProof/>
                <w:webHidden/>
              </w:rPr>
            </w:r>
            <w:r w:rsidR="00962220">
              <w:rPr>
                <w:noProof/>
                <w:webHidden/>
              </w:rPr>
              <w:fldChar w:fldCharType="separate"/>
            </w:r>
            <w:r w:rsidR="007657B2">
              <w:rPr>
                <w:noProof/>
                <w:webHidden/>
              </w:rPr>
              <w:t>18</w:t>
            </w:r>
            <w:r w:rsidR="00962220">
              <w:rPr>
                <w:noProof/>
                <w:webHidden/>
              </w:rPr>
              <w:fldChar w:fldCharType="end"/>
            </w:r>
          </w:hyperlink>
        </w:p>
        <w:p w:rsidR="00962220" w:rsidRDefault="00132345" w14:paraId="75ADF3CC" w14:textId="42097750">
          <w:pPr>
            <w:pStyle w:val="TOC3"/>
            <w:tabs>
              <w:tab w:val="right" w:leader="dot" w:pos="9350"/>
            </w:tabs>
            <w:rPr>
              <w:rFonts w:asciiTheme="minorHAnsi" w:hAnsiTheme="minorHAnsi" w:eastAsiaTheme="minorEastAsia"/>
              <w:noProof/>
              <w:sz w:val="22"/>
            </w:rPr>
          </w:pPr>
          <w:hyperlink w:history="1" w:anchor="_Toc90302124">
            <w:r w:rsidRPr="00A1136B" w:rsidR="00962220">
              <w:rPr>
                <w:rStyle w:val="Hyperlink"/>
                <w:noProof/>
              </w:rPr>
              <w:t>A.15 Program Changes or Adjustments</w:t>
            </w:r>
            <w:r w:rsidR="00962220">
              <w:rPr>
                <w:noProof/>
                <w:webHidden/>
              </w:rPr>
              <w:tab/>
            </w:r>
            <w:r w:rsidR="00962220">
              <w:rPr>
                <w:noProof/>
                <w:webHidden/>
              </w:rPr>
              <w:fldChar w:fldCharType="begin"/>
            </w:r>
            <w:r w:rsidR="00962220">
              <w:rPr>
                <w:noProof/>
                <w:webHidden/>
              </w:rPr>
              <w:instrText xml:space="preserve"> PAGEREF _Toc90302124 \h </w:instrText>
            </w:r>
            <w:r w:rsidR="00962220">
              <w:rPr>
                <w:noProof/>
                <w:webHidden/>
              </w:rPr>
            </w:r>
            <w:r w:rsidR="00962220">
              <w:rPr>
                <w:noProof/>
                <w:webHidden/>
              </w:rPr>
              <w:fldChar w:fldCharType="separate"/>
            </w:r>
            <w:r w:rsidR="007657B2">
              <w:rPr>
                <w:noProof/>
                <w:webHidden/>
              </w:rPr>
              <w:t>19</w:t>
            </w:r>
            <w:r w:rsidR="00962220">
              <w:rPr>
                <w:noProof/>
                <w:webHidden/>
              </w:rPr>
              <w:fldChar w:fldCharType="end"/>
            </w:r>
          </w:hyperlink>
        </w:p>
        <w:p w:rsidR="00962220" w:rsidRDefault="00132345" w14:paraId="2D6EDBDC" w14:textId="60E6F300">
          <w:pPr>
            <w:pStyle w:val="TOC3"/>
            <w:tabs>
              <w:tab w:val="right" w:leader="dot" w:pos="9350"/>
            </w:tabs>
            <w:rPr>
              <w:rFonts w:asciiTheme="minorHAnsi" w:hAnsiTheme="minorHAnsi" w:eastAsiaTheme="minorEastAsia"/>
              <w:noProof/>
              <w:sz w:val="22"/>
            </w:rPr>
          </w:pPr>
          <w:hyperlink w:history="1" w:anchor="_Toc90302125">
            <w:r w:rsidRPr="00A1136B" w:rsidR="00962220">
              <w:rPr>
                <w:rStyle w:val="Hyperlink"/>
                <w:noProof/>
              </w:rPr>
              <w:t>A.16 Plans for Tabulation and Publication</w:t>
            </w:r>
            <w:r w:rsidR="00962220">
              <w:rPr>
                <w:noProof/>
                <w:webHidden/>
              </w:rPr>
              <w:tab/>
            </w:r>
            <w:r w:rsidR="00962220">
              <w:rPr>
                <w:noProof/>
                <w:webHidden/>
              </w:rPr>
              <w:fldChar w:fldCharType="begin"/>
            </w:r>
            <w:r w:rsidR="00962220">
              <w:rPr>
                <w:noProof/>
                <w:webHidden/>
              </w:rPr>
              <w:instrText xml:space="preserve"> PAGEREF _Toc90302125 \h </w:instrText>
            </w:r>
            <w:r w:rsidR="00962220">
              <w:rPr>
                <w:noProof/>
                <w:webHidden/>
              </w:rPr>
            </w:r>
            <w:r w:rsidR="00962220">
              <w:rPr>
                <w:noProof/>
                <w:webHidden/>
              </w:rPr>
              <w:fldChar w:fldCharType="separate"/>
            </w:r>
            <w:r w:rsidR="007657B2">
              <w:rPr>
                <w:noProof/>
                <w:webHidden/>
              </w:rPr>
              <w:t>19</w:t>
            </w:r>
            <w:r w:rsidR="00962220">
              <w:rPr>
                <w:noProof/>
                <w:webHidden/>
              </w:rPr>
              <w:fldChar w:fldCharType="end"/>
            </w:r>
          </w:hyperlink>
        </w:p>
        <w:p w:rsidR="00962220" w:rsidRDefault="00132345" w14:paraId="10F55F6A" w14:textId="3FED3D5D">
          <w:pPr>
            <w:pStyle w:val="TOC3"/>
            <w:tabs>
              <w:tab w:val="right" w:leader="dot" w:pos="9350"/>
            </w:tabs>
            <w:rPr>
              <w:rFonts w:asciiTheme="minorHAnsi" w:hAnsiTheme="minorHAnsi" w:eastAsiaTheme="minorEastAsia"/>
              <w:noProof/>
              <w:sz w:val="22"/>
            </w:rPr>
          </w:pPr>
          <w:hyperlink w:history="1" w:anchor="_Toc90302126">
            <w:r w:rsidRPr="00A1136B" w:rsidR="00962220">
              <w:rPr>
                <w:rStyle w:val="Hyperlink"/>
                <w:noProof/>
              </w:rPr>
              <w:t>A.17 Display OMB Expiration Date</w:t>
            </w:r>
            <w:r w:rsidR="00962220">
              <w:rPr>
                <w:noProof/>
                <w:webHidden/>
              </w:rPr>
              <w:tab/>
            </w:r>
          </w:hyperlink>
          <w:r>
            <w:rPr>
              <w:noProof/>
            </w:rPr>
            <w:t>19</w:t>
          </w:r>
        </w:p>
        <w:p w:rsidR="00962220" w:rsidRDefault="00132345" w14:paraId="305A2CD7" w14:textId="4151403D">
          <w:pPr>
            <w:pStyle w:val="TOC3"/>
            <w:tabs>
              <w:tab w:val="right" w:leader="dot" w:pos="9350"/>
            </w:tabs>
            <w:rPr>
              <w:rFonts w:asciiTheme="minorHAnsi" w:hAnsiTheme="minorHAnsi" w:eastAsiaTheme="minorEastAsia"/>
              <w:noProof/>
              <w:sz w:val="22"/>
            </w:rPr>
          </w:pPr>
          <w:hyperlink w:history="1" w:anchor="_Toc90302127">
            <w:r w:rsidRPr="00A1136B" w:rsidR="00962220">
              <w:rPr>
                <w:rStyle w:val="Hyperlink"/>
                <w:noProof/>
              </w:rPr>
              <w:t>A.18 Exceptions of Certification Statement</w:t>
            </w:r>
            <w:r w:rsidR="00962220">
              <w:rPr>
                <w:noProof/>
                <w:webHidden/>
              </w:rPr>
              <w:tab/>
            </w:r>
          </w:hyperlink>
          <w:r>
            <w:rPr>
              <w:noProof/>
            </w:rPr>
            <w:t>19</w:t>
          </w:r>
        </w:p>
        <w:p w:rsidRPr="005777F1" w:rsidR="00E4011D" w:rsidRDefault="00E4011D" w14:paraId="68BEFAE1" w14:textId="2C46DE93">
          <w:r w:rsidRPr="005777F1">
            <w:rPr>
              <w:rFonts w:eastAsia="Calibri" w:cs="Times New Roman"/>
              <w:szCs w:val="20"/>
            </w:rPr>
            <w:fldChar w:fldCharType="end"/>
          </w:r>
        </w:p>
      </w:sdtContent>
    </w:sdt>
    <w:p w:rsidRPr="005777F1" w:rsidR="00D46A03" w:rsidP="00D46A03" w:rsidRDefault="00D46A03" w14:paraId="5A65ED90" w14:textId="77777777">
      <w:pPr>
        <w:pStyle w:val="Level1"/>
        <w:ind w:left="360"/>
        <w:rPr>
          <w:rFonts w:ascii="Times New Roman" w:hAnsi="Times New Roman"/>
          <w:b w:val="0"/>
          <w:szCs w:val="24"/>
        </w:rPr>
      </w:pPr>
    </w:p>
    <w:p w:rsidRPr="005777F1" w:rsidR="008C2095" w:rsidRDefault="008C2095" w14:paraId="37B44839" w14:textId="0A6766E4">
      <w:pPr>
        <w:rPr>
          <w:rFonts w:cs="Times New Roman"/>
          <w:szCs w:val="24"/>
        </w:rPr>
      </w:pPr>
    </w:p>
    <w:p w:rsidR="00227053" w:rsidRDefault="00227053" w14:paraId="6A719D6E" w14:textId="77777777">
      <w:pPr>
        <w:rPr>
          <w:rFonts w:eastAsiaTheme="majorEastAsia" w:cstheme="majorBidi"/>
          <w:b/>
          <w:caps/>
          <w:sz w:val="28"/>
          <w:szCs w:val="28"/>
        </w:rPr>
      </w:pPr>
      <w:bookmarkStart w:name="_Hlk527645309" w:id="0"/>
      <w:r>
        <w:rPr>
          <w:sz w:val="28"/>
          <w:szCs w:val="28"/>
        </w:rPr>
        <w:br w:type="page"/>
      </w:r>
    </w:p>
    <w:p w:rsidRPr="002F2BF4" w:rsidR="002F2BF4" w:rsidP="002F2BF4" w:rsidRDefault="002F2BF4" w14:paraId="35CDAF60" w14:textId="3CC4F180">
      <w:pPr>
        <w:pStyle w:val="Heading1"/>
        <w:jc w:val="center"/>
        <w:rPr>
          <w:sz w:val="28"/>
          <w:szCs w:val="28"/>
        </w:rPr>
      </w:pPr>
      <w:bookmarkStart w:name="_Toc90302107" w:id="1"/>
      <w:r w:rsidRPr="002F2BF4">
        <w:rPr>
          <w:sz w:val="28"/>
          <w:szCs w:val="28"/>
        </w:rPr>
        <w:lastRenderedPageBreak/>
        <w:t xml:space="preserve">SUPPORTING STATEMENT </w:t>
      </w:r>
      <w:proofErr w:type="gramStart"/>
      <w:r w:rsidR="009A6D4B">
        <w:rPr>
          <w:sz w:val="28"/>
          <w:szCs w:val="28"/>
        </w:rPr>
        <w:t>PART</w:t>
      </w:r>
      <w:proofErr w:type="gramEnd"/>
      <w:r w:rsidR="009A6D4B">
        <w:rPr>
          <w:sz w:val="28"/>
          <w:szCs w:val="28"/>
        </w:rPr>
        <w:t xml:space="preserve"> </w:t>
      </w:r>
      <w:r w:rsidRPr="002F2BF4">
        <w:rPr>
          <w:sz w:val="28"/>
          <w:szCs w:val="28"/>
        </w:rPr>
        <w:t>A</w:t>
      </w:r>
      <w:bookmarkEnd w:id="1"/>
    </w:p>
    <w:p w:rsidRPr="005777F1" w:rsidR="005E4D22" w:rsidP="002F2BF4" w:rsidRDefault="00DA36B1" w14:paraId="2D330A57" w14:textId="5B06FABB">
      <w:pPr>
        <w:pStyle w:val="Heading2"/>
      </w:pPr>
      <w:bookmarkStart w:name="_Toc90302108" w:id="2"/>
      <w:r w:rsidRPr="005777F1">
        <w:t>INTRODUCTION</w:t>
      </w:r>
      <w:bookmarkEnd w:id="2"/>
      <w:r w:rsidRPr="005777F1">
        <w:t xml:space="preserve"> </w:t>
      </w:r>
    </w:p>
    <w:p w:rsidR="001B06BB" w:rsidP="004F6EC1" w:rsidRDefault="004F6EC1" w14:paraId="7B199182" w14:textId="43F9DF85">
      <w:pPr>
        <w:rPr>
          <w:rFonts w:cs="Times New Roman"/>
          <w:szCs w:val="24"/>
        </w:rPr>
      </w:pPr>
      <w:r w:rsidRPr="005777F1">
        <w:rPr>
          <w:rFonts w:cs="Times New Roman"/>
          <w:szCs w:val="24"/>
        </w:rPr>
        <w:t xml:space="preserve">The Department of Transportation is requesting a </w:t>
      </w:r>
      <w:r w:rsidRPr="005777F1" w:rsidR="00A74829">
        <w:rPr>
          <w:rFonts w:cs="Times New Roman"/>
          <w:szCs w:val="24"/>
        </w:rPr>
        <w:t>one</w:t>
      </w:r>
      <w:r w:rsidRPr="005777F1">
        <w:rPr>
          <w:rFonts w:cs="Times New Roman"/>
          <w:szCs w:val="24"/>
        </w:rPr>
        <w:t xml:space="preserve">-year approval for a new information collection, </w:t>
      </w:r>
      <w:r w:rsidRPr="005777F1">
        <w:rPr>
          <w:rFonts w:cs="Times New Roman"/>
          <w:szCs w:val="24"/>
          <w:u w:val="single"/>
        </w:rPr>
        <w:t>Mariner Survey</w:t>
      </w:r>
      <w:r w:rsidRPr="005777F1" w:rsidR="00A74829">
        <w:rPr>
          <w:rFonts w:cs="Times New Roman"/>
          <w:szCs w:val="24"/>
          <w:u w:val="single"/>
        </w:rPr>
        <w:t xml:space="preserve"> P</w:t>
      </w:r>
      <w:r w:rsidR="00CD1DE9">
        <w:rPr>
          <w:rFonts w:cs="Times New Roman"/>
          <w:szCs w:val="24"/>
          <w:u w:val="single"/>
        </w:rPr>
        <w:t>re-</w:t>
      </w:r>
      <w:r w:rsidRPr="005777F1" w:rsidR="00A74829">
        <w:rPr>
          <w:rFonts w:cs="Times New Roman"/>
          <w:szCs w:val="24"/>
          <w:u w:val="single"/>
        </w:rPr>
        <w:t>Test</w:t>
      </w:r>
      <w:r w:rsidRPr="005777F1">
        <w:rPr>
          <w:rFonts w:cs="Times New Roman"/>
          <w:szCs w:val="24"/>
        </w:rPr>
        <w:t xml:space="preserve"> (</w:t>
      </w:r>
      <w:bookmarkStart w:name="_Hlk24538181" w:id="3"/>
      <w:r w:rsidRPr="005777F1">
        <w:rPr>
          <w:rFonts w:cs="Times New Roman"/>
          <w:szCs w:val="24"/>
        </w:rPr>
        <w:t>OMB Control No. 2133-NEW</w:t>
      </w:r>
      <w:bookmarkEnd w:id="3"/>
      <w:r w:rsidRPr="005777F1">
        <w:rPr>
          <w:rFonts w:cs="Times New Roman"/>
          <w:szCs w:val="24"/>
        </w:rPr>
        <w:t xml:space="preserve">). </w:t>
      </w:r>
      <w:bookmarkStart w:name="_Hlk77162893" w:id="4"/>
      <w:r w:rsidRPr="005777F1">
        <w:rPr>
          <w:rFonts w:cs="Times New Roman"/>
          <w:szCs w:val="24"/>
        </w:rPr>
        <w:t>Th</w:t>
      </w:r>
      <w:r w:rsidR="00217BCA">
        <w:rPr>
          <w:rFonts w:cs="Times New Roman"/>
          <w:szCs w:val="24"/>
        </w:rPr>
        <w:t>is</w:t>
      </w:r>
      <w:r w:rsidRPr="005777F1">
        <w:rPr>
          <w:rFonts w:cs="Times New Roman"/>
          <w:szCs w:val="24"/>
        </w:rPr>
        <w:t xml:space="preserve"> </w:t>
      </w:r>
      <w:r w:rsidRPr="001B0657" w:rsidR="007D2C68">
        <w:rPr>
          <w:rFonts w:cs="Times New Roman"/>
          <w:szCs w:val="24"/>
          <w:u w:val="single"/>
        </w:rPr>
        <w:t>Mariner Survey Pre-Test</w:t>
      </w:r>
      <w:r w:rsidRPr="005777F1">
        <w:rPr>
          <w:rFonts w:cs="Times New Roman"/>
          <w:szCs w:val="24"/>
        </w:rPr>
        <w:t xml:space="preserve"> information collection </w:t>
      </w:r>
      <w:r w:rsidR="001B06BB">
        <w:rPr>
          <w:rFonts w:cs="Times New Roman"/>
          <w:szCs w:val="24"/>
        </w:rPr>
        <w:t>is limited to</w:t>
      </w:r>
      <w:r w:rsidRPr="005777F1" w:rsidR="00A74829">
        <w:rPr>
          <w:rFonts w:cs="Times New Roman"/>
          <w:szCs w:val="24"/>
        </w:rPr>
        <w:t xml:space="preserve"> </w:t>
      </w:r>
      <w:r w:rsidR="00CD1DE9">
        <w:rPr>
          <w:rFonts w:cs="Times New Roman"/>
          <w:szCs w:val="24"/>
        </w:rPr>
        <w:t xml:space="preserve">cognitive </w:t>
      </w:r>
      <w:r w:rsidR="00A51F44">
        <w:rPr>
          <w:rFonts w:cs="Times New Roman"/>
          <w:szCs w:val="24"/>
        </w:rPr>
        <w:t>interviews</w:t>
      </w:r>
      <w:r w:rsidRPr="005777F1" w:rsidR="00A74829">
        <w:rPr>
          <w:rFonts w:cs="Times New Roman"/>
          <w:szCs w:val="24"/>
        </w:rPr>
        <w:t xml:space="preserve"> </w:t>
      </w:r>
      <w:r w:rsidR="00CD1DE9">
        <w:rPr>
          <w:rFonts w:cs="Times New Roman"/>
          <w:szCs w:val="24"/>
        </w:rPr>
        <w:t xml:space="preserve">and a pilot survey </w:t>
      </w:r>
      <w:bookmarkStart w:name="_Hlk77160249" w:id="5"/>
      <w:r w:rsidR="007D2C68">
        <w:rPr>
          <w:rFonts w:cs="Times New Roman"/>
          <w:szCs w:val="24"/>
        </w:rPr>
        <w:t>of</w:t>
      </w:r>
      <w:r w:rsidR="009F1F62">
        <w:rPr>
          <w:rFonts w:cs="Times New Roman"/>
          <w:szCs w:val="24"/>
        </w:rPr>
        <w:t xml:space="preserve"> </w:t>
      </w:r>
      <w:r w:rsidR="007D2C68">
        <w:rPr>
          <w:rFonts w:cs="Times New Roman"/>
          <w:szCs w:val="24"/>
        </w:rPr>
        <w:t xml:space="preserve">a sample of appropriately </w:t>
      </w:r>
      <w:r w:rsidRPr="005777F1" w:rsidR="007D2C68">
        <w:rPr>
          <w:rFonts w:cs="Times New Roman"/>
          <w:szCs w:val="24"/>
        </w:rPr>
        <w:t>credentialed U.S. merchant mariners</w:t>
      </w:r>
      <w:r w:rsidR="007D2C68">
        <w:rPr>
          <w:rFonts w:cs="Times New Roman"/>
          <w:szCs w:val="24"/>
        </w:rPr>
        <w:t xml:space="preserve"> </w:t>
      </w:r>
      <w:bookmarkEnd w:id="5"/>
      <w:r w:rsidRPr="005777F1" w:rsidR="00A74829">
        <w:rPr>
          <w:rFonts w:cs="Times New Roman"/>
          <w:szCs w:val="24"/>
        </w:rPr>
        <w:t xml:space="preserve">to </w:t>
      </w:r>
      <w:r w:rsidR="008E319B">
        <w:rPr>
          <w:rFonts w:cs="Times New Roman"/>
          <w:szCs w:val="24"/>
        </w:rPr>
        <w:t>validate</w:t>
      </w:r>
      <w:r w:rsidRPr="005777F1" w:rsidR="00A74829">
        <w:rPr>
          <w:rFonts w:cs="Times New Roman"/>
          <w:szCs w:val="24"/>
        </w:rPr>
        <w:t xml:space="preserve"> and improve the design </w:t>
      </w:r>
      <w:r w:rsidR="001B06BB">
        <w:rPr>
          <w:rFonts w:cs="Times New Roman"/>
          <w:szCs w:val="24"/>
        </w:rPr>
        <w:t xml:space="preserve">of the questionnaire and other survey components </w:t>
      </w:r>
      <w:r w:rsidRPr="005777F1" w:rsidR="00A74829">
        <w:rPr>
          <w:rFonts w:cs="Times New Roman"/>
          <w:szCs w:val="24"/>
        </w:rPr>
        <w:t xml:space="preserve">for </w:t>
      </w:r>
      <w:r w:rsidR="008E319B">
        <w:rPr>
          <w:rFonts w:cs="Times New Roman"/>
          <w:szCs w:val="24"/>
        </w:rPr>
        <w:t>a</w:t>
      </w:r>
      <w:r w:rsidR="00A51F44">
        <w:rPr>
          <w:rFonts w:cs="Times New Roman"/>
          <w:szCs w:val="24"/>
        </w:rPr>
        <w:t xml:space="preserve"> subsequent </w:t>
      </w:r>
      <w:r w:rsidR="007D2C68">
        <w:rPr>
          <w:rFonts w:cs="Times New Roman"/>
          <w:szCs w:val="24"/>
        </w:rPr>
        <w:t xml:space="preserve">full </w:t>
      </w:r>
      <w:r w:rsidR="00A51F44">
        <w:rPr>
          <w:rFonts w:cs="Times New Roman"/>
          <w:szCs w:val="24"/>
        </w:rPr>
        <w:t>Mariner Survey.</w:t>
      </w:r>
    </w:p>
    <w:p w:rsidRPr="005777F1" w:rsidR="004F6EC1" w:rsidP="004F6EC1" w:rsidRDefault="001B06BB" w14:paraId="0BD1C594" w14:textId="1BF75D66">
      <w:pPr>
        <w:rPr>
          <w:rFonts w:cs="Times New Roman"/>
          <w:szCs w:val="24"/>
        </w:rPr>
      </w:pPr>
      <w:bookmarkStart w:name="_Hlk77164326" w:id="6"/>
      <w:r w:rsidRPr="005777F1">
        <w:rPr>
          <w:rFonts w:cs="Times New Roman"/>
          <w:szCs w:val="24"/>
        </w:rPr>
        <w:t>Upon completion of the P</w:t>
      </w:r>
      <w:r>
        <w:rPr>
          <w:rFonts w:cs="Times New Roman"/>
          <w:szCs w:val="24"/>
        </w:rPr>
        <w:t>re-</w:t>
      </w:r>
      <w:r w:rsidRPr="005777F1">
        <w:rPr>
          <w:rFonts w:cs="Times New Roman"/>
          <w:szCs w:val="24"/>
        </w:rPr>
        <w:t xml:space="preserve">Test </w:t>
      </w:r>
      <w:r w:rsidR="00217BCA">
        <w:rPr>
          <w:rFonts w:cs="Times New Roman"/>
          <w:szCs w:val="24"/>
        </w:rPr>
        <w:t xml:space="preserve">collection and </w:t>
      </w:r>
      <w:r w:rsidRPr="005777F1">
        <w:rPr>
          <w:rFonts w:cs="Times New Roman"/>
          <w:szCs w:val="24"/>
        </w:rPr>
        <w:t xml:space="preserve">analysis, </w:t>
      </w:r>
      <w:r w:rsidRPr="005777F1" w:rsidR="005A0024">
        <w:rPr>
          <w:rFonts w:cs="Times New Roman"/>
          <w:szCs w:val="24"/>
          <w:u w:val="single"/>
        </w:rPr>
        <w:t>Maritime Administration</w:t>
      </w:r>
      <w:r w:rsidRPr="00C73F9D" w:rsidR="005A0024">
        <w:rPr>
          <w:rFonts w:cs="Times New Roman"/>
          <w:szCs w:val="24"/>
        </w:rPr>
        <w:t xml:space="preserve"> (</w:t>
      </w:r>
      <w:r w:rsidRPr="005777F1">
        <w:rPr>
          <w:rFonts w:cs="Times New Roman"/>
          <w:szCs w:val="24"/>
        </w:rPr>
        <w:t>MARAD</w:t>
      </w:r>
      <w:r w:rsidR="005A0024">
        <w:rPr>
          <w:rFonts w:cs="Times New Roman"/>
          <w:szCs w:val="24"/>
        </w:rPr>
        <w:t>)</w:t>
      </w:r>
      <w:r w:rsidRPr="005777F1">
        <w:rPr>
          <w:rFonts w:cs="Times New Roman"/>
          <w:szCs w:val="24"/>
        </w:rPr>
        <w:t xml:space="preserve"> intends to submit a separate request for a</w:t>
      </w:r>
      <w:r w:rsidR="009F1F62">
        <w:rPr>
          <w:rFonts w:cs="Times New Roman"/>
          <w:szCs w:val="24"/>
        </w:rPr>
        <w:t xml:space="preserve"> </w:t>
      </w:r>
      <w:r w:rsidRPr="005777F1">
        <w:rPr>
          <w:rFonts w:cs="Times New Roman"/>
          <w:szCs w:val="24"/>
        </w:rPr>
        <w:t xml:space="preserve">three-year approval for the full biennial Mariner Survey after issuing </w:t>
      </w:r>
      <w:r>
        <w:rPr>
          <w:rFonts w:cs="Times New Roman"/>
          <w:szCs w:val="24"/>
        </w:rPr>
        <w:t>new</w:t>
      </w:r>
      <w:r w:rsidR="009F1F62">
        <w:rPr>
          <w:rFonts w:cs="Times New Roman"/>
          <w:szCs w:val="24"/>
        </w:rPr>
        <w:t xml:space="preserve"> </w:t>
      </w:r>
      <w:r w:rsidRPr="005777F1">
        <w:rPr>
          <w:rFonts w:cs="Times New Roman"/>
          <w:szCs w:val="24"/>
        </w:rPr>
        <w:t>60-day and 30-day notices in the Federal Register.</w:t>
      </w:r>
      <w:r>
        <w:rPr>
          <w:rFonts w:cs="Times New Roman"/>
          <w:szCs w:val="24"/>
        </w:rPr>
        <w:t xml:space="preserve"> </w:t>
      </w:r>
      <w:r w:rsidR="00A51F44">
        <w:rPr>
          <w:rFonts w:cs="Times New Roman"/>
          <w:szCs w:val="24"/>
        </w:rPr>
        <w:t xml:space="preserve">The Mariner Survey will be </w:t>
      </w:r>
      <w:r w:rsidRPr="005777F1" w:rsidR="00A74829">
        <w:rPr>
          <w:rFonts w:cs="Times New Roman"/>
          <w:szCs w:val="24"/>
        </w:rPr>
        <w:t>a</w:t>
      </w:r>
      <w:r w:rsidRPr="005777F1" w:rsidR="004F6EC1">
        <w:rPr>
          <w:rFonts w:cs="Times New Roman"/>
          <w:szCs w:val="24"/>
        </w:rPr>
        <w:t xml:space="preserve"> biennial voluntary survey of all appropriately credentialed U.S. merchant mariners to determine the number of qualified mariners who are available and willing to serve on short notice on U.S. government-owned</w:t>
      </w:r>
      <w:r w:rsidR="00C73F9D">
        <w:rPr>
          <w:rFonts w:cs="Times New Roman"/>
          <w:szCs w:val="24"/>
        </w:rPr>
        <w:t xml:space="preserve"> or privately-owned vessels to support</w:t>
      </w:r>
      <w:r w:rsidRPr="005777F1" w:rsidR="004F6EC1">
        <w:rPr>
          <w:rFonts w:cs="Times New Roman"/>
          <w:szCs w:val="24"/>
        </w:rPr>
        <w:t xml:space="preserve"> </w:t>
      </w:r>
      <w:r w:rsidR="00510443">
        <w:rPr>
          <w:rFonts w:cs="Times New Roman"/>
          <w:szCs w:val="24"/>
        </w:rPr>
        <w:t>future</w:t>
      </w:r>
      <w:r w:rsidR="002720B6">
        <w:rPr>
          <w:rFonts w:cs="Times New Roman"/>
          <w:szCs w:val="24"/>
        </w:rPr>
        <w:t xml:space="preserve"> period</w:t>
      </w:r>
      <w:r w:rsidR="00510443">
        <w:rPr>
          <w:rFonts w:cs="Times New Roman"/>
          <w:szCs w:val="24"/>
        </w:rPr>
        <w:t>s</w:t>
      </w:r>
      <w:r w:rsidR="002720B6">
        <w:rPr>
          <w:rFonts w:cs="Times New Roman"/>
          <w:szCs w:val="24"/>
        </w:rPr>
        <w:t xml:space="preserve"> of National Need</w:t>
      </w:r>
      <w:r w:rsidRPr="005777F1" w:rsidR="004F6EC1">
        <w:rPr>
          <w:rFonts w:cs="Times New Roman"/>
          <w:szCs w:val="24"/>
        </w:rPr>
        <w:t>.</w:t>
      </w:r>
      <w:r>
        <w:rPr>
          <w:rFonts w:cs="Times New Roman"/>
          <w:szCs w:val="24"/>
        </w:rPr>
        <w:t xml:space="preserve"> </w:t>
      </w:r>
      <w:bookmarkEnd w:id="4"/>
      <w:r w:rsidRPr="005777F1" w:rsidR="004F6EC1">
        <w:rPr>
          <w:rFonts w:cs="Times New Roman"/>
          <w:szCs w:val="24"/>
        </w:rPr>
        <w:t>The most recent survey of this scope was completed in 2002.</w:t>
      </w:r>
      <w:bookmarkStart w:name="_Hlk84836387" w:id="7"/>
      <w:r w:rsidRPr="005777F1" w:rsidR="004F6EC1">
        <w:rPr>
          <w:rFonts w:cs="Times New Roman"/>
          <w:szCs w:val="24"/>
        </w:rPr>
        <w:t xml:space="preserve"> </w:t>
      </w:r>
      <w:bookmarkStart w:name="_Hlk84836076" w:id="8"/>
      <w:r w:rsidRPr="005777F1" w:rsidR="004F6EC1">
        <w:rPr>
          <w:rFonts w:cs="Times New Roman"/>
          <w:szCs w:val="24"/>
        </w:rPr>
        <w:t>Th</w:t>
      </w:r>
      <w:r w:rsidR="00510443">
        <w:rPr>
          <w:rFonts w:cs="Times New Roman"/>
          <w:szCs w:val="24"/>
        </w:rPr>
        <w:t xml:space="preserve">is lag of almost two decades </w:t>
      </w:r>
      <w:r w:rsidR="009F0162">
        <w:rPr>
          <w:rFonts w:cs="Times New Roman"/>
          <w:szCs w:val="24"/>
        </w:rPr>
        <w:t>highlights the critical void for</w:t>
      </w:r>
      <w:r w:rsidR="00510443">
        <w:rPr>
          <w:rFonts w:cs="Times New Roman"/>
          <w:szCs w:val="24"/>
        </w:rPr>
        <w:t xml:space="preserve"> th</w:t>
      </w:r>
      <w:r w:rsidRPr="005777F1" w:rsidR="004F6EC1">
        <w:rPr>
          <w:rFonts w:cs="Times New Roman"/>
          <w:szCs w:val="24"/>
        </w:rPr>
        <w:t>e</w:t>
      </w:r>
      <w:r w:rsidR="009F0162">
        <w:rPr>
          <w:rFonts w:cs="Times New Roman"/>
          <w:szCs w:val="24"/>
        </w:rPr>
        <w:t xml:space="preserve"> </w:t>
      </w:r>
      <w:r w:rsidRPr="005777F1" w:rsidR="009F0162">
        <w:rPr>
          <w:rFonts w:cs="Times New Roman"/>
          <w:szCs w:val="24"/>
        </w:rPr>
        <w:t>U.S. national security</w:t>
      </w:r>
      <w:r w:rsidR="009F0162">
        <w:rPr>
          <w:rFonts w:cs="Times New Roman"/>
          <w:szCs w:val="24"/>
        </w:rPr>
        <w:t xml:space="preserve"> vis-à-vis </w:t>
      </w:r>
      <w:r w:rsidRPr="005777F1" w:rsidR="004F6EC1">
        <w:rPr>
          <w:rFonts w:cs="Times New Roman"/>
          <w:szCs w:val="24"/>
        </w:rPr>
        <w:t>reliable</w:t>
      </w:r>
      <w:r w:rsidR="009F0162">
        <w:rPr>
          <w:rFonts w:cs="Times New Roman"/>
          <w:szCs w:val="24"/>
        </w:rPr>
        <w:t xml:space="preserve"> and</w:t>
      </w:r>
      <w:r w:rsidRPr="005777F1" w:rsidR="004F6EC1">
        <w:rPr>
          <w:rFonts w:cs="Times New Roman"/>
          <w:szCs w:val="24"/>
        </w:rPr>
        <w:t xml:space="preserve"> current estimate</w:t>
      </w:r>
      <w:r w:rsidR="009F0162">
        <w:rPr>
          <w:rFonts w:cs="Times New Roman"/>
          <w:szCs w:val="24"/>
        </w:rPr>
        <w:t>s</w:t>
      </w:r>
      <w:r w:rsidRPr="005777F1" w:rsidR="004F6EC1">
        <w:rPr>
          <w:rFonts w:cs="Times New Roman"/>
          <w:szCs w:val="24"/>
        </w:rPr>
        <w:t xml:space="preserve"> on the number of mariners willing to </w:t>
      </w:r>
      <w:r w:rsidR="00510443">
        <w:rPr>
          <w:rFonts w:cs="Times New Roman"/>
          <w:szCs w:val="24"/>
        </w:rPr>
        <w:t xml:space="preserve">fulfill such needs, including </w:t>
      </w:r>
      <w:r w:rsidRPr="005777F1" w:rsidR="004F6EC1">
        <w:rPr>
          <w:rFonts w:cs="Times New Roman"/>
          <w:szCs w:val="24"/>
        </w:rPr>
        <w:t>serv</w:t>
      </w:r>
      <w:r w:rsidR="00510443">
        <w:rPr>
          <w:rFonts w:cs="Times New Roman"/>
          <w:szCs w:val="24"/>
        </w:rPr>
        <w:t>ing</w:t>
      </w:r>
      <w:r w:rsidRPr="005777F1" w:rsidR="004F6EC1">
        <w:rPr>
          <w:rFonts w:cs="Times New Roman"/>
          <w:szCs w:val="24"/>
        </w:rPr>
        <w:t xml:space="preserve"> in times of war, armed conflict, or national emergency</w:t>
      </w:r>
      <w:r w:rsidR="009F0162">
        <w:rPr>
          <w:rFonts w:cs="Times New Roman"/>
          <w:szCs w:val="24"/>
        </w:rPr>
        <w:t>.</w:t>
      </w:r>
      <w:bookmarkEnd w:id="7"/>
      <w:bookmarkEnd w:id="8"/>
    </w:p>
    <w:p w:rsidRPr="005777F1" w:rsidR="004F6EC1" w:rsidP="004F6EC1" w:rsidRDefault="004F6EC1" w14:paraId="099570AC" w14:textId="67A02F1C">
      <w:pPr>
        <w:rPr>
          <w:rFonts w:cs="Times New Roman"/>
          <w:szCs w:val="24"/>
        </w:rPr>
      </w:pPr>
      <w:bookmarkStart w:name="_Hlk81244071" w:id="9"/>
      <w:bookmarkEnd w:id="6"/>
      <w:r w:rsidRPr="005777F1">
        <w:rPr>
          <w:rFonts w:cs="Times New Roman"/>
          <w:szCs w:val="24"/>
        </w:rPr>
        <w:t>The current Merchant Mariner Licensing and Documentation (MMLD) database system, developed and maintained by the United States Coast Guard (USCG), was designed for the sole purpose of issuing mariner credentials</w:t>
      </w:r>
      <w:r w:rsidRPr="005777F1" w:rsidR="00EA4494">
        <w:rPr>
          <w:rFonts w:cs="Times New Roman"/>
          <w:szCs w:val="24"/>
        </w:rPr>
        <w:t xml:space="preserve">. The MMLD database is updated daily and </w:t>
      </w:r>
      <w:r w:rsidRPr="005777F1" w:rsidR="00EA4494">
        <w:t xml:space="preserve">contains </w:t>
      </w:r>
      <w:r w:rsidRPr="005777F1" w:rsidR="00A74829">
        <w:t xml:space="preserve">certain </w:t>
      </w:r>
      <w:r w:rsidRPr="005777F1" w:rsidR="00EA4494">
        <w:t>information on every mariner that has been issued a Merchant Mariner Credential.</w:t>
      </w:r>
      <w:r w:rsidRPr="005777F1" w:rsidR="00EA4494">
        <w:rPr>
          <w:rFonts w:cs="Times New Roman"/>
          <w:szCs w:val="24"/>
        </w:rPr>
        <w:t xml:space="preserve"> However, the MMLD </w:t>
      </w:r>
      <w:r w:rsidRPr="005777F1">
        <w:rPr>
          <w:rFonts w:cs="Times New Roman"/>
          <w:szCs w:val="24"/>
        </w:rPr>
        <w:t xml:space="preserve">does not </w:t>
      </w:r>
      <w:r w:rsidRPr="005777F1" w:rsidR="00A74829">
        <w:rPr>
          <w:rFonts w:cs="Times New Roman"/>
          <w:szCs w:val="24"/>
        </w:rPr>
        <w:t>collect any information</w:t>
      </w:r>
      <w:r w:rsidR="009F1F62">
        <w:rPr>
          <w:rFonts w:cs="Times New Roman"/>
          <w:szCs w:val="24"/>
        </w:rPr>
        <w:t xml:space="preserve"> </w:t>
      </w:r>
      <w:r w:rsidRPr="005777F1" w:rsidR="00A74829">
        <w:rPr>
          <w:rFonts w:cs="Times New Roman"/>
          <w:szCs w:val="24"/>
        </w:rPr>
        <w:t>on</w:t>
      </w:r>
      <w:r w:rsidR="009F1F62">
        <w:rPr>
          <w:rFonts w:cs="Times New Roman"/>
          <w:szCs w:val="24"/>
        </w:rPr>
        <w:t xml:space="preserve"> </w:t>
      </w:r>
      <w:r w:rsidRPr="005777F1">
        <w:rPr>
          <w:rFonts w:cs="Times New Roman"/>
          <w:szCs w:val="24"/>
        </w:rPr>
        <w:t>mariner willingness to serve</w:t>
      </w:r>
      <w:r w:rsidRPr="005777F1" w:rsidR="00A74829">
        <w:rPr>
          <w:rFonts w:cs="Times New Roman"/>
          <w:szCs w:val="24"/>
        </w:rPr>
        <w:t xml:space="preserve"> or</w:t>
      </w:r>
      <w:r w:rsidR="009F1F62">
        <w:rPr>
          <w:rFonts w:cs="Times New Roman"/>
          <w:szCs w:val="24"/>
        </w:rPr>
        <w:t xml:space="preserve"> </w:t>
      </w:r>
      <w:r w:rsidRPr="005777F1">
        <w:rPr>
          <w:rFonts w:cs="Times New Roman"/>
          <w:szCs w:val="24"/>
        </w:rPr>
        <w:t>their availability at times of need</w:t>
      </w:r>
      <w:r w:rsidRPr="005777F1" w:rsidR="00A74829">
        <w:rPr>
          <w:rFonts w:cs="Times New Roman"/>
          <w:szCs w:val="24"/>
        </w:rPr>
        <w:t>.</w:t>
      </w:r>
      <w:r w:rsidR="009F1F62">
        <w:rPr>
          <w:rFonts w:cs="Times New Roman"/>
          <w:szCs w:val="24"/>
        </w:rPr>
        <w:t xml:space="preserve"> </w:t>
      </w:r>
      <w:r w:rsidRPr="005777F1" w:rsidR="00A74829">
        <w:rPr>
          <w:rFonts w:cs="Times New Roman"/>
          <w:szCs w:val="24"/>
        </w:rPr>
        <w:t xml:space="preserve">The MMLD also does not include the capability to provide </w:t>
      </w:r>
      <w:r w:rsidRPr="005777F1" w:rsidR="009633CD">
        <w:rPr>
          <w:rFonts w:cs="Times New Roman"/>
          <w:szCs w:val="24"/>
        </w:rPr>
        <w:t xml:space="preserve">complete </w:t>
      </w:r>
      <w:r w:rsidRPr="005777F1">
        <w:rPr>
          <w:rFonts w:cs="Times New Roman"/>
          <w:szCs w:val="24"/>
        </w:rPr>
        <w:t xml:space="preserve">details of </w:t>
      </w:r>
      <w:r w:rsidRPr="005777F1" w:rsidR="00A74829">
        <w:rPr>
          <w:rFonts w:cs="Times New Roman"/>
          <w:szCs w:val="24"/>
        </w:rPr>
        <w:t xml:space="preserve">mariner </w:t>
      </w:r>
      <w:r w:rsidRPr="005777F1">
        <w:rPr>
          <w:rFonts w:cs="Times New Roman"/>
          <w:szCs w:val="24"/>
        </w:rPr>
        <w:t xml:space="preserve">sea service once the credentials are issued. </w:t>
      </w:r>
    </w:p>
    <w:bookmarkEnd w:id="9"/>
    <w:p w:rsidRPr="005777F1" w:rsidR="00433F00" w:rsidP="00433F00" w:rsidRDefault="00433F00" w14:paraId="10A2657C" w14:textId="1F565745">
      <w:pPr>
        <w:rPr>
          <w:rFonts w:cs="Times New Roman"/>
          <w:szCs w:val="24"/>
        </w:rPr>
      </w:pPr>
      <w:r w:rsidRPr="005777F1">
        <w:rPr>
          <w:rFonts w:cs="Times New Roman"/>
          <w:szCs w:val="24"/>
        </w:rPr>
        <w:t xml:space="preserve">The proposed </w:t>
      </w:r>
      <w:r w:rsidRPr="005777F1">
        <w:rPr>
          <w:rFonts w:cs="Times New Roman"/>
          <w:szCs w:val="24"/>
          <w:u w:val="single"/>
        </w:rPr>
        <w:t>Mariner Survey initiative will help the Maritime Administration (MARAD) meet its national security mission</w:t>
      </w:r>
      <w:r w:rsidRPr="005777F1">
        <w:rPr>
          <w:rFonts w:cs="Times New Roman"/>
          <w:szCs w:val="24"/>
        </w:rPr>
        <w:t xml:space="preserve">. The </w:t>
      </w:r>
      <w:r w:rsidRPr="005777F1" w:rsidR="007D194C">
        <w:rPr>
          <w:rFonts w:cs="Times New Roman"/>
          <w:szCs w:val="24"/>
        </w:rPr>
        <w:t>subsequent full Mariner Survey</w:t>
      </w:r>
      <w:r w:rsidR="009F1F62">
        <w:rPr>
          <w:rFonts w:cs="Times New Roman"/>
          <w:szCs w:val="24"/>
        </w:rPr>
        <w:t xml:space="preserve"> </w:t>
      </w:r>
      <w:r w:rsidRPr="005777F1">
        <w:rPr>
          <w:rFonts w:cs="Times New Roman"/>
          <w:szCs w:val="24"/>
        </w:rPr>
        <w:t xml:space="preserve">will provide the Agency and the Department of Transportation with </w:t>
      </w:r>
      <w:r w:rsidR="002115A7">
        <w:rPr>
          <w:rFonts w:cs="Times New Roman"/>
          <w:szCs w:val="24"/>
        </w:rPr>
        <w:t xml:space="preserve">more granular </w:t>
      </w:r>
      <w:r w:rsidRPr="005777F1">
        <w:rPr>
          <w:rFonts w:cs="Times New Roman"/>
          <w:szCs w:val="24"/>
        </w:rPr>
        <w:t xml:space="preserve">information necessary to assess the availability of sealift-qualified mariners who are willing to serve at times of National Need as recommended by the 2018 </w:t>
      </w:r>
      <w:r w:rsidRPr="005777F1">
        <w:rPr>
          <w:rFonts w:cs="Times New Roman"/>
          <w:szCs w:val="24"/>
          <w:u w:val="single"/>
        </w:rPr>
        <w:t>Maritime Workforce Working Group Report</w:t>
      </w:r>
      <w:r w:rsidRPr="005777F1">
        <w:rPr>
          <w:rStyle w:val="FootnoteReference"/>
          <w:rFonts w:cs="Times New Roman"/>
          <w:szCs w:val="24"/>
        </w:rPr>
        <w:footnoteReference w:id="1"/>
      </w:r>
      <w:r w:rsidRPr="005777F1">
        <w:rPr>
          <w:rFonts w:cs="Times New Roman"/>
          <w:szCs w:val="24"/>
        </w:rPr>
        <w:t xml:space="preserve"> and the 2015 United States Government Accountability Office (GAO) Report 15-666, </w:t>
      </w:r>
      <w:r w:rsidRPr="005777F1">
        <w:rPr>
          <w:rFonts w:cs="Times New Roman"/>
          <w:szCs w:val="24"/>
          <w:u w:val="single"/>
        </w:rPr>
        <w:t>Cargo Preference Increases Food Aid Shipping Costs, and Benefits are Unclear</w:t>
      </w:r>
      <w:r w:rsidRPr="005777F1">
        <w:rPr>
          <w:rFonts w:cs="Times New Roman"/>
          <w:szCs w:val="24"/>
        </w:rPr>
        <w:t>.</w:t>
      </w:r>
      <w:r w:rsidRPr="005777F1">
        <w:rPr>
          <w:rStyle w:val="FootnoteReference"/>
          <w:rFonts w:cs="Times New Roman"/>
          <w:szCs w:val="24"/>
        </w:rPr>
        <w:footnoteReference w:id="2"/>
      </w:r>
    </w:p>
    <w:p w:rsidRPr="005777F1" w:rsidR="00E705F2" w:rsidRDefault="009F1F62" w14:paraId="0AF9ABA1" w14:textId="297FD4A9">
      <w:pPr>
        <w:rPr>
          <w:rFonts w:cs="Times New Roman"/>
          <w:szCs w:val="24"/>
        </w:rPr>
      </w:pPr>
      <w:r>
        <w:rPr>
          <w:rFonts w:cs="Times New Roman"/>
          <w:szCs w:val="24"/>
        </w:rPr>
        <w:t xml:space="preserve"> </w:t>
      </w:r>
    </w:p>
    <w:p w:rsidRPr="005777F1" w:rsidR="005E4D22" w:rsidP="002F2BF4" w:rsidRDefault="005E4D22" w14:paraId="4CEB8E19" w14:textId="22A4657D">
      <w:pPr>
        <w:pStyle w:val="Heading2"/>
      </w:pPr>
      <w:bookmarkStart w:name="_Toc90302109" w:id="10"/>
      <w:bookmarkEnd w:id="0"/>
      <w:r w:rsidRPr="005777F1">
        <w:lastRenderedPageBreak/>
        <w:t>A</w:t>
      </w:r>
      <w:r w:rsidRPr="005777F1" w:rsidR="00EB0C0B">
        <w:t>.</w:t>
      </w:r>
      <w:r w:rsidRPr="005777F1" w:rsidR="007626DD">
        <w:t xml:space="preserve"> </w:t>
      </w:r>
      <w:r w:rsidRPr="005777F1">
        <w:t>JUSTIFICATION</w:t>
      </w:r>
      <w:bookmarkEnd w:id="10"/>
      <w:r w:rsidRPr="005777F1">
        <w:t xml:space="preserve"> </w:t>
      </w:r>
    </w:p>
    <w:p w:rsidRPr="005777F1" w:rsidR="008D070C" w:rsidP="002F2BF4" w:rsidRDefault="00EB0C0B" w14:paraId="0C065BDF" w14:textId="313A985D">
      <w:pPr>
        <w:pStyle w:val="Heading3"/>
      </w:pPr>
      <w:bookmarkStart w:name="_Toc90302110" w:id="11"/>
      <w:r w:rsidRPr="005777F1">
        <w:t>A.</w:t>
      </w:r>
      <w:r w:rsidRPr="005777F1" w:rsidR="007626DD">
        <w:t xml:space="preserve">1 </w:t>
      </w:r>
      <w:r w:rsidRPr="005777F1" w:rsidR="00C7450F">
        <w:t>Importance of Information</w:t>
      </w:r>
      <w:bookmarkEnd w:id="11"/>
    </w:p>
    <w:p w:rsidRPr="005777F1" w:rsidR="004F6EC1" w:rsidP="004F6EC1" w:rsidRDefault="004F6EC1" w14:paraId="5B6376FB" w14:textId="3AE6FB16">
      <w:pPr>
        <w:rPr>
          <w:rFonts w:cs="Times New Roman"/>
          <w:szCs w:val="24"/>
        </w:rPr>
      </w:pPr>
      <w:r w:rsidRPr="005777F1">
        <w:rPr>
          <w:rFonts w:cs="Times New Roman"/>
          <w:szCs w:val="24"/>
        </w:rPr>
        <w:t>MARAD is an agency of the Department of Transportation (DOT</w:t>
      </w:r>
      <w:r w:rsidR="00E35E9F">
        <w:rPr>
          <w:rFonts w:cs="Times New Roman"/>
          <w:szCs w:val="24"/>
        </w:rPr>
        <w:t>)</w:t>
      </w:r>
      <w:r w:rsidRPr="005777F1">
        <w:rPr>
          <w:rFonts w:cs="Times New Roman"/>
          <w:szCs w:val="24"/>
        </w:rPr>
        <w:t xml:space="preserve"> and its mission is to foster, promote, and develop the maritime industry of the United States to meet the Nation’s economic and security needs.</w:t>
      </w:r>
      <w:r w:rsidR="009F1F62">
        <w:rPr>
          <w:rFonts w:cs="Times New Roman"/>
          <w:szCs w:val="24"/>
        </w:rPr>
        <w:t xml:space="preserve"> </w:t>
      </w:r>
    </w:p>
    <w:p w:rsidRPr="005777F1" w:rsidR="004F6EC1" w:rsidP="004F6EC1" w:rsidRDefault="004F6EC1" w14:paraId="11D85D58" w14:textId="1E4F1137">
      <w:pPr>
        <w:rPr>
          <w:rFonts w:cs="Times New Roman"/>
          <w:szCs w:val="24"/>
        </w:rPr>
      </w:pPr>
      <w:r w:rsidRPr="005777F1">
        <w:rPr>
          <w:rFonts w:cs="Times New Roman"/>
          <w:szCs w:val="24"/>
        </w:rPr>
        <w:t xml:space="preserve">The Secretary of Transportation has delegated to MARAD the authority to survey mariners. Title 46, United States Code (USC), Section 50102(a) states: “(a)In General -The Secretary of Transportation shall survey the merchant marine of the United States to determine whether replacements and additions are required to carry out the objectives and policy of section 50101 of this title.” 46 USC </w:t>
      </w:r>
      <w:r w:rsidRPr="005777F1" w:rsidR="0022573D">
        <w:rPr>
          <w:rFonts w:cs="Times New Roman"/>
          <w:szCs w:val="24"/>
        </w:rPr>
        <w:t>S</w:t>
      </w:r>
      <w:r w:rsidRPr="005777F1">
        <w:rPr>
          <w:rFonts w:cs="Times New Roman"/>
          <w:szCs w:val="24"/>
        </w:rPr>
        <w:t>ection 50104</w:t>
      </w:r>
      <w:r w:rsidRPr="005777F1" w:rsidR="0022573D">
        <w:rPr>
          <w:rFonts w:cs="Times New Roman"/>
          <w:szCs w:val="24"/>
        </w:rPr>
        <w:t xml:space="preserve"> is</w:t>
      </w:r>
      <w:r w:rsidRPr="005777F1">
        <w:rPr>
          <w:rFonts w:cs="Times New Roman"/>
          <w:szCs w:val="24"/>
        </w:rPr>
        <w:t xml:space="preserve"> also applicable. In addition, National Security Directive </w:t>
      </w:r>
      <w:r w:rsidRPr="005777F1" w:rsidR="00EB1620">
        <w:rPr>
          <w:rFonts w:cs="Times New Roman"/>
          <w:szCs w:val="24"/>
        </w:rPr>
        <w:t xml:space="preserve">28 </w:t>
      </w:r>
      <w:r w:rsidRPr="005777F1">
        <w:rPr>
          <w:rFonts w:cs="Times New Roman"/>
          <w:szCs w:val="24"/>
        </w:rPr>
        <w:t xml:space="preserve">directs </w:t>
      </w:r>
      <w:r w:rsidRPr="005777F1" w:rsidR="00EB1620">
        <w:rPr>
          <w:rFonts w:cs="Times New Roman"/>
          <w:szCs w:val="24"/>
        </w:rPr>
        <w:t>DOT</w:t>
      </w:r>
      <w:r w:rsidRPr="005777F1">
        <w:rPr>
          <w:rFonts w:cs="Times New Roman"/>
          <w:szCs w:val="24"/>
        </w:rPr>
        <w:t xml:space="preserve"> to </w:t>
      </w:r>
      <w:r w:rsidRPr="005777F1" w:rsidR="00EB1620">
        <w:rPr>
          <w:rFonts w:cs="Times New Roman"/>
          <w:szCs w:val="24"/>
        </w:rPr>
        <w:t>“ensure that the U.S. maintains the capability to meet sealift requirements in the event of crisis or war,” and</w:t>
      </w:r>
      <w:r w:rsidRPr="005777F1" w:rsidR="00D61DDA">
        <w:rPr>
          <w:rFonts w:cs="Times New Roman"/>
          <w:szCs w:val="24"/>
        </w:rPr>
        <w:t xml:space="preserve"> states that DOT</w:t>
      </w:r>
      <w:r w:rsidRPr="005777F1" w:rsidR="00EB1620">
        <w:rPr>
          <w:rFonts w:cs="Times New Roman"/>
          <w:szCs w:val="24"/>
        </w:rPr>
        <w:t xml:space="preserve"> is “responsible for determining whether adequate manpower is available to support the operation of reserve ships during a crisis.”</w:t>
      </w:r>
      <w:r w:rsidRPr="005777F1" w:rsidR="0038591C">
        <w:rPr>
          <w:rFonts w:cs="Times New Roman"/>
          <w:szCs w:val="24"/>
        </w:rPr>
        <w:t xml:space="preserve"> (Please see </w:t>
      </w:r>
      <w:r w:rsidRPr="00DC6EB0" w:rsidR="0038591C">
        <w:rPr>
          <w:rFonts w:cs="Times New Roman"/>
          <w:szCs w:val="24"/>
        </w:rPr>
        <w:t xml:space="preserve">Appendix </w:t>
      </w:r>
      <w:r w:rsidRPr="00DC6EB0" w:rsidR="001C2597">
        <w:rPr>
          <w:rFonts w:cs="Times New Roman"/>
          <w:szCs w:val="24"/>
        </w:rPr>
        <w:t>1</w:t>
      </w:r>
      <w:r w:rsidRPr="00DC6EB0" w:rsidR="003330AE">
        <w:rPr>
          <w:rFonts w:cs="Times New Roman"/>
          <w:szCs w:val="24"/>
        </w:rPr>
        <w:t>.a</w:t>
      </w:r>
      <w:r w:rsidRPr="005777F1" w:rsidR="0038591C">
        <w:rPr>
          <w:rFonts w:cs="Times New Roman"/>
          <w:szCs w:val="24"/>
        </w:rPr>
        <w:t xml:space="preserve"> for the </w:t>
      </w:r>
      <w:proofErr w:type="gramStart"/>
      <w:r w:rsidRPr="005777F1" w:rsidR="0038591C">
        <w:rPr>
          <w:rFonts w:cs="Times New Roman"/>
          <w:szCs w:val="24"/>
        </w:rPr>
        <w:t>aforementioned documentation</w:t>
      </w:r>
      <w:proofErr w:type="gramEnd"/>
      <w:r w:rsidRPr="005777F1" w:rsidR="0038591C">
        <w:rPr>
          <w:rFonts w:cs="Times New Roman"/>
          <w:szCs w:val="24"/>
        </w:rPr>
        <w:t>.)</w:t>
      </w:r>
    </w:p>
    <w:p w:rsidRPr="005777F1" w:rsidR="000A0250" w:rsidP="004F6EC1" w:rsidRDefault="000A0250" w14:paraId="2BD11752" w14:textId="6598CADD">
      <w:pPr>
        <w:rPr>
          <w:rFonts w:cs="Times New Roman"/>
          <w:szCs w:val="24"/>
        </w:rPr>
      </w:pPr>
      <w:r w:rsidRPr="005777F1">
        <w:rPr>
          <w:rFonts w:cs="Times New Roman"/>
          <w:szCs w:val="24"/>
        </w:rPr>
        <w:t>In the event of a war, armed conflict, or national emergency (hereafter collectively called “National Need”), mariners would be needed on short notice to serve on U.S. government-owned ships</w:t>
      </w:r>
      <w:r w:rsidR="005B0C3A">
        <w:rPr>
          <w:rFonts w:cs="Times New Roman"/>
          <w:szCs w:val="24"/>
        </w:rPr>
        <w:t>,</w:t>
      </w:r>
      <w:r w:rsidR="00801775">
        <w:rPr>
          <w:rFonts w:cs="Times New Roman"/>
          <w:szCs w:val="24"/>
        </w:rPr>
        <w:t xml:space="preserve"> </w:t>
      </w:r>
      <w:r w:rsidRPr="005777F1">
        <w:rPr>
          <w:rFonts w:cs="Times New Roman"/>
          <w:szCs w:val="24"/>
        </w:rPr>
        <w:t>referred to as</w:t>
      </w:r>
      <w:r w:rsidR="005B0C3A">
        <w:rPr>
          <w:rFonts w:cs="Times New Roman"/>
          <w:szCs w:val="24"/>
        </w:rPr>
        <w:t xml:space="preserve"> MARAD’s </w:t>
      </w:r>
      <w:r w:rsidRPr="005777F1">
        <w:rPr>
          <w:rFonts w:cs="Times New Roman"/>
          <w:szCs w:val="24"/>
        </w:rPr>
        <w:t xml:space="preserve">Ready Reserve Force </w:t>
      </w:r>
      <w:r w:rsidR="005A0024">
        <w:rPr>
          <w:rFonts w:cs="Times New Roman"/>
          <w:szCs w:val="24"/>
        </w:rPr>
        <w:t>(</w:t>
      </w:r>
      <w:r w:rsidRPr="005777F1">
        <w:rPr>
          <w:rFonts w:cs="Times New Roman"/>
          <w:szCs w:val="24"/>
        </w:rPr>
        <w:t>RRF</w:t>
      </w:r>
      <w:r w:rsidR="005A0024">
        <w:rPr>
          <w:rFonts w:cs="Times New Roman"/>
          <w:szCs w:val="24"/>
        </w:rPr>
        <w:t>)</w:t>
      </w:r>
      <w:r w:rsidRPr="005777F1">
        <w:rPr>
          <w:rFonts w:cs="Times New Roman"/>
          <w:szCs w:val="24"/>
        </w:rPr>
        <w:t xml:space="preserve"> vessels</w:t>
      </w:r>
      <w:r w:rsidR="005B0C3A">
        <w:rPr>
          <w:rFonts w:cs="Times New Roman"/>
          <w:szCs w:val="24"/>
        </w:rPr>
        <w:t xml:space="preserve"> and the Military Sealift Command (MSC) surge sealift vessels,</w:t>
      </w:r>
      <w:r w:rsidRPr="005777F1">
        <w:rPr>
          <w:rFonts w:cs="Times New Roman"/>
          <w:szCs w:val="24"/>
        </w:rPr>
        <w:t xml:space="preserve"> while simultaneously maintaining maritime commerce, both domestic and international, to support the nation’s economy. Thus, the availability of qualified merchant mariners sufficient to achieve these goals is vital to the country’s ability to respond to a national crisis. The USCG is responsible for </w:t>
      </w:r>
      <w:r w:rsidR="005B0C3A">
        <w:rPr>
          <w:rFonts w:cs="Times New Roman"/>
          <w:szCs w:val="24"/>
        </w:rPr>
        <w:t xml:space="preserve">validating </w:t>
      </w:r>
      <w:r w:rsidRPr="005777F1">
        <w:rPr>
          <w:rFonts w:cs="Times New Roman"/>
          <w:szCs w:val="24"/>
        </w:rPr>
        <w:t>the competencies earned by mariners and issuing them the appropriate mariner credentials based on current domestic and international requirements. The MMLD database serves as the nation’s sole repository of such credentials issued by the USCG and is updated regularly. However, identifying the availability, preparedness, and willingness of appropriately qualified mariners essential to crew the nation’s strategic sealift vessels is not part of the USCG mission and hence, not addressed by the MMLD.</w:t>
      </w:r>
      <w:r w:rsidR="00FC085F">
        <w:rPr>
          <w:rFonts w:cs="Times New Roman"/>
          <w:szCs w:val="24"/>
        </w:rPr>
        <w:t xml:space="preserve"> Additionally, a key component of mariner qualifications for service aboard strategic sealift vessels is recent sailing experience, which correlates to proficiency of skills needed aboard RRF and MSC surge sealift vessels. The MMLD database is not designed to consistently track recent sailing experience and cannot provide the necessary data to assess the recency of mariner experience.</w:t>
      </w:r>
    </w:p>
    <w:p w:rsidRPr="005777F1" w:rsidR="004F6EC1" w:rsidP="004F6EC1" w:rsidRDefault="004F6EC1" w14:paraId="6D76A672" w14:textId="06ACBCBB">
      <w:pPr>
        <w:rPr>
          <w:rFonts w:cs="Times New Roman"/>
          <w:szCs w:val="24"/>
        </w:rPr>
      </w:pPr>
      <w:r w:rsidRPr="005777F1">
        <w:rPr>
          <w:rFonts w:cs="Times New Roman"/>
          <w:szCs w:val="24"/>
        </w:rPr>
        <w:t xml:space="preserve">The </w:t>
      </w:r>
      <w:r w:rsidRPr="005777F1" w:rsidR="001C2597">
        <w:rPr>
          <w:rFonts w:cs="Times New Roman"/>
          <w:szCs w:val="24"/>
        </w:rPr>
        <w:t xml:space="preserve">2015 </w:t>
      </w:r>
      <w:r w:rsidRPr="005777F1">
        <w:rPr>
          <w:rFonts w:cs="Times New Roman"/>
          <w:szCs w:val="24"/>
        </w:rPr>
        <w:t xml:space="preserve">GAO Report 15-666 recommended “that the Secretary of Transportation direct the Administrator of MARAD to study the potential availability of all qualified mariners needed to meet a full and prolonged activation of the reserve sealift fleet.” </w:t>
      </w:r>
    </w:p>
    <w:p w:rsidRPr="005777F1" w:rsidR="004F6EC1" w:rsidP="004F6EC1" w:rsidRDefault="004F6EC1" w14:paraId="7BDC5B39" w14:textId="12667291">
      <w:pPr>
        <w:rPr>
          <w:rFonts w:cs="Times New Roman"/>
          <w:szCs w:val="24"/>
        </w:rPr>
      </w:pPr>
      <w:bookmarkStart w:name="_Hlk34207810" w:id="12"/>
      <w:r w:rsidRPr="005777F1">
        <w:rPr>
          <w:rFonts w:cs="Times New Roman"/>
          <w:szCs w:val="24"/>
        </w:rPr>
        <w:t xml:space="preserve">In 2017, a Congressionally mandated Working Group consisting of multiple government agencies including the USCG and the Department of Defense, and industry </w:t>
      </w:r>
      <w:r w:rsidRPr="005777F1" w:rsidR="00530A6E">
        <w:rPr>
          <w:rFonts w:cs="Times New Roman"/>
          <w:szCs w:val="24"/>
        </w:rPr>
        <w:t>stakeholders, chaired</w:t>
      </w:r>
      <w:r w:rsidRPr="005777F1">
        <w:rPr>
          <w:rFonts w:cs="Times New Roman"/>
          <w:szCs w:val="24"/>
        </w:rPr>
        <w:t xml:space="preserve"> by MARAD, estimated the number of sealift qualified mariners with recent sailing experience available in the commercial sector and verified </w:t>
      </w:r>
      <w:r w:rsidRPr="005777F1" w:rsidR="00CD551A">
        <w:rPr>
          <w:rFonts w:cs="Times New Roman"/>
          <w:szCs w:val="24"/>
        </w:rPr>
        <w:t xml:space="preserve">this estimate </w:t>
      </w:r>
      <w:r w:rsidRPr="005777F1">
        <w:rPr>
          <w:rFonts w:cs="Times New Roman"/>
          <w:szCs w:val="24"/>
        </w:rPr>
        <w:t>with the number of mariners reported</w:t>
      </w:r>
      <w:r w:rsidRPr="005777F1" w:rsidR="002E0BB5">
        <w:rPr>
          <w:rFonts w:cs="Times New Roman"/>
          <w:szCs w:val="24"/>
        </w:rPr>
        <w:t xml:space="preserve"> by</w:t>
      </w:r>
      <w:r w:rsidRPr="005777F1">
        <w:rPr>
          <w:rFonts w:cs="Times New Roman"/>
          <w:szCs w:val="24"/>
        </w:rPr>
        <w:t xml:space="preserve"> maritime labor unions and non-union maritime employers. However, </w:t>
      </w:r>
      <w:r w:rsidRPr="005777F1" w:rsidR="00CD551A">
        <w:rPr>
          <w:rFonts w:cs="Times New Roman"/>
          <w:szCs w:val="24"/>
        </w:rPr>
        <w:t xml:space="preserve">these </w:t>
      </w:r>
      <w:r w:rsidRPr="005777F1">
        <w:rPr>
          <w:rFonts w:cs="Times New Roman"/>
          <w:szCs w:val="24"/>
        </w:rPr>
        <w:t>data do not include any estimate of mariner availability or their willingness to serve.</w:t>
      </w:r>
      <w:r w:rsidR="009F1F62">
        <w:rPr>
          <w:rFonts w:cs="Times New Roman"/>
          <w:szCs w:val="24"/>
        </w:rPr>
        <w:t xml:space="preserve"> </w:t>
      </w:r>
    </w:p>
    <w:bookmarkEnd w:id="12"/>
    <w:p w:rsidRPr="005777F1" w:rsidR="004F6EC1" w:rsidP="004F6EC1" w:rsidRDefault="004F6EC1" w14:paraId="4FA484A1" w14:textId="01B6F4F2">
      <w:pPr>
        <w:rPr>
          <w:rFonts w:cs="Times New Roman"/>
          <w:szCs w:val="24"/>
        </w:rPr>
      </w:pPr>
      <w:r w:rsidRPr="005777F1">
        <w:rPr>
          <w:rFonts w:cs="Times New Roman"/>
          <w:szCs w:val="24"/>
        </w:rPr>
        <w:lastRenderedPageBreak/>
        <w:t xml:space="preserve">In this context, it should be noted that a </w:t>
      </w:r>
      <w:r w:rsidR="005B0C3A">
        <w:rPr>
          <w:rFonts w:cs="Times New Roman"/>
          <w:szCs w:val="24"/>
        </w:rPr>
        <w:t>recent</w:t>
      </w:r>
      <w:r w:rsidRPr="005777F1" w:rsidR="005B0C3A">
        <w:rPr>
          <w:rFonts w:cs="Times New Roman"/>
          <w:szCs w:val="24"/>
        </w:rPr>
        <w:t xml:space="preserve"> </w:t>
      </w:r>
      <w:r w:rsidRPr="005777F1">
        <w:rPr>
          <w:rFonts w:cs="Times New Roman"/>
          <w:szCs w:val="24"/>
        </w:rPr>
        <w:t xml:space="preserve">international regulation related to mariner credentialing that was implemented by the USCG with effect from January 1, 2017 has elevated the requirements and the costs associated with </w:t>
      </w:r>
      <w:r w:rsidRPr="005777F1" w:rsidR="00AB4139">
        <w:rPr>
          <w:rFonts w:cs="Times New Roman"/>
          <w:szCs w:val="24"/>
        </w:rPr>
        <w:t xml:space="preserve">acquiring </w:t>
      </w:r>
      <w:r w:rsidRPr="005777F1">
        <w:rPr>
          <w:rFonts w:cs="Times New Roman"/>
          <w:szCs w:val="24"/>
        </w:rPr>
        <w:t>such credential</w:t>
      </w:r>
      <w:r w:rsidRPr="005777F1" w:rsidR="00AB4139">
        <w:rPr>
          <w:rFonts w:cs="Times New Roman"/>
          <w:szCs w:val="24"/>
        </w:rPr>
        <w:t>s</w:t>
      </w:r>
      <w:r w:rsidRPr="005777F1">
        <w:rPr>
          <w:rFonts w:cs="Times New Roman"/>
          <w:szCs w:val="24"/>
        </w:rPr>
        <w:t>. Simultaneously, the documented decline in the number of large U.S.-flag ships in recent years has reduced the employment opportunities for mariners holding or seeking those credentials, thereby dis-incentivizing their desire for the level of credentialing required for operating the RRF vessels.</w:t>
      </w:r>
      <w:r w:rsidR="009F1F62">
        <w:rPr>
          <w:rFonts w:cs="Times New Roman"/>
          <w:szCs w:val="24"/>
        </w:rPr>
        <w:t xml:space="preserve"> </w:t>
      </w:r>
    </w:p>
    <w:p w:rsidR="002115A7" w:rsidP="000A0250" w:rsidRDefault="000A0250" w14:paraId="162863EE" w14:textId="10481D1B">
      <w:pPr>
        <w:rPr>
          <w:rFonts w:cs="Times New Roman"/>
          <w:szCs w:val="24"/>
        </w:rPr>
      </w:pPr>
      <w:r w:rsidRPr="005777F1">
        <w:rPr>
          <w:rFonts w:cs="Times New Roman"/>
          <w:szCs w:val="24"/>
        </w:rPr>
        <w:t>The 2018 Maritime Workforce Working Group (MWWG) Report,</w:t>
      </w:r>
      <w:r w:rsidR="000D5F7A">
        <w:rPr>
          <w:rStyle w:val="FootnoteReference"/>
          <w:rFonts w:cs="Times New Roman"/>
          <w:szCs w:val="24"/>
        </w:rPr>
        <w:footnoteReference w:id="3"/>
      </w:r>
      <w:r w:rsidRPr="005777F1">
        <w:rPr>
          <w:rFonts w:cs="Times New Roman"/>
          <w:szCs w:val="24"/>
        </w:rPr>
        <w:t xml:space="preserve"> in response to FY 2017 National Defense Authorization Act (NDAA) Section 3517, 2017, recommended that “A periodic survey of the U.S. citizen mariner pool qualified to crew U.S. government reserve vessels should be undertaken to measure mariner availability – Since merchant mariner employment is voluntary, the number of people willing to sail in times of National Need is unknown.” Accordingly, MARAD plans to conduct regular mariner surveys with biennial periodicity as recommended by the MWWG Report to help build a useful data source for estimating the number of qualified mariners who would be available and willing to sail on U.S. government reserve vessels if called upon to do so.</w:t>
      </w:r>
    </w:p>
    <w:p w:rsidRPr="005777F1" w:rsidR="000A0250" w:rsidP="000A0250" w:rsidRDefault="002115A7" w14:paraId="01C42409" w14:textId="7C705145">
      <w:pPr>
        <w:rPr>
          <w:rFonts w:cs="Times New Roman"/>
          <w:szCs w:val="24"/>
        </w:rPr>
      </w:pPr>
      <w:r>
        <w:rPr>
          <w:rFonts w:cs="Times New Roman"/>
          <w:szCs w:val="24"/>
        </w:rPr>
        <w:t xml:space="preserve">The recurring nature of this </w:t>
      </w:r>
      <w:r w:rsidR="00455ADA">
        <w:rPr>
          <w:rFonts w:cs="Times New Roman"/>
          <w:szCs w:val="24"/>
        </w:rPr>
        <w:t xml:space="preserve">study is of critical importance, given the </w:t>
      </w:r>
      <w:r w:rsidR="00B50510">
        <w:rPr>
          <w:rFonts w:cs="Times New Roman"/>
          <w:szCs w:val="24"/>
        </w:rPr>
        <w:t>need for</w:t>
      </w:r>
      <w:r w:rsidR="00455ADA">
        <w:rPr>
          <w:rFonts w:cs="Times New Roman"/>
          <w:szCs w:val="24"/>
        </w:rPr>
        <w:t xml:space="preserve"> teasing out true intentions of serving from what mariners may state during a</w:t>
      </w:r>
      <w:r w:rsidR="00B50510">
        <w:rPr>
          <w:rFonts w:cs="Times New Roman"/>
          <w:szCs w:val="24"/>
        </w:rPr>
        <w:t>ny</w:t>
      </w:r>
      <w:r w:rsidR="00455ADA">
        <w:rPr>
          <w:rFonts w:cs="Times New Roman"/>
          <w:szCs w:val="24"/>
        </w:rPr>
        <w:t xml:space="preserve"> given single survey. By relying on a rotating panel design, whereby a subset of mariners will be recontacted for future surveys, it would be possible </w:t>
      </w:r>
      <w:r w:rsidR="00B50510">
        <w:rPr>
          <w:rFonts w:cs="Times New Roman"/>
          <w:szCs w:val="24"/>
        </w:rPr>
        <w:t>to estimate</w:t>
      </w:r>
      <w:r w:rsidR="00455ADA">
        <w:rPr>
          <w:rFonts w:cs="Times New Roman"/>
          <w:szCs w:val="24"/>
        </w:rPr>
        <w:t xml:space="preserve"> the extent stated willingness to serve pass</w:t>
      </w:r>
      <w:r w:rsidR="00A6404D">
        <w:rPr>
          <w:rFonts w:cs="Times New Roman"/>
          <w:szCs w:val="24"/>
        </w:rPr>
        <w:t>es</w:t>
      </w:r>
      <w:r w:rsidR="00455ADA">
        <w:rPr>
          <w:rFonts w:cs="Times New Roman"/>
          <w:szCs w:val="24"/>
        </w:rPr>
        <w:t xml:space="preserve"> the test of time. Specifically, using Bayesian techniques it will be possible to calibrate initial estimates (priors) based on confirmations that would be secured during future surveys</w:t>
      </w:r>
      <w:r w:rsidR="00B50510">
        <w:rPr>
          <w:rFonts w:cs="Times New Roman"/>
          <w:szCs w:val="24"/>
        </w:rPr>
        <w:t xml:space="preserve"> (posteriors)</w:t>
      </w:r>
      <w:r w:rsidR="00455ADA">
        <w:rPr>
          <w:rFonts w:cs="Times New Roman"/>
          <w:szCs w:val="24"/>
        </w:rPr>
        <w:t xml:space="preserve">. </w:t>
      </w:r>
      <w:proofErr w:type="gramStart"/>
      <w:r w:rsidR="00455ADA">
        <w:rPr>
          <w:rFonts w:cs="Times New Roman"/>
          <w:szCs w:val="24"/>
        </w:rPr>
        <w:t xml:space="preserve">In particular, </w:t>
      </w:r>
      <w:r w:rsidR="00B50510">
        <w:rPr>
          <w:rFonts w:cs="Times New Roman"/>
          <w:szCs w:val="24"/>
        </w:rPr>
        <w:t>Hierarchical</w:t>
      </w:r>
      <w:proofErr w:type="gramEnd"/>
      <w:r w:rsidR="00455ADA">
        <w:rPr>
          <w:rFonts w:cs="Times New Roman"/>
          <w:szCs w:val="24"/>
        </w:rPr>
        <w:t xml:space="preserve"> </w:t>
      </w:r>
      <w:r w:rsidR="00B50510">
        <w:rPr>
          <w:rFonts w:cs="Times New Roman"/>
          <w:szCs w:val="24"/>
        </w:rPr>
        <w:t>Bayes</w:t>
      </w:r>
      <w:r w:rsidR="00455ADA">
        <w:rPr>
          <w:rFonts w:cs="Times New Roman"/>
          <w:szCs w:val="24"/>
        </w:rPr>
        <w:t xml:space="preserve"> models can be used to </w:t>
      </w:r>
      <w:r w:rsidR="00B50510">
        <w:rPr>
          <w:rFonts w:cs="Times New Roman"/>
          <w:szCs w:val="24"/>
        </w:rPr>
        <w:t>improve the external validity of estimates for intention to serve for different subgroups or specific Needs</w:t>
      </w:r>
      <w:r w:rsidR="00FD4F55">
        <w:rPr>
          <w:rFonts w:cs="Times New Roman"/>
          <w:szCs w:val="24"/>
        </w:rPr>
        <w:t>.</w:t>
      </w:r>
      <w:r w:rsidR="008327CA">
        <w:rPr>
          <w:rStyle w:val="FootnoteReference"/>
          <w:rFonts w:cs="Times New Roman"/>
          <w:szCs w:val="24"/>
        </w:rPr>
        <w:footnoteReference w:id="4"/>
      </w:r>
    </w:p>
    <w:p w:rsidRPr="005777F1" w:rsidR="000A0250" w:rsidP="000A0250" w:rsidRDefault="000A0250" w14:paraId="5CA723BE" w14:textId="608759E5">
      <w:pPr>
        <w:rPr>
          <w:rFonts w:cs="Times New Roman"/>
          <w:szCs w:val="24"/>
        </w:rPr>
      </w:pPr>
      <w:r w:rsidRPr="005777F1">
        <w:rPr>
          <w:rFonts w:cs="Times New Roman"/>
          <w:szCs w:val="24"/>
        </w:rPr>
        <w:t xml:space="preserve">This information collection supports the DOT Strategic </w:t>
      </w:r>
      <w:r w:rsidR="00FC085F">
        <w:rPr>
          <w:rFonts w:cs="Times New Roman"/>
          <w:szCs w:val="24"/>
        </w:rPr>
        <w:t>Objective to “</w:t>
      </w:r>
      <w:r w:rsidRPr="00FC085F" w:rsidR="00FC085F">
        <w:rPr>
          <w:rFonts w:cs="Times New Roman"/>
          <w:szCs w:val="24"/>
        </w:rPr>
        <w:t>support the development of appropriately skilled and prepared transportation workers, and develop strategies to meet emerging workforce challenges</w:t>
      </w:r>
      <w:r w:rsidR="00FC085F">
        <w:rPr>
          <w:rFonts w:cs="Times New Roman"/>
          <w:szCs w:val="24"/>
        </w:rPr>
        <w:t>”</w:t>
      </w:r>
      <w:r w:rsidR="00FC085F">
        <w:rPr>
          <w:rStyle w:val="FootnoteReference"/>
          <w:rFonts w:cs="Times New Roman"/>
          <w:szCs w:val="24"/>
        </w:rPr>
        <w:footnoteReference w:id="5"/>
      </w:r>
      <w:r w:rsidRPr="005777F1">
        <w:rPr>
          <w:rFonts w:cs="Times New Roman"/>
          <w:szCs w:val="24"/>
        </w:rPr>
        <w:t xml:space="preserve"> and MARAD’s Strategic Goal (Objective 2.1) of ensuring that “U.S. mariner requirements for economic and national security are identified and met.”</w:t>
      </w:r>
      <w:r w:rsidR="00B843E4">
        <w:rPr>
          <w:rStyle w:val="FootnoteReference"/>
          <w:rFonts w:cs="Times New Roman"/>
          <w:szCs w:val="24"/>
        </w:rPr>
        <w:footnoteReference w:id="6"/>
      </w:r>
      <w:r w:rsidRPr="005777F1">
        <w:rPr>
          <w:rFonts w:cs="Times New Roman"/>
          <w:szCs w:val="24"/>
        </w:rPr>
        <w:t xml:space="preserve"> </w:t>
      </w:r>
    </w:p>
    <w:p w:rsidRPr="005777F1" w:rsidR="00D35C41" w:rsidP="00D35C41" w:rsidRDefault="0090564F" w14:paraId="7A1DB09A" w14:textId="11DC8808">
      <w:r>
        <w:rPr>
          <w:rFonts w:cs="Times New Roman"/>
          <w:szCs w:val="24"/>
        </w:rPr>
        <w:t xml:space="preserve">The </w:t>
      </w:r>
      <w:r w:rsidR="00D35C41">
        <w:rPr>
          <w:rFonts w:cs="Times New Roman"/>
          <w:szCs w:val="24"/>
        </w:rPr>
        <w:t xml:space="preserve">information collected during the </w:t>
      </w:r>
      <w:r w:rsidRPr="00E35E9F">
        <w:rPr>
          <w:rFonts w:cs="Times New Roman"/>
          <w:szCs w:val="24"/>
          <w:u w:val="single"/>
        </w:rPr>
        <w:t>Mariner Survey P</w:t>
      </w:r>
      <w:r w:rsidRPr="00E35E9F" w:rsidR="00D35C41">
        <w:rPr>
          <w:rFonts w:cs="Times New Roman"/>
          <w:szCs w:val="24"/>
          <w:u w:val="single"/>
        </w:rPr>
        <w:t>re-</w:t>
      </w:r>
      <w:r w:rsidRPr="00E35E9F">
        <w:rPr>
          <w:rFonts w:cs="Times New Roman"/>
          <w:szCs w:val="24"/>
          <w:u w:val="single"/>
        </w:rPr>
        <w:t>Test</w:t>
      </w:r>
      <w:r>
        <w:rPr>
          <w:rFonts w:cs="Times New Roman"/>
          <w:szCs w:val="24"/>
        </w:rPr>
        <w:t xml:space="preserve"> </w:t>
      </w:r>
      <w:r w:rsidR="00D35C41">
        <w:rPr>
          <w:rFonts w:cs="Times New Roman"/>
          <w:szCs w:val="24"/>
        </w:rPr>
        <w:t xml:space="preserve">will be analyzed to validate and improve the design of the subsequent Mariner Survey components. </w:t>
      </w:r>
      <w:r w:rsidRPr="00045AA7" w:rsidR="00045AA7">
        <w:rPr>
          <w:rFonts w:cs="Times New Roman"/>
          <w:szCs w:val="24"/>
        </w:rPr>
        <w:t xml:space="preserve">Pre-tests are often conducted to test the “mechanics” of a survey before the full data collection process commences. </w:t>
      </w:r>
      <w:proofErr w:type="gramStart"/>
      <w:r w:rsidRPr="00045AA7" w:rsidR="00045AA7">
        <w:rPr>
          <w:rFonts w:cs="Times New Roman"/>
          <w:szCs w:val="24"/>
        </w:rPr>
        <w:t>In particular, pre-tests</w:t>
      </w:r>
      <w:proofErr w:type="gramEnd"/>
      <w:r w:rsidRPr="00045AA7" w:rsidR="00045AA7">
        <w:rPr>
          <w:rFonts w:cs="Times New Roman"/>
          <w:szCs w:val="24"/>
        </w:rPr>
        <w:t xml:space="preserve"> are used to check the wording of questions and response categories and ensure that the skip logics of a survey instrument have been programed correctly. Moreover, </w:t>
      </w:r>
      <w:r w:rsidR="002115A7">
        <w:rPr>
          <w:rFonts w:cs="Times New Roman"/>
          <w:szCs w:val="24"/>
        </w:rPr>
        <w:t xml:space="preserve">such </w:t>
      </w:r>
      <w:r w:rsidRPr="00045AA7" w:rsidR="00045AA7">
        <w:rPr>
          <w:rFonts w:cs="Times New Roman"/>
          <w:szCs w:val="24"/>
        </w:rPr>
        <w:t xml:space="preserve">tests are used to </w:t>
      </w:r>
      <w:r w:rsidR="00094384">
        <w:rPr>
          <w:rFonts w:cs="Times New Roman"/>
          <w:szCs w:val="24"/>
        </w:rPr>
        <w:t>assess</w:t>
      </w:r>
      <w:r w:rsidRPr="00045AA7" w:rsidR="00045AA7">
        <w:rPr>
          <w:rFonts w:cs="Times New Roman"/>
          <w:szCs w:val="24"/>
        </w:rPr>
        <w:t xml:space="preserve"> the various yield rates that are initially based on guesstimates. These include rates of response, as well as estimates of burden or time-to-completion.</w:t>
      </w:r>
      <w:r w:rsidR="00045AA7">
        <w:rPr>
          <w:rFonts w:cs="Times New Roman"/>
          <w:szCs w:val="24"/>
        </w:rPr>
        <w:t xml:space="preserve"> </w:t>
      </w:r>
      <w:r w:rsidR="00045AA7">
        <w:t>Furthermore, i</w:t>
      </w:r>
      <w:r w:rsidRPr="005777F1" w:rsidR="00D35C41">
        <w:t xml:space="preserve">t is important to note that one of the most essential recommendations from the </w:t>
      </w:r>
      <w:r w:rsidRPr="005777F1" w:rsidR="00D35C41">
        <w:rPr>
          <w:i/>
        </w:rPr>
        <w:t>stated preference</w:t>
      </w:r>
      <w:r w:rsidRPr="005777F1" w:rsidR="00D35C41">
        <w:t xml:space="preserve"> </w:t>
      </w:r>
      <w:r w:rsidRPr="005777F1" w:rsidR="00D35C41">
        <w:lastRenderedPageBreak/>
        <w:t>literature</w:t>
      </w:r>
      <w:r w:rsidR="00603A99">
        <w:rPr>
          <w:rStyle w:val="FootnoteReference"/>
        </w:rPr>
        <w:footnoteReference w:id="7"/>
      </w:r>
      <w:r w:rsidRPr="005777F1" w:rsidR="00D35C41">
        <w:t xml:space="preserve"> and a best practice for any survey effort is to conduct a pre</w:t>
      </w:r>
      <w:r w:rsidR="00E35E9F">
        <w:t>-</w:t>
      </w:r>
      <w:r w:rsidRPr="005777F1" w:rsidR="00D35C41">
        <w:t xml:space="preserve">test of the survey instrument prior to fielding. This best practice is even more vital when obtaining information through hypothetical questions. </w:t>
      </w:r>
    </w:p>
    <w:p w:rsidRPr="005777F1" w:rsidR="00D35C41" w:rsidP="000E113F" w:rsidRDefault="00D35C41" w14:paraId="409DA05C" w14:textId="77777777">
      <w:pPr>
        <w:rPr>
          <w:rFonts w:cs="Times New Roman"/>
          <w:szCs w:val="24"/>
        </w:rPr>
      </w:pPr>
    </w:p>
    <w:p w:rsidR="00866119" w:rsidP="002F2BF4" w:rsidRDefault="007626DD" w14:paraId="7181F96B" w14:textId="3479EF47">
      <w:pPr>
        <w:pStyle w:val="Heading3"/>
      </w:pPr>
      <w:bookmarkStart w:name="_Toc90302111" w:id="13"/>
      <w:r w:rsidRPr="005777F1">
        <w:t xml:space="preserve">A.2 </w:t>
      </w:r>
      <w:r w:rsidRPr="005777F1" w:rsidR="00CD3939">
        <w:t>Purposes and Uses of Data</w:t>
      </w:r>
      <w:bookmarkEnd w:id="13"/>
    </w:p>
    <w:p w:rsidR="007B4F79" w:rsidP="007B4F79" w:rsidRDefault="007B4F79" w14:paraId="44DD3D00" w14:textId="6AB4C3B8">
      <w:r w:rsidRPr="005777F1">
        <w:t xml:space="preserve">In their comprehensive review of the </w:t>
      </w:r>
      <w:r w:rsidRPr="005777F1">
        <w:rPr>
          <w:i/>
          <w:iCs/>
        </w:rPr>
        <w:t>stated preference</w:t>
      </w:r>
      <w:r w:rsidRPr="005777F1">
        <w:t xml:space="preserve"> literature and studies to date, Johnston et al. (</w:t>
      </w:r>
      <w:r w:rsidRPr="005777F1" w:rsidR="008415DB">
        <w:t>201</w:t>
      </w:r>
      <w:r w:rsidR="00FA64FB">
        <w:t>7</w:t>
      </w:r>
      <w:r w:rsidRPr="005777F1">
        <w:t>)</w:t>
      </w:r>
      <w:r w:rsidRPr="005777F1">
        <w:rPr>
          <w:rStyle w:val="FootnoteReference"/>
        </w:rPr>
        <w:footnoteReference w:id="8"/>
      </w:r>
      <w:r w:rsidRPr="005777F1">
        <w:t xml:space="preserve"> note that the sufficiency of the survey design components depends on respondents’ understanding and perceptions. This insight is necessary to ensure that respondents understand the scenarios and response options as intended. Two types of pretesting of survey materials are recommended: qualitative pretesting such as focus groups, cognitive interviews, or other small-group methods, and quantitative pretesting using pilot studies.</w:t>
      </w:r>
      <w:r w:rsidRPr="005777F1">
        <w:rPr>
          <w:rStyle w:val="FootnoteReference"/>
        </w:rPr>
        <w:footnoteReference w:id="9"/>
      </w:r>
      <w:r w:rsidRPr="005777F1">
        <w:rPr>
          <w:vertAlign w:val="superscript"/>
        </w:rPr>
        <w:t>,</w:t>
      </w:r>
      <w:r w:rsidRPr="005777F1">
        <w:rPr>
          <w:rStyle w:val="FootnoteReference"/>
        </w:rPr>
        <w:footnoteReference w:id="10"/>
      </w:r>
      <w:r w:rsidRPr="005777F1">
        <w:rPr>
          <w:vertAlign w:val="superscript"/>
        </w:rPr>
        <w:t>,</w:t>
      </w:r>
      <w:r w:rsidRPr="005777F1">
        <w:rPr>
          <w:rStyle w:val="FootnoteReference"/>
        </w:rPr>
        <w:footnoteReference w:id="11"/>
      </w:r>
      <w:r w:rsidRPr="005777F1">
        <w:t xml:space="preserve"> S</w:t>
      </w:r>
      <w:r>
        <w:t xml:space="preserve">trategic Research Group, MARAD’s survey contractor, </w:t>
      </w:r>
      <w:r w:rsidRPr="005777F1">
        <w:t>plans to conduct both types of pretesting through cognitive interviews and a large pilot test.</w:t>
      </w:r>
    </w:p>
    <w:p w:rsidR="0019536D" w:rsidP="00D35C41" w:rsidRDefault="00345760" w14:paraId="07DA7657" w14:textId="72F8EF3D">
      <w:pPr>
        <w:rPr>
          <w:rFonts w:cs="Times New Roman"/>
          <w:szCs w:val="24"/>
        </w:rPr>
      </w:pPr>
      <w:r w:rsidRPr="005777F1">
        <w:rPr>
          <w:rFonts w:cs="Times New Roman"/>
          <w:szCs w:val="24"/>
        </w:rPr>
        <w:t xml:space="preserve">The </w:t>
      </w:r>
      <w:r w:rsidRPr="003F25E9">
        <w:rPr>
          <w:rFonts w:cs="Times New Roman"/>
          <w:szCs w:val="24"/>
          <w:u w:val="single"/>
        </w:rPr>
        <w:t>Mariner Survey P</w:t>
      </w:r>
      <w:r w:rsidRPr="003F25E9" w:rsidR="00A51F44">
        <w:rPr>
          <w:rFonts w:cs="Times New Roman"/>
          <w:szCs w:val="24"/>
          <w:u w:val="single"/>
        </w:rPr>
        <w:t>re-</w:t>
      </w:r>
      <w:r w:rsidRPr="003F25E9">
        <w:rPr>
          <w:rFonts w:cs="Times New Roman"/>
          <w:szCs w:val="24"/>
          <w:u w:val="single"/>
        </w:rPr>
        <w:t>Test</w:t>
      </w:r>
      <w:r w:rsidRPr="005777F1">
        <w:rPr>
          <w:rFonts w:cs="Times New Roman"/>
          <w:szCs w:val="24"/>
        </w:rPr>
        <w:t xml:space="preserve"> </w:t>
      </w:r>
      <w:r w:rsidR="00A51F44">
        <w:rPr>
          <w:rFonts w:cs="Times New Roman"/>
          <w:szCs w:val="24"/>
        </w:rPr>
        <w:t xml:space="preserve">will </w:t>
      </w:r>
      <w:r w:rsidR="00082F20">
        <w:rPr>
          <w:rFonts w:cs="Times New Roman"/>
          <w:szCs w:val="24"/>
        </w:rPr>
        <w:t xml:space="preserve">first </w:t>
      </w:r>
      <w:r w:rsidR="00A51F44">
        <w:rPr>
          <w:rFonts w:cs="Times New Roman"/>
          <w:szCs w:val="24"/>
        </w:rPr>
        <w:t xml:space="preserve">conduct </w:t>
      </w:r>
      <w:r w:rsidR="00AF70D6">
        <w:rPr>
          <w:rFonts w:cs="Times New Roman"/>
          <w:szCs w:val="24"/>
        </w:rPr>
        <w:t xml:space="preserve">qualitative pre-testing consisting of 45-minute </w:t>
      </w:r>
      <w:r w:rsidR="00A51F44">
        <w:rPr>
          <w:rFonts w:cs="Times New Roman"/>
          <w:szCs w:val="24"/>
        </w:rPr>
        <w:t xml:space="preserve">cognitive interviews </w:t>
      </w:r>
      <w:r w:rsidR="00423997">
        <w:rPr>
          <w:rFonts w:cs="Times New Roman"/>
          <w:szCs w:val="24"/>
        </w:rPr>
        <w:t xml:space="preserve">(15 minutes for </w:t>
      </w:r>
      <w:r w:rsidR="00094384">
        <w:rPr>
          <w:rFonts w:cs="Times New Roman"/>
          <w:szCs w:val="24"/>
        </w:rPr>
        <w:t xml:space="preserve">the </w:t>
      </w:r>
      <w:r w:rsidR="00423997">
        <w:rPr>
          <w:rFonts w:cs="Times New Roman"/>
          <w:szCs w:val="24"/>
        </w:rPr>
        <w:t xml:space="preserve">survey and 30 minutes for </w:t>
      </w:r>
      <w:r w:rsidR="00094384">
        <w:rPr>
          <w:rFonts w:cs="Times New Roman"/>
          <w:szCs w:val="24"/>
        </w:rPr>
        <w:t xml:space="preserve">the </w:t>
      </w:r>
      <w:r w:rsidR="00423997">
        <w:rPr>
          <w:rFonts w:cs="Times New Roman"/>
          <w:szCs w:val="24"/>
        </w:rPr>
        <w:t xml:space="preserve">interview) </w:t>
      </w:r>
      <w:r w:rsidR="00AF70D6">
        <w:rPr>
          <w:rFonts w:cs="Times New Roman"/>
          <w:szCs w:val="24"/>
        </w:rPr>
        <w:t>with approximately 40 mariners.</w:t>
      </w:r>
      <w:r w:rsidR="009F1F62">
        <w:rPr>
          <w:rFonts w:cs="Times New Roman"/>
          <w:szCs w:val="24"/>
        </w:rPr>
        <w:t xml:space="preserve"> </w:t>
      </w:r>
      <w:r w:rsidR="00AF70D6">
        <w:rPr>
          <w:rFonts w:cs="Times New Roman"/>
          <w:szCs w:val="24"/>
        </w:rPr>
        <w:t>The information collected during the cognitive interview pre-testing will be u</w:t>
      </w:r>
      <w:r w:rsidR="0019536D">
        <w:rPr>
          <w:rFonts w:cs="Times New Roman"/>
          <w:szCs w:val="24"/>
        </w:rPr>
        <w:t>sed to ensure respondents are understanding the survey questions and providing accurate responses, identifying any needed improvements in the process.</w:t>
      </w:r>
    </w:p>
    <w:p w:rsidR="00AF70D6" w:rsidP="00D35C41" w:rsidRDefault="0019536D" w14:paraId="58328FAC" w14:textId="035D339F">
      <w:pPr>
        <w:rPr>
          <w:rFonts w:cs="Times New Roman"/>
          <w:szCs w:val="24"/>
        </w:rPr>
      </w:pPr>
      <w:r w:rsidRPr="0019536D">
        <w:rPr>
          <w:rFonts w:cs="Times New Roman"/>
          <w:szCs w:val="24"/>
        </w:rPr>
        <w:t>Once the cognitive interviews are completed, a pilot test survey with approximately 650 mariners will be conducted to test the proposed data collection methods</w:t>
      </w:r>
      <w:r>
        <w:rPr>
          <w:rFonts w:cs="Times New Roman"/>
          <w:szCs w:val="24"/>
        </w:rPr>
        <w:t>.</w:t>
      </w:r>
      <w:r w:rsidRPr="0019536D">
        <w:rPr>
          <w:rFonts w:cs="Times New Roman"/>
          <w:szCs w:val="24"/>
        </w:rPr>
        <w:t xml:space="preserve"> </w:t>
      </w:r>
      <w:r w:rsidR="00AF70D6">
        <w:rPr>
          <w:rFonts w:cs="Times New Roman"/>
          <w:szCs w:val="24"/>
        </w:rPr>
        <w:t>The pilot test survey results will be analyzed to further validate and improve the survey design</w:t>
      </w:r>
      <w:r w:rsidR="009F1F62">
        <w:rPr>
          <w:rFonts w:cs="Times New Roman"/>
          <w:szCs w:val="24"/>
        </w:rPr>
        <w:t xml:space="preserve"> </w:t>
      </w:r>
      <w:r w:rsidR="00AF70D6">
        <w:rPr>
          <w:rFonts w:cs="Times New Roman"/>
          <w:szCs w:val="24"/>
        </w:rPr>
        <w:t xml:space="preserve">components of the subsequent </w:t>
      </w:r>
      <w:r w:rsidR="00082F20">
        <w:rPr>
          <w:rFonts w:cs="Times New Roman"/>
          <w:szCs w:val="24"/>
        </w:rPr>
        <w:t>biennial Mariner Survey main studies</w:t>
      </w:r>
      <w:r w:rsidR="003638B4">
        <w:rPr>
          <w:rFonts w:cs="Times New Roman"/>
          <w:szCs w:val="24"/>
        </w:rPr>
        <w:t>,</w:t>
      </w:r>
      <w:r w:rsidR="00082F20">
        <w:rPr>
          <w:rFonts w:cs="Times New Roman"/>
          <w:szCs w:val="24"/>
        </w:rPr>
        <w:t xml:space="preserve"> which are not part of this information collection request. Upon completion of the </w:t>
      </w:r>
      <w:r w:rsidRPr="003F25E9" w:rsidR="00082F20">
        <w:rPr>
          <w:rFonts w:cs="Times New Roman"/>
          <w:szCs w:val="24"/>
          <w:u w:val="single"/>
        </w:rPr>
        <w:t>Mariner Survey Pre-Test</w:t>
      </w:r>
      <w:r w:rsidR="00082F20">
        <w:rPr>
          <w:rFonts w:cs="Times New Roman"/>
          <w:szCs w:val="24"/>
        </w:rPr>
        <w:t xml:space="preserve"> analysis, MARAD intends to submit a separate information collection</w:t>
      </w:r>
      <w:r w:rsidR="009F1F62">
        <w:rPr>
          <w:rFonts w:cs="Times New Roman"/>
          <w:szCs w:val="24"/>
        </w:rPr>
        <w:t xml:space="preserve"> </w:t>
      </w:r>
      <w:r w:rsidR="00082F20">
        <w:rPr>
          <w:rFonts w:cs="Times New Roman"/>
          <w:szCs w:val="24"/>
        </w:rPr>
        <w:t>request for the subsequent biennial Mariner Survey main studies.</w:t>
      </w:r>
      <w:r w:rsidR="009F1F62">
        <w:rPr>
          <w:rFonts w:cs="Times New Roman"/>
          <w:szCs w:val="24"/>
        </w:rPr>
        <w:t xml:space="preserve">  </w:t>
      </w:r>
    </w:p>
    <w:p w:rsidRPr="005777F1" w:rsidR="000A0250" w:rsidP="000A0250" w:rsidRDefault="000A0250" w14:paraId="2128A30A" w14:textId="108B00D9">
      <w:pPr>
        <w:rPr>
          <w:rFonts w:cs="Times New Roman"/>
          <w:color w:val="000000" w:themeColor="text1"/>
          <w:szCs w:val="24"/>
        </w:rPr>
      </w:pPr>
      <w:r w:rsidRPr="005777F1">
        <w:rPr>
          <w:rFonts w:cs="Times New Roman"/>
          <w:szCs w:val="24"/>
        </w:rPr>
        <w:t xml:space="preserve">The proposed </w:t>
      </w:r>
      <w:r w:rsidRPr="00E35E9F">
        <w:rPr>
          <w:rFonts w:cs="Times New Roman"/>
          <w:szCs w:val="24"/>
        </w:rPr>
        <w:t>Mariner Survey</w:t>
      </w:r>
      <w:r w:rsidRPr="005777F1">
        <w:rPr>
          <w:rFonts w:cs="Times New Roman"/>
          <w:szCs w:val="24"/>
        </w:rPr>
        <w:t xml:space="preserve"> </w:t>
      </w:r>
      <w:r w:rsidRPr="005777F1" w:rsidR="00345760">
        <w:rPr>
          <w:rFonts w:cs="Times New Roman"/>
          <w:szCs w:val="24"/>
        </w:rPr>
        <w:t xml:space="preserve">questionnaire </w:t>
      </w:r>
      <w:r w:rsidRPr="005777F1">
        <w:rPr>
          <w:rFonts w:cs="Times New Roman"/>
          <w:szCs w:val="24"/>
        </w:rPr>
        <w:t xml:space="preserve">will collect information from mariners to estimate the number of qualified merchant mariners who, on short notice, could and would serve during a period of National Need. This estimate would be used by MARAD to assess the maritime workforce’s ability to support both sealift operations and maritime commerce during surge operations. </w:t>
      </w:r>
      <w:r w:rsidRPr="005777F1">
        <w:rPr>
          <w:rFonts w:cs="Times New Roman"/>
          <w:color w:val="000000" w:themeColor="text1"/>
          <w:szCs w:val="24"/>
        </w:rPr>
        <w:t xml:space="preserve">The results of the </w:t>
      </w:r>
      <w:r w:rsidRPr="005777F1" w:rsidR="00345760">
        <w:rPr>
          <w:rFonts w:cs="Times New Roman"/>
          <w:color w:val="000000" w:themeColor="text1"/>
          <w:szCs w:val="24"/>
        </w:rPr>
        <w:t xml:space="preserve">full biennial </w:t>
      </w:r>
      <w:r w:rsidRPr="00E35E9F">
        <w:rPr>
          <w:rFonts w:cs="Times New Roman"/>
          <w:color w:val="000000" w:themeColor="text1"/>
          <w:szCs w:val="24"/>
        </w:rPr>
        <w:t>Mariner Survey</w:t>
      </w:r>
      <w:r w:rsidRPr="005777F1">
        <w:rPr>
          <w:rFonts w:cs="Times New Roman"/>
          <w:color w:val="000000" w:themeColor="text1"/>
          <w:szCs w:val="24"/>
        </w:rPr>
        <w:t xml:space="preserve"> will be used to respond to inquiries from </w:t>
      </w:r>
      <w:r w:rsidR="00FA64FB">
        <w:rPr>
          <w:rFonts w:cs="Times New Roman"/>
          <w:color w:val="000000" w:themeColor="text1"/>
          <w:szCs w:val="24"/>
        </w:rPr>
        <w:t>the United States Transportation Command</w:t>
      </w:r>
      <w:r w:rsidRPr="005777F1">
        <w:rPr>
          <w:rFonts w:cs="Times New Roman"/>
          <w:color w:val="000000" w:themeColor="text1"/>
          <w:szCs w:val="24"/>
        </w:rPr>
        <w:t xml:space="preserve">, Congress, and other stakeholders, and explore </w:t>
      </w:r>
      <w:r w:rsidRPr="005777F1">
        <w:rPr>
          <w:rFonts w:cs="Times New Roman"/>
          <w:color w:val="000000" w:themeColor="text1"/>
          <w:szCs w:val="24"/>
        </w:rPr>
        <w:lastRenderedPageBreak/>
        <w:t>future courses of action when government-owned ships as well as commercial ships are required to meet our national security needs.</w:t>
      </w:r>
    </w:p>
    <w:p w:rsidRPr="005777F1" w:rsidR="00AF2D59" w:rsidP="00866119" w:rsidRDefault="00866119" w14:paraId="7BBF4923" w14:textId="643DE3B9">
      <w:pPr>
        <w:rPr>
          <w:rFonts w:cs="Times New Roman"/>
          <w:szCs w:val="24"/>
        </w:rPr>
      </w:pPr>
      <w:r w:rsidRPr="005777F1">
        <w:rPr>
          <w:rFonts w:cs="Times New Roman"/>
          <w:szCs w:val="24"/>
        </w:rPr>
        <w:t xml:space="preserve">The proposed </w:t>
      </w:r>
      <w:bookmarkStart w:name="_Hlk32167302" w:id="14"/>
      <w:r w:rsidRPr="00E35E9F">
        <w:rPr>
          <w:rFonts w:cs="Times New Roman"/>
          <w:szCs w:val="24"/>
        </w:rPr>
        <w:t>Mariner Survey</w:t>
      </w:r>
      <w:r w:rsidRPr="005777F1">
        <w:rPr>
          <w:rFonts w:cs="Times New Roman"/>
          <w:szCs w:val="24"/>
        </w:rPr>
        <w:t xml:space="preserve"> </w:t>
      </w:r>
      <w:bookmarkEnd w:id="14"/>
      <w:r w:rsidRPr="005777F1" w:rsidR="00345760">
        <w:rPr>
          <w:rFonts w:cs="Times New Roman"/>
          <w:szCs w:val="24"/>
        </w:rPr>
        <w:t xml:space="preserve">questionnaire </w:t>
      </w:r>
      <w:r w:rsidRPr="005777F1" w:rsidR="00066DDE">
        <w:rPr>
          <w:rFonts w:cs="Times New Roman"/>
          <w:szCs w:val="24"/>
        </w:rPr>
        <w:t>is</w:t>
      </w:r>
      <w:r w:rsidRPr="005777F1" w:rsidR="007F1285">
        <w:rPr>
          <w:rFonts w:cs="Times New Roman"/>
          <w:szCs w:val="24"/>
        </w:rPr>
        <w:t xml:space="preserve"> comprised of two sections</w:t>
      </w:r>
      <w:r w:rsidRPr="005777F1" w:rsidR="00155753">
        <w:rPr>
          <w:rFonts w:cs="Times New Roman"/>
          <w:szCs w:val="24"/>
        </w:rPr>
        <w:t>.</w:t>
      </w:r>
      <w:r w:rsidRPr="005777F1" w:rsidR="007F1285">
        <w:rPr>
          <w:rFonts w:cs="Times New Roman"/>
          <w:szCs w:val="24"/>
        </w:rPr>
        <w:t xml:space="preserve"> Section </w:t>
      </w:r>
      <w:r w:rsidRPr="005777F1" w:rsidR="003904DD">
        <w:rPr>
          <w:rFonts w:cs="Times New Roman"/>
          <w:szCs w:val="24"/>
        </w:rPr>
        <w:t>1</w:t>
      </w:r>
      <w:r w:rsidRPr="005777F1" w:rsidR="00155753">
        <w:rPr>
          <w:rFonts w:cs="Times New Roman"/>
          <w:szCs w:val="24"/>
        </w:rPr>
        <w:t xml:space="preserve"> </w:t>
      </w:r>
      <w:r w:rsidRPr="005777F1" w:rsidR="005D3D19">
        <w:rPr>
          <w:rFonts w:cs="Times New Roman"/>
          <w:szCs w:val="24"/>
        </w:rPr>
        <w:t>obtain</w:t>
      </w:r>
      <w:r w:rsidRPr="005777F1" w:rsidR="00066DDE">
        <w:rPr>
          <w:rFonts w:cs="Times New Roman"/>
          <w:szCs w:val="24"/>
        </w:rPr>
        <w:t>s</w:t>
      </w:r>
      <w:r w:rsidRPr="005777F1" w:rsidR="005D3D19">
        <w:rPr>
          <w:rFonts w:cs="Times New Roman"/>
          <w:szCs w:val="24"/>
        </w:rPr>
        <w:t xml:space="preserve"> </w:t>
      </w:r>
      <w:r w:rsidRPr="005777F1" w:rsidR="007F1285">
        <w:rPr>
          <w:rFonts w:cs="Times New Roman"/>
          <w:szCs w:val="24"/>
        </w:rPr>
        <w:t>key information about mariners’ experience and potential availability in the event of a National Need</w:t>
      </w:r>
      <w:r w:rsidRPr="005777F1" w:rsidR="00155753">
        <w:rPr>
          <w:rFonts w:cs="Times New Roman"/>
          <w:szCs w:val="24"/>
        </w:rPr>
        <w:t xml:space="preserve">. </w:t>
      </w:r>
      <w:r w:rsidRPr="005777F1" w:rsidR="00AF2D59">
        <w:rPr>
          <w:rFonts w:cs="Times New Roman"/>
          <w:szCs w:val="24"/>
        </w:rPr>
        <w:t xml:space="preserve">The information asked in Section </w:t>
      </w:r>
      <w:r w:rsidRPr="005777F1" w:rsidR="003904DD">
        <w:rPr>
          <w:rFonts w:cs="Times New Roman"/>
          <w:szCs w:val="24"/>
        </w:rPr>
        <w:t>1</w:t>
      </w:r>
      <w:r w:rsidRPr="005777F1" w:rsidR="00AF2D59">
        <w:rPr>
          <w:rFonts w:cs="Times New Roman"/>
          <w:szCs w:val="24"/>
        </w:rPr>
        <w:t xml:space="preserve"> is not available from </w:t>
      </w:r>
      <w:r w:rsidRPr="005777F1" w:rsidR="00345760">
        <w:rPr>
          <w:rFonts w:cs="Times New Roman"/>
          <w:szCs w:val="24"/>
        </w:rPr>
        <w:t xml:space="preserve">the MMLD or </w:t>
      </w:r>
      <w:r w:rsidRPr="005777F1" w:rsidR="00AF2D59">
        <w:rPr>
          <w:rFonts w:cs="Times New Roman"/>
          <w:szCs w:val="24"/>
        </w:rPr>
        <w:t>any other sources.</w:t>
      </w:r>
    </w:p>
    <w:p w:rsidRPr="005777F1" w:rsidR="00866119" w:rsidP="00866119" w:rsidRDefault="007F1285" w14:paraId="5C6CE096" w14:textId="52D5C3F8">
      <w:pPr>
        <w:rPr>
          <w:rFonts w:cs="Times New Roman"/>
          <w:i/>
          <w:iCs/>
          <w:szCs w:val="24"/>
        </w:rPr>
      </w:pPr>
      <w:r w:rsidRPr="005777F1">
        <w:rPr>
          <w:rFonts w:cs="Times New Roman"/>
          <w:szCs w:val="24"/>
        </w:rPr>
        <w:t xml:space="preserve">Section </w:t>
      </w:r>
      <w:r w:rsidRPr="005777F1" w:rsidR="003904DD">
        <w:rPr>
          <w:rFonts w:cs="Times New Roman"/>
          <w:szCs w:val="24"/>
        </w:rPr>
        <w:t>2</w:t>
      </w:r>
      <w:r w:rsidRPr="005777F1" w:rsidR="00155753">
        <w:rPr>
          <w:rFonts w:cs="Times New Roman"/>
          <w:szCs w:val="24"/>
        </w:rPr>
        <w:t xml:space="preserve"> </w:t>
      </w:r>
      <w:r w:rsidRPr="005777F1">
        <w:rPr>
          <w:rFonts w:cs="Times New Roman"/>
          <w:szCs w:val="24"/>
        </w:rPr>
        <w:t>assess</w:t>
      </w:r>
      <w:r w:rsidRPr="005777F1" w:rsidR="00066DDE">
        <w:rPr>
          <w:rFonts w:cs="Times New Roman"/>
          <w:szCs w:val="24"/>
        </w:rPr>
        <w:t>es</w:t>
      </w:r>
      <w:r w:rsidRPr="005777F1">
        <w:rPr>
          <w:rFonts w:cs="Times New Roman"/>
          <w:szCs w:val="24"/>
        </w:rPr>
        <w:t xml:space="preserve"> mariners’ willingness to volunteer to serve in the event of a National Need, and the conditions under which they might be willing to volunteer to serve</w:t>
      </w:r>
      <w:r w:rsidRPr="005777F1" w:rsidR="00066DDE">
        <w:rPr>
          <w:rFonts w:cs="Times New Roman"/>
          <w:szCs w:val="24"/>
        </w:rPr>
        <w:t>,</w:t>
      </w:r>
      <w:r w:rsidRPr="005777F1" w:rsidR="00845E9A">
        <w:rPr>
          <w:rFonts w:cs="Times New Roman"/>
          <w:szCs w:val="24"/>
        </w:rPr>
        <w:t xml:space="preserve"> as well as a few other questions related</w:t>
      </w:r>
      <w:r w:rsidRPr="005777F1" w:rsidR="00933153">
        <w:rPr>
          <w:rFonts w:cs="Times New Roman"/>
          <w:szCs w:val="24"/>
        </w:rPr>
        <w:t xml:space="preserve"> to</w:t>
      </w:r>
      <w:r w:rsidRPr="005777F1" w:rsidR="00845E9A">
        <w:rPr>
          <w:rFonts w:cs="Times New Roman"/>
          <w:szCs w:val="24"/>
        </w:rPr>
        <w:t xml:space="preserve"> volunteering. Mariners will be asked to respond to </w:t>
      </w:r>
      <w:r w:rsidR="00E35E9F">
        <w:rPr>
          <w:rFonts w:cs="Times New Roman"/>
          <w:szCs w:val="24"/>
        </w:rPr>
        <w:t>six</w:t>
      </w:r>
      <w:r w:rsidRPr="005777F1" w:rsidR="00345760">
        <w:rPr>
          <w:rFonts w:cs="Times New Roman"/>
          <w:szCs w:val="24"/>
        </w:rPr>
        <w:t xml:space="preserve"> </w:t>
      </w:r>
      <w:r w:rsidRPr="005777F1" w:rsidR="000F4578">
        <w:rPr>
          <w:rFonts w:cs="Times New Roman"/>
          <w:szCs w:val="24"/>
        </w:rPr>
        <w:t xml:space="preserve">scenarios; depending on their answers, they </w:t>
      </w:r>
      <w:r w:rsidRPr="005777F1" w:rsidR="003904DD">
        <w:rPr>
          <w:rFonts w:cs="Times New Roman"/>
          <w:szCs w:val="24"/>
        </w:rPr>
        <w:t>will</w:t>
      </w:r>
      <w:r w:rsidRPr="005777F1" w:rsidR="000F4578">
        <w:rPr>
          <w:rFonts w:cs="Times New Roman"/>
          <w:szCs w:val="24"/>
        </w:rPr>
        <w:t xml:space="preserve"> be asked to respond to up to three additional questions. </w:t>
      </w:r>
    </w:p>
    <w:p w:rsidRPr="005777F1" w:rsidR="008D398C" w:rsidP="00866119" w:rsidRDefault="008D398C" w14:paraId="063B2241" w14:textId="31BDC529">
      <w:pPr>
        <w:rPr>
          <w:rFonts w:cs="Times New Roman"/>
          <w:szCs w:val="24"/>
        </w:rPr>
      </w:pPr>
      <w:r w:rsidRPr="005777F1">
        <w:rPr>
          <w:rFonts w:cs="Times New Roman"/>
          <w:szCs w:val="24"/>
        </w:rPr>
        <w:t xml:space="preserve">The remainder of this section provides the rationale for including each of the survey questions. A copy of the </w:t>
      </w:r>
      <w:r w:rsidRPr="00D51D7B" w:rsidR="00DC6EB0">
        <w:rPr>
          <w:rFonts w:cs="Times New Roman"/>
          <w:szCs w:val="24"/>
        </w:rPr>
        <w:t>Mariner Survey</w:t>
      </w:r>
      <w:r w:rsidRPr="005777F1">
        <w:rPr>
          <w:rFonts w:cs="Times New Roman"/>
          <w:szCs w:val="24"/>
        </w:rPr>
        <w:t xml:space="preserve"> questionnaire can be found in </w:t>
      </w:r>
      <w:r w:rsidRPr="005777F1" w:rsidR="000C3E4C">
        <w:rPr>
          <w:rFonts w:cs="Times New Roman"/>
          <w:szCs w:val="24"/>
        </w:rPr>
        <w:t>Appendix</w:t>
      </w:r>
      <w:r w:rsidRPr="005777F1">
        <w:rPr>
          <w:rFonts w:cs="Times New Roman"/>
          <w:szCs w:val="24"/>
        </w:rPr>
        <w:t xml:space="preserve"> </w:t>
      </w:r>
      <w:r w:rsidRPr="005777F1" w:rsidR="00067440">
        <w:rPr>
          <w:rFonts w:cs="Times New Roman"/>
          <w:szCs w:val="24"/>
        </w:rPr>
        <w:t>1.b</w:t>
      </w:r>
      <w:r w:rsidR="00DC6EB0">
        <w:rPr>
          <w:rFonts w:cs="Times New Roman"/>
          <w:szCs w:val="24"/>
        </w:rPr>
        <w:t>.</w:t>
      </w:r>
      <w:r w:rsidRPr="005777F1">
        <w:rPr>
          <w:rFonts w:cs="Times New Roman"/>
          <w:szCs w:val="24"/>
        </w:rPr>
        <w:t xml:space="preserve"> </w:t>
      </w:r>
    </w:p>
    <w:p w:rsidRPr="005777F1" w:rsidR="007F1285" w:rsidP="00FE0E06" w:rsidRDefault="00AF2D59" w14:paraId="37B05048" w14:textId="61F6DF11">
      <w:pPr>
        <w:rPr>
          <w:rFonts w:cs="Times New Roman"/>
          <w:b/>
          <w:bCs/>
          <w:szCs w:val="24"/>
        </w:rPr>
      </w:pPr>
      <w:r w:rsidRPr="005777F1">
        <w:rPr>
          <w:rFonts w:cs="Times New Roman"/>
          <w:b/>
          <w:bCs/>
          <w:szCs w:val="24"/>
        </w:rPr>
        <w:t xml:space="preserve">Mariner Survey </w:t>
      </w:r>
      <w:r w:rsidRPr="005777F1" w:rsidR="007F1285">
        <w:rPr>
          <w:rFonts w:cs="Times New Roman"/>
          <w:b/>
          <w:bCs/>
          <w:szCs w:val="24"/>
        </w:rPr>
        <w:t xml:space="preserve">Section </w:t>
      </w:r>
      <w:r w:rsidRPr="005777F1" w:rsidR="003904DD">
        <w:rPr>
          <w:rFonts w:cs="Times New Roman"/>
          <w:b/>
          <w:bCs/>
          <w:szCs w:val="24"/>
        </w:rPr>
        <w:t>1</w:t>
      </w:r>
      <w:r w:rsidRPr="005777F1" w:rsidR="00E21D95">
        <w:rPr>
          <w:rFonts w:cs="Times New Roman"/>
          <w:b/>
          <w:bCs/>
          <w:szCs w:val="24"/>
        </w:rPr>
        <w:t>: Mariner Experience and Availability – Q</w:t>
      </w:r>
      <w:r w:rsidRPr="005777F1" w:rsidR="007F1285">
        <w:rPr>
          <w:rFonts w:cs="Times New Roman"/>
          <w:b/>
          <w:bCs/>
          <w:szCs w:val="24"/>
        </w:rPr>
        <w:t xml:space="preserve">uestions and </w:t>
      </w:r>
      <w:r w:rsidRPr="005777F1" w:rsidR="008D398C">
        <w:rPr>
          <w:rFonts w:cs="Times New Roman"/>
          <w:b/>
          <w:bCs/>
          <w:szCs w:val="24"/>
        </w:rPr>
        <w:t>Rationale</w:t>
      </w:r>
      <w:r w:rsidRPr="005777F1" w:rsidR="007F1285">
        <w:rPr>
          <w:rFonts w:cs="Times New Roman"/>
          <w:b/>
          <w:bCs/>
          <w:szCs w:val="24"/>
        </w:rPr>
        <w:t xml:space="preserve"> for Inclusion</w:t>
      </w:r>
    </w:p>
    <w:p w:rsidRPr="005777F1" w:rsidR="007F1285" w:rsidP="00FE0E06" w:rsidRDefault="007F1285" w14:paraId="1206BA3D" w14:textId="655CFF29">
      <w:pPr>
        <w:rPr>
          <w:rFonts w:cs="Times New Roman"/>
          <w:szCs w:val="24"/>
        </w:rPr>
      </w:pPr>
      <w:r w:rsidRPr="005777F1">
        <w:rPr>
          <w:rFonts w:cs="Times New Roman"/>
          <w:b/>
          <w:bCs/>
          <w:szCs w:val="24"/>
        </w:rPr>
        <w:t>Q1</w:t>
      </w:r>
      <w:r w:rsidRPr="005777F1">
        <w:rPr>
          <w:rFonts w:cs="Times New Roman"/>
          <w:szCs w:val="24"/>
        </w:rPr>
        <w:t>. What BEST describes your current merchant mariner status?</w:t>
      </w:r>
    </w:p>
    <w:p w:rsidRPr="005777F1" w:rsidR="007F1285" w:rsidP="00AF2D59" w:rsidRDefault="003C6D15" w14:paraId="2AA51A50" w14:textId="5E311F25">
      <w:pPr>
        <w:ind w:left="360"/>
        <w:rPr>
          <w:rFonts w:cs="Times New Roman"/>
          <w:szCs w:val="24"/>
        </w:rPr>
      </w:pPr>
      <w:r w:rsidRPr="005777F1">
        <w:rPr>
          <w:rFonts w:cs="Times New Roman"/>
          <w:szCs w:val="24"/>
        </w:rPr>
        <w:t xml:space="preserve">A mariner’s current </w:t>
      </w:r>
      <w:r w:rsidRPr="005777F1" w:rsidR="00242517">
        <w:rPr>
          <w:rFonts w:cs="Times New Roman"/>
          <w:szCs w:val="24"/>
        </w:rPr>
        <w:t xml:space="preserve">sailing status is likely related to both their availability and willingness to volunteer to serve in the event of a National Need. </w:t>
      </w:r>
      <w:r w:rsidRPr="005777F1">
        <w:rPr>
          <w:rFonts w:cs="Times New Roman"/>
          <w:szCs w:val="24"/>
        </w:rPr>
        <w:t xml:space="preserve">Responses to this question will allow MARAD to ascertain the size of the actively sailing mariner pool. Mariners who are currently sailing </w:t>
      </w:r>
      <w:r w:rsidRPr="005777F1" w:rsidR="000A0250">
        <w:rPr>
          <w:rFonts w:cs="Times New Roman"/>
          <w:szCs w:val="24"/>
        </w:rPr>
        <w:t>have valid</w:t>
      </w:r>
      <w:r w:rsidRPr="005777F1">
        <w:rPr>
          <w:rFonts w:cs="Times New Roman"/>
          <w:szCs w:val="24"/>
        </w:rPr>
        <w:t xml:space="preserve"> credentials, have medical clearance, and could theoretically join a ship at short notice if they were willing to do so. Mariners who have quit sailing </w:t>
      </w:r>
      <w:r w:rsidRPr="005777F1" w:rsidR="00242517">
        <w:rPr>
          <w:rFonts w:cs="Times New Roman"/>
          <w:szCs w:val="24"/>
        </w:rPr>
        <w:t xml:space="preserve">are unlikely to be available to serve on short notice and are </w:t>
      </w:r>
      <w:r w:rsidRPr="005777F1">
        <w:rPr>
          <w:rFonts w:cs="Times New Roman"/>
          <w:szCs w:val="24"/>
        </w:rPr>
        <w:t>potentially less likely to be willing to volunte</w:t>
      </w:r>
      <w:r w:rsidRPr="005777F1" w:rsidR="00242517">
        <w:rPr>
          <w:rFonts w:cs="Times New Roman"/>
          <w:szCs w:val="24"/>
        </w:rPr>
        <w:t>er</w:t>
      </w:r>
      <w:r w:rsidRPr="005777F1">
        <w:rPr>
          <w:rFonts w:cs="Times New Roman"/>
          <w:szCs w:val="24"/>
        </w:rPr>
        <w:t xml:space="preserve">. Additionally, </w:t>
      </w:r>
      <w:r w:rsidRPr="005777F1" w:rsidR="00242517">
        <w:rPr>
          <w:rFonts w:cs="Times New Roman"/>
          <w:szCs w:val="24"/>
        </w:rPr>
        <w:t>responses to this question determine eligibility for Q2.</w:t>
      </w:r>
    </w:p>
    <w:p w:rsidRPr="005777F1" w:rsidR="003C6D15" w:rsidP="00FE0E06" w:rsidRDefault="003C6D15" w14:paraId="692754CE" w14:textId="673624C6">
      <w:pPr>
        <w:rPr>
          <w:rFonts w:cs="Times New Roman"/>
          <w:szCs w:val="24"/>
        </w:rPr>
      </w:pPr>
      <w:r w:rsidRPr="005777F1">
        <w:rPr>
          <w:rFonts w:cs="Times New Roman"/>
          <w:b/>
          <w:bCs/>
          <w:szCs w:val="24"/>
        </w:rPr>
        <w:t>Q2</w:t>
      </w:r>
      <w:r w:rsidRPr="005777F1" w:rsidR="005D3D19">
        <w:rPr>
          <w:rFonts w:cs="Times New Roman"/>
          <w:szCs w:val="24"/>
        </w:rPr>
        <w:t>.</w:t>
      </w:r>
      <w:r w:rsidRPr="005777F1">
        <w:rPr>
          <w:rFonts w:cs="Times New Roman"/>
          <w:szCs w:val="24"/>
        </w:rPr>
        <w:t xml:space="preserve"> Are you currently employed by the U.S. Government as a Civil Service Mariner (CIVMAR) to sail on vessels operated by the Military Sealift Command (MSC) or National Oceanic and Atmospheric Administration (NOAA) or U.S. Army Corps of Engineers (USACE)?</w:t>
      </w:r>
    </w:p>
    <w:p w:rsidRPr="005777F1" w:rsidR="00242517" w:rsidP="00AF2D59" w:rsidRDefault="00242517" w14:paraId="537C59D3" w14:textId="741273F1">
      <w:pPr>
        <w:ind w:left="360"/>
        <w:rPr>
          <w:rFonts w:cs="Times New Roman"/>
          <w:szCs w:val="24"/>
        </w:rPr>
      </w:pPr>
      <w:r w:rsidRPr="005777F1">
        <w:rPr>
          <w:rFonts w:cs="Times New Roman"/>
          <w:szCs w:val="24"/>
        </w:rPr>
        <w:t>It is important to ascertain whether actively sailing mariner</w:t>
      </w:r>
      <w:r w:rsidRPr="005777F1" w:rsidR="00345760">
        <w:rPr>
          <w:rFonts w:cs="Times New Roman"/>
          <w:szCs w:val="24"/>
        </w:rPr>
        <w:t xml:space="preserve"> respondents</w:t>
      </w:r>
      <w:r w:rsidRPr="005777F1">
        <w:rPr>
          <w:rFonts w:cs="Times New Roman"/>
          <w:szCs w:val="24"/>
        </w:rPr>
        <w:t xml:space="preserve"> (captured in Q1) are currently employed as a CIVMAR because these mariners may </w:t>
      </w:r>
      <w:r w:rsidRPr="005777F1" w:rsidR="005777F1">
        <w:rPr>
          <w:rFonts w:cs="Times New Roman"/>
          <w:szCs w:val="24"/>
        </w:rPr>
        <w:t>state they are</w:t>
      </w:r>
      <w:r w:rsidRPr="005777F1">
        <w:rPr>
          <w:rFonts w:cs="Times New Roman"/>
          <w:szCs w:val="24"/>
        </w:rPr>
        <w:t xml:space="preserve"> </w:t>
      </w:r>
      <w:r w:rsidRPr="005777F1">
        <w:rPr>
          <w:rFonts w:cs="Times New Roman"/>
          <w:i/>
          <w:iCs/>
          <w:szCs w:val="24"/>
        </w:rPr>
        <w:t>willing</w:t>
      </w:r>
      <w:r w:rsidRPr="005777F1">
        <w:rPr>
          <w:rFonts w:cs="Times New Roman"/>
          <w:szCs w:val="24"/>
        </w:rPr>
        <w:t xml:space="preserve"> to volunteer to serve, but are unlikely to be </w:t>
      </w:r>
      <w:r w:rsidRPr="005777F1">
        <w:rPr>
          <w:rFonts w:cs="Times New Roman"/>
          <w:i/>
          <w:iCs/>
          <w:szCs w:val="24"/>
        </w:rPr>
        <w:t>available</w:t>
      </w:r>
      <w:r w:rsidRPr="005777F1">
        <w:rPr>
          <w:rFonts w:cs="Times New Roman"/>
          <w:szCs w:val="24"/>
        </w:rPr>
        <w:t xml:space="preserve"> to volunteer, as they will already be obligated to serve under the terms of their current employment with the U.S. Government. </w:t>
      </w:r>
      <w:r w:rsidRPr="005777F1" w:rsidR="005D3D19">
        <w:rPr>
          <w:rFonts w:cs="Times New Roman"/>
          <w:szCs w:val="24"/>
        </w:rPr>
        <w:t xml:space="preserve">Analysis of the responses to the items in Section </w:t>
      </w:r>
      <w:r w:rsidR="00094384">
        <w:rPr>
          <w:rFonts w:cs="Times New Roman"/>
          <w:szCs w:val="24"/>
        </w:rPr>
        <w:t>2</w:t>
      </w:r>
      <w:r w:rsidRPr="005777F1" w:rsidR="005D3D19">
        <w:rPr>
          <w:rFonts w:cs="Times New Roman"/>
          <w:szCs w:val="24"/>
        </w:rPr>
        <w:t xml:space="preserve"> will be conducted separately for those who are CIVMARs and those who are not.</w:t>
      </w:r>
    </w:p>
    <w:p w:rsidRPr="005777F1" w:rsidR="005D3D19" w:rsidP="00FE0E06" w:rsidRDefault="005D3D19" w14:paraId="2A340C6D" w14:textId="1FAF42A2">
      <w:pPr>
        <w:rPr>
          <w:rFonts w:cs="Times New Roman"/>
          <w:i/>
          <w:iCs/>
          <w:szCs w:val="24"/>
        </w:rPr>
      </w:pPr>
      <w:r w:rsidRPr="005777F1">
        <w:rPr>
          <w:rFonts w:cs="Times New Roman"/>
          <w:b/>
          <w:bCs/>
          <w:szCs w:val="24"/>
        </w:rPr>
        <w:t>Q3</w:t>
      </w:r>
      <w:r w:rsidRPr="005777F1">
        <w:rPr>
          <w:rFonts w:cs="Times New Roman"/>
          <w:szCs w:val="24"/>
        </w:rPr>
        <w:t>. Do you currently belong to a Reserve Component or National Guard?</w:t>
      </w:r>
    </w:p>
    <w:p w:rsidRPr="005777F1" w:rsidR="005D3D19" w:rsidP="00A41792" w:rsidRDefault="005D3D19" w14:paraId="1E4F3FE8" w14:textId="077EEF94">
      <w:pPr>
        <w:ind w:left="360"/>
        <w:rPr>
          <w:rFonts w:cs="Times New Roman"/>
          <w:szCs w:val="24"/>
        </w:rPr>
      </w:pPr>
      <w:proofErr w:type="gramStart"/>
      <w:r w:rsidRPr="005777F1">
        <w:rPr>
          <w:rFonts w:cs="Times New Roman"/>
          <w:szCs w:val="24"/>
        </w:rPr>
        <w:t>Similar to</w:t>
      </w:r>
      <w:proofErr w:type="gramEnd"/>
      <w:r w:rsidRPr="005777F1">
        <w:rPr>
          <w:rFonts w:cs="Times New Roman"/>
          <w:szCs w:val="24"/>
        </w:rPr>
        <w:t xml:space="preserve"> </w:t>
      </w:r>
      <w:r w:rsidR="009E3CF4">
        <w:rPr>
          <w:rFonts w:cs="Times New Roman"/>
          <w:szCs w:val="24"/>
        </w:rPr>
        <w:t>Q2</w:t>
      </w:r>
      <w:r w:rsidRPr="005777F1">
        <w:rPr>
          <w:rFonts w:cs="Times New Roman"/>
          <w:szCs w:val="24"/>
        </w:rPr>
        <w:t xml:space="preserve">, </w:t>
      </w:r>
      <w:r w:rsidR="009E3CF4">
        <w:rPr>
          <w:rFonts w:cs="Times New Roman"/>
          <w:szCs w:val="24"/>
        </w:rPr>
        <w:t>Q3</w:t>
      </w:r>
      <w:r w:rsidRPr="005777F1">
        <w:rPr>
          <w:rFonts w:cs="Times New Roman"/>
          <w:szCs w:val="24"/>
        </w:rPr>
        <w:t xml:space="preserve"> provide</w:t>
      </w:r>
      <w:r w:rsidRPr="005777F1" w:rsidR="00EB0371">
        <w:rPr>
          <w:rFonts w:cs="Times New Roman"/>
          <w:szCs w:val="24"/>
        </w:rPr>
        <w:t>s</w:t>
      </w:r>
      <w:r w:rsidRPr="005777F1">
        <w:rPr>
          <w:rFonts w:cs="Times New Roman"/>
          <w:szCs w:val="24"/>
        </w:rPr>
        <w:t xml:space="preserve"> information about a mariner’s likely availability (or unavailability) in the event of a National Need. </w:t>
      </w:r>
      <w:r w:rsidRPr="005777F1" w:rsidR="005777F1">
        <w:rPr>
          <w:rFonts w:cs="Times New Roman"/>
          <w:szCs w:val="24"/>
        </w:rPr>
        <w:t>It is important to ascertain whether actively sailing mariner respondents (captured in Q1) currently belong to a Reserve Component or National Guard</w:t>
      </w:r>
      <w:r w:rsidR="009F1F62">
        <w:rPr>
          <w:rFonts w:cs="Times New Roman"/>
          <w:szCs w:val="24"/>
        </w:rPr>
        <w:t xml:space="preserve"> </w:t>
      </w:r>
      <w:r w:rsidRPr="005777F1" w:rsidR="005777F1">
        <w:rPr>
          <w:rFonts w:cs="Times New Roman"/>
          <w:szCs w:val="24"/>
        </w:rPr>
        <w:t xml:space="preserve">because these mariners may state they are </w:t>
      </w:r>
      <w:r w:rsidRPr="005777F1" w:rsidR="005777F1">
        <w:rPr>
          <w:rFonts w:cs="Times New Roman"/>
          <w:i/>
          <w:iCs/>
          <w:szCs w:val="24"/>
        </w:rPr>
        <w:t>willing</w:t>
      </w:r>
      <w:r w:rsidRPr="005777F1" w:rsidR="005777F1">
        <w:rPr>
          <w:rFonts w:cs="Times New Roman"/>
          <w:szCs w:val="24"/>
        </w:rPr>
        <w:t xml:space="preserve"> to volunteer to serve, but are unlikely to be </w:t>
      </w:r>
      <w:r w:rsidRPr="005777F1" w:rsidR="005777F1">
        <w:rPr>
          <w:rFonts w:cs="Times New Roman"/>
          <w:i/>
          <w:iCs/>
          <w:szCs w:val="24"/>
        </w:rPr>
        <w:t>available</w:t>
      </w:r>
      <w:r w:rsidRPr="005777F1" w:rsidR="005777F1">
        <w:rPr>
          <w:rFonts w:cs="Times New Roman"/>
          <w:szCs w:val="24"/>
        </w:rPr>
        <w:t xml:space="preserve"> to volunteer, as they will already be obligated to serve in another capacity under the terms of their commitment to the Reserve Component or National Guard. </w:t>
      </w:r>
      <w:r w:rsidRPr="005777F1" w:rsidR="005777F1">
        <w:rPr>
          <w:rFonts w:cs="Times New Roman"/>
          <w:szCs w:val="24"/>
        </w:rPr>
        <w:lastRenderedPageBreak/>
        <w:t xml:space="preserve">Analysis of the responses to the items in Section </w:t>
      </w:r>
      <w:r w:rsidR="00094384">
        <w:rPr>
          <w:rFonts w:cs="Times New Roman"/>
          <w:szCs w:val="24"/>
        </w:rPr>
        <w:t>2</w:t>
      </w:r>
      <w:r w:rsidRPr="005777F1" w:rsidR="005777F1">
        <w:rPr>
          <w:rFonts w:cs="Times New Roman"/>
          <w:szCs w:val="24"/>
        </w:rPr>
        <w:t xml:space="preserve"> will be conducted separately for those who belong to a Reserve Component or National Guard and those who do not.</w:t>
      </w:r>
    </w:p>
    <w:p w:rsidRPr="005777F1" w:rsidR="006B38D7" w:rsidP="00FE0E06" w:rsidRDefault="00AF2D59" w14:paraId="728155F3" w14:textId="3FAC3F0D">
      <w:pPr>
        <w:rPr>
          <w:rFonts w:cs="Times New Roman"/>
          <w:szCs w:val="24"/>
        </w:rPr>
      </w:pPr>
      <w:r w:rsidRPr="005777F1">
        <w:rPr>
          <w:rFonts w:cs="Times New Roman"/>
          <w:b/>
          <w:bCs/>
          <w:szCs w:val="24"/>
        </w:rPr>
        <w:t>Q</w:t>
      </w:r>
      <w:r w:rsidRPr="005777F1" w:rsidR="00EB0371">
        <w:rPr>
          <w:rFonts w:cs="Times New Roman"/>
          <w:b/>
          <w:bCs/>
          <w:szCs w:val="24"/>
        </w:rPr>
        <w:t>4</w:t>
      </w:r>
      <w:r w:rsidRPr="005777F1" w:rsidR="006B38D7">
        <w:rPr>
          <w:rFonts w:cs="Times New Roman"/>
          <w:b/>
          <w:bCs/>
          <w:szCs w:val="24"/>
        </w:rPr>
        <w:t>.</w:t>
      </w:r>
      <w:r w:rsidRPr="005777F1" w:rsidR="003904DD">
        <w:rPr>
          <w:rFonts w:cs="Times New Roman"/>
          <w:b/>
          <w:bCs/>
          <w:szCs w:val="24"/>
        </w:rPr>
        <w:t xml:space="preserve"> </w:t>
      </w:r>
      <w:r w:rsidRPr="005777F1" w:rsidR="006B38D7">
        <w:rPr>
          <w:rFonts w:cs="Times New Roman"/>
          <w:szCs w:val="24"/>
        </w:rPr>
        <w:t xml:space="preserve">Do you currently hold any </w:t>
      </w:r>
      <w:r w:rsidR="001E6A05">
        <w:rPr>
          <w:rFonts w:cs="Times New Roman"/>
          <w:szCs w:val="24"/>
        </w:rPr>
        <w:t>rating (</w:t>
      </w:r>
      <w:r w:rsidRPr="005777F1" w:rsidR="006B38D7">
        <w:rPr>
          <w:rFonts w:cs="Times New Roman"/>
          <w:szCs w:val="24"/>
        </w:rPr>
        <w:t>unlicensed</w:t>
      </w:r>
      <w:r w:rsidR="001E6A05">
        <w:rPr>
          <w:rFonts w:cs="Times New Roman"/>
          <w:szCs w:val="24"/>
        </w:rPr>
        <w:t>) endorsements</w:t>
      </w:r>
      <w:r w:rsidRPr="005777F1" w:rsidR="006B38D7">
        <w:rPr>
          <w:rFonts w:cs="Times New Roman"/>
          <w:szCs w:val="24"/>
        </w:rPr>
        <w:t>?</w:t>
      </w:r>
    </w:p>
    <w:p w:rsidRPr="005777F1" w:rsidR="003904DD" w:rsidP="00FE0E06" w:rsidRDefault="003904DD" w14:paraId="388DEBE3" w14:textId="563D9EC5">
      <w:pPr>
        <w:rPr>
          <w:rFonts w:cstheme="minorHAnsi"/>
          <w:color w:val="000000"/>
        </w:rPr>
      </w:pPr>
      <w:r w:rsidRPr="005777F1">
        <w:rPr>
          <w:rFonts w:cs="Times New Roman"/>
          <w:b/>
          <w:bCs/>
          <w:szCs w:val="24"/>
        </w:rPr>
        <w:t>Q4a</w:t>
      </w:r>
      <w:r w:rsidRPr="005777F1" w:rsidR="006B38D7">
        <w:rPr>
          <w:rFonts w:cs="Times New Roman"/>
          <w:b/>
          <w:bCs/>
          <w:szCs w:val="24"/>
        </w:rPr>
        <w:t>.</w:t>
      </w:r>
      <w:r w:rsidRPr="005777F1">
        <w:rPr>
          <w:rFonts w:cs="Times New Roman"/>
          <w:b/>
          <w:bCs/>
          <w:szCs w:val="24"/>
        </w:rPr>
        <w:t xml:space="preserve"> </w:t>
      </w:r>
      <w:r w:rsidRPr="005777F1" w:rsidR="006B38D7">
        <w:rPr>
          <w:rFonts w:cstheme="minorHAnsi"/>
          <w:color w:val="000000"/>
        </w:rPr>
        <w:t xml:space="preserve">For each rating endorsement below, indicate whether you have </w:t>
      </w:r>
      <w:r w:rsidRPr="005777F1" w:rsidR="006B38D7">
        <w:rPr>
          <w:rFonts w:cstheme="minorHAnsi"/>
          <w:color w:val="000000"/>
          <w:u w:val="single"/>
        </w:rPr>
        <w:t>EVER</w:t>
      </w:r>
      <w:r w:rsidRPr="005777F1" w:rsidR="006B38D7">
        <w:rPr>
          <w:rFonts w:cstheme="minorHAnsi"/>
          <w:color w:val="000000"/>
        </w:rPr>
        <w:t xml:space="preserve"> sailed under that rating.</w:t>
      </w:r>
    </w:p>
    <w:p w:rsidRPr="005777F1" w:rsidR="006B38D7" w:rsidP="00FE0E06" w:rsidRDefault="006B38D7" w14:paraId="1500C69B" w14:textId="49F075C8">
      <w:pPr>
        <w:rPr>
          <w:rFonts w:cs="Times New Roman"/>
          <w:b/>
          <w:bCs/>
          <w:szCs w:val="24"/>
        </w:rPr>
      </w:pPr>
      <w:r w:rsidRPr="005777F1">
        <w:rPr>
          <w:rFonts w:cstheme="minorHAnsi"/>
          <w:b/>
          <w:bCs/>
          <w:color w:val="000000"/>
        </w:rPr>
        <w:t xml:space="preserve">Q4b. </w:t>
      </w:r>
      <w:r w:rsidRPr="005777F1">
        <w:rPr>
          <w:rFonts w:cstheme="minorHAnsi"/>
          <w:color w:val="000000"/>
        </w:rPr>
        <w:t>For each rating endorsement below, please enter the four-digit year you LAST sailed under that rating. If you are unsure of the exact year, please provide your best guess.</w:t>
      </w:r>
    </w:p>
    <w:p w:rsidR="00A00B49" w:rsidP="003904DD" w:rsidRDefault="003904DD" w14:paraId="7D7E8AB6" w14:textId="77777777">
      <w:pPr>
        <w:ind w:left="360"/>
        <w:rPr>
          <w:rFonts w:cs="Times New Roman"/>
          <w:szCs w:val="24"/>
        </w:rPr>
      </w:pPr>
      <w:r w:rsidRPr="005777F1">
        <w:rPr>
          <w:rFonts w:cs="Times New Roman"/>
          <w:szCs w:val="24"/>
        </w:rPr>
        <w:t xml:space="preserve">These three questions capture information about the experience of unlicensed mariners. Those who say “yes” </w:t>
      </w:r>
      <w:r w:rsidRPr="005777F1" w:rsidR="006B38D7">
        <w:rPr>
          <w:rFonts w:cs="Times New Roman"/>
          <w:szCs w:val="24"/>
        </w:rPr>
        <w:t xml:space="preserve">to Q4 </w:t>
      </w:r>
      <w:r w:rsidRPr="005777F1">
        <w:rPr>
          <w:rFonts w:cs="Times New Roman"/>
          <w:szCs w:val="24"/>
        </w:rPr>
        <w:t xml:space="preserve">will be asked to select the ratings under which they have ever sailed and the year </w:t>
      </w:r>
      <w:r w:rsidRPr="005777F1" w:rsidR="00C03BED">
        <w:rPr>
          <w:rFonts w:cs="Times New Roman"/>
          <w:szCs w:val="24"/>
        </w:rPr>
        <w:t>they</w:t>
      </w:r>
      <w:r w:rsidRPr="005777F1">
        <w:rPr>
          <w:rFonts w:cs="Times New Roman"/>
          <w:szCs w:val="24"/>
        </w:rPr>
        <w:t xml:space="preserve"> last sailed under that rating.</w:t>
      </w:r>
      <w:r w:rsidRPr="005777F1" w:rsidR="00E72746">
        <w:rPr>
          <w:rFonts w:cs="Times New Roman"/>
          <w:szCs w:val="24"/>
        </w:rPr>
        <w:t xml:space="preserve"> Those who say “no” to Q4 will skip to Q5. </w:t>
      </w:r>
    </w:p>
    <w:p w:rsidRPr="005777F1" w:rsidR="003904DD" w:rsidP="003904DD" w:rsidRDefault="00A00B49" w14:paraId="54B73F5A" w14:textId="312550D6">
      <w:pPr>
        <w:ind w:left="360"/>
        <w:rPr>
          <w:rFonts w:cs="Times New Roman"/>
          <w:szCs w:val="24"/>
        </w:rPr>
      </w:pPr>
      <w:r>
        <w:rPr>
          <w:rFonts w:cs="Times New Roman"/>
          <w:szCs w:val="24"/>
        </w:rPr>
        <w:t xml:space="preserve">The crew for merchant marine vessels </w:t>
      </w:r>
      <w:r w:rsidR="000E6B20">
        <w:rPr>
          <w:rFonts w:cs="Times New Roman"/>
          <w:szCs w:val="24"/>
        </w:rPr>
        <w:t xml:space="preserve">that trade internationally </w:t>
      </w:r>
      <w:r>
        <w:rPr>
          <w:rFonts w:cs="Times New Roman"/>
          <w:szCs w:val="24"/>
        </w:rPr>
        <w:t>is broken into two main categories</w:t>
      </w:r>
      <w:r w:rsidR="000E6B20">
        <w:rPr>
          <w:rFonts w:cs="Times New Roman"/>
          <w:szCs w:val="24"/>
        </w:rPr>
        <w:t xml:space="preserve">, </w:t>
      </w:r>
      <w:proofErr w:type="gramStart"/>
      <w:r w:rsidR="000E6B20">
        <w:rPr>
          <w:rFonts w:cs="Times New Roman"/>
          <w:szCs w:val="24"/>
        </w:rPr>
        <w:t>officers</w:t>
      </w:r>
      <w:proofErr w:type="gramEnd"/>
      <w:r w:rsidR="000E6B20">
        <w:rPr>
          <w:rFonts w:cs="Times New Roman"/>
          <w:szCs w:val="24"/>
        </w:rPr>
        <w:t xml:space="preserve"> and ratings. This structure is </w:t>
      </w:r>
      <w:proofErr w:type="gramStart"/>
      <w:r w:rsidR="000E6B20">
        <w:rPr>
          <w:rFonts w:cs="Times New Roman"/>
          <w:szCs w:val="24"/>
        </w:rPr>
        <w:t>similar to</w:t>
      </w:r>
      <w:proofErr w:type="gramEnd"/>
      <w:r w:rsidR="000E6B20">
        <w:rPr>
          <w:rFonts w:cs="Times New Roman"/>
          <w:szCs w:val="24"/>
        </w:rPr>
        <w:t xml:space="preserve"> that of the U.S. armed services, where commissioned officers and non-commissioned officers are the two main categories. For domestic credentials, which are issued for mariners who are not credentialed in accordance with international regulations but are otherwise eligible to sail domestically, the terms are licensed and unlicensed. Unlicensed is not a reflection of whether a mariner is eligible to sail; rather, it indicates the capacity in which they are credentialed to serve. Typically, the officers, or licensed crew, serve in leadership roles and are responsible for cargo operations, navigation, and engineering. Ratings, or unlicensed</w:t>
      </w:r>
      <w:r w:rsidR="000F28CB">
        <w:rPr>
          <w:rFonts w:cs="Times New Roman"/>
          <w:szCs w:val="24"/>
        </w:rPr>
        <w:t xml:space="preserve"> crew</w:t>
      </w:r>
      <w:r w:rsidR="000E6B20">
        <w:rPr>
          <w:rFonts w:cs="Times New Roman"/>
          <w:szCs w:val="24"/>
        </w:rPr>
        <w:t>, are responsible for the day</w:t>
      </w:r>
      <w:r w:rsidR="008B494C">
        <w:rPr>
          <w:rFonts w:cs="Times New Roman"/>
          <w:szCs w:val="24"/>
        </w:rPr>
        <w:t>-</w:t>
      </w:r>
      <w:r w:rsidR="000E6B20">
        <w:rPr>
          <w:rFonts w:cs="Times New Roman"/>
          <w:szCs w:val="24"/>
        </w:rPr>
        <w:t>to</w:t>
      </w:r>
      <w:r w:rsidR="008B494C">
        <w:rPr>
          <w:rFonts w:cs="Times New Roman"/>
          <w:szCs w:val="24"/>
        </w:rPr>
        <w:t>-</w:t>
      </w:r>
      <w:r w:rsidR="000E6B20">
        <w:rPr>
          <w:rFonts w:cs="Times New Roman"/>
          <w:szCs w:val="24"/>
        </w:rPr>
        <w:t xml:space="preserve">day operations such as routine vessel and engine maintenance, hands-on steering of the vessel, lookout functions, and culinary requirements. </w:t>
      </w:r>
    </w:p>
    <w:p w:rsidRPr="005777F1" w:rsidR="003904DD" w:rsidP="006B38D7" w:rsidRDefault="003904DD" w14:paraId="6D63E183" w14:textId="50B9607F">
      <w:r w:rsidRPr="005777F1">
        <w:rPr>
          <w:rFonts w:cs="Times New Roman"/>
          <w:b/>
          <w:bCs/>
          <w:szCs w:val="24"/>
        </w:rPr>
        <w:t>Q5</w:t>
      </w:r>
      <w:r w:rsidRPr="005777F1" w:rsidR="006B38D7">
        <w:rPr>
          <w:rFonts w:cs="Times New Roman"/>
          <w:b/>
          <w:bCs/>
          <w:szCs w:val="24"/>
        </w:rPr>
        <w:t xml:space="preserve">. </w:t>
      </w:r>
      <w:r w:rsidRPr="005777F1" w:rsidR="006B38D7">
        <w:rPr>
          <w:rFonts w:cs="Times New Roman"/>
          <w:szCs w:val="24"/>
        </w:rPr>
        <w:t>Do</w:t>
      </w:r>
      <w:r w:rsidRPr="005777F1" w:rsidR="006B38D7">
        <w:rPr>
          <w:rFonts w:cs="Times New Roman"/>
          <w:b/>
          <w:bCs/>
          <w:szCs w:val="24"/>
        </w:rPr>
        <w:t xml:space="preserve"> </w:t>
      </w:r>
      <w:r w:rsidRPr="005777F1" w:rsidR="006B38D7">
        <w:t>you hold a DECK officer MMC endorsement, whether active, inactive, or expired?</w:t>
      </w:r>
    </w:p>
    <w:p w:rsidRPr="005777F1" w:rsidR="006B38D7" w:rsidP="006B38D7" w:rsidRDefault="006B38D7" w14:paraId="2D830BA5" w14:textId="72B7CDBD">
      <w:r w:rsidRPr="005777F1">
        <w:rPr>
          <w:b/>
          <w:bCs/>
        </w:rPr>
        <w:t>Q5a.</w:t>
      </w:r>
      <w:r w:rsidRPr="005777F1">
        <w:t xml:space="preserve"> For each position below, indicate whether you EVER sailed in that position.</w:t>
      </w:r>
    </w:p>
    <w:p w:rsidRPr="005777F1" w:rsidR="006B38D7" w:rsidP="006B38D7" w:rsidRDefault="006B38D7" w14:paraId="105CB131" w14:textId="3EA721F5">
      <w:pPr>
        <w:rPr>
          <w:rFonts w:cs="Times New Roman"/>
          <w:szCs w:val="24"/>
        </w:rPr>
      </w:pPr>
      <w:r w:rsidRPr="005777F1">
        <w:rPr>
          <w:b/>
          <w:bCs/>
        </w:rPr>
        <w:t>Q5b.</w:t>
      </w:r>
      <w:r w:rsidRPr="005777F1">
        <w:t xml:space="preserve"> For each position below, please enter the four-digit year you LAST sailed in that position. If you are unsure of the exact year, please provide your best guess.</w:t>
      </w:r>
    </w:p>
    <w:p w:rsidRPr="005777F1" w:rsidR="00C03BED" w:rsidP="00C03BED" w:rsidRDefault="00C03BED" w14:paraId="49BA9618" w14:textId="1614A0BB">
      <w:pPr>
        <w:ind w:left="360"/>
        <w:rPr>
          <w:rFonts w:cs="Times New Roman"/>
          <w:szCs w:val="24"/>
        </w:rPr>
      </w:pPr>
      <w:r w:rsidRPr="005777F1">
        <w:rPr>
          <w:rFonts w:cs="Times New Roman"/>
          <w:szCs w:val="24"/>
        </w:rPr>
        <w:t xml:space="preserve">These three questions capture information about the experience of deck officers. Those who say “yes” </w:t>
      </w:r>
      <w:r w:rsidRPr="005777F1" w:rsidR="006B38D7">
        <w:rPr>
          <w:rFonts w:cs="Times New Roman"/>
          <w:szCs w:val="24"/>
        </w:rPr>
        <w:t xml:space="preserve">to Q5 </w:t>
      </w:r>
      <w:r w:rsidRPr="005777F1">
        <w:rPr>
          <w:rFonts w:cs="Times New Roman"/>
          <w:szCs w:val="24"/>
        </w:rPr>
        <w:t>will be asked to select the positions under which they have ever sailed and the year they last sailed in that position.</w:t>
      </w:r>
      <w:r w:rsidRPr="005777F1" w:rsidR="00E72746">
        <w:rPr>
          <w:rFonts w:cs="Times New Roman"/>
          <w:szCs w:val="24"/>
        </w:rPr>
        <w:t xml:space="preserve"> Those who say “no” to Q5 will skip to Q6.</w:t>
      </w:r>
    </w:p>
    <w:p w:rsidRPr="005777F1" w:rsidR="00C03BED" w:rsidP="00C03BED" w:rsidRDefault="00C03BED" w14:paraId="461519AD" w14:textId="7F600023">
      <w:pPr>
        <w:rPr>
          <w:rFonts w:cs="Times New Roman"/>
          <w:szCs w:val="24"/>
        </w:rPr>
      </w:pPr>
      <w:r w:rsidRPr="005777F1">
        <w:rPr>
          <w:rFonts w:cs="Times New Roman"/>
          <w:b/>
          <w:bCs/>
          <w:szCs w:val="24"/>
        </w:rPr>
        <w:t>Q6</w:t>
      </w:r>
      <w:r w:rsidRPr="005777F1" w:rsidR="006B38D7">
        <w:rPr>
          <w:rFonts w:cs="Times New Roman"/>
          <w:b/>
          <w:bCs/>
          <w:szCs w:val="24"/>
        </w:rPr>
        <w:t>.</w:t>
      </w:r>
      <w:r w:rsidRPr="005777F1" w:rsidR="00E72746">
        <w:rPr>
          <w:rFonts w:cs="Times New Roman"/>
          <w:b/>
          <w:bCs/>
          <w:szCs w:val="24"/>
        </w:rPr>
        <w:t xml:space="preserve"> </w:t>
      </w:r>
      <w:r w:rsidRPr="005777F1" w:rsidR="00E72746">
        <w:rPr>
          <w:rFonts w:cs="Times New Roman"/>
          <w:szCs w:val="24"/>
        </w:rPr>
        <w:t>Do you hold an ENGINEER officer MMC endorsement, whether active, inactive, or expired?</w:t>
      </w:r>
    </w:p>
    <w:p w:rsidRPr="005777F1" w:rsidR="00E72746" w:rsidP="00E72746" w:rsidRDefault="00E72746" w14:paraId="0A4D3923" w14:textId="42658E7C">
      <w:r w:rsidRPr="005777F1">
        <w:rPr>
          <w:b/>
          <w:bCs/>
        </w:rPr>
        <w:t>Q6a.</w:t>
      </w:r>
      <w:r w:rsidRPr="005777F1">
        <w:t xml:space="preserve"> For each position below, indicate whether you EVER sailed in that position.</w:t>
      </w:r>
    </w:p>
    <w:p w:rsidRPr="005777F1" w:rsidR="00E72746" w:rsidP="00C03BED" w:rsidRDefault="00E72746" w14:paraId="47948C82" w14:textId="3B3770C4">
      <w:pPr>
        <w:rPr>
          <w:rFonts w:cs="Times New Roman"/>
          <w:szCs w:val="24"/>
        </w:rPr>
      </w:pPr>
      <w:r w:rsidRPr="005777F1">
        <w:rPr>
          <w:b/>
          <w:bCs/>
        </w:rPr>
        <w:t>Q6b.</w:t>
      </w:r>
      <w:r w:rsidRPr="005777F1">
        <w:t xml:space="preserve"> For each position below, please enter the four-digit year you LAST sailed in that position. If you are unsure of the exact year, please provide your best guess.</w:t>
      </w:r>
    </w:p>
    <w:p w:rsidR="00DC32C6" w:rsidP="005777F1" w:rsidRDefault="00C03BED" w14:paraId="7A04CD76" w14:textId="7E3A9891">
      <w:pPr>
        <w:ind w:left="360"/>
        <w:rPr>
          <w:rFonts w:cs="Times New Roman"/>
          <w:szCs w:val="24"/>
        </w:rPr>
      </w:pPr>
      <w:r w:rsidRPr="005777F1">
        <w:rPr>
          <w:rFonts w:cs="Times New Roman"/>
          <w:szCs w:val="24"/>
        </w:rPr>
        <w:t xml:space="preserve">These three questions capture information about the experience of engineer officers. Those who say “yes” </w:t>
      </w:r>
      <w:r w:rsidRPr="005777F1" w:rsidR="00E72746">
        <w:rPr>
          <w:rFonts w:cs="Times New Roman"/>
          <w:szCs w:val="24"/>
        </w:rPr>
        <w:t xml:space="preserve">to Q6 </w:t>
      </w:r>
      <w:r w:rsidRPr="005777F1">
        <w:rPr>
          <w:rFonts w:cs="Times New Roman"/>
          <w:szCs w:val="24"/>
        </w:rPr>
        <w:t xml:space="preserve">will be asked to select the positions under which they have </w:t>
      </w:r>
      <w:r w:rsidRPr="00094384">
        <w:rPr>
          <w:rFonts w:cs="Times New Roman"/>
          <w:szCs w:val="24"/>
        </w:rPr>
        <w:t>ever</w:t>
      </w:r>
      <w:r w:rsidRPr="005777F1">
        <w:rPr>
          <w:rFonts w:cs="Times New Roman"/>
          <w:szCs w:val="24"/>
        </w:rPr>
        <w:t xml:space="preserve"> sailed </w:t>
      </w:r>
      <w:r w:rsidRPr="005777F1">
        <w:rPr>
          <w:rFonts w:cs="Times New Roman"/>
          <w:szCs w:val="24"/>
        </w:rPr>
        <w:lastRenderedPageBreak/>
        <w:t xml:space="preserve">and the year they </w:t>
      </w:r>
      <w:r w:rsidRPr="005777F1">
        <w:rPr>
          <w:rFonts w:cs="Times New Roman"/>
          <w:i/>
          <w:iCs/>
          <w:szCs w:val="24"/>
        </w:rPr>
        <w:t>last</w:t>
      </w:r>
      <w:r w:rsidRPr="005777F1">
        <w:rPr>
          <w:rFonts w:cs="Times New Roman"/>
          <w:szCs w:val="24"/>
        </w:rPr>
        <w:t xml:space="preserve"> sailed in that position.</w:t>
      </w:r>
      <w:r w:rsidRPr="005777F1" w:rsidR="00E72746">
        <w:rPr>
          <w:rFonts w:cs="Times New Roman"/>
          <w:szCs w:val="24"/>
        </w:rPr>
        <w:t xml:space="preserve"> Those who say “no” to Q6 will skip to Section 2.</w:t>
      </w:r>
    </w:p>
    <w:p w:rsidR="00FD4F55" w:rsidP="00FE0E06" w:rsidRDefault="00EC56B3" w14:paraId="1330932C" w14:textId="452CAE7B">
      <w:pPr>
        <w:rPr>
          <w:rFonts w:cs="Times New Roman"/>
          <w:b/>
          <w:bCs/>
          <w:szCs w:val="24"/>
        </w:rPr>
      </w:pPr>
      <w:r>
        <w:rPr>
          <w:rFonts w:cs="Times New Roman"/>
          <w:b/>
          <w:bCs/>
          <w:szCs w:val="24"/>
        </w:rPr>
        <w:t xml:space="preserve">Q7. </w:t>
      </w:r>
      <w:r w:rsidRPr="00801775">
        <w:rPr>
          <w:rFonts w:cs="Times New Roman"/>
          <w:szCs w:val="24"/>
        </w:rPr>
        <w:t>Do you currently liv</w:t>
      </w:r>
      <w:r w:rsidRPr="00801775" w:rsidR="00606CD5">
        <w:rPr>
          <w:rFonts w:cs="Times New Roman"/>
          <w:szCs w:val="24"/>
        </w:rPr>
        <w:t>e</w:t>
      </w:r>
      <w:r w:rsidRPr="00801775">
        <w:rPr>
          <w:rFonts w:cs="Times New Roman"/>
          <w:szCs w:val="24"/>
        </w:rPr>
        <w:t xml:space="preserve"> with a spouse or a partner?</w:t>
      </w:r>
    </w:p>
    <w:p w:rsidRPr="00801775" w:rsidR="005516A0" w:rsidP="00FE0E06" w:rsidRDefault="005516A0" w14:paraId="209C60FA" w14:textId="1DE75ED5">
      <w:pPr>
        <w:rPr>
          <w:rFonts w:cs="Times New Roman"/>
          <w:szCs w:val="24"/>
        </w:rPr>
      </w:pPr>
      <w:r>
        <w:rPr>
          <w:rFonts w:cs="Times New Roman"/>
          <w:b/>
          <w:bCs/>
          <w:szCs w:val="24"/>
        </w:rPr>
        <w:t>Q8.</w:t>
      </w:r>
      <w:r w:rsidRPr="00801775">
        <w:rPr>
          <w:rFonts w:cs="Times New Roman"/>
          <w:szCs w:val="24"/>
        </w:rPr>
        <w:t xml:space="preserve"> How many children, under the age of 19, are living with you at least two days a week?</w:t>
      </w:r>
    </w:p>
    <w:p w:rsidRPr="00801775" w:rsidR="005516A0" w:rsidP="00FE0E06" w:rsidRDefault="005516A0" w14:paraId="502DD88F" w14:textId="0164DD7B">
      <w:pPr>
        <w:rPr>
          <w:rFonts w:cs="Times New Roman"/>
          <w:szCs w:val="24"/>
        </w:rPr>
      </w:pPr>
      <w:r>
        <w:rPr>
          <w:rFonts w:cs="Times New Roman"/>
          <w:b/>
          <w:bCs/>
          <w:szCs w:val="24"/>
        </w:rPr>
        <w:t>Q9.</w:t>
      </w:r>
      <w:r w:rsidRPr="00801775">
        <w:rPr>
          <w:rFonts w:cs="Times New Roman"/>
          <w:szCs w:val="24"/>
        </w:rPr>
        <w:t xml:space="preserve"> What is the age of the youngest child living in your household at least two days a week?</w:t>
      </w:r>
    </w:p>
    <w:p w:rsidRPr="00801775" w:rsidR="005516A0" w:rsidP="00801775" w:rsidRDefault="00346E36" w14:paraId="15916AB6" w14:textId="3B40372D">
      <w:pPr>
        <w:ind w:left="360"/>
        <w:rPr>
          <w:rFonts w:cs="Times New Roman"/>
          <w:szCs w:val="24"/>
        </w:rPr>
      </w:pPr>
      <w:r>
        <w:rPr>
          <w:rFonts w:cs="Times New Roman"/>
          <w:szCs w:val="24"/>
        </w:rPr>
        <w:t>Q7-Q9</w:t>
      </w:r>
      <w:r w:rsidRPr="00801775" w:rsidR="005516A0">
        <w:rPr>
          <w:rFonts w:cs="Times New Roman"/>
          <w:szCs w:val="24"/>
        </w:rPr>
        <w:t xml:space="preserve"> capture information about mariners’ familial obligations</w:t>
      </w:r>
      <w:r w:rsidRPr="00801775" w:rsidR="00A96062">
        <w:rPr>
          <w:rFonts w:cs="Times New Roman"/>
          <w:szCs w:val="24"/>
        </w:rPr>
        <w:t xml:space="preserve">. </w:t>
      </w:r>
      <w:r w:rsidRPr="00801775" w:rsidR="000E1EBA">
        <w:rPr>
          <w:rFonts w:cs="Times New Roman"/>
          <w:szCs w:val="24"/>
        </w:rPr>
        <w:t>Responses to these questions will help MARAD understand whether these demographic characteristics are related to mariners’ willingness to serve.</w:t>
      </w:r>
    </w:p>
    <w:p w:rsidR="005516A0" w:rsidP="00FE0E06" w:rsidRDefault="005516A0" w14:paraId="56FE41B4" w14:textId="6E49E5DA">
      <w:pPr>
        <w:rPr>
          <w:rFonts w:cs="Times New Roman"/>
          <w:b/>
          <w:bCs/>
          <w:szCs w:val="24"/>
        </w:rPr>
      </w:pPr>
      <w:r>
        <w:rPr>
          <w:rFonts w:cs="Times New Roman"/>
          <w:b/>
          <w:bCs/>
          <w:szCs w:val="24"/>
        </w:rPr>
        <w:t>Q10.</w:t>
      </w:r>
      <w:r w:rsidRPr="00801775">
        <w:rPr>
          <w:rFonts w:cs="Times New Roman"/>
          <w:szCs w:val="24"/>
        </w:rPr>
        <w:t xml:space="preserve"> In the last six months, how difficult has it been for your household to pay for the usual household expenses, including but not limited to food, rent or mortgage, car payments, medical expenses, student loans, and so on?</w:t>
      </w:r>
    </w:p>
    <w:p w:rsidRPr="00801775" w:rsidR="005516A0" w:rsidP="00801775" w:rsidRDefault="00FC47DB" w14:paraId="2403CA1E" w14:textId="660B693F">
      <w:pPr>
        <w:ind w:left="360"/>
        <w:rPr>
          <w:rFonts w:cs="Times New Roman"/>
          <w:szCs w:val="24"/>
        </w:rPr>
      </w:pPr>
      <w:r w:rsidRPr="00801775">
        <w:rPr>
          <w:rFonts w:cs="Times New Roman"/>
          <w:szCs w:val="24"/>
        </w:rPr>
        <w:t>T</w:t>
      </w:r>
      <w:r w:rsidRPr="00801775" w:rsidR="005516A0">
        <w:rPr>
          <w:rFonts w:cs="Times New Roman"/>
          <w:szCs w:val="24"/>
        </w:rPr>
        <w:t>his question</w:t>
      </w:r>
      <w:r w:rsidRPr="00801775" w:rsidR="00FE25C7">
        <w:rPr>
          <w:rFonts w:cs="Times New Roman"/>
          <w:szCs w:val="24"/>
        </w:rPr>
        <w:t xml:space="preserve"> </w:t>
      </w:r>
      <w:r w:rsidRPr="00801775" w:rsidR="00AF607A">
        <w:rPr>
          <w:rFonts w:cs="Times New Roman"/>
          <w:szCs w:val="24"/>
        </w:rPr>
        <w:t xml:space="preserve">taken </w:t>
      </w:r>
      <w:r w:rsidRPr="00801775" w:rsidR="005516A0">
        <w:rPr>
          <w:rFonts w:cs="Times New Roman"/>
          <w:szCs w:val="24"/>
        </w:rPr>
        <w:t xml:space="preserve">from the </w:t>
      </w:r>
      <w:r w:rsidRPr="00801775" w:rsidR="00606CD5">
        <w:rPr>
          <w:rFonts w:cs="Times New Roman"/>
          <w:szCs w:val="24"/>
        </w:rPr>
        <w:t>U.S. Census Bureau’s Household Pulse Survey</w:t>
      </w:r>
      <w:r w:rsidRPr="00801775" w:rsidR="00E20DB3">
        <w:rPr>
          <w:rFonts w:cs="Times New Roman"/>
          <w:szCs w:val="24"/>
        </w:rPr>
        <w:t xml:space="preserve"> (</w:t>
      </w:r>
      <w:r w:rsidRPr="00801775" w:rsidR="00FE25C7">
        <w:rPr>
          <w:rFonts w:cs="Times New Roman"/>
          <w:szCs w:val="24"/>
        </w:rPr>
        <w:t xml:space="preserve">adapted to reference a longer timeframe appropriate for this survey) </w:t>
      </w:r>
      <w:r w:rsidRPr="00801775" w:rsidR="00606CD5">
        <w:rPr>
          <w:rFonts w:cs="Times New Roman"/>
          <w:szCs w:val="24"/>
        </w:rPr>
        <w:t xml:space="preserve">captures mariners’ </w:t>
      </w:r>
      <w:r w:rsidRPr="00801775">
        <w:rPr>
          <w:rFonts w:cs="Times New Roman"/>
          <w:szCs w:val="24"/>
        </w:rPr>
        <w:t xml:space="preserve">level of </w:t>
      </w:r>
      <w:r w:rsidRPr="00801775" w:rsidR="00606CD5">
        <w:rPr>
          <w:rFonts w:cs="Times New Roman"/>
          <w:szCs w:val="24"/>
        </w:rPr>
        <w:t>financial hardship</w:t>
      </w:r>
      <w:r w:rsidRPr="00801775" w:rsidR="00C72164">
        <w:rPr>
          <w:rFonts w:cs="Times New Roman"/>
          <w:szCs w:val="24"/>
        </w:rPr>
        <w:t xml:space="preserve">. Responses to this question will help MARAD understand whether financial hardship is related to mariners’ willingness to serve. Additionally, </w:t>
      </w:r>
      <w:r w:rsidRPr="00801775" w:rsidR="00E20DB3">
        <w:rPr>
          <w:rFonts w:cs="Times New Roman"/>
          <w:szCs w:val="24"/>
        </w:rPr>
        <w:t xml:space="preserve">responses to this question will be </w:t>
      </w:r>
      <w:r w:rsidR="00801775">
        <w:rPr>
          <w:rFonts w:cs="Times New Roman"/>
          <w:szCs w:val="24"/>
        </w:rPr>
        <w:t>cross-tabulated</w:t>
      </w:r>
      <w:r w:rsidRPr="00801775" w:rsidR="00E20DB3">
        <w:rPr>
          <w:rFonts w:cs="Times New Roman"/>
          <w:szCs w:val="24"/>
        </w:rPr>
        <w:t xml:space="preserve"> with Q18 and Q19 in Section 2, to assess whether financial hardship is related to whether government reimbursement for administrative requirements or Standards of Training, Certification and Watchkeeping (STCW) course requirements would impact willingness to serve for those mariners who indicated some uncertainty about their willingness to serve.</w:t>
      </w:r>
    </w:p>
    <w:p w:rsidRPr="005777F1" w:rsidR="00FE0E06" w:rsidP="00FE0E06" w:rsidRDefault="00FE0E06" w14:paraId="00485CB4" w14:textId="412DC021">
      <w:pPr>
        <w:rPr>
          <w:rFonts w:cs="Times New Roman"/>
          <w:b/>
          <w:bCs/>
          <w:szCs w:val="24"/>
        </w:rPr>
      </w:pPr>
      <w:r w:rsidRPr="005777F1">
        <w:rPr>
          <w:rFonts w:cs="Times New Roman"/>
          <w:b/>
          <w:bCs/>
          <w:szCs w:val="24"/>
        </w:rPr>
        <w:t xml:space="preserve">Mariner Survey Section </w:t>
      </w:r>
      <w:r w:rsidRPr="005777F1" w:rsidR="00C03BED">
        <w:rPr>
          <w:rFonts w:cs="Times New Roman"/>
          <w:b/>
          <w:bCs/>
          <w:szCs w:val="24"/>
        </w:rPr>
        <w:t>2</w:t>
      </w:r>
      <w:r w:rsidRPr="005777F1" w:rsidR="00E21D95">
        <w:rPr>
          <w:rFonts w:cs="Times New Roman"/>
          <w:b/>
          <w:bCs/>
          <w:szCs w:val="24"/>
        </w:rPr>
        <w:t>: Willingness to Volunteer – Q</w:t>
      </w:r>
      <w:r w:rsidRPr="005777F1">
        <w:rPr>
          <w:rFonts w:cs="Times New Roman"/>
          <w:b/>
          <w:bCs/>
          <w:szCs w:val="24"/>
        </w:rPr>
        <w:t>uestions and Justification for Inclusion</w:t>
      </w:r>
    </w:p>
    <w:p w:rsidRPr="005777F1" w:rsidR="00D277A5" w:rsidP="00DA2C6E" w:rsidRDefault="00DA2C6E" w14:paraId="27BCC3DD" w14:textId="77777777">
      <w:r w:rsidRPr="005777F1">
        <w:t xml:space="preserve">This section of the survey focuses on gathering information on whether </w:t>
      </w:r>
      <w:r w:rsidRPr="005777F1" w:rsidR="008B7E3C">
        <w:t>m</w:t>
      </w:r>
      <w:r w:rsidRPr="005777F1">
        <w:t xml:space="preserve">ariners would be willing to serve in a time of </w:t>
      </w:r>
      <w:r w:rsidRPr="005777F1" w:rsidR="00D01AF6">
        <w:t>N</w:t>
      </w:r>
      <w:r w:rsidRPr="005777F1">
        <w:t xml:space="preserve">ational </w:t>
      </w:r>
      <w:r w:rsidRPr="005777F1" w:rsidR="00D01AF6">
        <w:t>N</w:t>
      </w:r>
      <w:r w:rsidRPr="005777F1">
        <w:t xml:space="preserve">eed and under which circumstances (e.g., which </w:t>
      </w:r>
      <w:r w:rsidRPr="005777F1" w:rsidR="00066DDE">
        <w:t>vessels</w:t>
      </w:r>
      <w:r w:rsidRPr="005777F1">
        <w:t xml:space="preserve"> they would serve on, which billet they would accept, how long a tour they would serve). </w:t>
      </w:r>
    </w:p>
    <w:p w:rsidRPr="005777F1" w:rsidR="00DA2C6E" w:rsidP="00DA2C6E" w:rsidRDefault="00141D0C" w14:paraId="23C6B3E4" w14:textId="2DB250DE">
      <w:r w:rsidRPr="005777F1">
        <w:t xml:space="preserve">Because these questions are hypothetical in nature, it is important to follow best practices from prior research to determine how best to ask these questions in a way that minimizes the bias that can result from asking what a respondent would do in a hypothetical situation. </w:t>
      </w:r>
      <w:r w:rsidRPr="005777F1" w:rsidR="00DA2C6E">
        <w:t xml:space="preserve">Much of the guidance for best practices for asking hypothetical questions can be found in the literature </w:t>
      </w:r>
      <w:r w:rsidRPr="005777F1" w:rsidR="00E21D95">
        <w:t xml:space="preserve">on </w:t>
      </w:r>
      <w:r w:rsidRPr="005777F1" w:rsidR="00DA2C6E">
        <w:rPr>
          <w:i/>
          <w:iCs/>
        </w:rPr>
        <w:t>stated preference</w:t>
      </w:r>
      <w:r w:rsidRPr="005777F1" w:rsidR="00E21D95">
        <w:t xml:space="preserve"> studies</w:t>
      </w:r>
      <w:r w:rsidRPr="005777F1" w:rsidR="00DA2C6E">
        <w:t>.</w:t>
      </w:r>
    </w:p>
    <w:p w:rsidRPr="005777F1" w:rsidR="00DA2C6E" w:rsidP="00DA2C6E" w:rsidRDefault="00DA2C6E" w14:paraId="18EFFE68" w14:textId="2B3B6208">
      <w:r w:rsidRPr="005777F1">
        <w:rPr>
          <w:i/>
          <w:iCs/>
        </w:rPr>
        <w:t>Stated preference</w:t>
      </w:r>
      <w:r w:rsidRPr="005777F1">
        <w:t xml:space="preserve"> studies emerged from economic practices to better determine how much consumers would be willing to pay for a product and which attributes they prefer. This literature evolved to also include methods for determining which of a variety of options, with different </w:t>
      </w:r>
      <w:r w:rsidRPr="005777F1">
        <w:lastRenderedPageBreak/>
        <w:t>attributes, should be offered to achieve the most usage</w:t>
      </w:r>
      <w:r w:rsidRPr="005777F1" w:rsidR="00253F01">
        <w:t>.</w:t>
      </w:r>
      <w:r w:rsidRPr="005777F1">
        <w:rPr>
          <w:rStyle w:val="FootnoteReference"/>
          <w:rFonts w:cs="Times New Roman"/>
          <w:szCs w:val="24"/>
        </w:rPr>
        <w:footnoteReference w:id="12"/>
      </w:r>
      <w:r w:rsidRPr="005777F1">
        <w:rPr>
          <w:rFonts w:cs="Times New Roman"/>
          <w:szCs w:val="24"/>
          <w:vertAlign w:val="superscript"/>
        </w:rPr>
        <w:t>,</w:t>
      </w:r>
      <w:r w:rsidRPr="005777F1">
        <w:rPr>
          <w:rStyle w:val="FootnoteReference"/>
          <w:rFonts w:cs="Times New Roman"/>
          <w:szCs w:val="24"/>
        </w:rPr>
        <w:footnoteReference w:id="13"/>
      </w:r>
      <w:r w:rsidRPr="005777F1">
        <w:t xml:space="preserve"> Indeed, many environmental studies use a stated preference approach to determine how citizens value enacting an environmental practice or </w:t>
      </w:r>
      <w:r w:rsidRPr="005777F1" w:rsidR="00BD52B0">
        <w:t xml:space="preserve">whether they </w:t>
      </w:r>
      <w:r w:rsidRPr="005777F1">
        <w:t xml:space="preserve">would utilize a public recreational area or activity. </w:t>
      </w:r>
    </w:p>
    <w:p w:rsidRPr="005777F1" w:rsidR="00DA2C6E" w:rsidP="00DA2C6E" w:rsidRDefault="00DA2C6E" w14:paraId="49FFA7AF" w14:textId="1D37A170">
      <w:r w:rsidRPr="005777F1">
        <w:t xml:space="preserve">However, the goal of the </w:t>
      </w:r>
      <w:r w:rsidRPr="00A41792">
        <w:t>Mariner Survey</w:t>
      </w:r>
      <w:r w:rsidR="00A41792">
        <w:t xml:space="preserve"> questionnaire</w:t>
      </w:r>
      <w:r w:rsidRPr="005777F1">
        <w:t xml:space="preserve"> is not to determine which sailing scenarios </w:t>
      </w:r>
      <w:r w:rsidRPr="005777F1" w:rsidR="00CA7723">
        <w:t>m</w:t>
      </w:r>
      <w:r w:rsidRPr="005777F1">
        <w:t xml:space="preserve">ariners would </w:t>
      </w:r>
      <w:r w:rsidRPr="005777F1">
        <w:rPr>
          <w:i/>
          <w:iCs/>
        </w:rPr>
        <w:t>prefer</w:t>
      </w:r>
      <w:r w:rsidRPr="005777F1">
        <w:t xml:space="preserve"> if they were to volunteer to serve in a time of </w:t>
      </w:r>
      <w:r w:rsidRPr="005777F1" w:rsidR="00CA7723">
        <w:t>N</w:t>
      </w:r>
      <w:r w:rsidRPr="005777F1">
        <w:t xml:space="preserve">ational </w:t>
      </w:r>
      <w:r w:rsidRPr="005777F1" w:rsidR="00CA7723">
        <w:t>N</w:t>
      </w:r>
      <w:r w:rsidRPr="005777F1">
        <w:t xml:space="preserve">eed. The goal is to determine if they would be willing to sail under all potential scenarios. Determining which scenarios (different attributes and levels of attributes) are preferable does not answer the fundamental question of whether </w:t>
      </w:r>
      <w:r w:rsidRPr="005777F1" w:rsidR="00CA7723">
        <w:t>m</w:t>
      </w:r>
      <w:r w:rsidRPr="005777F1">
        <w:t xml:space="preserve">ariners would </w:t>
      </w:r>
      <w:proofErr w:type="gramStart"/>
      <w:r w:rsidRPr="005777F1">
        <w:t>actually show</w:t>
      </w:r>
      <w:proofErr w:type="gramEnd"/>
      <w:r w:rsidRPr="005777F1">
        <w:t xml:space="preserve"> up to serve under even the most preferred scenarios should an activation be needed. Nevertheless, </w:t>
      </w:r>
      <w:r w:rsidRPr="005777F1" w:rsidR="00BD52B0">
        <w:t>we are still able to apply</w:t>
      </w:r>
      <w:r w:rsidRPr="005777F1">
        <w:t xml:space="preserve"> best practices from the </w:t>
      </w:r>
      <w:r w:rsidRPr="005777F1">
        <w:rPr>
          <w:i/>
          <w:iCs/>
        </w:rPr>
        <w:t xml:space="preserve">stated preference </w:t>
      </w:r>
      <w:r w:rsidRPr="005777F1">
        <w:t xml:space="preserve">literature that </w:t>
      </w:r>
      <w:r w:rsidRPr="005777F1" w:rsidR="00BD52B0">
        <w:t>are vital to reducing</w:t>
      </w:r>
      <w:r w:rsidRPr="005777F1">
        <w:t xml:space="preserve"> the potential for bias in </w:t>
      </w:r>
      <w:r w:rsidRPr="005777F1" w:rsidR="00BD52B0">
        <w:t xml:space="preserve">mariners’ </w:t>
      </w:r>
      <w:r w:rsidRPr="005777F1">
        <w:t xml:space="preserve">responses to these hypothetical scenarios. </w:t>
      </w:r>
    </w:p>
    <w:p w:rsidRPr="005777F1" w:rsidR="00DA2C6E" w:rsidP="00DA2C6E" w:rsidRDefault="00DA2C6E" w14:paraId="6FD0BE7C" w14:textId="1EF0544A">
      <w:r w:rsidRPr="005777F1">
        <w:t xml:space="preserve">A main concern of the stated preference literature is ensuring that the respondents fully understand the scenarios they are asked to form decisions about, including aspects of </w:t>
      </w:r>
      <w:r w:rsidRPr="005777F1" w:rsidR="00592D07">
        <w:t>risk</w:t>
      </w:r>
      <w:r w:rsidRPr="005777F1">
        <w:t xml:space="preserve"> or uncertainty. One </w:t>
      </w:r>
      <w:proofErr w:type="gramStart"/>
      <w:r w:rsidRPr="005777F1">
        <w:t>particular area</w:t>
      </w:r>
      <w:proofErr w:type="gramEnd"/>
      <w:r w:rsidRPr="005777F1">
        <w:t xml:space="preserve"> of concern in the </w:t>
      </w:r>
      <w:r w:rsidRPr="005777F1">
        <w:rPr>
          <w:i/>
          <w:iCs/>
        </w:rPr>
        <w:t>stated preference</w:t>
      </w:r>
      <w:r w:rsidRPr="005777F1">
        <w:t xml:space="preserve"> literature is the omission of relevant risk information from scenarios, which could lead to empirical value estimates that do not reflect true welfare change. Thus, it is important to adequ</w:t>
      </w:r>
      <w:r w:rsidRPr="005777F1" w:rsidR="00493E08">
        <w:t>atel</w:t>
      </w:r>
      <w:r w:rsidRPr="005777F1">
        <w:t xml:space="preserve">y </w:t>
      </w:r>
      <w:r w:rsidRPr="005777F1" w:rsidR="00D017F5">
        <w:t>convey</w:t>
      </w:r>
      <w:r w:rsidRPr="005777F1">
        <w:t xml:space="preserve"> risk or uncertainty in terms that are clearly understood by respondents</w:t>
      </w:r>
      <w:r w:rsidRPr="005777F1" w:rsidR="00845E9A">
        <w:t>.</w:t>
      </w:r>
      <w:r w:rsidRPr="005777F1">
        <w:rPr>
          <w:rStyle w:val="FootnoteReference"/>
        </w:rPr>
        <w:footnoteReference w:id="14"/>
      </w:r>
      <w:r w:rsidRPr="005777F1">
        <w:t xml:space="preserve"> To address these important aspects of designing questions to ascertain responses to hypothetical situations, </w:t>
      </w:r>
      <w:r w:rsidRPr="005777F1" w:rsidR="00BD52B0">
        <w:t>this</w:t>
      </w:r>
      <w:r w:rsidRPr="005777F1">
        <w:t xml:space="preserve"> section of the survey </w:t>
      </w:r>
      <w:r w:rsidR="00A41792">
        <w:t>offers</w:t>
      </w:r>
      <w:r w:rsidR="003F25E9">
        <w:t xml:space="preserve"> respondents</w:t>
      </w:r>
      <w:r w:rsidR="00A41792">
        <w:t xml:space="preserve"> a link to a description</w:t>
      </w:r>
      <w:r w:rsidRPr="005777F1">
        <w:t xml:space="preserve"> of risks</w:t>
      </w:r>
      <w:r w:rsidR="00A41792">
        <w:t xml:space="preserve"> </w:t>
      </w:r>
      <w:r w:rsidRPr="005777F1" w:rsidR="00845E9A">
        <w:t>as well as benefit</w:t>
      </w:r>
      <w:r w:rsidRPr="005777F1" w:rsidR="00493E08">
        <w:t>s</w:t>
      </w:r>
      <w:r w:rsidRPr="005777F1">
        <w:t xml:space="preserve"> </w:t>
      </w:r>
      <w:r w:rsidRPr="005777F1" w:rsidR="00B51356">
        <w:t>m</w:t>
      </w:r>
      <w:r w:rsidRPr="005777F1">
        <w:t xml:space="preserve">ariners could face when serving in a time of </w:t>
      </w:r>
      <w:r w:rsidRPr="005777F1" w:rsidR="00845E9A">
        <w:t>National Need.</w:t>
      </w:r>
      <w:r w:rsidRPr="005777F1">
        <w:t xml:space="preserve"> </w:t>
      </w:r>
      <w:r w:rsidRPr="005777F1" w:rsidR="00B35604">
        <w:t xml:space="preserve">(This information was </w:t>
      </w:r>
      <w:r w:rsidRPr="005777F1" w:rsidR="00307E9A">
        <w:t>drawn</w:t>
      </w:r>
      <w:r w:rsidRPr="005777F1" w:rsidR="00B35604">
        <w:t xml:space="preserve"> from the </w:t>
      </w:r>
      <w:r w:rsidRPr="005777F1" w:rsidR="00B35604">
        <w:rPr>
          <w:u w:val="single"/>
        </w:rPr>
        <w:t>Summary of Merchant Mariner Risk and Compensation Factors</w:t>
      </w:r>
      <w:r w:rsidRPr="005777F1" w:rsidR="00B35604">
        <w:t xml:space="preserve">, which is provided in </w:t>
      </w:r>
      <w:r w:rsidRPr="00A429CA" w:rsidR="00B35604">
        <w:t>Appendix 1.</w:t>
      </w:r>
      <w:r w:rsidRPr="00A429CA" w:rsidR="002F2BF4">
        <w:t>c</w:t>
      </w:r>
      <w:r w:rsidRPr="00A429CA" w:rsidR="00B35604">
        <w:t>.)</w:t>
      </w:r>
      <w:r w:rsidR="003F25E9">
        <w:t xml:space="preserve"> </w:t>
      </w:r>
      <w:r w:rsidR="009F1F62">
        <w:t xml:space="preserve"> </w:t>
      </w:r>
    </w:p>
    <w:p w:rsidRPr="005777F1" w:rsidR="00DA2C6E" w:rsidP="00DA2C6E" w:rsidRDefault="00DA2C6E" w14:paraId="4EAABA11" w14:textId="71ACF3C7">
      <w:r w:rsidRPr="005777F1">
        <w:t xml:space="preserve">Guidance </w:t>
      </w:r>
      <w:r w:rsidRPr="005777F1" w:rsidR="00A6771B">
        <w:t xml:space="preserve">from </w:t>
      </w:r>
      <w:r w:rsidRPr="005777F1">
        <w:t xml:space="preserve">the </w:t>
      </w:r>
      <w:r w:rsidRPr="005777F1">
        <w:rPr>
          <w:i/>
          <w:iCs/>
        </w:rPr>
        <w:t>stated preference</w:t>
      </w:r>
      <w:r w:rsidRPr="005777F1">
        <w:t xml:space="preserve"> literature states that attributes and levels should be selected based on a combination of the values needed to support decision making, feasibility of implementation, plausibility to respondents, and statistical efficiency</w:t>
      </w:r>
      <w:r w:rsidRPr="005777F1" w:rsidR="00845E9A">
        <w:t>.</w:t>
      </w:r>
      <w:r w:rsidRPr="005777F1">
        <w:rPr>
          <w:rStyle w:val="FootnoteReference"/>
        </w:rPr>
        <w:footnoteReference w:id="15"/>
      </w:r>
      <w:r w:rsidRPr="005777F1">
        <w:t xml:space="preserve"> The most salient aspect here is feasibility of implementation as MARAD </w:t>
      </w:r>
      <w:r w:rsidR="003F25E9">
        <w:t>has little leeway to</w:t>
      </w:r>
      <w:r w:rsidRPr="005777F1">
        <w:t xml:space="preserve"> alter sailing scenarios based on </w:t>
      </w:r>
      <w:r w:rsidRPr="005777F1" w:rsidR="00845E9A">
        <w:t>m</w:t>
      </w:r>
      <w:r w:rsidRPr="005777F1">
        <w:t>ariner preference</w:t>
      </w:r>
      <w:r w:rsidRPr="005777F1" w:rsidR="00845E9A">
        <w:t>s</w:t>
      </w:r>
      <w:r w:rsidRPr="005777F1">
        <w:t xml:space="preserve">. Thus, all relevant scenarios must be offered to </w:t>
      </w:r>
      <w:r w:rsidRPr="005777F1" w:rsidR="00845E9A">
        <w:t>m</w:t>
      </w:r>
      <w:r w:rsidRPr="005777F1">
        <w:t xml:space="preserve">ariners </w:t>
      </w:r>
      <w:proofErr w:type="gramStart"/>
      <w:r w:rsidRPr="005777F1">
        <w:t>in order to</w:t>
      </w:r>
      <w:proofErr w:type="gramEnd"/>
      <w:r w:rsidRPr="005777F1">
        <w:t xml:space="preserve"> collect sufficient data </w:t>
      </w:r>
      <w:r w:rsidRPr="005777F1" w:rsidR="00845E9A">
        <w:t>on m</w:t>
      </w:r>
      <w:r w:rsidRPr="005777F1">
        <w:t>ariner willingness to serve</w:t>
      </w:r>
      <w:r w:rsidR="003F25E9">
        <w:t xml:space="preserve"> – while still minimizing respondent burden to the extent possible. To this end. </w:t>
      </w:r>
      <w:r w:rsidRPr="005777F1" w:rsidR="0055392F">
        <w:t xml:space="preserve">MARAD identified the following </w:t>
      </w:r>
      <w:r w:rsidR="001660CF">
        <w:t xml:space="preserve">two </w:t>
      </w:r>
      <w:r w:rsidRPr="005777F1" w:rsidR="0055392F">
        <w:t xml:space="preserve">attributes and </w:t>
      </w:r>
      <w:r w:rsidRPr="005777F1" w:rsidR="00BD52B0">
        <w:t xml:space="preserve">corresponding </w:t>
      </w:r>
      <w:r w:rsidRPr="005777F1" w:rsidR="0055392F">
        <w:t>levels as most important</w:t>
      </w:r>
      <w:r w:rsidRPr="005777F1" w:rsidR="000A0250">
        <w:t xml:space="preserve"> in drafting the questionnaire:</w:t>
      </w:r>
    </w:p>
    <w:p w:rsidRPr="005777F1" w:rsidR="00812CDC" w:rsidP="00812CDC" w:rsidRDefault="00812CDC" w14:paraId="7FE99D3E" w14:textId="7BC6CF6B">
      <w:pPr>
        <w:pStyle w:val="ListParagraph"/>
        <w:numPr>
          <w:ilvl w:val="0"/>
          <w:numId w:val="14"/>
        </w:numPr>
      </w:pPr>
      <w:r w:rsidRPr="005777F1">
        <w:t xml:space="preserve">Type of </w:t>
      </w:r>
      <w:r w:rsidRPr="005777F1" w:rsidR="00BD52B0">
        <w:t>V</w:t>
      </w:r>
      <w:r w:rsidRPr="005777F1">
        <w:t>essel</w:t>
      </w:r>
      <w:r w:rsidRPr="005777F1" w:rsidR="00BD52B0">
        <w:t>, with three</w:t>
      </w:r>
      <w:r w:rsidRPr="005777F1">
        <w:t xml:space="preserve"> levels: </w:t>
      </w:r>
      <w:r w:rsidR="00A55A5C">
        <w:t xml:space="preserve">(1) </w:t>
      </w:r>
      <w:r w:rsidRPr="005777F1">
        <w:t xml:space="preserve">Privately-owned vessel engaged in commercial trade, </w:t>
      </w:r>
      <w:r w:rsidR="00A55A5C">
        <w:t xml:space="preserve">(2) </w:t>
      </w:r>
      <w:r w:rsidRPr="005777F1">
        <w:t xml:space="preserve">Privately-owned vessel on a military mission, </w:t>
      </w:r>
      <w:r w:rsidR="00A55A5C">
        <w:t>and (</w:t>
      </w:r>
      <w:r w:rsidR="00740213">
        <w:t>3</w:t>
      </w:r>
      <w:r w:rsidR="00A55A5C">
        <w:t xml:space="preserve">) </w:t>
      </w:r>
      <w:r w:rsidRPr="005777F1">
        <w:t>Government-owned vessel on a military mission</w:t>
      </w:r>
    </w:p>
    <w:p w:rsidRPr="005777F1" w:rsidR="00812CDC" w:rsidP="00812CDC" w:rsidRDefault="00812CDC" w14:paraId="3D080B39" w14:textId="1E457123">
      <w:pPr>
        <w:pStyle w:val="ListParagraph"/>
        <w:numPr>
          <w:ilvl w:val="0"/>
          <w:numId w:val="14"/>
        </w:numPr>
      </w:pPr>
      <w:r w:rsidRPr="005777F1">
        <w:lastRenderedPageBreak/>
        <w:t xml:space="preserve">Number of </w:t>
      </w:r>
      <w:r w:rsidRPr="005777F1" w:rsidR="00BD52B0">
        <w:t>T</w:t>
      </w:r>
      <w:r w:rsidRPr="005777F1">
        <w:t>ours</w:t>
      </w:r>
      <w:r w:rsidRPr="005777F1" w:rsidR="00BD52B0">
        <w:t>,</w:t>
      </w:r>
      <w:r w:rsidRPr="005777F1">
        <w:t xml:space="preserve"> </w:t>
      </w:r>
      <w:r w:rsidRPr="005777F1" w:rsidR="00BD52B0">
        <w:t>with two</w:t>
      </w:r>
      <w:r w:rsidRPr="005777F1">
        <w:t xml:space="preserve"> levels: </w:t>
      </w:r>
      <w:r w:rsidR="00A55A5C">
        <w:t xml:space="preserve">(1) </w:t>
      </w:r>
      <w:r w:rsidRPr="005777F1">
        <w:t>One tour</w:t>
      </w:r>
      <w:r w:rsidR="00EA7D8C">
        <w:t xml:space="preserve"> of four months</w:t>
      </w:r>
      <w:r w:rsidRPr="005777F1">
        <w:t>,</w:t>
      </w:r>
      <w:r w:rsidR="00A55A5C">
        <w:t xml:space="preserve"> and (2)</w:t>
      </w:r>
      <w:r w:rsidRPr="005777F1">
        <w:t xml:space="preserve"> At least two tours</w:t>
      </w:r>
      <w:r w:rsidRPr="00EA7D8C" w:rsidR="00EA7D8C">
        <w:t xml:space="preserve"> </w:t>
      </w:r>
      <w:r w:rsidR="00EA7D8C">
        <w:t>of four months each</w:t>
      </w:r>
      <w:r w:rsidRPr="005777F1">
        <w:t xml:space="preserve"> (with two months off between tours</w:t>
      </w:r>
      <w:r w:rsidR="00EA7D8C">
        <w:t>)</w:t>
      </w:r>
    </w:p>
    <w:p w:rsidRPr="005777F1" w:rsidR="00812CDC" w:rsidP="00812CDC" w:rsidRDefault="00812CDC" w14:paraId="3821D67A" w14:textId="052DD200">
      <w:pPr>
        <w:pStyle w:val="ListParagraph"/>
        <w:ind w:left="1080"/>
        <w:rPr>
          <w:rFonts w:eastAsia="Times New Roman"/>
          <w:color w:val="000000" w:themeColor="text1"/>
        </w:rPr>
      </w:pPr>
    </w:p>
    <w:p w:rsidR="00F33CBA" w:rsidP="00812CDC" w:rsidRDefault="00F33CBA" w14:paraId="4739DE87" w14:textId="27728399">
      <w:pPr>
        <w:pStyle w:val="ListParagraph"/>
        <w:ind w:left="0"/>
        <w:contextualSpacing w:val="0"/>
        <w:rPr>
          <w:rFonts w:eastAsia="Times New Roman"/>
          <w:color w:val="000000" w:themeColor="text1"/>
        </w:rPr>
      </w:pPr>
      <w:r>
        <w:rPr>
          <w:rFonts w:eastAsia="Times New Roman"/>
          <w:color w:val="000000" w:themeColor="text1"/>
        </w:rPr>
        <w:t>Service in the merchant marine is strictly voluntary, and as such, mariners are free to choose how they wish to serve. Generally, the mariner chooses to sail based on the two attributes above based on personal preference. Most mariner jobs are through labor unions, which utilize the concept of a “sailing board” to offer employment. Based on seniority and qualification levels, mariners will be assigned to a vessel only if they choose</w:t>
      </w:r>
      <w:r w:rsidR="00FA0A8E">
        <w:rPr>
          <w:rFonts w:eastAsia="Times New Roman"/>
          <w:color w:val="000000" w:themeColor="text1"/>
        </w:rPr>
        <w:t xml:space="preserve"> it</w:t>
      </w:r>
      <w:r>
        <w:rPr>
          <w:rFonts w:eastAsia="Times New Roman"/>
          <w:color w:val="000000" w:themeColor="text1"/>
        </w:rPr>
        <w:t>. If a mariner is not interested in a position on a particular vessel, they will pass and await a position that is more favorable to them. In general, three types of vessels as described in attribute 1 are available for employment. Further, mariner jobs are typically available for rotations of three to four months. A mariner can immediately complete one tour and report to the union, ready for another. Conversely, a mariner could choose to take paid time off in accordance with the contract. There is no requirement to report for duty immediately.</w:t>
      </w:r>
      <w:r w:rsidR="00FA0A8E">
        <w:rPr>
          <w:rFonts w:eastAsia="Times New Roman"/>
          <w:color w:val="000000" w:themeColor="text1"/>
        </w:rPr>
        <w:t xml:space="preserve"> Since a contingency may last longer than four months, the number of tours a mariner is willing to serve is an important attribute. </w:t>
      </w:r>
    </w:p>
    <w:p w:rsidRPr="005777F1" w:rsidR="00364B8D" w:rsidP="00812CDC" w:rsidRDefault="00FA64FB" w14:paraId="3ED539BF" w14:textId="6A73F7F7">
      <w:pPr>
        <w:pStyle w:val="ListParagraph"/>
        <w:ind w:left="0"/>
        <w:contextualSpacing w:val="0"/>
        <w:rPr>
          <w:rFonts w:eastAsia="Times New Roman"/>
          <w:color w:val="000000" w:themeColor="text1"/>
        </w:rPr>
      </w:pPr>
      <w:r>
        <w:rPr>
          <w:rFonts w:eastAsia="Times New Roman"/>
          <w:color w:val="000000" w:themeColor="text1"/>
        </w:rPr>
        <w:t>All</w:t>
      </w:r>
      <w:r w:rsidRPr="005777F1" w:rsidR="00BD52B0">
        <w:rPr>
          <w:rFonts w:eastAsia="Times New Roman"/>
          <w:color w:val="000000" w:themeColor="text1"/>
        </w:rPr>
        <w:t xml:space="preserve"> combinations of these</w:t>
      </w:r>
      <w:r w:rsidRPr="005777F1" w:rsidR="00812CDC">
        <w:rPr>
          <w:rFonts w:eastAsia="Times New Roman"/>
          <w:color w:val="000000" w:themeColor="text1"/>
        </w:rPr>
        <w:t xml:space="preserve"> attributes and level</w:t>
      </w:r>
      <w:r w:rsidRPr="005777F1" w:rsidR="003D287D">
        <w:rPr>
          <w:rFonts w:eastAsia="Times New Roman"/>
          <w:color w:val="000000" w:themeColor="text1"/>
        </w:rPr>
        <w:t>s</w:t>
      </w:r>
      <w:r w:rsidRPr="005777F1" w:rsidR="00812CDC">
        <w:rPr>
          <w:rFonts w:eastAsia="Times New Roman"/>
          <w:color w:val="000000" w:themeColor="text1"/>
        </w:rPr>
        <w:t xml:space="preserve"> result in </w:t>
      </w:r>
      <w:r w:rsidR="00622DD0">
        <w:rPr>
          <w:rFonts w:eastAsia="Times New Roman"/>
          <w:color w:val="000000" w:themeColor="text1"/>
        </w:rPr>
        <w:t>six</w:t>
      </w:r>
      <w:r w:rsidRPr="005777F1" w:rsidR="0090564F">
        <w:rPr>
          <w:rFonts w:eastAsia="Times New Roman"/>
          <w:color w:val="000000" w:themeColor="text1"/>
        </w:rPr>
        <w:t xml:space="preserve"> </w:t>
      </w:r>
      <w:r w:rsidRPr="005777F1" w:rsidR="00812CDC">
        <w:rPr>
          <w:rFonts w:eastAsia="Times New Roman"/>
          <w:color w:val="000000" w:themeColor="text1"/>
        </w:rPr>
        <w:t xml:space="preserve">possible scenarios. Mariners will be asked to report their </w:t>
      </w:r>
      <w:r w:rsidR="00622DD0">
        <w:rPr>
          <w:rFonts w:eastAsia="Times New Roman"/>
          <w:color w:val="000000" w:themeColor="text1"/>
        </w:rPr>
        <w:t xml:space="preserve">degree of likelihood </w:t>
      </w:r>
      <w:r w:rsidRPr="005777F1" w:rsidR="00812CDC">
        <w:rPr>
          <w:rFonts w:eastAsia="Times New Roman"/>
          <w:color w:val="000000" w:themeColor="text1"/>
        </w:rPr>
        <w:t xml:space="preserve">to volunteer in each scenario. Each scenario will be phrased as such: “In the event of a National Need, assuming that any necessary training would be provided, </w:t>
      </w:r>
      <w:r w:rsidR="00622DD0">
        <w:rPr>
          <w:rFonts w:eastAsia="Times New Roman"/>
          <w:color w:val="000000" w:themeColor="text1"/>
        </w:rPr>
        <w:t xml:space="preserve">how likely </w:t>
      </w:r>
      <w:r w:rsidRPr="005777F1" w:rsidR="00812CDC">
        <w:rPr>
          <w:rFonts w:eastAsia="Times New Roman"/>
          <w:color w:val="000000" w:themeColor="text1"/>
        </w:rPr>
        <w:t>would</w:t>
      </w:r>
      <w:r w:rsidR="00622DD0">
        <w:rPr>
          <w:rFonts w:eastAsia="Times New Roman"/>
          <w:color w:val="000000" w:themeColor="text1"/>
        </w:rPr>
        <w:t xml:space="preserve"> </w:t>
      </w:r>
      <w:r w:rsidRPr="005777F1" w:rsidR="00812CDC">
        <w:rPr>
          <w:rFonts w:eastAsia="Times New Roman"/>
          <w:color w:val="000000" w:themeColor="text1"/>
        </w:rPr>
        <w:t>you</w:t>
      </w:r>
      <w:r w:rsidR="00622DD0">
        <w:rPr>
          <w:rFonts w:eastAsia="Times New Roman"/>
          <w:color w:val="000000" w:themeColor="text1"/>
        </w:rPr>
        <w:t xml:space="preserve"> be to</w:t>
      </w:r>
      <w:r w:rsidRPr="005777F1" w:rsidR="00812CDC">
        <w:rPr>
          <w:rFonts w:eastAsia="Times New Roman"/>
          <w:color w:val="000000" w:themeColor="text1"/>
        </w:rPr>
        <w:t xml:space="preserve"> volunteer to serve as a paid crew member </w:t>
      </w:r>
      <w:r w:rsidR="003F25E9">
        <w:rPr>
          <w:rFonts w:eastAsia="Times New Roman"/>
          <w:color w:val="000000" w:themeColor="text1"/>
        </w:rPr>
        <w:t>in the following scenario</w:t>
      </w:r>
      <w:r w:rsidRPr="005777F1" w:rsidR="00812CDC">
        <w:rPr>
          <w:rFonts w:eastAsia="Times New Roman"/>
          <w:color w:val="000000" w:themeColor="text1"/>
        </w:rPr>
        <w:t xml:space="preserve">?” Then the specific levels of each attribute for that scenario will be provided. For example: </w:t>
      </w:r>
    </w:p>
    <w:p w:rsidRPr="005777F1" w:rsidR="00812CDC" w:rsidP="00812CDC" w:rsidRDefault="00812CDC" w14:paraId="49A04591" w14:textId="77777777">
      <w:pPr>
        <w:pStyle w:val="ListParagraph"/>
      </w:pPr>
      <w:r w:rsidRPr="005777F1">
        <w:t>Vessel: Government-owned vessel on a military mission</w:t>
      </w:r>
    </w:p>
    <w:p w:rsidRPr="005777F1" w:rsidR="00812CDC" w:rsidP="00812CDC" w:rsidRDefault="00812CDC" w14:paraId="2499A9CA" w14:textId="47561D18">
      <w:pPr>
        <w:pStyle w:val="ListParagraph"/>
      </w:pPr>
      <w:r w:rsidRPr="005777F1">
        <w:t>Tours: One tour</w:t>
      </w:r>
      <w:r w:rsidRPr="00EA7D8C" w:rsidR="00EA7D8C">
        <w:t xml:space="preserve"> </w:t>
      </w:r>
      <w:r w:rsidR="00EA7D8C">
        <w:t xml:space="preserve">of </w:t>
      </w:r>
      <w:r w:rsidR="00175D64">
        <w:t xml:space="preserve">four </w:t>
      </w:r>
      <w:r w:rsidR="00EA7D8C">
        <w:t>months</w:t>
      </w:r>
    </w:p>
    <w:p w:rsidRPr="005777F1" w:rsidR="00364B8D" w:rsidP="00364B8D" w:rsidRDefault="00364B8D" w14:paraId="3DB74B01" w14:textId="1000BA95">
      <w:pPr>
        <w:pStyle w:val="ListParagraph"/>
        <w:ind w:left="0" w:firstLine="720"/>
      </w:pPr>
    </w:p>
    <w:p w:rsidRPr="005777F1" w:rsidR="00DA2C6E" w:rsidP="00DA2C6E" w:rsidRDefault="00DA2C6E" w14:paraId="06B0F3BF" w14:textId="7B1813FC">
      <w:r w:rsidRPr="005777F1">
        <w:t>When presenting respondent</w:t>
      </w:r>
      <w:r w:rsidRPr="005777F1" w:rsidR="008B21E4">
        <w:t>s</w:t>
      </w:r>
      <w:r w:rsidRPr="005777F1">
        <w:t xml:space="preserve"> with </w:t>
      </w:r>
      <w:r w:rsidR="00FA64FB">
        <w:t xml:space="preserve">different scenarios, </w:t>
      </w:r>
      <w:r w:rsidRPr="005777F1">
        <w:t xml:space="preserve">choice sets have been found to be most effective in obtaining </w:t>
      </w:r>
      <w:r w:rsidRPr="005777F1" w:rsidR="002A0C85">
        <w:t>accurate</w:t>
      </w:r>
      <w:r w:rsidRPr="005777F1">
        <w:t xml:space="preserve"> responses when respondents have </w:t>
      </w:r>
      <w:r w:rsidRPr="005777F1" w:rsidR="002A0C85">
        <w:t xml:space="preserve">advanced notification </w:t>
      </w:r>
      <w:r w:rsidRPr="005777F1">
        <w:t>that they will face multiple valuation questions and some information on the range of situations they will be asked to consider</w:t>
      </w:r>
      <w:r w:rsidRPr="005777F1" w:rsidR="00845E9A">
        <w:t>.</w:t>
      </w:r>
      <w:r w:rsidRPr="005777F1">
        <w:rPr>
          <w:rStyle w:val="FootnoteReference"/>
        </w:rPr>
        <w:footnoteReference w:id="16"/>
      </w:r>
      <w:r w:rsidRPr="005777F1">
        <w:t xml:space="preserve"> Therefore, </w:t>
      </w:r>
      <w:r w:rsidRPr="005777F1" w:rsidR="009E257D">
        <w:t>the introduction to this</w:t>
      </w:r>
      <w:r w:rsidRPr="005777F1">
        <w:t xml:space="preserve"> section of the </w:t>
      </w:r>
      <w:r w:rsidR="008C1250">
        <w:t>survey</w:t>
      </w:r>
      <w:r w:rsidRPr="005777F1">
        <w:t xml:space="preserve"> will </w:t>
      </w:r>
      <w:r w:rsidRPr="005777F1" w:rsidR="009E257D">
        <w:t>include</w:t>
      </w:r>
      <w:r w:rsidRPr="005777F1">
        <w:t xml:space="preserve"> </w:t>
      </w:r>
      <w:r w:rsidRPr="005777F1" w:rsidR="00364B8D">
        <w:t>an</w:t>
      </w:r>
      <w:r w:rsidRPr="005777F1">
        <w:t xml:space="preserve"> </w:t>
      </w:r>
      <w:r w:rsidRPr="005777F1" w:rsidR="00364B8D">
        <w:t>explanation</w:t>
      </w:r>
      <w:r w:rsidRPr="005777F1">
        <w:t xml:space="preserve"> to </w:t>
      </w:r>
      <w:r w:rsidRPr="005777F1" w:rsidR="00845E9A">
        <w:t>m</w:t>
      </w:r>
      <w:r w:rsidRPr="005777F1">
        <w:t>ariners that</w:t>
      </w:r>
      <w:r w:rsidRPr="005777F1" w:rsidR="00845E9A">
        <w:t xml:space="preserve"> they</w:t>
      </w:r>
      <w:r w:rsidRPr="005777F1">
        <w:t xml:space="preserve"> will be asked to provide their honest assessment on whether they would </w:t>
      </w:r>
      <w:r w:rsidRPr="005777F1" w:rsidR="000F4578">
        <w:t>choose</w:t>
      </w:r>
      <w:r w:rsidRPr="005777F1">
        <w:t xml:space="preserve"> to serve </w:t>
      </w:r>
      <w:r w:rsidRPr="005777F1" w:rsidR="00845E9A">
        <w:t>in</w:t>
      </w:r>
      <w:r w:rsidRPr="005777F1">
        <w:t xml:space="preserve"> a series of scenario</w:t>
      </w:r>
      <w:r w:rsidR="008C1250">
        <w:t xml:space="preserve"> and an acknowledgement that respondents’</w:t>
      </w:r>
      <w:r w:rsidRPr="005777F1">
        <w:t xml:space="preserve"> </w:t>
      </w:r>
      <w:r w:rsidRPr="008C1250" w:rsidR="008C1250">
        <w:t xml:space="preserve">answers will reflect </w:t>
      </w:r>
      <w:r w:rsidR="008C1250">
        <w:t>their</w:t>
      </w:r>
      <w:r w:rsidRPr="008C1250" w:rsidR="008C1250">
        <w:t xml:space="preserve"> current thinking and that circumstances may change in the future.</w:t>
      </w:r>
    </w:p>
    <w:p w:rsidRPr="005777F1" w:rsidR="00364B8D" w:rsidP="00DA2C6E" w:rsidRDefault="00AF2232" w14:paraId="03417A33" w14:textId="0ECAAD26">
      <w:r w:rsidRPr="005777F1">
        <w:t xml:space="preserve">Following these </w:t>
      </w:r>
      <w:r w:rsidR="00622DD0">
        <w:t>six</w:t>
      </w:r>
      <w:r w:rsidRPr="005777F1" w:rsidR="00CD1DE9">
        <w:t xml:space="preserve"> </w:t>
      </w:r>
      <w:r w:rsidRPr="005777F1">
        <w:t xml:space="preserve">scenarios, all mariners except those who </w:t>
      </w:r>
      <w:r w:rsidRPr="005777F1" w:rsidR="00622DD0">
        <w:t>answer</w:t>
      </w:r>
      <w:r w:rsidR="00622DD0">
        <w:t xml:space="preserve">ed </w:t>
      </w:r>
      <w:r w:rsidRPr="005777F1">
        <w:t>“</w:t>
      </w:r>
      <w:r w:rsidR="00622DD0">
        <w:t>Very Unlikely</w:t>
      </w:r>
      <w:r w:rsidRPr="005777F1">
        <w:t xml:space="preserve">” to all </w:t>
      </w:r>
      <w:r w:rsidR="00622DD0">
        <w:t>six</w:t>
      </w:r>
      <w:r w:rsidRPr="005777F1" w:rsidR="00CD1DE9">
        <w:t xml:space="preserve"> </w:t>
      </w:r>
      <w:r w:rsidRPr="005777F1">
        <w:t>scenarios will be</w:t>
      </w:r>
      <w:r w:rsidRPr="005777F1" w:rsidR="00237958">
        <w:t xml:space="preserve"> asked</w:t>
      </w:r>
      <w:r w:rsidRPr="005777F1">
        <w:t xml:space="preserve"> one additional question</w:t>
      </w:r>
      <w:r w:rsidR="00FC47DB">
        <w:t xml:space="preserve"> (Q17)</w:t>
      </w:r>
      <w:r w:rsidRPr="005777F1">
        <w:t xml:space="preserve">, “If you were to volunteer to serve in a paid position aboard a vessel during a period of National Need, how long would it take you to report to an assigned vessel?” Response choices will offer a series of timeframes, plus an “Unsure” option. </w:t>
      </w:r>
      <w:r w:rsidRPr="005777F1" w:rsidR="008903BC">
        <w:t>This information is important to obtain because w</w:t>
      </w:r>
      <w:r w:rsidRPr="005777F1">
        <w:t xml:space="preserve">hile volunteers </w:t>
      </w:r>
      <w:r w:rsidRPr="005777F1" w:rsidR="008903BC">
        <w:t>would</w:t>
      </w:r>
      <w:r w:rsidRPr="005777F1">
        <w:t xml:space="preserve"> be needed on a very short-term basis</w:t>
      </w:r>
      <w:r w:rsidRPr="005777F1" w:rsidR="008903BC">
        <w:t xml:space="preserve"> in the event of a National Need</w:t>
      </w:r>
      <w:r w:rsidRPr="005777F1">
        <w:t>,</w:t>
      </w:r>
      <w:r w:rsidRPr="005777F1" w:rsidR="008903BC">
        <w:t xml:space="preserve"> the ability to sustain operations also will be critical.</w:t>
      </w:r>
    </w:p>
    <w:p w:rsidRPr="005777F1" w:rsidR="00AF2232" w:rsidP="00DA2C6E" w:rsidRDefault="00AF2232" w14:paraId="7C7EC6CF" w14:textId="48EE793C">
      <w:r w:rsidRPr="005777F1">
        <w:lastRenderedPageBreak/>
        <w:t>All mariners except those who answered “</w:t>
      </w:r>
      <w:r w:rsidR="00622DD0">
        <w:t>Very Likely</w:t>
      </w:r>
      <w:r w:rsidRPr="005777F1">
        <w:t xml:space="preserve">” to all </w:t>
      </w:r>
      <w:r w:rsidR="00622DD0">
        <w:t>six</w:t>
      </w:r>
      <w:r w:rsidRPr="005777F1" w:rsidR="00CD1DE9">
        <w:t xml:space="preserve"> </w:t>
      </w:r>
      <w:r w:rsidRPr="005777F1">
        <w:t>scenarios will be asked two follow-up questions gauging whether mariners would be more likely to volunteer to serve if 1) the government were to reimburse them for the required fees for all administrative requirements (physical examination fee, TWIC renewal fee, and MMC renewal fee) to maintain their MMC in active status</w:t>
      </w:r>
      <w:r w:rsidR="00FC47DB">
        <w:t xml:space="preserve"> (Q18)</w:t>
      </w:r>
      <w:r w:rsidRPr="005777F1">
        <w:t>, and 2) the government were to reimburse them to take all STCW required courses to maintain their MMC credential with their last active highest office or rating endorsement</w:t>
      </w:r>
      <w:r w:rsidR="00FC47DB">
        <w:t xml:space="preserve"> (Q19)</w:t>
      </w:r>
      <w:r w:rsidRPr="005777F1">
        <w:t xml:space="preserve">. </w:t>
      </w:r>
      <w:r w:rsidRPr="005777F1" w:rsidR="00CE0F73">
        <w:t xml:space="preserve">These questions will show the potential impact of offering government </w:t>
      </w:r>
      <w:r w:rsidRPr="005777F1" w:rsidR="000A0250">
        <w:t>incentives</w:t>
      </w:r>
      <w:r w:rsidRPr="005777F1" w:rsidR="00CE0F73">
        <w:t xml:space="preserve"> on the willingness</w:t>
      </w:r>
      <w:r w:rsidRPr="005777F1" w:rsidR="002D1D8C">
        <w:t xml:space="preserve"> of mariners</w:t>
      </w:r>
      <w:r w:rsidRPr="005777F1" w:rsidR="00CE0F73">
        <w:t xml:space="preserve"> to volunteer to serve.</w:t>
      </w:r>
    </w:p>
    <w:p w:rsidR="00133E6D" w:rsidP="004939A3" w:rsidRDefault="00133E6D" w14:paraId="43734C4E" w14:textId="68283D77">
      <w:pPr>
        <w:rPr>
          <w:rFonts w:cs="Times New Roman"/>
          <w:color w:val="000000" w:themeColor="text1"/>
          <w:szCs w:val="24"/>
        </w:rPr>
      </w:pPr>
      <w:r>
        <w:rPr>
          <w:rFonts w:cs="Times New Roman"/>
          <w:color w:val="000000" w:themeColor="text1"/>
          <w:szCs w:val="24"/>
        </w:rPr>
        <w:t xml:space="preserve">The </w:t>
      </w:r>
      <w:r w:rsidRPr="00133E6D">
        <w:rPr>
          <w:rFonts w:cs="Times New Roman"/>
          <w:b/>
          <w:bCs/>
          <w:color w:val="000000" w:themeColor="text1"/>
          <w:szCs w:val="24"/>
        </w:rPr>
        <w:t>cognitive interviews</w:t>
      </w:r>
      <w:r>
        <w:rPr>
          <w:rFonts w:cs="Times New Roman"/>
          <w:color w:val="000000" w:themeColor="text1"/>
          <w:szCs w:val="24"/>
        </w:rPr>
        <w:t xml:space="preserve"> </w:t>
      </w:r>
      <w:r w:rsidRPr="00133E6D">
        <w:rPr>
          <w:rFonts w:cs="Times New Roman"/>
          <w:color w:val="000000" w:themeColor="text1"/>
          <w:szCs w:val="24"/>
        </w:rPr>
        <w:t xml:space="preserve">will assist with testing the </w:t>
      </w:r>
      <w:r>
        <w:rPr>
          <w:rFonts w:cs="Times New Roman"/>
          <w:color w:val="000000" w:themeColor="text1"/>
          <w:szCs w:val="24"/>
        </w:rPr>
        <w:t xml:space="preserve">Mariner Survey </w:t>
      </w:r>
      <w:r w:rsidRPr="00133E6D">
        <w:rPr>
          <w:rFonts w:cs="Times New Roman"/>
          <w:color w:val="000000" w:themeColor="text1"/>
          <w:szCs w:val="24"/>
        </w:rPr>
        <w:t>questionnaire</w:t>
      </w:r>
      <w:r>
        <w:rPr>
          <w:rFonts w:cs="Times New Roman"/>
          <w:color w:val="000000" w:themeColor="text1"/>
          <w:szCs w:val="24"/>
        </w:rPr>
        <w:t xml:space="preserve">. The Cognitive Interview Guide (included in </w:t>
      </w:r>
      <w:r w:rsidRPr="00A429CA">
        <w:rPr>
          <w:rFonts w:cs="Times New Roman"/>
          <w:color w:val="000000" w:themeColor="text1"/>
          <w:szCs w:val="24"/>
        </w:rPr>
        <w:t>Appendix 1.d)</w:t>
      </w:r>
      <w:r>
        <w:rPr>
          <w:rFonts w:cs="Times New Roman"/>
          <w:color w:val="000000" w:themeColor="text1"/>
          <w:szCs w:val="24"/>
        </w:rPr>
        <w:t xml:space="preserve"> </w:t>
      </w:r>
      <w:r w:rsidRPr="00133E6D">
        <w:rPr>
          <w:rFonts w:cs="Times New Roman"/>
          <w:color w:val="000000" w:themeColor="text1"/>
          <w:szCs w:val="24"/>
        </w:rPr>
        <w:t xml:space="preserve">will include questions about whether there were any terms or phrases that mariners found confusing, whether mariners thought the </w:t>
      </w:r>
      <w:r>
        <w:rPr>
          <w:rFonts w:cs="Times New Roman"/>
          <w:color w:val="000000" w:themeColor="text1"/>
          <w:szCs w:val="24"/>
        </w:rPr>
        <w:t>six</w:t>
      </w:r>
      <w:r w:rsidRPr="00133E6D">
        <w:rPr>
          <w:rFonts w:cs="Times New Roman"/>
          <w:color w:val="000000" w:themeColor="text1"/>
          <w:szCs w:val="24"/>
        </w:rPr>
        <w:t xml:space="preserve"> scenarios regarding willingness to volunteer were easy to understand and respond to, whether they felt they thought they had sufficient information in order to accurately respond, and whether they gave serious consideration to the questions when responding. Additional questions will ask about the survey instructions, response choices to certain questions, and general experience completing the survey.</w:t>
      </w:r>
    </w:p>
    <w:p w:rsidR="00F71569" w:rsidP="00C77D8C" w:rsidRDefault="00F71569" w14:paraId="459CF94E" w14:textId="77777777"/>
    <w:p w:rsidRPr="005777F1" w:rsidR="005F6971" w:rsidP="002F2BF4" w:rsidRDefault="007626DD" w14:paraId="359D280E" w14:textId="18D52FF1">
      <w:pPr>
        <w:pStyle w:val="Heading3"/>
      </w:pPr>
      <w:bookmarkStart w:name="_Toc90302112" w:id="15"/>
      <w:r w:rsidRPr="005777F1">
        <w:t xml:space="preserve">A.3 </w:t>
      </w:r>
      <w:r w:rsidRPr="005777F1" w:rsidR="00CD3939">
        <w:t>Improved Information Technology (Reduction of Burden)</w:t>
      </w:r>
      <w:bookmarkEnd w:id="15"/>
    </w:p>
    <w:p w:rsidR="00BE05BA" w:rsidP="005072A6" w:rsidRDefault="00082F20" w14:paraId="26717FCE" w14:textId="52DB23BE">
      <w:pPr>
        <w:rPr>
          <w:rFonts w:cs="Times New Roman"/>
          <w:szCs w:val="24"/>
        </w:rPr>
      </w:pPr>
      <w:r>
        <w:rPr>
          <w:rFonts w:cs="Times New Roman"/>
          <w:szCs w:val="24"/>
        </w:rPr>
        <w:t xml:space="preserve">The cognitive interviews during the </w:t>
      </w:r>
      <w:r w:rsidRPr="00D51D7B">
        <w:rPr>
          <w:rFonts w:cs="Times New Roman"/>
          <w:szCs w:val="24"/>
          <w:u w:val="single"/>
        </w:rPr>
        <w:t>Mariner Survey Pre-Test</w:t>
      </w:r>
      <w:r>
        <w:rPr>
          <w:rFonts w:cs="Times New Roman"/>
          <w:szCs w:val="24"/>
        </w:rPr>
        <w:t xml:space="preserve"> will be conducted either telephonically or via an </w:t>
      </w:r>
      <w:r w:rsidR="00841E1C">
        <w:rPr>
          <w:rFonts w:cs="Times New Roman"/>
          <w:szCs w:val="24"/>
        </w:rPr>
        <w:t>online</w:t>
      </w:r>
      <w:r>
        <w:rPr>
          <w:rFonts w:cs="Times New Roman"/>
          <w:szCs w:val="24"/>
        </w:rPr>
        <w:t xml:space="preserve"> meeting application. </w:t>
      </w:r>
      <w:r w:rsidRPr="005777F1" w:rsidR="005072A6">
        <w:rPr>
          <w:rFonts w:cs="Times New Roman"/>
          <w:szCs w:val="24"/>
        </w:rPr>
        <w:t xml:space="preserve">The </w:t>
      </w:r>
      <w:r w:rsidR="00841E1C">
        <w:rPr>
          <w:rFonts w:cs="Times New Roman"/>
          <w:szCs w:val="24"/>
        </w:rPr>
        <w:t xml:space="preserve">pilot survey </w:t>
      </w:r>
      <w:r w:rsidR="00C77D8C">
        <w:rPr>
          <w:rFonts w:cs="Times New Roman"/>
          <w:szCs w:val="24"/>
        </w:rPr>
        <w:t>for</w:t>
      </w:r>
      <w:r w:rsidR="00841E1C">
        <w:rPr>
          <w:rFonts w:cs="Times New Roman"/>
          <w:szCs w:val="24"/>
        </w:rPr>
        <w:t xml:space="preserve"> the </w:t>
      </w:r>
      <w:r w:rsidRPr="005777F1" w:rsidR="005072A6">
        <w:rPr>
          <w:rFonts w:cs="Times New Roman"/>
          <w:szCs w:val="24"/>
          <w:u w:val="single"/>
        </w:rPr>
        <w:t>Mariner Survey</w:t>
      </w:r>
      <w:r>
        <w:rPr>
          <w:rFonts w:cs="Times New Roman"/>
          <w:szCs w:val="24"/>
          <w:u w:val="single"/>
        </w:rPr>
        <w:t xml:space="preserve"> Pre-Test</w:t>
      </w:r>
      <w:r w:rsidRPr="005777F1" w:rsidR="005072A6">
        <w:rPr>
          <w:rFonts w:cs="Times New Roman"/>
          <w:szCs w:val="24"/>
        </w:rPr>
        <w:t xml:space="preserve"> will be administered </w:t>
      </w:r>
      <w:r w:rsidR="00C77D8C">
        <w:rPr>
          <w:rFonts w:cs="Times New Roman"/>
          <w:szCs w:val="24"/>
        </w:rPr>
        <w:t xml:space="preserve">primarily </w:t>
      </w:r>
      <w:r w:rsidRPr="005777F1" w:rsidR="00BE05BA">
        <w:rPr>
          <w:rFonts w:cs="Times New Roman"/>
          <w:szCs w:val="24"/>
        </w:rPr>
        <w:t>via an online survey</w:t>
      </w:r>
      <w:r w:rsidRPr="005777F1" w:rsidR="00AE6037">
        <w:rPr>
          <w:rFonts w:cs="Times New Roman"/>
          <w:szCs w:val="24"/>
        </w:rPr>
        <w:t xml:space="preserve"> instrument</w:t>
      </w:r>
      <w:r w:rsidRPr="005777F1" w:rsidR="00BE05BA">
        <w:rPr>
          <w:rFonts w:cs="Times New Roman"/>
          <w:szCs w:val="24"/>
        </w:rPr>
        <w:t>. This survey mode was chosen in part due to the mobile nature of the merchant mariner population; it is expected that a notable percentage of the sampled respondents will be working aboard vessels during the data collection phase. As such, a telephone or mail survey is not practical for these mariners. An online survey allows for respondents to complete it at a time and place convenient for them</w:t>
      </w:r>
      <w:r w:rsidRPr="005777F1" w:rsidR="00EC0ADB">
        <w:rPr>
          <w:rFonts w:cs="Times New Roman"/>
          <w:szCs w:val="24"/>
        </w:rPr>
        <w:t>, on any type of device with an internet connection</w:t>
      </w:r>
      <w:r w:rsidRPr="005777F1" w:rsidR="00144F0A">
        <w:rPr>
          <w:rFonts w:cs="Times New Roman"/>
          <w:szCs w:val="24"/>
        </w:rPr>
        <w:t>.</w:t>
      </w:r>
      <w:r w:rsidRPr="005777F1" w:rsidR="00BE05BA">
        <w:rPr>
          <w:rFonts w:cs="Times New Roman"/>
          <w:szCs w:val="24"/>
        </w:rPr>
        <w:t xml:space="preserve"> Additionally, online surveys tend to take less time for respondents to complete than mail and telephone surveys. Hence, an online survey is the least burdensome survey format for this population. </w:t>
      </w:r>
    </w:p>
    <w:p w:rsidRPr="005777F1" w:rsidR="00D34052" w:rsidP="005072A6" w:rsidRDefault="00CB3C92" w14:paraId="3BF7007F" w14:textId="3F0E1A7F">
      <w:pPr>
        <w:rPr>
          <w:rFonts w:cs="Times New Roman"/>
          <w:szCs w:val="24"/>
        </w:rPr>
      </w:pPr>
      <w:r>
        <w:rPr>
          <w:rFonts w:cs="Times New Roman"/>
          <w:szCs w:val="24"/>
        </w:rPr>
        <w:t>S</w:t>
      </w:r>
      <w:r w:rsidR="00D34052">
        <w:rPr>
          <w:rFonts w:cs="Times New Roman"/>
          <w:szCs w:val="24"/>
        </w:rPr>
        <w:t>ome mariners</w:t>
      </w:r>
      <w:r>
        <w:rPr>
          <w:rFonts w:cs="Times New Roman"/>
          <w:szCs w:val="24"/>
        </w:rPr>
        <w:t>, however,</w:t>
      </w:r>
      <w:r w:rsidR="00D34052">
        <w:rPr>
          <w:rFonts w:cs="Times New Roman"/>
          <w:szCs w:val="24"/>
        </w:rPr>
        <w:t xml:space="preserve"> </w:t>
      </w:r>
      <w:r>
        <w:rPr>
          <w:rFonts w:cs="Times New Roman"/>
          <w:szCs w:val="24"/>
        </w:rPr>
        <w:t>may</w:t>
      </w:r>
      <w:r w:rsidR="00D34052">
        <w:rPr>
          <w:rFonts w:cs="Times New Roman"/>
          <w:szCs w:val="24"/>
        </w:rPr>
        <w:t xml:space="preserve"> not have access to reliable internet, and some may not prefer to complete the survey online.</w:t>
      </w:r>
      <w:r w:rsidR="00231C57">
        <w:rPr>
          <w:rFonts w:cs="Times New Roman"/>
          <w:szCs w:val="24"/>
        </w:rPr>
        <w:t xml:space="preserve"> Furthermore, an email address </w:t>
      </w:r>
      <w:r w:rsidRPr="00231C57" w:rsidR="00231C57">
        <w:rPr>
          <w:rFonts w:cs="Times New Roman"/>
          <w:szCs w:val="24"/>
        </w:rPr>
        <w:t>is not available for approximately eight percent of merchant mariners and some number of email addresses will be invalid.</w:t>
      </w:r>
      <w:r>
        <w:rPr>
          <w:rFonts w:cs="Times New Roman"/>
          <w:szCs w:val="24"/>
        </w:rPr>
        <w:t xml:space="preserve"> A paper version of the survey will be mailed to mariners who do not have a valid email address and</w:t>
      </w:r>
      <w:r w:rsidR="003638B4">
        <w:rPr>
          <w:rFonts w:cs="Times New Roman"/>
          <w:szCs w:val="24"/>
        </w:rPr>
        <w:t xml:space="preserve"> who</w:t>
      </w:r>
      <w:r>
        <w:rPr>
          <w:rFonts w:cs="Times New Roman"/>
          <w:szCs w:val="24"/>
        </w:rPr>
        <w:t xml:space="preserve"> do not complete the survey after receiving an invitation via mail</w:t>
      </w:r>
      <w:r w:rsidR="003638B4">
        <w:rPr>
          <w:rFonts w:cs="Times New Roman"/>
          <w:szCs w:val="24"/>
        </w:rPr>
        <w:t xml:space="preserve"> to take the online survey</w:t>
      </w:r>
      <w:r>
        <w:rPr>
          <w:rFonts w:cs="Times New Roman"/>
          <w:szCs w:val="24"/>
        </w:rPr>
        <w:t>, as well as mariners who request a paper copy be sent by mail.</w:t>
      </w:r>
    </w:p>
    <w:p w:rsidRPr="005777F1" w:rsidR="00BE05BA" w:rsidP="005072A6" w:rsidRDefault="00542FC9" w14:paraId="2A291434" w14:textId="00321BF7">
      <w:pPr>
        <w:rPr>
          <w:rFonts w:cs="Times New Roman"/>
          <w:szCs w:val="24"/>
        </w:rPr>
      </w:pPr>
      <w:r>
        <w:rPr>
          <w:rFonts w:cs="Times New Roman"/>
          <w:szCs w:val="24"/>
        </w:rPr>
        <w:t>It is expected that over 85 percent of records in the MMLD will include email address; as such, i</w:t>
      </w:r>
      <w:r w:rsidRPr="005777F1" w:rsidR="00C47014">
        <w:rPr>
          <w:rFonts w:cs="Times New Roman"/>
          <w:szCs w:val="24"/>
        </w:rPr>
        <w:t xml:space="preserve">t is estimated that </w:t>
      </w:r>
      <w:r w:rsidR="002A00FF">
        <w:rPr>
          <w:rFonts w:cs="Times New Roman"/>
          <w:szCs w:val="24"/>
        </w:rPr>
        <w:t>at least</w:t>
      </w:r>
      <w:r w:rsidR="00C77D8C">
        <w:rPr>
          <w:rFonts w:cs="Times New Roman"/>
          <w:szCs w:val="24"/>
        </w:rPr>
        <w:t xml:space="preserve"> </w:t>
      </w:r>
      <w:r w:rsidRPr="005777F1" w:rsidR="00C47014">
        <w:rPr>
          <w:rFonts w:cs="Times New Roman"/>
          <w:szCs w:val="24"/>
        </w:rPr>
        <w:t xml:space="preserve">85 percent of the surveys will be completed electronically (online), and that </w:t>
      </w:r>
      <w:r w:rsidR="002A00FF">
        <w:rPr>
          <w:rFonts w:cs="Times New Roman"/>
          <w:szCs w:val="24"/>
        </w:rPr>
        <w:t>the remainder of the surveys will</w:t>
      </w:r>
      <w:r w:rsidRPr="005777F1" w:rsidR="00C47014">
        <w:rPr>
          <w:rFonts w:cs="Times New Roman"/>
          <w:szCs w:val="24"/>
        </w:rPr>
        <w:t xml:space="preserve"> be completed via a paper survey returned via regular mail.</w:t>
      </w:r>
    </w:p>
    <w:p w:rsidR="00487664" w:rsidP="00866119" w:rsidRDefault="00C77D8C" w14:paraId="2E19BC98" w14:textId="334B0323">
      <w:pPr>
        <w:rPr>
          <w:rFonts w:cs="Times New Roman"/>
          <w:szCs w:val="24"/>
        </w:rPr>
      </w:pPr>
      <w:r w:rsidRPr="00231C57">
        <w:rPr>
          <w:rFonts w:cs="Times New Roman"/>
          <w:szCs w:val="24"/>
        </w:rPr>
        <w:lastRenderedPageBreak/>
        <w:t xml:space="preserve">The results of the </w:t>
      </w:r>
      <w:r w:rsidRPr="001B0657">
        <w:rPr>
          <w:rFonts w:cs="Times New Roman"/>
          <w:szCs w:val="24"/>
          <w:u w:val="single"/>
        </w:rPr>
        <w:t>Mariner Survey Pre-Test</w:t>
      </w:r>
      <w:r w:rsidRPr="00231C57">
        <w:rPr>
          <w:rFonts w:cs="Times New Roman"/>
          <w:szCs w:val="24"/>
        </w:rPr>
        <w:t xml:space="preserve"> will not be made available to the public</w:t>
      </w:r>
      <w:r w:rsidR="00B25C60">
        <w:rPr>
          <w:rFonts w:cs="Times New Roman"/>
          <w:szCs w:val="24"/>
        </w:rPr>
        <w:t xml:space="preserve">. </w:t>
      </w:r>
      <w:r w:rsidRPr="00231C57">
        <w:rPr>
          <w:rFonts w:cs="Times New Roman"/>
          <w:szCs w:val="24"/>
        </w:rPr>
        <w:t>The purpose of this data collection effort is to</w:t>
      </w:r>
      <w:r w:rsidR="00231C57">
        <w:rPr>
          <w:rFonts w:cs="Times New Roman"/>
          <w:szCs w:val="24"/>
        </w:rPr>
        <w:t xml:space="preserve"> validate</w:t>
      </w:r>
      <w:r w:rsidRPr="005777F1" w:rsidR="00231C57">
        <w:rPr>
          <w:rFonts w:cs="Times New Roman"/>
          <w:szCs w:val="24"/>
        </w:rPr>
        <w:t xml:space="preserve"> and improve the design </w:t>
      </w:r>
      <w:r w:rsidR="00231C57">
        <w:rPr>
          <w:rFonts w:cs="Times New Roman"/>
          <w:szCs w:val="24"/>
        </w:rPr>
        <w:t xml:space="preserve">of the questionnaire and other survey components </w:t>
      </w:r>
      <w:r w:rsidRPr="005777F1" w:rsidR="00231C57">
        <w:rPr>
          <w:rFonts w:cs="Times New Roman"/>
          <w:szCs w:val="24"/>
        </w:rPr>
        <w:t xml:space="preserve">for </w:t>
      </w:r>
      <w:r w:rsidR="00231C57">
        <w:rPr>
          <w:rFonts w:cs="Times New Roman"/>
          <w:szCs w:val="24"/>
        </w:rPr>
        <w:t>a subsequent full Mariner Survey.</w:t>
      </w:r>
    </w:p>
    <w:p w:rsidRPr="005777F1" w:rsidR="00C77D8C" w:rsidP="00866119" w:rsidRDefault="00C77D8C" w14:paraId="133B6714" w14:textId="77777777">
      <w:pPr>
        <w:rPr>
          <w:rFonts w:cs="Times New Roman"/>
          <w:szCs w:val="24"/>
        </w:rPr>
      </w:pPr>
    </w:p>
    <w:p w:rsidRPr="005777F1" w:rsidR="005072A6" w:rsidP="002F2BF4" w:rsidRDefault="007626DD" w14:paraId="7ED0B517" w14:textId="4D80F984">
      <w:pPr>
        <w:pStyle w:val="Heading3"/>
      </w:pPr>
      <w:bookmarkStart w:name="_Toc90302113" w:id="16"/>
      <w:r w:rsidRPr="005777F1">
        <w:t xml:space="preserve">A.4 </w:t>
      </w:r>
      <w:r w:rsidRPr="005777F1" w:rsidR="005072A6">
        <w:t xml:space="preserve">Efforts to </w:t>
      </w:r>
      <w:r w:rsidRPr="005777F1" w:rsidR="00CD3939">
        <w:t>I</w:t>
      </w:r>
      <w:r w:rsidRPr="005777F1" w:rsidR="005072A6">
        <w:t xml:space="preserve">dentify </w:t>
      </w:r>
      <w:r w:rsidRPr="005777F1" w:rsidR="00CD3939">
        <w:t>D</w:t>
      </w:r>
      <w:r w:rsidRPr="005777F1" w:rsidR="005072A6">
        <w:t>uplication</w:t>
      </w:r>
      <w:bookmarkEnd w:id="16"/>
      <w:r w:rsidRPr="005777F1" w:rsidR="005072A6">
        <w:t xml:space="preserve"> </w:t>
      </w:r>
    </w:p>
    <w:p w:rsidRPr="005777F1" w:rsidR="00A95457" w:rsidP="00A95457" w:rsidRDefault="00A95457" w14:paraId="4FA2F702" w14:textId="77777777">
      <w:r w:rsidRPr="005777F1">
        <w:rPr>
          <w:rFonts w:cs="Times New Roman"/>
          <w:szCs w:val="24"/>
        </w:rPr>
        <w:t>This data collection is not duplicative of other information collection efforts by any other organization.</w:t>
      </w:r>
    </w:p>
    <w:p w:rsidRPr="005777F1" w:rsidR="00A95457" w:rsidP="00A95457" w:rsidRDefault="00A95457" w14:paraId="39EAD727" w14:textId="12074C20">
      <w:pPr>
        <w:rPr>
          <w:rFonts w:cs="Times New Roman"/>
          <w:szCs w:val="24"/>
        </w:rPr>
      </w:pPr>
      <w:r w:rsidRPr="005777F1">
        <w:rPr>
          <w:rFonts w:cs="Times New Roman"/>
          <w:szCs w:val="24"/>
        </w:rPr>
        <w:t xml:space="preserve">The MMLD system, developed and maintained by the USCG, is the only repository for information on the number and types of Merchant Mariner Credentials issued by the USCG. </w:t>
      </w:r>
      <w:r w:rsidRPr="005777F1">
        <w:rPr>
          <w:rFonts w:cs="Times New Roman"/>
          <w:color w:val="000000" w:themeColor="text1"/>
          <w:szCs w:val="24"/>
        </w:rPr>
        <w:t>The MMLD is efficient at meeting its core function of issuing the credentials; however, it does not have the capability to estimate the number of sealift qualified mariners, their proficiency status, or their availability and willingness to serve at times of National Need. The MWWG Report highlighted these limitations and recommended strongly that MARAD initiate a biennial Mariner Survey to augment their analysis of mariner availability.</w:t>
      </w:r>
    </w:p>
    <w:p w:rsidRPr="005777F1" w:rsidR="00A95457" w:rsidP="00A95457" w:rsidRDefault="00A95457" w14:paraId="014CBB54" w14:textId="2BC4DAD4">
      <w:pPr>
        <w:rPr>
          <w:rFonts w:cs="Times New Roman"/>
          <w:szCs w:val="24"/>
        </w:rPr>
      </w:pPr>
      <w:r w:rsidRPr="005777F1">
        <w:rPr>
          <w:rFonts w:cs="Times New Roman"/>
          <w:szCs w:val="24"/>
        </w:rPr>
        <w:t xml:space="preserve">MARAD collaborated with the Bureau of Transportation Statistics in previously conducted Mariner Surveys administered in 2001 and 2002. Although those surveys gave useful findings at that time, extrapolating them for current analysis in a radically altered geopolitical environment and after a long gap of eighteen years is inappropriate. Even from a simple one-dimensional perspective, a continued decline in the number of U.S.-flag vessels has led to premature </w:t>
      </w:r>
      <w:r w:rsidRPr="005777F1" w:rsidR="0028138E">
        <w:rPr>
          <w:rFonts w:cs="Times New Roman"/>
          <w:szCs w:val="24"/>
        </w:rPr>
        <w:t>retirements and</w:t>
      </w:r>
      <w:r w:rsidRPr="005777F1" w:rsidR="00460DD0">
        <w:rPr>
          <w:rFonts w:cs="Times New Roman"/>
          <w:szCs w:val="24"/>
        </w:rPr>
        <w:t xml:space="preserve"> depleted</w:t>
      </w:r>
      <w:r w:rsidRPr="005777F1">
        <w:rPr>
          <w:rFonts w:cs="Times New Roman"/>
          <w:szCs w:val="24"/>
        </w:rPr>
        <w:t xml:space="preserve"> the number of mariners serving in senior ranks. Furthermore, increased cost of maintaining and upgrading credentials to meet international STCW regulations, escalated twice since 2002 and most recently in January 2017, has further stressed the mariner pool. As a result, the data from these earlier surveys cannot be used to estimate the size or willingness of today’s mariner pool. </w:t>
      </w:r>
    </w:p>
    <w:p w:rsidRPr="005777F1" w:rsidR="00A95457" w:rsidP="00A95457" w:rsidRDefault="00A95457" w14:paraId="77BB35EB" w14:textId="06D24978">
      <w:pPr>
        <w:rPr>
          <w:rFonts w:cs="Times New Roman"/>
          <w:szCs w:val="24"/>
        </w:rPr>
      </w:pPr>
      <w:r w:rsidRPr="005777F1">
        <w:rPr>
          <w:rFonts w:cs="Times New Roman"/>
          <w:szCs w:val="24"/>
        </w:rPr>
        <w:t xml:space="preserve">Furthermore, </w:t>
      </w:r>
      <w:proofErr w:type="gramStart"/>
      <w:r w:rsidRPr="005777F1">
        <w:rPr>
          <w:rFonts w:cs="Times New Roman"/>
          <w:szCs w:val="24"/>
        </w:rPr>
        <w:t>reliable</w:t>
      </w:r>
      <w:proofErr w:type="gramEnd"/>
      <w:r w:rsidRPr="005777F1">
        <w:rPr>
          <w:rFonts w:cs="Times New Roman"/>
          <w:szCs w:val="24"/>
        </w:rPr>
        <w:t xml:space="preserve"> and accurate historic information is not readily available on those who answered past calls for volunteers, which last occurred nearly 30 years ago during Operations Desert Shield and Desert Storm. Revealed preference of mariners from the previous times of National Need cannot be determined due to the nature of record keeping both in government and industry. Specifically, MARAD contacted partners in maritime labor unions and searched internal records for any useful information and had no success. Data on mariner preference</w:t>
      </w:r>
      <w:r w:rsidRPr="005777F1" w:rsidR="00460DD0">
        <w:rPr>
          <w:rFonts w:cs="Times New Roman"/>
          <w:szCs w:val="24"/>
        </w:rPr>
        <w:t>s</w:t>
      </w:r>
      <w:r w:rsidRPr="005777F1">
        <w:rPr>
          <w:rFonts w:cs="Times New Roman"/>
          <w:szCs w:val="24"/>
        </w:rPr>
        <w:t xml:space="preserve"> are not available from maritime labor and industry. It is believed that such records</w:t>
      </w:r>
      <w:r w:rsidRPr="005777F1" w:rsidR="00460DD0">
        <w:rPr>
          <w:rFonts w:cs="Times New Roman"/>
          <w:szCs w:val="24"/>
        </w:rPr>
        <w:t>,</w:t>
      </w:r>
      <w:r w:rsidRPr="005777F1">
        <w:rPr>
          <w:rFonts w:cs="Times New Roman"/>
          <w:szCs w:val="24"/>
        </w:rPr>
        <w:t xml:space="preserve"> historically maintained in hard copy</w:t>
      </w:r>
      <w:r w:rsidRPr="005777F1" w:rsidR="00460DD0">
        <w:rPr>
          <w:rFonts w:cs="Times New Roman"/>
          <w:szCs w:val="24"/>
        </w:rPr>
        <w:t>,</w:t>
      </w:r>
      <w:r w:rsidRPr="005777F1">
        <w:rPr>
          <w:rFonts w:cs="Times New Roman"/>
          <w:szCs w:val="24"/>
        </w:rPr>
        <w:t xml:space="preserve"> did not make the transition to the digital era</w:t>
      </w:r>
      <w:r w:rsidRPr="005777F1" w:rsidR="00935491">
        <w:rPr>
          <w:rFonts w:cs="Times New Roman"/>
          <w:szCs w:val="24"/>
        </w:rPr>
        <w:t>.</w:t>
      </w:r>
      <w:r w:rsidRPr="005777F1">
        <w:rPr>
          <w:rFonts w:cs="Times New Roman"/>
          <w:szCs w:val="24"/>
        </w:rPr>
        <w:t xml:space="preserve"> One could also question the utility of such thirty-year old data in addressing contemporary crewing and operational challenges in contested water operations with near peer competitors who did not even exist </w:t>
      </w:r>
      <w:r w:rsidRPr="005777F1" w:rsidR="00460DD0">
        <w:rPr>
          <w:rFonts w:cs="Times New Roman"/>
          <w:szCs w:val="24"/>
        </w:rPr>
        <w:t>during</w:t>
      </w:r>
      <w:r w:rsidRPr="005777F1">
        <w:rPr>
          <w:rFonts w:cs="Times New Roman"/>
          <w:szCs w:val="24"/>
        </w:rPr>
        <w:t xml:space="preserve"> those years. Analysis of this past data, if recovered after considerable time, effort, and cost</w:t>
      </w:r>
      <w:r w:rsidR="008F5E22">
        <w:rPr>
          <w:rFonts w:cs="Times New Roman"/>
          <w:szCs w:val="24"/>
        </w:rPr>
        <w:t>,</w:t>
      </w:r>
      <w:r w:rsidRPr="005777F1">
        <w:rPr>
          <w:rFonts w:cs="Times New Roman"/>
          <w:szCs w:val="24"/>
        </w:rPr>
        <w:t xml:space="preserve"> would also be of little value due to the substantial change in make-up of the mariner pool. Additionally, internal government record searches revealed no reliable information on mariner preference</w:t>
      </w:r>
      <w:r w:rsidRPr="005777F1" w:rsidR="00460DD0">
        <w:rPr>
          <w:rFonts w:cs="Times New Roman"/>
          <w:szCs w:val="24"/>
        </w:rPr>
        <w:t>s</w:t>
      </w:r>
      <w:r w:rsidRPr="005777F1">
        <w:rPr>
          <w:rFonts w:cs="Times New Roman"/>
          <w:szCs w:val="24"/>
        </w:rPr>
        <w:t xml:space="preserve">. Extensive research of government archives would be required at great expense and time, and as in the case of any information from maritime labor, the information obtained would be of little value. </w:t>
      </w:r>
    </w:p>
    <w:p w:rsidRPr="005777F1" w:rsidR="00A95457" w:rsidP="00A95457" w:rsidRDefault="00A95457" w14:paraId="64105F3F" w14:textId="77777777">
      <w:pPr>
        <w:rPr>
          <w:rFonts w:cs="Times New Roman"/>
          <w:szCs w:val="24"/>
        </w:rPr>
      </w:pPr>
      <w:r w:rsidRPr="005777F1">
        <w:rPr>
          <w:rFonts w:cs="Times New Roman"/>
          <w:szCs w:val="24"/>
        </w:rPr>
        <w:lastRenderedPageBreak/>
        <w:t xml:space="preserve">Even if it was available, the revealed preferences of mariners from the early 1990s are no longer valid, since there have been major changes to mariner credentialing requirements under the International Convention on Standards of Training, Certification and Watchkeeping (STCW) since that time. Without current STCW certification, which requires additional costly training, mariners are not authorized to sail internationally. Because of the training cost and time, mariners who are not in an active sailing status are not likely to obtain and/or maintain international qualifications unless required for current or anticipated employment. What has aggravated this outcome is the decline in number of U.S.-flag ships that would employ sealift-qualified mariners, which would have incentivized them to keep their USCG credentials current. </w:t>
      </w:r>
    </w:p>
    <w:p w:rsidRPr="005777F1" w:rsidR="00866119" w:rsidP="005072A6" w:rsidRDefault="00AD6AD5" w14:paraId="7A50B21E" w14:textId="5C2E72B4">
      <w:pPr>
        <w:rPr>
          <w:rFonts w:cs="Times New Roman"/>
          <w:szCs w:val="24"/>
        </w:rPr>
      </w:pPr>
      <w:r w:rsidRPr="005777F1">
        <w:rPr>
          <w:rFonts w:cs="Times New Roman"/>
          <w:szCs w:val="24"/>
        </w:rPr>
        <w:t xml:space="preserve">More detailed information can be found in </w:t>
      </w:r>
      <w:r w:rsidRPr="00C77D8C">
        <w:rPr>
          <w:rFonts w:cs="Times New Roman"/>
          <w:szCs w:val="24"/>
        </w:rPr>
        <w:t>Appendix 1.</w:t>
      </w:r>
      <w:r w:rsidRPr="00C77D8C" w:rsidR="00C77D8C">
        <w:rPr>
          <w:rFonts w:cs="Times New Roman"/>
          <w:szCs w:val="24"/>
        </w:rPr>
        <w:t>e</w:t>
      </w:r>
      <w:r w:rsidRPr="00C77D8C">
        <w:rPr>
          <w:rFonts w:cs="Times New Roman"/>
          <w:szCs w:val="24"/>
        </w:rPr>
        <w:t xml:space="preserve">, </w:t>
      </w:r>
      <w:bookmarkStart w:name="_Hlk36045697" w:id="17"/>
      <w:r w:rsidRPr="00C77D8C">
        <w:rPr>
          <w:rFonts w:cs="Times New Roman"/>
          <w:szCs w:val="24"/>
          <w:u w:val="single"/>
        </w:rPr>
        <w:t>Summary of Available Historical Revealed Data from Past Major Mariner Mobilizations</w:t>
      </w:r>
      <w:r w:rsidRPr="00C77D8C">
        <w:rPr>
          <w:rFonts w:cs="Times New Roman"/>
          <w:szCs w:val="24"/>
        </w:rPr>
        <w:t>.</w:t>
      </w:r>
      <w:bookmarkEnd w:id="17"/>
    </w:p>
    <w:p w:rsidRPr="005777F1" w:rsidR="00935491" w:rsidP="00BF2D71" w:rsidRDefault="00935491" w14:paraId="7D655658" w14:textId="77777777"/>
    <w:p w:rsidRPr="005777F1" w:rsidR="005072A6" w:rsidP="002F2BF4" w:rsidRDefault="007626DD" w14:paraId="459DAE36" w14:textId="7EA790A7">
      <w:pPr>
        <w:pStyle w:val="Heading3"/>
      </w:pPr>
      <w:bookmarkStart w:name="_Toc90302114" w:id="18"/>
      <w:r w:rsidRPr="005777F1">
        <w:t xml:space="preserve">A.5 </w:t>
      </w:r>
      <w:r w:rsidRPr="005777F1" w:rsidR="00D62D00">
        <w:t>Minimizing Burden for Small Entities</w:t>
      </w:r>
      <w:bookmarkEnd w:id="18"/>
    </w:p>
    <w:p w:rsidRPr="005777F1" w:rsidR="005072A6" w:rsidP="005072A6" w:rsidRDefault="005072A6" w14:paraId="4D313624" w14:textId="77777777">
      <w:pPr>
        <w:rPr>
          <w:rFonts w:cs="Times New Roman"/>
          <w:szCs w:val="24"/>
        </w:rPr>
      </w:pPr>
      <w:r w:rsidRPr="005777F1">
        <w:rPr>
          <w:rFonts w:cs="Times New Roman"/>
          <w:szCs w:val="24"/>
        </w:rPr>
        <w:t xml:space="preserve">This survey will not have a significant impact on small businesses or other small entities. </w:t>
      </w:r>
    </w:p>
    <w:p w:rsidRPr="005777F1" w:rsidR="005072A6" w:rsidP="005072A6" w:rsidRDefault="005072A6" w14:paraId="21F8211C" w14:textId="77777777">
      <w:pPr>
        <w:rPr>
          <w:rFonts w:cs="Times New Roman"/>
          <w:szCs w:val="24"/>
        </w:rPr>
      </w:pPr>
    </w:p>
    <w:p w:rsidRPr="005777F1" w:rsidR="005072A6" w:rsidP="002F2BF4" w:rsidRDefault="007626DD" w14:paraId="218A2139" w14:textId="1AB1AE13">
      <w:pPr>
        <w:pStyle w:val="Heading3"/>
      </w:pPr>
      <w:bookmarkStart w:name="_Toc90302115" w:id="19"/>
      <w:r w:rsidRPr="005777F1">
        <w:t xml:space="preserve">A.6 </w:t>
      </w:r>
      <w:r w:rsidRPr="005777F1" w:rsidR="00D62D00">
        <w:t>Frequency of Data Collection</w:t>
      </w:r>
      <w:bookmarkEnd w:id="19"/>
      <w:r w:rsidRPr="005777F1" w:rsidR="00D62D00">
        <w:t xml:space="preserve"> </w:t>
      </w:r>
    </w:p>
    <w:p w:rsidR="00DC32C6" w:rsidP="00935491" w:rsidRDefault="00DC32C6" w14:paraId="40AAABCE" w14:textId="52DFBD2F">
      <w:pPr>
        <w:rPr>
          <w:rFonts w:cs="Times New Roman"/>
          <w:szCs w:val="24"/>
        </w:rPr>
      </w:pPr>
      <w:r>
        <w:rPr>
          <w:rFonts w:cs="Times New Roman"/>
          <w:szCs w:val="24"/>
        </w:rPr>
        <w:t>The</w:t>
      </w:r>
      <w:r w:rsidR="009F1F62">
        <w:rPr>
          <w:rFonts w:cs="Times New Roman"/>
          <w:szCs w:val="24"/>
        </w:rPr>
        <w:t xml:space="preserve"> </w:t>
      </w:r>
      <w:r w:rsidRPr="00D51D7B">
        <w:rPr>
          <w:rFonts w:cs="Times New Roman"/>
          <w:szCs w:val="24"/>
          <w:u w:val="single"/>
        </w:rPr>
        <w:t>Mariner Survey Pre-Test</w:t>
      </w:r>
      <w:r>
        <w:rPr>
          <w:rFonts w:cs="Times New Roman"/>
          <w:szCs w:val="24"/>
        </w:rPr>
        <w:t xml:space="preserve"> will only be conducted once.</w:t>
      </w:r>
      <w:r w:rsidR="009F1F62">
        <w:rPr>
          <w:rFonts w:cs="Times New Roman"/>
          <w:szCs w:val="24"/>
        </w:rPr>
        <w:t xml:space="preserve"> </w:t>
      </w:r>
      <w:r>
        <w:rPr>
          <w:rFonts w:cs="Times New Roman"/>
          <w:szCs w:val="24"/>
        </w:rPr>
        <w:t>This request is for a one-time information collection.</w:t>
      </w:r>
    </w:p>
    <w:p w:rsidRPr="005777F1" w:rsidR="00935491" w:rsidP="00935491" w:rsidRDefault="00DF5454" w14:paraId="3BF31506" w14:textId="345C4731">
      <w:pPr>
        <w:rPr>
          <w:rFonts w:cs="Times New Roman"/>
          <w:szCs w:val="24"/>
        </w:rPr>
      </w:pPr>
      <w:r>
        <w:rPr>
          <w:rFonts w:cs="Times New Roman"/>
          <w:szCs w:val="24"/>
        </w:rPr>
        <w:t xml:space="preserve">Upon completion of the </w:t>
      </w:r>
      <w:r w:rsidRPr="001B0657">
        <w:rPr>
          <w:rFonts w:cs="Times New Roman"/>
          <w:szCs w:val="24"/>
          <w:u w:val="single"/>
        </w:rPr>
        <w:t>Mariner Survey Pre-Test</w:t>
      </w:r>
      <w:r>
        <w:rPr>
          <w:rFonts w:cs="Times New Roman"/>
          <w:szCs w:val="24"/>
        </w:rPr>
        <w:t>,</w:t>
      </w:r>
      <w:r w:rsidR="009F1F62">
        <w:rPr>
          <w:rFonts w:cs="Times New Roman"/>
          <w:szCs w:val="24"/>
        </w:rPr>
        <w:t xml:space="preserve"> </w:t>
      </w:r>
      <w:r>
        <w:rPr>
          <w:rFonts w:cs="Times New Roman"/>
          <w:szCs w:val="24"/>
        </w:rPr>
        <w:t>MARAD will submit a separate request for the follow-on</w:t>
      </w:r>
      <w:r w:rsidR="009F1F62">
        <w:rPr>
          <w:rFonts w:cs="Times New Roman"/>
          <w:szCs w:val="24"/>
        </w:rPr>
        <w:t xml:space="preserve"> </w:t>
      </w:r>
      <w:r>
        <w:rPr>
          <w:rFonts w:cs="Times New Roman"/>
          <w:szCs w:val="24"/>
        </w:rPr>
        <w:t xml:space="preserve">biennial Mariner Survey. </w:t>
      </w:r>
      <w:r w:rsidRPr="005777F1" w:rsidR="00935491">
        <w:rPr>
          <w:rFonts w:cs="Times New Roman"/>
          <w:szCs w:val="24"/>
        </w:rPr>
        <w:t xml:space="preserve">If the </w:t>
      </w:r>
      <w:r w:rsidRPr="00F71569" w:rsidR="00935491">
        <w:rPr>
          <w:rFonts w:cs="Times New Roman"/>
          <w:szCs w:val="24"/>
        </w:rPr>
        <w:t>Mariner Survey</w:t>
      </w:r>
      <w:r w:rsidRPr="005777F1" w:rsidR="00935491">
        <w:rPr>
          <w:rFonts w:cs="Times New Roman"/>
          <w:szCs w:val="24"/>
        </w:rPr>
        <w:t xml:space="preserve"> is not conducted, MARAD will not be able to estimate the number of qualified mariners available and willing to serve on short notice </w:t>
      </w:r>
      <w:r w:rsidR="002740A4">
        <w:rPr>
          <w:rFonts w:cs="Times New Roman"/>
          <w:szCs w:val="24"/>
        </w:rPr>
        <w:t xml:space="preserve">in the event of a war, armed conflict, or national emergency (i.e., “National Need”). </w:t>
      </w:r>
      <w:r w:rsidRPr="005777F1" w:rsidR="00935491">
        <w:rPr>
          <w:rFonts w:cs="Times New Roman"/>
          <w:szCs w:val="24"/>
        </w:rPr>
        <w:t xml:space="preserve">As a result, MARAD’s ability to meet its national security mission will remain unknown. </w:t>
      </w:r>
    </w:p>
    <w:p w:rsidRPr="005777F1" w:rsidR="00935491" w:rsidP="00935491" w:rsidRDefault="00935491" w14:paraId="777A6C8E" w14:textId="6F2F458B">
      <w:pPr>
        <w:rPr>
          <w:rFonts w:cs="Times New Roman"/>
          <w:szCs w:val="24"/>
        </w:rPr>
      </w:pPr>
      <w:r w:rsidRPr="005777F1">
        <w:rPr>
          <w:rFonts w:cs="Times New Roman"/>
          <w:szCs w:val="24"/>
        </w:rPr>
        <w:t xml:space="preserve">The pool of qualified and willing mariners is dynamic. Mariners leave this pool in various ways, including by allowing credentials and endorsements to expire, retiring, becoming incapacitated, dying, or becoming unwilling to sail during a National Need. Mariners enter this pool when they become qualified </w:t>
      </w:r>
      <w:r w:rsidR="008B494C">
        <w:rPr>
          <w:rFonts w:cs="Times New Roman"/>
          <w:szCs w:val="24"/>
        </w:rPr>
        <w:t xml:space="preserve">and </w:t>
      </w:r>
      <w:r w:rsidRPr="005777F1">
        <w:rPr>
          <w:rFonts w:cs="Times New Roman"/>
          <w:szCs w:val="24"/>
        </w:rPr>
        <w:t xml:space="preserve">become willing to crew a U.S. vessel during surge operations. The </w:t>
      </w:r>
      <w:r w:rsidR="00DF5454">
        <w:rPr>
          <w:rFonts w:cs="Times New Roman"/>
          <w:szCs w:val="24"/>
        </w:rPr>
        <w:t>subsequent</w:t>
      </w:r>
      <w:r w:rsidRPr="005777F1" w:rsidR="00DF5454">
        <w:rPr>
          <w:rFonts w:cs="Times New Roman"/>
          <w:szCs w:val="24"/>
        </w:rPr>
        <w:t xml:space="preserve"> </w:t>
      </w:r>
      <w:r w:rsidRPr="005777F1">
        <w:rPr>
          <w:rFonts w:cs="Times New Roman"/>
          <w:szCs w:val="24"/>
        </w:rPr>
        <w:t xml:space="preserve">mariner survey with biennial periodicity will help MARAD build a time series database over the years to respond to questions </w:t>
      </w:r>
      <w:r w:rsidRPr="005777F1" w:rsidR="006E4E5E">
        <w:rPr>
          <w:rFonts w:cs="Times New Roman"/>
          <w:szCs w:val="24"/>
        </w:rPr>
        <w:t xml:space="preserve">related </w:t>
      </w:r>
      <w:r w:rsidRPr="005777F1">
        <w:rPr>
          <w:rFonts w:cs="Times New Roman"/>
          <w:szCs w:val="24"/>
        </w:rPr>
        <w:t>to trends in the number of sealift qualified mariners, and their availability and willingness to serve at times of National Need.</w:t>
      </w:r>
      <w:r w:rsidR="009F1F62">
        <w:rPr>
          <w:rFonts w:cs="Times New Roman"/>
          <w:szCs w:val="24"/>
        </w:rPr>
        <w:t xml:space="preserve"> </w:t>
      </w:r>
      <w:r w:rsidRPr="005777F1">
        <w:rPr>
          <w:rFonts w:cs="Times New Roman"/>
          <w:szCs w:val="24"/>
        </w:rPr>
        <w:t>This is essential for MARAD to execute its national security mission.</w:t>
      </w:r>
    </w:p>
    <w:p w:rsidRPr="005777F1" w:rsidR="00651DE5" w:rsidP="005072A6" w:rsidRDefault="00651DE5" w14:paraId="7351BBFD" w14:textId="77777777">
      <w:pPr>
        <w:rPr>
          <w:rFonts w:cs="Times New Roman"/>
          <w:szCs w:val="24"/>
        </w:rPr>
      </w:pPr>
    </w:p>
    <w:p w:rsidRPr="005777F1" w:rsidR="004442D9" w:rsidP="002F2BF4" w:rsidRDefault="007626DD" w14:paraId="50D28AA6" w14:textId="3C81940F">
      <w:pPr>
        <w:pStyle w:val="Heading3"/>
      </w:pPr>
      <w:bookmarkStart w:name="_Toc90302116" w:id="20"/>
      <w:r w:rsidRPr="005777F1">
        <w:t xml:space="preserve">A.7 </w:t>
      </w:r>
      <w:r w:rsidRPr="005777F1" w:rsidR="004442D9">
        <w:t xml:space="preserve">Special </w:t>
      </w:r>
      <w:r w:rsidRPr="005777F1" w:rsidR="00571873">
        <w:t>C</w:t>
      </w:r>
      <w:r w:rsidRPr="005777F1" w:rsidR="004442D9">
        <w:t>ircumstances</w:t>
      </w:r>
      <w:bookmarkEnd w:id="20"/>
    </w:p>
    <w:p w:rsidRPr="005777F1" w:rsidR="004442D9" w:rsidP="004442D9" w:rsidRDefault="004442D9" w14:paraId="381DE7AF" w14:textId="4E9CB9AA">
      <w:pPr>
        <w:rPr>
          <w:rFonts w:cs="Times New Roman"/>
          <w:szCs w:val="24"/>
        </w:rPr>
      </w:pPr>
      <w:r w:rsidRPr="005777F1">
        <w:rPr>
          <w:rFonts w:cs="Times New Roman"/>
          <w:szCs w:val="24"/>
        </w:rPr>
        <w:t xml:space="preserve">No special circumstances exist in the information collection plan for the </w:t>
      </w:r>
      <w:r w:rsidRPr="005777F1">
        <w:rPr>
          <w:rFonts w:cs="Times New Roman"/>
          <w:szCs w:val="24"/>
          <w:u w:val="single"/>
        </w:rPr>
        <w:t xml:space="preserve">Mariner </w:t>
      </w:r>
      <w:r w:rsidRPr="005777F1" w:rsidR="004D5084">
        <w:rPr>
          <w:rFonts w:cs="Times New Roman"/>
          <w:szCs w:val="24"/>
          <w:u w:val="single"/>
        </w:rPr>
        <w:t>Survey</w:t>
      </w:r>
      <w:r w:rsidR="00DF5454">
        <w:rPr>
          <w:rFonts w:cs="Times New Roman"/>
          <w:szCs w:val="24"/>
          <w:u w:val="single"/>
        </w:rPr>
        <w:t xml:space="preserve"> Pre-Test</w:t>
      </w:r>
      <w:r w:rsidRPr="005777F1">
        <w:rPr>
          <w:rFonts w:cs="Times New Roman"/>
          <w:szCs w:val="24"/>
        </w:rPr>
        <w:t xml:space="preserve"> that would require unique or unusual manners of data collection. None of the special circumstances identified in the </w:t>
      </w:r>
      <w:r w:rsidRPr="005777F1" w:rsidR="000A5132">
        <w:rPr>
          <w:rFonts w:cs="Times New Roman"/>
          <w:szCs w:val="24"/>
        </w:rPr>
        <w:t>Paperwork Reduction Act Guide</w:t>
      </w:r>
      <w:r w:rsidRPr="005777F1">
        <w:rPr>
          <w:rFonts w:cs="Times New Roman"/>
          <w:szCs w:val="24"/>
        </w:rPr>
        <w:t xml:space="preserve"> apply to the </w:t>
      </w:r>
      <w:r w:rsidRPr="005777F1">
        <w:rPr>
          <w:rFonts w:cs="Times New Roman"/>
          <w:szCs w:val="24"/>
          <w:u w:val="single"/>
        </w:rPr>
        <w:t xml:space="preserve">Mariner </w:t>
      </w:r>
      <w:r w:rsidRPr="005777F1" w:rsidR="004D5084">
        <w:rPr>
          <w:rFonts w:cs="Times New Roman"/>
          <w:szCs w:val="24"/>
          <w:u w:val="single"/>
        </w:rPr>
        <w:t>Survey</w:t>
      </w:r>
      <w:r w:rsidR="00DF5454">
        <w:rPr>
          <w:rFonts w:cs="Times New Roman"/>
          <w:szCs w:val="24"/>
          <w:u w:val="single"/>
        </w:rPr>
        <w:t xml:space="preserve"> Pre-Test</w:t>
      </w:r>
      <w:r w:rsidRPr="005777F1">
        <w:rPr>
          <w:rFonts w:cs="Times New Roman"/>
          <w:szCs w:val="24"/>
        </w:rPr>
        <w:t xml:space="preserve">. </w:t>
      </w:r>
    </w:p>
    <w:p w:rsidRPr="005777F1" w:rsidR="005072A6" w:rsidP="005072A6" w:rsidRDefault="005072A6" w14:paraId="6E4A8267" w14:textId="6E4DF532">
      <w:pPr>
        <w:rPr>
          <w:rFonts w:cs="Times New Roman"/>
          <w:szCs w:val="24"/>
        </w:rPr>
      </w:pPr>
    </w:p>
    <w:p w:rsidRPr="005777F1" w:rsidR="00C904A2" w:rsidP="002F2BF4" w:rsidRDefault="007626DD" w14:paraId="77614CF1" w14:textId="6AD1B88D">
      <w:pPr>
        <w:pStyle w:val="Heading3"/>
      </w:pPr>
      <w:bookmarkStart w:name="_Toc90302117" w:id="21"/>
      <w:r w:rsidRPr="005777F1">
        <w:t xml:space="preserve">A.8 </w:t>
      </w:r>
      <w:r w:rsidRPr="005777F1" w:rsidR="004442D9">
        <w:t xml:space="preserve">Compliance </w:t>
      </w:r>
      <w:r w:rsidRPr="005777F1" w:rsidR="00C904A2">
        <w:t>with 5 CFR 1320.8</w:t>
      </w:r>
      <w:bookmarkEnd w:id="21"/>
    </w:p>
    <w:p w:rsidRPr="00826E35" w:rsidR="00841E1C" w:rsidP="00C3713B" w:rsidRDefault="00C904A2" w14:paraId="75FBC1FF" w14:textId="5A98AE75">
      <w:pPr>
        <w:rPr>
          <w:szCs w:val="24"/>
        </w:rPr>
      </w:pPr>
      <w:r w:rsidRPr="005777F1">
        <w:rPr>
          <w:szCs w:val="24"/>
        </w:rPr>
        <w:t>MARAD published a 60-day notice and request for comments on this information collection in the Federal Register</w:t>
      </w:r>
      <w:r w:rsidRPr="00826E35">
        <w:rPr>
          <w:szCs w:val="24"/>
        </w:rPr>
        <w:t xml:space="preserve"> on </w:t>
      </w:r>
      <w:r w:rsidRPr="00826E35" w:rsidR="008B494C">
        <w:rPr>
          <w:szCs w:val="24"/>
        </w:rPr>
        <w:t>September 14</w:t>
      </w:r>
      <w:r w:rsidRPr="00826E35" w:rsidR="00640EFB">
        <w:rPr>
          <w:szCs w:val="24"/>
        </w:rPr>
        <w:t xml:space="preserve">, </w:t>
      </w:r>
      <w:r w:rsidRPr="00826E35" w:rsidR="00DF5454">
        <w:rPr>
          <w:szCs w:val="24"/>
        </w:rPr>
        <w:t xml:space="preserve">2021 </w:t>
      </w:r>
      <w:r w:rsidRPr="00826E35">
        <w:rPr>
          <w:szCs w:val="24"/>
        </w:rPr>
        <w:t>(</w:t>
      </w:r>
      <w:r w:rsidRPr="00826E35" w:rsidR="008B494C">
        <w:rPr>
          <w:szCs w:val="24"/>
        </w:rPr>
        <w:t xml:space="preserve">86 </w:t>
      </w:r>
      <w:r w:rsidRPr="00826E35">
        <w:rPr>
          <w:szCs w:val="24"/>
        </w:rPr>
        <w:t xml:space="preserve">FR </w:t>
      </w:r>
      <w:r w:rsidRPr="00826E35" w:rsidR="008B494C">
        <w:rPr>
          <w:szCs w:val="24"/>
        </w:rPr>
        <w:t>51224</w:t>
      </w:r>
      <w:r w:rsidRPr="00826E35">
        <w:rPr>
          <w:szCs w:val="24"/>
        </w:rPr>
        <w:t xml:space="preserve">), indicating comments should be submitted on or before </w:t>
      </w:r>
      <w:r w:rsidRPr="00826E35" w:rsidR="008B494C">
        <w:rPr>
          <w:szCs w:val="24"/>
        </w:rPr>
        <w:t>November 15</w:t>
      </w:r>
      <w:r w:rsidRPr="00826E35" w:rsidR="00DF5454">
        <w:rPr>
          <w:szCs w:val="24"/>
        </w:rPr>
        <w:t>, 2021</w:t>
      </w:r>
      <w:r w:rsidRPr="00826E35" w:rsidR="009526F8">
        <w:rPr>
          <w:szCs w:val="24"/>
        </w:rPr>
        <w:t xml:space="preserve"> to MARAD on the docket</w:t>
      </w:r>
      <w:r w:rsidRPr="00826E35">
        <w:rPr>
          <w:szCs w:val="24"/>
        </w:rPr>
        <w:t xml:space="preserve">. </w:t>
      </w:r>
      <w:r w:rsidRPr="00826E35" w:rsidR="00841E1C">
        <w:rPr>
          <w:szCs w:val="24"/>
        </w:rPr>
        <w:t>MARAD received no comments related to the cost and burden of the proposed information collection.</w:t>
      </w:r>
    </w:p>
    <w:p w:rsidRPr="00826E35" w:rsidR="009526F8" w:rsidP="00C3713B" w:rsidRDefault="00BA64E4" w14:paraId="0F01BEE8" w14:textId="03093333">
      <w:pPr>
        <w:rPr>
          <w:szCs w:val="24"/>
        </w:rPr>
      </w:pPr>
      <w:r w:rsidRPr="00826E35">
        <w:rPr>
          <w:szCs w:val="24"/>
        </w:rPr>
        <w:t xml:space="preserve">In addition, </w:t>
      </w:r>
      <w:r w:rsidRPr="00826E35" w:rsidR="001C7268">
        <w:rPr>
          <w:szCs w:val="24"/>
        </w:rPr>
        <w:t xml:space="preserve">a 30-day notice was </w:t>
      </w:r>
      <w:r w:rsidRPr="00826E35">
        <w:rPr>
          <w:szCs w:val="24"/>
        </w:rPr>
        <w:t xml:space="preserve">published </w:t>
      </w:r>
      <w:r w:rsidRPr="00826E35" w:rsidR="001C7268">
        <w:rPr>
          <w:szCs w:val="24"/>
        </w:rPr>
        <w:t xml:space="preserve">in the Federal Register on </w:t>
      </w:r>
      <w:r w:rsidR="00826E35">
        <w:rPr>
          <w:szCs w:val="24"/>
        </w:rPr>
        <w:t>January</w:t>
      </w:r>
      <w:r w:rsidRPr="00826E35" w:rsidR="003F6B98">
        <w:rPr>
          <w:szCs w:val="24"/>
        </w:rPr>
        <w:t xml:space="preserve"> </w:t>
      </w:r>
      <w:r w:rsidR="00826E35">
        <w:rPr>
          <w:szCs w:val="24"/>
        </w:rPr>
        <w:t>26</w:t>
      </w:r>
      <w:r w:rsidRPr="00826E35" w:rsidR="00DF5454">
        <w:rPr>
          <w:szCs w:val="24"/>
        </w:rPr>
        <w:t>, 202</w:t>
      </w:r>
      <w:r w:rsidR="00826E35">
        <w:rPr>
          <w:szCs w:val="24"/>
        </w:rPr>
        <w:t>2</w:t>
      </w:r>
      <w:r w:rsidRPr="00826E35" w:rsidR="0088102D">
        <w:rPr>
          <w:szCs w:val="24"/>
        </w:rPr>
        <w:t xml:space="preserve"> (</w:t>
      </w:r>
      <w:r w:rsidR="00826E35">
        <w:rPr>
          <w:szCs w:val="24"/>
        </w:rPr>
        <w:t>Vol. 87</w:t>
      </w:r>
      <w:r w:rsidRPr="00826E35" w:rsidR="00DF5454">
        <w:rPr>
          <w:szCs w:val="24"/>
        </w:rPr>
        <w:t xml:space="preserve"> </w:t>
      </w:r>
      <w:r w:rsidRPr="00826E35" w:rsidR="0088102D">
        <w:rPr>
          <w:szCs w:val="24"/>
        </w:rPr>
        <w:t xml:space="preserve">FR </w:t>
      </w:r>
      <w:r w:rsidR="00826E35">
        <w:rPr>
          <w:szCs w:val="24"/>
        </w:rPr>
        <w:t>4099</w:t>
      </w:r>
      <w:r w:rsidRPr="00826E35" w:rsidR="0088102D">
        <w:rPr>
          <w:szCs w:val="24"/>
        </w:rPr>
        <w:t>)</w:t>
      </w:r>
      <w:r w:rsidRPr="00826E35" w:rsidR="001C7268">
        <w:rPr>
          <w:szCs w:val="24"/>
        </w:rPr>
        <w:t xml:space="preserve"> </w:t>
      </w:r>
      <w:r w:rsidRPr="00826E35" w:rsidR="009526F8">
        <w:rPr>
          <w:szCs w:val="24"/>
        </w:rPr>
        <w:t xml:space="preserve">to invite submittal of public comments on this information collection on or before </w:t>
      </w:r>
      <w:r w:rsidR="00826E35">
        <w:rPr>
          <w:szCs w:val="24"/>
        </w:rPr>
        <w:t>February</w:t>
      </w:r>
      <w:r w:rsidRPr="00826E35" w:rsidR="00DF21C1">
        <w:rPr>
          <w:szCs w:val="24"/>
        </w:rPr>
        <w:t xml:space="preserve"> </w:t>
      </w:r>
      <w:r w:rsidR="00826E35">
        <w:rPr>
          <w:szCs w:val="24"/>
        </w:rPr>
        <w:t>25</w:t>
      </w:r>
      <w:r w:rsidRPr="00826E35" w:rsidR="009526F8">
        <w:rPr>
          <w:szCs w:val="24"/>
        </w:rPr>
        <w:t xml:space="preserve">, </w:t>
      </w:r>
      <w:r w:rsidRPr="00826E35" w:rsidR="00DF21C1">
        <w:rPr>
          <w:szCs w:val="24"/>
        </w:rPr>
        <w:t xml:space="preserve">2022 </w:t>
      </w:r>
      <w:r w:rsidRPr="00826E35" w:rsidR="009526F8">
        <w:rPr>
          <w:szCs w:val="24"/>
        </w:rPr>
        <w:t>to OMB on the docket</w:t>
      </w:r>
      <w:r w:rsidR="00BE0F18">
        <w:rPr>
          <w:szCs w:val="24"/>
        </w:rPr>
        <w:t>.</w:t>
      </w:r>
    </w:p>
    <w:p w:rsidRPr="005777F1" w:rsidR="00D36C28" w:rsidP="005072A6" w:rsidRDefault="009F048D" w14:paraId="4111CE46" w14:textId="0EE55867">
      <w:pPr>
        <w:rPr>
          <w:rFonts w:cs="Times New Roman"/>
          <w:szCs w:val="24"/>
        </w:rPr>
      </w:pPr>
      <w:r w:rsidRPr="005777F1">
        <w:t>Efforts were made to</w:t>
      </w:r>
      <w:r w:rsidRPr="005777F1" w:rsidR="00F37050">
        <w:rPr>
          <w:rFonts w:cs="Times New Roman"/>
          <w:szCs w:val="24"/>
        </w:rPr>
        <w:t xml:space="preserve"> consult with persons outside </w:t>
      </w:r>
      <w:r w:rsidRPr="005777F1">
        <w:rPr>
          <w:rFonts w:cs="Times New Roman"/>
          <w:szCs w:val="24"/>
        </w:rPr>
        <w:t>of MARAD</w:t>
      </w:r>
      <w:r w:rsidRPr="005777F1" w:rsidR="00F37050">
        <w:rPr>
          <w:rFonts w:cs="Times New Roman"/>
          <w:szCs w:val="24"/>
        </w:rPr>
        <w:t xml:space="preserve"> to obtain their views on the availability of data, frequency of collection, the clarity of instructions and record keeping, disclosure, reporting format, and on the data elements to be recorded, disclosed or reported.</w:t>
      </w:r>
      <w:r w:rsidRPr="005777F1">
        <w:rPr>
          <w:rFonts w:cs="Times New Roman"/>
          <w:szCs w:val="24"/>
        </w:rPr>
        <w:t xml:space="preserve"> These efforts were undertaken by MARAD’s contractor, Strategic Research Group (SRG). </w:t>
      </w:r>
      <w:r w:rsidRPr="008D37A7" w:rsidR="008D37A7">
        <w:rPr>
          <w:rFonts w:cs="Times New Roman"/>
          <w:szCs w:val="24"/>
        </w:rPr>
        <w:t xml:space="preserve">MARAD provided SRG with a list of potential stakeholders comprised of individuals from the U.S. Congress; the U.S. Navy; the U.S. Coast Guard; labor representatives; U.S. Merchant Marine Academy and State Academies; Owner Representatives of United States Flag Fleet, Coast wise Trade; Owner Representatives of United States Flag Fleet, International Trade; Subject Matter Experts; MARAD; and other relevant stakeholders identified by MARAD. </w:t>
      </w:r>
      <w:r w:rsidRPr="005777F1">
        <w:rPr>
          <w:rFonts w:cs="Times New Roman"/>
          <w:szCs w:val="24"/>
        </w:rPr>
        <w:t xml:space="preserve">SRG sent out 48 email invitations </w:t>
      </w:r>
      <w:r w:rsidR="008D37A7">
        <w:rPr>
          <w:rFonts w:cs="Times New Roman"/>
          <w:szCs w:val="24"/>
        </w:rPr>
        <w:t>asking</w:t>
      </w:r>
      <w:r w:rsidRPr="005777F1" w:rsidR="008D37A7">
        <w:rPr>
          <w:rFonts w:cs="Times New Roman"/>
          <w:szCs w:val="24"/>
        </w:rPr>
        <w:t xml:space="preserve"> </w:t>
      </w:r>
      <w:r w:rsidR="008D37A7">
        <w:rPr>
          <w:rFonts w:cs="Times New Roman"/>
          <w:szCs w:val="24"/>
        </w:rPr>
        <w:t xml:space="preserve">these </w:t>
      </w:r>
      <w:r w:rsidRPr="005777F1">
        <w:rPr>
          <w:rFonts w:cs="Times New Roman"/>
          <w:szCs w:val="24"/>
        </w:rPr>
        <w:t xml:space="preserve">potential stakeholders if they wished to participate in a telephone discussion and offer feedback regarding the Mariner Survey methodology. Seventeen individuals from 13 agencies responded and participated in the feedback discussions. </w:t>
      </w:r>
    </w:p>
    <w:p w:rsidRPr="005777F1" w:rsidR="0085778E" w:rsidP="005072A6" w:rsidRDefault="009F048D" w14:paraId="03864A41" w14:textId="01C776B2">
      <w:pPr>
        <w:rPr>
          <w:rFonts w:cs="Times New Roman"/>
          <w:szCs w:val="24"/>
        </w:rPr>
      </w:pPr>
      <w:r w:rsidRPr="005777F1">
        <w:rPr>
          <w:rFonts w:cs="Times New Roman"/>
          <w:szCs w:val="24"/>
        </w:rPr>
        <w:t>One common theme that arose during the discussions was which mariners would be eligible to take the survey.</w:t>
      </w:r>
      <w:r w:rsidRPr="005777F1" w:rsidR="0085778E">
        <w:rPr>
          <w:rFonts w:cs="Times New Roman"/>
          <w:szCs w:val="24"/>
        </w:rPr>
        <w:t xml:space="preserve"> Several stakeholders expressed that they thought that there were 200,000 mariners and wondered why only a small number </w:t>
      </w:r>
      <w:r w:rsidRPr="005777F1" w:rsidR="00D36C28">
        <w:rPr>
          <w:rFonts w:cs="Times New Roman"/>
          <w:szCs w:val="24"/>
        </w:rPr>
        <w:t>was</w:t>
      </w:r>
      <w:r w:rsidRPr="005777F1" w:rsidR="0085778E">
        <w:rPr>
          <w:rFonts w:cs="Times New Roman"/>
          <w:szCs w:val="24"/>
        </w:rPr>
        <w:t xml:space="preserve"> being included in the target population. Conversely, several other stakeholders felt that MARAD should streamline the target population to those mariners who are especially needed and those who are most willing. Along similar lines, it was suggested by several stakeholders that the survey effort focus on “upper-level mariners,” especially engineers and engineers of steam vessels, or those most willing to sail, such as those who are retiring or leaving the fleet. </w:t>
      </w:r>
    </w:p>
    <w:p w:rsidRPr="005777F1" w:rsidR="004442D9" w:rsidP="005072A6" w:rsidRDefault="0085778E" w14:paraId="17529159" w14:textId="62B30CA5">
      <w:pPr>
        <w:rPr>
          <w:rFonts w:cs="Times New Roman"/>
          <w:szCs w:val="24"/>
        </w:rPr>
      </w:pPr>
      <w:r w:rsidRPr="005777F1">
        <w:rPr>
          <w:rFonts w:cs="Times New Roman"/>
          <w:szCs w:val="24"/>
        </w:rPr>
        <w:t xml:space="preserve">MARAD drafted a response that </w:t>
      </w:r>
      <w:r w:rsidRPr="005777F1" w:rsidR="001C2597">
        <w:rPr>
          <w:rFonts w:cs="Times New Roman"/>
          <w:szCs w:val="24"/>
        </w:rPr>
        <w:t>was</w:t>
      </w:r>
      <w:r w:rsidRPr="005777F1">
        <w:rPr>
          <w:rFonts w:cs="Times New Roman"/>
          <w:szCs w:val="24"/>
        </w:rPr>
        <w:t xml:space="preserve"> provided to the stakeholders who participated in the feedback discussions, </w:t>
      </w:r>
      <w:proofErr w:type="gramStart"/>
      <w:r w:rsidRPr="005777F1">
        <w:rPr>
          <w:rFonts w:cs="Times New Roman"/>
          <w:szCs w:val="24"/>
        </w:rPr>
        <w:t>in order to</w:t>
      </w:r>
      <w:proofErr w:type="gramEnd"/>
      <w:r w:rsidRPr="005777F1">
        <w:rPr>
          <w:rFonts w:cs="Times New Roman"/>
          <w:szCs w:val="24"/>
        </w:rPr>
        <w:t xml:space="preserve"> clarify the target population and provide a rationale for the target population.</w:t>
      </w:r>
      <w:r w:rsidRPr="005777F1" w:rsidR="00D36C28">
        <w:rPr>
          <w:rFonts w:cs="Times New Roman"/>
          <w:szCs w:val="24"/>
        </w:rPr>
        <w:t xml:space="preserve"> MARAD’s </w:t>
      </w:r>
      <w:r w:rsidR="00112B19">
        <w:rPr>
          <w:rFonts w:cs="Times New Roman"/>
          <w:szCs w:val="24"/>
        </w:rPr>
        <w:t xml:space="preserve">updated </w:t>
      </w:r>
      <w:r w:rsidRPr="005777F1" w:rsidR="00D36C28">
        <w:rPr>
          <w:rFonts w:cs="Times New Roman"/>
          <w:szCs w:val="24"/>
        </w:rPr>
        <w:t>response</w:t>
      </w:r>
      <w:r w:rsidR="00112B19">
        <w:rPr>
          <w:rFonts w:cs="Times New Roman"/>
          <w:szCs w:val="24"/>
        </w:rPr>
        <w:t xml:space="preserve"> to this issue</w:t>
      </w:r>
      <w:r w:rsidRPr="005777F1" w:rsidR="00D36C28">
        <w:rPr>
          <w:rFonts w:cs="Times New Roman"/>
          <w:szCs w:val="24"/>
        </w:rPr>
        <w:t xml:space="preserve"> </w:t>
      </w:r>
      <w:r w:rsidRPr="005777F1" w:rsidR="00BC7F3A">
        <w:rPr>
          <w:rFonts w:cs="Times New Roman"/>
          <w:szCs w:val="24"/>
        </w:rPr>
        <w:t>is</w:t>
      </w:r>
      <w:r w:rsidRPr="005777F1" w:rsidR="00D36C28">
        <w:rPr>
          <w:rFonts w:cs="Times New Roman"/>
          <w:szCs w:val="24"/>
        </w:rPr>
        <w:t xml:space="preserve"> as follows:</w:t>
      </w:r>
    </w:p>
    <w:p w:rsidRPr="005777F1" w:rsidR="0085778E" w:rsidP="00D36C28" w:rsidRDefault="0085778E" w14:paraId="6F3D6AED" w14:textId="36D16CF5">
      <w:pPr>
        <w:ind w:left="360"/>
        <w:rPr>
          <w:rFonts w:cs="Times New Roman"/>
          <w:szCs w:val="24"/>
        </w:rPr>
      </w:pPr>
      <w:r w:rsidRPr="005777F1">
        <w:rPr>
          <w:rFonts w:cs="Times New Roman"/>
          <w:szCs w:val="24"/>
        </w:rPr>
        <w:t xml:space="preserve">All mariners employed aboard United States (U.S.) merchant vessels greater than 100 Gross Register Tons (Domestic Tonnage), except operators of uninspected passenger vessels, are required to have a valid U.S. Coast Guard (USCG) issued Merchant Mariner Credential (MMC). Mariners obtain credentials to perform a very wide range of shipboard duties, from serving as entertainers and bartenders on cruise ships to being the Master or Chief Engineer of a </w:t>
      </w:r>
      <w:r w:rsidRPr="005777F1" w:rsidR="00E72746">
        <w:rPr>
          <w:rFonts w:cs="Times New Roman"/>
          <w:szCs w:val="24"/>
        </w:rPr>
        <w:t xml:space="preserve">globally trading </w:t>
      </w:r>
      <w:r w:rsidRPr="005777F1">
        <w:rPr>
          <w:rFonts w:cs="Times New Roman"/>
          <w:szCs w:val="24"/>
        </w:rPr>
        <w:t xml:space="preserve">supertanker. The USCG Merchant Mariner Licensing and Documentation (MMLD) System contains information on credentials for over 200,000 </w:t>
      </w:r>
      <w:r w:rsidRPr="005777F1">
        <w:rPr>
          <w:rFonts w:cs="Times New Roman"/>
          <w:szCs w:val="24"/>
        </w:rPr>
        <w:lastRenderedPageBreak/>
        <w:t>people; this includes all mariners who possess any USCG-issued credential. The requirements to obtain a credential with specific qualifications are also wide ranging, from “no experience or exams” to complex sea-time requirements and rigorous testing by the USCG. There are additional training and certification requirements for mariners working on internationally trading vessels, issued in compliance with internationally mandated standards. Clearly, not all credentialed mariners are qualified to work on the large oceangoing vessels of the type used for military sealift and large-scale humanitarian aid.</w:t>
      </w:r>
      <w:r w:rsidR="009F1F62">
        <w:rPr>
          <w:rFonts w:cs="Times New Roman"/>
          <w:szCs w:val="24"/>
        </w:rPr>
        <w:t xml:space="preserve"> </w:t>
      </w:r>
      <w:r w:rsidRPr="005777F1">
        <w:rPr>
          <w:rFonts w:cs="Times New Roman"/>
          <w:szCs w:val="24"/>
        </w:rPr>
        <w:t xml:space="preserve"> </w:t>
      </w:r>
    </w:p>
    <w:p w:rsidRPr="005777F1" w:rsidR="00AD6AD5" w:rsidP="00AD6AD5" w:rsidRDefault="0085778E" w14:paraId="451FCA74" w14:textId="09F8FAA6">
      <w:pPr>
        <w:ind w:left="360"/>
        <w:rPr>
          <w:rFonts w:cs="Times New Roman"/>
          <w:szCs w:val="24"/>
        </w:rPr>
      </w:pPr>
      <w:r w:rsidRPr="005777F1">
        <w:rPr>
          <w:rFonts w:cs="Times New Roman"/>
          <w:szCs w:val="24"/>
        </w:rPr>
        <w:t xml:space="preserve">Mariners that are credentialed to only operate specialized or limited size vessels (e.g., a harbor </w:t>
      </w:r>
      <w:r w:rsidRPr="005777F1" w:rsidR="00754591">
        <w:rPr>
          <w:rFonts w:cs="Times New Roman"/>
          <w:szCs w:val="24"/>
        </w:rPr>
        <w:t>tugboat</w:t>
      </w:r>
      <w:r w:rsidRPr="005777F1">
        <w:rPr>
          <w:rFonts w:cs="Times New Roman"/>
          <w:szCs w:val="24"/>
        </w:rPr>
        <w:t xml:space="preserve">) are unlikely to have the training or the competence for the safe and reliable operation of larger oceangoing ships. Therefore, a mariner qualified for crewing the larger oceangoing ships is defined as one who holds a current and valid unlimited tonnage or unlimited horsepower or oceans credential and meets the required international Standards for Training, Certification, and Watchkeeping (STCW); a current and valid Transportation Worker Identification Credential (TWIC); and a current and a valid USCG STCW Medical Certificate. Accordingly, this survey is targeted toward such mariners. MARAD estimates that around </w:t>
      </w:r>
      <w:r w:rsidR="00112B19">
        <w:rPr>
          <w:rFonts w:cs="Times New Roman"/>
          <w:szCs w:val="24"/>
        </w:rPr>
        <w:t>100</w:t>
      </w:r>
      <w:r w:rsidRPr="005777F1">
        <w:rPr>
          <w:rFonts w:cs="Times New Roman"/>
          <w:szCs w:val="24"/>
        </w:rPr>
        <w:t xml:space="preserve">,000 of the 200,000 credentialed mariners meet these basic requirements to some degree. Also, because an MMC is valid for five years after the date of issue, it does not imply that the person is, or has been, employed on a vessel. It is important to reiterate that </w:t>
      </w:r>
      <w:proofErr w:type="gramStart"/>
      <w:r w:rsidRPr="005777F1">
        <w:rPr>
          <w:rFonts w:cs="Times New Roman"/>
          <w:szCs w:val="24"/>
        </w:rPr>
        <w:t>with the exception of</w:t>
      </w:r>
      <w:proofErr w:type="gramEnd"/>
      <w:r w:rsidRPr="005777F1">
        <w:rPr>
          <w:rFonts w:cs="Times New Roman"/>
          <w:szCs w:val="24"/>
        </w:rPr>
        <w:t xml:space="preserve"> those directly employed by the U.S. Navy’s Military Sealift Command, these mariners serve voluntarily; as such, their availability when called upon requires clarification. </w:t>
      </w:r>
      <w:r w:rsidRPr="005777F1" w:rsidR="006E4E5E">
        <w:rPr>
          <w:rFonts w:cs="Times New Roman"/>
          <w:szCs w:val="24"/>
        </w:rPr>
        <w:t>Thus</w:t>
      </w:r>
      <w:r w:rsidRPr="005777F1">
        <w:rPr>
          <w:rFonts w:cs="Times New Roman"/>
          <w:szCs w:val="24"/>
        </w:rPr>
        <w:t>, the Mariner Survey will help determine the supply of willing and available appropriately credentialed U.S. merchant mariners who will serve on board U.S. government-owned sealift ships or commercial ships on short notice during a period of National Need.</w:t>
      </w:r>
      <w:r w:rsidR="009F1F62">
        <w:rPr>
          <w:rFonts w:cs="Times New Roman"/>
          <w:szCs w:val="24"/>
        </w:rPr>
        <w:t xml:space="preserve"> </w:t>
      </w:r>
    </w:p>
    <w:p w:rsidRPr="005777F1" w:rsidR="00AD6AD5" w:rsidP="00AD6AD5" w:rsidRDefault="00AD6AD5" w14:paraId="160FCECB" w14:textId="77777777">
      <w:pPr>
        <w:ind w:left="360"/>
        <w:rPr>
          <w:rFonts w:cs="Times New Roman"/>
          <w:szCs w:val="24"/>
        </w:rPr>
      </w:pPr>
    </w:p>
    <w:p w:rsidRPr="005777F1" w:rsidR="004442D9" w:rsidP="002F2BF4" w:rsidRDefault="007626DD" w14:paraId="3DD7300B" w14:textId="32A027B3">
      <w:pPr>
        <w:pStyle w:val="Heading3"/>
      </w:pPr>
      <w:bookmarkStart w:name="_Toc90302118" w:id="22"/>
      <w:r w:rsidRPr="005777F1">
        <w:t xml:space="preserve">A.9 </w:t>
      </w:r>
      <w:r w:rsidRPr="005777F1" w:rsidR="004442D9">
        <w:t xml:space="preserve">Payments or </w:t>
      </w:r>
      <w:r w:rsidRPr="005777F1" w:rsidR="002F16D3">
        <w:t>G</w:t>
      </w:r>
      <w:r w:rsidRPr="005777F1" w:rsidR="004442D9">
        <w:t xml:space="preserve">ifts to </w:t>
      </w:r>
      <w:r w:rsidRPr="005777F1" w:rsidR="002F16D3">
        <w:t>R</w:t>
      </w:r>
      <w:r w:rsidRPr="005777F1" w:rsidR="004442D9">
        <w:t>espondents</w:t>
      </w:r>
      <w:bookmarkEnd w:id="22"/>
      <w:r w:rsidRPr="005777F1" w:rsidR="004442D9">
        <w:t xml:space="preserve"> </w:t>
      </w:r>
    </w:p>
    <w:p w:rsidR="002F16D3" w:rsidP="002F16D3" w:rsidRDefault="007946FE" w14:paraId="60B2645B" w14:textId="55C4502F">
      <w:pPr>
        <w:rPr>
          <w:rFonts w:cs="Times New Roman"/>
          <w:szCs w:val="24"/>
        </w:rPr>
      </w:pPr>
      <w:r w:rsidRPr="005777F1">
        <w:rPr>
          <w:rFonts w:cs="Times New Roman"/>
          <w:szCs w:val="24"/>
        </w:rPr>
        <w:t xml:space="preserve">As part of the </w:t>
      </w:r>
      <w:r w:rsidRPr="00E92959" w:rsidR="00E92959">
        <w:rPr>
          <w:rFonts w:cs="Times New Roman"/>
          <w:szCs w:val="24"/>
          <w:u w:val="single"/>
        </w:rPr>
        <w:t>Mariner Survey Pre-Tes</w:t>
      </w:r>
      <w:r w:rsidR="00E92959">
        <w:rPr>
          <w:rFonts w:cs="Times New Roman"/>
          <w:szCs w:val="24"/>
        </w:rPr>
        <w:t>t</w:t>
      </w:r>
      <w:r w:rsidRPr="005777F1">
        <w:rPr>
          <w:rFonts w:cs="Times New Roman"/>
          <w:szCs w:val="24"/>
        </w:rPr>
        <w:t xml:space="preserve">, approximately 40 mariners will be asked to take part in a </w:t>
      </w:r>
      <w:r w:rsidRPr="005777F1" w:rsidR="007C564D">
        <w:rPr>
          <w:rFonts w:cs="Times New Roman"/>
          <w:szCs w:val="24"/>
        </w:rPr>
        <w:t>45</w:t>
      </w:r>
      <w:r w:rsidRPr="005777F1">
        <w:rPr>
          <w:rFonts w:cs="Times New Roman"/>
          <w:szCs w:val="24"/>
        </w:rPr>
        <w:t>-minute cognitive interview</w:t>
      </w:r>
      <w:r w:rsidRPr="005777F1" w:rsidR="004D5084">
        <w:rPr>
          <w:rFonts w:cs="Times New Roman"/>
          <w:szCs w:val="24"/>
        </w:rPr>
        <w:t xml:space="preserve">. </w:t>
      </w:r>
      <w:r w:rsidRPr="005777F1" w:rsidR="002F16D3">
        <w:rPr>
          <w:rFonts w:cs="Times New Roman"/>
          <w:szCs w:val="24"/>
        </w:rPr>
        <w:t xml:space="preserve">Because offering an incentive is essential for obtaining productive participation in </w:t>
      </w:r>
      <w:r w:rsidRPr="005777F1">
        <w:rPr>
          <w:rFonts w:cs="Times New Roman"/>
          <w:szCs w:val="24"/>
        </w:rPr>
        <w:t>these</w:t>
      </w:r>
      <w:r w:rsidRPr="005777F1" w:rsidR="002F16D3">
        <w:rPr>
          <w:rFonts w:cs="Times New Roman"/>
          <w:szCs w:val="24"/>
        </w:rPr>
        <w:t xml:space="preserve"> cognitive interviews, mariners who participate in such interviews will be offered an incentive of $50.</w:t>
      </w:r>
    </w:p>
    <w:p w:rsidRPr="005777F1" w:rsidR="00E92959" w:rsidP="002F16D3" w:rsidRDefault="00E92959" w14:paraId="51E73717" w14:textId="039A63B9">
      <w:pPr>
        <w:rPr>
          <w:rFonts w:cs="Times New Roman"/>
          <w:szCs w:val="24"/>
        </w:rPr>
      </w:pPr>
      <w:r>
        <w:rPr>
          <w:rFonts w:cs="Times New Roman"/>
          <w:szCs w:val="24"/>
        </w:rPr>
        <w:t xml:space="preserve">Upon completion of the cognitive interview analysis, a pilot survey will be conducted during the </w:t>
      </w:r>
      <w:r w:rsidRPr="00F71569">
        <w:rPr>
          <w:rFonts w:cs="Times New Roman"/>
          <w:szCs w:val="24"/>
          <w:u w:val="single"/>
        </w:rPr>
        <w:t>Mariner Survey Pre-Test</w:t>
      </w:r>
      <w:r>
        <w:rPr>
          <w:rFonts w:cs="Times New Roman"/>
          <w:szCs w:val="24"/>
        </w:rPr>
        <w:t xml:space="preserve"> with approximately </w:t>
      </w:r>
      <w:r w:rsidR="006464C8">
        <w:rPr>
          <w:rFonts w:cs="Times New Roman"/>
          <w:szCs w:val="24"/>
        </w:rPr>
        <w:t>6</w:t>
      </w:r>
      <w:r w:rsidR="00AF70D6">
        <w:rPr>
          <w:rFonts w:cs="Times New Roman"/>
          <w:szCs w:val="24"/>
        </w:rPr>
        <w:t>5</w:t>
      </w:r>
      <w:r>
        <w:rPr>
          <w:rFonts w:cs="Times New Roman"/>
          <w:szCs w:val="24"/>
        </w:rPr>
        <w:t>0 mariners who will not be offered any incentive or payment.</w:t>
      </w:r>
      <w:r w:rsidR="009F1F62">
        <w:rPr>
          <w:rFonts w:cs="Times New Roman"/>
          <w:szCs w:val="24"/>
        </w:rPr>
        <w:t xml:space="preserve"> </w:t>
      </w:r>
      <w:r>
        <w:rPr>
          <w:rFonts w:cs="Times New Roman"/>
          <w:szCs w:val="24"/>
        </w:rPr>
        <w:t xml:space="preserve"> </w:t>
      </w:r>
    </w:p>
    <w:p w:rsidRPr="005777F1" w:rsidR="00E92959" w:rsidP="00E92959" w:rsidRDefault="00E92959" w14:paraId="464AC2F8" w14:textId="23E2711F">
      <w:pPr>
        <w:rPr>
          <w:rFonts w:cs="Times New Roman"/>
          <w:szCs w:val="24"/>
        </w:rPr>
      </w:pPr>
      <w:r>
        <w:rPr>
          <w:rFonts w:cs="Times New Roman"/>
          <w:szCs w:val="24"/>
        </w:rPr>
        <w:t xml:space="preserve">The subsequent </w:t>
      </w:r>
      <w:r w:rsidRPr="00D51D7B">
        <w:rPr>
          <w:rFonts w:cs="Times New Roman"/>
          <w:szCs w:val="24"/>
        </w:rPr>
        <w:t xml:space="preserve">Mariner Survey </w:t>
      </w:r>
      <w:r w:rsidRPr="005777F1">
        <w:rPr>
          <w:rFonts w:cs="Times New Roman"/>
          <w:szCs w:val="24"/>
        </w:rPr>
        <w:t>main study respondents</w:t>
      </w:r>
      <w:r>
        <w:rPr>
          <w:rFonts w:cs="Times New Roman"/>
          <w:szCs w:val="24"/>
        </w:rPr>
        <w:t>, which will be covered by a subsequent information collection request,</w:t>
      </w:r>
      <w:r w:rsidR="009F1F62">
        <w:rPr>
          <w:rFonts w:cs="Times New Roman"/>
          <w:szCs w:val="24"/>
        </w:rPr>
        <w:t xml:space="preserve"> </w:t>
      </w:r>
      <w:r w:rsidRPr="005777F1">
        <w:rPr>
          <w:rFonts w:cs="Times New Roman"/>
          <w:szCs w:val="24"/>
        </w:rPr>
        <w:t xml:space="preserve">will not be offered any incentive or payment. </w:t>
      </w:r>
    </w:p>
    <w:p w:rsidRPr="005777F1" w:rsidR="004442D9" w:rsidP="005072A6" w:rsidRDefault="004442D9" w14:paraId="45566F2E" w14:textId="3D267F22">
      <w:pPr>
        <w:rPr>
          <w:rFonts w:cs="Times New Roman"/>
          <w:szCs w:val="24"/>
        </w:rPr>
      </w:pPr>
    </w:p>
    <w:p w:rsidRPr="005777F1" w:rsidR="004442D9" w:rsidP="002F2BF4" w:rsidRDefault="002F16D3" w14:paraId="4848811D" w14:textId="5DB84134">
      <w:pPr>
        <w:pStyle w:val="Heading3"/>
      </w:pPr>
      <w:bookmarkStart w:name="_Toc90302119" w:id="23"/>
      <w:r w:rsidRPr="005777F1">
        <w:t>A.</w:t>
      </w:r>
      <w:r w:rsidRPr="005777F1" w:rsidR="004442D9">
        <w:t>10</w:t>
      </w:r>
      <w:r w:rsidRPr="005777F1" w:rsidR="007626DD">
        <w:t xml:space="preserve"> </w:t>
      </w:r>
      <w:r w:rsidRPr="005777F1" w:rsidR="004442D9">
        <w:t xml:space="preserve">Assurance of </w:t>
      </w:r>
      <w:r w:rsidRPr="005777F1">
        <w:t>C</w:t>
      </w:r>
      <w:r w:rsidRPr="005777F1" w:rsidR="004442D9">
        <w:t>onfidentiality</w:t>
      </w:r>
      <w:bookmarkEnd w:id="23"/>
      <w:r w:rsidRPr="005777F1" w:rsidR="004442D9">
        <w:t xml:space="preserve"> </w:t>
      </w:r>
    </w:p>
    <w:p w:rsidRPr="005777F1" w:rsidR="004442D9" w:rsidP="004442D9" w:rsidRDefault="004442D9" w14:paraId="208E1A64" w14:textId="4BA17E05">
      <w:pPr>
        <w:rPr>
          <w:rFonts w:cs="Times New Roman"/>
          <w:szCs w:val="24"/>
        </w:rPr>
      </w:pPr>
      <w:bookmarkStart w:name="_Hlk529348970" w:id="24"/>
      <w:r w:rsidRPr="005777F1">
        <w:rPr>
          <w:rFonts w:cs="Times New Roman"/>
          <w:szCs w:val="24"/>
        </w:rPr>
        <w:t xml:space="preserve">The </w:t>
      </w:r>
      <w:r w:rsidRPr="005777F1">
        <w:rPr>
          <w:rFonts w:cs="Times New Roman"/>
          <w:szCs w:val="24"/>
          <w:u w:val="single"/>
        </w:rPr>
        <w:t>Mariner Survey</w:t>
      </w:r>
      <w:r w:rsidR="00D51D7B">
        <w:rPr>
          <w:rFonts w:cs="Times New Roman"/>
          <w:szCs w:val="24"/>
          <w:u w:val="single"/>
        </w:rPr>
        <w:t xml:space="preserve"> Pre-Test</w:t>
      </w:r>
      <w:r w:rsidRPr="005777F1">
        <w:rPr>
          <w:rFonts w:cs="Times New Roman"/>
          <w:szCs w:val="24"/>
        </w:rPr>
        <w:t xml:space="preserve"> plan for protecting the security and confidentiality of data conforms with the following regulations and policies: </w:t>
      </w:r>
      <w:r w:rsidRPr="005777F1" w:rsidR="002F16D3">
        <w:rPr>
          <w:rFonts w:cs="Times New Roman"/>
          <w:szCs w:val="24"/>
        </w:rPr>
        <w:t>The</w:t>
      </w:r>
      <w:r w:rsidRPr="005777F1">
        <w:rPr>
          <w:rFonts w:cs="Times New Roman"/>
          <w:szCs w:val="24"/>
        </w:rPr>
        <w:t xml:space="preserve"> Privacy Act of 1974 (5 U.S.C. 20, § </w:t>
      </w:r>
      <w:r w:rsidRPr="005777F1">
        <w:rPr>
          <w:rFonts w:cs="Times New Roman"/>
          <w:szCs w:val="24"/>
        </w:rPr>
        <w:lastRenderedPageBreak/>
        <w:t xml:space="preserve">552a), </w:t>
      </w:r>
      <w:bookmarkStart w:name="_Hlk36029374" w:id="25"/>
      <w:r w:rsidRPr="005777F1">
        <w:rPr>
          <w:rFonts w:cs="Times New Roman"/>
          <w:szCs w:val="24"/>
          <w:u w:val="single"/>
        </w:rPr>
        <w:t>DOT Order 1351.18 Privacy Risk Management Policy</w:t>
      </w:r>
      <w:bookmarkEnd w:id="25"/>
      <w:r w:rsidRPr="005777F1">
        <w:rPr>
          <w:rFonts w:cs="Times New Roman"/>
          <w:szCs w:val="24"/>
        </w:rPr>
        <w:t>, and the Federal Information Security Management Act of 2002 (44 U.S.C. § 3541) (FISMA).</w:t>
      </w:r>
    </w:p>
    <w:p w:rsidRPr="005777F1" w:rsidR="004442D9" w:rsidP="004442D9" w:rsidRDefault="004442D9" w14:paraId="0697348A" w14:textId="7CBFC70A">
      <w:pPr>
        <w:rPr>
          <w:rFonts w:cs="Times New Roman"/>
          <w:szCs w:val="24"/>
        </w:rPr>
      </w:pPr>
      <w:r w:rsidRPr="005777F1">
        <w:rPr>
          <w:rFonts w:cs="Times New Roman"/>
          <w:szCs w:val="24"/>
        </w:rPr>
        <w:t xml:space="preserve">The plan for maintaining confidentiality includes signed non-disclosure agreements from all personnel who will have access to individually identifiable data. Personnel will also be trained on handling Personally Identifiable Information (PII). Furthermore, the plan for maintaining confidentiality involves assigning </w:t>
      </w:r>
      <w:r w:rsidRPr="005777F1" w:rsidR="007A3CA9">
        <w:rPr>
          <w:rFonts w:cs="Times New Roman"/>
          <w:szCs w:val="24"/>
        </w:rPr>
        <w:t xml:space="preserve">unique </w:t>
      </w:r>
      <w:r w:rsidRPr="005777F1">
        <w:rPr>
          <w:rFonts w:cs="Times New Roman"/>
          <w:szCs w:val="24"/>
        </w:rPr>
        <w:t>passcodes to respondents to minimize the storage of PII</w:t>
      </w:r>
      <w:r w:rsidRPr="005777F1" w:rsidR="007A3CA9">
        <w:rPr>
          <w:rFonts w:cs="Times New Roman"/>
          <w:szCs w:val="24"/>
        </w:rPr>
        <w:t xml:space="preserve"> on public facing servers</w:t>
      </w:r>
      <w:r w:rsidRPr="005777F1">
        <w:rPr>
          <w:rFonts w:cs="Times New Roman"/>
          <w:szCs w:val="24"/>
        </w:rPr>
        <w:t>, controlled and protected access to data for specific personnel</w:t>
      </w:r>
      <w:r w:rsidRPr="005777F1" w:rsidR="00170A24">
        <w:rPr>
          <w:rFonts w:cs="Times New Roman"/>
          <w:szCs w:val="24"/>
        </w:rPr>
        <w:t>,</w:t>
      </w:r>
      <w:r w:rsidRPr="005777F1" w:rsidR="007A3CA9">
        <w:rPr>
          <w:rFonts w:cs="Times New Roman"/>
          <w:szCs w:val="24"/>
        </w:rPr>
        <w:t xml:space="preserve"> and server security</w:t>
      </w:r>
      <w:r w:rsidRPr="005777F1">
        <w:rPr>
          <w:rFonts w:cs="Times New Roman"/>
          <w:szCs w:val="24"/>
        </w:rPr>
        <w:t xml:space="preserve"> and IT protocols that comply with FISMA security guidelines, security guidelines from NIST SP 800-53, and the requirements of NIST Special Publication 800-171. All participant data will be </w:t>
      </w:r>
      <w:r w:rsidRPr="005777F1" w:rsidR="007A3CA9">
        <w:t xml:space="preserve">secured in a locked file cabinet within a locked office </w:t>
      </w:r>
      <w:r w:rsidRPr="005777F1">
        <w:rPr>
          <w:rFonts w:cs="Times New Roman"/>
          <w:szCs w:val="24"/>
        </w:rPr>
        <w:t xml:space="preserve">by the research team. No one outside of those privileged individuals will have access to it. </w:t>
      </w:r>
    </w:p>
    <w:bookmarkEnd w:id="24"/>
    <w:p w:rsidRPr="005777F1" w:rsidR="004442D9" w:rsidP="004442D9" w:rsidRDefault="004442D9" w14:paraId="05E89649" w14:textId="2EB4DEB4">
      <w:pPr>
        <w:rPr>
          <w:rFonts w:cs="Times New Roman"/>
          <w:szCs w:val="24"/>
        </w:rPr>
      </w:pPr>
      <w:r w:rsidRPr="005777F1">
        <w:rPr>
          <w:rFonts w:cs="Times New Roman"/>
          <w:szCs w:val="24"/>
        </w:rPr>
        <w:t xml:space="preserve">All letters and other materials sent to respondents will describe the voluntary nature of this survey. The materials sent will describe the study and indicate to mariners the extent to which their identities and responses will be kept confidential. The following statement will appear on the front cover of the paper surveys as well as </w:t>
      </w:r>
      <w:r w:rsidRPr="005777F1" w:rsidR="00A83C55">
        <w:rPr>
          <w:rFonts w:cs="Times New Roman"/>
          <w:szCs w:val="24"/>
        </w:rPr>
        <w:t xml:space="preserve">one of the introductory </w:t>
      </w:r>
      <w:r w:rsidRPr="005777F1">
        <w:rPr>
          <w:rFonts w:cs="Times New Roman"/>
          <w:szCs w:val="24"/>
        </w:rPr>
        <w:t>screen</w:t>
      </w:r>
      <w:r w:rsidRPr="005777F1" w:rsidR="00A83C55">
        <w:rPr>
          <w:rFonts w:cs="Times New Roman"/>
          <w:szCs w:val="24"/>
        </w:rPr>
        <w:t>s of the online survey</w:t>
      </w:r>
      <w:r w:rsidRPr="005777F1">
        <w:rPr>
          <w:rFonts w:cs="Times New Roman"/>
          <w:szCs w:val="24"/>
        </w:rPr>
        <w:t>:</w:t>
      </w:r>
      <w:r w:rsidR="009F1F62">
        <w:rPr>
          <w:rFonts w:cs="Times New Roman"/>
          <w:szCs w:val="24"/>
        </w:rPr>
        <w:t xml:space="preserve"> </w:t>
      </w:r>
    </w:p>
    <w:p w:rsidRPr="005777F1" w:rsidR="004442D9" w:rsidP="00CE6F96" w:rsidRDefault="004442D9" w14:paraId="46DA2764" w14:textId="472BC868">
      <w:pPr>
        <w:spacing w:after="0" w:line="240" w:lineRule="auto"/>
        <w:ind w:left="720"/>
        <w:rPr>
          <w:rFonts w:cs="Times New Roman"/>
          <w:bCs/>
          <w:szCs w:val="24"/>
        </w:rPr>
      </w:pPr>
      <w:r w:rsidRPr="005777F1">
        <w:rPr>
          <w:rFonts w:cs="Times New Roman"/>
          <w:bCs/>
          <w:szCs w:val="24"/>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2133-NEW. Public reporting for this collection of information is estimated to be approximately </w:t>
      </w:r>
      <w:r w:rsidRPr="005777F1" w:rsidR="00977B0E">
        <w:rPr>
          <w:rFonts w:cs="Times New Roman"/>
          <w:bCs/>
          <w:szCs w:val="24"/>
        </w:rPr>
        <w:t xml:space="preserve">20 </w:t>
      </w:r>
      <w:r w:rsidRPr="005777F1">
        <w:rPr>
          <w:rFonts w:cs="Times New Roman"/>
          <w:bCs/>
          <w:szCs w:val="24"/>
        </w:rPr>
        <w:t xml:space="preserve">minutes per response, including the time for reviewing instructions, </w:t>
      </w:r>
      <w:proofErr w:type="gramStart"/>
      <w:r w:rsidRPr="005777F1">
        <w:rPr>
          <w:rFonts w:cs="Times New Roman"/>
          <w:bCs/>
          <w:szCs w:val="24"/>
        </w:rPr>
        <w:t>completing</w:t>
      </w:r>
      <w:proofErr w:type="gramEnd"/>
      <w:r w:rsidRPr="005777F1">
        <w:rPr>
          <w:rFonts w:cs="Times New Roman"/>
          <w:bCs/>
          <w:szCs w:val="24"/>
        </w:rPr>
        <w:t xml:space="preserve">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MAR-390, W26-494, 1200 New Jersey Avenue, SE, Washington, DC 20590.</w:t>
      </w:r>
    </w:p>
    <w:p w:rsidRPr="005777F1" w:rsidR="00CE6F96" w:rsidP="00CE6F96" w:rsidRDefault="00CE6F96" w14:paraId="75B41AEA" w14:textId="77777777">
      <w:pPr>
        <w:spacing w:after="0" w:line="240" w:lineRule="auto"/>
        <w:ind w:left="720"/>
        <w:rPr>
          <w:rFonts w:cs="Times New Roman"/>
          <w:bCs/>
          <w:szCs w:val="24"/>
        </w:rPr>
      </w:pPr>
    </w:p>
    <w:p w:rsidRPr="005777F1" w:rsidR="004442D9" w:rsidP="00CE6F96" w:rsidRDefault="004442D9" w14:paraId="4FE9151F" w14:textId="19797ABF">
      <w:pPr>
        <w:spacing w:line="240" w:lineRule="auto"/>
        <w:ind w:left="720"/>
        <w:jc w:val="both"/>
        <w:rPr>
          <w:rFonts w:cs="Times New Roman"/>
          <w:bCs/>
          <w:szCs w:val="24"/>
        </w:rPr>
      </w:pPr>
      <w:r w:rsidRPr="005777F1">
        <w:rPr>
          <w:rFonts w:cs="Times New Roman"/>
          <w:bCs/>
          <w:szCs w:val="24"/>
        </w:rPr>
        <w:t xml:space="preserve">OMB No. 2133-NEW. </w:t>
      </w:r>
      <w:bookmarkStart w:name="_Hlk24538222" w:id="26"/>
      <w:r w:rsidRPr="005777F1">
        <w:rPr>
          <w:rFonts w:cs="Times New Roman"/>
          <w:bCs/>
          <w:szCs w:val="24"/>
        </w:rPr>
        <w:t>Approval Expires MM-DD-YYYY</w:t>
      </w:r>
      <w:bookmarkEnd w:id="26"/>
    </w:p>
    <w:p w:rsidR="00C03BED" w:rsidP="00E4011D" w:rsidRDefault="00C03BED" w14:paraId="0898B425" w14:textId="176B353C">
      <w:pPr>
        <w:pStyle w:val="Heading2"/>
      </w:pPr>
    </w:p>
    <w:p w:rsidRPr="005777F1" w:rsidR="004442D9" w:rsidP="002F2BF4" w:rsidRDefault="002F16D3" w14:paraId="15EFFE8B" w14:textId="13CF08FE">
      <w:pPr>
        <w:pStyle w:val="Heading3"/>
      </w:pPr>
      <w:bookmarkStart w:name="_Toc90302120" w:id="27"/>
      <w:r w:rsidRPr="005777F1">
        <w:t>A.11</w:t>
      </w:r>
      <w:r w:rsidRPr="005777F1" w:rsidR="007626DD">
        <w:t xml:space="preserve"> </w:t>
      </w:r>
      <w:r w:rsidRPr="005777F1">
        <w:t>Sensitive Questions</w:t>
      </w:r>
      <w:bookmarkEnd w:id="27"/>
      <w:r w:rsidRPr="005777F1" w:rsidR="004442D9">
        <w:t xml:space="preserve"> </w:t>
      </w:r>
    </w:p>
    <w:p w:rsidRPr="005777F1" w:rsidR="004442D9" w:rsidP="004442D9" w:rsidRDefault="004442D9" w14:paraId="3304D0E5" w14:textId="59AFDF22">
      <w:pPr>
        <w:rPr>
          <w:rFonts w:cs="Times New Roman"/>
          <w:szCs w:val="24"/>
        </w:rPr>
      </w:pPr>
      <w:r w:rsidRPr="005777F1">
        <w:rPr>
          <w:rFonts w:cs="Times New Roman"/>
          <w:szCs w:val="24"/>
        </w:rPr>
        <w:t xml:space="preserve">The </w:t>
      </w:r>
      <w:r w:rsidRPr="005777F1">
        <w:rPr>
          <w:rFonts w:cs="Times New Roman"/>
          <w:szCs w:val="24"/>
          <w:u w:val="single"/>
        </w:rPr>
        <w:t>Mariner Survey</w:t>
      </w:r>
      <w:r w:rsidR="00E92959">
        <w:rPr>
          <w:rFonts w:cs="Times New Roman"/>
          <w:szCs w:val="24"/>
          <w:u w:val="single"/>
        </w:rPr>
        <w:t xml:space="preserve"> Pre-Test</w:t>
      </w:r>
      <w:r w:rsidRPr="005777F1">
        <w:rPr>
          <w:rFonts w:cs="Times New Roman"/>
          <w:szCs w:val="24"/>
        </w:rPr>
        <w:t xml:space="preserve"> does not include any questions of a sensitive nature, such as sexual behavior and attitudes, religious beliefs, or other matters commonly considered private. </w:t>
      </w:r>
      <w:r w:rsidRPr="005777F1" w:rsidR="004D5084">
        <w:rPr>
          <w:rFonts w:cs="Times New Roman"/>
          <w:szCs w:val="24"/>
        </w:rPr>
        <w:t>The survey also does not include questions about race or ethnicity.</w:t>
      </w:r>
    </w:p>
    <w:p w:rsidR="00067440" w:rsidP="002517F6" w:rsidRDefault="00067440" w14:paraId="73846E29" w14:textId="44CEEEC5">
      <w:pPr>
        <w:pStyle w:val="NoSpacing"/>
      </w:pPr>
    </w:p>
    <w:p w:rsidRPr="005777F1" w:rsidR="002517F6" w:rsidP="002517F6" w:rsidRDefault="002517F6" w14:paraId="51AADACD" w14:textId="77777777">
      <w:pPr>
        <w:pStyle w:val="NoSpacing"/>
      </w:pPr>
    </w:p>
    <w:p w:rsidRPr="005777F1" w:rsidR="004442D9" w:rsidP="002F2BF4" w:rsidRDefault="0014752A" w14:paraId="72402BBE" w14:textId="7B6F2FA9">
      <w:pPr>
        <w:pStyle w:val="Heading3"/>
      </w:pPr>
      <w:bookmarkStart w:name="_Toc90302121" w:id="28"/>
      <w:r w:rsidRPr="005777F1">
        <w:t>A.</w:t>
      </w:r>
      <w:r w:rsidRPr="005777F1" w:rsidR="007626DD">
        <w:t xml:space="preserve">12 </w:t>
      </w:r>
      <w:r w:rsidRPr="005777F1" w:rsidR="004442D9">
        <w:t>Estimates of Burden</w:t>
      </w:r>
      <w:bookmarkEnd w:id="28"/>
      <w:r w:rsidRPr="005777F1" w:rsidR="004442D9">
        <w:t xml:space="preserve"> </w:t>
      </w:r>
    </w:p>
    <w:p w:rsidRPr="0078778B" w:rsidR="00502B1C" w:rsidP="00C27B2B" w:rsidRDefault="0078778B" w14:paraId="7391C94F" w14:textId="406C4113">
      <w:pPr>
        <w:rPr>
          <w:rFonts w:cs="Times New Roman"/>
          <w:szCs w:val="24"/>
        </w:rPr>
      </w:pPr>
      <w:r w:rsidRPr="00C3713B">
        <w:rPr>
          <w:szCs w:val="24"/>
        </w:rPr>
        <w:t xml:space="preserve">During the </w:t>
      </w:r>
      <w:r w:rsidRPr="00C3713B">
        <w:rPr>
          <w:szCs w:val="24"/>
          <w:u w:val="single"/>
        </w:rPr>
        <w:t>Mariner Survey Pre-Test</w:t>
      </w:r>
      <w:r w:rsidRPr="00C3713B">
        <w:rPr>
          <w:szCs w:val="24"/>
        </w:rPr>
        <w:t>, c</w:t>
      </w:r>
      <w:r w:rsidRPr="0078778B" w:rsidR="00502B1C">
        <w:rPr>
          <w:rFonts w:cs="Times New Roman"/>
          <w:szCs w:val="24"/>
        </w:rPr>
        <w:t>ognitive interviews</w:t>
      </w:r>
      <w:r w:rsidRPr="0078778B" w:rsidR="007946FE">
        <w:rPr>
          <w:rFonts w:cs="Times New Roman"/>
          <w:szCs w:val="24"/>
        </w:rPr>
        <w:t xml:space="preserve"> will be conducted</w:t>
      </w:r>
      <w:r w:rsidRPr="0078778B" w:rsidR="00502B1C">
        <w:rPr>
          <w:rFonts w:cs="Times New Roman"/>
          <w:szCs w:val="24"/>
        </w:rPr>
        <w:t xml:space="preserve"> with 40 </w:t>
      </w:r>
      <w:r w:rsidRPr="0078778B" w:rsidR="008E7B30">
        <w:rPr>
          <w:rFonts w:cs="Times New Roman"/>
          <w:szCs w:val="24"/>
        </w:rPr>
        <w:t>m</w:t>
      </w:r>
      <w:r w:rsidRPr="0078778B" w:rsidR="00502B1C">
        <w:rPr>
          <w:rFonts w:cs="Times New Roman"/>
          <w:szCs w:val="24"/>
        </w:rPr>
        <w:t>ariners to under</w:t>
      </w:r>
      <w:r w:rsidRPr="0078778B" w:rsidR="007946FE">
        <w:rPr>
          <w:rFonts w:cs="Times New Roman"/>
          <w:szCs w:val="24"/>
        </w:rPr>
        <w:t>stand</w:t>
      </w:r>
      <w:r w:rsidRPr="0078778B" w:rsidR="00502B1C">
        <w:rPr>
          <w:rFonts w:cs="Times New Roman"/>
          <w:szCs w:val="24"/>
        </w:rPr>
        <w:t xml:space="preserve"> how </w:t>
      </w:r>
      <w:r w:rsidRPr="0078778B" w:rsidR="007946FE">
        <w:rPr>
          <w:rFonts w:cs="Times New Roman"/>
          <w:szCs w:val="24"/>
        </w:rPr>
        <w:t>certain</w:t>
      </w:r>
      <w:r w:rsidRPr="0078778B" w:rsidR="00502B1C">
        <w:rPr>
          <w:rFonts w:cs="Times New Roman"/>
          <w:szCs w:val="24"/>
        </w:rPr>
        <w:t xml:space="preserve"> survey questions are being interpreted. </w:t>
      </w:r>
      <w:r w:rsidRPr="0078778B" w:rsidR="0038591C">
        <w:rPr>
          <w:rFonts w:cs="Times New Roman"/>
          <w:szCs w:val="24"/>
        </w:rPr>
        <w:t xml:space="preserve">The interviews are expected to </w:t>
      </w:r>
      <w:r w:rsidRPr="0078778B" w:rsidR="0038591C">
        <w:rPr>
          <w:rFonts w:cs="Times New Roman"/>
          <w:szCs w:val="24"/>
        </w:rPr>
        <w:lastRenderedPageBreak/>
        <w:t>take 45 minutes</w:t>
      </w:r>
      <w:r w:rsidR="00C12B81">
        <w:rPr>
          <w:rFonts w:cs="Times New Roman"/>
          <w:szCs w:val="24"/>
        </w:rPr>
        <w:t xml:space="preserve"> (the </w:t>
      </w:r>
      <w:r w:rsidR="003D7E13">
        <w:rPr>
          <w:rFonts w:cs="Times New Roman"/>
          <w:szCs w:val="24"/>
        </w:rPr>
        <w:t xml:space="preserve">estimated </w:t>
      </w:r>
      <w:r w:rsidR="00C12B81">
        <w:rPr>
          <w:rFonts w:cs="Times New Roman"/>
          <w:szCs w:val="24"/>
        </w:rPr>
        <w:t>time to complete the survey and participate in the interview)</w:t>
      </w:r>
      <w:r w:rsidRPr="0078778B" w:rsidR="0038591C">
        <w:rPr>
          <w:rFonts w:cs="Times New Roman"/>
          <w:szCs w:val="24"/>
        </w:rPr>
        <w:t>.</w:t>
      </w:r>
      <w:r w:rsidRPr="0078778B" w:rsidR="00502B1C">
        <w:rPr>
          <w:rFonts w:cs="Times New Roman"/>
          <w:szCs w:val="24"/>
        </w:rPr>
        <w:t xml:space="preserve"> Next, </w:t>
      </w:r>
      <w:r w:rsidRPr="0078778B" w:rsidR="007946FE">
        <w:rPr>
          <w:rFonts w:cs="Times New Roman"/>
          <w:szCs w:val="24"/>
        </w:rPr>
        <w:t xml:space="preserve">a </w:t>
      </w:r>
      <w:r>
        <w:rPr>
          <w:rFonts w:cs="Times New Roman"/>
          <w:szCs w:val="24"/>
        </w:rPr>
        <w:t>pilot test</w:t>
      </w:r>
      <w:r w:rsidRPr="0078778B">
        <w:rPr>
          <w:rFonts w:cs="Times New Roman"/>
          <w:szCs w:val="24"/>
        </w:rPr>
        <w:t xml:space="preserve"> </w:t>
      </w:r>
      <w:r w:rsidRPr="0078778B" w:rsidR="00502B1C">
        <w:rPr>
          <w:rFonts w:cs="Times New Roman"/>
          <w:szCs w:val="24"/>
        </w:rPr>
        <w:t xml:space="preserve">of the survey </w:t>
      </w:r>
      <w:r w:rsidRPr="0078778B" w:rsidR="007946FE">
        <w:rPr>
          <w:rFonts w:cs="Times New Roman"/>
          <w:szCs w:val="24"/>
        </w:rPr>
        <w:t xml:space="preserve">will be conducted </w:t>
      </w:r>
      <w:r w:rsidRPr="0078778B" w:rsidR="008E7B30">
        <w:rPr>
          <w:rFonts w:cs="Times New Roman"/>
          <w:szCs w:val="24"/>
        </w:rPr>
        <w:t xml:space="preserve">with </w:t>
      </w:r>
      <w:r w:rsidR="006464C8">
        <w:rPr>
          <w:rFonts w:cs="Times New Roman"/>
          <w:szCs w:val="24"/>
        </w:rPr>
        <w:t>6</w:t>
      </w:r>
      <w:r w:rsidRPr="0078778B" w:rsidR="0072157C">
        <w:rPr>
          <w:rFonts w:cs="Times New Roman"/>
          <w:szCs w:val="24"/>
        </w:rPr>
        <w:t xml:space="preserve">50 </w:t>
      </w:r>
      <w:r w:rsidRPr="0078778B" w:rsidR="008E7B30">
        <w:rPr>
          <w:rFonts w:cs="Times New Roman"/>
          <w:szCs w:val="24"/>
        </w:rPr>
        <w:t>m</w:t>
      </w:r>
      <w:r w:rsidRPr="0078778B" w:rsidR="00502B1C">
        <w:rPr>
          <w:rFonts w:cs="Times New Roman"/>
          <w:szCs w:val="24"/>
        </w:rPr>
        <w:t>ariners, to identify any methodological issues</w:t>
      </w:r>
      <w:r w:rsidRPr="0078778B" w:rsidR="007946FE">
        <w:rPr>
          <w:rFonts w:cs="Times New Roman"/>
          <w:szCs w:val="24"/>
        </w:rPr>
        <w:t xml:space="preserve"> with the survey. This pre</w:t>
      </w:r>
      <w:r w:rsidRPr="0078778B" w:rsidR="00502B1C">
        <w:rPr>
          <w:rFonts w:cs="Times New Roman"/>
          <w:szCs w:val="24"/>
        </w:rPr>
        <w:t xml:space="preserve">test will take </w:t>
      </w:r>
      <w:r w:rsidRPr="0078778B" w:rsidR="00FD3B1B">
        <w:rPr>
          <w:rFonts w:cs="Times New Roman"/>
          <w:szCs w:val="24"/>
        </w:rPr>
        <w:t xml:space="preserve">20 </w:t>
      </w:r>
      <w:r w:rsidRPr="0078778B" w:rsidR="00502B1C">
        <w:rPr>
          <w:rFonts w:cs="Times New Roman"/>
          <w:szCs w:val="24"/>
        </w:rPr>
        <w:t>minutes for</w:t>
      </w:r>
      <w:r w:rsidRPr="0078778B" w:rsidR="00C611EC">
        <w:rPr>
          <w:rFonts w:cs="Times New Roman"/>
          <w:szCs w:val="24"/>
        </w:rPr>
        <w:t xml:space="preserve"> each</w:t>
      </w:r>
      <w:r w:rsidRPr="0078778B" w:rsidR="008E7B30">
        <w:rPr>
          <w:rFonts w:cs="Times New Roman"/>
          <w:szCs w:val="24"/>
        </w:rPr>
        <w:t xml:space="preserve"> m</w:t>
      </w:r>
      <w:r w:rsidRPr="0078778B" w:rsidR="00502B1C">
        <w:rPr>
          <w:rFonts w:cs="Times New Roman"/>
          <w:szCs w:val="24"/>
        </w:rPr>
        <w:t>ariner</w:t>
      </w:r>
      <w:r w:rsidR="00A15487">
        <w:rPr>
          <w:rFonts w:cs="Times New Roman"/>
          <w:szCs w:val="24"/>
        </w:rPr>
        <w:t xml:space="preserve"> (the estimated time to complete the survey)</w:t>
      </w:r>
      <w:r w:rsidRPr="0078778B" w:rsidR="00502B1C">
        <w:rPr>
          <w:rFonts w:cs="Times New Roman"/>
          <w:szCs w:val="24"/>
        </w:rPr>
        <w:t xml:space="preserve">. </w:t>
      </w:r>
    </w:p>
    <w:p w:rsidRPr="00BF2D71" w:rsidR="00FF3E13" w:rsidRDefault="008E7B30" w14:paraId="4A689D8F" w14:textId="75ECC83E">
      <w:pPr>
        <w:rPr>
          <w:rFonts w:cs="Times New Roman"/>
          <w:szCs w:val="24"/>
        </w:rPr>
      </w:pPr>
      <w:r w:rsidRPr="005777F1">
        <w:rPr>
          <w:rFonts w:cs="Times New Roman"/>
          <w:szCs w:val="24"/>
        </w:rPr>
        <w:t xml:space="preserve">The </w:t>
      </w:r>
      <w:r w:rsidR="00987591">
        <w:rPr>
          <w:rFonts w:cs="Times New Roman"/>
          <w:szCs w:val="24"/>
        </w:rPr>
        <w:t>T</w:t>
      </w:r>
      <w:r w:rsidRPr="005777F1">
        <w:rPr>
          <w:rFonts w:cs="Times New Roman"/>
          <w:szCs w:val="24"/>
        </w:rPr>
        <w:t>able</w:t>
      </w:r>
      <w:r w:rsidR="009F1F62">
        <w:rPr>
          <w:rFonts w:cs="Times New Roman"/>
          <w:szCs w:val="24"/>
        </w:rPr>
        <w:t xml:space="preserve"> </w:t>
      </w:r>
      <w:r w:rsidR="00987591">
        <w:rPr>
          <w:rFonts w:cs="Times New Roman"/>
          <w:szCs w:val="24"/>
        </w:rPr>
        <w:t xml:space="preserve">A.12.1 </w:t>
      </w:r>
      <w:r w:rsidRPr="005777F1">
        <w:rPr>
          <w:rFonts w:cs="Times New Roman"/>
          <w:szCs w:val="24"/>
        </w:rPr>
        <w:t>below provides</w:t>
      </w:r>
      <w:r w:rsidRPr="005777F1" w:rsidR="00502B1C">
        <w:rPr>
          <w:rFonts w:cs="Times New Roman"/>
          <w:szCs w:val="24"/>
        </w:rPr>
        <w:t xml:space="preserve"> the total burden to respondents in terms of hours and cost for each component of the </w:t>
      </w:r>
      <w:r w:rsidR="0078778B">
        <w:rPr>
          <w:rFonts w:cs="Times New Roman"/>
          <w:szCs w:val="24"/>
        </w:rPr>
        <w:t>pre-test</w:t>
      </w:r>
      <w:r w:rsidRPr="005777F1" w:rsidR="0078778B">
        <w:rPr>
          <w:rFonts w:cs="Times New Roman"/>
          <w:szCs w:val="24"/>
        </w:rPr>
        <w:t xml:space="preserve"> </w:t>
      </w:r>
      <w:r w:rsidRPr="005777F1" w:rsidR="00C611EC">
        <w:rPr>
          <w:rFonts w:cs="Times New Roman"/>
          <w:szCs w:val="24"/>
        </w:rPr>
        <w:t>(cognitive interviews</w:t>
      </w:r>
      <w:r w:rsidR="0078778B">
        <w:rPr>
          <w:rFonts w:cs="Times New Roman"/>
          <w:szCs w:val="24"/>
        </w:rPr>
        <w:t xml:space="preserve"> and</w:t>
      </w:r>
      <w:r w:rsidR="009F1F62">
        <w:rPr>
          <w:rFonts w:cs="Times New Roman"/>
          <w:szCs w:val="24"/>
        </w:rPr>
        <w:t xml:space="preserve"> </w:t>
      </w:r>
      <w:r w:rsidR="0078778B">
        <w:rPr>
          <w:rFonts w:cs="Times New Roman"/>
          <w:szCs w:val="24"/>
        </w:rPr>
        <w:t xml:space="preserve">pilot </w:t>
      </w:r>
      <w:r w:rsidR="004558D7">
        <w:rPr>
          <w:rFonts w:cs="Times New Roman"/>
          <w:szCs w:val="24"/>
        </w:rPr>
        <w:t>survey</w:t>
      </w:r>
      <w:r w:rsidRPr="005777F1">
        <w:rPr>
          <w:rFonts w:cs="Times New Roman"/>
          <w:szCs w:val="24"/>
        </w:rPr>
        <w:t>). Given that a mix of m</w:t>
      </w:r>
      <w:r w:rsidRPr="005777F1" w:rsidR="00502B1C">
        <w:rPr>
          <w:rFonts w:cs="Times New Roman"/>
          <w:szCs w:val="24"/>
        </w:rPr>
        <w:t>ariners from different subpopu</w:t>
      </w:r>
      <w:r w:rsidRPr="005777F1" w:rsidR="00C611EC">
        <w:rPr>
          <w:rFonts w:cs="Times New Roman"/>
          <w:szCs w:val="24"/>
        </w:rPr>
        <w:t xml:space="preserve">lations will be used </w:t>
      </w:r>
      <w:r w:rsidR="0078778B">
        <w:rPr>
          <w:rFonts w:cs="Times New Roman"/>
          <w:szCs w:val="24"/>
        </w:rPr>
        <w:t xml:space="preserve">during the </w:t>
      </w:r>
      <w:r w:rsidRPr="00C3713B" w:rsidR="0078778B">
        <w:rPr>
          <w:rFonts w:cs="Times New Roman"/>
          <w:szCs w:val="24"/>
          <w:u w:val="single"/>
        </w:rPr>
        <w:t>Mariner Survey Pre-Test</w:t>
      </w:r>
      <w:r w:rsidRPr="005777F1" w:rsidR="00502B1C">
        <w:rPr>
          <w:rFonts w:cs="Times New Roman"/>
          <w:szCs w:val="24"/>
        </w:rPr>
        <w:t>, the blended average hourly rate was us</w:t>
      </w:r>
      <w:r w:rsidRPr="005777F1" w:rsidR="00C611EC">
        <w:rPr>
          <w:rFonts w:cs="Times New Roman"/>
          <w:szCs w:val="24"/>
        </w:rPr>
        <w:t>ed to calculate respondent cost</w:t>
      </w:r>
      <w:r w:rsidRPr="005777F1" w:rsidR="00502B1C">
        <w:rPr>
          <w:rFonts w:cs="Times New Roman"/>
          <w:szCs w:val="24"/>
        </w:rPr>
        <w:t xml:space="preserve">. The total </w:t>
      </w:r>
      <w:r w:rsidRPr="005777F1" w:rsidR="00C611EC">
        <w:rPr>
          <w:rFonts w:cs="Times New Roman"/>
          <w:szCs w:val="24"/>
        </w:rPr>
        <w:t>respondent</w:t>
      </w:r>
      <w:r w:rsidRPr="005777F1" w:rsidR="00502B1C">
        <w:rPr>
          <w:rFonts w:cs="Times New Roman"/>
          <w:szCs w:val="24"/>
        </w:rPr>
        <w:t xml:space="preserve"> cost for this survey effort is</w:t>
      </w:r>
      <w:r w:rsidRPr="005777F1" w:rsidR="003800C6">
        <w:rPr>
          <w:rFonts w:cs="Times New Roman"/>
          <w:szCs w:val="24"/>
        </w:rPr>
        <w:t xml:space="preserve"> $</w:t>
      </w:r>
      <w:r w:rsidR="00AB175A">
        <w:rPr>
          <w:rFonts w:cs="Times New Roman"/>
          <w:szCs w:val="24"/>
        </w:rPr>
        <w:t>1</w:t>
      </w:r>
      <w:r w:rsidR="00A15487">
        <w:rPr>
          <w:rFonts w:cs="Times New Roman"/>
          <w:szCs w:val="24"/>
        </w:rPr>
        <w:t>6,814</w:t>
      </w:r>
      <w:r w:rsidRPr="005777F1" w:rsidR="003800C6">
        <w:rPr>
          <w:rFonts w:cs="Times New Roman"/>
          <w:szCs w:val="24"/>
        </w:rPr>
        <w:t>.</w:t>
      </w:r>
    </w:p>
    <w:p w:rsidRPr="005777F1" w:rsidR="00502B1C" w:rsidP="00502B1C" w:rsidRDefault="00502B1C" w14:paraId="77B86B64" w14:textId="24F79DAC">
      <w:pPr>
        <w:rPr>
          <w:rFonts w:cs="Times New Roman"/>
          <w:b/>
          <w:bCs/>
          <w:szCs w:val="24"/>
        </w:rPr>
      </w:pPr>
      <w:r w:rsidRPr="005777F1">
        <w:rPr>
          <w:rFonts w:cs="Times New Roman"/>
          <w:b/>
          <w:bCs/>
          <w:szCs w:val="24"/>
        </w:rPr>
        <w:t>Table A.</w:t>
      </w:r>
      <w:r w:rsidRPr="005777F1" w:rsidR="00C611EC">
        <w:rPr>
          <w:rFonts w:cs="Times New Roman"/>
          <w:b/>
          <w:bCs/>
          <w:szCs w:val="24"/>
        </w:rPr>
        <w:t>12.</w:t>
      </w:r>
      <w:r w:rsidR="00C27B2B">
        <w:rPr>
          <w:rFonts w:cs="Times New Roman"/>
          <w:b/>
          <w:bCs/>
          <w:szCs w:val="24"/>
        </w:rPr>
        <w:t>1</w:t>
      </w:r>
      <w:r w:rsidRPr="005777F1" w:rsidR="00C611EC">
        <w:rPr>
          <w:rFonts w:cs="Times New Roman"/>
          <w:b/>
          <w:bCs/>
          <w:szCs w:val="24"/>
        </w:rPr>
        <w:t xml:space="preserve">. </w:t>
      </w:r>
      <w:r w:rsidRPr="005777F1">
        <w:rPr>
          <w:rFonts w:cs="Times New Roman"/>
          <w:b/>
          <w:bCs/>
          <w:szCs w:val="24"/>
        </w:rPr>
        <w:t>Total Burden Estimates for all Components of the Mariner Survey</w:t>
      </w:r>
      <w:r w:rsidR="00A70CBF">
        <w:rPr>
          <w:rFonts w:cs="Times New Roman"/>
          <w:b/>
          <w:bCs/>
          <w:szCs w:val="24"/>
        </w:rPr>
        <w:t xml:space="preserve"> Pre-Test</w:t>
      </w:r>
    </w:p>
    <w:tbl>
      <w:tblPr>
        <w:tblStyle w:val="TableGrid"/>
        <w:tblW w:w="9199" w:type="dxa"/>
        <w:tblInd w:w="-5" w:type="dxa"/>
        <w:tblLook w:val="04A0" w:firstRow="1" w:lastRow="0" w:firstColumn="1" w:lastColumn="0" w:noHBand="0" w:noVBand="1"/>
      </w:tblPr>
      <w:tblGrid>
        <w:gridCol w:w="1432"/>
        <w:gridCol w:w="1439"/>
        <w:gridCol w:w="1296"/>
        <w:gridCol w:w="960"/>
        <w:gridCol w:w="1046"/>
        <w:gridCol w:w="1693"/>
        <w:gridCol w:w="1333"/>
      </w:tblGrid>
      <w:tr w:rsidRPr="005777F1" w:rsidR="00112B19" w:rsidTr="002517F6" w14:paraId="295657C5" w14:textId="25AF9AF1">
        <w:trPr>
          <w:tblHeader/>
        </w:trPr>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rsidRPr="005777F1" w:rsidR="00112B19" w:rsidP="00076B11" w:rsidRDefault="00112B19" w14:paraId="78FCCD11" w14:textId="77777777">
            <w:pPr>
              <w:rPr>
                <w:rFonts w:cs="Times New Roman"/>
                <w:b/>
                <w:sz w:val="22"/>
              </w:rPr>
            </w:pPr>
            <w:r w:rsidRPr="005777F1">
              <w:rPr>
                <w:rFonts w:cs="Times New Roman"/>
                <w:b/>
                <w:sz w:val="22"/>
              </w:rPr>
              <w:t>Survey Component</w:t>
            </w:r>
          </w:p>
        </w:tc>
        <w:tc>
          <w:tcPr>
            <w:tcW w:w="143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77F1" w:rsidR="00112B19" w:rsidP="003E6359" w:rsidRDefault="00112B19" w14:paraId="1553FB31" w14:textId="77777777">
            <w:pPr>
              <w:jc w:val="center"/>
              <w:rPr>
                <w:rFonts w:cs="Times New Roman"/>
                <w:b/>
                <w:sz w:val="22"/>
              </w:rPr>
            </w:pPr>
            <w:r w:rsidRPr="005777F1">
              <w:rPr>
                <w:rFonts w:cs="Times New Roman"/>
                <w:b/>
                <w:sz w:val="22"/>
              </w:rPr>
              <w:t>Number of Mariners participating</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77F1" w:rsidR="00112B19" w:rsidP="003E6359" w:rsidRDefault="00112B19" w14:paraId="51D83D93" w14:textId="77777777">
            <w:pPr>
              <w:jc w:val="center"/>
              <w:rPr>
                <w:rFonts w:cs="Times New Roman"/>
                <w:b/>
                <w:sz w:val="22"/>
              </w:rPr>
            </w:pPr>
            <w:r w:rsidRPr="005777F1">
              <w:rPr>
                <w:rFonts w:cs="Times New Roman"/>
                <w:b/>
                <w:sz w:val="22"/>
              </w:rPr>
              <w:t>Average burden per respondent (hours)</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77F1" w:rsidR="00112B19" w:rsidP="003E6359" w:rsidRDefault="00112B19" w14:paraId="6FBF01C6" w14:textId="77777777">
            <w:pPr>
              <w:jc w:val="center"/>
              <w:rPr>
                <w:rFonts w:cs="Times New Roman"/>
                <w:b/>
                <w:sz w:val="22"/>
              </w:rPr>
            </w:pPr>
            <w:r w:rsidRPr="005777F1">
              <w:rPr>
                <w:rFonts w:cs="Times New Roman"/>
                <w:b/>
                <w:sz w:val="22"/>
              </w:rPr>
              <w:t>Total Burden (hours)</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B4631" w:rsidR="00112B19" w:rsidP="003E6359" w:rsidRDefault="00112B19" w14:paraId="0DB3ECD0" w14:textId="5CD78B71">
            <w:pPr>
              <w:jc w:val="center"/>
              <w:rPr>
                <w:rFonts w:cs="Times New Roman"/>
                <w:b/>
                <w:sz w:val="22"/>
                <w:vertAlign w:val="superscript"/>
              </w:rPr>
            </w:pPr>
            <w:r w:rsidRPr="005777F1">
              <w:rPr>
                <w:rFonts w:cs="Times New Roman"/>
                <w:b/>
                <w:sz w:val="22"/>
              </w:rPr>
              <w:t>Average Hourly Wage Rate</w:t>
            </w:r>
            <w:r>
              <w:rPr>
                <w:rFonts w:cs="Times New Roman"/>
                <w:b/>
                <w:sz w:val="22"/>
                <w:vertAlign w:val="superscript"/>
              </w:rPr>
              <w:t>1</w:t>
            </w:r>
          </w:p>
        </w:tc>
        <w:tc>
          <w:tcPr>
            <w:tcW w:w="169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77F1" w:rsidR="00112B19" w:rsidP="003E6359" w:rsidRDefault="00112B19" w14:paraId="4A909FFC" w14:textId="5017FA11">
            <w:pPr>
              <w:jc w:val="center"/>
              <w:rPr>
                <w:rFonts w:cs="Times New Roman"/>
                <w:b/>
                <w:sz w:val="22"/>
              </w:rPr>
            </w:pPr>
            <w:r w:rsidRPr="005777F1">
              <w:rPr>
                <w:rFonts w:cs="Times New Roman"/>
                <w:b/>
                <w:sz w:val="22"/>
              </w:rPr>
              <w:t xml:space="preserve">Total </w:t>
            </w:r>
            <w:r w:rsidR="001F0426">
              <w:rPr>
                <w:rFonts w:cs="Times New Roman"/>
                <w:b/>
                <w:sz w:val="22"/>
              </w:rPr>
              <w:t>Salary</w:t>
            </w:r>
            <w:r w:rsidRPr="005777F1" w:rsidR="001F0426">
              <w:rPr>
                <w:rFonts w:cs="Times New Roman"/>
                <w:b/>
                <w:sz w:val="22"/>
              </w:rPr>
              <w:t xml:space="preserve"> </w:t>
            </w:r>
            <w:r w:rsidRPr="005777F1">
              <w:rPr>
                <w:rFonts w:cs="Times New Roman"/>
                <w:b/>
                <w:sz w:val="22"/>
              </w:rPr>
              <w:t>Cost</w:t>
            </w:r>
          </w:p>
        </w:tc>
        <w:tc>
          <w:tcPr>
            <w:tcW w:w="1333" w:type="dxa"/>
            <w:tcBorders>
              <w:top w:val="single" w:color="auto" w:sz="4" w:space="0"/>
              <w:left w:val="single" w:color="auto" w:sz="4" w:space="0"/>
              <w:bottom w:val="single" w:color="auto" w:sz="4" w:space="0"/>
              <w:right w:val="single" w:color="auto" w:sz="4" w:space="0"/>
            </w:tcBorders>
            <w:vAlign w:val="center"/>
          </w:tcPr>
          <w:p w:rsidRPr="005777F1" w:rsidR="00112B19" w:rsidP="003D7E13" w:rsidRDefault="0092726F" w14:paraId="5CD7C785" w14:textId="540D51A1">
            <w:pPr>
              <w:jc w:val="center"/>
              <w:rPr>
                <w:rFonts w:cs="Times New Roman"/>
                <w:b/>
                <w:sz w:val="22"/>
              </w:rPr>
            </w:pPr>
            <w:r>
              <w:rPr>
                <w:rFonts w:cs="Times New Roman"/>
                <w:b/>
                <w:sz w:val="22"/>
              </w:rPr>
              <w:t>Total Respondent Cost</w:t>
            </w:r>
            <w:r w:rsidRPr="00B36FC8" w:rsidR="0071035D">
              <w:rPr>
                <w:rFonts w:cs="Times New Roman"/>
                <w:b/>
                <w:sz w:val="22"/>
                <w:vertAlign w:val="superscript"/>
              </w:rPr>
              <w:t>2</w:t>
            </w:r>
          </w:p>
        </w:tc>
      </w:tr>
      <w:tr w:rsidRPr="005777F1" w:rsidR="00C12B81" w:rsidTr="00A15487" w14:paraId="477BA31C" w14:textId="5D0E2D74">
        <w:tc>
          <w:tcPr>
            <w:tcW w:w="1432" w:type="dxa"/>
            <w:tcBorders>
              <w:top w:val="single" w:color="auto" w:sz="4" w:space="0"/>
              <w:left w:val="single" w:color="auto" w:sz="4" w:space="0"/>
              <w:bottom w:val="single" w:color="auto" w:sz="4" w:space="0"/>
              <w:right w:val="single" w:color="auto" w:sz="4" w:space="0"/>
            </w:tcBorders>
          </w:tcPr>
          <w:p w:rsidRPr="005777F1" w:rsidR="00112B19" w:rsidP="003E6359" w:rsidRDefault="00112B19" w14:paraId="7071F682" w14:textId="52AE75F1">
            <w:pPr>
              <w:rPr>
                <w:sz w:val="22"/>
              </w:rPr>
            </w:pPr>
            <w:r>
              <w:rPr>
                <w:sz w:val="22"/>
              </w:rPr>
              <w:t xml:space="preserve">Mariner Survey Pre-Test </w:t>
            </w:r>
            <w:r w:rsidRPr="005777F1">
              <w:rPr>
                <w:sz w:val="22"/>
              </w:rPr>
              <w:t>Cognitive Interviews</w:t>
            </w:r>
          </w:p>
        </w:tc>
        <w:tc>
          <w:tcPr>
            <w:tcW w:w="1439" w:type="dxa"/>
            <w:tcBorders>
              <w:top w:val="single" w:color="auto" w:sz="4" w:space="0"/>
              <w:left w:val="single" w:color="auto" w:sz="4" w:space="0"/>
              <w:bottom w:val="single" w:color="auto" w:sz="4" w:space="0"/>
              <w:right w:val="single" w:color="auto" w:sz="4" w:space="0"/>
            </w:tcBorders>
            <w:vAlign w:val="center"/>
          </w:tcPr>
          <w:p w:rsidRPr="005777F1" w:rsidR="00112B19" w:rsidP="003E6359" w:rsidRDefault="00112B19" w14:paraId="5F0AC02D" w14:textId="77777777">
            <w:pPr>
              <w:jc w:val="center"/>
              <w:rPr>
                <w:sz w:val="22"/>
              </w:rPr>
            </w:pPr>
            <w:r w:rsidRPr="005777F1">
              <w:rPr>
                <w:sz w:val="22"/>
              </w:rPr>
              <w:t>40</w:t>
            </w:r>
          </w:p>
        </w:tc>
        <w:tc>
          <w:tcPr>
            <w:tcW w:w="1296" w:type="dxa"/>
            <w:tcBorders>
              <w:top w:val="single" w:color="auto" w:sz="4" w:space="0"/>
              <w:left w:val="single" w:color="auto" w:sz="4" w:space="0"/>
              <w:bottom w:val="single" w:color="auto" w:sz="4" w:space="0"/>
              <w:right w:val="single" w:color="auto" w:sz="4" w:space="0"/>
            </w:tcBorders>
            <w:vAlign w:val="center"/>
          </w:tcPr>
          <w:p w:rsidRPr="005777F1" w:rsidR="00112B19" w:rsidP="003E6359" w:rsidRDefault="00112B19" w14:paraId="3A7B6E5E" w14:textId="6B268550">
            <w:pPr>
              <w:jc w:val="center"/>
              <w:rPr>
                <w:rFonts w:cs="Times New Roman"/>
                <w:sz w:val="22"/>
              </w:rPr>
            </w:pPr>
            <w:r w:rsidRPr="005777F1">
              <w:rPr>
                <w:rFonts w:cs="Times New Roman"/>
                <w:sz w:val="22"/>
              </w:rPr>
              <w:t>0.75</w:t>
            </w:r>
            <w:r w:rsidRPr="00B36FC8" w:rsidR="00B36FC8">
              <w:rPr>
                <w:rFonts w:cs="Times New Roman"/>
                <w:sz w:val="22"/>
                <w:vertAlign w:val="superscript"/>
              </w:rPr>
              <w:t>3</w:t>
            </w:r>
          </w:p>
        </w:tc>
        <w:tc>
          <w:tcPr>
            <w:tcW w:w="960" w:type="dxa"/>
            <w:tcBorders>
              <w:top w:val="single" w:color="auto" w:sz="4" w:space="0"/>
              <w:left w:val="single" w:color="auto" w:sz="4" w:space="0"/>
              <w:bottom w:val="single" w:color="auto" w:sz="4" w:space="0"/>
              <w:right w:val="single" w:color="auto" w:sz="4" w:space="0"/>
            </w:tcBorders>
            <w:vAlign w:val="center"/>
          </w:tcPr>
          <w:p w:rsidRPr="005777F1" w:rsidR="00112B19" w:rsidP="003E6359" w:rsidRDefault="00112B19" w14:paraId="2C45D4D5" w14:textId="5A18FA7E">
            <w:pPr>
              <w:jc w:val="center"/>
              <w:rPr>
                <w:sz w:val="22"/>
              </w:rPr>
            </w:pPr>
            <w:r>
              <w:rPr>
                <w:sz w:val="22"/>
              </w:rPr>
              <w:fldChar w:fldCharType="begin"/>
            </w:r>
            <w:r>
              <w:rPr>
                <w:sz w:val="22"/>
              </w:rPr>
              <w:instrText xml:space="preserve"> =B2*C2 </w:instrText>
            </w:r>
            <w:r>
              <w:rPr>
                <w:sz w:val="22"/>
              </w:rPr>
              <w:fldChar w:fldCharType="separate"/>
            </w:r>
            <w:r>
              <w:rPr>
                <w:noProof/>
                <w:sz w:val="22"/>
              </w:rPr>
              <w:t>30</w:t>
            </w:r>
            <w:r>
              <w:rPr>
                <w:sz w:val="22"/>
              </w:rPr>
              <w:fldChar w:fldCharType="end"/>
            </w:r>
          </w:p>
        </w:tc>
        <w:tc>
          <w:tcPr>
            <w:tcW w:w="1046" w:type="dxa"/>
            <w:tcBorders>
              <w:top w:val="single" w:color="auto" w:sz="4" w:space="0"/>
              <w:left w:val="single" w:color="auto" w:sz="4" w:space="0"/>
              <w:bottom w:val="single" w:color="auto" w:sz="4" w:space="0"/>
              <w:right w:val="single" w:color="auto" w:sz="4" w:space="0"/>
            </w:tcBorders>
            <w:vAlign w:val="center"/>
          </w:tcPr>
          <w:p w:rsidRPr="005777F1" w:rsidR="00112B19" w:rsidP="003E6359" w:rsidRDefault="00112B19" w14:paraId="0E02AA33" w14:textId="4B7A4539">
            <w:pPr>
              <w:jc w:val="center"/>
              <w:rPr>
                <w:sz w:val="22"/>
              </w:rPr>
            </w:pPr>
            <w:r w:rsidRPr="005777F1">
              <w:rPr>
                <w:rFonts w:cs="Times New Roman"/>
                <w:sz w:val="22"/>
              </w:rPr>
              <w:t>$</w:t>
            </w:r>
            <w:r>
              <w:rPr>
                <w:rFonts w:cs="Times New Roman"/>
                <w:sz w:val="22"/>
              </w:rPr>
              <w:t>48.62</w:t>
            </w:r>
          </w:p>
        </w:tc>
        <w:tc>
          <w:tcPr>
            <w:tcW w:w="1693" w:type="dxa"/>
            <w:tcBorders>
              <w:top w:val="single" w:color="auto" w:sz="4" w:space="0"/>
              <w:left w:val="single" w:color="auto" w:sz="4" w:space="0"/>
              <w:bottom w:val="single" w:color="auto" w:sz="4" w:space="0"/>
              <w:right w:val="single" w:color="auto" w:sz="4" w:space="0"/>
            </w:tcBorders>
            <w:vAlign w:val="center"/>
          </w:tcPr>
          <w:p w:rsidRPr="005777F1" w:rsidR="00112B19" w:rsidP="003E6359" w:rsidRDefault="00112B19" w14:paraId="1748308F" w14:textId="6AD12D28">
            <w:pPr>
              <w:jc w:val="center"/>
              <w:rPr>
                <w:sz w:val="22"/>
              </w:rPr>
            </w:pPr>
            <w:r>
              <w:rPr>
                <w:sz w:val="22"/>
              </w:rPr>
              <w:t>$1,459</w:t>
            </w:r>
          </w:p>
        </w:tc>
        <w:tc>
          <w:tcPr>
            <w:tcW w:w="1333" w:type="dxa"/>
            <w:tcBorders>
              <w:top w:val="single" w:color="auto" w:sz="4" w:space="0"/>
              <w:left w:val="single" w:color="auto" w:sz="4" w:space="0"/>
              <w:bottom w:val="single" w:color="auto" w:sz="4" w:space="0"/>
              <w:right w:val="single" w:color="auto" w:sz="4" w:space="0"/>
            </w:tcBorders>
            <w:vAlign w:val="center"/>
          </w:tcPr>
          <w:p w:rsidR="00112B19" w:rsidP="00C12B81" w:rsidRDefault="002A6109" w14:paraId="03F2A9D0" w14:textId="74506E0C">
            <w:pPr>
              <w:jc w:val="center"/>
              <w:rPr>
                <w:sz w:val="22"/>
              </w:rPr>
            </w:pPr>
            <w:r>
              <w:rPr>
                <w:sz w:val="22"/>
              </w:rPr>
              <w:t>$2,</w:t>
            </w:r>
            <w:r w:rsidR="00C12B81">
              <w:rPr>
                <w:sz w:val="22"/>
              </w:rPr>
              <w:t>04</w:t>
            </w:r>
            <w:r w:rsidR="00A15487">
              <w:rPr>
                <w:sz w:val="22"/>
              </w:rPr>
              <w:t>3</w:t>
            </w:r>
          </w:p>
        </w:tc>
      </w:tr>
      <w:tr w:rsidRPr="005777F1" w:rsidR="00112B19" w:rsidTr="00C12B81" w14:paraId="40D44FD9" w14:textId="0F694EE8">
        <w:tc>
          <w:tcPr>
            <w:tcW w:w="1432" w:type="dxa"/>
            <w:tcBorders>
              <w:top w:val="single" w:color="auto" w:sz="4" w:space="0"/>
              <w:left w:val="single" w:color="auto" w:sz="4" w:space="0"/>
              <w:bottom w:val="single" w:color="auto" w:sz="4" w:space="0"/>
              <w:right w:val="single" w:color="auto" w:sz="4" w:space="0"/>
            </w:tcBorders>
          </w:tcPr>
          <w:p w:rsidRPr="005777F1" w:rsidR="00112B19" w:rsidP="003E6359" w:rsidRDefault="00112B19" w14:paraId="6D2D35BF" w14:textId="5EE51865">
            <w:pPr>
              <w:rPr>
                <w:sz w:val="22"/>
              </w:rPr>
            </w:pPr>
            <w:r>
              <w:rPr>
                <w:sz w:val="22"/>
              </w:rPr>
              <w:t>Mariner Survey Pre-Test Pilot Survey</w:t>
            </w:r>
          </w:p>
        </w:tc>
        <w:tc>
          <w:tcPr>
            <w:tcW w:w="1439" w:type="dxa"/>
            <w:tcBorders>
              <w:top w:val="single" w:color="auto" w:sz="4" w:space="0"/>
              <w:left w:val="single" w:color="auto" w:sz="4" w:space="0"/>
              <w:bottom w:val="single" w:color="auto" w:sz="4" w:space="0"/>
              <w:right w:val="single" w:color="auto" w:sz="4" w:space="0"/>
            </w:tcBorders>
            <w:vAlign w:val="center"/>
          </w:tcPr>
          <w:p w:rsidRPr="005777F1" w:rsidR="00112B19" w:rsidP="003E6359" w:rsidRDefault="00112B19" w14:paraId="7A73D2A6" w14:textId="32CB9986">
            <w:pPr>
              <w:jc w:val="center"/>
              <w:rPr>
                <w:sz w:val="22"/>
              </w:rPr>
            </w:pPr>
            <w:r>
              <w:rPr>
                <w:sz w:val="22"/>
              </w:rPr>
              <w:t>6</w:t>
            </w:r>
            <w:r w:rsidRPr="005777F1">
              <w:rPr>
                <w:sz w:val="22"/>
              </w:rPr>
              <w:t>50</w:t>
            </w:r>
          </w:p>
        </w:tc>
        <w:tc>
          <w:tcPr>
            <w:tcW w:w="1296" w:type="dxa"/>
            <w:tcBorders>
              <w:top w:val="single" w:color="auto" w:sz="4" w:space="0"/>
              <w:left w:val="single" w:color="auto" w:sz="4" w:space="0"/>
              <w:bottom w:val="single" w:color="auto" w:sz="4" w:space="0"/>
              <w:right w:val="single" w:color="auto" w:sz="4" w:space="0"/>
            </w:tcBorders>
            <w:vAlign w:val="center"/>
          </w:tcPr>
          <w:p w:rsidRPr="005777F1" w:rsidR="00112B19" w:rsidP="003E6359" w:rsidRDefault="00112B19" w14:paraId="48652AA8" w14:textId="30E093B7">
            <w:pPr>
              <w:jc w:val="center"/>
              <w:rPr>
                <w:rFonts w:cs="Times New Roman"/>
                <w:sz w:val="22"/>
              </w:rPr>
            </w:pPr>
            <w:r w:rsidRPr="005777F1">
              <w:rPr>
                <w:rFonts w:cs="Times New Roman"/>
                <w:sz w:val="22"/>
              </w:rPr>
              <w:t>0.33</w:t>
            </w:r>
            <w:r>
              <w:rPr>
                <w:rFonts w:cs="Times New Roman"/>
                <w:sz w:val="22"/>
              </w:rPr>
              <w:t>3</w:t>
            </w:r>
          </w:p>
        </w:tc>
        <w:tc>
          <w:tcPr>
            <w:tcW w:w="960" w:type="dxa"/>
            <w:tcBorders>
              <w:top w:val="single" w:color="auto" w:sz="4" w:space="0"/>
              <w:left w:val="single" w:color="auto" w:sz="4" w:space="0"/>
              <w:bottom w:val="single" w:color="auto" w:sz="4" w:space="0"/>
              <w:right w:val="single" w:color="auto" w:sz="4" w:space="0"/>
            </w:tcBorders>
            <w:vAlign w:val="center"/>
          </w:tcPr>
          <w:p w:rsidRPr="005777F1" w:rsidR="00112B19" w:rsidP="003E6359" w:rsidRDefault="00112B19" w14:paraId="6C224EB6" w14:textId="46FBF2C4">
            <w:pPr>
              <w:jc w:val="center"/>
              <w:rPr>
                <w:sz w:val="22"/>
              </w:rPr>
            </w:pPr>
            <w:r>
              <w:rPr>
                <w:sz w:val="22"/>
              </w:rPr>
              <w:t>217</w:t>
            </w:r>
          </w:p>
        </w:tc>
        <w:tc>
          <w:tcPr>
            <w:tcW w:w="1046" w:type="dxa"/>
            <w:tcBorders>
              <w:top w:val="single" w:color="auto" w:sz="4" w:space="0"/>
              <w:left w:val="single" w:color="auto" w:sz="4" w:space="0"/>
              <w:bottom w:val="single" w:color="auto" w:sz="4" w:space="0"/>
              <w:right w:val="single" w:color="auto" w:sz="4" w:space="0"/>
            </w:tcBorders>
            <w:vAlign w:val="center"/>
          </w:tcPr>
          <w:p w:rsidRPr="005777F1" w:rsidR="00112B19" w:rsidP="003E6359" w:rsidRDefault="00112B19" w14:paraId="7B329A98" w14:textId="2C227C07">
            <w:pPr>
              <w:jc w:val="center"/>
              <w:rPr>
                <w:sz w:val="22"/>
              </w:rPr>
            </w:pPr>
            <w:r w:rsidRPr="005777F1">
              <w:rPr>
                <w:rFonts w:cs="Times New Roman"/>
                <w:sz w:val="22"/>
              </w:rPr>
              <w:t>$</w:t>
            </w:r>
            <w:r>
              <w:rPr>
                <w:rFonts w:cs="Times New Roman"/>
                <w:sz w:val="22"/>
              </w:rPr>
              <w:t>48.62</w:t>
            </w:r>
          </w:p>
        </w:tc>
        <w:tc>
          <w:tcPr>
            <w:tcW w:w="1693" w:type="dxa"/>
            <w:tcBorders>
              <w:top w:val="single" w:color="auto" w:sz="4" w:space="0"/>
              <w:left w:val="single" w:color="auto" w:sz="4" w:space="0"/>
              <w:bottom w:val="single" w:color="auto" w:sz="4" w:space="0"/>
              <w:right w:val="single" w:color="auto" w:sz="4" w:space="0"/>
            </w:tcBorders>
            <w:vAlign w:val="center"/>
          </w:tcPr>
          <w:p w:rsidRPr="005777F1" w:rsidR="00112B19" w:rsidP="003E6359" w:rsidRDefault="00112B19" w14:paraId="5F61AA6F" w14:textId="41FCE3EC">
            <w:pPr>
              <w:jc w:val="center"/>
              <w:rPr>
                <w:sz w:val="22"/>
              </w:rPr>
            </w:pPr>
            <w:r>
              <w:rPr>
                <w:sz w:val="22"/>
              </w:rPr>
              <w:t>$10,551</w:t>
            </w:r>
          </w:p>
        </w:tc>
        <w:tc>
          <w:tcPr>
            <w:tcW w:w="1333" w:type="dxa"/>
            <w:tcBorders>
              <w:top w:val="single" w:color="auto" w:sz="4" w:space="0"/>
              <w:left w:val="single" w:color="auto" w:sz="4" w:space="0"/>
              <w:bottom w:val="single" w:color="auto" w:sz="4" w:space="0"/>
              <w:right w:val="single" w:color="auto" w:sz="4" w:space="0"/>
            </w:tcBorders>
            <w:vAlign w:val="center"/>
          </w:tcPr>
          <w:p w:rsidR="00112B19" w:rsidP="0092726F" w:rsidRDefault="002A6109" w14:paraId="5604D28D" w14:textId="67899DC9">
            <w:pPr>
              <w:jc w:val="center"/>
              <w:rPr>
                <w:sz w:val="22"/>
              </w:rPr>
            </w:pPr>
            <w:r>
              <w:rPr>
                <w:sz w:val="22"/>
              </w:rPr>
              <w:t>$14,771</w:t>
            </w:r>
          </w:p>
        </w:tc>
      </w:tr>
      <w:tr w:rsidRPr="005777F1" w:rsidR="00112B19" w:rsidTr="00C12B81" w14:paraId="7B087FD3" w14:textId="120E54E0">
        <w:tc>
          <w:tcPr>
            <w:tcW w:w="1432" w:type="dxa"/>
            <w:tcBorders>
              <w:top w:val="single" w:color="auto" w:sz="4" w:space="0"/>
              <w:left w:val="single" w:color="auto" w:sz="4" w:space="0"/>
              <w:bottom w:val="single" w:color="auto" w:sz="4" w:space="0"/>
              <w:right w:val="single" w:color="auto" w:sz="4" w:space="0"/>
            </w:tcBorders>
            <w:vAlign w:val="center"/>
          </w:tcPr>
          <w:p w:rsidR="00112B19" w:rsidP="00801775" w:rsidRDefault="00112B19" w14:paraId="5802D37E" w14:textId="635DBC2F">
            <w:pPr>
              <w:rPr>
                <w:sz w:val="22"/>
              </w:rPr>
            </w:pPr>
            <w:r w:rsidRPr="005777F1">
              <w:rPr>
                <w:rFonts w:cs="Times New Roman"/>
                <w:b/>
                <w:sz w:val="22"/>
              </w:rPr>
              <w:t>Total Respondent Burden</w:t>
            </w:r>
          </w:p>
        </w:tc>
        <w:tc>
          <w:tcPr>
            <w:tcW w:w="1439" w:type="dxa"/>
            <w:tcBorders>
              <w:top w:val="single" w:color="auto" w:sz="4" w:space="0"/>
              <w:left w:val="single" w:color="auto" w:sz="4" w:space="0"/>
              <w:bottom w:val="single" w:color="auto" w:sz="4" w:space="0"/>
              <w:right w:val="single" w:color="auto" w:sz="4" w:space="0"/>
            </w:tcBorders>
            <w:vAlign w:val="center"/>
          </w:tcPr>
          <w:p w:rsidRPr="00A70CBF" w:rsidR="00112B19" w:rsidP="003E6359" w:rsidRDefault="00112B19" w14:paraId="7F787471" w14:textId="2D24ED7F">
            <w:pPr>
              <w:jc w:val="center"/>
              <w:rPr>
                <w:b/>
                <w:bCs/>
                <w:sz w:val="22"/>
              </w:rPr>
            </w:pPr>
            <w:r>
              <w:rPr>
                <w:b/>
                <w:bCs/>
                <w:sz w:val="22"/>
              </w:rPr>
              <w:t>6</w:t>
            </w:r>
            <w:r w:rsidRPr="00A70CBF">
              <w:rPr>
                <w:b/>
                <w:bCs/>
                <w:sz w:val="22"/>
              </w:rPr>
              <w:t>90</w:t>
            </w:r>
          </w:p>
        </w:tc>
        <w:tc>
          <w:tcPr>
            <w:tcW w:w="1296" w:type="dxa"/>
            <w:tcBorders>
              <w:top w:val="single" w:color="auto" w:sz="4" w:space="0"/>
              <w:left w:val="single" w:color="auto" w:sz="4" w:space="0"/>
              <w:bottom w:val="single" w:color="auto" w:sz="4" w:space="0"/>
              <w:right w:val="single" w:color="auto" w:sz="4" w:space="0"/>
            </w:tcBorders>
            <w:vAlign w:val="center"/>
          </w:tcPr>
          <w:p w:rsidRPr="005777F1" w:rsidR="00112B19" w:rsidP="003E6359" w:rsidRDefault="00112B19" w14:paraId="4B1813ED" w14:textId="77777777">
            <w:pPr>
              <w:jc w:val="center"/>
              <w:rPr>
                <w:rFonts w:cs="Times New Roman"/>
                <w:sz w:val="22"/>
              </w:rPr>
            </w:pPr>
          </w:p>
        </w:tc>
        <w:tc>
          <w:tcPr>
            <w:tcW w:w="960" w:type="dxa"/>
            <w:tcBorders>
              <w:top w:val="single" w:color="auto" w:sz="4" w:space="0"/>
              <w:left w:val="single" w:color="auto" w:sz="4" w:space="0"/>
              <w:bottom w:val="single" w:color="auto" w:sz="4" w:space="0"/>
              <w:right w:val="single" w:color="auto" w:sz="4" w:space="0"/>
            </w:tcBorders>
            <w:vAlign w:val="center"/>
          </w:tcPr>
          <w:p w:rsidRPr="00A70CBF" w:rsidR="00112B19" w:rsidP="003E6359" w:rsidRDefault="00112B19" w14:paraId="75C1551E" w14:textId="34E0EE62">
            <w:pPr>
              <w:jc w:val="center"/>
              <w:rPr>
                <w:b/>
                <w:bCs/>
                <w:sz w:val="22"/>
              </w:rPr>
            </w:pPr>
            <w:r w:rsidRPr="00A70CBF">
              <w:rPr>
                <w:b/>
                <w:bCs/>
                <w:sz w:val="22"/>
              </w:rPr>
              <w:t>2</w:t>
            </w:r>
            <w:r>
              <w:rPr>
                <w:b/>
                <w:bCs/>
                <w:sz w:val="22"/>
              </w:rPr>
              <w:t>47</w:t>
            </w:r>
          </w:p>
        </w:tc>
        <w:tc>
          <w:tcPr>
            <w:tcW w:w="1046" w:type="dxa"/>
            <w:tcBorders>
              <w:top w:val="single" w:color="auto" w:sz="4" w:space="0"/>
              <w:left w:val="single" w:color="auto" w:sz="4" w:space="0"/>
              <w:bottom w:val="single" w:color="auto" w:sz="4" w:space="0"/>
              <w:right w:val="single" w:color="auto" w:sz="4" w:space="0"/>
            </w:tcBorders>
            <w:vAlign w:val="center"/>
          </w:tcPr>
          <w:p w:rsidRPr="005777F1" w:rsidR="00112B19" w:rsidP="003E6359" w:rsidRDefault="00112B19" w14:paraId="14EB60EE" w14:textId="77777777">
            <w:pPr>
              <w:jc w:val="center"/>
              <w:rPr>
                <w:rFonts w:cs="Times New Roman"/>
                <w:sz w:val="22"/>
              </w:rPr>
            </w:pPr>
          </w:p>
        </w:tc>
        <w:tc>
          <w:tcPr>
            <w:tcW w:w="1693" w:type="dxa"/>
            <w:tcBorders>
              <w:top w:val="single" w:color="auto" w:sz="4" w:space="0"/>
              <w:left w:val="single" w:color="auto" w:sz="4" w:space="0"/>
              <w:bottom w:val="single" w:color="auto" w:sz="4" w:space="0"/>
              <w:right w:val="single" w:color="auto" w:sz="4" w:space="0"/>
            </w:tcBorders>
            <w:vAlign w:val="center"/>
          </w:tcPr>
          <w:p w:rsidRPr="00A70CBF" w:rsidR="00112B19" w:rsidP="003E6359" w:rsidRDefault="00112B19" w14:paraId="24F235D9" w14:textId="1DC0A43C">
            <w:pPr>
              <w:jc w:val="center"/>
              <w:rPr>
                <w:b/>
                <w:bCs/>
                <w:sz w:val="22"/>
              </w:rPr>
            </w:pPr>
            <w:r w:rsidRPr="00A70CBF">
              <w:rPr>
                <w:b/>
                <w:bCs/>
                <w:sz w:val="22"/>
              </w:rPr>
              <w:t>$</w:t>
            </w:r>
            <w:r>
              <w:rPr>
                <w:b/>
                <w:bCs/>
                <w:sz w:val="22"/>
              </w:rPr>
              <w:t>12,010</w:t>
            </w:r>
          </w:p>
        </w:tc>
        <w:tc>
          <w:tcPr>
            <w:tcW w:w="1333" w:type="dxa"/>
            <w:tcBorders>
              <w:top w:val="single" w:color="auto" w:sz="4" w:space="0"/>
              <w:left w:val="single" w:color="auto" w:sz="4" w:space="0"/>
              <w:bottom w:val="single" w:color="auto" w:sz="4" w:space="0"/>
              <w:right w:val="single" w:color="auto" w:sz="4" w:space="0"/>
            </w:tcBorders>
            <w:vAlign w:val="center"/>
          </w:tcPr>
          <w:p w:rsidRPr="00A70CBF" w:rsidR="00112B19" w:rsidP="0092726F" w:rsidRDefault="002A6109" w14:paraId="4ADACD32" w14:textId="754CF6DF">
            <w:pPr>
              <w:jc w:val="center"/>
              <w:rPr>
                <w:b/>
                <w:bCs/>
                <w:sz w:val="22"/>
              </w:rPr>
            </w:pPr>
            <w:r>
              <w:rPr>
                <w:b/>
                <w:bCs/>
                <w:sz w:val="22"/>
              </w:rPr>
              <w:t>$</w:t>
            </w:r>
            <w:r w:rsidR="00C12B81">
              <w:rPr>
                <w:b/>
                <w:bCs/>
                <w:sz w:val="22"/>
              </w:rPr>
              <w:t>16,81</w:t>
            </w:r>
            <w:r w:rsidR="00A15487">
              <w:rPr>
                <w:b/>
                <w:bCs/>
                <w:sz w:val="22"/>
              </w:rPr>
              <w:t>4</w:t>
            </w:r>
          </w:p>
        </w:tc>
      </w:tr>
      <w:tr w:rsidRPr="005777F1" w:rsidR="0071035D" w:rsidTr="008B39F0" w14:paraId="180EF12D" w14:textId="77777777">
        <w:tc>
          <w:tcPr>
            <w:tcW w:w="9199" w:type="dxa"/>
            <w:gridSpan w:val="7"/>
            <w:tcBorders>
              <w:top w:val="single" w:color="auto" w:sz="4" w:space="0"/>
              <w:left w:val="single" w:color="auto" w:sz="4" w:space="0"/>
              <w:bottom w:val="single" w:color="auto" w:sz="4" w:space="0"/>
              <w:right w:val="single" w:color="auto" w:sz="4" w:space="0"/>
            </w:tcBorders>
            <w:vAlign w:val="center"/>
          </w:tcPr>
          <w:p w:rsidRPr="005B4631" w:rsidR="0071035D" w:rsidP="0071035D" w:rsidRDefault="0071035D" w14:paraId="2E007F23" w14:textId="77777777">
            <w:pPr>
              <w:rPr>
                <w:sz w:val="22"/>
              </w:rPr>
            </w:pPr>
            <w:r>
              <w:rPr>
                <w:b/>
                <w:bCs/>
                <w:sz w:val="22"/>
                <w:vertAlign w:val="superscript"/>
              </w:rPr>
              <w:t>1</w:t>
            </w:r>
            <w:r>
              <w:rPr>
                <w:b/>
                <w:bCs/>
                <w:sz w:val="22"/>
              </w:rPr>
              <w:t xml:space="preserve"> </w:t>
            </w:r>
            <w:r w:rsidRPr="005B4631">
              <w:rPr>
                <w:sz w:val="22"/>
              </w:rPr>
              <w:t xml:space="preserve">Average Hourly Wage Rate was calculated from multiple sources: https://sealiftcommand.com/storage/app/media/2019EastCoastPayCharts13AUG2019.pdf, </w:t>
            </w:r>
          </w:p>
          <w:p w:rsidR="0071035D" w:rsidP="0071035D" w:rsidRDefault="0071035D" w14:paraId="322215E9" w14:textId="77777777">
            <w:pPr>
              <w:rPr>
                <w:sz w:val="22"/>
              </w:rPr>
            </w:pPr>
            <w:r w:rsidRPr="003F6B98">
              <w:rPr>
                <w:rStyle w:val="Hyperlink"/>
                <w:color w:val="000000" w:themeColor="text1"/>
                <w:sz w:val="22"/>
                <w:u w:val="none"/>
              </w:rPr>
              <w:t>https://www.mercer.us/our-thinking/career/2019-united-states-compensation-planning-survey-key-findings.html</w:t>
            </w:r>
            <w:r w:rsidRPr="005B4631">
              <w:rPr>
                <w:sz w:val="22"/>
              </w:rPr>
              <w:t>,</w:t>
            </w:r>
            <w:r>
              <w:rPr>
                <w:sz w:val="22"/>
              </w:rPr>
              <w:t xml:space="preserve"> </w:t>
            </w:r>
            <w:r w:rsidRPr="005B4631">
              <w:rPr>
                <w:sz w:val="22"/>
              </w:rPr>
              <w:t xml:space="preserve">https://www.imercer.com/articleinsights/march-2021-us-compensation-planning-pulse-survey-results, https://www.bls.gov/oes/current/oes_stru.htm#53-0000, </w:t>
            </w:r>
            <w:r w:rsidRPr="009722CE">
              <w:rPr>
                <w:sz w:val="22"/>
              </w:rPr>
              <w:t>and RRF Collective Bargaining Agreement Data from MAR</w:t>
            </w:r>
            <w:r>
              <w:rPr>
                <w:sz w:val="22"/>
              </w:rPr>
              <w:t>AD</w:t>
            </w:r>
            <w:r w:rsidRPr="009722CE">
              <w:rPr>
                <w:sz w:val="22"/>
              </w:rPr>
              <w:t xml:space="preserve"> (not publicly available)</w:t>
            </w:r>
          </w:p>
          <w:p w:rsidR="0071035D" w:rsidRDefault="0071035D" w14:paraId="713D25A8" w14:textId="77777777">
            <w:pPr>
              <w:rPr>
                <w:sz w:val="22"/>
              </w:rPr>
            </w:pPr>
            <w:r w:rsidRPr="00B36FC8">
              <w:rPr>
                <w:sz w:val="22"/>
                <w:vertAlign w:val="superscript"/>
              </w:rPr>
              <w:t>2</w:t>
            </w:r>
            <w:r w:rsidRPr="00B36FC8" w:rsidR="004217AD">
              <w:rPr>
                <w:sz w:val="22"/>
              </w:rPr>
              <w:t xml:space="preserve"> </w:t>
            </w:r>
            <w:r w:rsidR="004217AD">
              <w:rPr>
                <w:rFonts w:cs="Times New Roman"/>
                <w:snapToGrid w:val="0"/>
                <w:sz w:val="22"/>
              </w:rPr>
              <w:t>Total Cost = Salary Cost times 1.4 to reflect fringe benefits.</w:t>
            </w:r>
            <w:r>
              <w:rPr>
                <w:sz w:val="22"/>
              </w:rPr>
              <w:t xml:space="preserve"> </w:t>
            </w:r>
          </w:p>
          <w:p w:rsidRPr="00B36FC8" w:rsidR="00B36FC8" w:rsidP="00B36FC8" w:rsidRDefault="00B36FC8" w14:paraId="3F7F7742" w14:textId="4C8FB2D9">
            <w:pPr>
              <w:rPr>
                <w:sz w:val="22"/>
              </w:rPr>
            </w:pPr>
            <w:r>
              <w:rPr>
                <w:sz w:val="22"/>
                <w:vertAlign w:val="superscript"/>
              </w:rPr>
              <w:t>3</w:t>
            </w:r>
            <w:r w:rsidRPr="00D94A0B">
              <w:rPr>
                <w:sz w:val="22"/>
              </w:rPr>
              <w:t xml:space="preserve"> </w:t>
            </w:r>
            <w:r>
              <w:rPr>
                <w:sz w:val="22"/>
              </w:rPr>
              <w:t>Includes 15 minutes (0.</w:t>
            </w:r>
            <w:r w:rsidR="004829C0">
              <w:rPr>
                <w:sz w:val="22"/>
              </w:rPr>
              <w:t>2</w:t>
            </w:r>
            <w:r>
              <w:rPr>
                <w:sz w:val="22"/>
              </w:rPr>
              <w:t>5 hours) for</w:t>
            </w:r>
            <w:r w:rsidR="00CF2661">
              <w:rPr>
                <w:sz w:val="22"/>
              </w:rPr>
              <w:t xml:space="preserve"> the</w:t>
            </w:r>
            <w:r>
              <w:rPr>
                <w:sz w:val="22"/>
              </w:rPr>
              <w:t xml:space="preserve"> survey and 30 minutes (0.50 hours) for</w:t>
            </w:r>
            <w:r w:rsidR="00CF2661">
              <w:rPr>
                <w:sz w:val="22"/>
              </w:rPr>
              <w:t xml:space="preserve"> the</w:t>
            </w:r>
            <w:r>
              <w:rPr>
                <w:sz w:val="22"/>
              </w:rPr>
              <w:t xml:space="preserve"> interview</w:t>
            </w:r>
          </w:p>
        </w:tc>
      </w:tr>
    </w:tbl>
    <w:p w:rsidR="00962220" w:rsidP="00962220" w:rsidRDefault="00962220" w14:paraId="348CFCF0" w14:textId="3BFC4473"/>
    <w:p w:rsidR="003F6B98" w:rsidRDefault="003F6B98" w14:paraId="7DD95F13" w14:textId="5503C854">
      <w:pPr>
        <w:rPr>
          <w:rFonts w:eastAsiaTheme="majorEastAsia" w:cstheme="majorBidi"/>
          <w:b/>
          <w:color w:val="000000" w:themeColor="text1"/>
          <w:szCs w:val="24"/>
        </w:rPr>
      </w:pPr>
    </w:p>
    <w:p w:rsidRPr="005777F1" w:rsidR="004442D9" w:rsidP="00425539" w:rsidRDefault="00C03BED" w14:paraId="4AB12B07" w14:textId="2CD4E170">
      <w:pPr>
        <w:pStyle w:val="Heading3"/>
      </w:pPr>
      <w:bookmarkStart w:name="_Toc90302122" w:id="29"/>
      <w:r w:rsidRPr="005777F1">
        <w:t>A</w:t>
      </w:r>
      <w:r w:rsidRPr="005777F1" w:rsidR="008D354C">
        <w:t>.1</w:t>
      </w:r>
      <w:r w:rsidRPr="005777F1" w:rsidR="007626DD">
        <w:t xml:space="preserve">3 </w:t>
      </w:r>
      <w:r w:rsidRPr="005777F1" w:rsidR="008D354C">
        <w:t>Total Annual Cost Burden</w:t>
      </w:r>
      <w:bookmarkEnd w:id="29"/>
      <w:r w:rsidRPr="005777F1" w:rsidR="004442D9">
        <w:t xml:space="preserve"> </w:t>
      </w:r>
    </w:p>
    <w:p w:rsidRPr="005777F1" w:rsidR="004442D9" w:rsidP="004442D9" w:rsidRDefault="004442D9" w14:paraId="09CC7B1F" w14:textId="13DF4B64">
      <w:pPr>
        <w:rPr>
          <w:rFonts w:cs="Times New Roman"/>
          <w:szCs w:val="24"/>
        </w:rPr>
      </w:pPr>
      <w:r w:rsidRPr="005777F1">
        <w:rPr>
          <w:rFonts w:cs="Times New Roman"/>
          <w:szCs w:val="24"/>
        </w:rPr>
        <w:t xml:space="preserve">Other than the burden associated with </w:t>
      </w:r>
      <w:r w:rsidR="0078778B">
        <w:rPr>
          <w:rFonts w:cs="Times New Roman"/>
          <w:szCs w:val="24"/>
        </w:rPr>
        <w:t>participating in the cognitive interviews and the pilot survey</w:t>
      </w:r>
      <w:r w:rsidRPr="005777F1">
        <w:rPr>
          <w:rFonts w:cs="Times New Roman"/>
          <w:szCs w:val="24"/>
        </w:rPr>
        <w:t xml:space="preserve"> (estimated above in Section A.12), the </w:t>
      </w:r>
      <w:r w:rsidRPr="00922263" w:rsidR="0078778B">
        <w:rPr>
          <w:rFonts w:cs="Times New Roman"/>
          <w:szCs w:val="24"/>
          <w:u w:val="single"/>
        </w:rPr>
        <w:t>Mariner Survey Pre-Test</w:t>
      </w:r>
      <w:r w:rsidRPr="005777F1" w:rsidDel="0078778B" w:rsidR="0078778B">
        <w:rPr>
          <w:rFonts w:cs="Times New Roman"/>
          <w:szCs w:val="24"/>
        </w:rPr>
        <w:t xml:space="preserve"> </w:t>
      </w:r>
      <w:r w:rsidRPr="005777F1">
        <w:rPr>
          <w:rFonts w:cs="Times New Roman"/>
          <w:szCs w:val="24"/>
        </w:rPr>
        <w:t xml:space="preserve">imposes no additional cost to respondents. </w:t>
      </w:r>
    </w:p>
    <w:p w:rsidR="00F71569" w:rsidP="00E4011D" w:rsidRDefault="00F71569" w14:paraId="1BF83636" w14:textId="77777777">
      <w:pPr>
        <w:pStyle w:val="Heading2"/>
      </w:pPr>
    </w:p>
    <w:p w:rsidRPr="005777F1" w:rsidR="004442D9" w:rsidP="002F2BF4" w:rsidRDefault="008D354C" w14:paraId="38771352" w14:textId="32D12153">
      <w:pPr>
        <w:pStyle w:val="Heading3"/>
      </w:pPr>
      <w:bookmarkStart w:name="_Toc90302123" w:id="30"/>
      <w:r w:rsidRPr="005777F1">
        <w:t>A.</w:t>
      </w:r>
      <w:r w:rsidRPr="005777F1" w:rsidR="004442D9">
        <w:t>14</w:t>
      </w:r>
      <w:r w:rsidRPr="005777F1" w:rsidR="007626DD">
        <w:t xml:space="preserve"> </w:t>
      </w:r>
      <w:r w:rsidRPr="005777F1" w:rsidR="004442D9">
        <w:t>Estimate</w:t>
      </w:r>
      <w:r w:rsidRPr="005777F1">
        <w:t>d</w:t>
      </w:r>
      <w:r w:rsidRPr="005777F1" w:rsidR="004442D9">
        <w:t xml:space="preserve"> </w:t>
      </w:r>
      <w:r w:rsidRPr="005777F1">
        <w:t>C</w:t>
      </w:r>
      <w:r w:rsidRPr="005777F1" w:rsidR="004442D9">
        <w:t xml:space="preserve">ost to the Federal </w:t>
      </w:r>
      <w:r w:rsidRPr="005777F1">
        <w:t>G</w:t>
      </w:r>
      <w:r w:rsidRPr="005777F1" w:rsidR="004442D9">
        <w:t>overnment</w:t>
      </w:r>
      <w:bookmarkEnd w:id="30"/>
    </w:p>
    <w:p w:rsidRPr="005777F1" w:rsidR="0096797F" w:rsidP="0096797F" w:rsidRDefault="00C904A2" w14:paraId="5B9EF2D1" w14:textId="32BA3E68">
      <w:pPr>
        <w:rPr>
          <w:szCs w:val="24"/>
        </w:rPr>
      </w:pPr>
      <w:r w:rsidRPr="005777F1">
        <w:t xml:space="preserve">The estimated total cost to the government, </w:t>
      </w:r>
      <w:r w:rsidR="0096797F">
        <w:t xml:space="preserve">including </w:t>
      </w:r>
      <w:r w:rsidR="007D74C4">
        <w:t xml:space="preserve">the </w:t>
      </w:r>
      <w:r w:rsidR="0096797F">
        <w:t xml:space="preserve">$30,835 cost of contractor and </w:t>
      </w:r>
      <w:r w:rsidR="00611829">
        <w:t xml:space="preserve">the </w:t>
      </w:r>
      <w:r w:rsidR="0096797F">
        <w:t>$6,673 internal MARAD cost</w:t>
      </w:r>
      <w:r w:rsidR="00F95BD1">
        <w:t xml:space="preserve"> </w:t>
      </w:r>
      <w:r w:rsidRPr="005777F1">
        <w:t xml:space="preserve">as detailed below, is </w:t>
      </w:r>
      <w:r w:rsidRPr="00F95BD1">
        <w:rPr>
          <w:rFonts w:cs="Times New Roman"/>
          <w:szCs w:val="24"/>
        </w:rPr>
        <w:t>$</w:t>
      </w:r>
      <w:r w:rsidRPr="00F95BD1" w:rsidR="00F95BD1">
        <w:rPr>
          <w:rFonts w:cs="Times New Roman"/>
          <w:szCs w:val="24"/>
        </w:rPr>
        <w:t>37</w:t>
      </w:r>
      <w:r w:rsidR="006464C8">
        <w:rPr>
          <w:rFonts w:cs="Times New Roman"/>
          <w:szCs w:val="24"/>
        </w:rPr>
        <w:t>,</w:t>
      </w:r>
      <w:r w:rsidRPr="00F95BD1" w:rsidR="00F95BD1">
        <w:rPr>
          <w:rFonts w:cs="Times New Roman"/>
          <w:szCs w:val="24"/>
        </w:rPr>
        <w:t>508</w:t>
      </w:r>
      <w:r w:rsidRPr="00F95BD1">
        <w:rPr>
          <w:rFonts w:cs="Times New Roman"/>
          <w:szCs w:val="24"/>
        </w:rPr>
        <w:t>.</w:t>
      </w:r>
      <w:r w:rsidR="0096797F">
        <w:rPr>
          <w:rFonts w:cs="Times New Roman"/>
          <w:sz w:val="22"/>
          <w:szCs w:val="20"/>
        </w:rPr>
        <w:t xml:space="preserve"> </w:t>
      </w:r>
    </w:p>
    <w:p w:rsidRPr="005777F1" w:rsidR="00AC15B6" w:rsidP="005072A6" w:rsidRDefault="00AC15B6" w14:paraId="7AAFC881" w14:textId="128CC06D">
      <w:pPr>
        <w:rPr>
          <w:rFonts w:cs="Times New Roman"/>
          <w:b/>
          <w:szCs w:val="24"/>
        </w:rPr>
      </w:pPr>
      <w:r w:rsidRPr="005777F1">
        <w:rPr>
          <w:rFonts w:cs="Times New Roman"/>
          <w:b/>
          <w:szCs w:val="24"/>
        </w:rPr>
        <w:t>1. Contractor Cost</w:t>
      </w:r>
    </w:p>
    <w:p w:rsidRPr="005777F1" w:rsidR="00B80E78" w:rsidRDefault="00AC15B6" w14:paraId="185CBF0B" w14:textId="3CBC9B8F">
      <w:pPr>
        <w:rPr>
          <w:rFonts w:cs="Times New Roman"/>
          <w:szCs w:val="24"/>
        </w:rPr>
      </w:pPr>
      <w:r w:rsidRPr="005777F1">
        <w:rPr>
          <w:rFonts w:cs="Times New Roman"/>
          <w:szCs w:val="24"/>
        </w:rPr>
        <w:t xml:space="preserve">MARAD has </w:t>
      </w:r>
      <w:r w:rsidR="006029D9">
        <w:rPr>
          <w:rFonts w:cs="Times New Roman"/>
          <w:szCs w:val="24"/>
        </w:rPr>
        <w:t xml:space="preserve">a fixed price </w:t>
      </w:r>
      <w:r w:rsidRPr="005777F1">
        <w:rPr>
          <w:rFonts w:cs="Times New Roman"/>
          <w:szCs w:val="24"/>
        </w:rPr>
        <w:t xml:space="preserve">contract with </w:t>
      </w:r>
      <w:r w:rsidRPr="005777F1" w:rsidR="0081780E">
        <w:rPr>
          <w:rFonts w:cs="Times New Roman"/>
          <w:szCs w:val="24"/>
        </w:rPr>
        <w:t>Strategic Research Group (</w:t>
      </w:r>
      <w:r w:rsidRPr="005777F1">
        <w:rPr>
          <w:rFonts w:cs="Times New Roman"/>
          <w:szCs w:val="24"/>
        </w:rPr>
        <w:t>SRG</w:t>
      </w:r>
      <w:r w:rsidRPr="005777F1" w:rsidR="0081780E">
        <w:rPr>
          <w:rFonts w:cs="Times New Roman"/>
          <w:szCs w:val="24"/>
        </w:rPr>
        <w:t>)</w:t>
      </w:r>
      <w:r w:rsidRPr="005777F1">
        <w:rPr>
          <w:rFonts w:cs="Times New Roman"/>
          <w:szCs w:val="24"/>
        </w:rPr>
        <w:t xml:space="preserve"> </w:t>
      </w:r>
      <w:r w:rsidRPr="005777F1" w:rsidR="004B69B3">
        <w:rPr>
          <w:rFonts w:cs="Times New Roman"/>
          <w:szCs w:val="24"/>
        </w:rPr>
        <w:t>t</w:t>
      </w:r>
      <w:r w:rsidRPr="005777F1">
        <w:rPr>
          <w:rFonts w:cs="Times New Roman"/>
          <w:szCs w:val="24"/>
        </w:rPr>
        <w:t xml:space="preserve">o conduct the Mariner Surveys. </w:t>
      </w:r>
      <w:r w:rsidR="006029D9">
        <w:rPr>
          <w:rFonts w:cs="Times New Roman"/>
          <w:szCs w:val="24"/>
        </w:rPr>
        <w:t>Based on the Pre-Test deliverables in the</w:t>
      </w:r>
      <w:r w:rsidRPr="005777F1" w:rsidR="006029D9">
        <w:rPr>
          <w:rFonts w:cs="Times New Roman"/>
          <w:szCs w:val="24"/>
        </w:rPr>
        <w:t xml:space="preserve"> contract</w:t>
      </w:r>
      <w:r w:rsidR="006029D9">
        <w:rPr>
          <w:rFonts w:cs="Times New Roman"/>
          <w:szCs w:val="24"/>
        </w:rPr>
        <w:t>, t</w:t>
      </w:r>
      <w:r w:rsidRPr="005777F1" w:rsidR="000E6249">
        <w:rPr>
          <w:rFonts w:cs="Times New Roman"/>
          <w:szCs w:val="24"/>
        </w:rPr>
        <w:t xml:space="preserve">he total </w:t>
      </w:r>
      <w:r w:rsidRPr="005777F1">
        <w:rPr>
          <w:rFonts w:cs="Times New Roman"/>
          <w:szCs w:val="24"/>
        </w:rPr>
        <w:t xml:space="preserve">contractor </w:t>
      </w:r>
      <w:r w:rsidRPr="005777F1" w:rsidR="000E6249">
        <w:rPr>
          <w:rFonts w:cs="Times New Roman"/>
          <w:szCs w:val="24"/>
        </w:rPr>
        <w:t xml:space="preserve">cost </w:t>
      </w:r>
      <w:r w:rsidRPr="005777F1">
        <w:rPr>
          <w:rFonts w:cs="Times New Roman"/>
          <w:szCs w:val="24"/>
        </w:rPr>
        <w:t xml:space="preserve">to </w:t>
      </w:r>
      <w:r w:rsidRPr="005777F1" w:rsidR="000E6249">
        <w:rPr>
          <w:rFonts w:cs="Times New Roman"/>
          <w:szCs w:val="24"/>
        </w:rPr>
        <w:t xml:space="preserve">the Federal Government for conducting the </w:t>
      </w:r>
      <w:r w:rsidRPr="005777F1" w:rsidR="000E6249">
        <w:rPr>
          <w:rFonts w:cs="Times New Roman"/>
          <w:szCs w:val="24"/>
          <w:u w:val="single"/>
        </w:rPr>
        <w:t>Mariner Survey</w:t>
      </w:r>
      <w:r w:rsidRPr="00C3713B" w:rsidR="000E6249">
        <w:rPr>
          <w:rFonts w:cs="Times New Roman"/>
          <w:szCs w:val="24"/>
          <w:u w:val="single"/>
        </w:rPr>
        <w:t xml:space="preserve"> </w:t>
      </w:r>
      <w:r w:rsidRPr="00C3713B" w:rsidR="001B3AEA">
        <w:rPr>
          <w:rFonts w:cs="Times New Roman"/>
          <w:szCs w:val="24"/>
          <w:u w:val="single"/>
        </w:rPr>
        <w:t xml:space="preserve">Pre-Test </w:t>
      </w:r>
      <w:r w:rsidRPr="005777F1" w:rsidR="000E6249">
        <w:rPr>
          <w:rFonts w:cs="Times New Roman"/>
          <w:szCs w:val="24"/>
        </w:rPr>
        <w:t>as described in the current request is $</w:t>
      </w:r>
      <w:r w:rsidR="001B3AEA">
        <w:rPr>
          <w:rFonts w:cs="Times New Roman"/>
          <w:szCs w:val="24"/>
        </w:rPr>
        <w:t>30,835</w:t>
      </w:r>
      <w:r w:rsidRPr="005777F1" w:rsidR="009936BC">
        <w:rPr>
          <w:rFonts w:cs="Times New Roman"/>
          <w:szCs w:val="24"/>
        </w:rPr>
        <w:t xml:space="preserve">. </w:t>
      </w:r>
    </w:p>
    <w:p w:rsidRPr="005777F1" w:rsidR="001C4FEB" w:rsidP="00C3713B" w:rsidRDefault="00AC15B6" w14:paraId="4CC29A73" w14:textId="6543A7EF">
      <w:pPr>
        <w:spacing w:before="40"/>
        <w:rPr>
          <w:b/>
        </w:rPr>
      </w:pPr>
      <w:r w:rsidRPr="005777F1">
        <w:rPr>
          <w:b/>
        </w:rPr>
        <w:t>2. MARAD’s internal costs</w:t>
      </w:r>
    </w:p>
    <w:p w:rsidR="00811BA5" w:rsidP="00E97D83" w:rsidRDefault="00AC15B6" w14:paraId="5C3A82D5" w14:textId="1FB81062">
      <w:pPr>
        <w:rPr>
          <w:rFonts w:cs="Times New Roman"/>
          <w:b/>
          <w:bCs/>
          <w:szCs w:val="24"/>
        </w:rPr>
      </w:pPr>
      <w:r w:rsidRPr="005777F1">
        <w:t>MARAD’</w:t>
      </w:r>
      <w:r w:rsidRPr="005777F1" w:rsidR="00C677AF">
        <w:t>s</w:t>
      </w:r>
      <w:r w:rsidRPr="005777F1">
        <w:t xml:space="preserve"> </w:t>
      </w:r>
      <w:r w:rsidRPr="005777F1" w:rsidR="00C677AF">
        <w:t xml:space="preserve">estimated internal annual </w:t>
      </w:r>
      <w:r w:rsidRPr="005777F1">
        <w:t>cost for providing oversight and review of the Marine</w:t>
      </w:r>
      <w:r w:rsidRPr="005777F1" w:rsidR="00CD7F73">
        <w:t>r</w:t>
      </w:r>
      <w:r w:rsidRPr="005777F1">
        <w:t xml:space="preserve"> Survey contractor’s effort </w:t>
      </w:r>
      <w:r w:rsidR="002A6595">
        <w:t xml:space="preserve">for the </w:t>
      </w:r>
      <w:r w:rsidRPr="001B0657" w:rsidR="002A6595">
        <w:rPr>
          <w:u w:val="single"/>
        </w:rPr>
        <w:t>Mariner Survey Pre-Test</w:t>
      </w:r>
      <w:r w:rsidR="002A6595">
        <w:t xml:space="preserve"> </w:t>
      </w:r>
      <w:r w:rsidRPr="005777F1">
        <w:t xml:space="preserve">is </w:t>
      </w:r>
      <w:r w:rsidRPr="005777F1" w:rsidR="00C677AF">
        <w:t>provided in the table below.</w:t>
      </w:r>
    </w:p>
    <w:p w:rsidRPr="005777F1" w:rsidR="00E97D83" w:rsidP="00E97D83" w:rsidRDefault="00E97D83" w14:paraId="414CCCE4" w14:textId="0AEDB4B7">
      <w:pPr>
        <w:rPr>
          <w:rFonts w:cs="Times New Roman"/>
          <w:b/>
          <w:bCs/>
          <w:szCs w:val="24"/>
        </w:rPr>
      </w:pPr>
      <w:r w:rsidRPr="005777F1">
        <w:rPr>
          <w:rFonts w:cs="Times New Roman"/>
          <w:b/>
          <w:bCs/>
          <w:szCs w:val="24"/>
        </w:rPr>
        <w:t>Table A.14.</w:t>
      </w:r>
      <w:r w:rsidR="002A6595">
        <w:rPr>
          <w:rFonts w:cs="Times New Roman"/>
          <w:b/>
          <w:bCs/>
          <w:szCs w:val="24"/>
        </w:rPr>
        <w:t>1</w:t>
      </w:r>
      <w:r w:rsidRPr="005777F1">
        <w:rPr>
          <w:rFonts w:cs="Times New Roman"/>
          <w:b/>
          <w:bCs/>
          <w:szCs w:val="24"/>
        </w:rPr>
        <w:t xml:space="preserve">. </w:t>
      </w:r>
      <w:r w:rsidRPr="005777F1" w:rsidR="005B172E">
        <w:rPr>
          <w:rFonts w:cs="Times New Roman"/>
          <w:b/>
          <w:bCs/>
          <w:szCs w:val="24"/>
        </w:rPr>
        <w:t xml:space="preserve">MARAD </w:t>
      </w:r>
      <w:r w:rsidR="000B6EDF">
        <w:rPr>
          <w:rFonts w:cs="Times New Roman"/>
          <w:b/>
          <w:bCs/>
          <w:szCs w:val="24"/>
        </w:rPr>
        <w:t xml:space="preserve">Internal </w:t>
      </w:r>
      <w:r w:rsidRPr="005777F1">
        <w:rPr>
          <w:rFonts w:cs="Times New Roman"/>
          <w:b/>
          <w:bCs/>
          <w:szCs w:val="24"/>
        </w:rPr>
        <w:t>Cost for the Mariner Survey</w:t>
      </w:r>
      <w:r w:rsidRPr="005777F1" w:rsidR="000327FB">
        <w:rPr>
          <w:rFonts w:cs="Times New Roman"/>
          <w:b/>
          <w:bCs/>
          <w:szCs w:val="24"/>
        </w:rPr>
        <w:t xml:space="preserve"> </w:t>
      </w:r>
      <w:r w:rsidR="002A6595">
        <w:rPr>
          <w:rFonts w:cs="Times New Roman"/>
          <w:b/>
          <w:bCs/>
          <w:szCs w:val="24"/>
        </w:rPr>
        <w:t>Pre-Test</w:t>
      </w:r>
      <w:r w:rsidRPr="005777F1" w:rsidR="005B172E">
        <w:rPr>
          <w:rFonts w:cs="Times New Roman"/>
          <w:b/>
          <w:bCs/>
          <w:szCs w:val="24"/>
        </w:rPr>
        <w:t>.</w:t>
      </w:r>
    </w:p>
    <w:tbl>
      <w:tblPr>
        <w:tblW w:w="90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170"/>
        <w:gridCol w:w="1440"/>
        <w:gridCol w:w="2070"/>
        <w:gridCol w:w="990"/>
        <w:gridCol w:w="1103"/>
        <w:gridCol w:w="1080"/>
        <w:gridCol w:w="1147"/>
      </w:tblGrid>
      <w:tr w:rsidRPr="00987591" w:rsidR="008E01D3" w:rsidTr="00987591" w14:paraId="52F63E09" w14:textId="77777777">
        <w:trPr>
          <w:trHeight w:val="521"/>
          <w:tblHeader/>
        </w:trPr>
        <w:tc>
          <w:tcPr>
            <w:tcW w:w="1170" w:type="dxa"/>
            <w:shd w:val="clear" w:color="auto" w:fill="auto"/>
            <w:vAlign w:val="center"/>
          </w:tcPr>
          <w:p w:rsidRPr="00962220" w:rsidR="008E01D3" w:rsidP="00B80E78" w:rsidRDefault="008E01D3" w14:paraId="62C9249D" w14:textId="77777777">
            <w:pPr>
              <w:spacing w:after="0"/>
              <w:jc w:val="center"/>
              <w:rPr>
                <w:rFonts w:cs="Times New Roman"/>
                <w:b/>
                <w:snapToGrid w:val="0"/>
                <w:sz w:val="22"/>
              </w:rPr>
            </w:pPr>
            <w:r w:rsidRPr="00962220">
              <w:rPr>
                <w:rFonts w:cs="Times New Roman"/>
                <w:b/>
                <w:snapToGrid w:val="0"/>
                <w:sz w:val="22"/>
              </w:rPr>
              <w:t>Employee Grade</w:t>
            </w:r>
          </w:p>
        </w:tc>
        <w:tc>
          <w:tcPr>
            <w:tcW w:w="1440" w:type="dxa"/>
            <w:shd w:val="clear" w:color="auto" w:fill="auto"/>
            <w:vAlign w:val="center"/>
          </w:tcPr>
          <w:p w:rsidRPr="00962220" w:rsidR="008E01D3" w:rsidP="00B80E78" w:rsidRDefault="008E01D3" w14:paraId="598E80B6" w14:textId="77777777">
            <w:pPr>
              <w:spacing w:after="0"/>
              <w:jc w:val="center"/>
              <w:rPr>
                <w:rFonts w:cs="Times New Roman"/>
                <w:b/>
                <w:sz w:val="22"/>
              </w:rPr>
            </w:pPr>
            <w:r w:rsidRPr="00962220">
              <w:rPr>
                <w:rFonts w:cs="Times New Roman"/>
                <w:b/>
                <w:sz w:val="22"/>
              </w:rPr>
              <w:t>Office Code</w:t>
            </w:r>
          </w:p>
        </w:tc>
        <w:tc>
          <w:tcPr>
            <w:tcW w:w="2070" w:type="dxa"/>
            <w:shd w:val="clear" w:color="auto" w:fill="auto"/>
            <w:vAlign w:val="center"/>
          </w:tcPr>
          <w:p w:rsidRPr="00962220" w:rsidR="008E01D3" w:rsidP="00B80E78" w:rsidRDefault="008E01D3" w14:paraId="4AECB29D" w14:textId="77777777">
            <w:pPr>
              <w:spacing w:after="0"/>
              <w:jc w:val="center"/>
              <w:rPr>
                <w:rFonts w:cs="Times New Roman"/>
                <w:b/>
                <w:sz w:val="22"/>
              </w:rPr>
            </w:pPr>
            <w:r w:rsidRPr="00962220">
              <w:rPr>
                <w:rFonts w:cs="Times New Roman"/>
                <w:b/>
                <w:sz w:val="22"/>
              </w:rPr>
              <w:t>Activity</w:t>
            </w:r>
          </w:p>
        </w:tc>
        <w:tc>
          <w:tcPr>
            <w:tcW w:w="990" w:type="dxa"/>
            <w:shd w:val="clear" w:color="auto" w:fill="auto"/>
            <w:vAlign w:val="center"/>
          </w:tcPr>
          <w:p w:rsidRPr="00962220" w:rsidR="008E01D3" w:rsidP="00B80E78" w:rsidRDefault="00987591" w14:paraId="758D0B78" w14:textId="4928AB70">
            <w:pPr>
              <w:spacing w:after="0"/>
              <w:jc w:val="center"/>
              <w:rPr>
                <w:rFonts w:cs="Times New Roman"/>
                <w:b/>
                <w:snapToGrid w:val="0"/>
                <w:sz w:val="22"/>
              </w:rPr>
            </w:pPr>
            <w:r w:rsidRPr="00962220">
              <w:rPr>
                <w:rFonts w:cs="Times New Roman"/>
                <w:b/>
                <w:sz w:val="22"/>
              </w:rPr>
              <w:t>Total</w:t>
            </w:r>
            <w:r w:rsidRPr="00962220" w:rsidR="008E01D3">
              <w:rPr>
                <w:rFonts w:cs="Times New Roman"/>
                <w:b/>
                <w:sz w:val="22"/>
              </w:rPr>
              <w:t xml:space="preserve"> Hours</w:t>
            </w:r>
          </w:p>
        </w:tc>
        <w:tc>
          <w:tcPr>
            <w:tcW w:w="1103" w:type="dxa"/>
            <w:shd w:val="clear" w:color="auto" w:fill="auto"/>
            <w:vAlign w:val="center"/>
          </w:tcPr>
          <w:p w:rsidRPr="00962220" w:rsidR="008E01D3" w:rsidP="00B80E78" w:rsidRDefault="008E01D3" w14:paraId="3EFE0403" w14:textId="59AF8608">
            <w:pPr>
              <w:spacing w:after="0"/>
              <w:jc w:val="center"/>
              <w:rPr>
                <w:rFonts w:cs="Times New Roman"/>
                <w:b/>
                <w:snapToGrid w:val="0"/>
                <w:sz w:val="22"/>
                <w:vertAlign w:val="superscript"/>
              </w:rPr>
            </w:pPr>
            <w:r w:rsidRPr="00962220">
              <w:rPr>
                <w:rFonts w:cs="Times New Roman"/>
                <w:b/>
                <w:snapToGrid w:val="0"/>
                <w:sz w:val="22"/>
              </w:rPr>
              <w:t>Hourly Salary</w:t>
            </w:r>
            <w:r w:rsidRPr="00962220">
              <w:rPr>
                <w:rFonts w:cs="Times New Roman"/>
                <w:b/>
                <w:snapToGrid w:val="0"/>
                <w:sz w:val="22"/>
                <w:vertAlign w:val="superscript"/>
              </w:rPr>
              <w:t>1,2</w:t>
            </w:r>
          </w:p>
        </w:tc>
        <w:tc>
          <w:tcPr>
            <w:tcW w:w="1080" w:type="dxa"/>
            <w:shd w:val="clear" w:color="auto" w:fill="auto"/>
            <w:vAlign w:val="center"/>
          </w:tcPr>
          <w:p w:rsidRPr="00962220" w:rsidR="008E01D3" w:rsidP="00B80E78" w:rsidRDefault="008E01D3" w14:paraId="31ECC606" w14:textId="77777777">
            <w:pPr>
              <w:spacing w:after="0"/>
              <w:jc w:val="center"/>
              <w:rPr>
                <w:rFonts w:cs="Times New Roman"/>
                <w:b/>
                <w:snapToGrid w:val="0"/>
                <w:sz w:val="22"/>
              </w:rPr>
            </w:pPr>
            <w:r w:rsidRPr="00962220">
              <w:rPr>
                <w:rFonts w:cs="Times New Roman"/>
                <w:b/>
                <w:snapToGrid w:val="0"/>
                <w:sz w:val="22"/>
              </w:rPr>
              <w:t>Salary Cost</w:t>
            </w:r>
          </w:p>
        </w:tc>
        <w:tc>
          <w:tcPr>
            <w:tcW w:w="1147" w:type="dxa"/>
            <w:shd w:val="clear" w:color="auto" w:fill="auto"/>
            <w:vAlign w:val="center"/>
          </w:tcPr>
          <w:p w:rsidRPr="00962220" w:rsidR="008E01D3" w:rsidP="00B80E78" w:rsidRDefault="008E01D3" w14:paraId="356DDE4F" w14:textId="2483877B">
            <w:pPr>
              <w:spacing w:after="0"/>
              <w:ind w:right="-22"/>
              <w:jc w:val="center"/>
              <w:rPr>
                <w:rFonts w:cs="Times New Roman"/>
                <w:b/>
                <w:snapToGrid w:val="0"/>
                <w:sz w:val="22"/>
              </w:rPr>
            </w:pPr>
            <w:r w:rsidRPr="00962220">
              <w:rPr>
                <w:rFonts w:cs="Times New Roman"/>
                <w:b/>
                <w:snapToGrid w:val="0"/>
                <w:sz w:val="22"/>
              </w:rPr>
              <w:t>Total Cost</w:t>
            </w:r>
            <w:r w:rsidRPr="00962220">
              <w:rPr>
                <w:rFonts w:cs="Times New Roman"/>
                <w:b/>
                <w:snapToGrid w:val="0"/>
                <w:sz w:val="22"/>
                <w:vertAlign w:val="superscript"/>
              </w:rPr>
              <w:t>3</w:t>
            </w:r>
          </w:p>
        </w:tc>
      </w:tr>
      <w:tr w:rsidRPr="00987591" w:rsidR="0096797F" w:rsidTr="00811BA5" w14:paraId="6426FBB1" w14:textId="77777777">
        <w:trPr>
          <w:trHeight w:val="269"/>
        </w:trPr>
        <w:tc>
          <w:tcPr>
            <w:tcW w:w="1170" w:type="dxa"/>
            <w:shd w:val="clear" w:color="auto" w:fill="auto"/>
          </w:tcPr>
          <w:p w:rsidRPr="00962220" w:rsidR="0096797F" w:rsidP="0096797F" w:rsidRDefault="0096797F" w14:paraId="75EDAB28" w14:textId="77777777">
            <w:pPr>
              <w:jc w:val="center"/>
              <w:rPr>
                <w:rFonts w:cs="Times New Roman"/>
                <w:snapToGrid w:val="0"/>
                <w:sz w:val="22"/>
              </w:rPr>
            </w:pPr>
            <w:r w:rsidRPr="00962220">
              <w:rPr>
                <w:rFonts w:cs="Times New Roman"/>
                <w:snapToGrid w:val="0"/>
                <w:sz w:val="22"/>
              </w:rPr>
              <w:t>GS-15</w:t>
            </w:r>
          </w:p>
        </w:tc>
        <w:tc>
          <w:tcPr>
            <w:tcW w:w="1440" w:type="dxa"/>
            <w:shd w:val="clear" w:color="auto" w:fill="auto"/>
          </w:tcPr>
          <w:p w:rsidRPr="00962220" w:rsidR="0096797F" w:rsidP="0096797F" w:rsidRDefault="0096797F" w14:paraId="39CC0A67" w14:textId="77777777">
            <w:pPr>
              <w:jc w:val="center"/>
              <w:rPr>
                <w:rFonts w:cs="Times New Roman"/>
                <w:snapToGrid w:val="0"/>
                <w:sz w:val="22"/>
              </w:rPr>
            </w:pPr>
            <w:r w:rsidRPr="00962220">
              <w:rPr>
                <w:rFonts w:cs="Times New Roman"/>
                <w:snapToGrid w:val="0"/>
                <w:sz w:val="22"/>
              </w:rPr>
              <w:t>MAR-600.32</w:t>
            </w:r>
          </w:p>
        </w:tc>
        <w:tc>
          <w:tcPr>
            <w:tcW w:w="2070" w:type="dxa"/>
            <w:shd w:val="clear" w:color="auto" w:fill="auto"/>
          </w:tcPr>
          <w:p w:rsidRPr="00962220" w:rsidR="0096797F" w:rsidP="0096797F" w:rsidRDefault="0096797F" w14:paraId="63B7E868" w14:textId="77777777">
            <w:pPr>
              <w:jc w:val="center"/>
              <w:rPr>
                <w:rFonts w:cs="Times New Roman"/>
                <w:sz w:val="22"/>
              </w:rPr>
            </w:pPr>
            <w:r w:rsidRPr="00962220">
              <w:rPr>
                <w:rFonts w:cs="Times New Roman"/>
                <w:snapToGrid w:val="0"/>
                <w:sz w:val="22"/>
              </w:rPr>
              <w:t>Coordinate, Review</w:t>
            </w:r>
          </w:p>
        </w:tc>
        <w:tc>
          <w:tcPr>
            <w:tcW w:w="990" w:type="dxa"/>
            <w:shd w:val="clear" w:color="auto" w:fill="auto"/>
          </w:tcPr>
          <w:p w:rsidRPr="00962220" w:rsidR="0096797F" w:rsidP="0096797F" w:rsidRDefault="0096797F" w14:paraId="215BD991" w14:textId="3D251412">
            <w:pPr>
              <w:jc w:val="center"/>
              <w:rPr>
                <w:rFonts w:cs="Times New Roman"/>
                <w:snapToGrid w:val="0"/>
                <w:sz w:val="22"/>
              </w:rPr>
            </w:pPr>
            <w:r w:rsidRPr="00962220">
              <w:rPr>
                <w:rFonts w:cs="Times New Roman"/>
                <w:snapToGrid w:val="0"/>
                <w:sz w:val="22"/>
              </w:rPr>
              <w:t>32</w:t>
            </w:r>
          </w:p>
        </w:tc>
        <w:tc>
          <w:tcPr>
            <w:tcW w:w="1103" w:type="dxa"/>
            <w:shd w:val="clear" w:color="auto" w:fill="auto"/>
            <w:vAlign w:val="center"/>
          </w:tcPr>
          <w:p w:rsidRPr="00962220" w:rsidR="0096797F" w:rsidP="0096797F" w:rsidRDefault="0096797F" w14:paraId="5BB645D9" w14:textId="1DCD6399">
            <w:pPr>
              <w:jc w:val="center"/>
              <w:rPr>
                <w:rFonts w:cs="Times New Roman"/>
                <w:snapToGrid w:val="0"/>
                <w:sz w:val="22"/>
              </w:rPr>
            </w:pPr>
            <w:r w:rsidRPr="00962220">
              <w:rPr>
                <w:snapToGrid w:val="0"/>
                <w:color w:val="000000"/>
                <w:sz w:val="22"/>
              </w:rPr>
              <w:t xml:space="preserve">$78.27 </w:t>
            </w:r>
          </w:p>
        </w:tc>
        <w:tc>
          <w:tcPr>
            <w:tcW w:w="1080" w:type="dxa"/>
            <w:shd w:val="clear" w:color="auto" w:fill="auto"/>
            <w:vAlign w:val="center"/>
          </w:tcPr>
          <w:p w:rsidRPr="00962220" w:rsidR="0096797F" w:rsidP="0096797F" w:rsidRDefault="0096797F" w14:paraId="7AA27C2E" w14:textId="2A061DAB">
            <w:pPr>
              <w:jc w:val="center"/>
              <w:rPr>
                <w:rFonts w:cs="Times New Roman"/>
                <w:sz w:val="22"/>
              </w:rPr>
            </w:pPr>
            <w:r w:rsidRPr="00962220">
              <w:rPr>
                <w:snapToGrid w:val="0"/>
                <w:color w:val="000000"/>
                <w:sz w:val="22"/>
              </w:rPr>
              <w:t xml:space="preserve">$2,505 </w:t>
            </w:r>
          </w:p>
        </w:tc>
        <w:tc>
          <w:tcPr>
            <w:tcW w:w="1147" w:type="dxa"/>
            <w:shd w:val="clear" w:color="auto" w:fill="auto"/>
            <w:vAlign w:val="center"/>
          </w:tcPr>
          <w:p w:rsidRPr="00962220" w:rsidR="0096797F" w:rsidP="0096797F" w:rsidRDefault="0096797F" w14:paraId="29134ABD" w14:textId="52C1EFC3">
            <w:pPr>
              <w:jc w:val="center"/>
              <w:rPr>
                <w:rFonts w:cs="Times New Roman"/>
                <w:sz w:val="22"/>
              </w:rPr>
            </w:pPr>
            <w:r w:rsidRPr="00962220">
              <w:rPr>
                <w:color w:val="000000"/>
                <w:sz w:val="22"/>
              </w:rPr>
              <w:t xml:space="preserve">$3,506 </w:t>
            </w:r>
          </w:p>
        </w:tc>
      </w:tr>
      <w:tr w:rsidRPr="00987591" w:rsidR="0096797F" w:rsidTr="00811BA5" w14:paraId="0F56D978" w14:textId="77777777">
        <w:trPr>
          <w:trHeight w:val="323"/>
        </w:trPr>
        <w:tc>
          <w:tcPr>
            <w:tcW w:w="1170" w:type="dxa"/>
            <w:shd w:val="clear" w:color="auto" w:fill="auto"/>
          </w:tcPr>
          <w:p w:rsidRPr="00962220" w:rsidR="0096797F" w:rsidP="0096797F" w:rsidRDefault="0096797F" w14:paraId="14E00649" w14:textId="5371326C">
            <w:pPr>
              <w:jc w:val="center"/>
              <w:rPr>
                <w:rFonts w:cs="Times New Roman"/>
                <w:snapToGrid w:val="0"/>
                <w:sz w:val="22"/>
              </w:rPr>
            </w:pPr>
            <w:r w:rsidRPr="00962220">
              <w:rPr>
                <w:rFonts w:cs="Times New Roman"/>
                <w:snapToGrid w:val="0"/>
                <w:sz w:val="22"/>
              </w:rPr>
              <w:t>GS-14</w:t>
            </w:r>
          </w:p>
        </w:tc>
        <w:tc>
          <w:tcPr>
            <w:tcW w:w="1440" w:type="dxa"/>
            <w:shd w:val="clear" w:color="auto" w:fill="auto"/>
          </w:tcPr>
          <w:p w:rsidRPr="00962220" w:rsidR="0096797F" w:rsidP="0096797F" w:rsidRDefault="0096797F" w14:paraId="715DE45A" w14:textId="38A841C3">
            <w:pPr>
              <w:jc w:val="center"/>
              <w:rPr>
                <w:rFonts w:cs="Times New Roman"/>
                <w:snapToGrid w:val="0"/>
                <w:sz w:val="22"/>
              </w:rPr>
            </w:pPr>
            <w:r w:rsidRPr="00962220">
              <w:rPr>
                <w:rFonts w:cs="Times New Roman"/>
                <w:snapToGrid w:val="0"/>
                <w:sz w:val="22"/>
              </w:rPr>
              <w:t>MAR-650</w:t>
            </w:r>
          </w:p>
        </w:tc>
        <w:tc>
          <w:tcPr>
            <w:tcW w:w="2070" w:type="dxa"/>
            <w:shd w:val="clear" w:color="auto" w:fill="auto"/>
          </w:tcPr>
          <w:p w:rsidRPr="00962220" w:rsidR="0096797F" w:rsidP="0096797F" w:rsidRDefault="0096797F" w14:paraId="3A0E35A0" w14:textId="29EF983A">
            <w:pPr>
              <w:jc w:val="center"/>
              <w:rPr>
                <w:rFonts w:cs="Times New Roman"/>
                <w:snapToGrid w:val="0"/>
                <w:sz w:val="22"/>
              </w:rPr>
            </w:pPr>
            <w:r w:rsidRPr="00962220">
              <w:rPr>
                <w:rFonts w:cs="Times New Roman"/>
                <w:snapToGrid w:val="0"/>
                <w:sz w:val="22"/>
              </w:rPr>
              <w:t>Review</w:t>
            </w:r>
          </w:p>
        </w:tc>
        <w:tc>
          <w:tcPr>
            <w:tcW w:w="990" w:type="dxa"/>
            <w:shd w:val="clear" w:color="auto" w:fill="auto"/>
          </w:tcPr>
          <w:p w:rsidRPr="00962220" w:rsidR="0096797F" w:rsidDel="00500FBB" w:rsidP="0096797F" w:rsidRDefault="0096797F" w14:paraId="4E2C0860" w14:textId="67AFC05C">
            <w:pPr>
              <w:jc w:val="center"/>
              <w:rPr>
                <w:rFonts w:cs="Times New Roman"/>
                <w:snapToGrid w:val="0"/>
                <w:sz w:val="22"/>
              </w:rPr>
            </w:pPr>
            <w:r w:rsidRPr="00962220">
              <w:rPr>
                <w:rFonts w:cs="Times New Roman"/>
                <w:snapToGrid w:val="0"/>
                <w:sz w:val="22"/>
              </w:rPr>
              <w:t>8</w:t>
            </w:r>
          </w:p>
        </w:tc>
        <w:tc>
          <w:tcPr>
            <w:tcW w:w="1103" w:type="dxa"/>
            <w:shd w:val="clear" w:color="auto" w:fill="auto"/>
            <w:vAlign w:val="center"/>
          </w:tcPr>
          <w:p w:rsidRPr="00962220" w:rsidR="0096797F" w:rsidP="0096797F" w:rsidRDefault="0096797F" w14:paraId="0A4A2F22" w14:textId="34202FDD">
            <w:pPr>
              <w:jc w:val="center"/>
              <w:rPr>
                <w:rFonts w:cs="Times New Roman"/>
                <w:snapToGrid w:val="0"/>
                <w:sz w:val="22"/>
              </w:rPr>
            </w:pPr>
            <w:r w:rsidRPr="00962220">
              <w:rPr>
                <w:snapToGrid w:val="0"/>
                <w:color w:val="000000"/>
                <w:sz w:val="22"/>
              </w:rPr>
              <w:t xml:space="preserve">$66.54 </w:t>
            </w:r>
          </w:p>
        </w:tc>
        <w:tc>
          <w:tcPr>
            <w:tcW w:w="1080" w:type="dxa"/>
            <w:shd w:val="clear" w:color="auto" w:fill="auto"/>
            <w:vAlign w:val="center"/>
          </w:tcPr>
          <w:p w:rsidRPr="00962220" w:rsidR="0096797F" w:rsidP="0096797F" w:rsidRDefault="0096797F" w14:paraId="5AFEE02D" w14:textId="0B22C39E">
            <w:pPr>
              <w:jc w:val="center"/>
              <w:rPr>
                <w:rFonts w:cs="Times New Roman"/>
                <w:snapToGrid w:val="0"/>
                <w:sz w:val="22"/>
              </w:rPr>
            </w:pPr>
            <w:r w:rsidRPr="00962220">
              <w:rPr>
                <w:snapToGrid w:val="0"/>
                <w:color w:val="000000"/>
                <w:sz w:val="22"/>
              </w:rPr>
              <w:t xml:space="preserve">$532 </w:t>
            </w:r>
          </w:p>
        </w:tc>
        <w:tc>
          <w:tcPr>
            <w:tcW w:w="1147" w:type="dxa"/>
            <w:shd w:val="clear" w:color="auto" w:fill="auto"/>
            <w:vAlign w:val="center"/>
          </w:tcPr>
          <w:p w:rsidRPr="00962220" w:rsidR="0096797F" w:rsidP="0096797F" w:rsidRDefault="0096797F" w14:paraId="1793775D" w14:textId="40DC3596">
            <w:pPr>
              <w:jc w:val="center"/>
              <w:rPr>
                <w:rFonts w:cs="Times New Roman"/>
                <w:snapToGrid w:val="0"/>
                <w:sz w:val="22"/>
              </w:rPr>
            </w:pPr>
            <w:r w:rsidRPr="00962220">
              <w:rPr>
                <w:color w:val="000000"/>
                <w:sz w:val="22"/>
              </w:rPr>
              <w:t xml:space="preserve">$745 </w:t>
            </w:r>
          </w:p>
        </w:tc>
      </w:tr>
      <w:tr w:rsidRPr="00987591" w:rsidR="0096797F" w:rsidTr="00811BA5" w14:paraId="18CC1880" w14:textId="77777777">
        <w:trPr>
          <w:trHeight w:val="269"/>
        </w:trPr>
        <w:tc>
          <w:tcPr>
            <w:tcW w:w="1170" w:type="dxa"/>
            <w:shd w:val="clear" w:color="auto" w:fill="auto"/>
          </w:tcPr>
          <w:p w:rsidRPr="00962220" w:rsidR="0096797F" w:rsidP="0096797F" w:rsidRDefault="0096797F" w14:paraId="68F2B2E5" w14:textId="5B7EA7B0">
            <w:pPr>
              <w:jc w:val="center"/>
              <w:rPr>
                <w:rFonts w:cs="Times New Roman"/>
                <w:snapToGrid w:val="0"/>
                <w:sz w:val="22"/>
              </w:rPr>
            </w:pPr>
            <w:r w:rsidRPr="00962220">
              <w:rPr>
                <w:rFonts w:cs="Times New Roman"/>
                <w:snapToGrid w:val="0"/>
                <w:sz w:val="22"/>
              </w:rPr>
              <w:t>GS-15</w:t>
            </w:r>
          </w:p>
        </w:tc>
        <w:tc>
          <w:tcPr>
            <w:tcW w:w="1440" w:type="dxa"/>
            <w:shd w:val="clear" w:color="auto" w:fill="auto"/>
          </w:tcPr>
          <w:p w:rsidRPr="00962220" w:rsidR="0096797F" w:rsidP="0096797F" w:rsidRDefault="0096797F" w14:paraId="41C5DAA6" w14:textId="24F3E321">
            <w:pPr>
              <w:jc w:val="center"/>
              <w:rPr>
                <w:rFonts w:cs="Times New Roman"/>
                <w:snapToGrid w:val="0"/>
                <w:sz w:val="22"/>
              </w:rPr>
            </w:pPr>
            <w:r w:rsidRPr="00962220">
              <w:rPr>
                <w:rFonts w:cs="Times New Roman"/>
                <w:snapToGrid w:val="0"/>
                <w:sz w:val="22"/>
              </w:rPr>
              <w:t>MAR-650</w:t>
            </w:r>
          </w:p>
        </w:tc>
        <w:tc>
          <w:tcPr>
            <w:tcW w:w="2070" w:type="dxa"/>
            <w:shd w:val="clear" w:color="auto" w:fill="auto"/>
          </w:tcPr>
          <w:p w:rsidRPr="00962220" w:rsidR="0096797F" w:rsidP="0096797F" w:rsidRDefault="0096797F" w14:paraId="5E61FBE1" w14:textId="3B5D3AD0">
            <w:pPr>
              <w:jc w:val="center"/>
              <w:rPr>
                <w:rFonts w:cs="Times New Roman"/>
                <w:snapToGrid w:val="0"/>
                <w:sz w:val="22"/>
              </w:rPr>
            </w:pPr>
            <w:r w:rsidRPr="00962220">
              <w:rPr>
                <w:rFonts w:cs="Times New Roman"/>
                <w:snapToGrid w:val="0"/>
                <w:sz w:val="22"/>
              </w:rPr>
              <w:t>Review</w:t>
            </w:r>
          </w:p>
        </w:tc>
        <w:tc>
          <w:tcPr>
            <w:tcW w:w="990" w:type="dxa"/>
            <w:shd w:val="clear" w:color="auto" w:fill="auto"/>
          </w:tcPr>
          <w:p w:rsidRPr="00962220" w:rsidR="0096797F" w:rsidP="0096797F" w:rsidRDefault="0096797F" w14:paraId="7008BDF4" w14:textId="02A5FE88">
            <w:pPr>
              <w:jc w:val="center"/>
              <w:rPr>
                <w:rFonts w:cs="Times New Roman"/>
                <w:snapToGrid w:val="0"/>
                <w:sz w:val="22"/>
              </w:rPr>
            </w:pPr>
            <w:r w:rsidRPr="00962220">
              <w:rPr>
                <w:rFonts w:cs="Times New Roman"/>
                <w:snapToGrid w:val="0"/>
                <w:sz w:val="22"/>
              </w:rPr>
              <w:t>8</w:t>
            </w:r>
          </w:p>
        </w:tc>
        <w:tc>
          <w:tcPr>
            <w:tcW w:w="1103" w:type="dxa"/>
            <w:shd w:val="clear" w:color="auto" w:fill="auto"/>
            <w:vAlign w:val="center"/>
          </w:tcPr>
          <w:p w:rsidRPr="00962220" w:rsidR="0096797F" w:rsidP="0096797F" w:rsidRDefault="0096797F" w14:paraId="1A6C23F7" w14:textId="3DC74E12">
            <w:pPr>
              <w:jc w:val="center"/>
              <w:rPr>
                <w:rFonts w:cs="Times New Roman"/>
                <w:snapToGrid w:val="0"/>
                <w:sz w:val="22"/>
              </w:rPr>
            </w:pPr>
            <w:r w:rsidRPr="00962220">
              <w:rPr>
                <w:snapToGrid w:val="0"/>
                <w:color w:val="000000"/>
                <w:sz w:val="22"/>
              </w:rPr>
              <w:t xml:space="preserve">$78.27 </w:t>
            </w:r>
          </w:p>
        </w:tc>
        <w:tc>
          <w:tcPr>
            <w:tcW w:w="1080" w:type="dxa"/>
            <w:shd w:val="clear" w:color="auto" w:fill="auto"/>
            <w:vAlign w:val="center"/>
          </w:tcPr>
          <w:p w:rsidRPr="00962220" w:rsidR="0096797F" w:rsidP="0096797F" w:rsidRDefault="0096797F" w14:paraId="41AC8AFB" w14:textId="188F9E69">
            <w:pPr>
              <w:jc w:val="center"/>
              <w:rPr>
                <w:rFonts w:cs="Times New Roman"/>
                <w:snapToGrid w:val="0"/>
                <w:sz w:val="22"/>
              </w:rPr>
            </w:pPr>
            <w:r w:rsidRPr="00962220">
              <w:rPr>
                <w:color w:val="000000"/>
                <w:sz w:val="22"/>
              </w:rPr>
              <w:t xml:space="preserve">$626 </w:t>
            </w:r>
          </w:p>
        </w:tc>
        <w:tc>
          <w:tcPr>
            <w:tcW w:w="1147" w:type="dxa"/>
            <w:shd w:val="clear" w:color="auto" w:fill="auto"/>
            <w:vAlign w:val="center"/>
          </w:tcPr>
          <w:p w:rsidRPr="00962220" w:rsidR="0096797F" w:rsidP="0096797F" w:rsidRDefault="0096797F" w14:paraId="5FBE0B80" w14:textId="6110F2C6">
            <w:pPr>
              <w:jc w:val="center"/>
              <w:rPr>
                <w:rFonts w:cs="Times New Roman"/>
                <w:snapToGrid w:val="0"/>
                <w:sz w:val="22"/>
              </w:rPr>
            </w:pPr>
            <w:r w:rsidRPr="00962220">
              <w:rPr>
                <w:color w:val="000000"/>
                <w:sz w:val="22"/>
              </w:rPr>
              <w:t xml:space="preserve">$877 </w:t>
            </w:r>
          </w:p>
        </w:tc>
      </w:tr>
      <w:tr w:rsidRPr="00987591" w:rsidR="0096797F" w:rsidTr="00811BA5" w14:paraId="336A80A1" w14:textId="77777777">
        <w:trPr>
          <w:trHeight w:val="206"/>
        </w:trPr>
        <w:tc>
          <w:tcPr>
            <w:tcW w:w="1170" w:type="dxa"/>
            <w:shd w:val="clear" w:color="auto" w:fill="auto"/>
          </w:tcPr>
          <w:p w:rsidRPr="00962220" w:rsidR="0096797F" w:rsidP="0096797F" w:rsidRDefault="0096797F" w14:paraId="24E66C19" w14:textId="2F40B63F">
            <w:pPr>
              <w:jc w:val="center"/>
              <w:rPr>
                <w:rFonts w:cs="Times New Roman"/>
                <w:snapToGrid w:val="0"/>
                <w:sz w:val="22"/>
              </w:rPr>
            </w:pPr>
            <w:r w:rsidRPr="00962220">
              <w:rPr>
                <w:rFonts w:cs="Times New Roman"/>
                <w:snapToGrid w:val="0"/>
                <w:sz w:val="22"/>
              </w:rPr>
              <w:t>GS-15</w:t>
            </w:r>
          </w:p>
        </w:tc>
        <w:tc>
          <w:tcPr>
            <w:tcW w:w="1440" w:type="dxa"/>
            <w:shd w:val="clear" w:color="auto" w:fill="auto"/>
          </w:tcPr>
          <w:p w:rsidRPr="00962220" w:rsidR="0096797F" w:rsidP="0096797F" w:rsidRDefault="0096797F" w14:paraId="36CDC26A" w14:textId="609C5518">
            <w:pPr>
              <w:jc w:val="center"/>
              <w:rPr>
                <w:rFonts w:cs="Times New Roman"/>
                <w:snapToGrid w:val="0"/>
                <w:sz w:val="22"/>
              </w:rPr>
            </w:pPr>
            <w:r w:rsidRPr="00962220">
              <w:rPr>
                <w:rFonts w:cs="Times New Roman"/>
                <w:snapToGrid w:val="0"/>
                <w:sz w:val="22"/>
              </w:rPr>
              <w:t>MAR 232</w:t>
            </w:r>
          </w:p>
        </w:tc>
        <w:tc>
          <w:tcPr>
            <w:tcW w:w="2070" w:type="dxa"/>
            <w:shd w:val="clear" w:color="auto" w:fill="auto"/>
          </w:tcPr>
          <w:p w:rsidRPr="00962220" w:rsidR="0096797F" w:rsidP="0096797F" w:rsidRDefault="0096797F" w14:paraId="0EA8335A" w14:textId="68795B20">
            <w:pPr>
              <w:jc w:val="center"/>
              <w:rPr>
                <w:rFonts w:cs="Times New Roman"/>
                <w:snapToGrid w:val="0"/>
                <w:sz w:val="22"/>
              </w:rPr>
            </w:pPr>
            <w:r w:rsidRPr="00962220">
              <w:rPr>
                <w:rFonts w:cs="Times New Roman"/>
                <w:snapToGrid w:val="0"/>
                <w:sz w:val="22"/>
              </w:rPr>
              <w:t>Review</w:t>
            </w:r>
          </w:p>
        </w:tc>
        <w:tc>
          <w:tcPr>
            <w:tcW w:w="990" w:type="dxa"/>
            <w:shd w:val="clear" w:color="auto" w:fill="auto"/>
          </w:tcPr>
          <w:p w:rsidRPr="00962220" w:rsidR="0096797F" w:rsidDel="00500FBB" w:rsidP="0096797F" w:rsidRDefault="0096797F" w14:paraId="65C6CB2D" w14:textId="12A9B990">
            <w:pPr>
              <w:jc w:val="center"/>
              <w:rPr>
                <w:rFonts w:cs="Times New Roman"/>
                <w:snapToGrid w:val="0"/>
                <w:sz w:val="22"/>
              </w:rPr>
            </w:pPr>
            <w:r w:rsidRPr="00962220">
              <w:rPr>
                <w:rFonts w:cs="Times New Roman"/>
                <w:snapToGrid w:val="0"/>
                <w:sz w:val="22"/>
              </w:rPr>
              <w:t>8</w:t>
            </w:r>
          </w:p>
        </w:tc>
        <w:tc>
          <w:tcPr>
            <w:tcW w:w="1103" w:type="dxa"/>
            <w:shd w:val="clear" w:color="auto" w:fill="auto"/>
            <w:vAlign w:val="center"/>
          </w:tcPr>
          <w:p w:rsidRPr="00962220" w:rsidR="0096797F" w:rsidP="0096797F" w:rsidRDefault="0096797F" w14:paraId="166D6221" w14:textId="141E3E87">
            <w:pPr>
              <w:jc w:val="center"/>
              <w:rPr>
                <w:rFonts w:cs="Times New Roman"/>
                <w:snapToGrid w:val="0"/>
                <w:sz w:val="22"/>
              </w:rPr>
            </w:pPr>
            <w:r w:rsidRPr="00962220">
              <w:rPr>
                <w:snapToGrid w:val="0"/>
                <w:color w:val="000000"/>
                <w:sz w:val="22"/>
              </w:rPr>
              <w:t xml:space="preserve">$78.27 </w:t>
            </w:r>
          </w:p>
        </w:tc>
        <w:tc>
          <w:tcPr>
            <w:tcW w:w="1080" w:type="dxa"/>
            <w:shd w:val="clear" w:color="auto" w:fill="auto"/>
            <w:vAlign w:val="center"/>
          </w:tcPr>
          <w:p w:rsidRPr="00962220" w:rsidR="0096797F" w:rsidP="0096797F" w:rsidRDefault="0096797F" w14:paraId="7D5A4B39" w14:textId="3ED836FC">
            <w:pPr>
              <w:jc w:val="center"/>
              <w:rPr>
                <w:rFonts w:cs="Times New Roman"/>
                <w:snapToGrid w:val="0"/>
                <w:sz w:val="22"/>
              </w:rPr>
            </w:pPr>
            <w:r w:rsidRPr="00962220">
              <w:rPr>
                <w:color w:val="000000"/>
                <w:sz w:val="22"/>
              </w:rPr>
              <w:t xml:space="preserve">$626 </w:t>
            </w:r>
          </w:p>
        </w:tc>
        <w:tc>
          <w:tcPr>
            <w:tcW w:w="1147" w:type="dxa"/>
            <w:shd w:val="clear" w:color="auto" w:fill="auto"/>
            <w:vAlign w:val="center"/>
          </w:tcPr>
          <w:p w:rsidRPr="00962220" w:rsidR="0096797F" w:rsidP="0096797F" w:rsidRDefault="0096797F" w14:paraId="30832D38" w14:textId="3F2870C3">
            <w:pPr>
              <w:jc w:val="center"/>
              <w:rPr>
                <w:rFonts w:cs="Times New Roman"/>
                <w:snapToGrid w:val="0"/>
                <w:sz w:val="22"/>
              </w:rPr>
            </w:pPr>
            <w:r w:rsidRPr="00962220">
              <w:rPr>
                <w:color w:val="000000"/>
                <w:sz w:val="22"/>
              </w:rPr>
              <w:t xml:space="preserve">$877 </w:t>
            </w:r>
          </w:p>
        </w:tc>
      </w:tr>
      <w:tr w:rsidRPr="00987591" w:rsidR="0096797F" w:rsidTr="00811BA5" w14:paraId="339E9A70" w14:textId="77777777">
        <w:trPr>
          <w:trHeight w:val="422"/>
        </w:trPr>
        <w:tc>
          <w:tcPr>
            <w:tcW w:w="1170" w:type="dxa"/>
            <w:shd w:val="clear" w:color="auto" w:fill="auto"/>
          </w:tcPr>
          <w:p w:rsidRPr="00962220" w:rsidR="0096797F" w:rsidP="0096797F" w:rsidRDefault="0096797F" w14:paraId="00A99CD2" w14:textId="77777777">
            <w:pPr>
              <w:jc w:val="center"/>
              <w:rPr>
                <w:rFonts w:cs="Times New Roman"/>
                <w:snapToGrid w:val="0"/>
                <w:sz w:val="22"/>
              </w:rPr>
            </w:pPr>
            <w:r w:rsidRPr="00962220">
              <w:rPr>
                <w:rFonts w:cs="Times New Roman"/>
                <w:snapToGrid w:val="0"/>
                <w:sz w:val="22"/>
              </w:rPr>
              <w:t>SES</w:t>
            </w:r>
          </w:p>
        </w:tc>
        <w:tc>
          <w:tcPr>
            <w:tcW w:w="1440" w:type="dxa"/>
            <w:shd w:val="clear" w:color="auto" w:fill="auto"/>
          </w:tcPr>
          <w:p w:rsidRPr="00962220" w:rsidR="0096797F" w:rsidP="0096797F" w:rsidRDefault="0096797F" w14:paraId="05F1E136" w14:textId="27431D12">
            <w:pPr>
              <w:jc w:val="center"/>
              <w:rPr>
                <w:rFonts w:cs="Times New Roman"/>
                <w:snapToGrid w:val="0"/>
                <w:sz w:val="22"/>
              </w:rPr>
            </w:pPr>
            <w:r w:rsidRPr="00962220">
              <w:rPr>
                <w:rFonts w:cs="Times New Roman"/>
                <w:snapToGrid w:val="0"/>
                <w:sz w:val="22"/>
              </w:rPr>
              <w:t>MAR-600.3</w:t>
            </w:r>
          </w:p>
        </w:tc>
        <w:tc>
          <w:tcPr>
            <w:tcW w:w="2070" w:type="dxa"/>
            <w:shd w:val="clear" w:color="auto" w:fill="auto"/>
          </w:tcPr>
          <w:p w:rsidRPr="00962220" w:rsidR="0096797F" w:rsidP="0096797F" w:rsidRDefault="0096797F" w14:paraId="2B597B95" w14:textId="77777777">
            <w:pPr>
              <w:jc w:val="center"/>
              <w:rPr>
                <w:rFonts w:cs="Times New Roman"/>
                <w:snapToGrid w:val="0"/>
                <w:sz w:val="22"/>
              </w:rPr>
            </w:pPr>
            <w:r w:rsidRPr="00962220">
              <w:rPr>
                <w:rFonts w:cs="Times New Roman"/>
                <w:snapToGrid w:val="0"/>
                <w:sz w:val="22"/>
              </w:rPr>
              <w:t>Review</w:t>
            </w:r>
          </w:p>
        </w:tc>
        <w:tc>
          <w:tcPr>
            <w:tcW w:w="990" w:type="dxa"/>
            <w:shd w:val="clear" w:color="auto" w:fill="auto"/>
          </w:tcPr>
          <w:p w:rsidRPr="00962220" w:rsidR="0096797F" w:rsidP="0096797F" w:rsidRDefault="0096797F" w14:paraId="22E6D37D" w14:textId="38AE233B">
            <w:pPr>
              <w:jc w:val="center"/>
              <w:rPr>
                <w:rFonts w:cs="Times New Roman"/>
                <w:snapToGrid w:val="0"/>
                <w:sz w:val="22"/>
              </w:rPr>
            </w:pPr>
            <w:r w:rsidRPr="00962220">
              <w:rPr>
                <w:rFonts w:cs="Times New Roman"/>
                <w:snapToGrid w:val="0"/>
                <w:sz w:val="22"/>
              </w:rPr>
              <w:t>6</w:t>
            </w:r>
          </w:p>
        </w:tc>
        <w:tc>
          <w:tcPr>
            <w:tcW w:w="1103" w:type="dxa"/>
            <w:shd w:val="clear" w:color="auto" w:fill="auto"/>
            <w:vAlign w:val="center"/>
          </w:tcPr>
          <w:p w:rsidRPr="00962220" w:rsidR="0096797F" w:rsidP="0096797F" w:rsidRDefault="0096797F" w14:paraId="0C4C1A1F" w14:textId="37BF7393">
            <w:pPr>
              <w:jc w:val="center"/>
              <w:rPr>
                <w:rFonts w:cs="Times New Roman"/>
                <w:snapToGrid w:val="0"/>
                <w:sz w:val="22"/>
              </w:rPr>
            </w:pPr>
            <w:r w:rsidRPr="00962220">
              <w:rPr>
                <w:snapToGrid w:val="0"/>
                <w:color w:val="000000"/>
                <w:sz w:val="22"/>
              </w:rPr>
              <w:t xml:space="preserve">$79.50 </w:t>
            </w:r>
          </w:p>
        </w:tc>
        <w:tc>
          <w:tcPr>
            <w:tcW w:w="1080" w:type="dxa"/>
            <w:shd w:val="clear" w:color="auto" w:fill="auto"/>
            <w:vAlign w:val="center"/>
          </w:tcPr>
          <w:p w:rsidRPr="00962220" w:rsidR="0096797F" w:rsidP="0096797F" w:rsidRDefault="0096797F" w14:paraId="5E92DFD4" w14:textId="0F62D88F">
            <w:pPr>
              <w:jc w:val="center"/>
              <w:rPr>
                <w:rFonts w:cs="Times New Roman"/>
                <w:snapToGrid w:val="0"/>
                <w:sz w:val="22"/>
              </w:rPr>
            </w:pPr>
            <w:r w:rsidRPr="00962220">
              <w:rPr>
                <w:color w:val="000000"/>
                <w:sz w:val="22"/>
              </w:rPr>
              <w:t xml:space="preserve">$477 </w:t>
            </w:r>
          </w:p>
        </w:tc>
        <w:tc>
          <w:tcPr>
            <w:tcW w:w="1147" w:type="dxa"/>
            <w:shd w:val="clear" w:color="auto" w:fill="auto"/>
            <w:vAlign w:val="center"/>
          </w:tcPr>
          <w:p w:rsidRPr="00962220" w:rsidR="0096797F" w:rsidP="0096797F" w:rsidRDefault="0096797F" w14:paraId="2D33B474" w14:textId="3F54270F">
            <w:pPr>
              <w:jc w:val="center"/>
              <w:rPr>
                <w:rFonts w:cs="Times New Roman"/>
                <w:snapToGrid w:val="0"/>
                <w:sz w:val="22"/>
              </w:rPr>
            </w:pPr>
            <w:r w:rsidRPr="00962220">
              <w:rPr>
                <w:color w:val="000000"/>
                <w:sz w:val="22"/>
              </w:rPr>
              <w:t xml:space="preserve">$668 </w:t>
            </w:r>
          </w:p>
        </w:tc>
      </w:tr>
      <w:tr w:rsidRPr="00987591" w:rsidR="0096797F" w:rsidTr="00811BA5" w14:paraId="1FEC3754" w14:textId="77777777">
        <w:tc>
          <w:tcPr>
            <w:tcW w:w="4680" w:type="dxa"/>
            <w:gridSpan w:val="3"/>
            <w:shd w:val="clear" w:color="auto" w:fill="auto"/>
          </w:tcPr>
          <w:p w:rsidRPr="00962220" w:rsidR="0096797F" w:rsidP="0096797F" w:rsidRDefault="0096797F" w14:paraId="691CA1D0" w14:textId="77777777">
            <w:pPr>
              <w:jc w:val="center"/>
              <w:rPr>
                <w:rFonts w:cs="Times New Roman"/>
                <w:b/>
                <w:snapToGrid w:val="0"/>
                <w:sz w:val="22"/>
              </w:rPr>
            </w:pPr>
            <w:r w:rsidRPr="00962220">
              <w:rPr>
                <w:rFonts w:cs="Times New Roman"/>
                <w:b/>
                <w:snapToGrid w:val="0"/>
                <w:sz w:val="22"/>
              </w:rPr>
              <w:t>TOTAL</w:t>
            </w:r>
          </w:p>
        </w:tc>
        <w:tc>
          <w:tcPr>
            <w:tcW w:w="990" w:type="dxa"/>
            <w:shd w:val="clear" w:color="auto" w:fill="auto"/>
          </w:tcPr>
          <w:p w:rsidRPr="00962220" w:rsidR="0096797F" w:rsidP="0096797F" w:rsidRDefault="0096797F" w14:paraId="0A789A75" w14:textId="1812FDDC">
            <w:pPr>
              <w:jc w:val="center"/>
              <w:rPr>
                <w:rFonts w:cs="Times New Roman"/>
                <w:b/>
                <w:snapToGrid w:val="0"/>
                <w:sz w:val="22"/>
              </w:rPr>
            </w:pPr>
            <w:r w:rsidRPr="00962220">
              <w:rPr>
                <w:rFonts w:cs="Times New Roman"/>
                <w:b/>
                <w:snapToGrid w:val="0"/>
                <w:sz w:val="22"/>
              </w:rPr>
              <w:fldChar w:fldCharType="begin"/>
            </w:r>
            <w:r w:rsidRPr="00962220">
              <w:rPr>
                <w:rFonts w:cs="Times New Roman"/>
                <w:b/>
                <w:snapToGrid w:val="0"/>
                <w:sz w:val="22"/>
              </w:rPr>
              <w:instrText xml:space="preserve"> SUM(Above) </w:instrText>
            </w:r>
            <w:r w:rsidRPr="00962220">
              <w:rPr>
                <w:rFonts w:cs="Times New Roman"/>
                <w:b/>
                <w:snapToGrid w:val="0"/>
                <w:sz w:val="22"/>
              </w:rPr>
              <w:fldChar w:fldCharType="end"/>
            </w:r>
            <w:r w:rsidRPr="00962220">
              <w:rPr>
                <w:rFonts w:cs="Times New Roman"/>
                <w:b/>
                <w:snapToGrid w:val="0"/>
                <w:sz w:val="22"/>
              </w:rPr>
              <w:fldChar w:fldCharType="begin"/>
            </w:r>
            <w:r w:rsidRPr="00962220">
              <w:rPr>
                <w:rFonts w:cs="Times New Roman"/>
                <w:b/>
                <w:snapToGrid w:val="0"/>
                <w:sz w:val="22"/>
              </w:rPr>
              <w:instrText xml:space="preserve"> =SUM(ABOVE) </w:instrText>
            </w:r>
            <w:r w:rsidRPr="00962220">
              <w:rPr>
                <w:rFonts w:cs="Times New Roman"/>
                <w:b/>
                <w:snapToGrid w:val="0"/>
                <w:sz w:val="22"/>
              </w:rPr>
              <w:fldChar w:fldCharType="separate"/>
            </w:r>
            <w:r w:rsidRPr="00962220">
              <w:rPr>
                <w:rFonts w:cs="Times New Roman"/>
                <w:b/>
                <w:noProof/>
                <w:snapToGrid w:val="0"/>
                <w:sz w:val="22"/>
              </w:rPr>
              <w:t>62</w:t>
            </w:r>
            <w:r w:rsidRPr="00962220">
              <w:rPr>
                <w:rFonts w:cs="Times New Roman"/>
                <w:b/>
                <w:snapToGrid w:val="0"/>
                <w:sz w:val="22"/>
              </w:rPr>
              <w:fldChar w:fldCharType="end"/>
            </w:r>
          </w:p>
        </w:tc>
        <w:tc>
          <w:tcPr>
            <w:tcW w:w="1103" w:type="dxa"/>
            <w:shd w:val="clear" w:color="auto" w:fill="auto"/>
          </w:tcPr>
          <w:p w:rsidRPr="00962220" w:rsidR="0096797F" w:rsidP="0096797F" w:rsidRDefault="0096797F" w14:paraId="4FCA3193" w14:textId="2BA1A961">
            <w:pPr>
              <w:jc w:val="center"/>
              <w:rPr>
                <w:rFonts w:cs="Times New Roman"/>
                <w:b/>
                <w:snapToGrid w:val="0"/>
                <w:sz w:val="22"/>
              </w:rPr>
            </w:pPr>
            <w:r w:rsidRPr="00962220">
              <w:rPr>
                <w:rFonts w:cs="Times New Roman"/>
                <w:b/>
                <w:snapToGrid w:val="0"/>
                <w:sz w:val="22"/>
              </w:rPr>
              <w:t>$ 76.87</w:t>
            </w:r>
          </w:p>
        </w:tc>
        <w:tc>
          <w:tcPr>
            <w:tcW w:w="1080" w:type="dxa"/>
            <w:shd w:val="clear" w:color="auto" w:fill="auto"/>
          </w:tcPr>
          <w:p w:rsidRPr="00962220" w:rsidR="0096797F" w:rsidP="0096797F" w:rsidRDefault="0096797F" w14:paraId="1ADCC1A6" w14:textId="5BCAD014">
            <w:pPr>
              <w:jc w:val="center"/>
              <w:rPr>
                <w:rFonts w:cs="Times New Roman"/>
                <w:b/>
                <w:snapToGrid w:val="0"/>
                <w:sz w:val="22"/>
              </w:rPr>
            </w:pPr>
            <w:r w:rsidRPr="00962220">
              <w:rPr>
                <w:rFonts w:cs="Times New Roman"/>
                <w:b/>
                <w:snapToGrid w:val="0"/>
                <w:sz w:val="22"/>
              </w:rPr>
              <w:fldChar w:fldCharType="begin"/>
            </w:r>
            <w:r w:rsidRPr="00962220">
              <w:rPr>
                <w:rFonts w:cs="Times New Roman"/>
                <w:b/>
                <w:snapToGrid w:val="0"/>
                <w:sz w:val="22"/>
              </w:rPr>
              <w:instrText xml:space="preserve"> =SUM(Above) \# "$#,##0" </w:instrText>
            </w:r>
            <w:r w:rsidRPr="00962220">
              <w:rPr>
                <w:rFonts w:cs="Times New Roman"/>
                <w:b/>
                <w:snapToGrid w:val="0"/>
                <w:sz w:val="22"/>
              </w:rPr>
              <w:fldChar w:fldCharType="separate"/>
            </w:r>
            <w:r w:rsidRPr="00962220">
              <w:rPr>
                <w:rFonts w:cs="Times New Roman"/>
                <w:b/>
                <w:noProof/>
                <w:snapToGrid w:val="0"/>
                <w:sz w:val="22"/>
              </w:rPr>
              <w:t>$4,766</w:t>
            </w:r>
            <w:r w:rsidRPr="00962220">
              <w:rPr>
                <w:rFonts w:cs="Times New Roman"/>
                <w:b/>
                <w:snapToGrid w:val="0"/>
                <w:sz w:val="22"/>
              </w:rPr>
              <w:fldChar w:fldCharType="end"/>
            </w:r>
          </w:p>
        </w:tc>
        <w:tc>
          <w:tcPr>
            <w:tcW w:w="1147" w:type="dxa"/>
            <w:shd w:val="clear" w:color="auto" w:fill="auto"/>
            <w:vAlign w:val="center"/>
          </w:tcPr>
          <w:p w:rsidRPr="00962220" w:rsidR="0096797F" w:rsidP="0096797F" w:rsidRDefault="0096797F" w14:paraId="213C433D" w14:textId="6FBE8533">
            <w:pPr>
              <w:jc w:val="center"/>
              <w:rPr>
                <w:rFonts w:cs="Times New Roman"/>
                <w:b/>
                <w:snapToGrid w:val="0"/>
                <w:sz w:val="22"/>
              </w:rPr>
            </w:pPr>
            <w:r w:rsidRPr="00962220">
              <w:rPr>
                <w:rFonts w:cs="Times New Roman"/>
                <w:b/>
                <w:snapToGrid w:val="0"/>
                <w:sz w:val="22"/>
              </w:rPr>
              <w:fldChar w:fldCharType="begin"/>
            </w:r>
            <w:r w:rsidRPr="00962220">
              <w:rPr>
                <w:rFonts w:cs="Times New Roman"/>
                <w:b/>
                <w:snapToGrid w:val="0"/>
                <w:sz w:val="22"/>
              </w:rPr>
              <w:instrText xml:space="preserve"> =SUM(ABOVE) \# "$#,##0" </w:instrText>
            </w:r>
            <w:r w:rsidRPr="00962220">
              <w:rPr>
                <w:rFonts w:cs="Times New Roman"/>
                <w:b/>
                <w:snapToGrid w:val="0"/>
                <w:sz w:val="22"/>
              </w:rPr>
              <w:fldChar w:fldCharType="separate"/>
            </w:r>
            <w:r w:rsidRPr="00962220">
              <w:rPr>
                <w:rFonts w:cs="Times New Roman"/>
                <w:b/>
                <w:noProof/>
                <w:snapToGrid w:val="0"/>
                <w:sz w:val="22"/>
              </w:rPr>
              <w:t>$6,673</w:t>
            </w:r>
            <w:r w:rsidRPr="00962220">
              <w:rPr>
                <w:rFonts w:cs="Times New Roman"/>
                <w:b/>
                <w:snapToGrid w:val="0"/>
                <w:sz w:val="22"/>
              </w:rPr>
              <w:fldChar w:fldCharType="end"/>
            </w:r>
          </w:p>
        </w:tc>
      </w:tr>
      <w:tr w:rsidRPr="00987591" w:rsidR="00811BA5" w:rsidTr="00811BA5" w14:paraId="70DD20DF" w14:textId="77777777">
        <w:tc>
          <w:tcPr>
            <w:tcW w:w="9000" w:type="dxa"/>
            <w:gridSpan w:val="7"/>
            <w:shd w:val="clear" w:color="auto" w:fill="auto"/>
          </w:tcPr>
          <w:p w:rsidRPr="000327FB" w:rsidR="00811BA5" w:rsidP="00811BA5" w:rsidRDefault="00811BA5" w14:paraId="3DB80CB8" w14:textId="72465623">
            <w:pPr>
              <w:jc w:val="both"/>
              <w:rPr>
                <w:rFonts w:cs="Times New Roman"/>
                <w:snapToGrid w:val="0"/>
                <w:sz w:val="22"/>
              </w:rPr>
            </w:pPr>
            <w:r w:rsidRPr="000327FB">
              <w:rPr>
                <w:rFonts w:cs="Times New Roman"/>
                <w:snapToGrid w:val="0"/>
                <w:sz w:val="22"/>
                <w:vertAlign w:val="superscript"/>
              </w:rPr>
              <w:t xml:space="preserve">1  </w:t>
            </w:r>
            <w:r w:rsidRPr="000327FB">
              <w:rPr>
                <w:rFonts w:cs="Times New Roman"/>
                <w:snapToGrid w:val="0"/>
                <w:sz w:val="22"/>
              </w:rPr>
              <w:t xml:space="preserve">GS hourly salary is based upon </w:t>
            </w:r>
            <w:r>
              <w:rPr>
                <w:rFonts w:cs="Times New Roman"/>
                <w:snapToGrid w:val="0"/>
                <w:sz w:val="22"/>
              </w:rPr>
              <w:t>the</w:t>
            </w:r>
            <w:r w:rsidRPr="000327FB">
              <w:rPr>
                <w:rFonts w:cs="Times New Roman"/>
                <w:snapToGrid w:val="0"/>
                <w:sz w:val="22"/>
              </w:rPr>
              <w:t xml:space="preserve"> Step-5 </w:t>
            </w:r>
            <w:r>
              <w:rPr>
                <w:rFonts w:cs="Times New Roman"/>
                <w:snapToGrid w:val="0"/>
                <w:sz w:val="22"/>
              </w:rPr>
              <w:t xml:space="preserve">hourly basic rate in the </w:t>
            </w:r>
            <w:hyperlink w:history="1" r:id="rId8">
              <w:r w:rsidRPr="00EB273A">
                <w:rPr>
                  <w:rStyle w:val="Hyperlink"/>
                  <w:rFonts w:cs="Times New Roman"/>
                  <w:snapToGrid w:val="0"/>
                  <w:sz w:val="22"/>
                </w:rPr>
                <w:t>Salary Table 202</w:t>
              </w:r>
              <w:r>
                <w:rPr>
                  <w:rStyle w:val="Hyperlink"/>
                  <w:rFonts w:cs="Times New Roman"/>
                  <w:snapToGrid w:val="0"/>
                  <w:sz w:val="22"/>
                </w:rPr>
                <w:t>1</w:t>
              </w:r>
              <w:r w:rsidRPr="00EB273A">
                <w:rPr>
                  <w:rStyle w:val="Hyperlink"/>
                  <w:rFonts w:cs="Times New Roman"/>
                  <w:snapToGrid w:val="0"/>
                  <w:sz w:val="22"/>
                </w:rPr>
                <w:t>-DCB</w:t>
              </w:r>
            </w:hyperlink>
            <w:r>
              <w:rPr>
                <w:rFonts w:cs="Times New Roman"/>
                <w:snapToGrid w:val="0"/>
                <w:sz w:val="22"/>
              </w:rPr>
              <w:t xml:space="preserve">. </w:t>
            </w:r>
          </w:p>
          <w:p w:rsidRPr="000327FB" w:rsidR="00811BA5" w:rsidP="00811BA5" w:rsidRDefault="00811BA5" w14:paraId="58CCBBA5" w14:textId="531E7963">
            <w:pPr>
              <w:jc w:val="both"/>
              <w:rPr>
                <w:rFonts w:cs="Times New Roman"/>
                <w:snapToGrid w:val="0"/>
                <w:sz w:val="22"/>
              </w:rPr>
            </w:pPr>
            <w:r w:rsidRPr="000327FB">
              <w:rPr>
                <w:rFonts w:cs="Times New Roman"/>
                <w:snapToGrid w:val="0"/>
                <w:sz w:val="22"/>
                <w:vertAlign w:val="superscript"/>
              </w:rPr>
              <w:t xml:space="preserve">2  </w:t>
            </w:r>
            <w:r w:rsidRPr="000327FB">
              <w:rPr>
                <w:rFonts w:cs="Times New Roman"/>
                <w:snapToGrid w:val="0"/>
                <w:sz w:val="22"/>
              </w:rPr>
              <w:t xml:space="preserve">SES hourly salary is based upon </w:t>
            </w:r>
            <w:r>
              <w:rPr>
                <w:rFonts w:cs="Times New Roman"/>
                <w:snapToGrid w:val="0"/>
                <w:sz w:val="22"/>
              </w:rPr>
              <w:t xml:space="preserve">2087 hours/year and the mean </w:t>
            </w:r>
            <w:r w:rsidR="00515BA4">
              <w:rPr>
                <w:rFonts w:cs="Times New Roman"/>
                <w:snapToGrid w:val="0"/>
                <w:sz w:val="22"/>
              </w:rPr>
              <w:t xml:space="preserve">SES annual salary for agencies with a certified SES Performance Appraisal System </w:t>
            </w:r>
            <w:r>
              <w:rPr>
                <w:rFonts w:cs="Times New Roman"/>
                <w:snapToGrid w:val="0"/>
                <w:sz w:val="22"/>
              </w:rPr>
              <w:t xml:space="preserve">in the </w:t>
            </w:r>
            <w:hyperlink w:history="1" r:id="rId9">
              <w:r w:rsidRPr="00B173AD">
                <w:rPr>
                  <w:rStyle w:val="Hyperlink"/>
                  <w:rFonts w:cs="Times New Roman"/>
                  <w:snapToGrid w:val="0"/>
                  <w:sz w:val="22"/>
                </w:rPr>
                <w:t>Salary Table No. 202</w:t>
              </w:r>
              <w:r>
                <w:rPr>
                  <w:rStyle w:val="Hyperlink"/>
                  <w:rFonts w:cs="Times New Roman"/>
                  <w:snapToGrid w:val="0"/>
                  <w:sz w:val="22"/>
                </w:rPr>
                <w:t>1</w:t>
              </w:r>
              <w:r w:rsidRPr="00B173AD">
                <w:rPr>
                  <w:rStyle w:val="Hyperlink"/>
                  <w:rFonts w:cs="Times New Roman"/>
                  <w:snapToGrid w:val="0"/>
                  <w:sz w:val="22"/>
                </w:rPr>
                <w:t>-ES</w:t>
              </w:r>
            </w:hyperlink>
            <w:r w:rsidR="00515BA4">
              <w:rPr>
                <w:rStyle w:val="Hyperlink"/>
                <w:rFonts w:cs="Times New Roman"/>
                <w:snapToGrid w:val="0"/>
                <w:sz w:val="22"/>
              </w:rPr>
              <w:t>.</w:t>
            </w:r>
          </w:p>
          <w:p w:rsidRPr="005939B0" w:rsidR="00811BA5" w:rsidP="005939B0" w:rsidRDefault="00811BA5" w14:paraId="6C5AC24E" w14:textId="46F3E6E1">
            <w:pPr>
              <w:pStyle w:val="CommentText"/>
            </w:pPr>
            <w:r w:rsidRPr="000327FB">
              <w:rPr>
                <w:rFonts w:cs="Times New Roman"/>
                <w:snapToGrid w:val="0"/>
                <w:sz w:val="22"/>
                <w:vertAlign w:val="superscript"/>
              </w:rPr>
              <w:t xml:space="preserve">3 </w:t>
            </w:r>
            <w:r>
              <w:rPr>
                <w:rFonts w:cs="Times New Roman"/>
                <w:snapToGrid w:val="0"/>
                <w:sz w:val="22"/>
              </w:rPr>
              <w:t>Total Cost = Salary cost times 1.4</w:t>
            </w:r>
            <w:r w:rsidR="002A6109">
              <w:rPr>
                <w:rFonts w:cs="Times New Roman"/>
                <w:snapToGrid w:val="0"/>
                <w:sz w:val="22"/>
              </w:rPr>
              <w:t xml:space="preserve"> to reflect fringe benefits.</w:t>
            </w:r>
          </w:p>
        </w:tc>
      </w:tr>
    </w:tbl>
    <w:p w:rsidR="00FF3E13" w:rsidP="00C904A2" w:rsidRDefault="00FF3E13" w14:paraId="52A1D03C" w14:textId="77777777"/>
    <w:p w:rsidRPr="005777F1" w:rsidR="00C904A2" w:rsidP="00C904A2" w:rsidRDefault="00C904A2" w14:paraId="1DD37968" w14:textId="22F95796">
      <w:r w:rsidRPr="005777F1">
        <w:t>The annual internal MARAD cost in 202</w:t>
      </w:r>
      <w:r w:rsidRPr="005777F1" w:rsidR="005B172E">
        <w:t>2</w:t>
      </w:r>
      <w:r w:rsidRPr="005777F1">
        <w:t xml:space="preserve"> is estimated to be $</w:t>
      </w:r>
      <w:r w:rsidR="0096797F">
        <w:t>6,673</w:t>
      </w:r>
      <w:r w:rsidRPr="005777F1">
        <w:t>.</w:t>
      </w:r>
    </w:p>
    <w:p w:rsidRPr="005777F1" w:rsidR="00C904A2" w:rsidP="00C904A2" w:rsidRDefault="00C904A2" w14:paraId="56541C0F" w14:textId="77777777"/>
    <w:p w:rsidRPr="005777F1" w:rsidR="004442D9" w:rsidP="002F2BF4" w:rsidRDefault="007626DD" w14:paraId="19511BEC" w14:textId="04128A66">
      <w:pPr>
        <w:pStyle w:val="Heading3"/>
      </w:pPr>
      <w:bookmarkStart w:name="_Toc90302124" w:id="31"/>
      <w:r w:rsidRPr="005777F1">
        <w:t xml:space="preserve">A.15 </w:t>
      </w:r>
      <w:r w:rsidRPr="005777F1" w:rsidR="008D354C">
        <w:t>Program Changes or Adjustments</w:t>
      </w:r>
      <w:bookmarkEnd w:id="31"/>
      <w:r w:rsidRPr="005777F1" w:rsidR="008D354C">
        <w:t xml:space="preserve"> </w:t>
      </w:r>
    </w:p>
    <w:p w:rsidRPr="005777F1" w:rsidR="000E6249" w:rsidP="005072A6" w:rsidRDefault="00821BC0" w14:paraId="7DC6713D" w14:textId="1089E64E">
      <w:pPr>
        <w:rPr>
          <w:rFonts w:cs="Times New Roman"/>
          <w:szCs w:val="24"/>
        </w:rPr>
      </w:pPr>
      <w:r w:rsidRPr="005777F1">
        <w:rPr>
          <w:rFonts w:cs="Times New Roman"/>
          <w:szCs w:val="24"/>
        </w:rPr>
        <w:t>T</w:t>
      </w:r>
      <w:r w:rsidRPr="005777F1" w:rsidR="00C611EC">
        <w:rPr>
          <w:rFonts w:cs="Times New Roman"/>
          <w:szCs w:val="24"/>
        </w:rPr>
        <w:t xml:space="preserve">his is a new </w:t>
      </w:r>
      <w:r w:rsidRPr="005777F1" w:rsidR="00BB05FF">
        <w:rPr>
          <w:rFonts w:cs="Times New Roman"/>
          <w:szCs w:val="24"/>
        </w:rPr>
        <w:t>program.</w:t>
      </w:r>
    </w:p>
    <w:p w:rsidRPr="005777F1" w:rsidR="001E31DE" w:rsidP="00E4011D" w:rsidRDefault="001E31DE" w14:paraId="62C6EEA4" w14:textId="77777777">
      <w:pPr>
        <w:pStyle w:val="Heading2"/>
      </w:pPr>
    </w:p>
    <w:p w:rsidRPr="005777F1" w:rsidR="004442D9" w:rsidP="002F2BF4" w:rsidRDefault="007626DD" w14:paraId="75578B30" w14:textId="7AABE961">
      <w:pPr>
        <w:pStyle w:val="Heading3"/>
      </w:pPr>
      <w:bookmarkStart w:name="_Toc90302125" w:id="32"/>
      <w:r w:rsidRPr="005777F1">
        <w:t xml:space="preserve">A.16 </w:t>
      </w:r>
      <w:r w:rsidRPr="005777F1" w:rsidR="007F7250">
        <w:t>Plans for Tabulation and Publication</w:t>
      </w:r>
      <w:bookmarkEnd w:id="32"/>
    </w:p>
    <w:p w:rsidRPr="005777F1" w:rsidR="00703F89" w:rsidRDefault="00FF3E13" w14:paraId="7D0399A3" w14:textId="60660E8F">
      <w:pPr>
        <w:rPr>
          <w:rFonts w:cs="Times New Roman"/>
          <w:szCs w:val="24"/>
        </w:rPr>
      </w:pPr>
      <w:r w:rsidRPr="00231C57">
        <w:rPr>
          <w:rFonts w:cs="Times New Roman"/>
          <w:szCs w:val="24"/>
        </w:rPr>
        <w:t xml:space="preserve">The results of the </w:t>
      </w:r>
      <w:r w:rsidRPr="00FF3E13">
        <w:rPr>
          <w:rFonts w:cs="Times New Roman"/>
          <w:szCs w:val="24"/>
          <w:u w:val="single"/>
        </w:rPr>
        <w:t>Mariner Survey Pre-Test</w:t>
      </w:r>
      <w:r w:rsidRPr="00231C57">
        <w:rPr>
          <w:rFonts w:cs="Times New Roman"/>
          <w:szCs w:val="24"/>
        </w:rPr>
        <w:t xml:space="preserve"> </w:t>
      </w:r>
      <w:r>
        <w:rPr>
          <w:rFonts w:cs="Times New Roman"/>
          <w:szCs w:val="24"/>
        </w:rPr>
        <w:t xml:space="preserve">will not be published. </w:t>
      </w:r>
    </w:p>
    <w:p w:rsidRPr="005777F1" w:rsidR="00CE6F96" w:rsidRDefault="00CE6F96" w14:paraId="5159F948" w14:textId="5E6CC302">
      <w:pPr>
        <w:rPr>
          <w:rFonts w:cs="Times New Roman"/>
          <w:szCs w:val="24"/>
        </w:rPr>
      </w:pPr>
      <w:r w:rsidRPr="005777F1">
        <w:rPr>
          <w:rFonts w:cs="Times New Roman"/>
          <w:szCs w:val="24"/>
        </w:rPr>
        <w:t>Table A.16.1 provides the time schedule for data collection</w:t>
      </w:r>
      <w:r w:rsidR="00FF3E13">
        <w:rPr>
          <w:rFonts w:cs="Times New Roman"/>
          <w:szCs w:val="24"/>
        </w:rPr>
        <w:t xml:space="preserve"> and </w:t>
      </w:r>
      <w:r w:rsidRPr="005777F1">
        <w:rPr>
          <w:rFonts w:cs="Times New Roman"/>
          <w:szCs w:val="24"/>
        </w:rPr>
        <w:t>other key actions.</w:t>
      </w:r>
    </w:p>
    <w:p w:rsidRPr="005777F1" w:rsidR="007F7250" w:rsidP="005072A6" w:rsidRDefault="007F7250" w14:paraId="728B19C2" w14:textId="1B96FADF">
      <w:pPr>
        <w:rPr>
          <w:rFonts w:cs="Times New Roman"/>
          <w:b/>
          <w:bCs/>
          <w:szCs w:val="24"/>
        </w:rPr>
      </w:pPr>
      <w:r w:rsidRPr="005777F1">
        <w:rPr>
          <w:rFonts w:cs="Times New Roman"/>
          <w:b/>
          <w:bCs/>
          <w:szCs w:val="24"/>
        </w:rPr>
        <w:t>Table A.</w:t>
      </w:r>
      <w:r w:rsidRPr="005777F1" w:rsidR="00702CD2">
        <w:rPr>
          <w:rFonts w:cs="Times New Roman"/>
          <w:b/>
          <w:bCs/>
          <w:szCs w:val="24"/>
        </w:rPr>
        <w:t>16</w:t>
      </w:r>
      <w:r w:rsidRPr="005777F1">
        <w:rPr>
          <w:rFonts w:cs="Times New Roman"/>
          <w:b/>
          <w:bCs/>
          <w:szCs w:val="24"/>
        </w:rPr>
        <w:t>.</w:t>
      </w:r>
      <w:r w:rsidRPr="005777F1" w:rsidR="00702CD2">
        <w:rPr>
          <w:rFonts w:cs="Times New Roman"/>
          <w:b/>
          <w:bCs/>
          <w:szCs w:val="24"/>
        </w:rPr>
        <w:t xml:space="preserve">1. </w:t>
      </w:r>
      <w:r w:rsidRPr="005777F1" w:rsidR="00962061">
        <w:rPr>
          <w:rFonts w:cs="Times New Roman"/>
          <w:b/>
          <w:bCs/>
          <w:szCs w:val="24"/>
        </w:rPr>
        <w:t xml:space="preserve">Time Schedule for </w:t>
      </w:r>
      <w:r w:rsidR="007D74C4">
        <w:rPr>
          <w:rFonts w:cs="Times New Roman"/>
          <w:b/>
          <w:bCs/>
          <w:szCs w:val="24"/>
        </w:rPr>
        <w:t xml:space="preserve">the Mariner Survey Pre-Test </w:t>
      </w:r>
      <w:r w:rsidRPr="005777F1" w:rsidR="00962061">
        <w:rPr>
          <w:rFonts w:cs="Times New Roman"/>
          <w:b/>
          <w:bCs/>
          <w:szCs w:val="24"/>
        </w:rPr>
        <w:t>Data Collection</w:t>
      </w:r>
      <w:r w:rsidR="00F95BD1">
        <w:rPr>
          <w:rFonts w:cs="Times New Roman"/>
          <w:b/>
          <w:bCs/>
          <w:szCs w:val="24"/>
        </w:rPr>
        <w:t xml:space="preserve"> </w:t>
      </w:r>
      <w:r w:rsidRPr="005777F1" w:rsidR="00962061">
        <w:rPr>
          <w:rFonts w:cs="Times New Roman"/>
          <w:b/>
          <w:bCs/>
          <w:szCs w:val="24"/>
        </w:rPr>
        <w:t xml:space="preserve">and Other Key Actions </w:t>
      </w:r>
    </w:p>
    <w:tbl>
      <w:tblPr>
        <w:tblStyle w:val="TableGrid"/>
        <w:tblW w:w="0" w:type="auto"/>
        <w:tblInd w:w="0" w:type="dxa"/>
        <w:tblLook w:val="04A0" w:firstRow="1" w:lastRow="0" w:firstColumn="1" w:lastColumn="0" w:noHBand="0" w:noVBand="1"/>
      </w:tblPr>
      <w:tblGrid>
        <w:gridCol w:w="5125"/>
        <w:gridCol w:w="3875"/>
      </w:tblGrid>
      <w:tr w:rsidRPr="005777F1" w:rsidR="00F95BD1" w:rsidTr="00626F8C" w14:paraId="5424EF7E" w14:textId="278F636F">
        <w:trPr>
          <w:tblHeader/>
        </w:trPr>
        <w:tc>
          <w:tcPr>
            <w:tcW w:w="5125" w:type="dxa"/>
            <w:tcBorders>
              <w:top w:val="single" w:color="auto" w:sz="4" w:space="0"/>
              <w:left w:val="single" w:color="auto" w:sz="4" w:space="0"/>
              <w:bottom w:val="single" w:color="auto" w:sz="4" w:space="0"/>
              <w:right w:val="single" w:color="auto" w:sz="4" w:space="0"/>
            </w:tcBorders>
          </w:tcPr>
          <w:p w:rsidRPr="005777F1" w:rsidR="00F95BD1" w:rsidP="00F95BD1" w:rsidRDefault="00F95BD1" w14:paraId="741B3DF6" w14:textId="1B1C9B61">
            <w:pPr>
              <w:rPr>
                <w:rFonts w:cs="Times New Roman"/>
                <w:b/>
                <w:sz w:val="22"/>
              </w:rPr>
            </w:pPr>
            <w:r w:rsidRPr="005777F1">
              <w:rPr>
                <w:rFonts w:cs="Times New Roman"/>
                <w:b/>
                <w:sz w:val="22"/>
              </w:rPr>
              <w:t xml:space="preserve">Activity </w:t>
            </w:r>
          </w:p>
        </w:tc>
        <w:tc>
          <w:tcPr>
            <w:tcW w:w="3875" w:type="dxa"/>
            <w:tcBorders>
              <w:top w:val="single" w:color="auto" w:sz="4" w:space="0"/>
              <w:left w:val="single" w:color="auto" w:sz="4" w:space="0"/>
              <w:bottom w:val="single" w:color="auto" w:sz="4" w:space="0"/>
              <w:right w:val="single" w:color="auto" w:sz="4" w:space="0"/>
            </w:tcBorders>
          </w:tcPr>
          <w:p w:rsidRPr="005777F1" w:rsidR="00F95BD1" w:rsidP="00F95BD1" w:rsidRDefault="00626F8C" w14:paraId="42E6642D" w14:textId="4B336DF2">
            <w:pPr>
              <w:rPr>
                <w:rFonts w:cs="Times New Roman"/>
                <w:b/>
                <w:sz w:val="22"/>
              </w:rPr>
            </w:pPr>
            <w:r>
              <w:rPr>
                <w:rFonts w:cs="Times New Roman"/>
                <w:b/>
                <w:sz w:val="22"/>
              </w:rPr>
              <w:t xml:space="preserve"> Estimated </w:t>
            </w:r>
            <w:r w:rsidRPr="005777F1" w:rsidR="00F95BD1">
              <w:rPr>
                <w:rFonts w:cs="Times New Roman"/>
                <w:b/>
                <w:sz w:val="22"/>
              </w:rPr>
              <w:t>Timeline</w:t>
            </w:r>
          </w:p>
        </w:tc>
      </w:tr>
      <w:tr w:rsidRPr="005777F1" w:rsidR="00F95BD1" w:rsidTr="00626F8C" w14:paraId="2E5A8706" w14:textId="1B9DFDCC">
        <w:tc>
          <w:tcPr>
            <w:tcW w:w="5125" w:type="dxa"/>
            <w:tcBorders>
              <w:top w:val="single" w:color="auto" w:sz="4" w:space="0"/>
              <w:left w:val="single" w:color="auto" w:sz="4" w:space="0"/>
              <w:bottom w:val="single" w:color="auto" w:sz="4" w:space="0"/>
              <w:right w:val="single" w:color="auto" w:sz="4" w:space="0"/>
            </w:tcBorders>
          </w:tcPr>
          <w:p w:rsidRPr="005777F1" w:rsidR="00F95BD1" w:rsidP="00F95BD1" w:rsidRDefault="00626F8C" w14:paraId="29B56117" w14:textId="627185BC">
            <w:pPr>
              <w:rPr>
                <w:rFonts w:cs="Times New Roman"/>
                <w:sz w:val="22"/>
              </w:rPr>
            </w:pPr>
            <w:r>
              <w:rPr>
                <w:rFonts w:cs="Times New Roman"/>
                <w:sz w:val="22"/>
              </w:rPr>
              <w:t xml:space="preserve">Publish </w:t>
            </w:r>
            <w:r w:rsidR="00F95BD1">
              <w:rPr>
                <w:rFonts w:cs="Times New Roman"/>
                <w:sz w:val="22"/>
              </w:rPr>
              <w:t>60-day Federal Register Notice</w:t>
            </w:r>
          </w:p>
        </w:tc>
        <w:tc>
          <w:tcPr>
            <w:tcW w:w="3875" w:type="dxa"/>
            <w:tcBorders>
              <w:top w:val="single" w:color="auto" w:sz="4" w:space="0"/>
              <w:left w:val="single" w:color="auto" w:sz="4" w:space="0"/>
              <w:bottom w:val="single" w:color="auto" w:sz="4" w:space="0"/>
              <w:right w:val="single" w:color="auto" w:sz="4" w:space="0"/>
            </w:tcBorders>
          </w:tcPr>
          <w:p w:rsidRPr="005777F1" w:rsidR="00F95BD1" w:rsidP="00F95BD1" w:rsidRDefault="00F95BD1" w14:paraId="171E40B8" w14:textId="7419BD86">
            <w:pPr>
              <w:rPr>
                <w:rFonts w:cs="Times New Roman"/>
                <w:sz w:val="22"/>
              </w:rPr>
            </w:pPr>
            <w:r>
              <w:rPr>
                <w:rFonts w:cs="Times New Roman"/>
                <w:sz w:val="22"/>
              </w:rPr>
              <w:t>September</w:t>
            </w:r>
            <w:r w:rsidR="007007FC">
              <w:rPr>
                <w:rFonts w:cs="Times New Roman"/>
                <w:sz w:val="22"/>
              </w:rPr>
              <w:t xml:space="preserve"> </w:t>
            </w:r>
            <w:r w:rsidR="005B4631">
              <w:rPr>
                <w:rFonts w:cs="Times New Roman"/>
                <w:sz w:val="22"/>
              </w:rPr>
              <w:t>–</w:t>
            </w:r>
            <w:r w:rsidR="007007FC">
              <w:rPr>
                <w:rFonts w:cs="Times New Roman"/>
                <w:sz w:val="22"/>
              </w:rPr>
              <w:t xml:space="preserve"> November</w:t>
            </w:r>
            <w:r>
              <w:rPr>
                <w:rFonts w:cs="Times New Roman"/>
                <w:sz w:val="22"/>
              </w:rPr>
              <w:t xml:space="preserve"> 2021</w:t>
            </w:r>
          </w:p>
        </w:tc>
      </w:tr>
      <w:tr w:rsidRPr="005777F1" w:rsidR="00F95BD1" w:rsidTr="00626F8C" w14:paraId="4004EA1C" w14:textId="7EA5A2DD">
        <w:tc>
          <w:tcPr>
            <w:tcW w:w="5125" w:type="dxa"/>
            <w:tcBorders>
              <w:top w:val="single" w:color="auto" w:sz="4" w:space="0"/>
              <w:left w:val="single" w:color="auto" w:sz="4" w:space="0"/>
              <w:bottom w:val="single" w:color="auto" w:sz="4" w:space="0"/>
              <w:right w:val="single" w:color="auto" w:sz="4" w:space="0"/>
            </w:tcBorders>
          </w:tcPr>
          <w:p w:rsidRPr="002517F6" w:rsidR="00F95BD1" w:rsidP="00F95BD1" w:rsidRDefault="00F95BD1" w14:paraId="43E840A6" w14:textId="1B734E86">
            <w:pPr>
              <w:rPr>
                <w:rFonts w:cs="Times New Roman"/>
                <w:sz w:val="22"/>
              </w:rPr>
            </w:pPr>
            <w:r w:rsidRPr="002517F6">
              <w:rPr>
                <w:rFonts w:cs="Times New Roman"/>
                <w:sz w:val="22"/>
              </w:rPr>
              <w:t xml:space="preserve">30-day Federal Register Notice </w:t>
            </w:r>
          </w:p>
        </w:tc>
        <w:tc>
          <w:tcPr>
            <w:tcW w:w="3875" w:type="dxa"/>
            <w:tcBorders>
              <w:top w:val="single" w:color="auto" w:sz="4" w:space="0"/>
              <w:left w:val="single" w:color="auto" w:sz="4" w:space="0"/>
              <w:bottom w:val="single" w:color="auto" w:sz="4" w:space="0"/>
              <w:right w:val="single" w:color="auto" w:sz="4" w:space="0"/>
            </w:tcBorders>
          </w:tcPr>
          <w:p w:rsidRPr="002517F6" w:rsidR="00F95BD1" w:rsidP="00F95BD1" w:rsidRDefault="007007FC" w14:paraId="3365F830" w14:textId="67EC8F22">
            <w:pPr>
              <w:rPr>
                <w:rFonts w:cs="Times New Roman"/>
                <w:sz w:val="22"/>
              </w:rPr>
            </w:pPr>
            <w:r w:rsidRPr="002517F6">
              <w:rPr>
                <w:rFonts w:cs="Times New Roman"/>
                <w:sz w:val="22"/>
              </w:rPr>
              <w:t xml:space="preserve">January </w:t>
            </w:r>
            <w:r w:rsidRPr="002517F6" w:rsidR="002517F6">
              <w:rPr>
                <w:rFonts w:cs="Times New Roman"/>
                <w:sz w:val="22"/>
              </w:rPr>
              <w:t>– February 2022</w:t>
            </w:r>
          </w:p>
        </w:tc>
      </w:tr>
      <w:tr w:rsidRPr="005777F1" w:rsidR="00F95BD1" w:rsidTr="00626F8C" w14:paraId="4954D869" w14:textId="77777777">
        <w:tc>
          <w:tcPr>
            <w:tcW w:w="5125" w:type="dxa"/>
            <w:tcBorders>
              <w:top w:val="single" w:color="auto" w:sz="4" w:space="0"/>
              <w:left w:val="single" w:color="auto" w:sz="4" w:space="0"/>
              <w:bottom w:val="single" w:color="auto" w:sz="4" w:space="0"/>
              <w:right w:val="single" w:color="auto" w:sz="4" w:space="0"/>
            </w:tcBorders>
          </w:tcPr>
          <w:p w:rsidRPr="002517F6" w:rsidR="00F95BD1" w:rsidP="00F95BD1" w:rsidRDefault="00626F8C" w14:paraId="154C1955" w14:textId="15DB1299">
            <w:pPr>
              <w:rPr>
                <w:rFonts w:cs="Times New Roman"/>
                <w:sz w:val="22"/>
              </w:rPr>
            </w:pPr>
            <w:r w:rsidRPr="002517F6">
              <w:rPr>
                <w:rFonts w:cs="Times New Roman"/>
                <w:sz w:val="22"/>
              </w:rPr>
              <w:t xml:space="preserve">OMB Review and approval </w:t>
            </w:r>
          </w:p>
        </w:tc>
        <w:tc>
          <w:tcPr>
            <w:tcW w:w="3875" w:type="dxa"/>
            <w:tcBorders>
              <w:top w:val="single" w:color="auto" w:sz="4" w:space="0"/>
              <w:left w:val="single" w:color="auto" w:sz="4" w:space="0"/>
              <w:bottom w:val="single" w:color="auto" w:sz="4" w:space="0"/>
              <w:right w:val="single" w:color="auto" w:sz="4" w:space="0"/>
            </w:tcBorders>
          </w:tcPr>
          <w:p w:rsidRPr="002517F6" w:rsidR="00F95BD1" w:rsidP="00F95BD1" w:rsidRDefault="002517F6" w14:paraId="23748D13" w14:textId="58CB7949">
            <w:pPr>
              <w:rPr>
                <w:rFonts w:cs="Times New Roman"/>
                <w:sz w:val="22"/>
              </w:rPr>
            </w:pPr>
            <w:r w:rsidRPr="002517F6">
              <w:rPr>
                <w:rFonts w:cs="Times New Roman"/>
                <w:sz w:val="22"/>
              </w:rPr>
              <w:t>March</w:t>
            </w:r>
            <w:r w:rsidRPr="002517F6" w:rsidR="007007FC">
              <w:rPr>
                <w:rFonts w:cs="Times New Roman"/>
                <w:sz w:val="22"/>
              </w:rPr>
              <w:t xml:space="preserve"> </w:t>
            </w:r>
            <w:r w:rsidRPr="002517F6" w:rsidR="00626F8C">
              <w:rPr>
                <w:rFonts w:cs="Times New Roman"/>
                <w:sz w:val="22"/>
              </w:rPr>
              <w:t xml:space="preserve">– </w:t>
            </w:r>
            <w:r w:rsidRPr="002517F6">
              <w:rPr>
                <w:rFonts w:cs="Times New Roman"/>
                <w:sz w:val="22"/>
              </w:rPr>
              <w:t>May</w:t>
            </w:r>
            <w:r w:rsidRPr="002517F6" w:rsidR="007007FC">
              <w:rPr>
                <w:rFonts w:cs="Times New Roman"/>
                <w:sz w:val="22"/>
              </w:rPr>
              <w:t xml:space="preserve"> </w:t>
            </w:r>
            <w:r w:rsidRPr="002517F6" w:rsidR="00626F8C">
              <w:rPr>
                <w:rFonts w:cs="Times New Roman"/>
                <w:sz w:val="22"/>
              </w:rPr>
              <w:t>202</w:t>
            </w:r>
            <w:r w:rsidRPr="002517F6">
              <w:rPr>
                <w:rFonts w:cs="Times New Roman"/>
                <w:sz w:val="22"/>
              </w:rPr>
              <w:t>2</w:t>
            </w:r>
          </w:p>
        </w:tc>
      </w:tr>
      <w:tr w:rsidRPr="005777F1" w:rsidR="001614DE" w:rsidTr="00626F8C" w14:paraId="0FC2F5F8" w14:textId="77777777">
        <w:tc>
          <w:tcPr>
            <w:tcW w:w="5125" w:type="dxa"/>
            <w:tcBorders>
              <w:top w:val="single" w:color="auto" w:sz="4" w:space="0"/>
              <w:left w:val="single" w:color="auto" w:sz="4" w:space="0"/>
              <w:bottom w:val="single" w:color="auto" w:sz="4" w:space="0"/>
              <w:right w:val="single" w:color="auto" w:sz="4" w:space="0"/>
            </w:tcBorders>
          </w:tcPr>
          <w:p w:rsidRPr="002517F6" w:rsidR="001614DE" w:rsidP="00F95BD1" w:rsidRDefault="001614DE" w14:paraId="7CD93192" w14:textId="3B12F92A">
            <w:pPr>
              <w:rPr>
                <w:rFonts w:cs="Times New Roman"/>
                <w:sz w:val="22"/>
              </w:rPr>
            </w:pPr>
            <w:r w:rsidRPr="002517F6">
              <w:rPr>
                <w:rFonts w:cs="Times New Roman"/>
                <w:sz w:val="22"/>
              </w:rPr>
              <w:t>Programming and Testing Web-Based Mariner Survey questionnaire</w:t>
            </w:r>
          </w:p>
        </w:tc>
        <w:tc>
          <w:tcPr>
            <w:tcW w:w="3875" w:type="dxa"/>
            <w:tcBorders>
              <w:top w:val="single" w:color="auto" w:sz="4" w:space="0"/>
              <w:left w:val="single" w:color="auto" w:sz="4" w:space="0"/>
              <w:bottom w:val="single" w:color="auto" w:sz="4" w:space="0"/>
              <w:right w:val="single" w:color="auto" w:sz="4" w:space="0"/>
            </w:tcBorders>
          </w:tcPr>
          <w:p w:rsidRPr="002517F6" w:rsidR="001614DE" w:rsidP="00F95BD1" w:rsidRDefault="002517F6" w14:paraId="334F9990" w14:textId="707D2BD5">
            <w:pPr>
              <w:rPr>
                <w:rFonts w:cs="Times New Roman"/>
                <w:sz w:val="22"/>
              </w:rPr>
            </w:pPr>
            <w:r w:rsidRPr="002517F6">
              <w:rPr>
                <w:rFonts w:cs="Times New Roman"/>
                <w:sz w:val="22"/>
              </w:rPr>
              <w:t>June</w:t>
            </w:r>
            <w:r w:rsidRPr="002517F6" w:rsidR="007007FC">
              <w:rPr>
                <w:rFonts w:cs="Times New Roman"/>
                <w:sz w:val="22"/>
              </w:rPr>
              <w:t xml:space="preserve"> </w:t>
            </w:r>
            <w:r w:rsidRPr="002517F6" w:rsidR="001614DE">
              <w:rPr>
                <w:rFonts w:cs="Times New Roman"/>
                <w:sz w:val="22"/>
              </w:rPr>
              <w:t>2022</w:t>
            </w:r>
          </w:p>
        </w:tc>
      </w:tr>
      <w:tr w:rsidRPr="005777F1" w:rsidR="001614DE" w:rsidTr="00626F8C" w14:paraId="46644E92" w14:textId="77777777">
        <w:tc>
          <w:tcPr>
            <w:tcW w:w="5125" w:type="dxa"/>
            <w:tcBorders>
              <w:top w:val="single" w:color="auto" w:sz="4" w:space="0"/>
              <w:left w:val="single" w:color="auto" w:sz="4" w:space="0"/>
              <w:bottom w:val="single" w:color="auto" w:sz="4" w:space="0"/>
              <w:right w:val="single" w:color="auto" w:sz="4" w:space="0"/>
            </w:tcBorders>
          </w:tcPr>
          <w:p w:rsidRPr="002517F6" w:rsidR="001614DE" w:rsidP="00F95BD1" w:rsidRDefault="001614DE" w14:paraId="717BDF16" w14:textId="1A598BBF">
            <w:pPr>
              <w:rPr>
                <w:rFonts w:cs="Times New Roman"/>
                <w:sz w:val="22"/>
              </w:rPr>
            </w:pPr>
            <w:r w:rsidRPr="002517F6">
              <w:rPr>
                <w:rFonts w:cs="Times New Roman"/>
                <w:sz w:val="22"/>
              </w:rPr>
              <w:t>Selection of Pre-Test Sample for Cognitive Interviews and Pilot Test</w:t>
            </w:r>
          </w:p>
        </w:tc>
        <w:tc>
          <w:tcPr>
            <w:tcW w:w="3875" w:type="dxa"/>
            <w:tcBorders>
              <w:top w:val="single" w:color="auto" w:sz="4" w:space="0"/>
              <w:left w:val="single" w:color="auto" w:sz="4" w:space="0"/>
              <w:bottom w:val="single" w:color="auto" w:sz="4" w:space="0"/>
              <w:right w:val="single" w:color="auto" w:sz="4" w:space="0"/>
            </w:tcBorders>
          </w:tcPr>
          <w:p w:rsidRPr="002517F6" w:rsidR="001614DE" w:rsidP="00F95BD1" w:rsidRDefault="002517F6" w14:paraId="382A35F2" w14:textId="26881394">
            <w:pPr>
              <w:rPr>
                <w:rFonts w:cs="Times New Roman"/>
                <w:sz w:val="22"/>
              </w:rPr>
            </w:pPr>
            <w:r w:rsidRPr="002517F6">
              <w:rPr>
                <w:rFonts w:cs="Times New Roman"/>
                <w:sz w:val="22"/>
              </w:rPr>
              <w:t>June</w:t>
            </w:r>
            <w:r w:rsidRPr="002517F6" w:rsidR="007007FC">
              <w:rPr>
                <w:rFonts w:cs="Times New Roman"/>
                <w:sz w:val="22"/>
              </w:rPr>
              <w:t xml:space="preserve"> </w:t>
            </w:r>
            <w:r w:rsidRPr="002517F6" w:rsidR="001614DE">
              <w:rPr>
                <w:rFonts w:cs="Times New Roman"/>
                <w:sz w:val="22"/>
              </w:rPr>
              <w:t>2022</w:t>
            </w:r>
          </w:p>
        </w:tc>
      </w:tr>
      <w:tr w:rsidRPr="005777F1" w:rsidR="00F95BD1" w:rsidTr="00626F8C" w14:paraId="4AC0C5E5" w14:textId="69EF25AC">
        <w:tc>
          <w:tcPr>
            <w:tcW w:w="5125" w:type="dxa"/>
            <w:tcBorders>
              <w:top w:val="single" w:color="auto" w:sz="4" w:space="0"/>
              <w:left w:val="single" w:color="auto" w:sz="4" w:space="0"/>
              <w:bottom w:val="single" w:color="auto" w:sz="4" w:space="0"/>
              <w:right w:val="single" w:color="auto" w:sz="4" w:space="0"/>
            </w:tcBorders>
          </w:tcPr>
          <w:p w:rsidRPr="002517F6" w:rsidR="00F95BD1" w:rsidP="00F95BD1" w:rsidRDefault="007D74C4" w14:paraId="7C73EFE5" w14:textId="77FD7CC3">
            <w:pPr>
              <w:rPr>
                <w:rFonts w:cs="Times New Roman"/>
                <w:sz w:val="22"/>
              </w:rPr>
            </w:pPr>
            <w:r w:rsidRPr="002517F6">
              <w:rPr>
                <w:rFonts w:cs="Times New Roman"/>
                <w:sz w:val="22"/>
              </w:rPr>
              <w:t xml:space="preserve">Mariner Survey Pre-Test </w:t>
            </w:r>
            <w:r w:rsidRPr="002517F6" w:rsidR="00F95BD1">
              <w:rPr>
                <w:rFonts w:cs="Times New Roman"/>
                <w:sz w:val="22"/>
              </w:rPr>
              <w:t>Cognitive Interviews and Analysis</w:t>
            </w:r>
          </w:p>
        </w:tc>
        <w:tc>
          <w:tcPr>
            <w:tcW w:w="3875" w:type="dxa"/>
            <w:tcBorders>
              <w:top w:val="single" w:color="auto" w:sz="4" w:space="0"/>
              <w:left w:val="single" w:color="auto" w:sz="4" w:space="0"/>
              <w:bottom w:val="single" w:color="auto" w:sz="4" w:space="0"/>
              <w:right w:val="single" w:color="auto" w:sz="4" w:space="0"/>
            </w:tcBorders>
          </w:tcPr>
          <w:p w:rsidRPr="002517F6" w:rsidR="00F95BD1" w:rsidP="00F95BD1" w:rsidRDefault="002517F6" w14:paraId="16852854" w14:textId="7F9B7DDF">
            <w:pPr>
              <w:rPr>
                <w:rFonts w:cs="Times New Roman"/>
                <w:sz w:val="22"/>
              </w:rPr>
            </w:pPr>
            <w:r w:rsidRPr="002517F6">
              <w:rPr>
                <w:rFonts w:cs="Times New Roman"/>
                <w:sz w:val="22"/>
              </w:rPr>
              <w:t>July</w:t>
            </w:r>
            <w:r w:rsidRPr="002517F6" w:rsidR="007007FC">
              <w:rPr>
                <w:rFonts w:cs="Times New Roman"/>
                <w:sz w:val="22"/>
              </w:rPr>
              <w:t xml:space="preserve"> </w:t>
            </w:r>
            <w:r w:rsidRPr="002517F6" w:rsidR="00F95BD1">
              <w:rPr>
                <w:rFonts w:cs="Times New Roman"/>
                <w:sz w:val="22"/>
              </w:rPr>
              <w:t xml:space="preserve">– </w:t>
            </w:r>
            <w:r w:rsidRPr="002517F6">
              <w:rPr>
                <w:rFonts w:cs="Times New Roman"/>
                <w:sz w:val="22"/>
              </w:rPr>
              <w:t>August</w:t>
            </w:r>
            <w:r w:rsidRPr="002517F6" w:rsidR="007007FC">
              <w:rPr>
                <w:rFonts w:cs="Times New Roman"/>
                <w:sz w:val="22"/>
              </w:rPr>
              <w:t xml:space="preserve"> </w:t>
            </w:r>
            <w:r w:rsidRPr="002517F6" w:rsidR="00F95BD1">
              <w:rPr>
                <w:rFonts w:cs="Times New Roman"/>
                <w:sz w:val="22"/>
              </w:rPr>
              <w:t>202</w:t>
            </w:r>
            <w:r w:rsidRPr="002517F6" w:rsidR="00626F8C">
              <w:rPr>
                <w:rFonts w:cs="Times New Roman"/>
                <w:sz w:val="22"/>
              </w:rPr>
              <w:t>2</w:t>
            </w:r>
          </w:p>
        </w:tc>
      </w:tr>
      <w:tr w:rsidRPr="005777F1" w:rsidR="00F95BD1" w:rsidTr="00626F8C" w14:paraId="20541805" w14:textId="0D68E720">
        <w:tc>
          <w:tcPr>
            <w:tcW w:w="5125" w:type="dxa"/>
            <w:tcBorders>
              <w:top w:val="single" w:color="auto" w:sz="4" w:space="0"/>
              <w:left w:val="single" w:color="auto" w:sz="4" w:space="0"/>
              <w:bottom w:val="single" w:color="auto" w:sz="4" w:space="0"/>
              <w:right w:val="single" w:color="auto" w:sz="4" w:space="0"/>
            </w:tcBorders>
          </w:tcPr>
          <w:p w:rsidRPr="002517F6" w:rsidR="00F95BD1" w:rsidP="00F95BD1" w:rsidRDefault="007D74C4" w14:paraId="0C635B59" w14:textId="09DFBDFD">
            <w:pPr>
              <w:rPr>
                <w:rFonts w:cs="Times New Roman"/>
                <w:sz w:val="22"/>
              </w:rPr>
            </w:pPr>
            <w:r w:rsidRPr="002517F6">
              <w:rPr>
                <w:rFonts w:cs="Times New Roman"/>
                <w:sz w:val="22"/>
              </w:rPr>
              <w:t xml:space="preserve">Mariner Survey Pre-Test </w:t>
            </w:r>
            <w:r w:rsidRPr="002517F6" w:rsidR="00F95BD1">
              <w:rPr>
                <w:rFonts w:cs="Times New Roman"/>
                <w:sz w:val="22"/>
              </w:rPr>
              <w:t xml:space="preserve">Pilot Test </w:t>
            </w:r>
            <w:r w:rsidRPr="002517F6">
              <w:rPr>
                <w:rFonts w:cs="Times New Roman"/>
                <w:sz w:val="22"/>
              </w:rPr>
              <w:t xml:space="preserve">Survey </w:t>
            </w:r>
          </w:p>
        </w:tc>
        <w:tc>
          <w:tcPr>
            <w:tcW w:w="3875" w:type="dxa"/>
            <w:tcBorders>
              <w:top w:val="single" w:color="auto" w:sz="4" w:space="0"/>
              <w:left w:val="single" w:color="auto" w:sz="4" w:space="0"/>
              <w:bottom w:val="single" w:color="auto" w:sz="4" w:space="0"/>
              <w:right w:val="single" w:color="auto" w:sz="4" w:space="0"/>
            </w:tcBorders>
          </w:tcPr>
          <w:p w:rsidRPr="002517F6" w:rsidR="00F95BD1" w:rsidP="00F95BD1" w:rsidRDefault="002517F6" w14:paraId="0C776A7B" w14:textId="71233B06">
            <w:pPr>
              <w:rPr>
                <w:rFonts w:cs="Times New Roman"/>
                <w:sz w:val="22"/>
              </w:rPr>
            </w:pPr>
            <w:r w:rsidRPr="002517F6">
              <w:rPr>
                <w:rFonts w:cs="Times New Roman"/>
                <w:sz w:val="22"/>
              </w:rPr>
              <w:t>September</w:t>
            </w:r>
            <w:r w:rsidRPr="002517F6" w:rsidR="005B4631">
              <w:rPr>
                <w:rFonts w:cs="Times New Roman"/>
                <w:sz w:val="22"/>
              </w:rPr>
              <w:t xml:space="preserve"> </w:t>
            </w:r>
            <w:r w:rsidRPr="002517F6" w:rsidR="00F95BD1">
              <w:rPr>
                <w:rFonts w:cs="Times New Roman"/>
                <w:sz w:val="22"/>
              </w:rPr>
              <w:t xml:space="preserve">– </w:t>
            </w:r>
            <w:r w:rsidRPr="002517F6">
              <w:rPr>
                <w:rFonts w:cs="Times New Roman"/>
                <w:sz w:val="22"/>
              </w:rPr>
              <w:t>Novem</w:t>
            </w:r>
            <w:r w:rsidRPr="002517F6" w:rsidR="007007FC">
              <w:rPr>
                <w:rFonts w:cs="Times New Roman"/>
                <w:sz w:val="22"/>
              </w:rPr>
              <w:t xml:space="preserve">ber </w:t>
            </w:r>
            <w:r w:rsidRPr="002517F6" w:rsidR="00F95BD1">
              <w:rPr>
                <w:rFonts w:cs="Times New Roman"/>
                <w:sz w:val="22"/>
              </w:rPr>
              <w:t>202</w:t>
            </w:r>
            <w:r w:rsidRPr="002517F6" w:rsidR="00626F8C">
              <w:rPr>
                <w:rFonts w:cs="Times New Roman"/>
                <w:sz w:val="22"/>
              </w:rPr>
              <w:t>2</w:t>
            </w:r>
          </w:p>
        </w:tc>
      </w:tr>
      <w:tr w:rsidRPr="005777F1" w:rsidR="007D74C4" w:rsidTr="00626F8C" w14:paraId="4865EAE9" w14:textId="77777777">
        <w:tc>
          <w:tcPr>
            <w:tcW w:w="5125" w:type="dxa"/>
            <w:tcBorders>
              <w:top w:val="single" w:color="auto" w:sz="4" w:space="0"/>
              <w:left w:val="single" w:color="auto" w:sz="4" w:space="0"/>
              <w:bottom w:val="single" w:color="auto" w:sz="4" w:space="0"/>
              <w:right w:val="single" w:color="auto" w:sz="4" w:space="0"/>
            </w:tcBorders>
          </w:tcPr>
          <w:p w:rsidRPr="002517F6" w:rsidR="007D74C4" w:rsidP="00F95BD1" w:rsidRDefault="007D74C4" w14:paraId="55962E18" w14:textId="06ED1CD2">
            <w:pPr>
              <w:rPr>
                <w:rFonts w:cs="Times New Roman"/>
                <w:sz w:val="22"/>
              </w:rPr>
            </w:pPr>
            <w:r w:rsidRPr="002517F6">
              <w:rPr>
                <w:rFonts w:cs="Times New Roman"/>
                <w:sz w:val="22"/>
              </w:rPr>
              <w:t xml:space="preserve">Complete Pre-Test Analysis </w:t>
            </w:r>
          </w:p>
        </w:tc>
        <w:tc>
          <w:tcPr>
            <w:tcW w:w="3875" w:type="dxa"/>
            <w:tcBorders>
              <w:top w:val="single" w:color="auto" w:sz="4" w:space="0"/>
              <w:left w:val="single" w:color="auto" w:sz="4" w:space="0"/>
              <w:bottom w:val="single" w:color="auto" w:sz="4" w:space="0"/>
              <w:right w:val="single" w:color="auto" w:sz="4" w:space="0"/>
            </w:tcBorders>
          </w:tcPr>
          <w:p w:rsidRPr="002517F6" w:rsidR="007D74C4" w:rsidP="00F95BD1" w:rsidRDefault="002517F6" w14:paraId="7D733930" w14:textId="16484638">
            <w:pPr>
              <w:rPr>
                <w:rFonts w:cs="Times New Roman"/>
                <w:sz w:val="22"/>
              </w:rPr>
            </w:pPr>
            <w:r w:rsidRPr="002517F6">
              <w:rPr>
                <w:rFonts w:cs="Times New Roman"/>
                <w:sz w:val="22"/>
              </w:rPr>
              <w:t>December</w:t>
            </w:r>
            <w:r w:rsidRPr="002517F6" w:rsidR="007007FC">
              <w:rPr>
                <w:rFonts w:cs="Times New Roman"/>
                <w:sz w:val="22"/>
              </w:rPr>
              <w:t xml:space="preserve"> </w:t>
            </w:r>
            <w:r w:rsidRPr="002517F6" w:rsidR="007D74C4">
              <w:rPr>
                <w:rFonts w:cs="Times New Roman"/>
                <w:sz w:val="22"/>
              </w:rPr>
              <w:t>2022</w:t>
            </w:r>
          </w:p>
        </w:tc>
      </w:tr>
      <w:tr w:rsidRPr="005777F1" w:rsidR="00626F8C" w:rsidTr="00626F8C" w14:paraId="42986399" w14:textId="77777777">
        <w:tc>
          <w:tcPr>
            <w:tcW w:w="5125" w:type="dxa"/>
            <w:tcBorders>
              <w:top w:val="single" w:color="auto" w:sz="4" w:space="0"/>
              <w:left w:val="single" w:color="auto" w:sz="4" w:space="0"/>
              <w:bottom w:val="single" w:color="auto" w:sz="4" w:space="0"/>
              <w:right w:val="single" w:color="auto" w:sz="4" w:space="0"/>
            </w:tcBorders>
          </w:tcPr>
          <w:p w:rsidRPr="002517F6" w:rsidR="00626F8C" w:rsidP="00F95BD1" w:rsidRDefault="007D74C4" w14:paraId="0D3DAD56" w14:textId="46BD7D52">
            <w:pPr>
              <w:rPr>
                <w:rFonts w:cs="Times New Roman"/>
                <w:sz w:val="22"/>
              </w:rPr>
            </w:pPr>
            <w:r w:rsidRPr="002517F6">
              <w:rPr>
                <w:rFonts w:cs="Times New Roman"/>
                <w:sz w:val="22"/>
              </w:rPr>
              <w:t xml:space="preserve">Finalize Survey Components for biennial Mariner Survey main studies </w:t>
            </w:r>
          </w:p>
        </w:tc>
        <w:tc>
          <w:tcPr>
            <w:tcW w:w="3875" w:type="dxa"/>
            <w:tcBorders>
              <w:top w:val="single" w:color="auto" w:sz="4" w:space="0"/>
              <w:left w:val="single" w:color="auto" w:sz="4" w:space="0"/>
              <w:bottom w:val="single" w:color="auto" w:sz="4" w:space="0"/>
              <w:right w:val="single" w:color="auto" w:sz="4" w:space="0"/>
            </w:tcBorders>
          </w:tcPr>
          <w:p w:rsidRPr="002517F6" w:rsidR="00626F8C" w:rsidP="00F95BD1" w:rsidRDefault="002517F6" w14:paraId="122F7B43" w14:textId="52251A31">
            <w:pPr>
              <w:rPr>
                <w:rFonts w:cs="Times New Roman"/>
                <w:sz w:val="22"/>
              </w:rPr>
            </w:pPr>
            <w:r w:rsidRPr="002517F6">
              <w:rPr>
                <w:rFonts w:cs="Times New Roman"/>
                <w:sz w:val="22"/>
              </w:rPr>
              <w:t>December</w:t>
            </w:r>
            <w:r w:rsidRPr="002517F6" w:rsidR="007007FC">
              <w:rPr>
                <w:rFonts w:cs="Times New Roman"/>
                <w:sz w:val="22"/>
              </w:rPr>
              <w:t xml:space="preserve"> </w:t>
            </w:r>
            <w:r w:rsidRPr="002517F6" w:rsidR="007D74C4">
              <w:rPr>
                <w:rFonts w:cs="Times New Roman"/>
                <w:sz w:val="22"/>
              </w:rPr>
              <w:t>2022</w:t>
            </w:r>
          </w:p>
        </w:tc>
      </w:tr>
    </w:tbl>
    <w:p w:rsidRPr="005777F1" w:rsidR="007F7250" w:rsidP="005072A6" w:rsidRDefault="007F7250" w14:paraId="6AFA39AD" w14:textId="7F1EC2B1">
      <w:pPr>
        <w:rPr>
          <w:rFonts w:cs="Times New Roman"/>
          <w:szCs w:val="24"/>
        </w:rPr>
      </w:pPr>
    </w:p>
    <w:p w:rsidR="00702CD2" w:rsidP="001614DE" w:rsidRDefault="00611829" w14:paraId="68A5026E" w14:textId="62A5EF33">
      <w:pPr>
        <w:rPr>
          <w:rFonts w:cs="Times New Roman"/>
          <w:szCs w:val="24"/>
        </w:rPr>
      </w:pPr>
      <w:r w:rsidRPr="005777F1">
        <w:rPr>
          <w:rFonts w:cs="Times New Roman"/>
          <w:szCs w:val="24"/>
        </w:rPr>
        <w:t xml:space="preserve">The </w:t>
      </w:r>
      <w:r w:rsidR="00FF3E13">
        <w:rPr>
          <w:rFonts w:cs="Times New Roman"/>
          <w:szCs w:val="24"/>
        </w:rPr>
        <w:t>p</w:t>
      </w:r>
      <w:r>
        <w:rPr>
          <w:rFonts w:cs="Times New Roman"/>
          <w:szCs w:val="24"/>
        </w:rPr>
        <w:t>re-</w:t>
      </w:r>
      <w:r w:rsidR="00FF3E13">
        <w:rPr>
          <w:rFonts w:cs="Times New Roman"/>
          <w:szCs w:val="24"/>
        </w:rPr>
        <w:t>t</w:t>
      </w:r>
      <w:r>
        <w:rPr>
          <w:rFonts w:cs="Times New Roman"/>
          <w:szCs w:val="24"/>
        </w:rPr>
        <w:t>est</w:t>
      </w:r>
      <w:r w:rsidRPr="005777F1">
        <w:rPr>
          <w:rFonts w:cs="Times New Roman"/>
          <w:szCs w:val="24"/>
        </w:rPr>
        <w:t xml:space="preserve"> responses will be analyzed to improve the design of the full biennial Mariner Survey. Upon completion of the </w:t>
      </w:r>
      <w:r w:rsidR="00FF3E13">
        <w:rPr>
          <w:rFonts w:cs="Times New Roman"/>
          <w:szCs w:val="24"/>
        </w:rPr>
        <w:t>p</w:t>
      </w:r>
      <w:r>
        <w:rPr>
          <w:rFonts w:cs="Times New Roman"/>
          <w:szCs w:val="24"/>
        </w:rPr>
        <w:t>re-</w:t>
      </w:r>
      <w:r w:rsidR="00FF3E13">
        <w:rPr>
          <w:rFonts w:cs="Times New Roman"/>
          <w:szCs w:val="24"/>
        </w:rPr>
        <w:t>t</w:t>
      </w:r>
      <w:r w:rsidRPr="005777F1">
        <w:rPr>
          <w:rFonts w:cs="Times New Roman"/>
          <w:szCs w:val="24"/>
        </w:rPr>
        <w:t>est analysis, MARAD intends to submit a separate request for a</w:t>
      </w:r>
      <w:r w:rsidR="009F1F62">
        <w:rPr>
          <w:rFonts w:cs="Times New Roman"/>
          <w:szCs w:val="24"/>
        </w:rPr>
        <w:t xml:space="preserve"> </w:t>
      </w:r>
      <w:r w:rsidRPr="005777F1">
        <w:rPr>
          <w:rFonts w:cs="Times New Roman"/>
          <w:szCs w:val="24"/>
        </w:rPr>
        <w:t xml:space="preserve">three-year approval for the full biennial </w:t>
      </w:r>
      <w:r w:rsidRPr="00D51D7B">
        <w:rPr>
          <w:rFonts w:cs="Times New Roman"/>
          <w:szCs w:val="24"/>
        </w:rPr>
        <w:t>Mariner Survey</w:t>
      </w:r>
      <w:r w:rsidRPr="005777F1">
        <w:rPr>
          <w:rFonts w:cs="Times New Roman"/>
          <w:szCs w:val="24"/>
        </w:rPr>
        <w:t xml:space="preserve"> after issuing </w:t>
      </w:r>
      <w:r>
        <w:rPr>
          <w:rFonts w:cs="Times New Roman"/>
          <w:szCs w:val="24"/>
        </w:rPr>
        <w:t>new</w:t>
      </w:r>
      <w:r w:rsidR="009F1F62">
        <w:rPr>
          <w:rFonts w:cs="Times New Roman"/>
          <w:szCs w:val="24"/>
        </w:rPr>
        <w:t xml:space="preserve"> </w:t>
      </w:r>
      <w:r w:rsidRPr="005777F1">
        <w:rPr>
          <w:rFonts w:cs="Times New Roman"/>
          <w:szCs w:val="24"/>
        </w:rPr>
        <w:t>60-day and 30-day notices in the Federal Register</w:t>
      </w:r>
      <w:r w:rsidR="002F2BF4">
        <w:rPr>
          <w:rFonts w:cs="Times New Roman"/>
          <w:szCs w:val="24"/>
        </w:rPr>
        <w:t>.</w:t>
      </w:r>
    </w:p>
    <w:p w:rsidRPr="001614DE" w:rsidR="002F2BF4" w:rsidP="001614DE" w:rsidRDefault="002F2BF4" w14:paraId="37F11A8C" w14:textId="77777777">
      <w:pPr>
        <w:rPr>
          <w:rFonts w:cs="Times New Roman"/>
          <w:szCs w:val="24"/>
        </w:rPr>
      </w:pPr>
    </w:p>
    <w:p w:rsidRPr="005777F1" w:rsidR="004442D9" w:rsidP="002F2BF4" w:rsidRDefault="007626DD" w14:paraId="60F7B2D7" w14:textId="6FFCBA65">
      <w:pPr>
        <w:pStyle w:val="Heading3"/>
      </w:pPr>
      <w:bookmarkStart w:name="_Toc90302126" w:id="33"/>
      <w:r w:rsidRPr="005777F1">
        <w:t xml:space="preserve">A.17 </w:t>
      </w:r>
      <w:r w:rsidRPr="005777F1" w:rsidR="00AE3B78">
        <w:t>Display OMB Expiration Date</w:t>
      </w:r>
      <w:bookmarkEnd w:id="33"/>
    </w:p>
    <w:p w:rsidRPr="005777F1" w:rsidR="004442D9" w:rsidP="004442D9" w:rsidRDefault="004442D9" w14:paraId="1994D87F" w14:textId="77777777">
      <w:pPr>
        <w:rPr>
          <w:rFonts w:cs="Times New Roman"/>
          <w:szCs w:val="24"/>
        </w:rPr>
      </w:pPr>
      <w:r w:rsidRPr="005777F1">
        <w:rPr>
          <w:rFonts w:cs="Times New Roman"/>
          <w:szCs w:val="24"/>
        </w:rPr>
        <w:t xml:space="preserve">The OMB expiration date will be displayed on all data collection and recruitment materials. </w:t>
      </w:r>
    </w:p>
    <w:p w:rsidRPr="005777F1" w:rsidR="004442D9" w:rsidP="005072A6" w:rsidRDefault="004442D9" w14:paraId="6D9A03D6" w14:textId="134E132F">
      <w:pPr>
        <w:rPr>
          <w:rFonts w:cs="Times New Roman"/>
          <w:szCs w:val="24"/>
        </w:rPr>
      </w:pPr>
    </w:p>
    <w:p w:rsidRPr="005777F1" w:rsidR="004442D9" w:rsidP="002F2BF4" w:rsidRDefault="007626DD" w14:paraId="7B59AE67" w14:textId="34403D64">
      <w:pPr>
        <w:pStyle w:val="Heading3"/>
      </w:pPr>
      <w:bookmarkStart w:name="_Toc90302127" w:id="34"/>
      <w:r w:rsidRPr="005777F1">
        <w:t xml:space="preserve">A.18 </w:t>
      </w:r>
      <w:r w:rsidRPr="005777F1" w:rsidR="00AE3B78">
        <w:t>Exceptions of Certification Statement</w:t>
      </w:r>
      <w:bookmarkEnd w:id="34"/>
    </w:p>
    <w:p w:rsidR="004442D9" w:rsidP="005072A6" w:rsidRDefault="004442D9" w14:paraId="35429E22" w14:textId="3D5A0A97">
      <w:pPr>
        <w:rPr>
          <w:rFonts w:cs="Times New Roman"/>
          <w:szCs w:val="24"/>
        </w:rPr>
      </w:pPr>
      <w:r w:rsidRPr="005777F1">
        <w:rPr>
          <w:rFonts w:cs="Times New Roman"/>
          <w:szCs w:val="24"/>
        </w:rPr>
        <w:t xml:space="preserve">No exceptions are requested to the “Certification for Paperwork Reduction Act Submissions” of OMB Form 83-I. </w:t>
      </w:r>
    </w:p>
    <w:p w:rsidR="002F2BF4" w:rsidRDefault="002F2BF4" w14:paraId="42552742" w14:textId="14187B78">
      <w:pPr>
        <w:rPr>
          <w:rFonts w:cs="Times New Roman"/>
          <w:szCs w:val="24"/>
        </w:rPr>
      </w:pPr>
    </w:p>
    <w:sectPr w:rsidR="002F2BF4" w:rsidSect="000D0D7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BA45E" w14:textId="77777777" w:rsidR="008B39F0" w:rsidRDefault="008B39F0" w:rsidP="00416F70">
      <w:pPr>
        <w:spacing w:after="0" w:line="240" w:lineRule="auto"/>
      </w:pPr>
      <w:r>
        <w:separator/>
      </w:r>
    </w:p>
  </w:endnote>
  <w:endnote w:type="continuationSeparator" w:id="0">
    <w:p w14:paraId="4C6072C4" w14:textId="77777777" w:rsidR="008B39F0" w:rsidRDefault="008B39F0" w:rsidP="00416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C5FF2" w14:textId="77777777" w:rsidR="008B39F0" w:rsidRDefault="008B3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1BAB3" w14:textId="740529FE" w:rsidR="008B39F0" w:rsidRDefault="008B39F0">
    <w:pPr>
      <w:pStyle w:val="Footer"/>
      <w:jc w:val="center"/>
    </w:pPr>
  </w:p>
  <w:p w14:paraId="1702717F" w14:textId="79894A3A" w:rsidR="008B39F0" w:rsidRPr="00C611EC" w:rsidRDefault="008B39F0" w:rsidP="000D0D77">
    <w:pPr>
      <w:pStyle w:val="Footer"/>
      <w:jc w:val="center"/>
      <w:rPr>
        <w:rFonts w:cs="Times New Roman"/>
        <w:sz w:val="20"/>
        <w:szCs w:val="20"/>
      </w:rPr>
    </w:pPr>
    <w:r w:rsidRPr="00C611EC">
      <w:rPr>
        <w:rFonts w:cs="Times New Roman"/>
        <w:sz w:val="20"/>
        <w:szCs w:val="20"/>
      </w:rPr>
      <w:fldChar w:fldCharType="begin"/>
    </w:r>
    <w:r w:rsidRPr="00C611EC">
      <w:rPr>
        <w:rFonts w:cs="Times New Roman"/>
        <w:sz w:val="20"/>
        <w:szCs w:val="20"/>
      </w:rPr>
      <w:instrText xml:space="preserve"> PAGE   \* MERGEFORMAT </w:instrText>
    </w:r>
    <w:r w:rsidRPr="00C611EC">
      <w:rPr>
        <w:rFonts w:cs="Times New Roman"/>
        <w:sz w:val="20"/>
        <w:szCs w:val="20"/>
      </w:rPr>
      <w:fldChar w:fldCharType="separate"/>
    </w:r>
    <w:r>
      <w:rPr>
        <w:rFonts w:cs="Times New Roman"/>
        <w:noProof/>
        <w:sz w:val="20"/>
        <w:szCs w:val="20"/>
      </w:rPr>
      <w:t>10</w:t>
    </w:r>
    <w:r w:rsidRPr="00C611EC">
      <w:rPr>
        <w:rFonts w:cs="Times New Roman"/>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094F0" w14:textId="2106EF7D" w:rsidR="008B39F0" w:rsidRDefault="008B39F0">
    <w:pPr>
      <w:pStyle w:val="Footer"/>
      <w:jc w:val="center"/>
    </w:pPr>
  </w:p>
  <w:p w14:paraId="35257147" w14:textId="77777777" w:rsidR="008B39F0" w:rsidRDefault="008B3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7D49EB" w14:textId="77777777" w:rsidR="008B39F0" w:rsidRDefault="008B39F0" w:rsidP="00416F70">
      <w:pPr>
        <w:spacing w:after="0" w:line="240" w:lineRule="auto"/>
      </w:pPr>
      <w:r>
        <w:separator/>
      </w:r>
    </w:p>
  </w:footnote>
  <w:footnote w:type="continuationSeparator" w:id="0">
    <w:p w14:paraId="23FB4B4D" w14:textId="77777777" w:rsidR="008B39F0" w:rsidRDefault="008B39F0" w:rsidP="00416F70">
      <w:pPr>
        <w:spacing w:after="0" w:line="240" w:lineRule="auto"/>
      </w:pPr>
      <w:r>
        <w:continuationSeparator/>
      </w:r>
    </w:p>
  </w:footnote>
  <w:footnote w:id="1">
    <w:p w14:paraId="411BF21B" w14:textId="77777777" w:rsidR="008B39F0" w:rsidRDefault="008B39F0" w:rsidP="00433F00">
      <w:pPr>
        <w:pStyle w:val="FootnoteText"/>
      </w:pPr>
      <w:r>
        <w:rPr>
          <w:rStyle w:val="FootnoteReference"/>
        </w:rPr>
        <w:footnoteRef/>
      </w:r>
      <w:r>
        <w:t xml:space="preserve"> </w:t>
      </w:r>
      <w:hyperlink r:id="rId1" w:history="1">
        <w:r>
          <w:rPr>
            <w:rStyle w:val="Hyperlink"/>
          </w:rPr>
          <w:t>https://www.maritime.dot.gov/sites/marad.dot.gov/files/docs/mariners/1026/mwwg-report-congress-finalr3.pdf</w:t>
        </w:r>
      </w:hyperlink>
    </w:p>
  </w:footnote>
  <w:footnote w:id="2">
    <w:p w14:paraId="6823C827" w14:textId="77777777" w:rsidR="008B39F0" w:rsidRDefault="008B39F0" w:rsidP="00433F00">
      <w:pPr>
        <w:pStyle w:val="FootnoteText"/>
      </w:pPr>
      <w:r>
        <w:rPr>
          <w:rStyle w:val="FootnoteReference"/>
        </w:rPr>
        <w:footnoteRef/>
      </w:r>
      <w:r>
        <w:t xml:space="preserve"> </w:t>
      </w:r>
      <w:hyperlink r:id="rId2" w:history="1">
        <w:r>
          <w:rPr>
            <w:rStyle w:val="Hyperlink"/>
          </w:rPr>
          <w:t>https://www.gao.gov/assets/680/672181.pdf</w:t>
        </w:r>
      </w:hyperlink>
    </w:p>
  </w:footnote>
  <w:footnote w:id="3">
    <w:p w14:paraId="39914537" w14:textId="09E3333F" w:rsidR="008B39F0" w:rsidRDefault="008B39F0">
      <w:pPr>
        <w:pStyle w:val="FootnoteText"/>
      </w:pPr>
      <w:r>
        <w:rPr>
          <w:rStyle w:val="FootnoteReference"/>
        </w:rPr>
        <w:footnoteRef/>
      </w:r>
      <w:r>
        <w:t xml:space="preserve"> </w:t>
      </w:r>
      <w:r w:rsidRPr="000D5F7A">
        <w:t>https://www.maritime.dot.gov/sites/marad.dot.gov/files/docs/mariners/1026/mwwg-report-congress-finalr3.pdf</w:t>
      </w:r>
    </w:p>
  </w:footnote>
  <w:footnote w:id="4">
    <w:p w14:paraId="7A5D6D9C" w14:textId="4649E73B" w:rsidR="008B39F0" w:rsidRDefault="008B39F0">
      <w:pPr>
        <w:pStyle w:val="FootnoteText"/>
      </w:pPr>
      <w:r>
        <w:rPr>
          <w:rStyle w:val="FootnoteReference"/>
        </w:rPr>
        <w:footnoteRef/>
      </w:r>
      <w:r>
        <w:t xml:space="preserve"> Allenby, Greg M., Neeraj Arora, and James L. Ginter (1995), “Incorporating Prior Knowledge into the Analysis of Conjoint Studies,” Journal of Marketing Research, 32, 152-162.</w:t>
      </w:r>
    </w:p>
  </w:footnote>
  <w:footnote w:id="5">
    <w:p w14:paraId="57D7A6C5" w14:textId="71923BE7" w:rsidR="008B39F0" w:rsidRDefault="008B39F0">
      <w:pPr>
        <w:pStyle w:val="FootnoteText"/>
      </w:pPr>
      <w:r>
        <w:rPr>
          <w:rStyle w:val="FootnoteReference"/>
        </w:rPr>
        <w:footnoteRef/>
      </w:r>
      <w:r>
        <w:t xml:space="preserve"> </w:t>
      </w:r>
      <w:r w:rsidRPr="00FC085F">
        <w:t>https://www.transportation.gov/sites/dot.gov/files/docs/mission/administrations/office-policy/304866/dot-strategic-planfy2018-2022508.pdf</w:t>
      </w:r>
    </w:p>
  </w:footnote>
  <w:footnote w:id="6">
    <w:p w14:paraId="526429FA" w14:textId="4A897FBC" w:rsidR="008B39F0" w:rsidRDefault="008B39F0">
      <w:pPr>
        <w:pStyle w:val="FootnoteText"/>
      </w:pPr>
      <w:r>
        <w:rPr>
          <w:rStyle w:val="FootnoteReference"/>
        </w:rPr>
        <w:footnoteRef/>
      </w:r>
      <w:r>
        <w:t xml:space="preserve"> </w:t>
      </w:r>
      <w:r w:rsidRPr="00B843E4">
        <w:t>https://www.maritime.dot.gov/sites/marad.dot.gov/files/docs/resources/3606/marad-strategic-plan-2017-2021-20170119-final-signed.pdf</w:t>
      </w:r>
    </w:p>
  </w:footnote>
  <w:footnote w:id="7">
    <w:p w14:paraId="0FB476AA" w14:textId="741FD783" w:rsidR="008B39F0" w:rsidRDefault="008B39F0">
      <w:pPr>
        <w:pStyle w:val="FootnoteText"/>
      </w:pPr>
      <w:r>
        <w:rPr>
          <w:rStyle w:val="FootnoteReference"/>
        </w:rPr>
        <w:footnoteRef/>
      </w:r>
      <w:r>
        <w:t xml:space="preserve"> </w:t>
      </w:r>
      <w:r w:rsidRPr="00CA4A88">
        <w:t xml:space="preserve">Johnston, R., Boyle, K., Adamowicz, W., Bennett, J., Brouwer, R., Cameron, T., Hanemann, W., Hanley, N., Ryan, M., Scarpa, R., Tourangeau, R., &amp; Vossler, C.A. (2017). Contemporary Guidance for Stated Preference Studies. </w:t>
      </w:r>
      <w:r w:rsidRPr="00CA4A88">
        <w:rPr>
          <w:i/>
          <w:iCs/>
        </w:rPr>
        <w:t>Journal of the Association of Environmental and Resource Economists</w:t>
      </w:r>
      <w:r w:rsidRPr="00CA4A88">
        <w:t>, 4, 319</w:t>
      </w:r>
      <w:r>
        <w:t>–</w:t>
      </w:r>
      <w:r w:rsidRPr="00CA4A88">
        <w:t>405.</w:t>
      </w:r>
    </w:p>
  </w:footnote>
  <w:footnote w:id="8">
    <w:p w14:paraId="42EE16B7" w14:textId="599BD25F" w:rsidR="008B39F0" w:rsidRDefault="008B39F0" w:rsidP="007B4F79">
      <w:pPr>
        <w:pStyle w:val="FootnoteText"/>
      </w:pPr>
      <w:r>
        <w:rPr>
          <w:rStyle w:val="FootnoteReference"/>
        </w:rPr>
        <w:footnoteRef/>
      </w:r>
      <w:r>
        <w:t xml:space="preserve"> </w:t>
      </w:r>
      <w:r w:rsidRPr="00CA4A88">
        <w:t>Johnston</w:t>
      </w:r>
      <w:r>
        <w:t xml:space="preserve"> et al. 2017</w:t>
      </w:r>
      <w:r w:rsidRPr="00CA4A88">
        <w:t>.</w:t>
      </w:r>
    </w:p>
  </w:footnote>
  <w:footnote w:id="9">
    <w:p w14:paraId="42EA49B7" w14:textId="28AD666B" w:rsidR="008B39F0" w:rsidRDefault="008B39F0" w:rsidP="007B4F79">
      <w:pPr>
        <w:pStyle w:val="FootnoteText"/>
      </w:pPr>
      <w:r>
        <w:rPr>
          <w:rStyle w:val="FootnoteReference"/>
        </w:rPr>
        <w:footnoteRef/>
      </w:r>
      <w:r>
        <w:t xml:space="preserve"> </w:t>
      </w:r>
      <w:r w:rsidRPr="00D77711">
        <w:t xml:space="preserve">Arrow, </w:t>
      </w:r>
      <w:r>
        <w:t>K.</w:t>
      </w:r>
      <w:r w:rsidRPr="00D77711">
        <w:t>, Solow,</w:t>
      </w:r>
      <w:r>
        <w:t xml:space="preserve"> R.,</w:t>
      </w:r>
      <w:r w:rsidRPr="00D77711">
        <w:t xml:space="preserve"> Portney,</w:t>
      </w:r>
      <w:r>
        <w:t xml:space="preserve"> P. R.,</w:t>
      </w:r>
      <w:r w:rsidRPr="00D77711">
        <w:t xml:space="preserve"> Leamer,</w:t>
      </w:r>
      <w:r>
        <w:t xml:space="preserve"> E. E.,</w:t>
      </w:r>
      <w:r w:rsidRPr="00D77711">
        <w:t xml:space="preserve"> Radner,</w:t>
      </w:r>
      <w:r>
        <w:t xml:space="preserve"> R.,</w:t>
      </w:r>
      <w:r w:rsidRPr="00D77711">
        <w:t xml:space="preserve"> </w:t>
      </w:r>
      <w:r>
        <w:t xml:space="preserve">&amp; </w:t>
      </w:r>
      <w:r w:rsidRPr="00D77711">
        <w:t>Schuman</w:t>
      </w:r>
      <w:r>
        <w:t>, H.</w:t>
      </w:r>
      <w:r w:rsidRPr="00D77711">
        <w:t xml:space="preserve"> 1993. Report of the NOAA panel on contingent valuation. </w:t>
      </w:r>
      <w:r w:rsidRPr="00F236B6">
        <w:rPr>
          <w:i/>
          <w:iCs/>
        </w:rPr>
        <w:t>Federal Register</w:t>
      </w:r>
      <w:r w:rsidRPr="00D77711">
        <w:t xml:space="preserve"> 58:4601–14.</w:t>
      </w:r>
    </w:p>
  </w:footnote>
  <w:footnote w:id="10">
    <w:p w14:paraId="311AC627" w14:textId="6FADD618" w:rsidR="008B39F0" w:rsidRDefault="008B39F0" w:rsidP="007B4F79">
      <w:pPr>
        <w:pStyle w:val="FootnoteText"/>
      </w:pPr>
      <w:r>
        <w:rPr>
          <w:rStyle w:val="FootnoteReference"/>
        </w:rPr>
        <w:footnoteRef/>
      </w:r>
      <w:r>
        <w:t xml:space="preserve"> </w:t>
      </w:r>
      <w:r w:rsidRPr="00D77711">
        <w:t>Bateman, I</w:t>
      </w:r>
      <w:r>
        <w:t>.</w:t>
      </w:r>
      <w:r w:rsidRPr="00D77711">
        <w:t xml:space="preserve"> J., Carson,</w:t>
      </w:r>
      <w:r>
        <w:t xml:space="preserve"> R. T.,</w:t>
      </w:r>
      <w:r w:rsidRPr="00D77711">
        <w:t xml:space="preserve"> Day,</w:t>
      </w:r>
      <w:r>
        <w:t xml:space="preserve"> B. H.,</w:t>
      </w:r>
      <w:r w:rsidRPr="00D77711">
        <w:t xml:space="preserve"> Hanemann, </w:t>
      </w:r>
      <w:r>
        <w:t xml:space="preserve">W. M., </w:t>
      </w:r>
      <w:r w:rsidRPr="00D77711">
        <w:t>Hanley,</w:t>
      </w:r>
      <w:r>
        <w:t xml:space="preserve"> N.,</w:t>
      </w:r>
      <w:r w:rsidRPr="00D77711">
        <w:t xml:space="preserve"> Hett, </w:t>
      </w:r>
      <w:r>
        <w:t xml:space="preserve">T., </w:t>
      </w:r>
      <w:r w:rsidRPr="00D77711">
        <w:t>Jones-Lee,</w:t>
      </w:r>
      <w:r>
        <w:t xml:space="preserve"> M.,</w:t>
      </w:r>
      <w:r w:rsidRPr="00D77711">
        <w:t xml:space="preserve"> Loomes,</w:t>
      </w:r>
      <w:r>
        <w:t xml:space="preserve"> G.,</w:t>
      </w:r>
      <w:r w:rsidRPr="00D77711">
        <w:t xml:space="preserve"> Mourato</w:t>
      </w:r>
      <w:r>
        <w:t>, S.,</w:t>
      </w:r>
      <w:r w:rsidRPr="00D77711">
        <w:t xml:space="preserve"> Özdemiroglu,</w:t>
      </w:r>
      <w:r>
        <w:t xml:space="preserve"> E.,</w:t>
      </w:r>
      <w:r w:rsidRPr="00D77711">
        <w:t xml:space="preserve"> </w:t>
      </w:r>
      <w:r>
        <w:t>&amp;</w:t>
      </w:r>
      <w:r w:rsidRPr="00D77711">
        <w:t xml:space="preserve"> Pearce</w:t>
      </w:r>
      <w:r>
        <w:t>, D. W.</w:t>
      </w:r>
      <w:r w:rsidRPr="00D77711">
        <w:t xml:space="preserve"> 2002. </w:t>
      </w:r>
      <w:r w:rsidRPr="00F236B6">
        <w:rPr>
          <w:i/>
          <w:iCs/>
        </w:rPr>
        <w:t>Economic valuation with stated preference techniques: A manual.</w:t>
      </w:r>
      <w:r w:rsidRPr="00D77711">
        <w:t xml:space="preserve"> Cheltenham: Edward Elgar</w:t>
      </w:r>
      <w:r>
        <w:t>.</w:t>
      </w:r>
    </w:p>
  </w:footnote>
  <w:footnote w:id="11">
    <w:p w14:paraId="6B308362" w14:textId="012EA494" w:rsidR="008B39F0" w:rsidRDefault="008B39F0" w:rsidP="007B4F79">
      <w:pPr>
        <w:pStyle w:val="FootnoteText"/>
      </w:pPr>
      <w:r>
        <w:rPr>
          <w:rStyle w:val="FootnoteReference"/>
        </w:rPr>
        <w:footnoteRef/>
      </w:r>
      <w:r>
        <w:t xml:space="preserve"> </w:t>
      </w:r>
      <w:r w:rsidRPr="0083285B">
        <w:t>Champ, P</w:t>
      </w:r>
      <w:r>
        <w:t>.</w:t>
      </w:r>
      <w:r w:rsidRPr="0083285B">
        <w:t xml:space="preserve"> A., Boyle, K</w:t>
      </w:r>
      <w:r>
        <w:t>.</w:t>
      </w:r>
      <w:r w:rsidRPr="0083285B">
        <w:t xml:space="preserve">, </w:t>
      </w:r>
      <w:r>
        <w:t xml:space="preserve">&amp; </w:t>
      </w:r>
      <w:r w:rsidRPr="0083285B">
        <w:t>Brown, T</w:t>
      </w:r>
      <w:r>
        <w:t>.</w:t>
      </w:r>
      <w:r w:rsidRPr="0083285B">
        <w:t xml:space="preserve"> C., eds. 2017. </w:t>
      </w:r>
      <w:r w:rsidRPr="00F236B6">
        <w:rPr>
          <w:i/>
          <w:iCs/>
        </w:rPr>
        <w:t>A primer on nonmarket valuation</w:t>
      </w:r>
      <w:r w:rsidRPr="0083285B">
        <w:t>. Amsterdam: Springer Science &amp; Business Medi</w:t>
      </w:r>
      <w:r>
        <w:t>a.</w:t>
      </w:r>
    </w:p>
  </w:footnote>
  <w:footnote w:id="12">
    <w:p w14:paraId="3F13B7D5" w14:textId="2C882153" w:rsidR="008B39F0" w:rsidRDefault="008B39F0" w:rsidP="00DA2C6E">
      <w:pPr>
        <w:pStyle w:val="FootnoteText"/>
      </w:pPr>
      <w:r>
        <w:rPr>
          <w:rStyle w:val="FootnoteReference"/>
        </w:rPr>
        <w:footnoteRef/>
      </w:r>
      <w:r>
        <w:t xml:space="preserve"> </w:t>
      </w:r>
      <w:r w:rsidRPr="00752C98">
        <w:t>Johnsto</w:t>
      </w:r>
      <w:r>
        <w:t xml:space="preserve">n, </w:t>
      </w:r>
      <w:r w:rsidRPr="00CA4A88">
        <w:t xml:space="preserve">R., Boyle, K., Adamowicz, W., Bennett, J., Brouwer, R., Cameron, T., Hanemann, W., Hanley, N., Ryan, M., Scarpa, R., Tourangeau, R., &amp; Vossler, C.A. (2017). Contemporary Guidance for Stated Preference Studies. </w:t>
      </w:r>
      <w:r w:rsidRPr="00CA4A88">
        <w:rPr>
          <w:i/>
          <w:iCs/>
        </w:rPr>
        <w:t>Journal of the Association of Environmental and Resource Economists</w:t>
      </w:r>
      <w:r w:rsidRPr="00CA4A88">
        <w:t>, 4, 319</w:t>
      </w:r>
      <w:r>
        <w:t>–</w:t>
      </w:r>
      <w:r w:rsidRPr="00CA4A88">
        <w:t>405.</w:t>
      </w:r>
    </w:p>
  </w:footnote>
  <w:footnote w:id="13">
    <w:p w14:paraId="7280411D" w14:textId="07AD415C" w:rsidR="008B39F0" w:rsidRDefault="008B39F0" w:rsidP="00DA2C6E">
      <w:pPr>
        <w:pStyle w:val="FootnoteText"/>
      </w:pPr>
      <w:r>
        <w:rPr>
          <w:rStyle w:val="FootnoteReference"/>
        </w:rPr>
        <w:footnoteRef/>
      </w:r>
      <w:r>
        <w:t xml:space="preserve"> </w:t>
      </w:r>
      <w:r w:rsidRPr="0083285B">
        <w:t>Champ, P</w:t>
      </w:r>
      <w:r>
        <w:t>.</w:t>
      </w:r>
      <w:r w:rsidRPr="0083285B">
        <w:t xml:space="preserve"> A., Boyle, K</w:t>
      </w:r>
      <w:r>
        <w:t>.</w:t>
      </w:r>
      <w:r w:rsidRPr="0083285B">
        <w:t xml:space="preserve">, </w:t>
      </w:r>
      <w:r>
        <w:t xml:space="preserve">&amp; </w:t>
      </w:r>
      <w:r w:rsidRPr="0083285B">
        <w:t>Brown, T</w:t>
      </w:r>
      <w:r>
        <w:t>.</w:t>
      </w:r>
      <w:r w:rsidRPr="0083285B">
        <w:t xml:space="preserve"> C., eds. 2017. </w:t>
      </w:r>
      <w:r w:rsidRPr="00F236B6">
        <w:rPr>
          <w:i/>
          <w:iCs/>
        </w:rPr>
        <w:t>A primer on nonmarket valuation</w:t>
      </w:r>
      <w:r w:rsidRPr="0083285B">
        <w:t>. Amsterdam: Springer Science &amp; Business Medi</w:t>
      </w:r>
      <w:r>
        <w:t>a.</w:t>
      </w:r>
    </w:p>
  </w:footnote>
  <w:footnote w:id="14">
    <w:p w14:paraId="7A9BBEDD" w14:textId="2A65376E" w:rsidR="008B39F0" w:rsidRDefault="008B39F0" w:rsidP="00DA2C6E">
      <w:pPr>
        <w:pStyle w:val="FootnoteText"/>
      </w:pPr>
      <w:r>
        <w:rPr>
          <w:rStyle w:val="FootnoteReference"/>
        </w:rPr>
        <w:footnoteRef/>
      </w:r>
      <w:r>
        <w:t xml:space="preserve"> </w:t>
      </w:r>
      <w:r w:rsidRPr="002500F5">
        <w:t xml:space="preserve">Lundhede, </w:t>
      </w:r>
      <w:r>
        <w:t>T.</w:t>
      </w:r>
      <w:r w:rsidRPr="002500F5">
        <w:t xml:space="preserve">, Jacobsen, </w:t>
      </w:r>
      <w:r>
        <w:t xml:space="preserve">J. B., </w:t>
      </w:r>
      <w:r w:rsidRPr="002500F5">
        <w:t>Hanley,</w:t>
      </w:r>
      <w:r>
        <w:t xml:space="preserve"> N.,</w:t>
      </w:r>
      <w:r w:rsidRPr="002500F5">
        <w:t xml:space="preserve"> Strange,</w:t>
      </w:r>
      <w:r>
        <w:t xml:space="preserve"> N.,</w:t>
      </w:r>
      <w:r w:rsidRPr="002500F5">
        <w:t xml:space="preserve"> </w:t>
      </w:r>
      <w:r>
        <w:t>&amp;</w:t>
      </w:r>
      <w:r w:rsidRPr="002500F5">
        <w:t xml:space="preserve"> Thorsen</w:t>
      </w:r>
      <w:r>
        <w:t>, B. J</w:t>
      </w:r>
      <w:r w:rsidRPr="002500F5">
        <w:t xml:space="preserve">. 2015. Incorporating outcome uncertainty and prior outcome beliefs in stated preference. </w:t>
      </w:r>
      <w:r w:rsidRPr="00F236B6">
        <w:rPr>
          <w:i/>
          <w:iCs/>
        </w:rPr>
        <w:t>Land Economics</w:t>
      </w:r>
      <w:r w:rsidRPr="002500F5">
        <w:t xml:space="preserve"> 91</w:t>
      </w:r>
      <w:r>
        <w:t xml:space="preserve">, </w:t>
      </w:r>
      <w:r w:rsidRPr="002500F5">
        <w:t>296–316</w:t>
      </w:r>
      <w:r>
        <w:t>.</w:t>
      </w:r>
    </w:p>
  </w:footnote>
  <w:footnote w:id="15">
    <w:p w14:paraId="6A15C4C7" w14:textId="54E8552C" w:rsidR="008B39F0" w:rsidRDefault="008B39F0" w:rsidP="00DA2C6E">
      <w:pPr>
        <w:pStyle w:val="FootnoteText"/>
      </w:pPr>
      <w:r>
        <w:rPr>
          <w:rStyle w:val="FootnoteReference"/>
        </w:rPr>
        <w:footnoteRef/>
      </w:r>
      <w:r>
        <w:t xml:space="preserve"> </w:t>
      </w:r>
      <w:r w:rsidRPr="00D77711">
        <w:t>Johns</w:t>
      </w:r>
      <w:r>
        <w:t>t</w:t>
      </w:r>
      <w:r w:rsidRPr="00D77711">
        <w:t xml:space="preserve">on, F. Reed, </w:t>
      </w:r>
      <w:r>
        <w:t>E. L.</w:t>
      </w:r>
      <w:r w:rsidRPr="00D77711">
        <w:t>, Marshall,</w:t>
      </w:r>
      <w:r>
        <w:t xml:space="preserve"> D.,</w:t>
      </w:r>
      <w:r w:rsidRPr="00D77711">
        <w:t xml:space="preserve"> Kilambi,</w:t>
      </w:r>
      <w:r>
        <w:t xml:space="preserve"> V.,</w:t>
      </w:r>
      <w:r w:rsidRPr="00D77711">
        <w:t xml:space="preserve"> Mühlbacher, </w:t>
      </w:r>
      <w:r>
        <w:t xml:space="preserve">A., </w:t>
      </w:r>
      <w:r w:rsidRPr="00D77711">
        <w:t xml:space="preserve">Regier, </w:t>
      </w:r>
      <w:r>
        <w:t xml:space="preserve">D. A., </w:t>
      </w:r>
      <w:r w:rsidRPr="00D77711">
        <w:t xml:space="preserve">Bresnahan, </w:t>
      </w:r>
      <w:r>
        <w:t>B. W.,</w:t>
      </w:r>
      <w:r w:rsidRPr="00D77711">
        <w:t xml:space="preserve"> Kanninen,</w:t>
      </w:r>
      <w:r>
        <w:t xml:space="preserve"> B.,</w:t>
      </w:r>
      <w:r w:rsidRPr="00D77711">
        <w:t xml:space="preserve"> </w:t>
      </w:r>
      <w:r>
        <w:t xml:space="preserve">&amp; </w:t>
      </w:r>
      <w:r w:rsidRPr="00D77711">
        <w:t>Bridges</w:t>
      </w:r>
      <w:r>
        <w:t>, J. F. P</w:t>
      </w:r>
      <w:r w:rsidRPr="00D77711">
        <w:t xml:space="preserve">. </w:t>
      </w:r>
      <w:r w:rsidRPr="00A97667">
        <w:t>2013.</w:t>
      </w:r>
      <w:r w:rsidRPr="00D77711">
        <w:t xml:space="preserve"> Constructing experimental designs for discrete choice experiments: Report of the ISPOR conjoint analysis experimental design good research practices task force. </w:t>
      </w:r>
      <w:r w:rsidRPr="00F236B6">
        <w:rPr>
          <w:i/>
          <w:iCs/>
        </w:rPr>
        <w:t>Value in Health</w:t>
      </w:r>
      <w:r w:rsidRPr="00D77711">
        <w:t xml:space="preserve"> 16</w:t>
      </w:r>
      <w:r>
        <w:t xml:space="preserve">, </w:t>
      </w:r>
      <w:r w:rsidRPr="00D77711">
        <w:t>3–13.</w:t>
      </w:r>
    </w:p>
  </w:footnote>
  <w:footnote w:id="16">
    <w:p w14:paraId="6C54B6F0" w14:textId="2FCB014B" w:rsidR="008B39F0" w:rsidRDefault="008B39F0" w:rsidP="00DA2C6E">
      <w:pPr>
        <w:pStyle w:val="FootnoteText"/>
      </w:pPr>
      <w:r>
        <w:rPr>
          <w:rStyle w:val="FootnoteReference"/>
        </w:rPr>
        <w:footnoteRef/>
      </w:r>
      <w:r>
        <w:t xml:space="preserve"> </w:t>
      </w:r>
      <w:r w:rsidRPr="00D77711">
        <w:t>Bateman, I</w:t>
      </w:r>
      <w:r>
        <w:t>.</w:t>
      </w:r>
      <w:r w:rsidRPr="00D77711">
        <w:t xml:space="preserve"> J., Cole,</w:t>
      </w:r>
      <w:r>
        <w:t xml:space="preserve"> M.,</w:t>
      </w:r>
      <w:r w:rsidRPr="00D77711">
        <w:t xml:space="preserve"> Cooper,</w:t>
      </w:r>
      <w:r>
        <w:t xml:space="preserve"> P.,</w:t>
      </w:r>
      <w:r w:rsidRPr="00D77711">
        <w:t xml:space="preserve"> Georgiou,</w:t>
      </w:r>
      <w:r>
        <w:t xml:space="preserve"> S.,</w:t>
      </w:r>
      <w:r w:rsidRPr="00D77711">
        <w:t xml:space="preserve"> Hadley,</w:t>
      </w:r>
      <w:r>
        <w:t xml:space="preserve"> D.,</w:t>
      </w:r>
      <w:r w:rsidRPr="00D77711">
        <w:t xml:space="preserve"> </w:t>
      </w:r>
      <w:r>
        <w:t>&amp;</w:t>
      </w:r>
      <w:r w:rsidRPr="00D77711">
        <w:t xml:space="preserve"> Poe</w:t>
      </w:r>
      <w:r>
        <w:t>, G. L</w:t>
      </w:r>
      <w:r w:rsidRPr="00D77711">
        <w:t xml:space="preserve">. 2004. On visible choice sets and scope sensitivity. </w:t>
      </w:r>
      <w:r w:rsidRPr="00F236B6">
        <w:rPr>
          <w:i/>
          <w:iCs/>
        </w:rPr>
        <w:t>Journal of Environmental Economics and Management</w:t>
      </w:r>
      <w:r w:rsidRPr="00D77711">
        <w:t xml:space="preserve"> 47</w:t>
      </w:r>
      <w:r>
        <w:t xml:space="preserve">, </w:t>
      </w:r>
      <w:r w:rsidRPr="00D77711">
        <w:t>71–93.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3C161" w14:textId="77777777" w:rsidR="008B39F0" w:rsidRDefault="008B3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6C329" w14:textId="14FE5558" w:rsidR="008B39F0" w:rsidRDefault="008B3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96491" w14:textId="77777777" w:rsidR="008B39F0" w:rsidRDefault="008B3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5619B"/>
    <w:multiLevelType w:val="hybridMultilevel"/>
    <w:tmpl w:val="7F94D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30382"/>
    <w:multiLevelType w:val="hybridMultilevel"/>
    <w:tmpl w:val="A3C67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14687"/>
    <w:multiLevelType w:val="hybridMultilevel"/>
    <w:tmpl w:val="B3BC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3731E"/>
    <w:multiLevelType w:val="hybridMultilevel"/>
    <w:tmpl w:val="B650A1B8"/>
    <w:lvl w:ilvl="0" w:tplc="035644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4A2FF3"/>
    <w:multiLevelType w:val="hybridMultilevel"/>
    <w:tmpl w:val="6FDA9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C449D3"/>
    <w:multiLevelType w:val="hybridMultilevel"/>
    <w:tmpl w:val="DFFA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52801"/>
    <w:multiLevelType w:val="hybridMultilevel"/>
    <w:tmpl w:val="68B20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22439"/>
    <w:multiLevelType w:val="hybridMultilevel"/>
    <w:tmpl w:val="9916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2063B"/>
    <w:multiLevelType w:val="hybridMultilevel"/>
    <w:tmpl w:val="7B4EC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3005F"/>
    <w:multiLevelType w:val="hybridMultilevel"/>
    <w:tmpl w:val="EEEC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0E6CEF"/>
    <w:multiLevelType w:val="hybridMultilevel"/>
    <w:tmpl w:val="8888472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FF25B8"/>
    <w:multiLevelType w:val="hybridMultilevel"/>
    <w:tmpl w:val="5F4C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CE0A1C"/>
    <w:multiLevelType w:val="hybridMultilevel"/>
    <w:tmpl w:val="164CA31E"/>
    <w:lvl w:ilvl="0" w:tplc="38A4730A">
      <w:start w:val="2"/>
      <w:numFmt w:val="decimal"/>
      <w:lvlText w:val="%1."/>
      <w:lvlJc w:val="left"/>
      <w:pPr>
        <w:ind w:left="216" w:hanging="72"/>
      </w:pPr>
      <w:rPr>
        <w:rFonts w:hint="default"/>
        <w:b w:val="0"/>
        <w:u w:val="none"/>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73698C"/>
    <w:multiLevelType w:val="hybridMultilevel"/>
    <w:tmpl w:val="D3E487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6808403B"/>
    <w:multiLevelType w:val="hybridMultilevel"/>
    <w:tmpl w:val="66F2E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E47891"/>
    <w:multiLevelType w:val="hybridMultilevel"/>
    <w:tmpl w:val="07023CEA"/>
    <w:lvl w:ilvl="0" w:tplc="CCAC74B6">
      <w:start w:val="30"/>
      <w:numFmt w:val="bullet"/>
      <w:lvlText w:val="-"/>
      <w:lvlJc w:val="left"/>
      <w:pPr>
        <w:ind w:left="410" w:hanging="360"/>
      </w:pPr>
      <w:rPr>
        <w:rFonts w:ascii="Times New Roman" w:eastAsiaTheme="minorHAnsi"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6" w15:restartNumberingAfterBreak="0">
    <w:nsid w:val="77850965"/>
    <w:multiLevelType w:val="hybridMultilevel"/>
    <w:tmpl w:val="0CD2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9"/>
  </w:num>
  <w:num w:numId="4">
    <w:abstractNumId w:val="4"/>
  </w:num>
  <w:num w:numId="5">
    <w:abstractNumId w:val="10"/>
  </w:num>
  <w:num w:numId="6">
    <w:abstractNumId w:val="14"/>
  </w:num>
  <w:num w:numId="7">
    <w:abstractNumId w:val="6"/>
  </w:num>
  <w:num w:numId="8">
    <w:abstractNumId w:val="2"/>
  </w:num>
  <w:num w:numId="9">
    <w:abstractNumId w:val="11"/>
  </w:num>
  <w:num w:numId="10">
    <w:abstractNumId w:val="1"/>
  </w:num>
  <w:num w:numId="11">
    <w:abstractNumId w:val="16"/>
  </w:num>
  <w:num w:numId="12">
    <w:abstractNumId w:val="12"/>
  </w:num>
  <w:num w:numId="13">
    <w:abstractNumId w:val="5"/>
  </w:num>
  <w:num w:numId="14">
    <w:abstractNumId w:val="3"/>
  </w:num>
  <w:num w:numId="15">
    <w:abstractNumId w:val="8"/>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36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2sDSxsDS3tDCyNDJU0lEKTi0uzszPAykwrAUAGFdQAiwAAAA="/>
  </w:docVars>
  <w:rsids>
    <w:rsidRoot w:val="00DA36B1"/>
    <w:rsid w:val="0000126C"/>
    <w:rsid w:val="00004EBB"/>
    <w:rsid w:val="00006F24"/>
    <w:rsid w:val="00011352"/>
    <w:rsid w:val="000146E1"/>
    <w:rsid w:val="00014E59"/>
    <w:rsid w:val="000167BB"/>
    <w:rsid w:val="00023CE3"/>
    <w:rsid w:val="00027315"/>
    <w:rsid w:val="00027AA0"/>
    <w:rsid w:val="000327FB"/>
    <w:rsid w:val="00045AA7"/>
    <w:rsid w:val="00056796"/>
    <w:rsid w:val="00062D5A"/>
    <w:rsid w:val="00066DDE"/>
    <w:rsid w:val="0006709A"/>
    <w:rsid w:val="000672CD"/>
    <w:rsid w:val="00067440"/>
    <w:rsid w:val="000752FD"/>
    <w:rsid w:val="0007554E"/>
    <w:rsid w:val="00076B11"/>
    <w:rsid w:val="00077D80"/>
    <w:rsid w:val="00082F20"/>
    <w:rsid w:val="000837C7"/>
    <w:rsid w:val="000869A7"/>
    <w:rsid w:val="00090DF1"/>
    <w:rsid w:val="00091EEA"/>
    <w:rsid w:val="000936DF"/>
    <w:rsid w:val="00094384"/>
    <w:rsid w:val="0009748F"/>
    <w:rsid w:val="000A0250"/>
    <w:rsid w:val="000A189F"/>
    <w:rsid w:val="000A2804"/>
    <w:rsid w:val="000A5132"/>
    <w:rsid w:val="000A7F86"/>
    <w:rsid w:val="000B0811"/>
    <w:rsid w:val="000B2870"/>
    <w:rsid w:val="000B394A"/>
    <w:rsid w:val="000B5E3B"/>
    <w:rsid w:val="000B6EDF"/>
    <w:rsid w:val="000B74BA"/>
    <w:rsid w:val="000C06EB"/>
    <w:rsid w:val="000C3E01"/>
    <w:rsid w:val="000C3E4C"/>
    <w:rsid w:val="000C6F8D"/>
    <w:rsid w:val="000C729B"/>
    <w:rsid w:val="000C7997"/>
    <w:rsid w:val="000D05E9"/>
    <w:rsid w:val="000D0D77"/>
    <w:rsid w:val="000D114B"/>
    <w:rsid w:val="000D2AE9"/>
    <w:rsid w:val="000D5806"/>
    <w:rsid w:val="000D5F7A"/>
    <w:rsid w:val="000D6627"/>
    <w:rsid w:val="000E113F"/>
    <w:rsid w:val="000E169E"/>
    <w:rsid w:val="000E1EBA"/>
    <w:rsid w:val="000E4A07"/>
    <w:rsid w:val="000E4DC5"/>
    <w:rsid w:val="000E6249"/>
    <w:rsid w:val="000E6B20"/>
    <w:rsid w:val="000F1826"/>
    <w:rsid w:val="000F28CB"/>
    <w:rsid w:val="000F4578"/>
    <w:rsid w:val="000F6D1C"/>
    <w:rsid w:val="00102309"/>
    <w:rsid w:val="00112B19"/>
    <w:rsid w:val="00120630"/>
    <w:rsid w:val="0012205D"/>
    <w:rsid w:val="00131CDB"/>
    <w:rsid w:val="00132345"/>
    <w:rsid w:val="00133E6D"/>
    <w:rsid w:val="00135FB2"/>
    <w:rsid w:val="00141D0C"/>
    <w:rsid w:val="00144143"/>
    <w:rsid w:val="00144F0A"/>
    <w:rsid w:val="0014752A"/>
    <w:rsid w:val="00153DD6"/>
    <w:rsid w:val="00153E3A"/>
    <w:rsid w:val="00154369"/>
    <w:rsid w:val="00155753"/>
    <w:rsid w:val="00157C38"/>
    <w:rsid w:val="001614DE"/>
    <w:rsid w:val="001658EC"/>
    <w:rsid w:val="00165B8D"/>
    <w:rsid w:val="001660CF"/>
    <w:rsid w:val="00170A24"/>
    <w:rsid w:val="00173A1C"/>
    <w:rsid w:val="00174C72"/>
    <w:rsid w:val="00175D64"/>
    <w:rsid w:val="00180F2C"/>
    <w:rsid w:val="00184B94"/>
    <w:rsid w:val="001876DD"/>
    <w:rsid w:val="00187989"/>
    <w:rsid w:val="001925D0"/>
    <w:rsid w:val="0019536D"/>
    <w:rsid w:val="0019670A"/>
    <w:rsid w:val="001A4F32"/>
    <w:rsid w:val="001A6818"/>
    <w:rsid w:val="001B0657"/>
    <w:rsid w:val="001B06BB"/>
    <w:rsid w:val="001B3AEA"/>
    <w:rsid w:val="001B4B83"/>
    <w:rsid w:val="001C2597"/>
    <w:rsid w:val="001C4FEB"/>
    <w:rsid w:val="001C532B"/>
    <w:rsid w:val="001C6CF6"/>
    <w:rsid w:val="001C7268"/>
    <w:rsid w:val="001D4023"/>
    <w:rsid w:val="001E31DE"/>
    <w:rsid w:val="001E5B45"/>
    <w:rsid w:val="001E6A05"/>
    <w:rsid w:val="001E76B6"/>
    <w:rsid w:val="001F0426"/>
    <w:rsid w:val="001F18FB"/>
    <w:rsid w:val="001F562A"/>
    <w:rsid w:val="001F7C49"/>
    <w:rsid w:val="00200B42"/>
    <w:rsid w:val="002115A7"/>
    <w:rsid w:val="00214459"/>
    <w:rsid w:val="002164A4"/>
    <w:rsid w:val="00217BCA"/>
    <w:rsid w:val="0022450B"/>
    <w:rsid w:val="0022573D"/>
    <w:rsid w:val="00227053"/>
    <w:rsid w:val="00231C57"/>
    <w:rsid w:val="00233DDC"/>
    <w:rsid w:val="00234326"/>
    <w:rsid w:val="00236500"/>
    <w:rsid w:val="00237958"/>
    <w:rsid w:val="00242517"/>
    <w:rsid w:val="00245085"/>
    <w:rsid w:val="00245247"/>
    <w:rsid w:val="002500F5"/>
    <w:rsid w:val="002517F6"/>
    <w:rsid w:val="00252FA1"/>
    <w:rsid w:val="00253F01"/>
    <w:rsid w:val="002602F9"/>
    <w:rsid w:val="00260917"/>
    <w:rsid w:val="00261847"/>
    <w:rsid w:val="00264D5A"/>
    <w:rsid w:val="0026588D"/>
    <w:rsid w:val="002661A2"/>
    <w:rsid w:val="00271CD7"/>
    <w:rsid w:val="002720B6"/>
    <w:rsid w:val="00273E7E"/>
    <w:rsid w:val="002740A4"/>
    <w:rsid w:val="002741D8"/>
    <w:rsid w:val="002769BC"/>
    <w:rsid w:val="0028138E"/>
    <w:rsid w:val="00283BD7"/>
    <w:rsid w:val="00284BBE"/>
    <w:rsid w:val="002853C3"/>
    <w:rsid w:val="002910D0"/>
    <w:rsid w:val="002A00B5"/>
    <w:rsid w:val="002A00FF"/>
    <w:rsid w:val="002A0C85"/>
    <w:rsid w:val="002A3794"/>
    <w:rsid w:val="002A6109"/>
    <w:rsid w:val="002A6595"/>
    <w:rsid w:val="002B1269"/>
    <w:rsid w:val="002B7BFE"/>
    <w:rsid w:val="002C709F"/>
    <w:rsid w:val="002C7762"/>
    <w:rsid w:val="002D1D8C"/>
    <w:rsid w:val="002D2FB7"/>
    <w:rsid w:val="002D474E"/>
    <w:rsid w:val="002D60AD"/>
    <w:rsid w:val="002E0BB5"/>
    <w:rsid w:val="002E2FDB"/>
    <w:rsid w:val="002E3460"/>
    <w:rsid w:val="002F16D3"/>
    <w:rsid w:val="002F2BF4"/>
    <w:rsid w:val="00300F66"/>
    <w:rsid w:val="00303E81"/>
    <w:rsid w:val="00307E9A"/>
    <w:rsid w:val="003121FE"/>
    <w:rsid w:val="00324344"/>
    <w:rsid w:val="00326923"/>
    <w:rsid w:val="00327B96"/>
    <w:rsid w:val="003306C2"/>
    <w:rsid w:val="00332C7A"/>
    <w:rsid w:val="003330AE"/>
    <w:rsid w:val="0033409E"/>
    <w:rsid w:val="00340A7C"/>
    <w:rsid w:val="00342979"/>
    <w:rsid w:val="00345760"/>
    <w:rsid w:val="003464FE"/>
    <w:rsid w:val="00346E36"/>
    <w:rsid w:val="00357DB5"/>
    <w:rsid w:val="003638B4"/>
    <w:rsid w:val="00363B34"/>
    <w:rsid w:val="00364B8D"/>
    <w:rsid w:val="00365EAB"/>
    <w:rsid w:val="00367043"/>
    <w:rsid w:val="00370B06"/>
    <w:rsid w:val="00375988"/>
    <w:rsid w:val="003800C6"/>
    <w:rsid w:val="0038591C"/>
    <w:rsid w:val="00386AAF"/>
    <w:rsid w:val="003904DD"/>
    <w:rsid w:val="003908C0"/>
    <w:rsid w:val="00392D91"/>
    <w:rsid w:val="003A3ECA"/>
    <w:rsid w:val="003A7458"/>
    <w:rsid w:val="003B04B3"/>
    <w:rsid w:val="003B4E2B"/>
    <w:rsid w:val="003B5F9A"/>
    <w:rsid w:val="003B5FFD"/>
    <w:rsid w:val="003B7DC0"/>
    <w:rsid w:val="003C1A5F"/>
    <w:rsid w:val="003C1D75"/>
    <w:rsid w:val="003C6D15"/>
    <w:rsid w:val="003C6F5E"/>
    <w:rsid w:val="003D2275"/>
    <w:rsid w:val="003D287D"/>
    <w:rsid w:val="003D3EB3"/>
    <w:rsid w:val="003D47C6"/>
    <w:rsid w:val="003D47E6"/>
    <w:rsid w:val="003D4BAB"/>
    <w:rsid w:val="003D7E13"/>
    <w:rsid w:val="003E3453"/>
    <w:rsid w:val="003E54FD"/>
    <w:rsid w:val="003E6359"/>
    <w:rsid w:val="003F25E9"/>
    <w:rsid w:val="003F6B98"/>
    <w:rsid w:val="00403BB4"/>
    <w:rsid w:val="00404107"/>
    <w:rsid w:val="00410DAA"/>
    <w:rsid w:val="00416AB2"/>
    <w:rsid w:val="00416F70"/>
    <w:rsid w:val="0042009C"/>
    <w:rsid w:val="0042092D"/>
    <w:rsid w:val="004217AD"/>
    <w:rsid w:val="00423997"/>
    <w:rsid w:val="00425539"/>
    <w:rsid w:val="00427E88"/>
    <w:rsid w:val="00430442"/>
    <w:rsid w:val="00432BED"/>
    <w:rsid w:val="00433F00"/>
    <w:rsid w:val="0043556E"/>
    <w:rsid w:val="00441B30"/>
    <w:rsid w:val="004428DE"/>
    <w:rsid w:val="004442D9"/>
    <w:rsid w:val="00445BB8"/>
    <w:rsid w:val="00446B68"/>
    <w:rsid w:val="00447CAE"/>
    <w:rsid w:val="00451020"/>
    <w:rsid w:val="00451270"/>
    <w:rsid w:val="0045216C"/>
    <w:rsid w:val="004558D7"/>
    <w:rsid w:val="00455ADA"/>
    <w:rsid w:val="004601BA"/>
    <w:rsid w:val="00460DD0"/>
    <w:rsid w:val="00462550"/>
    <w:rsid w:val="00467EAF"/>
    <w:rsid w:val="00470084"/>
    <w:rsid w:val="00471F60"/>
    <w:rsid w:val="0047416D"/>
    <w:rsid w:val="004807CC"/>
    <w:rsid w:val="004829C0"/>
    <w:rsid w:val="00484ED8"/>
    <w:rsid w:val="004852BB"/>
    <w:rsid w:val="00487664"/>
    <w:rsid w:val="00487BF4"/>
    <w:rsid w:val="004939A3"/>
    <w:rsid w:val="00493E08"/>
    <w:rsid w:val="004B131F"/>
    <w:rsid w:val="004B1CF7"/>
    <w:rsid w:val="004B3017"/>
    <w:rsid w:val="004B69B3"/>
    <w:rsid w:val="004B705F"/>
    <w:rsid w:val="004C5356"/>
    <w:rsid w:val="004C5611"/>
    <w:rsid w:val="004C7BD4"/>
    <w:rsid w:val="004D5084"/>
    <w:rsid w:val="004D53FA"/>
    <w:rsid w:val="004D6DB5"/>
    <w:rsid w:val="004E1593"/>
    <w:rsid w:val="004E2714"/>
    <w:rsid w:val="004E4DAB"/>
    <w:rsid w:val="004F30EE"/>
    <w:rsid w:val="004F6EC1"/>
    <w:rsid w:val="004F78B5"/>
    <w:rsid w:val="00500523"/>
    <w:rsid w:val="00500FBB"/>
    <w:rsid w:val="00502B1C"/>
    <w:rsid w:val="005072A6"/>
    <w:rsid w:val="00510443"/>
    <w:rsid w:val="00515BA4"/>
    <w:rsid w:val="00517596"/>
    <w:rsid w:val="00521168"/>
    <w:rsid w:val="00522D89"/>
    <w:rsid w:val="005258A1"/>
    <w:rsid w:val="00530A6E"/>
    <w:rsid w:val="0053734E"/>
    <w:rsid w:val="00542FC9"/>
    <w:rsid w:val="00544794"/>
    <w:rsid w:val="0054772D"/>
    <w:rsid w:val="005503CB"/>
    <w:rsid w:val="005516A0"/>
    <w:rsid w:val="00552F4D"/>
    <w:rsid w:val="0055392F"/>
    <w:rsid w:val="00561BA8"/>
    <w:rsid w:val="00561E7D"/>
    <w:rsid w:val="00563727"/>
    <w:rsid w:val="00567079"/>
    <w:rsid w:val="00571873"/>
    <w:rsid w:val="005777F1"/>
    <w:rsid w:val="00577CBD"/>
    <w:rsid w:val="0058189C"/>
    <w:rsid w:val="00581AD7"/>
    <w:rsid w:val="005841CC"/>
    <w:rsid w:val="00590C59"/>
    <w:rsid w:val="00591A86"/>
    <w:rsid w:val="00592D07"/>
    <w:rsid w:val="005939B0"/>
    <w:rsid w:val="005959BE"/>
    <w:rsid w:val="00596B46"/>
    <w:rsid w:val="005A0024"/>
    <w:rsid w:val="005A067A"/>
    <w:rsid w:val="005A1718"/>
    <w:rsid w:val="005A1D09"/>
    <w:rsid w:val="005A7CCF"/>
    <w:rsid w:val="005B0C3A"/>
    <w:rsid w:val="005B172E"/>
    <w:rsid w:val="005B4631"/>
    <w:rsid w:val="005C015A"/>
    <w:rsid w:val="005C2858"/>
    <w:rsid w:val="005C6543"/>
    <w:rsid w:val="005C6E16"/>
    <w:rsid w:val="005D0683"/>
    <w:rsid w:val="005D2FB7"/>
    <w:rsid w:val="005D35FC"/>
    <w:rsid w:val="005D3D19"/>
    <w:rsid w:val="005E00E9"/>
    <w:rsid w:val="005E07A4"/>
    <w:rsid w:val="005E2311"/>
    <w:rsid w:val="005E4D22"/>
    <w:rsid w:val="005E7105"/>
    <w:rsid w:val="005F3213"/>
    <w:rsid w:val="005F6971"/>
    <w:rsid w:val="006029D9"/>
    <w:rsid w:val="00603A99"/>
    <w:rsid w:val="00604876"/>
    <w:rsid w:val="0060551F"/>
    <w:rsid w:val="00606CD5"/>
    <w:rsid w:val="00611829"/>
    <w:rsid w:val="006171FA"/>
    <w:rsid w:val="00620B27"/>
    <w:rsid w:val="00622DD0"/>
    <w:rsid w:val="00626DC8"/>
    <w:rsid w:val="00626F8C"/>
    <w:rsid w:val="006300D3"/>
    <w:rsid w:val="00631BD6"/>
    <w:rsid w:val="00632944"/>
    <w:rsid w:val="00633FC2"/>
    <w:rsid w:val="00635C13"/>
    <w:rsid w:val="006361A7"/>
    <w:rsid w:val="00640EFB"/>
    <w:rsid w:val="00644DEC"/>
    <w:rsid w:val="00645F14"/>
    <w:rsid w:val="006464C8"/>
    <w:rsid w:val="00651DE5"/>
    <w:rsid w:val="0065613D"/>
    <w:rsid w:val="00660FDF"/>
    <w:rsid w:val="00664759"/>
    <w:rsid w:val="006704F3"/>
    <w:rsid w:val="00673616"/>
    <w:rsid w:val="006759A4"/>
    <w:rsid w:val="00684474"/>
    <w:rsid w:val="00684852"/>
    <w:rsid w:val="006857F2"/>
    <w:rsid w:val="00690C92"/>
    <w:rsid w:val="00693F0C"/>
    <w:rsid w:val="006B1548"/>
    <w:rsid w:val="006B38D7"/>
    <w:rsid w:val="006B532A"/>
    <w:rsid w:val="006C11D5"/>
    <w:rsid w:val="006C1B52"/>
    <w:rsid w:val="006C22F6"/>
    <w:rsid w:val="006C231B"/>
    <w:rsid w:val="006C63DE"/>
    <w:rsid w:val="006C66C7"/>
    <w:rsid w:val="006C7369"/>
    <w:rsid w:val="006D16E0"/>
    <w:rsid w:val="006D28EC"/>
    <w:rsid w:val="006D7BAB"/>
    <w:rsid w:val="006E4971"/>
    <w:rsid w:val="006E4A7C"/>
    <w:rsid w:val="006E4E5E"/>
    <w:rsid w:val="006E576B"/>
    <w:rsid w:val="006F2640"/>
    <w:rsid w:val="006F51E4"/>
    <w:rsid w:val="007007FC"/>
    <w:rsid w:val="00702A63"/>
    <w:rsid w:val="00702CD2"/>
    <w:rsid w:val="0070319C"/>
    <w:rsid w:val="00703F89"/>
    <w:rsid w:val="00704374"/>
    <w:rsid w:val="00704B42"/>
    <w:rsid w:val="00705AF3"/>
    <w:rsid w:val="00706625"/>
    <w:rsid w:val="0071035D"/>
    <w:rsid w:val="0071378B"/>
    <w:rsid w:val="007167B7"/>
    <w:rsid w:val="0072157C"/>
    <w:rsid w:val="007247BC"/>
    <w:rsid w:val="007261F3"/>
    <w:rsid w:val="007302AE"/>
    <w:rsid w:val="0073154C"/>
    <w:rsid w:val="00737610"/>
    <w:rsid w:val="00740213"/>
    <w:rsid w:val="00752C98"/>
    <w:rsid w:val="00754591"/>
    <w:rsid w:val="007547E4"/>
    <w:rsid w:val="0075662E"/>
    <w:rsid w:val="007626DD"/>
    <w:rsid w:val="007635C0"/>
    <w:rsid w:val="007644CB"/>
    <w:rsid w:val="007657B2"/>
    <w:rsid w:val="00765E47"/>
    <w:rsid w:val="00773185"/>
    <w:rsid w:val="007741BD"/>
    <w:rsid w:val="00774347"/>
    <w:rsid w:val="00783C10"/>
    <w:rsid w:val="00784832"/>
    <w:rsid w:val="007866EF"/>
    <w:rsid w:val="0078778B"/>
    <w:rsid w:val="00793AA8"/>
    <w:rsid w:val="007946FE"/>
    <w:rsid w:val="007A3CA9"/>
    <w:rsid w:val="007A5E24"/>
    <w:rsid w:val="007B43D6"/>
    <w:rsid w:val="007B4F79"/>
    <w:rsid w:val="007C564D"/>
    <w:rsid w:val="007D0AC9"/>
    <w:rsid w:val="007D194C"/>
    <w:rsid w:val="007D2C68"/>
    <w:rsid w:val="007D3319"/>
    <w:rsid w:val="007D74C4"/>
    <w:rsid w:val="007E214F"/>
    <w:rsid w:val="007E3413"/>
    <w:rsid w:val="007E348F"/>
    <w:rsid w:val="007F1285"/>
    <w:rsid w:val="007F2393"/>
    <w:rsid w:val="007F7250"/>
    <w:rsid w:val="00800DA2"/>
    <w:rsid w:val="00801775"/>
    <w:rsid w:val="0080301B"/>
    <w:rsid w:val="00811875"/>
    <w:rsid w:val="00811BA5"/>
    <w:rsid w:val="00812CDC"/>
    <w:rsid w:val="0081780E"/>
    <w:rsid w:val="00821BC0"/>
    <w:rsid w:val="00826E35"/>
    <w:rsid w:val="00831D2B"/>
    <w:rsid w:val="008327CA"/>
    <w:rsid w:val="0083285B"/>
    <w:rsid w:val="008376D8"/>
    <w:rsid w:val="008415DB"/>
    <w:rsid w:val="00841E1C"/>
    <w:rsid w:val="008448A3"/>
    <w:rsid w:val="00845E9A"/>
    <w:rsid w:val="00846166"/>
    <w:rsid w:val="008469B0"/>
    <w:rsid w:val="00852839"/>
    <w:rsid w:val="00857392"/>
    <w:rsid w:val="0085778E"/>
    <w:rsid w:val="00857DE2"/>
    <w:rsid w:val="0086046C"/>
    <w:rsid w:val="00866119"/>
    <w:rsid w:val="008740E1"/>
    <w:rsid w:val="0088102D"/>
    <w:rsid w:val="008903BC"/>
    <w:rsid w:val="008908D7"/>
    <w:rsid w:val="00896811"/>
    <w:rsid w:val="008A00F7"/>
    <w:rsid w:val="008A2BB5"/>
    <w:rsid w:val="008B1E0E"/>
    <w:rsid w:val="008B21E4"/>
    <w:rsid w:val="008B2DB3"/>
    <w:rsid w:val="008B39F0"/>
    <w:rsid w:val="008B3AD2"/>
    <w:rsid w:val="008B494C"/>
    <w:rsid w:val="008B5344"/>
    <w:rsid w:val="008B7E3C"/>
    <w:rsid w:val="008C1250"/>
    <w:rsid w:val="008C1C9F"/>
    <w:rsid w:val="008C2095"/>
    <w:rsid w:val="008C3808"/>
    <w:rsid w:val="008C5333"/>
    <w:rsid w:val="008C6678"/>
    <w:rsid w:val="008D0490"/>
    <w:rsid w:val="008D070C"/>
    <w:rsid w:val="008D354C"/>
    <w:rsid w:val="008D37A7"/>
    <w:rsid w:val="008D398C"/>
    <w:rsid w:val="008E01D3"/>
    <w:rsid w:val="008E0730"/>
    <w:rsid w:val="008E2C53"/>
    <w:rsid w:val="008E319B"/>
    <w:rsid w:val="008E43F5"/>
    <w:rsid w:val="008E6666"/>
    <w:rsid w:val="008E7B30"/>
    <w:rsid w:val="008F39D0"/>
    <w:rsid w:val="008F5E22"/>
    <w:rsid w:val="008F6350"/>
    <w:rsid w:val="0090564F"/>
    <w:rsid w:val="00906018"/>
    <w:rsid w:val="00910017"/>
    <w:rsid w:val="0091214C"/>
    <w:rsid w:val="0091717A"/>
    <w:rsid w:val="009200E0"/>
    <w:rsid w:val="0092726F"/>
    <w:rsid w:val="00931B88"/>
    <w:rsid w:val="00933153"/>
    <w:rsid w:val="00935491"/>
    <w:rsid w:val="009506FA"/>
    <w:rsid w:val="009526F8"/>
    <w:rsid w:val="00954473"/>
    <w:rsid w:val="009567AF"/>
    <w:rsid w:val="00961DC2"/>
    <w:rsid w:val="00962061"/>
    <w:rsid w:val="00962220"/>
    <w:rsid w:val="009633CD"/>
    <w:rsid w:val="00963556"/>
    <w:rsid w:val="00965889"/>
    <w:rsid w:val="00966457"/>
    <w:rsid w:val="0096797F"/>
    <w:rsid w:val="00971498"/>
    <w:rsid w:val="009722CE"/>
    <w:rsid w:val="00974F91"/>
    <w:rsid w:val="00977B0E"/>
    <w:rsid w:val="00980A89"/>
    <w:rsid w:val="00980F86"/>
    <w:rsid w:val="0098319B"/>
    <w:rsid w:val="00983E90"/>
    <w:rsid w:val="00987591"/>
    <w:rsid w:val="0099341C"/>
    <w:rsid w:val="009936BC"/>
    <w:rsid w:val="009A07C2"/>
    <w:rsid w:val="009A235A"/>
    <w:rsid w:val="009A6D4B"/>
    <w:rsid w:val="009A70D9"/>
    <w:rsid w:val="009B1E1E"/>
    <w:rsid w:val="009B2876"/>
    <w:rsid w:val="009B48B7"/>
    <w:rsid w:val="009B6BA3"/>
    <w:rsid w:val="009C0A36"/>
    <w:rsid w:val="009C5820"/>
    <w:rsid w:val="009C6B61"/>
    <w:rsid w:val="009D34DC"/>
    <w:rsid w:val="009D4241"/>
    <w:rsid w:val="009E257D"/>
    <w:rsid w:val="009E313E"/>
    <w:rsid w:val="009E3CF4"/>
    <w:rsid w:val="009F0162"/>
    <w:rsid w:val="009F048D"/>
    <w:rsid w:val="009F0C5C"/>
    <w:rsid w:val="009F1F62"/>
    <w:rsid w:val="009F4241"/>
    <w:rsid w:val="009F428A"/>
    <w:rsid w:val="00A00B49"/>
    <w:rsid w:val="00A030D7"/>
    <w:rsid w:val="00A1013E"/>
    <w:rsid w:val="00A10B9F"/>
    <w:rsid w:val="00A117FF"/>
    <w:rsid w:val="00A145B2"/>
    <w:rsid w:val="00A146A0"/>
    <w:rsid w:val="00A15487"/>
    <w:rsid w:val="00A15735"/>
    <w:rsid w:val="00A218E4"/>
    <w:rsid w:val="00A30A67"/>
    <w:rsid w:val="00A31AFB"/>
    <w:rsid w:val="00A3473E"/>
    <w:rsid w:val="00A3653C"/>
    <w:rsid w:val="00A36E0D"/>
    <w:rsid w:val="00A40081"/>
    <w:rsid w:val="00A41792"/>
    <w:rsid w:val="00A4283B"/>
    <w:rsid w:val="00A429CA"/>
    <w:rsid w:val="00A51F44"/>
    <w:rsid w:val="00A535AA"/>
    <w:rsid w:val="00A55A5C"/>
    <w:rsid w:val="00A57136"/>
    <w:rsid w:val="00A57932"/>
    <w:rsid w:val="00A61AF8"/>
    <w:rsid w:val="00A6362B"/>
    <w:rsid w:val="00A6404D"/>
    <w:rsid w:val="00A6771B"/>
    <w:rsid w:val="00A70CBF"/>
    <w:rsid w:val="00A715E7"/>
    <w:rsid w:val="00A74829"/>
    <w:rsid w:val="00A803B3"/>
    <w:rsid w:val="00A808AB"/>
    <w:rsid w:val="00A83C55"/>
    <w:rsid w:val="00A90C36"/>
    <w:rsid w:val="00A94A1A"/>
    <w:rsid w:val="00A95457"/>
    <w:rsid w:val="00A96062"/>
    <w:rsid w:val="00A97667"/>
    <w:rsid w:val="00AA4371"/>
    <w:rsid w:val="00AB0230"/>
    <w:rsid w:val="00AB175A"/>
    <w:rsid w:val="00AB4139"/>
    <w:rsid w:val="00AC15B6"/>
    <w:rsid w:val="00AD4944"/>
    <w:rsid w:val="00AD5F21"/>
    <w:rsid w:val="00AD6AD5"/>
    <w:rsid w:val="00AE3B78"/>
    <w:rsid w:val="00AE4978"/>
    <w:rsid w:val="00AE6037"/>
    <w:rsid w:val="00AE7389"/>
    <w:rsid w:val="00AE738A"/>
    <w:rsid w:val="00AF2232"/>
    <w:rsid w:val="00AF26E2"/>
    <w:rsid w:val="00AF2D59"/>
    <w:rsid w:val="00AF338B"/>
    <w:rsid w:val="00AF3BA3"/>
    <w:rsid w:val="00AF607A"/>
    <w:rsid w:val="00AF70D6"/>
    <w:rsid w:val="00B01441"/>
    <w:rsid w:val="00B01AD9"/>
    <w:rsid w:val="00B058D1"/>
    <w:rsid w:val="00B12803"/>
    <w:rsid w:val="00B1316B"/>
    <w:rsid w:val="00B173AD"/>
    <w:rsid w:val="00B2052A"/>
    <w:rsid w:val="00B23711"/>
    <w:rsid w:val="00B2424D"/>
    <w:rsid w:val="00B25C60"/>
    <w:rsid w:val="00B2759E"/>
    <w:rsid w:val="00B27636"/>
    <w:rsid w:val="00B35604"/>
    <w:rsid w:val="00B36A99"/>
    <w:rsid w:val="00B36FC8"/>
    <w:rsid w:val="00B37BFA"/>
    <w:rsid w:val="00B43314"/>
    <w:rsid w:val="00B45D1D"/>
    <w:rsid w:val="00B50510"/>
    <w:rsid w:val="00B51356"/>
    <w:rsid w:val="00B55E1C"/>
    <w:rsid w:val="00B60996"/>
    <w:rsid w:val="00B63BDF"/>
    <w:rsid w:val="00B65E69"/>
    <w:rsid w:val="00B66E03"/>
    <w:rsid w:val="00B70983"/>
    <w:rsid w:val="00B75F22"/>
    <w:rsid w:val="00B8005C"/>
    <w:rsid w:val="00B80C92"/>
    <w:rsid w:val="00B80E78"/>
    <w:rsid w:val="00B843E4"/>
    <w:rsid w:val="00B84B84"/>
    <w:rsid w:val="00B856A6"/>
    <w:rsid w:val="00B87B0A"/>
    <w:rsid w:val="00B92E3B"/>
    <w:rsid w:val="00BA1286"/>
    <w:rsid w:val="00BA3668"/>
    <w:rsid w:val="00BA64E4"/>
    <w:rsid w:val="00BB05FF"/>
    <w:rsid w:val="00BB5AB3"/>
    <w:rsid w:val="00BB7213"/>
    <w:rsid w:val="00BC7F3A"/>
    <w:rsid w:val="00BD1C73"/>
    <w:rsid w:val="00BD52B0"/>
    <w:rsid w:val="00BE05BA"/>
    <w:rsid w:val="00BE0F18"/>
    <w:rsid w:val="00BE22CA"/>
    <w:rsid w:val="00BE3D7F"/>
    <w:rsid w:val="00BE5D75"/>
    <w:rsid w:val="00BF2D71"/>
    <w:rsid w:val="00BF50A8"/>
    <w:rsid w:val="00C03BED"/>
    <w:rsid w:val="00C12B81"/>
    <w:rsid w:val="00C1335F"/>
    <w:rsid w:val="00C1677C"/>
    <w:rsid w:val="00C21B2D"/>
    <w:rsid w:val="00C27B2B"/>
    <w:rsid w:val="00C30304"/>
    <w:rsid w:val="00C32096"/>
    <w:rsid w:val="00C36DDA"/>
    <w:rsid w:val="00C3713B"/>
    <w:rsid w:val="00C4149D"/>
    <w:rsid w:val="00C45706"/>
    <w:rsid w:val="00C47014"/>
    <w:rsid w:val="00C611EC"/>
    <w:rsid w:val="00C677AF"/>
    <w:rsid w:val="00C70961"/>
    <w:rsid w:val="00C72164"/>
    <w:rsid w:val="00C73F9D"/>
    <w:rsid w:val="00C7450F"/>
    <w:rsid w:val="00C77D8C"/>
    <w:rsid w:val="00C82873"/>
    <w:rsid w:val="00C8591A"/>
    <w:rsid w:val="00C904A2"/>
    <w:rsid w:val="00C910A5"/>
    <w:rsid w:val="00CA3909"/>
    <w:rsid w:val="00CA4A88"/>
    <w:rsid w:val="00CA6CF3"/>
    <w:rsid w:val="00CA7723"/>
    <w:rsid w:val="00CB278F"/>
    <w:rsid w:val="00CB3C92"/>
    <w:rsid w:val="00CC26F5"/>
    <w:rsid w:val="00CD1DE9"/>
    <w:rsid w:val="00CD3939"/>
    <w:rsid w:val="00CD551A"/>
    <w:rsid w:val="00CD7F73"/>
    <w:rsid w:val="00CE0F73"/>
    <w:rsid w:val="00CE1DFC"/>
    <w:rsid w:val="00CE5D7D"/>
    <w:rsid w:val="00CE6F96"/>
    <w:rsid w:val="00CF1411"/>
    <w:rsid w:val="00CF2661"/>
    <w:rsid w:val="00CF79B2"/>
    <w:rsid w:val="00D017F5"/>
    <w:rsid w:val="00D01AF6"/>
    <w:rsid w:val="00D04344"/>
    <w:rsid w:val="00D15427"/>
    <w:rsid w:val="00D1692E"/>
    <w:rsid w:val="00D2071A"/>
    <w:rsid w:val="00D213B7"/>
    <w:rsid w:val="00D2282C"/>
    <w:rsid w:val="00D248E4"/>
    <w:rsid w:val="00D276AA"/>
    <w:rsid w:val="00D27777"/>
    <w:rsid w:val="00D277A5"/>
    <w:rsid w:val="00D31F48"/>
    <w:rsid w:val="00D34052"/>
    <w:rsid w:val="00D35C41"/>
    <w:rsid w:val="00D36C28"/>
    <w:rsid w:val="00D37916"/>
    <w:rsid w:val="00D45DB3"/>
    <w:rsid w:val="00D46A03"/>
    <w:rsid w:val="00D47C0F"/>
    <w:rsid w:val="00D51D7B"/>
    <w:rsid w:val="00D565E0"/>
    <w:rsid w:val="00D60CEB"/>
    <w:rsid w:val="00D61DDA"/>
    <w:rsid w:val="00D621A2"/>
    <w:rsid w:val="00D62D00"/>
    <w:rsid w:val="00D63851"/>
    <w:rsid w:val="00D646E6"/>
    <w:rsid w:val="00D73839"/>
    <w:rsid w:val="00D77711"/>
    <w:rsid w:val="00D77A33"/>
    <w:rsid w:val="00D81307"/>
    <w:rsid w:val="00D83E40"/>
    <w:rsid w:val="00D92F81"/>
    <w:rsid w:val="00DA2C6E"/>
    <w:rsid w:val="00DA36B1"/>
    <w:rsid w:val="00DA72B0"/>
    <w:rsid w:val="00DA72BA"/>
    <w:rsid w:val="00DB4D05"/>
    <w:rsid w:val="00DB5A3D"/>
    <w:rsid w:val="00DB72A1"/>
    <w:rsid w:val="00DC32C6"/>
    <w:rsid w:val="00DC6EB0"/>
    <w:rsid w:val="00DC701E"/>
    <w:rsid w:val="00DD3B9C"/>
    <w:rsid w:val="00DE3238"/>
    <w:rsid w:val="00DE545F"/>
    <w:rsid w:val="00DE78CC"/>
    <w:rsid w:val="00DF21C1"/>
    <w:rsid w:val="00DF5454"/>
    <w:rsid w:val="00DF55E8"/>
    <w:rsid w:val="00DF5B3F"/>
    <w:rsid w:val="00DF619B"/>
    <w:rsid w:val="00E00941"/>
    <w:rsid w:val="00E03D6D"/>
    <w:rsid w:val="00E11FE6"/>
    <w:rsid w:val="00E154F3"/>
    <w:rsid w:val="00E20DB3"/>
    <w:rsid w:val="00E21D95"/>
    <w:rsid w:val="00E22244"/>
    <w:rsid w:val="00E32534"/>
    <w:rsid w:val="00E32764"/>
    <w:rsid w:val="00E32854"/>
    <w:rsid w:val="00E35E9F"/>
    <w:rsid w:val="00E4011D"/>
    <w:rsid w:val="00E50E48"/>
    <w:rsid w:val="00E57EDC"/>
    <w:rsid w:val="00E57EF9"/>
    <w:rsid w:val="00E6392B"/>
    <w:rsid w:val="00E63EB3"/>
    <w:rsid w:val="00E66702"/>
    <w:rsid w:val="00E705F2"/>
    <w:rsid w:val="00E71032"/>
    <w:rsid w:val="00E72746"/>
    <w:rsid w:val="00E77FA2"/>
    <w:rsid w:val="00E80EF1"/>
    <w:rsid w:val="00E815F7"/>
    <w:rsid w:val="00E84097"/>
    <w:rsid w:val="00E92959"/>
    <w:rsid w:val="00E936A3"/>
    <w:rsid w:val="00E96884"/>
    <w:rsid w:val="00E970DC"/>
    <w:rsid w:val="00E97D83"/>
    <w:rsid w:val="00EA12B0"/>
    <w:rsid w:val="00EA30E4"/>
    <w:rsid w:val="00EA42CB"/>
    <w:rsid w:val="00EA42D8"/>
    <w:rsid w:val="00EA4494"/>
    <w:rsid w:val="00EA7D8C"/>
    <w:rsid w:val="00EB0371"/>
    <w:rsid w:val="00EB0C0B"/>
    <w:rsid w:val="00EB1620"/>
    <w:rsid w:val="00EB2711"/>
    <w:rsid w:val="00EB273A"/>
    <w:rsid w:val="00EB2763"/>
    <w:rsid w:val="00EB67F7"/>
    <w:rsid w:val="00EC0ADB"/>
    <w:rsid w:val="00EC110D"/>
    <w:rsid w:val="00EC49E9"/>
    <w:rsid w:val="00EC4E43"/>
    <w:rsid w:val="00EC56B3"/>
    <w:rsid w:val="00ED30E5"/>
    <w:rsid w:val="00ED64E2"/>
    <w:rsid w:val="00ED73C8"/>
    <w:rsid w:val="00EE3DCD"/>
    <w:rsid w:val="00EF2C82"/>
    <w:rsid w:val="00EF3C40"/>
    <w:rsid w:val="00EF5485"/>
    <w:rsid w:val="00EF597D"/>
    <w:rsid w:val="00F1086F"/>
    <w:rsid w:val="00F11CB5"/>
    <w:rsid w:val="00F14151"/>
    <w:rsid w:val="00F236B6"/>
    <w:rsid w:val="00F238AE"/>
    <w:rsid w:val="00F33692"/>
    <w:rsid w:val="00F33CBA"/>
    <w:rsid w:val="00F34C1C"/>
    <w:rsid w:val="00F37050"/>
    <w:rsid w:val="00F402AB"/>
    <w:rsid w:val="00F4071E"/>
    <w:rsid w:val="00F43D54"/>
    <w:rsid w:val="00F43E2F"/>
    <w:rsid w:val="00F51060"/>
    <w:rsid w:val="00F6063A"/>
    <w:rsid w:val="00F60CAD"/>
    <w:rsid w:val="00F61866"/>
    <w:rsid w:val="00F63C61"/>
    <w:rsid w:val="00F6718B"/>
    <w:rsid w:val="00F67AE9"/>
    <w:rsid w:val="00F71569"/>
    <w:rsid w:val="00F80DD1"/>
    <w:rsid w:val="00F819FA"/>
    <w:rsid w:val="00F81C34"/>
    <w:rsid w:val="00F9047D"/>
    <w:rsid w:val="00F93D37"/>
    <w:rsid w:val="00F95BD1"/>
    <w:rsid w:val="00F96C9F"/>
    <w:rsid w:val="00FA0826"/>
    <w:rsid w:val="00FA0A8E"/>
    <w:rsid w:val="00FA49CA"/>
    <w:rsid w:val="00FA5BA8"/>
    <w:rsid w:val="00FA64FB"/>
    <w:rsid w:val="00FA7B2F"/>
    <w:rsid w:val="00FB2FC8"/>
    <w:rsid w:val="00FB64F1"/>
    <w:rsid w:val="00FC085F"/>
    <w:rsid w:val="00FC10C7"/>
    <w:rsid w:val="00FC3305"/>
    <w:rsid w:val="00FC47DB"/>
    <w:rsid w:val="00FD0EC6"/>
    <w:rsid w:val="00FD3B1B"/>
    <w:rsid w:val="00FD4F55"/>
    <w:rsid w:val="00FE0E06"/>
    <w:rsid w:val="00FE25C7"/>
    <w:rsid w:val="00FF3E13"/>
    <w:rsid w:val="00FF4816"/>
    <w:rsid w:val="00FF77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942EB2"/>
  <w15:chartTrackingRefBased/>
  <w15:docId w15:val="{D3DCD736-9B8A-4BAA-8DA0-39FC9269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664"/>
    <w:rPr>
      <w:rFonts w:ascii="Times New Roman" w:hAnsi="Times New Roman"/>
      <w:sz w:val="24"/>
    </w:rPr>
  </w:style>
  <w:style w:type="paragraph" w:styleId="Heading1">
    <w:name w:val="heading 1"/>
    <w:basedOn w:val="Normal"/>
    <w:next w:val="Normal"/>
    <w:link w:val="Heading1Char"/>
    <w:uiPriority w:val="9"/>
    <w:qFormat/>
    <w:rsid w:val="00E4011D"/>
    <w:pPr>
      <w:keepNext/>
      <w:keepLines/>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2F2BF4"/>
    <w:pPr>
      <w:keepNext/>
      <w:keepLines/>
      <w:outlineLvl w:val="1"/>
    </w:pPr>
    <w:rPr>
      <w:rFonts w:eastAsiaTheme="majorEastAsia" w:cstheme="majorBidi"/>
      <w:b/>
      <w:caps/>
      <w:szCs w:val="26"/>
    </w:rPr>
  </w:style>
  <w:style w:type="paragraph" w:styleId="Heading3">
    <w:name w:val="heading 3"/>
    <w:basedOn w:val="Normal"/>
    <w:next w:val="Normal"/>
    <w:link w:val="Heading3Char"/>
    <w:uiPriority w:val="9"/>
    <w:unhideWhenUsed/>
    <w:qFormat/>
    <w:rsid w:val="002F2BF4"/>
    <w:pPr>
      <w:keepNext/>
      <w:keepLines/>
      <w:spacing w:after="12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D22"/>
    <w:pPr>
      <w:ind w:left="720"/>
      <w:contextualSpacing/>
    </w:pPr>
  </w:style>
  <w:style w:type="table" w:styleId="TableGrid">
    <w:name w:val="Table Grid"/>
    <w:basedOn w:val="TableNormal"/>
    <w:uiPriority w:val="39"/>
    <w:rsid w:val="004442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6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F70"/>
  </w:style>
  <w:style w:type="paragraph" w:styleId="Footer">
    <w:name w:val="footer"/>
    <w:basedOn w:val="Normal"/>
    <w:link w:val="FooterChar"/>
    <w:uiPriority w:val="99"/>
    <w:unhideWhenUsed/>
    <w:rsid w:val="00416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F70"/>
  </w:style>
  <w:style w:type="character" w:styleId="Hyperlink">
    <w:name w:val="Hyperlink"/>
    <w:uiPriority w:val="99"/>
    <w:unhideWhenUsed/>
    <w:rsid w:val="0071378B"/>
    <w:rPr>
      <w:color w:val="0000FF"/>
      <w:u w:val="single"/>
    </w:rPr>
  </w:style>
  <w:style w:type="paragraph" w:styleId="TOC1">
    <w:name w:val="toc 1"/>
    <w:basedOn w:val="Normal"/>
    <w:next w:val="Normal"/>
    <w:autoRedefine/>
    <w:uiPriority w:val="39"/>
    <w:unhideWhenUsed/>
    <w:rsid w:val="00E4011D"/>
    <w:pPr>
      <w:spacing w:before="120" w:after="120" w:line="276" w:lineRule="auto"/>
    </w:pPr>
    <w:rPr>
      <w:rFonts w:eastAsia="Calibri" w:cs="Times New Roman"/>
      <w:b/>
      <w:bCs/>
      <w:caps/>
      <w:szCs w:val="20"/>
    </w:rPr>
  </w:style>
  <w:style w:type="paragraph" w:styleId="TOC2">
    <w:name w:val="toc 2"/>
    <w:basedOn w:val="Normal"/>
    <w:next w:val="Normal"/>
    <w:autoRedefine/>
    <w:uiPriority w:val="39"/>
    <w:unhideWhenUsed/>
    <w:rsid w:val="00E4011D"/>
    <w:pPr>
      <w:spacing w:after="0" w:line="276" w:lineRule="auto"/>
      <w:ind w:left="220"/>
    </w:pPr>
    <w:rPr>
      <w:rFonts w:eastAsia="Calibri" w:cs="Times New Roman"/>
      <w:szCs w:val="20"/>
    </w:rPr>
  </w:style>
  <w:style w:type="paragraph" w:customStyle="1" w:styleId="Level3">
    <w:name w:val="Level 3"/>
    <w:basedOn w:val="TOC3"/>
    <w:link w:val="Level3CharChar"/>
    <w:qFormat/>
    <w:rsid w:val="0071378B"/>
    <w:pPr>
      <w:tabs>
        <w:tab w:val="right" w:leader="dot" w:pos="8630"/>
      </w:tabs>
      <w:spacing w:after="0" w:line="240" w:lineRule="auto"/>
      <w:ind w:left="400"/>
    </w:pPr>
    <w:rPr>
      <w:rFonts w:asciiTheme="majorHAnsi" w:eastAsia="Times New Roman" w:hAnsiTheme="majorHAnsi" w:cs="Times New Roman"/>
      <w:i/>
      <w:iCs/>
      <w:sz w:val="20"/>
      <w:szCs w:val="20"/>
    </w:rPr>
  </w:style>
  <w:style w:type="character" w:customStyle="1" w:styleId="Level3CharChar">
    <w:name w:val="Level 3 Char Char"/>
    <w:basedOn w:val="DefaultParagraphFont"/>
    <w:link w:val="Level3"/>
    <w:rsid w:val="0071378B"/>
    <w:rPr>
      <w:rFonts w:asciiTheme="majorHAnsi" w:eastAsia="Times New Roman" w:hAnsiTheme="majorHAnsi" w:cs="Times New Roman"/>
      <w:i/>
      <w:iCs/>
      <w:sz w:val="20"/>
      <w:szCs w:val="20"/>
    </w:rPr>
  </w:style>
  <w:style w:type="paragraph" w:customStyle="1" w:styleId="Level1">
    <w:name w:val="Level 1"/>
    <w:basedOn w:val="TOC1"/>
    <w:link w:val="Level1Char"/>
    <w:qFormat/>
    <w:rsid w:val="0071378B"/>
    <w:pPr>
      <w:tabs>
        <w:tab w:val="right" w:leader="dot" w:pos="8630"/>
      </w:tabs>
      <w:spacing w:line="240" w:lineRule="auto"/>
    </w:pPr>
    <w:rPr>
      <w:rFonts w:asciiTheme="majorHAnsi" w:eastAsia="Times New Roman" w:hAnsiTheme="majorHAnsi"/>
    </w:rPr>
  </w:style>
  <w:style w:type="character" w:customStyle="1" w:styleId="Level1Char">
    <w:name w:val="Level 1 Char"/>
    <w:basedOn w:val="DefaultParagraphFont"/>
    <w:link w:val="Level1"/>
    <w:rsid w:val="0071378B"/>
    <w:rPr>
      <w:rFonts w:asciiTheme="majorHAnsi" w:eastAsia="Times New Roman" w:hAnsiTheme="majorHAnsi" w:cs="Times New Roman"/>
      <w:b/>
      <w:bCs/>
      <w:caps/>
      <w:sz w:val="20"/>
      <w:szCs w:val="20"/>
    </w:rPr>
  </w:style>
  <w:style w:type="paragraph" w:customStyle="1" w:styleId="Level2">
    <w:name w:val="Level 2"/>
    <w:basedOn w:val="TOC2"/>
    <w:link w:val="Level2Char"/>
    <w:qFormat/>
    <w:rsid w:val="0071378B"/>
    <w:pPr>
      <w:tabs>
        <w:tab w:val="right" w:leader="dot" w:pos="8630"/>
      </w:tabs>
      <w:spacing w:line="240" w:lineRule="auto"/>
      <w:ind w:left="200"/>
    </w:pPr>
    <w:rPr>
      <w:rFonts w:asciiTheme="majorHAnsi" w:eastAsia="Times New Roman" w:hAnsiTheme="majorHAnsi"/>
      <w:color w:val="000000"/>
    </w:rPr>
  </w:style>
  <w:style w:type="character" w:customStyle="1" w:styleId="Level2Char">
    <w:name w:val="Level 2 Char"/>
    <w:basedOn w:val="DefaultParagraphFont"/>
    <w:link w:val="Level2"/>
    <w:rsid w:val="0071378B"/>
    <w:rPr>
      <w:rFonts w:asciiTheme="majorHAnsi" w:eastAsia="Times New Roman" w:hAnsiTheme="majorHAnsi" w:cs="Times New Roman"/>
      <w:smallCaps/>
      <w:color w:val="000000"/>
      <w:sz w:val="20"/>
      <w:szCs w:val="20"/>
    </w:rPr>
  </w:style>
  <w:style w:type="paragraph" w:styleId="TOC3">
    <w:name w:val="toc 3"/>
    <w:basedOn w:val="Normal"/>
    <w:next w:val="Normal"/>
    <w:autoRedefine/>
    <w:uiPriority w:val="39"/>
    <w:unhideWhenUsed/>
    <w:rsid w:val="0071378B"/>
    <w:pPr>
      <w:spacing w:after="100"/>
      <w:ind w:left="440"/>
    </w:pPr>
  </w:style>
  <w:style w:type="paragraph" w:styleId="BalloonText">
    <w:name w:val="Balloon Text"/>
    <w:basedOn w:val="Normal"/>
    <w:link w:val="BalloonTextChar"/>
    <w:uiPriority w:val="99"/>
    <w:semiHidden/>
    <w:unhideWhenUsed/>
    <w:rsid w:val="00B75F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F22"/>
    <w:rPr>
      <w:rFonts w:ascii="Segoe UI" w:hAnsi="Segoe UI" w:cs="Segoe UI"/>
      <w:sz w:val="18"/>
      <w:szCs w:val="18"/>
    </w:rPr>
  </w:style>
  <w:style w:type="character" w:customStyle="1" w:styleId="Heading1Char">
    <w:name w:val="Heading 1 Char"/>
    <w:basedOn w:val="DefaultParagraphFont"/>
    <w:link w:val="Heading1"/>
    <w:uiPriority w:val="9"/>
    <w:rsid w:val="00E4011D"/>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2F2BF4"/>
    <w:rPr>
      <w:rFonts w:ascii="Times New Roman" w:eastAsiaTheme="majorEastAsia" w:hAnsi="Times New Roman" w:cstheme="majorBidi"/>
      <w:b/>
      <w:caps/>
      <w:sz w:val="24"/>
      <w:szCs w:val="26"/>
    </w:rPr>
  </w:style>
  <w:style w:type="paragraph" w:styleId="TOCHeading">
    <w:name w:val="TOC Heading"/>
    <w:basedOn w:val="Heading1"/>
    <w:next w:val="Normal"/>
    <w:uiPriority w:val="39"/>
    <w:unhideWhenUsed/>
    <w:qFormat/>
    <w:rsid w:val="00E4011D"/>
    <w:pPr>
      <w:spacing w:before="240" w:after="0"/>
      <w:outlineLvl w:val="9"/>
    </w:pPr>
    <w:rPr>
      <w:rFonts w:asciiTheme="majorHAnsi" w:hAnsiTheme="majorHAnsi"/>
      <w:b w:val="0"/>
      <w:caps w:val="0"/>
      <w:color w:val="2F5496" w:themeColor="accent1" w:themeShade="BF"/>
      <w:sz w:val="32"/>
    </w:rPr>
  </w:style>
  <w:style w:type="character" w:styleId="CommentReference">
    <w:name w:val="annotation reference"/>
    <w:basedOn w:val="DefaultParagraphFont"/>
    <w:uiPriority w:val="99"/>
    <w:semiHidden/>
    <w:unhideWhenUsed/>
    <w:rsid w:val="007741BD"/>
    <w:rPr>
      <w:sz w:val="16"/>
      <w:szCs w:val="16"/>
    </w:rPr>
  </w:style>
  <w:style w:type="paragraph" w:styleId="CommentText">
    <w:name w:val="annotation text"/>
    <w:basedOn w:val="Normal"/>
    <w:link w:val="CommentTextChar"/>
    <w:uiPriority w:val="99"/>
    <w:unhideWhenUsed/>
    <w:rsid w:val="007741BD"/>
    <w:pPr>
      <w:spacing w:line="240" w:lineRule="auto"/>
    </w:pPr>
    <w:rPr>
      <w:sz w:val="20"/>
      <w:szCs w:val="20"/>
    </w:rPr>
  </w:style>
  <w:style w:type="character" w:customStyle="1" w:styleId="CommentTextChar">
    <w:name w:val="Comment Text Char"/>
    <w:basedOn w:val="DefaultParagraphFont"/>
    <w:link w:val="CommentText"/>
    <w:uiPriority w:val="99"/>
    <w:rsid w:val="007741BD"/>
    <w:rPr>
      <w:sz w:val="20"/>
      <w:szCs w:val="20"/>
    </w:rPr>
  </w:style>
  <w:style w:type="paragraph" w:styleId="CommentSubject">
    <w:name w:val="annotation subject"/>
    <w:basedOn w:val="CommentText"/>
    <w:next w:val="CommentText"/>
    <w:link w:val="CommentSubjectChar"/>
    <w:uiPriority w:val="99"/>
    <w:semiHidden/>
    <w:unhideWhenUsed/>
    <w:rsid w:val="007741BD"/>
    <w:rPr>
      <w:b/>
      <w:bCs/>
    </w:rPr>
  </w:style>
  <w:style w:type="character" w:customStyle="1" w:styleId="CommentSubjectChar">
    <w:name w:val="Comment Subject Char"/>
    <w:basedOn w:val="CommentTextChar"/>
    <w:link w:val="CommentSubject"/>
    <w:uiPriority w:val="99"/>
    <w:semiHidden/>
    <w:rsid w:val="007741BD"/>
    <w:rPr>
      <w:b/>
      <w:bCs/>
      <w:sz w:val="20"/>
      <w:szCs w:val="20"/>
    </w:rPr>
  </w:style>
  <w:style w:type="paragraph" w:styleId="Revision">
    <w:name w:val="Revision"/>
    <w:hidden/>
    <w:uiPriority w:val="99"/>
    <w:semiHidden/>
    <w:rsid w:val="007167B7"/>
    <w:pPr>
      <w:spacing w:after="0" w:line="240" w:lineRule="auto"/>
    </w:pPr>
    <w:rPr>
      <w:rFonts w:ascii="Times New Roman" w:hAnsi="Times New Roman"/>
      <w:sz w:val="24"/>
    </w:rPr>
  </w:style>
  <w:style w:type="character" w:customStyle="1" w:styleId="UnresolvedMention1">
    <w:name w:val="Unresolved Mention1"/>
    <w:basedOn w:val="DefaultParagraphFont"/>
    <w:uiPriority w:val="99"/>
    <w:semiHidden/>
    <w:unhideWhenUsed/>
    <w:rsid w:val="0047416D"/>
    <w:rPr>
      <w:color w:val="808080"/>
      <w:shd w:val="clear" w:color="auto" w:fill="E6E6E6"/>
    </w:rPr>
  </w:style>
  <w:style w:type="character" w:styleId="FootnoteReference">
    <w:name w:val="footnote reference"/>
    <w:basedOn w:val="DefaultParagraphFont"/>
    <w:uiPriority w:val="99"/>
    <w:semiHidden/>
    <w:unhideWhenUsed/>
    <w:rsid w:val="000C06EB"/>
    <w:rPr>
      <w:vertAlign w:val="superscript"/>
    </w:rPr>
  </w:style>
  <w:style w:type="paragraph" w:styleId="FootnoteText">
    <w:name w:val="footnote text"/>
    <w:basedOn w:val="Normal"/>
    <w:link w:val="FootnoteTextChar"/>
    <w:uiPriority w:val="99"/>
    <w:semiHidden/>
    <w:unhideWhenUsed/>
    <w:rsid w:val="007315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154C"/>
    <w:rPr>
      <w:rFonts w:ascii="Times New Roman" w:hAnsi="Times New Roman"/>
      <w:sz w:val="20"/>
      <w:szCs w:val="20"/>
    </w:rPr>
  </w:style>
  <w:style w:type="paragraph" w:customStyle="1" w:styleId="CM10">
    <w:name w:val="CM10"/>
    <w:basedOn w:val="Normal"/>
    <w:next w:val="Normal"/>
    <w:uiPriority w:val="99"/>
    <w:rsid w:val="005F6971"/>
    <w:pPr>
      <w:autoSpaceDE w:val="0"/>
      <w:autoSpaceDN w:val="0"/>
      <w:adjustRightInd w:val="0"/>
      <w:spacing w:after="0" w:line="276" w:lineRule="atLeast"/>
    </w:pPr>
    <w:rPr>
      <w:rFonts w:cs="Times New Roman"/>
      <w:szCs w:val="24"/>
    </w:rPr>
  </w:style>
  <w:style w:type="paragraph" w:customStyle="1" w:styleId="CM56">
    <w:name w:val="CM56"/>
    <w:basedOn w:val="Normal"/>
    <w:next w:val="Normal"/>
    <w:uiPriority w:val="99"/>
    <w:rsid w:val="004D5084"/>
    <w:pPr>
      <w:autoSpaceDE w:val="0"/>
      <w:autoSpaceDN w:val="0"/>
      <w:adjustRightInd w:val="0"/>
      <w:spacing w:after="0" w:line="240" w:lineRule="auto"/>
    </w:pPr>
    <w:rPr>
      <w:rFonts w:cs="Times New Roman"/>
      <w:szCs w:val="24"/>
    </w:rPr>
  </w:style>
  <w:style w:type="character" w:styleId="Mention">
    <w:name w:val="Mention"/>
    <w:basedOn w:val="DefaultParagraphFont"/>
    <w:uiPriority w:val="99"/>
    <w:semiHidden/>
    <w:unhideWhenUsed/>
    <w:rsid w:val="00EB273A"/>
    <w:rPr>
      <w:color w:val="2B579A"/>
      <w:shd w:val="clear" w:color="auto" w:fill="E6E6E6"/>
    </w:rPr>
  </w:style>
  <w:style w:type="character" w:styleId="FollowedHyperlink">
    <w:name w:val="FollowedHyperlink"/>
    <w:basedOn w:val="DefaultParagraphFont"/>
    <w:uiPriority w:val="99"/>
    <w:semiHidden/>
    <w:unhideWhenUsed/>
    <w:rsid w:val="00500FBB"/>
    <w:rPr>
      <w:color w:val="954F72" w:themeColor="followedHyperlink"/>
      <w:u w:val="single"/>
    </w:rPr>
  </w:style>
  <w:style w:type="character" w:customStyle="1" w:styleId="Heading3Char">
    <w:name w:val="Heading 3 Char"/>
    <w:basedOn w:val="DefaultParagraphFont"/>
    <w:link w:val="Heading3"/>
    <w:uiPriority w:val="9"/>
    <w:rsid w:val="002F2BF4"/>
    <w:rPr>
      <w:rFonts w:ascii="Times New Roman" w:eastAsiaTheme="majorEastAsia" w:hAnsi="Times New Roman" w:cstheme="majorBidi"/>
      <w:b/>
      <w:color w:val="000000" w:themeColor="text1"/>
      <w:sz w:val="24"/>
      <w:szCs w:val="24"/>
    </w:rPr>
  </w:style>
  <w:style w:type="character" w:styleId="UnresolvedMention">
    <w:name w:val="Unresolved Mention"/>
    <w:basedOn w:val="DefaultParagraphFont"/>
    <w:uiPriority w:val="99"/>
    <w:semiHidden/>
    <w:unhideWhenUsed/>
    <w:rsid w:val="00F96C9F"/>
    <w:rPr>
      <w:color w:val="605E5C"/>
      <w:shd w:val="clear" w:color="auto" w:fill="E1DFDD"/>
    </w:rPr>
  </w:style>
  <w:style w:type="paragraph" w:styleId="NoSpacing">
    <w:name w:val="No Spacing"/>
    <w:uiPriority w:val="1"/>
    <w:qFormat/>
    <w:rsid w:val="002517F6"/>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352114">
      <w:bodyDiv w:val="1"/>
      <w:marLeft w:val="0"/>
      <w:marRight w:val="0"/>
      <w:marTop w:val="0"/>
      <w:marBottom w:val="0"/>
      <w:divBdr>
        <w:top w:val="none" w:sz="0" w:space="0" w:color="auto"/>
        <w:left w:val="none" w:sz="0" w:space="0" w:color="auto"/>
        <w:bottom w:val="none" w:sz="0" w:space="0" w:color="auto"/>
        <w:right w:val="none" w:sz="0" w:space="0" w:color="auto"/>
      </w:divBdr>
    </w:div>
    <w:div w:id="354622783">
      <w:bodyDiv w:val="1"/>
      <w:marLeft w:val="0"/>
      <w:marRight w:val="0"/>
      <w:marTop w:val="0"/>
      <w:marBottom w:val="0"/>
      <w:divBdr>
        <w:top w:val="none" w:sz="0" w:space="0" w:color="auto"/>
        <w:left w:val="none" w:sz="0" w:space="0" w:color="auto"/>
        <w:bottom w:val="none" w:sz="0" w:space="0" w:color="auto"/>
        <w:right w:val="none" w:sz="0" w:space="0" w:color="auto"/>
      </w:divBdr>
    </w:div>
    <w:div w:id="380640471">
      <w:bodyDiv w:val="1"/>
      <w:marLeft w:val="0"/>
      <w:marRight w:val="0"/>
      <w:marTop w:val="0"/>
      <w:marBottom w:val="0"/>
      <w:divBdr>
        <w:top w:val="none" w:sz="0" w:space="0" w:color="auto"/>
        <w:left w:val="none" w:sz="0" w:space="0" w:color="auto"/>
        <w:bottom w:val="none" w:sz="0" w:space="0" w:color="auto"/>
        <w:right w:val="none" w:sz="0" w:space="0" w:color="auto"/>
      </w:divBdr>
    </w:div>
    <w:div w:id="451678347">
      <w:bodyDiv w:val="1"/>
      <w:marLeft w:val="0"/>
      <w:marRight w:val="0"/>
      <w:marTop w:val="0"/>
      <w:marBottom w:val="0"/>
      <w:divBdr>
        <w:top w:val="none" w:sz="0" w:space="0" w:color="auto"/>
        <w:left w:val="none" w:sz="0" w:space="0" w:color="auto"/>
        <w:bottom w:val="none" w:sz="0" w:space="0" w:color="auto"/>
        <w:right w:val="none" w:sz="0" w:space="0" w:color="auto"/>
      </w:divBdr>
    </w:div>
    <w:div w:id="547835975">
      <w:bodyDiv w:val="1"/>
      <w:marLeft w:val="0"/>
      <w:marRight w:val="0"/>
      <w:marTop w:val="0"/>
      <w:marBottom w:val="0"/>
      <w:divBdr>
        <w:top w:val="none" w:sz="0" w:space="0" w:color="auto"/>
        <w:left w:val="none" w:sz="0" w:space="0" w:color="auto"/>
        <w:bottom w:val="none" w:sz="0" w:space="0" w:color="auto"/>
        <w:right w:val="none" w:sz="0" w:space="0" w:color="auto"/>
      </w:divBdr>
    </w:div>
    <w:div w:id="714889957">
      <w:bodyDiv w:val="1"/>
      <w:marLeft w:val="0"/>
      <w:marRight w:val="0"/>
      <w:marTop w:val="0"/>
      <w:marBottom w:val="0"/>
      <w:divBdr>
        <w:top w:val="none" w:sz="0" w:space="0" w:color="auto"/>
        <w:left w:val="none" w:sz="0" w:space="0" w:color="auto"/>
        <w:bottom w:val="none" w:sz="0" w:space="0" w:color="auto"/>
        <w:right w:val="none" w:sz="0" w:space="0" w:color="auto"/>
      </w:divBdr>
    </w:div>
    <w:div w:id="1434937984">
      <w:bodyDiv w:val="1"/>
      <w:marLeft w:val="0"/>
      <w:marRight w:val="0"/>
      <w:marTop w:val="0"/>
      <w:marBottom w:val="0"/>
      <w:divBdr>
        <w:top w:val="none" w:sz="0" w:space="0" w:color="auto"/>
        <w:left w:val="none" w:sz="0" w:space="0" w:color="auto"/>
        <w:bottom w:val="none" w:sz="0" w:space="0" w:color="auto"/>
        <w:right w:val="none" w:sz="0" w:space="0" w:color="auto"/>
      </w:divBdr>
    </w:div>
    <w:div w:id="147844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1/DCB_h.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1/ES.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gao.gov/assets/680/672181.pdf" TargetMode="External"/><Relationship Id="rId1" Type="http://schemas.openxmlformats.org/officeDocument/2006/relationships/hyperlink" Target="https://www.maritime.dot.gov/sites/marad.dot.gov/files/docs/mariners/1026/mwwg-report-congress-finalr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9172B-F34A-4B6B-917F-1819C900E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7792</Words>
  <Characters>44416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Bregman</dc:creator>
  <cp:keywords/>
  <dc:description/>
  <cp:lastModifiedBy>Lewczuk, Katarzyna</cp:lastModifiedBy>
  <cp:revision>4</cp:revision>
  <cp:lastPrinted>2018-10-18T19:59:00Z</cp:lastPrinted>
  <dcterms:created xsi:type="dcterms:W3CDTF">2022-01-28T18:30:00Z</dcterms:created>
  <dcterms:modified xsi:type="dcterms:W3CDTF">2022-01-28T18:40:00Z</dcterms:modified>
</cp:coreProperties>
</file>