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8EC" w:rsidP="00AE4978" w:rsidRDefault="001658EC" w14:paraId="49F3FE8A" w14:textId="7DFC8DA9">
      <w:pPr>
        <w:pStyle w:val="Level1"/>
      </w:pPr>
    </w:p>
    <w:p w:rsidR="001658EC" w:rsidP="001658EC" w:rsidRDefault="001658EC" w14:paraId="1846EC04" w14:textId="77777777">
      <w:pPr>
        <w:jc w:val="center"/>
        <w:rPr>
          <w:rFonts w:cs="Times New Roman"/>
          <w:sz w:val="40"/>
          <w:szCs w:val="24"/>
        </w:rPr>
      </w:pPr>
    </w:p>
    <w:p w:rsidR="001658EC" w:rsidP="001658EC" w:rsidRDefault="001658EC" w14:paraId="6B7CDE7F" w14:textId="77777777">
      <w:pPr>
        <w:jc w:val="center"/>
        <w:rPr>
          <w:rFonts w:cs="Times New Roman"/>
          <w:sz w:val="40"/>
          <w:szCs w:val="24"/>
        </w:rPr>
      </w:pPr>
    </w:p>
    <w:p w:rsidRPr="005777F1" w:rsidR="001658EC" w:rsidP="001658EC" w:rsidRDefault="001658EC" w14:paraId="6C506332" w14:textId="3781B352">
      <w:pPr>
        <w:jc w:val="center"/>
        <w:rPr>
          <w:rFonts w:cs="Times New Roman"/>
          <w:sz w:val="40"/>
          <w:szCs w:val="24"/>
        </w:rPr>
      </w:pPr>
      <w:r w:rsidRPr="005777F1">
        <w:rPr>
          <w:rFonts w:cs="Times New Roman"/>
          <w:sz w:val="40"/>
          <w:szCs w:val="24"/>
        </w:rPr>
        <w:t>Mariner Survey</w:t>
      </w:r>
      <w:r w:rsidRPr="005777F1" w:rsidR="00A74829">
        <w:rPr>
          <w:rFonts w:cs="Times New Roman"/>
          <w:sz w:val="40"/>
          <w:szCs w:val="24"/>
        </w:rPr>
        <w:t xml:space="preserve"> P</w:t>
      </w:r>
      <w:r w:rsidR="00CD1DE9">
        <w:rPr>
          <w:rFonts w:cs="Times New Roman"/>
          <w:sz w:val="40"/>
          <w:szCs w:val="24"/>
        </w:rPr>
        <w:t>re-</w:t>
      </w:r>
      <w:r w:rsidRPr="005777F1" w:rsidR="00A74829">
        <w:rPr>
          <w:rFonts w:cs="Times New Roman"/>
          <w:sz w:val="40"/>
          <w:szCs w:val="24"/>
        </w:rPr>
        <w:t>Test</w:t>
      </w:r>
    </w:p>
    <w:p w:rsidRPr="005777F1" w:rsidR="001658EC" w:rsidP="001658EC" w:rsidRDefault="001658EC" w14:paraId="3D6CC935" w14:textId="49D028B4">
      <w:pPr>
        <w:jc w:val="center"/>
        <w:rPr>
          <w:rFonts w:cs="Times New Roman"/>
          <w:szCs w:val="24"/>
        </w:rPr>
      </w:pPr>
    </w:p>
    <w:p w:rsidRPr="005777F1" w:rsidR="001658EC" w:rsidP="001658EC" w:rsidRDefault="001658EC" w14:paraId="51B66A37" w14:textId="77777777">
      <w:pPr>
        <w:jc w:val="center"/>
        <w:rPr>
          <w:rFonts w:cs="Times New Roman"/>
          <w:szCs w:val="24"/>
        </w:rPr>
      </w:pPr>
    </w:p>
    <w:p w:rsidRPr="005777F1" w:rsidR="001658EC" w:rsidP="001658EC" w:rsidRDefault="001658EC" w14:paraId="0B5805D5" w14:textId="77777777">
      <w:pPr>
        <w:jc w:val="center"/>
        <w:rPr>
          <w:rFonts w:cs="Times New Roman"/>
          <w:szCs w:val="24"/>
        </w:rPr>
      </w:pPr>
    </w:p>
    <w:p w:rsidRPr="005777F1" w:rsidR="001658EC" w:rsidP="001658EC" w:rsidRDefault="001658EC" w14:paraId="503B45AA" w14:textId="5DBA7206">
      <w:pPr>
        <w:jc w:val="center"/>
        <w:rPr>
          <w:rFonts w:cs="Times New Roman"/>
          <w:sz w:val="28"/>
          <w:szCs w:val="24"/>
        </w:rPr>
      </w:pPr>
      <w:r w:rsidRPr="005777F1">
        <w:rPr>
          <w:rFonts w:cs="Times New Roman"/>
          <w:sz w:val="28"/>
          <w:szCs w:val="24"/>
        </w:rPr>
        <w:t xml:space="preserve">Supporting Statement Part </w:t>
      </w:r>
      <w:r w:rsidR="004350AF">
        <w:rPr>
          <w:rFonts w:cs="Times New Roman"/>
          <w:sz w:val="28"/>
          <w:szCs w:val="24"/>
        </w:rPr>
        <w:t>B</w:t>
      </w:r>
      <w:r w:rsidR="00F67AE9">
        <w:rPr>
          <w:rFonts w:cs="Times New Roman"/>
          <w:sz w:val="28"/>
          <w:szCs w:val="24"/>
        </w:rPr>
        <w:t xml:space="preserve"> </w:t>
      </w:r>
    </w:p>
    <w:p w:rsidRPr="005777F1" w:rsidR="001658EC" w:rsidP="001658EC" w:rsidRDefault="001658EC" w14:paraId="63DEF31F" w14:textId="77777777">
      <w:pPr>
        <w:jc w:val="center"/>
        <w:rPr>
          <w:rFonts w:cs="Times New Roman"/>
          <w:szCs w:val="24"/>
        </w:rPr>
      </w:pPr>
    </w:p>
    <w:p w:rsidRPr="005777F1" w:rsidR="001658EC" w:rsidP="001658EC" w:rsidRDefault="001658EC" w14:paraId="5ECA0ACA" w14:textId="3729422A">
      <w:pPr>
        <w:jc w:val="center"/>
        <w:rPr>
          <w:rFonts w:cs="Times New Roman"/>
          <w:szCs w:val="24"/>
        </w:rPr>
      </w:pPr>
    </w:p>
    <w:p w:rsidRPr="005777F1" w:rsidR="001658EC" w:rsidP="001658EC" w:rsidRDefault="001658EC" w14:paraId="44DC12F5" w14:textId="77777777">
      <w:pPr>
        <w:jc w:val="center"/>
        <w:rPr>
          <w:rFonts w:cs="Times New Roman"/>
          <w:szCs w:val="24"/>
        </w:rPr>
      </w:pPr>
    </w:p>
    <w:p w:rsidRPr="005777F1" w:rsidR="001658EC" w:rsidP="001658EC" w:rsidRDefault="001658EC" w14:paraId="6F7C956C" w14:textId="77777777">
      <w:pPr>
        <w:jc w:val="center"/>
        <w:rPr>
          <w:rFonts w:cs="Times New Roman"/>
          <w:szCs w:val="24"/>
        </w:rPr>
      </w:pPr>
    </w:p>
    <w:p w:rsidRPr="005777F1" w:rsidR="001658EC" w:rsidP="001658EC" w:rsidRDefault="001658EC" w14:paraId="4B51E16B" w14:textId="77777777">
      <w:pPr>
        <w:jc w:val="center"/>
        <w:rPr>
          <w:rFonts w:cs="Times New Roman"/>
          <w:szCs w:val="24"/>
        </w:rPr>
      </w:pPr>
      <w:r w:rsidRPr="005777F1">
        <w:rPr>
          <w:rFonts w:cs="Times New Roman"/>
          <w:szCs w:val="24"/>
        </w:rPr>
        <w:t>Maritime Administration (MARAD)</w:t>
      </w:r>
    </w:p>
    <w:p w:rsidRPr="005777F1" w:rsidR="001658EC" w:rsidP="001658EC" w:rsidRDefault="001658EC" w14:paraId="1B507B18" w14:textId="1A014143">
      <w:pPr>
        <w:jc w:val="center"/>
        <w:rPr>
          <w:rFonts w:cs="Times New Roman"/>
          <w:szCs w:val="24"/>
        </w:rPr>
      </w:pPr>
      <w:r w:rsidRPr="005777F1">
        <w:rPr>
          <w:rFonts w:cs="Times New Roman"/>
          <w:szCs w:val="24"/>
        </w:rPr>
        <w:t>U.S. Department of Transportation</w:t>
      </w:r>
    </w:p>
    <w:p w:rsidRPr="005777F1" w:rsidR="001658EC" w:rsidP="001658EC" w:rsidRDefault="001658EC" w14:paraId="2A560B83" w14:textId="77777777">
      <w:pPr>
        <w:jc w:val="center"/>
        <w:rPr>
          <w:rFonts w:cs="Times New Roman"/>
          <w:szCs w:val="24"/>
        </w:rPr>
      </w:pPr>
      <w:r w:rsidRPr="005777F1">
        <w:rPr>
          <w:rFonts w:cs="Times New Roman"/>
          <w:szCs w:val="24"/>
        </w:rPr>
        <w:t>Washington, D.C.</w:t>
      </w:r>
    </w:p>
    <w:p w:rsidRPr="005777F1" w:rsidR="001658EC" w:rsidP="001658EC" w:rsidRDefault="001658EC" w14:paraId="3E9AB980" w14:textId="77777777">
      <w:pPr>
        <w:jc w:val="center"/>
        <w:rPr>
          <w:rFonts w:cs="Times New Roman"/>
          <w:szCs w:val="24"/>
        </w:rPr>
      </w:pPr>
    </w:p>
    <w:p w:rsidRPr="005777F1" w:rsidR="001658EC" w:rsidP="001658EC" w:rsidRDefault="001658EC" w14:paraId="1CF4E733" w14:textId="77777777">
      <w:pPr>
        <w:jc w:val="center"/>
        <w:rPr>
          <w:rFonts w:cs="Times New Roman"/>
          <w:szCs w:val="24"/>
        </w:rPr>
      </w:pPr>
    </w:p>
    <w:p w:rsidRPr="005777F1" w:rsidR="001658EC" w:rsidP="001658EC" w:rsidRDefault="001658EC" w14:paraId="5A49CF8D" w14:textId="77777777">
      <w:pPr>
        <w:jc w:val="center"/>
        <w:rPr>
          <w:rFonts w:cs="Times New Roman"/>
          <w:szCs w:val="24"/>
        </w:rPr>
      </w:pPr>
    </w:p>
    <w:p w:rsidRPr="005777F1" w:rsidR="001658EC" w:rsidP="001658EC" w:rsidRDefault="001658EC" w14:paraId="56DCD18D" w14:textId="77777777">
      <w:pPr>
        <w:jc w:val="center"/>
        <w:rPr>
          <w:rFonts w:cs="Times New Roman"/>
          <w:szCs w:val="24"/>
        </w:rPr>
      </w:pPr>
    </w:p>
    <w:p w:rsidRPr="005777F1" w:rsidR="001658EC" w:rsidP="001658EC" w:rsidRDefault="001658EC" w14:paraId="291A4DB6" w14:textId="77777777">
      <w:pPr>
        <w:jc w:val="center"/>
        <w:rPr>
          <w:rFonts w:cs="Times New Roman"/>
          <w:szCs w:val="24"/>
        </w:rPr>
      </w:pPr>
    </w:p>
    <w:p w:rsidRPr="005777F1" w:rsidR="001658EC" w:rsidP="001658EC" w:rsidRDefault="001658EC" w14:paraId="0FBECD9D" w14:textId="77777777">
      <w:pPr>
        <w:jc w:val="center"/>
        <w:rPr>
          <w:rFonts w:cs="Times New Roman"/>
          <w:szCs w:val="24"/>
        </w:rPr>
      </w:pPr>
    </w:p>
    <w:p w:rsidRPr="005777F1" w:rsidR="001658EC" w:rsidP="001658EC" w:rsidRDefault="001658EC" w14:paraId="03868BDB" w14:textId="77777777">
      <w:pPr>
        <w:jc w:val="center"/>
        <w:rPr>
          <w:rFonts w:cs="Times New Roman"/>
          <w:szCs w:val="24"/>
        </w:rPr>
      </w:pPr>
    </w:p>
    <w:p w:rsidRPr="005777F1" w:rsidR="001658EC" w:rsidP="001658EC" w:rsidRDefault="001658EC" w14:paraId="471A769C" w14:textId="77777777">
      <w:pPr>
        <w:rPr>
          <w:rFonts w:cs="Times New Roman"/>
          <w:szCs w:val="24"/>
        </w:rPr>
      </w:pPr>
    </w:p>
    <w:p w:rsidRPr="005777F1" w:rsidR="001658EC" w:rsidP="001658EC" w:rsidRDefault="001658EC" w14:paraId="27378779" w14:textId="090F1638">
      <w:pPr>
        <w:jc w:val="center"/>
        <w:rPr>
          <w:rFonts w:cs="Times New Roman"/>
          <w:szCs w:val="24"/>
        </w:rPr>
      </w:pPr>
      <w:r w:rsidRPr="005777F1">
        <w:rPr>
          <w:rFonts w:cs="Times New Roman"/>
          <w:szCs w:val="24"/>
        </w:rPr>
        <w:br w:type="page"/>
      </w:r>
    </w:p>
    <w:sdt>
      <w:sdtPr>
        <w:rPr>
          <w:rFonts w:asciiTheme="minorHAnsi" w:hAnsiTheme="minorHAnsi" w:eastAsiaTheme="minorHAnsi" w:cstheme="minorBidi"/>
          <w:color w:val="auto"/>
          <w:sz w:val="22"/>
          <w:szCs w:val="22"/>
        </w:rPr>
        <w:id w:val="-1512836733"/>
        <w:docPartObj>
          <w:docPartGallery w:val="Table of Contents"/>
          <w:docPartUnique/>
        </w:docPartObj>
      </w:sdtPr>
      <w:sdtEndPr>
        <w:rPr>
          <w:rFonts w:ascii="Times New Roman" w:hAnsi="Times New Roman"/>
          <w:b/>
          <w:bCs/>
          <w:noProof/>
          <w:sz w:val="24"/>
        </w:rPr>
      </w:sdtEndPr>
      <w:sdtContent>
        <w:p w:rsidRPr="005777F1" w:rsidR="00E4011D" w:rsidRDefault="00E4011D" w14:paraId="55B70170" w14:textId="72403015">
          <w:pPr>
            <w:pStyle w:val="TOCHeading"/>
          </w:pPr>
          <w:r w:rsidRPr="005777F1">
            <w:t>Table of Contents</w:t>
          </w:r>
        </w:p>
        <w:p w:rsidR="00962220" w:rsidRDefault="00E4011D" w14:paraId="0E770AF3" w14:textId="57DCAD21">
          <w:pPr>
            <w:pStyle w:val="TOC1"/>
            <w:tabs>
              <w:tab w:val="right" w:leader="dot" w:pos="9350"/>
            </w:tabs>
            <w:rPr>
              <w:rFonts w:asciiTheme="minorHAnsi" w:hAnsiTheme="minorHAnsi" w:eastAsiaTheme="minorEastAsia" w:cstheme="minorBidi"/>
              <w:b w:val="0"/>
              <w:bCs w:val="0"/>
              <w:caps w:val="0"/>
              <w:noProof/>
              <w:sz w:val="22"/>
              <w:szCs w:val="22"/>
            </w:rPr>
          </w:pPr>
          <w:r w:rsidRPr="005777F1">
            <w:fldChar w:fldCharType="begin"/>
          </w:r>
          <w:r w:rsidRPr="005777F1">
            <w:instrText xml:space="preserve"> TOC \o "1-3" \h \z \u </w:instrText>
          </w:r>
          <w:r w:rsidRPr="005777F1">
            <w:fldChar w:fldCharType="separate"/>
          </w:r>
          <w:hyperlink w:history="1" w:anchor="_Toc90302128">
            <w:r w:rsidRPr="00A1136B" w:rsidR="00962220">
              <w:rPr>
                <w:rStyle w:val="Hyperlink"/>
                <w:noProof/>
              </w:rPr>
              <w:t>SUPPORTING STATEMENT part B</w:t>
            </w:r>
            <w:r w:rsidR="00962220">
              <w:rPr>
                <w:noProof/>
                <w:webHidden/>
              </w:rPr>
              <w:tab/>
            </w:r>
            <w:r w:rsidR="00962220">
              <w:rPr>
                <w:noProof/>
                <w:webHidden/>
              </w:rPr>
              <w:fldChar w:fldCharType="begin"/>
            </w:r>
            <w:r w:rsidR="00962220">
              <w:rPr>
                <w:noProof/>
                <w:webHidden/>
              </w:rPr>
              <w:instrText xml:space="preserve"> PAGEREF _Toc90302128 \h </w:instrText>
            </w:r>
            <w:r w:rsidR="00962220">
              <w:rPr>
                <w:noProof/>
                <w:webHidden/>
              </w:rPr>
            </w:r>
            <w:r w:rsidR="00962220">
              <w:rPr>
                <w:noProof/>
                <w:webHidden/>
              </w:rPr>
              <w:fldChar w:fldCharType="separate"/>
            </w:r>
            <w:r w:rsidR="007657B2">
              <w:rPr>
                <w:noProof/>
                <w:webHidden/>
              </w:rPr>
              <w:t>2</w:t>
            </w:r>
            <w:r w:rsidR="00962220">
              <w:rPr>
                <w:noProof/>
                <w:webHidden/>
              </w:rPr>
              <w:fldChar w:fldCharType="end"/>
            </w:r>
          </w:hyperlink>
        </w:p>
        <w:p w:rsidR="00962220" w:rsidRDefault="00CE2093" w14:paraId="07EBD3C3" w14:textId="4B32BBE9">
          <w:pPr>
            <w:pStyle w:val="TOC3"/>
            <w:tabs>
              <w:tab w:val="right" w:leader="dot" w:pos="9350"/>
            </w:tabs>
            <w:rPr>
              <w:rFonts w:asciiTheme="minorHAnsi" w:hAnsiTheme="minorHAnsi" w:eastAsiaTheme="minorEastAsia"/>
              <w:noProof/>
              <w:sz w:val="22"/>
            </w:rPr>
          </w:pPr>
          <w:hyperlink w:history="1" w:anchor="_Toc90302129">
            <w:r w:rsidRPr="00A1136B" w:rsidR="00962220">
              <w:rPr>
                <w:rStyle w:val="Hyperlink"/>
                <w:noProof/>
              </w:rPr>
              <w:t>B.1 Respondent Universe</w:t>
            </w:r>
            <w:r w:rsidR="00962220">
              <w:rPr>
                <w:noProof/>
                <w:webHidden/>
              </w:rPr>
              <w:tab/>
            </w:r>
            <w:r w:rsidR="00962220">
              <w:rPr>
                <w:noProof/>
                <w:webHidden/>
              </w:rPr>
              <w:fldChar w:fldCharType="begin"/>
            </w:r>
            <w:r w:rsidR="00962220">
              <w:rPr>
                <w:noProof/>
                <w:webHidden/>
              </w:rPr>
              <w:instrText xml:space="preserve"> PAGEREF _Toc90302129 \h </w:instrText>
            </w:r>
            <w:r w:rsidR="00962220">
              <w:rPr>
                <w:noProof/>
                <w:webHidden/>
              </w:rPr>
            </w:r>
            <w:r w:rsidR="00962220">
              <w:rPr>
                <w:noProof/>
                <w:webHidden/>
              </w:rPr>
              <w:fldChar w:fldCharType="separate"/>
            </w:r>
            <w:r w:rsidR="007657B2">
              <w:rPr>
                <w:noProof/>
                <w:webHidden/>
              </w:rPr>
              <w:t>2</w:t>
            </w:r>
            <w:r w:rsidR="00962220">
              <w:rPr>
                <w:noProof/>
                <w:webHidden/>
              </w:rPr>
              <w:fldChar w:fldCharType="end"/>
            </w:r>
          </w:hyperlink>
          <w:r w:rsidR="009540D6">
            <w:rPr>
              <w:noProof/>
            </w:rPr>
            <w:t>-3</w:t>
          </w:r>
        </w:p>
        <w:p w:rsidR="00962220" w:rsidRDefault="00CE2093" w14:paraId="7D279E40" w14:textId="1B5E5316">
          <w:pPr>
            <w:pStyle w:val="TOC3"/>
            <w:tabs>
              <w:tab w:val="right" w:leader="dot" w:pos="9350"/>
            </w:tabs>
            <w:rPr>
              <w:rFonts w:asciiTheme="minorHAnsi" w:hAnsiTheme="minorHAnsi" w:eastAsiaTheme="minorEastAsia"/>
              <w:noProof/>
              <w:sz w:val="22"/>
            </w:rPr>
          </w:pPr>
          <w:hyperlink w:history="1" w:anchor="_Toc90302130">
            <w:r w:rsidRPr="00A1136B" w:rsidR="00962220">
              <w:rPr>
                <w:rStyle w:val="Hyperlink"/>
                <w:noProof/>
              </w:rPr>
              <w:t>B.2 Statistical Methodology</w:t>
            </w:r>
            <w:r w:rsidR="00962220">
              <w:rPr>
                <w:noProof/>
                <w:webHidden/>
              </w:rPr>
              <w:tab/>
            </w:r>
            <w:r w:rsidR="00050FC4">
              <w:rPr>
                <w:noProof/>
                <w:webHidden/>
              </w:rPr>
              <w:t>4</w:t>
            </w:r>
          </w:hyperlink>
        </w:p>
        <w:p w:rsidR="00962220" w:rsidRDefault="00CE2093" w14:paraId="73EF0937" w14:textId="1D6C4B1A">
          <w:pPr>
            <w:pStyle w:val="TOC3"/>
            <w:tabs>
              <w:tab w:val="right" w:leader="dot" w:pos="9350"/>
            </w:tabs>
            <w:rPr>
              <w:rFonts w:asciiTheme="minorHAnsi" w:hAnsiTheme="minorHAnsi" w:eastAsiaTheme="minorEastAsia"/>
              <w:noProof/>
              <w:sz w:val="22"/>
            </w:rPr>
          </w:pPr>
          <w:hyperlink w:history="1" w:anchor="_Toc90302131">
            <w:r w:rsidRPr="00A1136B" w:rsidR="00962220">
              <w:rPr>
                <w:rStyle w:val="Hyperlink"/>
                <w:noProof/>
              </w:rPr>
              <w:t>B.3 Methods to Maximize Response Rates and Deal with Issues of Nonresponse</w:t>
            </w:r>
            <w:r w:rsidR="00962220">
              <w:rPr>
                <w:noProof/>
                <w:webHidden/>
              </w:rPr>
              <w:tab/>
            </w:r>
            <w:r w:rsidR="00962220">
              <w:rPr>
                <w:noProof/>
                <w:webHidden/>
              </w:rPr>
              <w:fldChar w:fldCharType="begin"/>
            </w:r>
            <w:r w:rsidR="00962220">
              <w:rPr>
                <w:noProof/>
                <w:webHidden/>
              </w:rPr>
              <w:instrText xml:space="preserve"> PAGEREF _Toc90302131 \h </w:instrText>
            </w:r>
            <w:r w:rsidR="00962220">
              <w:rPr>
                <w:noProof/>
                <w:webHidden/>
              </w:rPr>
            </w:r>
            <w:r w:rsidR="00962220">
              <w:rPr>
                <w:noProof/>
                <w:webHidden/>
              </w:rPr>
              <w:fldChar w:fldCharType="separate"/>
            </w:r>
            <w:r w:rsidR="00050FC4">
              <w:rPr>
                <w:noProof/>
                <w:webHidden/>
              </w:rPr>
              <w:t>5</w:t>
            </w:r>
            <w:r w:rsidR="00962220">
              <w:rPr>
                <w:noProof/>
                <w:webHidden/>
              </w:rPr>
              <w:fldChar w:fldCharType="end"/>
            </w:r>
          </w:hyperlink>
        </w:p>
        <w:p w:rsidR="00962220" w:rsidRDefault="00CE2093" w14:paraId="34416882" w14:textId="681F261F">
          <w:pPr>
            <w:pStyle w:val="TOC3"/>
            <w:tabs>
              <w:tab w:val="right" w:leader="dot" w:pos="9350"/>
            </w:tabs>
            <w:rPr>
              <w:rFonts w:asciiTheme="minorHAnsi" w:hAnsiTheme="minorHAnsi" w:eastAsiaTheme="minorEastAsia"/>
              <w:noProof/>
              <w:sz w:val="22"/>
            </w:rPr>
          </w:pPr>
          <w:hyperlink w:history="1" w:anchor="_Toc90302132">
            <w:r w:rsidRPr="00A1136B" w:rsidR="00962220">
              <w:rPr>
                <w:rStyle w:val="Hyperlink"/>
                <w:noProof/>
              </w:rPr>
              <w:t>B.4 Tests of Procedures or Methods</w:t>
            </w:r>
            <w:r w:rsidR="00962220">
              <w:rPr>
                <w:noProof/>
                <w:webHidden/>
              </w:rPr>
              <w:tab/>
            </w:r>
            <w:r w:rsidR="00962220">
              <w:rPr>
                <w:noProof/>
                <w:webHidden/>
              </w:rPr>
              <w:fldChar w:fldCharType="begin"/>
            </w:r>
            <w:r w:rsidR="00962220">
              <w:rPr>
                <w:noProof/>
                <w:webHidden/>
              </w:rPr>
              <w:instrText xml:space="preserve"> PAGEREF _Toc90302132 \h </w:instrText>
            </w:r>
            <w:r w:rsidR="00962220">
              <w:rPr>
                <w:noProof/>
                <w:webHidden/>
              </w:rPr>
            </w:r>
            <w:r w:rsidR="00962220">
              <w:rPr>
                <w:noProof/>
                <w:webHidden/>
              </w:rPr>
              <w:fldChar w:fldCharType="separate"/>
            </w:r>
            <w:r w:rsidR="00962220">
              <w:rPr>
                <w:noProof/>
                <w:webHidden/>
              </w:rPr>
              <w:fldChar w:fldCharType="end"/>
            </w:r>
          </w:hyperlink>
          <w:r w:rsidR="00050FC4">
            <w:rPr>
              <w:noProof/>
            </w:rPr>
            <w:t>6</w:t>
          </w:r>
        </w:p>
        <w:p w:rsidR="00962220" w:rsidRDefault="00CE2093" w14:paraId="4C5321DC" w14:textId="4F4BE5C2">
          <w:pPr>
            <w:pStyle w:val="TOC3"/>
            <w:tabs>
              <w:tab w:val="right" w:leader="dot" w:pos="9350"/>
            </w:tabs>
            <w:rPr>
              <w:rFonts w:asciiTheme="minorHAnsi" w:hAnsiTheme="minorHAnsi" w:eastAsiaTheme="minorEastAsia"/>
              <w:noProof/>
              <w:sz w:val="22"/>
            </w:rPr>
          </w:pPr>
          <w:hyperlink w:history="1" w:anchor="_Toc90302133">
            <w:r w:rsidRPr="00A1136B" w:rsidR="00962220">
              <w:rPr>
                <w:rStyle w:val="Hyperlink"/>
                <w:noProof/>
              </w:rPr>
              <w:t>B.5 Individuals Consulted on Study Design</w:t>
            </w:r>
            <w:r w:rsidR="00962220">
              <w:rPr>
                <w:noProof/>
                <w:webHidden/>
              </w:rPr>
              <w:tab/>
            </w:r>
          </w:hyperlink>
          <w:r w:rsidR="00050FC4">
            <w:rPr>
              <w:noProof/>
            </w:rPr>
            <w:t>6-</w:t>
          </w:r>
          <w:r>
            <w:rPr>
              <w:noProof/>
            </w:rPr>
            <w:t>8</w:t>
          </w:r>
        </w:p>
        <w:p w:rsidRPr="005777F1" w:rsidR="00E4011D" w:rsidRDefault="00E4011D" w14:paraId="68BEFAE1" w14:textId="2C46DE93">
          <w:r w:rsidRPr="005777F1">
            <w:rPr>
              <w:rFonts w:eastAsia="Calibri" w:cs="Times New Roman"/>
              <w:szCs w:val="20"/>
            </w:rPr>
            <w:fldChar w:fldCharType="end"/>
          </w:r>
        </w:p>
      </w:sdtContent>
    </w:sdt>
    <w:p w:rsidRPr="005777F1" w:rsidR="00D46A03" w:rsidP="00D46A03" w:rsidRDefault="00D46A03" w14:paraId="5A65ED90" w14:textId="77777777">
      <w:pPr>
        <w:pStyle w:val="Level1"/>
        <w:ind w:left="360"/>
        <w:rPr>
          <w:rFonts w:ascii="Times New Roman" w:hAnsi="Times New Roman"/>
          <w:b w:val="0"/>
          <w:szCs w:val="24"/>
        </w:rPr>
      </w:pPr>
    </w:p>
    <w:p w:rsidRPr="005777F1" w:rsidR="008C2095" w:rsidRDefault="008C2095" w14:paraId="37B44839" w14:textId="0A6766E4">
      <w:pPr>
        <w:rPr>
          <w:rFonts w:cs="Times New Roman"/>
          <w:szCs w:val="24"/>
        </w:rPr>
      </w:pPr>
    </w:p>
    <w:p w:rsidR="00227053" w:rsidRDefault="00227053" w14:paraId="6A719D6E" w14:textId="77777777">
      <w:pPr>
        <w:rPr>
          <w:rFonts w:eastAsiaTheme="majorEastAsia" w:cstheme="majorBidi"/>
          <w:b/>
          <w:caps/>
          <w:sz w:val="28"/>
          <w:szCs w:val="28"/>
        </w:rPr>
      </w:pPr>
      <w:bookmarkStart w:name="_Hlk527645309" w:id="0"/>
      <w:r>
        <w:rPr>
          <w:sz w:val="28"/>
          <w:szCs w:val="28"/>
        </w:rPr>
        <w:br w:type="page"/>
      </w:r>
    </w:p>
    <w:p w:rsidRPr="002F2BF4" w:rsidR="002F2BF4" w:rsidP="002F2BF4" w:rsidRDefault="002F2BF4" w14:paraId="606DD137" w14:textId="283D50C3">
      <w:pPr>
        <w:pStyle w:val="Heading1"/>
        <w:jc w:val="center"/>
        <w:rPr>
          <w:sz w:val="28"/>
          <w:szCs w:val="28"/>
        </w:rPr>
      </w:pPr>
      <w:bookmarkStart w:name="_Toc90302128" w:id="1"/>
      <w:bookmarkEnd w:id="0"/>
      <w:r w:rsidRPr="002F2BF4">
        <w:rPr>
          <w:sz w:val="28"/>
          <w:szCs w:val="28"/>
        </w:rPr>
        <w:lastRenderedPageBreak/>
        <w:t xml:space="preserve">SUPPORTING STATEMENT </w:t>
      </w:r>
      <w:r w:rsidR="009A6D4B">
        <w:rPr>
          <w:sz w:val="28"/>
          <w:szCs w:val="28"/>
        </w:rPr>
        <w:t xml:space="preserve">part </w:t>
      </w:r>
      <w:r w:rsidRPr="002F2BF4">
        <w:rPr>
          <w:sz w:val="28"/>
          <w:szCs w:val="28"/>
        </w:rPr>
        <w:t>B</w:t>
      </w:r>
      <w:bookmarkEnd w:id="1"/>
    </w:p>
    <w:p w:rsidR="009A6D4B" w:rsidP="009A6D4B" w:rsidRDefault="009A6D4B" w14:paraId="7572B8B3" w14:textId="7B624B37">
      <w:pPr>
        <w:pStyle w:val="Heading3"/>
      </w:pPr>
      <w:bookmarkStart w:name="_Toc36473984" w:id="2"/>
      <w:bookmarkStart w:name="_Toc90302129" w:id="3"/>
      <w:r w:rsidRPr="009A6D4B">
        <w:t>B.1 Respondent Universe</w:t>
      </w:r>
      <w:bookmarkEnd w:id="2"/>
      <w:bookmarkEnd w:id="3"/>
      <w:r w:rsidRPr="009A6D4B">
        <w:t xml:space="preserve"> </w:t>
      </w:r>
    </w:p>
    <w:p w:rsidRPr="009A6D4B" w:rsidR="009A6D4B" w:rsidP="009A6D4B" w:rsidRDefault="009A6D4B" w14:paraId="0F2C31D4" w14:textId="1BD8CAB3">
      <w:pPr>
        <w:rPr>
          <w:szCs w:val="24"/>
        </w:rPr>
      </w:pPr>
      <w:r w:rsidRPr="009A6D4B">
        <w:rPr>
          <w:szCs w:val="24"/>
        </w:rPr>
        <w:t xml:space="preserve">The respondent universe consists of two broad categories of U.S. mariners: first, all </w:t>
      </w:r>
      <w:r w:rsidR="00800DA2">
        <w:rPr>
          <w:szCs w:val="24"/>
        </w:rPr>
        <w:t>officer (</w:t>
      </w:r>
      <w:r w:rsidRPr="009A6D4B">
        <w:rPr>
          <w:szCs w:val="24"/>
        </w:rPr>
        <w:t>licensed</w:t>
      </w:r>
      <w:r w:rsidR="00800DA2">
        <w:rPr>
          <w:szCs w:val="24"/>
        </w:rPr>
        <w:t>)</w:t>
      </w:r>
      <w:r w:rsidRPr="009A6D4B">
        <w:rPr>
          <w:szCs w:val="24"/>
        </w:rPr>
        <w:t xml:space="preserve"> and </w:t>
      </w:r>
      <w:r w:rsidR="00800DA2">
        <w:rPr>
          <w:szCs w:val="24"/>
        </w:rPr>
        <w:t>rating (</w:t>
      </w:r>
      <w:r w:rsidRPr="009A6D4B">
        <w:rPr>
          <w:szCs w:val="24"/>
        </w:rPr>
        <w:t>unlicensed</w:t>
      </w:r>
      <w:r w:rsidR="00800DA2">
        <w:rPr>
          <w:szCs w:val="24"/>
        </w:rPr>
        <w:t>)</w:t>
      </w:r>
      <w:r w:rsidRPr="009A6D4B">
        <w:rPr>
          <w:szCs w:val="24"/>
        </w:rPr>
        <w:t xml:space="preserve"> mariners with unlimited credentials and qualifications to sail on oceangoing sealift vessels who have a current Merchant Mariner Credential (MMC), and second, all </w:t>
      </w:r>
      <w:r w:rsidR="00800DA2">
        <w:rPr>
          <w:szCs w:val="24"/>
        </w:rPr>
        <w:t>officer (</w:t>
      </w:r>
      <w:r w:rsidRPr="009A6D4B">
        <w:rPr>
          <w:szCs w:val="24"/>
        </w:rPr>
        <w:t>licensed</w:t>
      </w:r>
      <w:r w:rsidR="00800DA2">
        <w:rPr>
          <w:szCs w:val="24"/>
        </w:rPr>
        <w:t>)</w:t>
      </w:r>
      <w:r w:rsidRPr="009A6D4B">
        <w:rPr>
          <w:szCs w:val="24"/>
        </w:rPr>
        <w:t xml:space="preserve"> mariners with unlimited credentials and qualifications to sail on oceangoing sealift vessels who have an MMC in a continuity status.</w:t>
      </w:r>
      <w:r w:rsidRPr="009A6D4B">
        <w:rPr>
          <w:szCs w:val="24"/>
          <w:vertAlign w:val="superscript"/>
        </w:rPr>
        <w:footnoteReference w:id="1"/>
      </w:r>
      <w:r w:rsidRPr="009A6D4B">
        <w:rPr>
          <w:szCs w:val="24"/>
        </w:rPr>
        <w:t xml:space="preserve"> </w:t>
      </w:r>
      <w:r w:rsidR="00B43314">
        <w:rPr>
          <w:szCs w:val="24"/>
        </w:rPr>
        <w:t xml:space="preserve">The sampling frame containing the respondent universe is </w:t>
      </w:r>
      <w:r w:rsidRPr="009A6D4B">
        <w:rPr>
          <w:szCs w:val="24"/>
        </w:rPr>
        <w:t xml:space="preserve">the </w:t>
      </w:r>
      <w:r w:rsidR="00980F86">
        <w:rPr>
          <w:szCs w:val="24"/>
        </w:rPr>
        <w:t xml:space="preserve">United States Coast Guard’s Merchant Mariner Licensing and Documentation </w:t>
      </w:r>
      <w:r w:rsidR="00EA42CB">
        <w:rPr>
          <w:szCs w:val="24"/>
        </w:rPr>
        <w:t xml:space="preserve">(MMLD) </w:t>
      </w:r>
      <w:r w:rsidR="00980F86">
        <w:rPr>
          <w:szCs w:val="24"/>
        </w:rPr>
        <w:t>system, a complete listing of every mariner that has been issued an MMC</w:t>
      </w:r>
      <w:r w:rsidR="00B43314">
        <w:rPr>
          <w:szCs w:val="24"/>
        </w:rPr>
        <w:t xml:space="preserve">. </w:t>
      </w:r>
      <w:r w:rsidR="007261F3">
        <w:rPr>
          <w:szCs w:val="24"/>
        </w:rPr>
        <w:t xml:space="preserve">The sampling frame includes a total of 105,718 </w:t>
      </w:r>
      <w:proofErr w:type="gramStart"/>
      <w:r w:rsidR="007261F3">
        <w:rPr>
          <w:szCs w:val="24"/>
        </w:rPr>
        <w:t>mariners;</w:t>
      </w:r>
      <w:proofErr w:type="gramEnd"/>
      <w:r w:rsidR="007261F3">
        <w:rPr>
          <w:szCs w:val="24"/>
        </w:rPr>
        <w:t xml:space="preserve"> 102,881 mariners with a current MMC and 2,837 mariners with an MMC in a continuity status.</w:t>
      </w:r>
      <w:r w:rsidDel="007261F3" w:rsidR="007261F3">
        <w:rPr>
          <w:szCs w:val="24"/>
        </w:rPr>
        <w:t xml:space="preserve"> </w:t>
      </w:r>
    </w:p>
    <w:p w:rsidRPr="009A6D4B" w:rsidR="009A6D4B" w:rsidP="009A6D4B" w:rsidRDefault="009A6D4B" w14:paraId="2D803C47" w14:textId="391AEB97">
      <w:r w:rsidRPr="009A6D4B">
        <w:t xml:space="preserve">Within the group of </w:t>
      </w:r>
      <w:proofErr w:type="gramStart"/>
      <w:r w:rsidR="00800DA2">
        <w:t>officer</w:t>
      </w:r>
      <w:proofErr w:type="gramEnd"/>
      <w:r w:rsidR="00800DA2">
        <w:t xml:space="preserve"> (</w:t>
      </w:r>
      <w:r w:rsidRPr="009A6D4B">
        <w:t>licensed</w:t>
      </w:r>
      <w:r w:rsidR="00800DA2">
        <w:t>)</w:t>
      </w:r>
      <w:r w:rsidRPr="009A6D4B">
        <w:t xml:space="preserve"> mariners, there are eight strata: four subgroups of Deck Officers, and four </w:t>
      </w:r>
      <w:r w:rsidR="000E169E">
        <w:t>sub</w:t>
      </w:r>
      <w:r w:rsidRPr="009A6D4B">
        <w:t xml:space="preserve">groups of Engineer Officers. Within the group of </w:t>
      </w:r>
      <w:r w:rsidR="00FC10C7">
        <w:t>rating (</w:t>
      </w:r>
      <w:r w:rsidRPr="009A6D4B">
        <w:t>unlicensed</w:t>
      </w:r>
      <w:r w:rsidR="00FC10C7">
        <w:t>)</w:t>
      </w:r>
      <w:r w:rsidRPr="009A6D4B">
        <w:t xml:space="preserve"> mariners there are four strata. </w:t>
      </w:r>
    </w:p>
    <w:p w:rsidRPr="009A6D4B" w:rsidR="009A6D4B" w:rsidP="009A6D4B" w:rsidRDefault="009A6D4B" w14:paraId="2B95345B" w14:textId="19F7D503">
      <w:r w:rsidRPr="009A6D4B">
        <w:t xml:space="preserve">For the </w:t>
      </w:r>
      <w:r w:rsidRPr="009A6D4B">
        <w:rPr>
          <w:b/>
          <w:bCs/>
        </w:rPr>
        <w:t>cognitive interviews</w:t>
      </w:r>
      <w:r w:rsidRPr="009A6D4B">
        <w:t xml:space="preserve">, the goal is not to select a sample that is representative of the overall population of mariners </w:t>
      </w:r>
      <w:proofErr w:type="gramStart"/>
      <w:r w:rsidRPr="009A6D4B">
        <w:t>with regard to</w:t>
      </w:r>
      <w:proofErr w:type="gramEnd"/>
      <w:r w:rsidRPr="009A6D4B">
        <w:t xml:space="preserve"> specific subpopulations, </w:t>
      </w:r>
      <w:r w:rsidR="00581AD7">
        <w:t xml:space="preserve">nor is the goal to obtain a </w:t>
      </w:r>
      <w:r w:rsidR="001F7C49">
        <w:t>specific</w:t>
      </w:r>
      <w:r w:rsidR="00581AD7">
        <w:t xml:space="preserve"> response rate. </w:t>
      </w:r>
      <w:r w:rsidR="005258A1">
        <w:t>Rather, t</w:t>
      </w:r>
      <w:r w:rsidRPr="009A6D4B">
        <w:t xml:space="preserve">he intent is to ensure enough variability in the respondents to </w:t>
      </w:r>
      <w:r w:rsidR="00EB2763">
        <w:t>detect</w:t>
      </w:r>
      <w:r w:rsidRPr="009A6D4B" w:rsidR="00EB2763">
        <w:t xml:space="preserve"> </w:t>
      </w:r>
      <w:r w:rsidRPr="009A6D4B">
        <w:t>any potential issues across the entire range of the questionnaire.</w:t>
      </w:r>
      <w:r w:rsidR="001F7C49">
        <w:t xml:space="preserve"> </w:t>
      </w:r>
    </w:p>
    <w:p w:rsidRPr="009A6D4B" w:rsidR="009A6D4B" w:rsidP="009A6D4B" w:rsidRDefault="009A6D4B" w14:paraId="16064241" w14:textId="0C953778">
      <w:pPr>
        <w:spacing w:after="120"/>
        <w:rPr>
          <w:rFonts w:eastAsia="Times New Roman" w:cs="Times New Roman"/>
          <w:snapToGrid w:val="0"/>
          <w:szCs w:val="24"/>
        </w:rPr>
      </w:pPr>
      <w:r w:rsidRPr="009A6D4B">
        <w:rPr>
          <w:rFonts w:eastAsia="Times New Roman" w:cs="Times New Roman"/>
          <w:snapToGrid w:val="0"/>
          <w:szCs w:val="24"/>
        </w:rPr>
        <w:t xml:space="preserve">In instances where there are known or suspected differences in how subgroups may interpret survey questions and response options, the sampling approach must assure sufficient participation from each subgroup. It is likely that there will be differences in how mariners with a current Merchant Mariner Credential (MMC) and those with an MMC in continuity status experience or respond to some survey constructs. Within the group of mariners with a current MMC, responses are also expected to differ between </w:t>
      </w:r>
      <w:r w:rsidR="00FC10C7">
        <w:rPr>
          <w:rFonts w:eastAsia="Times New Roman" w:cs="Times New Roman"/>
          <w:snapToGrid w:val="0"/>
          <w:szCs w:val="24"/>
        </w:rPr>
        <w:t>officer (</w:t>
      </w:r>
      <w:r w:rsidRPr="009A6D4B">
        <w:rPr>
          <w:rFonts w:eastAsia="Times New Roman" w:cs="Times New Roman"/>
          <w:snapToGrid w:val="0"/>
          <w:szCs w:val="24"/>
        </w:rPr>
        <w:t>licensed</w:t>
      </w:r>
      <w:r w:rsidR="00FC10C7">
        <w:rPr>
          <w:rFonts w:eastAsia="Times New Roman" w:cs="Times New Roman"/>
          <w:snapToGrid w:val="0"/>
          <w:szCs w:val="24"/>
        </w:rPr>
        <w:t>)</w:t>
      </w:r>
      <w:r w:rsidRPr="009A6D4B">
        <w:rPr>
          <w:rFonts w:eastAsia="Times New Roman" w:cs="Times New Roman"/>
          <w:snapToGrid w:val="0"/>
          <w:szCs w:val="24"/>
        </w:rPr>
        <w:t xml:space="preserve"> and </w:t>
      </w:r>
      <w:r w:rsidR="00FC10C7">
        <w:rPr>
          <w:rFonts w:eastAsia="Times New Roman" w:cs="Times New Roman"/>
          <w:snapToGrid w:val="0"/>
          <w:szCs w:val="24"/>
        </w:rPr>
        <w:t>rating (</w:t>
      </w:r>
      <w:r w:rsidRPr="009A6D4B">
        <w:rPr>
          <w:rFonts w:eastAsia="Times New Roman" w:cs="Times New Roman"/>
          <w:snapToGrid w:val="0"/>
          <w:szCs w:val="24"/>
        </w:rPr>
        <w:t>unlicensed</w:t>
      </w:r>
      <w:r w:rsidR="00FC10C7">
        <w:rPr>
          <w:rFonts w:eastAsia="Times New Roman" w:cs="Times New Roman"/>
          <w:snapToGrid w:val="0"/>
          <w:szCs w:val="24"/>
        </w:rPr>
        <w:t>)</w:t>
      </w:r>
      <w:r w:rsidRPr="009A6D4B">
        <w:rPr>
          <w:rFonts w:eastAsia="Times New Roman" w:cs="Times New Roman"/>
          <w:snapToGrid w:val="0"/>
          <w:szCs w:val="24"/>
        </w:rPr>
        <w:t xml:space="preserve"> mariners. </w:t>
      </w:r>
      <w:r w:rsidR="000F28CB">
        <w:rPr>
          <w:rFonts w:eastAsia="Times New Roman" w:cs="Times New Roman"/>
          <w:snapToGrid w:val="0"/>
          <w:szCs w:val="24"/>
        </w:rPr>
        <w:t>It should also be noted that for international endorsements, terminology is used that separates Deck Officers (Officer in Charge of a Navigational Watch) and Engineer Officers (Officer in Charge of an Engineering Watch) from more senior Officers (Management</w:t>
      </w:r>
      <w:r w:rsidR="00A3653C">
        <w:rPr>
          <w:rFonts w:eastAsia="Times New Roman" w:cs="Times New Roman"/>
          <w:snapToGrid w:val="0"/>
          <w:szCs w:val="24"/>
        </w:rPr>
        <w:t xml:space="preserve">). Similarly, terminology for international endorsements for Ratings are separate for the deck and engineer unlicensed crew. </w:t>
      </w:r>
      <w:r w:rsidRPr="009A6D4B">
        <w:rPr>
          <w:rFonts w:eastAsia="Times New Roman" w:cs="Times New Roman"/>
          <w:snapToGrid w:val="0"/>
          <w:szCs w:val="24"/>
        </w:rPr>
        <w:t xml:space="preserve">These subdivisions result in six key subgroups: </w:t>
      </w:r>
    </w:p>
    <w:p w:rsidRPr="009A6D4B" w:rsidR="009A6D4B" w:rsidP="009A6D4B" w:rsidRDefault="009A6D4B" w14:paraId="09287E20" w14:textId="53B387A4">
      <w:pPr>
        <w:numPr>
          <w:ilvl w:val="0"/>
          <w:numId w:val="15"/>
        </w:numPr>
        <w:spacing w:line="240" w:lineRule="auto"/>
        <w:contextualSpacing/>
      </w:pPr>
      <w:r w:rsidRPr="009A6D4B">
        <w:t>Deck Officers</w:t>
      </w:r>
      <w:r w:rsidR="00386AAF">
        <w:t xml:space="preserve"> (licensed)</w:t>
      </w:r>
      <w:r w:rsidRPr="009A6D4B">
        <w:t xml:space="preserve"> with a current MMC</w:t>
      </w:r>
    </w:p>
    <w:p w:rsidRPr="009A6D4B" w:rsidR="009A6D4B" w:rsidP="009A6D4B" w:rsidRDefault="009A6D4B" w14:paraId="717B422D" w14:textId="0155749E">
      <w:pPr>
        <w:numPr>
          <w:ilvl w:val="0"/>
          <w:numId w:val="15"/>
        </w:numPr>
        <w:spacing w:line="240" w:lineRule="auto"/>
        <w:contextualSpacing/>
      </w:pPr>
      <w:r w:rsidRPr="009A6D4B">
        <w:t>Engineer Officers</w:t>
      </w:r>
      <w:r w:rsidR="00386AAF">
        <w:t xml:space="preserve"> (licensed)</w:t>
      </w:r>
      <w:r w:rsidRPr="009A6D4B">
        <w:t xml:space="preserve"> with a current MMC </w:t>
      </w:r>
    </w:p>
    <w:p w:rsidRPr="009A6D4B" w:rsidR="009A6D4B" w:rsidP="009A6D4B" w:rsidRDefault="009A6D4B" w14:paraId="20A6AD2A" w14:textId="693F479D">
      <w:pPr>
        <w:numPr>
          <w:ilvl w:val="0"/>
          <w:numId w:val="15"/>
        </w:numPr>
        <w:spacing w:line="240" w:lineRule="auto"/>
        <w:contextualSpacing/>
      </w:pPr>
      <w:r w:rsidRPr="009A6D4B">
        <w:t xml:space="preserve">Able Seamen/Qualified Members of the Engine Department with a </w:t>
      </w:r>
      <w:r w:rsidR="00705AF3">
        <w:t>c</w:t>
      </w:r>
      <w:r w:rsidRPr="009A6D4B" w:rsidR="00705AF3">
        <w:t xml:space="preserve">urrent </w:t>
      </w:r>
      <w:r w:rsidRPr="009A6D4B">
        <w:t xml:space="preserve">MMC </w:t>
      </w:r>
      <w:r w:rsidR="00386AAF">
        <w:t>– Ratings (Unlicensed)</w:t>
      </w:r>
    </w:p>
    <w:p w:rsidRPr="009A6D4B" w:rsidR="009A6D4B" w:rsidP="009A6D4B" w:rsidRDefault="009A6D4B" w14:paraId="354DDEA1" w14:textId="17BD5B04">
      <w:pPr>
        <w:numPr>
          <w:ilvl w:val="0"/>
          <w:numId w:val="15"/>
        </w:numPr>
        <w:spacing w:line="240" w:lineRule="auto"/>
        <w:contextualSpacing/>
      </w:pPr>
      <w:r w:rsidRPr="009A6D4B">
        <w:t xml:space="preserve">Ordinary Seamen/Wipers/Stewards with a current MMC </w:t>
      </w:r>
      <w:r w:rsidR="00DF21C1">
        <w:t xml:space="preserve">– </w:t>
      </w:r>
      <w:r w:rsidR="00386AAF">
        <w:t>Ratings (Unlicensed)</w:t>
      </w:r>
    </w:p>
    <w:p w:rsidRPr="009A6D4B" w:rsidR="009A6D4B" w:rsidP="009A6D4B" w:rsidRDefault="009A6D4B" w14:paraId="07628D13" w14:textId="3BAB43ED">
      <w:pPr>
        <w:numPr>
          <w:ilvl w:val="0"/>
          <w:numId w:val="15"/>
        </w:numPr>
        <w:spacing w:line="240" w:lineRule="auto"/>
        <w:contextualSpacing/>
      </w:pPr>
      <w:r w:rsidRPr="009A6D4B">
        <w:t xml:space="preserve">Deck Officers </w:t>
      </w:r>
      <w:r w:rsidR="00705AF3">
        <w:t xml:space="preserve">(licensed) </w:t>
      </w:r>
      <w:r w:rsidRPr="009A6D4B">
        <w:t xml:space="preserve">with an MMC in continuity status </w:t>
      </w:r>
    </w:p>
    <w:p w:rsidR="00A90C36" w:rsidP="009A6D4B" w:rsidRDefault="009A6D4B" w14:paraId="5C9DF772" w14:textId="3459B889">
      <w:pPr>
        <w:numPr>
          <w:ilvl w:val="0"/>
          <w:numId w:val="15"/>
        </w:numPr>
        <w:spacing w:line="240" w:lineRule="auto"/>
        <w:contextualSpacing/>
      </w:pPr>
      <w:r w:rsidRPr="009A6D4B">
        <w:lastRenderedPageBreak/>
        <w:t xml:space="preserve">Engineer Officers </w:t>
      </w:r>
      <w:r w:rsidR="00705AF3">
        <w:t xml:space="preserve">(licensed) </w:t>
      </w:r>
      <w:r w:rsidRPr="009A6D4B">
        <w:t>with an MMC in continuity status</w:t>
      </w:r>
    </w:p>
    <w:p w:rsidR="00604876" w:rsidP="00604876" w:rsidRDefault="00604876" w14:paraId="1C6D737D" w14:textId="77777777">
      <w:pPr>
        <w:spacing w:line="240" w:lineRule="auto"/>
        <w:ind w:left="720"/>
        <w:contextualSpacing/>
      </w:pPr>
    </w:p>
    <w:p w:rsidRPr="009A6D4B" w:rsidR="009A6D4B" w:rsidP="009A6D4B" w:rsidRDefault="00CB278F" w14:paraId="009E24EE" w14:textId="64EC6B19">
      <w:r>
        <w:t>Th</w:t>
      </w:r>
      <w:r w:rsidR="005258A1">
        <w:t>e</w:t>
      </w:r>
      <w:r>
        <w:t xml:space="preserve"> cognitive interviewing </w:t>
      </w:r>
      <w:r w:rsidR="005258A1">
        <w:t>component of the pre-test</w:t>
      </w:r>
      <w:r>
        <w:t xml:space="preserve"> will seek to conduct six to seven interviews per subgroup, for a total of 40 interviews. Initially, t</w:t>
      </w:r>
      <w:r w:rsidRPr="009A6D4B">
        <w:t>wenty</w:t>
      </w:r>
      <w:r w:rsidRPr="009A6D4B" w:rsidR="009A6D4B">
        <w:t>-five mariners will be randomly selected from each of the six subgroups of mariners</w:t>
      </w:r>
      <w:r>
        <w:t>.</w:t>
      </w:r>
      <w:r w:rsidR="00EB2763">
        <w:t xml:space="preserve"> If needed, additional mariners will be sampled until six to seven interviews have been conducted with mariners in each of the six subgroups.</w:t>
      </w:r>
    </w:p>
    <w:p w:rsidRPr="009A6D4B" w:rsidR="009A6D4B" w:rsidP="009A6D4B" w:rsidRDefault="009A6D4B" w14:paraId="4DFB7921" w14:textId="5463B048">
      <w:r w:rsidRPr="009A6D4B">
        <w:t xml:space="preserve">For the </w:t>
      </w:r>
      <w:r w:rsidRPr="009A6D4B">
        <w:rPr>
          <w:b/>
          <w:bCs/>
        </w:rPr>
        <w:t>pilot test,</w:t>
      </w:r>
      <w:r w:rsidRPr="009A6D4B">
        <w:t xml:space="preserve"> a total of 650 mariners will be randomly selected to participate: 500 mariners who have a current MMC (350 </w:t>
      </w:r>
      <w:r w:rsidR="00FC10C7">
        <w:t>officer</w:t>
      </w:r>
      <w:r w:rsidR="00A3653C">
        <w:t xml:space="preserve"> (</w:t>
      </w:r>
      <w:r w:rsidRPr="009A6D4B">
        <w:t>licensed</w:t>
      </w:r>
      <w:r w:rsidR="00A3653C">
        <w:t>)</w:t>
      </w:r>
      <w:r w:rsidRPr="009A6D4B">
        <w:t xml:space="preserve"> and 150 </w:t>
      </w:r>
      <w:r w:rsidR="00FC10C7">
        <w:t>rating</w:t>
      </w:r>
      <w:r w:rsidR="00A3653C">
        <w:t xml:space="preserve"> (</w:t>
      </w:r>
      <w:r w:rsidRPr="009A6D4B">
        <w:t>unlicensed</w:t>
      </w:r>
      <w:r w:rsidR="00A3653C">
        <w:t>)</w:t>
      </w:r>
      <w:r w:rsidRPr="009A6D4B">
        <w:t xml:space="preserve">) and 150 </w:t>
      </w:r>
      <w:r w:rsidR="00FC10C7">
        <w:t>officer</w:t>
      </w:r>
      <w:r w:rsidR="00A3653C">
        <w:t xml:space="preserve"> (</w:t>
      </w:r>
      <w:r w:rsidRPr="009A6D4B">
        <w:t>licensed</w:t>
      </w:r>
      <w:r w:rsidR="00A3653C">
        <w:t>)</w:t>
      </w:r>
      <w:r w:rsidRPr="009A6D4B">
        <w:t xml:space="preserve"> mariners who have an MMC in a continuity status. A proportionate random sample will be drawn from each of these three major groupings. A minimum response rate of 35% is expected for mariners with a current MMC and a minimum response rate of 20% is expected for mariners with an MMC in continuity status.</w:t>
      </w:r>
      <w:r w:rsidR="00C21B2D">
        <w:t xml:space="preserve"> These estimates are derived from the 2001 Mariner Survey response rate (43%), taking into consideration the general decline in survey response rates over recent decades and aspects of the methodological design for the current effort </w:t>
      </w:r>
      <w:r w:rsidR="001A6818">
        <w:t xml:space="preserve">that should boost response </w:t>
      </w:r>
      <w:r w:rsidR="00C21B2D">
        <w:t>(e.g., offering multiple methods of contact</w:t>
      </w:r>
      <w:r w:rsidR="001A6818">
        <w:t>, offering multiple</w:t>
      </w:r>
      <w:r w:rsidR="00C21B2D">
        <w:t xml:space="preserve"> modes of survey administration</w:t>
      </w:r>
      <w:r w:rsidR="001A6818">
        <w:t>, conducting telephone non-response prompting</w:t>
      </w:r>
      <w:r w:rsidR="00C21B2D">
        <w:t>). Additionally, mariners without a current MMC are likely to have lower survey buy-in</w:t>
      </w:r>
      <w:r w:rsidR="00245085">
        <w:t xml:space="preserve"> than mariners who have a current MMC</w:t>
      </w:r>
      <w:r w:rsidR="00C21B2D">
        <w:t>.</w:t>
      </w:r>
      <w:r w:rsidRPr="009A6D4B">
        <w:t xml:space="preserve"> </w:t>
      </w:r>
      <w:r w:rsidR="008B3AD2">
        <w:t>However, one objective of the pilot test is to ascertain the accuracy of these estimated response rates</w:t>
      </w:r>
      <w:r w:rsidR="00B84B84">
        <w:t xml:space="preserve">, and </w:t>
      </w:r>
      <w:r w:rsidR="000672CD">
        <w:t>t</w:t>
      </w:r>
      <w:r w:rsidR="003638B4">
        <w:t>h</w:t>
      </w:r>
      <w:r w:rsidR="00C21B2D">
        <w:t>e</w:t>
      </w:r>
      <w:r w:rsidR="003638B4">
        <w:t xml:space="preserve"> volume of pilot test cases is large enough to provide a good estimation of the response to expect from the main survey effort using the same data collection methodology. If response in the pilot is lower in general, or lower for some subgroups, revisions will be made to the data collection methodology for </w:t>
      </w:r>
      <w:r w:rsidR="00470084">
        <w:t xml:space="preserve">the </w:t>
      </w:r>
      <w:r w:rsidR="003638B4">
        <w:t>main survey effort to improve the response so that the survey response goals are met</w:t>
      </w:r>
      <w:r w:rsidR="002602F9">
        <w:t xml:space="preserve"> for the main survey</w:t>
      </w:r>
      <w:r w:rsidR="00A429CA">
        <w:t xml:space="preserve"> effort</w:t>
      </w:r>
      <w:r w:rsidR="003638B4">
        <w:t>.</w:t>
      </w:r>
    </w:p>
    <w:p w:rsidRPr="009A6D4B" w:rsidR="009A6D4B" w:rsidP="009A6D4B" w:rsidRDefault="009A6D4B" w14:paraId="4362C972" w14:textId="52D6EE3B">
      <w:r w:rsidRPr="009A6D4B">
        <w:t xml:space="preserve">Tables B.1.1 provides the number and percentage of USCG credentialed mariners by subgroup for mariners with a current MMC and mariners with an MMC in continuity status. The table also provides the corresponding </w:t>
      </w:r>
      <w:r w:rsidR="00604876">
        <w:t xml:space="preserve">estimated </w:t>
      </w:r>
      <w:r w:rsidRPr="009A6D4B">
        <w:t>sample sizes for the Mariner Survey pilot test.</w:t>
      </w:r>
    </w:p>
    <w:p w:rsidRPr="009A6D4B" w:rsidR="009A6D4B" w:rsidP="009A6D4B" w:rsidRDefault="009A6D4B" w14:paraId="3FD6F348" w14:textId="77777777">
      <w:pPr>
        <w:rPr>
          <w:b/>
          <w:bCs/>
        </w:rPr>
      </w:pPr>
      <w:r w:rsidRPr="009A6D4B">
        <w:rPr>
          <w:b/>
          <w:bCs/>
        </w:rPr>
        <w:t xml:space="preserve">Table B.1.1. Mariner Population by Subgroups and Pilot Test Sample Sizes </w:t>
      </w:r>
    </w:p>
    <w:tbl>
      <w:tblPr>
        <w:tblW w:w="9697" w:type="dxa"/>
        <w:tblInd w:w="108" w:type="dxa"/>
        <w:tblLayout w:type="fixed"/>
        <w:tblLook w:val="04A0" w:firstRow="1" w:lastRow="0" w:firstColumn="1" w:lastColumn="0" w:noHBand="0" w:noVBand="1"/>
      </w:tblPr>
      <w:tblGrid>
        <w:gridCol w:w="3037"/>
        <w:gridCol w:w="1170"/>
        <w:gridCol w:w="990"/>
        <w:gridCol w:w="1170"/>
        <w:gridCol w:w="1170"/>
        <w:gridCol w:w="990"/>
        <w:gridCol w:w="1170"/>
      </w:tblGrid>
      <w:tr w:rsidRPr="009A6D4B" w:rsidR="009A6D4B" w:rsidTr="00604876" w14:paraId="258CEEF8" w14:textId="77777777">
        <w:trPr>
          <w:trHeight w:val="600"/>
          <w:tblHeader/>
        </w:trPr>
        <w:tc>
          <w:tcPr>
            <w:tcW w:w="3037" w:type="dxa"/>
            <w:vMerge w:val="restart"/>
            <w:tcBorders>
              <w:top w:val="single" w:color="auto" w:sz="4" w:space="0"/>
              <w:left w:val="single" w:color="auto" w:sz="4" w:space="0"/>
              <w:right w:val="single" w:color="auto" w:sz="4" w:space="0"/>
            </w:tcBorders>
            <w:shd w:val="clear" w:color="auto" w:fill="auto"/>
            <w:vAlign w:val="bottom"/>
          </w:tcPr>
          <w:p w:rsidRPr="009A6D4B" w:rsidR="009A6D4B" w:rsidP="00604876" w:rsidRDefault="009A6D4B" w14:paraId="343FD4F8" w14:textId="77777777">
            <w:pPr>
              <w:spacing w:after="0" w:line="240" w:lineRule="auto"/>
              <w:rPr>
                <w:rFonts w:eastAsia="Times New Roman" w:cs="Times New Roman"/>
                <w:b/>
                <w:sz w:val="22"/>
              </w:rPr>
            </w:pPr>
            <w:r w:rsidRPr="009A6D4B">
              <w:rPr>
                <w:rFonts w:eastAsia="Times New Roman" w:cs="Times New Roman"/>
                <w:b/>
                <w:sz w:val="22"/>
              </w:rPr>
              <w:t>Mariner Subgroups</w:t>
            </w:r>
          </w:p>
        </w:tc>
        <w:tc>
          <w:tcPr>
            <w:tcW w:w="3330" w:type="dxa"/>
            <w:gridSpan w:val="3"/>
            <w:tcBorders>
              <w:top w:val="single" w:color="auto" w:sz="4" w:space="0"/>
              <w:left w:val="nil"/>
              <w:bottom w:val="single" w:color="auto" w:sz="4" w:space="0"/>
              <w:right w:val="single" w:color="auto" w:sz="4" w:space="0"/>
            </w:tcBorders>
            <w:shd w:val="clear" w:color="auto" w:fill="auto"/>
            <w:vAlign w:val="center"/>
          </w:tcPr>
          <w:p w:rsidRPr="009A6D4B" w:rsidR="009A6D4B" w:rsidP="009A6D4B" w:rsidRDefault="009A6D4B" w14:paraId="0FD9F055" w14:textId="77777777">
            <w:pPr>
              <w:spacing w:after="0" w:line="240" w:lineRule="auto"/>
              <w:jc w:val="center"/>
              <w:rPr>
                <w:rFonts w:eastAsia="Times New Roman" w:cs="Times New Roman"/>
                <w:b/>
                <w:sz w:val="22"/>
              </w:rPr>
            </w:pPr>
            <w:r w:rsidRPr="009A6D4B">
              <w:rPr>
                <w:rFonts w:eastAsia="Times New Roman" w:cs="Times New Roman"/>
                <w:b/>
                <w:sz w:val="22"/>
              </w:rPr>
              <w:t xml:space="preserve">Mariners with Current MMC </w:t>
            </w:r>
          </w:p>
        </w:tc>
        <w:tc>
          <w:tcPr>
            <w:tcW w:w="3330" w:type="dxa"/>
            <w:gridSpan w:val="3"/>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36E5B63C" w14:textId="77777777">
            <w:pPr>
              <w:spacing w:after="0" w:line="240" w:lineRule="auto"/>
              <w:jc w:val="center"/>
              <w:rPr>
                <w:rFonts w:eastAsia="Times New Roman" w:cs="Times New Roman"/>
                <w:b/>
                <w:sz w:val="22"/>
              </w:rPr>
            </w:pPr>
            <w:r w:rsidRPr="009A6D4B">
              <w:rPr>
                <w:rFonts w:eastAsia="Times New Roman" w:cs="Times New Roman"/>
                <w:b/>
                <w:sz w:val="22"/>
              </w:rPr>
              <w:t>Mariners with MMC in Continuity Status</w:t>
            </w:r>
          </w:p>
        </w:tc>
      </w:tr>
      <w:tr w:rsidRPr="009A6D4B" w:rsidR="009A6D4B" w:rsidTr="00811BA5" w14:paraId="20A0DA45" w14:textId="77777777">
        <w:trPr>
          <w:trHeight w:val="300"/>
        </w:trPr>
        <w:tc>
          <w:tcPr>
            <w:tcW w:w="3037" w:type="dxa"/>
            <w:vMerge/>
            <w:tcBorders>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2AB86B66" w14:textId="77777777">
            <w:pPr>
              <w:spacing w:after="0" w:line="240" w:lineRule="auto"/>
              <w:rPr>
                <w:rFonts w:eastAsia="Times New Roman" w:cs="Times New Roman"/>
                <w:color w:val="000000"/>
                <w:sz w:val="22"/>
              </w:rPr>
            </w:pP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7FFCF095"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Population</w:t>
            </w:r>
          </w:p>
          <w:p w:rsidRPr="009A6D4B" w:rsidR="009A6D4B" w:rsidP="009A6D4B" w:rsidRDefault="009A6D4B" w14:paraId="25A67DBD"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Size</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7F328E01" w14:textId="60007EF9">
            <w:pPr>
              <w:spacing w:after="0" w:line="240" w:lineRule="auto"/>
              <w:jc w:val="center"/>
              <w:rPr>
                <w:rFonts w:eastAsia="Times New Roman" w:cs="Times New Roman"/>
                <w:color w:val="000000"/>
                <w:sz w:val="22"/>
              </w:rPr>
            </w:pPr>
            <w:r w:rsidRPr="009A6D4B">
              <w:rPr>
                <w:rFonts w:eastAsia="Times New Roman" w:cs="Times New Roman"/>
                <w:color w:val="000000"/>
                <w:sz w:val="22"/>
              </w:rPr>
              <w:t>%</w:t>
            </w:r>
            <w:r w:rsidR="00604876">
              <w:rPr>
                <w:rFonts w:eastAsia="Times New Roman" w:cs="Times New Roman"/>
                <w:color w:val="000000"/>
                <w:sz w:val="22"/>
              </w:rPr>
              <w:t xml:space="preserve"> of Group</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17EAE1B"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Estimated Sample Size</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03EA1176"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Population Size</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45AC9291" w14:textId="2957E5EC">
            <w:pPr>
              <w:spacing w:after="0" w:line="240" w:lineRule="auto"/>
              <w:jc w:val="center"/>
              <w:rPr>
                <w:rFonts w:eastAsia="Times New Roman" w:cs="Times New Roman"/>
                <w:color w:val="000000"/>
                <w:sz w:val="22"/>
              </w:rPr>
            </w:pPr>
            <w:r w:rsidRPr="009A6D4B">
              <w:rPr>
                <w:rFonts w:eastAsia="Times New Roman" w:cs="Times New Roman"/>
                <w:color w:val="000000"/>
                <w:sz w:val="22"/>
              </w:rPr>
              <w:t>%</w:t>
            </w:r>
            <w:r w:rsidR="00604876">
              <w:rPr>
                <w:rFonts w:eastAsia="Times New Roman" w:cs="Times New Roman"/>
                <w:color w:val="000000"/>
                <w:sz w:val="22"/>
              </w:rPr>
              <w:t xml:space="preserve"> of Group</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087F8F15"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Estimated Sample Size</w:t>
            </w:r>
          </w:p>
        </w:tc>
      </w:tr>
      <w:tr w:rsidRPr="009A6D4B" w:rsidR="009A6D4B" w:rsidTr="00811BA5" w14:paraId="44A0FB3C"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604876" w:rsidR="009A6D4B" w:rsidP="009A6D4B" w:rsidRDefault="00FC10C7" w14:paraId="55E24109" w14:textId="438AE969">
            <w:pPr>
              <w:spacing w:after="0" w:line="240" w:lineRule="auto"/>
              <w:rPr>
                <w:rFonts w:eastAsia="Times New Roman" w:cs="Times New Roman"/>
                <w:b/>
                <w:bCs/>
                <w:color w:val="000000"/>
                <w:sz w:val="22"/>
              </w:rPr>
            </w:pPr>
            <w:r>
              <w:rPr>
                <w:rFonts w:eastAsia="Times New Roman" w:cs="Times New Roman"/>
                <w:b/>
                <w:bCs/>
                <w:color w:val="000000"/>
                <w:sz w:val="22"/>
              </w:rPr>
              <w:t>Officer (</w:t>
            </w:r>
            <w:r w:rsidRPr="00604876" w:rsidR="009A6D4B">
              <w:rPr>
                <w:rFonts w:eastAsia="Times New Roman" w:cs="Times New Roman"/>
                <w:b/>
                <w:bCs/>
                <w:color w:val="000000"/>
                <w:sz w:val="22"/>
              </w:rPr>
              <w:t>Licensed</w:t>
            </w:r>
            <w:r>
              <w:rPr>
                <w:rFonts w:eastAsia="Times New Roman" w:cs="Times New Roman"/>
                <w:b/>
                <w:bCs/>
                <w:color w:val="000000"/>
                <w:sz w:val="22"/>
              </w:rPr>
              <w:t>)</w:t>
            </w:r>
            <w:r w:rsidRPr="00604876" w:rsidR="009A6D4B">
              <w:rPr>
                <w:rFonts w:eastAsia="Times New Roman" w:cs="Times New Roman"/>
                <w:b/>
                <w:bCs/>
                <w:color w:val="000000"/>
                <w:sz w:val="22"/>
              </w:rPr>
              <w:t xml:space="preserve"> Mariners</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63E5EA68"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065E8674"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7358CE7A" w14:textId="77777777">
            <w:pPr>
              <w:spacing w:after="0" w:line="240" w:lineRule="auto"/>
              <w:jc w:val="center"/>
              <w:rPr>
                <w:rFonts w:eastAsia="Times New Roman" w:cs="Times New Roman"/>
                <w:color w:val="000000"/>
                <w:sz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30F62352"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6DB5C426"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7132CAF5" w14:textId="77777777">
            <w:pPr>
              <w:spacing w:after="0" w:line="240" w:lineRule="auto"/>
              <w:jc w:val="center"/>
              <w:rPr>
                <w:rFonts w:eastAsia="Times New Roman" w:cs="Times New Roman"/>
                <w:color w:val="000000"/>
                <w:sz w:val="22"/>
              </w:rPr>
            </w:pPr>
          </w:p>
        </w:tc>
      </w:tr>
      <w:tr w:rsidRPr="009A6D4B" w:rsidR="009A6D4B" w:rsidTr="00811BA5" w14:paraId="7DC27A5B"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6ED30BBA"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Deck Officers</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3175E418"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12BC3A93"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A1FC250" w14:textId="77777777">
            <w:pPr>
              <w:spacing w:after="0" w:line="240" w:lineRule="auto"/>
              <w:jc w:val="center"/>
              <w:rPr>
                <w:rFonts w:eastAsia="Times New Roman" w:cs="Times New Roman"/>
                <w:color w:val="000000"/>
                <w:sz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0F6E57A6"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172533F4"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0946D769" w14:textId="77777777">
            <w:pPr>
              <w:spacing w:after="0" w:line="240" w:lineRule="auto"/>
              <w:jc w:val="center"/>
              <w:rPr>
                <w:rFonts w:eastAsia="Times New Roman" w:cs="Times New Roman"/>
                <w:color w:val="000000"/>
                <w:sz w:val="22"/>
              </w:rPr>
            </w:pPr>
          </w:p>
        </w:tc>
      </w:tr>
      <w:tr w:rsidRPr="009A6D4B" w:rsidR="009A6D4B" w:rsidTr="00811BA5" w14:paraId="4D83E460"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28DD0380"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Master</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41DC0484"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3,236</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30A60C94" w14:textId="77777777">
            <w:pPr>
              <w:spacing w:after="0" w:line="240" w:lineRule="auto"/>
              <w:jc w:val="center"/>
              <w:rPr>
                <w:rFonts w:eastAsia="Times New Roman" w:cs="Times New Roman"/>
                <w:color w:val="000000"/>
                <w:sz w:val="22"/>
              </w:rPr>
            </w:pPr>
            <w:r w:rsidRPr="009A6D4B">
              <w:rPr>
                <w:rFonts w:cs="Times New Roman"/>
                <w:color w:val="000000"/>
                <w:sz w:val="22"/>
              </w:rPr>
              <w:t>20%</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6D3D4E53" w14:textId="77777777">
            <w:pPr>
              <w:spacing w:after="0" w:line="240" w:lineRule="auto"/>
              <w:jc w:val="center"/>
              <w:rPr>
                <w:rFonts w:cs="Times New Roman"/>
                <w:sz w:val="22"/>
              </w:rPr>
            </w:pPr>
            <w:r w:rsidRPr="009A6D4B">
              <w:rPr>
                <w:rFonts w:cs="Times New Roman"/>
                <w:color w:val="000000"/>
                <w:sz w:val="22"/>
              </w:rPr>
              <w:t>71</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63F2A7B5" w14:textId="77777777">
            <w:pPr>
              <w:spacing w:after="0" w:line="240" w:lineRule="auto"/>
              <w:jc w:val="center"/>
              <w:rPr>
                <w:rFonts w:cs="Times New Roman"/>
                <w:sz w:val="22"/>
              </w:rPr>
            </w:pPr>
            <w:r w:rsidRPr="009A6D4B">
              <w:rPr>
                <w:rFonts w:cs="Times New Roman"/>
                <w:sz w:val="22"/>
              </w:rPr>
              <w:t>495</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6F18B7C6" w14:textId="77777777">
            <w:pPr>
              <w:spacing w:after="0" w:line="240" w:lineRule="auto"/>
              <w:jc w:val="center"/>
              <w:rPr>
                <w:rFonts w:cs="Times New Roman"/>
                <w:sz w:val="22"/>
              </w:rPr>
            </w:pPr>
            <w:r w:rsidRPr="009A6D4B">
              <w:rPr>
                <w:rFonts w:cs="Times New Roman"/>
                <w:color w:val="000000"/>
                <w:sz w:val="22"/>
              </w:rPr>
              <w:t>18%</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224F0BC9" w14:textId="77777777">
            <w:pPr>
              <w:spacing w:after="0" w:line="240" w:lineRule="auto"/>
              <w:jc w:val="center"/>
              <w:rPr>
                <w:sz w:val="22"/>
              </w:rPr>
            </w:pPr>
            <w:r w:rsidRPr="009A6D4B">
              <w:rPr>
                <w:rFonts w:cs="Times New Roman"/>
                <w:color w:val="000000"/>
                <w:sz w:val="22"/>
              </w:rPr>
              <w:t>26</w:t>
            </w:r>
          </w:p>
        </w:tc>
      </w:tr>
      <w:tr w:rsidRPr="009A6D4B" w:rsidR="009A6D4B" w:rsidTr="00811BA5" w14:paraId="184DE25A"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57DD2638"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Chief Mate</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5A100909"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766</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34377E2E" w14:textId="77777777">
            <w:pPr>
              <w:spacing w:after="0" w:line="240" w:lineRule="auto"/>
              <w:jc w:val="center"/>
              <w:rPr>
                <w:rFonts w:eastAsia="Times New Roman" w:cs="Times New Roman"/>
                <w:color w:val="000000"/>
                <w:sz w:val="22"/>
              </w:rPr>
            </w:pPr>
            <w:r w:rsidRPr="009A6D4B">
              <w:rPr>
                <w:rFonts w:cs="Times New Roman"/>
                <w:color w:val="000000"/>
                <w:sz w:val="22"/>
              </w:rPr>
              <w:t>5%</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4FF0715E" w14:textId="77777777">
            <w:pPr>
              <w:spacing w:after="0" w:line="240" w:lineRule="auto"/>
              <w:jc w:val="center"/>
              <w:rPr>
                <w:rFonts w:cs="Times New Roman"/>
                <w:sz w:val="22"/>
              </w:rPr>
            </w:pPr>
            <w:r w:rsidRPr="009A6D4B">
              <w:rPr>
                <w:rFonts w:cs="Times New Roman"/>
                <w:color w:val="000000"/>
                <w:sz w:val="22"/>
              </w:rPr>
              <w:t>17</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563A0800" w14:textId="77777777">
            <w:pPr>
              <w:spacing w:after="0" w:line="240" w:lineRule="auto"/>
              <w:jc w:val="center"/>
              <w:rPr>
                <w:rFonts w:cs="Times New Roman"/>
                <w:sz w:val="22"/>
              </w:rPr>
            </w:pPr>
            <w:r w:rsidRPr="009A6D4B">
              <w:rPr>
                <w:rFonts w:cs="Times New Roman"/>
                <w:sz w:val="22"/>
              </w:rPr>
              <w:t>121</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0B51D493" w14:textId="77777777">
            <w:pPr>
              <w:spacing w:after="0" w:line="240" w:lineRule="auto"/>
              <w:jc w:val="center"/>
              <w:rPr>
                <w:rFonts w:cs="Times New Roman"/>
                <w:sz w:val="22"/>
              </w:rPr>
            </w:pPr>
            <w:r w:rsidRPr="009A6D4B">
              <w:rPr>
                <w:rFonts w:cs="Times New Roman"/>
                <w:color w:val="000000"/>
                <w:sz w:val="22"/>
              </w:rPr>
              <w:t>4%</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D54C672" w14:textId="77777777">
            <w:pPr>
              <w:spacing w:after="0" w:line="240" w:lineRule="auto"/>
              <w:jc w:val="center"/>
              <w:rPr>
                <w:sz w:val="22"/>
              </w:rPr>
            </w:pPr>
            <w:r w:rsidRPr="009A6D4B">
              <w:rPr>
                <w:rFonts w:cs="Times New Roman"/>
                <w:color w:val="000000"/>
                <w:sz w:val="22"/>
              </w:rPr>
              <w:t>7</w:t>
            </w:r>
          </w:p>
        </w:tc>
      </w:tr>
      <w:tr w:rsidRPr="009A6D4B" w:rsidR="009A6D4B" w:rsidTr="00811BA5" w14:paraId="63A4795A"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7EF14F7D"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Second Mate</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0A83627A"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2,495</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6D65A3BB" w14:textId="77777777">
            <w:pPr>
              <w:spacing w:after="0" w:line="240" w:lineRule="auto"/>
              <w:jc w:val="center"/>
              <w:rPr>
                <w:rFonts w:eastAsia="Times New Roman" w:cs="Times New Roman"/>
                <w:color w:val="000000"/>
                <w:sz w:val="22"/>
              </w:rPr>
            </w:pPr>
            <w:r w:rsidRPr="009A6D4B">
              <w:rPr>
                <w:rFonts w:cs="Times New Roman"/>
                <w:color w:val="000000"/>
                <w:sz w:val="22"/>
              </w:rPr>
              <w:t>15%</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6F472CB9" w14:textId="77777777">
            <w:pPr>
              <w:spacing w:after="0" w:line="240" w:lineRule="auto"/>
              <w:jc w:val="center"/>
              <w:rPr>
                <w:rFonts w:cs="Times New Roman"/>
                <w:sz w:val="22"/>
              </w:rPr>
            </w:pPr>
            <w:r w:rsidRPr="009A6D4B">
              <w:rPr>
                <w:rFonts w:cs="Times New Roman"/>
                <w:color w:val="000000"/>
                <w:sz w:val="22"/>
              </w:rPr>
              <w:t>53</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188BB5B6" w14:textId="77777777">
            <w:pPr>
              <w:spacing w:after="0" w:line="240" w:lineRule="auto"/>
              <w:jc w:val="center"/>
              <w:rPr>
                <w:rFonts w:cs="Times New Roman"/>
                <w:sz w:val="22"/>
              </w:rPr>
            </w:pPr>
            <w:r w:rsidRPr="009A6D4B">
              <w:rPr>
                <w:rFonts w:cs="Times New Roman"/>
                <w:sz w:val="22"/>
              </w:rPr>
              <w:t>278</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42C6CE60" w14:textId="77777777">
            <w:pPr>
              <w:spacing w:after="0" w:line="240" w:lineRule="auto"/>
              <w:jc w:val="center"/>
              <w:rPr>
                <w:rFonts w:cs="Times New Roman"/>
                <w:sz w:val="22"/>
              </w:rPr>
            </w:pPr>
            <w:r w:rsidRPr="009A6D4B">
              <w:rPr>
                <w:rFonts w:cs="Times New Roman"/>
                <w:color w:val="000000"/>
                <w:sz w:val="22"/>
              </w:rPr>
              <w:t>10%</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FE808BF" w14:textId="77777777">
            <w:pPr>
              <w:spacing w:after="0" w:line="240" w:lineRule="auto"/>
              <w:jc w:val="center"/>
              <w:rPr>
                <w:sz w:val="22"/>
              </w:rPr>
            </w:pPr>
            <w:r w:rsidRPr="009A6D4B">
              <w:rPr>
                <w:rFonts w:cs="Times New Roman"/>
                <w:color w:val="000000"/>
                <w:sz w:val="22"/>
              </w:rPr>
              <w:t>15</w:t>
            </w:r>
          </w:p>
        </w:tc>
      </w:tr>
      <w:tr w:rsidRPr="009A6D4B" w:rsidR="009A6D4B" w:rsidTr="00811BA5" w14:paraId="4277E4CE"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37D0561A"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Third Mate</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4E83E635"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2,674</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35235306" w14:textId="77777777">
            <w:pPr>
              <w:spacing w:after="0" w:line="240" w:lineRule="auto"/>
              <w:jc w:val="center"/>
              <w:rPr>
                <w:rFonts w:eastAsia="Times New Roman" w:cs="Times New Roman"/>
                <w:color w:val="000000"/>
                <w:sz w:val="22"/>
              </w:rPr>
            </w:pPr>
            <w:r w:rsidRPr="009A6D4B">
              <w:rPr>
                <w:rFonts w:cs="Times New Roman"/>
                <w:color w:val="000000"/>
                <w:sz w:val="22"/>
              </w:rPr>
              <w:t>17%</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2734E9DE" w14:textId="77777777">
            <w:pPr>
              <w:spacing w:after="0" w:line="240" w:lineRule="auto"/>
              <w:jc w:val="center"/>
              <w:rPr>
                <w:rFonts w:cs="Times New Roman"/>
                <w:sz w:val="22"/>
              </w:rPr>
            </w:pPr>
            <w:r w:rsidRPr="009A6D4B">
              <w:rPr>
                <w:rFonts w:cs="Times New Roman"/>
                <w:color w:val="000000"/>
                <w:sz w:val="22"/>
              </w:rPr>
              <w:t>58</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33FCB793" w14:textId="77777777">
            <w:pPr>
              <w:spacing w:after="0" w:line="240" w:lineRule="auto"/>
              <w:jc w:val="center"/>
              <w:rPr>
                <w:rFonts w:cs="Times New Roman"/>
                <w:sz w:val="22"/>
              </w:rPr>
            </w:pPr>
            <w:r w:rsidRPr="009A6D4B">
              <w:rPr>
                <w:rFonts w:cs="Times New Roman"/>
                <w:sz w:val="22"/>
              </w:rPr>
              <w:t>690</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011B58A6" w14:textId="77777777">
            <w:pPr>
              <w:spacing w:after="0" w:line="240" w:lineRule="auto"/>
              <w:jc w:val="center"/>
              <w:rPr>
                <w:rFonts w:cs="Times New Roman"/>
                <w:sz w:val="22"/>
              </w:rPr>
            </w:pPr>
            <w:r w:rsidRPr="009A6D4B">
              <w:rPr>
                <w:rFonts w:cs="Times New Roman"/>
                <w:color w:val="000000"/>
                <w:sz w:val="22"/>
              </w:rPr>
              <w:t>24%</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11248E68" w14:textId="77777777">
            <w:pPr>
              <w:spacing w:after="0" w:line="240" w:lineRule="auto"/>
              <w:jc w:val="center"/>
              <w:rPr>
                <w:sz w:val="22"/>
              </w:rPr>
            </w:pPr>
            <w:r w:rsidRPr="009A6D4B">
              <w:rPr>
                <w:rFonts w:cs="Times New Roman"/>
                <w:color w:val="000000"/>
                <w:sz w:val="22"/>
              </w:rPr>
              <w:t>36</w:t>
            </w:r>
          </w:p>
        </w:tc>
      </w:tr>
      <w:tr w:rsidRPr="009A6D4B" w:rsidR="009A6D4B" w:rsidTr="00811BA5" w14:paraId="0AF61998"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0C917A95"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Engineer Officers</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441869B7"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779C652C"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45E24511" w14:textId="77777777">
            <w:pPr>
              <w:spacing w:after="0" w:line="240" w:lineRule="auto"/>
              <w:jc w:val="center"/>
              <w:rPr>
                <w:rFonts w:eastAsia="Times New Roman" w:cs="Times New Roman"/>
                <w:color w:val="000000"/>
                <w:sz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14806F3A" w14:textId="77777777">
            <w:pPr>
              <w:spacing w:after="0" w:line="240" w:lineRule="auto"/>
              <w:jc w:val="center"/>
              <w:rPr>
                <w:rFonts w:eastAsia="Times New Roman" w:cs="Times New Roman"/>
                <w:color w:val="000000"/>
                <w:sz w:val="22"/>
              </w:rPr>
            </w:pP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1E37B394" w14:textId="77777777">
            <w:pPr>
              <w:spacing w:after="0" w:line="240" w:lineRule="auto"/>
              <w:jc w:val="center"/>
              <w:rPr>
                <w:rFonts w:eastAsia="Times New Roman" w:cs="Times New Roman"/>
                <w:color w:val="000000"/>
                <w:sz w:val="22"/>
              </w:rPr>
            </w:pP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9F0EE62" w14:textId="77777777">
            <w:pPr>
              <w:spacing w:after="0" w:line="240" w:lineRule="auto"/>
              <w:jc w:val="center"/>
              <w:rPr>
                <w:rFonts w:eastAsia="Times New Roman" w:cs="Times New Roman"/>
                <w:color w:val="000000"/>
                <w:sz w:val="22"/>
              </w:rPr>
            </w:pPr>
          </w:p>
        </w:tc>
      </w:tr>
      <w:tr w:rsidRPr="009A6D4B" w:rsidR="009A6D4B" w:rsidTr="00811BA5" w14:paraId="163609F0"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1E409697"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Chief Engineer</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2EDDE570"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2,225</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11B7D793" w14:textId="77777777">
            <w:pPr>
              <w:spacing w:after="0" w:line="240" w:lineRule="auto"/>
              <w:jc w:val="center"/>
              <w:rPr>
                <w:rFonts w:eastAsia="Times New Roman" w:cs="Times New Roman"/>
                <w:color w:val="000000"/>
                <w:sz w:val="22"/>
              </w:rPr>
            </w:pPr>
            <w:r w:rsidRPr="009A6D4B">
              <w:rPr>
                <w:rFonts w:cs="Times New Roman"/>
                <w:color w:val="000000"/>
                <w:sz w:val="22"/>
              </w:rPr>
              <w:t>14%</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4D5ECBB" w14:textId="77777777">
            <w:pPr>
              <w:spacing w:after="0" w:line="240" w:lineRule="auto"/>
              <w:jc w:val="center"/>
              <w:rPr>
                <w:rFonts w:cs="Times New Roman"/>
                <w:color w:val="000000"/>
                <w:sz w:val="22"/>
              </w:rPr>
            </w:pPr>
            <w:r w:rsidRPr="009A6D4B">
              <w:rPr>
                <w:rFonts w:cs="Times New Roman"/>
                <w:color w:val="000000"/>
                <w:sz w:val="22"/>
              </w:rPr>
              <w:t>49</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2DE7A2F8" w14:textId="77777777">
            <w:pPr>
              <w:spacing w:after="0" w:line="240" w:lineRule="auto"/>
              <w:jc w:val="center"/>
              <w:rPr>
                <w:rFonts w:cs="Times New Roman"/>
                <w:color w:val="000000"/>
                <w:sz w:val="22"/>
              </w:rPr>
            </w:pPr>
            <w:r w:rsidRPr="009A6D4B">
              <w:rPr>
                <w:rFonts w:cs="Times New Roman"/>
                <w:color w:val="000000"/>
                <w:sz w:val="22"/>
              </w:rPr>
              <w:t>317</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2A63C030" w14:textId="77777777">
            <w:pPr>
              <w:spacing w:after="0" w:line="240" w:lineRule="auto"/>
              <w:jc w:val="center"/>
              <w:rPr>
                <w:rFonts w:cs="Times New Roman"/>
                <w:color w:val="000000"/>
                <w:sz w:val="22"/>
              </w:rPr>
            </w:pPr>
            <w:r w:rsidRPr="009A6D4B">
              <w:rPr>
                <w:rFonts w:cs="Times New Roman"/>
                <w:color w:val="000000"/>
                <w:sz w:val="22"/>
              </w:rPr>
              <w:t>11%</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4FD0BED6" w14:textId="77777777">
            <w:pPr>
              <w:spacing w:after="0" w:line="240" w:lineRule="auto"/>
              <w:jc w:val="center"/>
              <w:rPr>
                <w:sz w:val="22"/>
              </w:rPr>
            </w:pPr>
            <w:r w:rsidRPr="009A6D4B">
              <w:rPr>
                <w:rFonts w:cs="Times New Roman"/>
                <w:color w:val="000000"/>
                <w:sz w:val="22"/>
              </w:rPr>
              <w:t>17</w:t>
            </w:r>
          </w:p>
        </w:tc>
      </w:tr>
      <w:tr w:rsidRPr="009A6D4B" w:rsidR="009A6D4B" w:rsidTr="00811BA5" w14:paraId="5F8FE72A"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3227E8C5"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lastRenderedPageBreak/>
              <w:t>First Assistant Engineer</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4019AA54"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910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33A82D69" w14:textId="77777777">
            <w:pPr>
              <w:spacing w:after="0" w:line="240" w:lineRule="auto"/>
              <w:jc w:val="center"/>
              <w:rPr>
                <w:rFonts w:eastAsia="Times New Roman" w:cs="Times New Roman"/>
                <w:color w:val="000000"/>
                <w:sz w:val="22"/>
              </w:rPr>
            </w:pPr>
            <w:r w:rsidRPr="009A6D4B">
              <w:rPr>
                <w:rFonts w:cs="Times New Roman"/>
                <w:color w:val="000000"/>
                <w:sz w:val="22"/>
              </w:rPr>
              <w:t>6%</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5E2E744" w14:textId="77777777">
            <w:pPr>
              <w:spacing w:after="0" w:line="240" w:lineRule="auto"/>
              <w:jc w:val="center"/>
              <w:rPr>
                <w:rFonts w:cs="Times New Roman"/>
                <w:color w:val="000000"/>
                <w:sz w:val="22"/>
              </w:rPr>
            </w:pPr>
            <w:r w:rsidRPr="009A6D4B">
              <w:rPr>
                <w:rFonts w:cs="Times New Roman"/>
                <w:color w:val="000000"/>
                <w:sz w:val="22"/>
              </w:rPr>
              <w:t>20</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7CCEF889" w14:textId="77777777">
            <w:pPr>
              <w:spacing w:after="0" w:line="240" w:lineRule="auto"/>
              <w:jc w:val="center"/>
              <w:rPr>
                <w:rFonts w:cs="Times New Roman"/>
                <w:color w:val="000000"/>
                <w:sz w:val="22"/>
              </w:rPr>
            </w:pPr>
            <w:r w:rsidRPr="009A6D4B">
              <w:rPr>
                <w:rFonts w:cs="Times New Roman"/>
                <w:color w:val="000000"/>
                <w:sz w:val="22"/>
              </w:rPr>
              <w:t>117</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2B21A1FF" w14:textId="77777777">
            <w:pPr>
              <w:spacing w:after="0" w:line="240" w:lineRule="auto"/>
              <w:jc w:val="center"/>
              <w:rPr>
                <w:rFonts w:cs="Times New Roman"/>
                <w:color w:val="000000"/>
                <w:sz w:val="22"/>
              </w:rPr>
            </w:pPr>
            <w:r w:rsidRPr="009A6D4B">
              <w:rPr>
                <w:rFonts w:cs="Times New Roman"/>
                <w:color w:val="000000"/>
                <w:sz w:val="22"/>
              </w:rPr>
              <w:t>4%</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445081C9" w14:textId="77777777">
            <w:pPr>
              <w:spacing w:after="0" w:line="240" w:lineRule="auto"/>
              <w:jc w:val="center"/>
              <w:rPr>
                <w:sz w:val="22"/>
              </w:rPr>
            </w:pPr>
            <w:r w:rsidRPr="009A6D4B">
              <w:rPr>
                <w:rFonts w:cs="Times New Roman"/>
                <w:color w:val="000000"/>
                <w:sz w:val="22"/>
              </w:rPr>
              <w:t>6</w:t>
            </w:r>
          </w:p>
        </w:tc>
      </w:tr>
      <w:tr w:rsidRPr="009A6D4B" w:rsidR="009A6D4B" w:rsidTr="00811BA5" w14:paraId="63E22D74"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2EA42CB9"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Second Assistant Engineer</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6B546F59"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1,951</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2140A7BD" w14:textId="77777777">
            <w:pPr>
              <w:spacing w:after="0" w:line="240" w:lineRule="auto"/>
              <w:jc w:val="center"/>
              <w:rPr>
                <w:rFonts w:eastAsia="Times New Roman" w:cs="Times New Roman"/>
                <w:color w:val="000000"/>
                <w:sz w:val="22"/>
              </w:rPr>
            </w:pPr>
            <w:r w:rsidRPr="009A6D4B">
              <w:rPr>
                <w:rFonts w:cs="Times New Roman"/>
                <w:color w:val="000000"/>
                <w:sz w:val="22"/>
              </w:rPr>
              <w:t>12%</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486FC19F" w14:textId="77777777">
            <w:pPr>
              <w:spacing w:after="0" w:line="240" w:lineRule="auto"/>
              <w:jc w:val="center"/>
              <w:rPr>
                <w:rFonts w:cs="Times New Roman"/>
                <w:color w:val="000000"/>
                <w:sz w:val="22"/>
              </w:rPr>
            </w:pPr>
            <w:r w:rsidRPr="009A6D4B">
              <w:rPr>
                <w:rFonts w:cs="Times New Roman"/>
                <w:color w:val="000000"/>
                <w:sz w:val="22"/>
              </w:rPr>
              <w:t>43</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0263C0F0" w14:textId="77777777">
            <w:pPr>
              <w:spacing w:after="0" w:line="240" w:lineRule="auto"/>
              <w:jc w:val="center"/>
              <w:rPr>
                <w:rFonts w:cs="Times New Roman"/>
                <w:color w:val="000000"/>
                <w:sz w:val="22"/>
              </w:rPr>
            </w:pPr>
            <w:r w:rsidRPr="009A6D4B">
              <w:rPr>
                <w:rFonts w:cs="Times New Roman"/>
                <w:color w:val="000000"/>
                <w:sz w:val="22"/>
              </w:rPr>
              <w:t>195</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47ED784D" w14:textId="77777777">
            <w:pPr>
              <w:spacing w:after="0" w:line="240" w:lineRule="auto"/>
              <w:jc w:val="center"/>
              <w:rPr>
                <w:rFonts w:cs="Times New Roman"/>
                <w:color w:val="000000"/>
                <w:sz w:val="22"/>
              </w:rPr>
            </w:pPr>
            <w:r w:rsidRPr="009A6D4B">
              <w:rPr>
                <w:rFonts w:cs="Times New Roman"/>
                <w:color w:val="000000"/>
                <w:sz w:val="22"/>
              </w:rPr>
              <w:t>7%</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7C2CF5E4" w14:textId="77777777">
            <w:pPr>
              <w:spacing w:after="0" w:line="240" w:lineRule="auto"/>
              <w:jc w:val="center"/>
              <w:rPr>
                <w:sz w:val="22"/>
              </w:rPr>
            </w:pPr>
            <w:r w:rsidRPr="009A6D4B">
              <w:rPr>
                <w:rFonts w:cs="Times New Roman"/>
                <w:color w:val="000000"/>
                <w:sz w:val="22"/>
              </w:rPr>
              <w:t>10</w:t>
            </w:r>
          </w:p>
        </w:tc>
      </w:tr>
      <w:tr w:rsidRPr="009A6D4B" w:rsidR="009A6D4B" w:rsidTr="00604876" w14:paraId="3435CE6D"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76F69E45" w14:textId="77777777">
            <w:pPr>
              <w:spacing w:after="0" w:line="240" w:lineRule="auto"/>
              <w:ind w:left="360"/>
              <w:rPr>
                <w:rFonts w:eastAsia="Times New Roman" w:cs="Times New Roman"/>
                <w:color w:val="000000"/>
                <w:sz w:val="22"/>
              </w:rPr>
            </w:pPr>
            <w:r w:rsidRPr="009A6D4B">
              <w:rPr>
                <w:rFonts w:eastAsia="Times New Roman" w:cs="Times New Roman"/>
                <w:color w:val="000000"/>
                <w:sz w:val="22"/>
              </w:rPr>
              <w:t>Third Assistant Engineer</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6E22A2D1"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1,792</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41CD1F8A" w14:textId="77777777">
            <w:pPr>
              <w:spacing w:after="0" w:line="240" w:lineRule="auto"/>
              <w:jc w:val="center"/>
              <w:rPr>
                <w:rFonts w:eastAsia="Times New Roman" w:cs="Times New Roman"/>
                <w:color w:val="000000"/>
                <w:sz w:val="22"/>
              </w:rPr>
            </w:pPr>
            <w:r w:rsidRPr="009A6D4B">
              <w:rPr>
                <w:rFonts w:cs="Times New Roman"/>
                <w:color w:val="000000"/>
                <w:sz w:val="22"/>
              </w:rPr>
              <w:t>11%</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753FD575" w14:textId="77777777">
            <w:pPr>
              <w:spacing w:after="0" w:line="240" w:lineRule="auto"/>
              <w:jc w:val="center"/>
              <w:rPr>
                <w:rFonts w:cs="Times New Roman"/>
                <w:color w:val="000000"/>
                <w:sz w:val="22"/>
              </w:rPr>
            </w:pPr>
            <w:r w:rsidRPr="009A6D4B">
              <w:rPr>
                <w:rFonts w:cs="Times New Roman"/>
                <w:color w:val="000000"/>
                <w:sz w:val="22"/>
              </w:rPr>
              <w:t>39</w:t>
            </w:r>
          </w:p>
        </w:tc>
        <w:tc>
          <w:tcPr>
            <w:tcW w:w="1170" w:type="dxa"/>
            <w:tcBorders>
              <w:top w:val="single" w:color="auto" w:sz="4" w:space="0"/>
              <w:left w:val="single" w:color="auto" w:sz="4" w:space="0"/>
              <w:bottom w:val="single" w:color="auto" w:sz="4" w:space="0"/>
              <w:right w:val="single" w:color="auto" w:sz="4" w:space="0"/>
            </w:tcBorders>
            <w:vAlign w:val="center"/>
          </w:tcPr>
          <w:p w:rsidRPr="009A6D4B" w:rsidR="009A6D4B" w:rsidP="009A6D4B" w:rsidRDefault="009A6D4B" w14:paraId="2CECF206" w14:textId="77777777">
            <w:pPr>
              <w:spacing w:after="0" w:line="240" w:lineRule="auto"/>
              <w:jc w:val="center"/>
              <w:rPr>
                <w:rFonts w:cs="Times New Roman"/>
                <w:color w:val="000000"/>
                <w:sz w:val="22"/>
              </w:rPr>
            </w:pPr>
            <w:r w:rsidRPr="009A6D4B">
              <w:rPr>
                <w:rFonts w:cs="Times New Roman"/>
                <w:color w:val="000000"/>
                <w:sz w:val="22"/>
              </w:rPr>
              <w:t>624</w:t>
            </w:r>
          </w:p>
        </w:tc>
        <w:tc>
          <w:tcPr>
            <w:tcW w:w="990" w:type="dxa"/>
            <w:tcBorders>
              <w:top w:val="single" w:color="auto" w:sz="4" w:space="0"/>
              <w:left w:val="nil"/>
              <w:bottom w:val="single" w:color="auto" w:sz="4" w:space="0"/>
              <w:right w:val="single" w:color="auto" w:sz="4" w:space="0"/>
            </w:tcBorders>
            <w:vAlign w:val="center"/>
          </w:tcPr>
          <w:p w:rsidRPr="009A6D4B" w:rsidR="009A6D4B" w:rsidP="009A6D4B" w:rsidRDefault="009A6D4B" w14:paraId="190DA839" w14:textId="77777777">
            <w:pPr>
              <w:spacing w:after="0" w:line="240" w:lineRule="auto"/>
              <w:jc w:val="center"/>
              <w:rPr>
                <w:rFonts w:cs="Times New Roman"/>
                <w:color w:val="000000"/>
                <w:sz w:val="22"/>
              </w:rPr>
            </w:pPr>
            <w:r w:rsidRPr="009A6D4B">
              <w:rPr>
                <w:rFonts w:cs="Times New Roman"/>
                <w:color w:val="000000"/>
                <w:sz w:val="22"/>
              </w:rPr>
              <w:t>22%</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3BFB5698" w14:textId="77777777">
            <w:pPr>
              <w:spacing w:after="0" w:line="240" w:lineRule="auto"/>
              <w:jc w:val="center"/>
              <w:rPr>
                <w:sz w:val="22"/>
              </w:rPr>
            </w:pPr>
            <w:r w:rsidRPr="009A6D4B">
              <w:rPr>
                <w:rFonts w:cs="Times New Roman"/>
                <w:color w:val="000000"/>
                <w:sz w:val="22"/>
              </w:rPr>
              <w:t>33</w:t>
            </w:r>
          </w:p>
        </w:tc>
      </w:tr>
      <w:tr w:rsidRPr="009A6D4B" w:rsidR="009A6D4B" w:rsidTr="00604876" w14:paraId="74C86DBD" w14:textId="77777777">
        <w:trPr>
          <w:trHeight w:val="300"/>
        </w:trPr>
        <w:tc>
          <w:tcPr>
            <w:tcW w:w="3037" w:type="dxa"/>
            <w:tcBorders>
              <w:top w:val="single" w:color="auto" w:sz="4" w:space="0"/>
              <w:left w:val="single" w:color="auto" w:sz="4" w:space="0"/>
              <w:bottom w:val="single" w:color="auto" w:sz="12" w:space="0"/>
              <w:right w:val="single" w:color="auto" w:sz="4" w:space="0"/>
            </w:tcBorders>
            <w:shd w:val="clear" w:color="auto" w:fill="auto"/>
            <w:noWrap/>
            <w:vAlign w:val="bottom"/>
          </w:tcPr>
          <w:p w:rsidRPr="009A6D4B" w:rsidR="009A6D4B" w:rsidP="009A6D4B" w:rsidRDefault="00D77A33" w14:paraId="0F3CF0D6" w14:textId="74723DE8">
            <w:pPr>
              <w:spacing w:after="0" w:line="240" w:lineRule="auto"/>
              <w:ind w:left="216"/>
              <w:rPr>
                <w:rFonts w:eastAsia="Times New Roman" w:cs="Times New Roman"/>
                <w:color w:val="000000"/>
                <w:sz w:val="22"/>
              </w:rPr>
            </w:pPr>
            <w:r>
              <w:rPr>
                <w:rFonts w:eastAsia="Times New Roman" w:cs="Times New Roman"/>
                <w:color w:val="000000"/>
                <w:sz w:val="22"/>
              </w:rPr>
              <w:t>Subt</w:t>
            </w:r>
            <w:r w:rsidRPr="009A6D4B" w:rsidR="009A6D4B">
              <w:rPr>
                <w:rFonts w:eastAsia="Times New Roman" w:cs="Times New Roman"/>
                <w:color w:val="000000"/>
                <w:sz w:val="22"/>
              </w:rPr>
              <w:t>otal</w:t>
            </w:r>
          </w:p>
        </w:tc>
        <w:tc>
          <w:tcPr>
            <w:tcW w:w="1170" w:type="dxa"/>
            <w:tcBorders>
              <w:top w:val="single" w:color="auto" w:sz="4" w:space="0"/>
              <w:left w:val="nil"/>
              <w:bottom w:val="single" w:color="auto" w:sz="12" w:space="0"/>
              <w:right w:val="single" w:color="auto" w:sz="4" w:space="0"/>
            </w:tcBorders>
            <w:shd w:val="clear" w:color="auto" w:fill="auto"/>
            <w:noWrap/>
            <w:vAlign w:val="center"/>
          </w:tcPr>
          <w:p w:rsidRPr="009A6D4B" w:rsidR="009A6D4B" w:rsidP="009A6D4B" w:rsidRDefault="009A6D4B" w14:paraId="2FEFEEED" w14:textId="77777777">
            <w:pPr>
              <w:spacing w:after="0" w:line="240" w:lineRule="auto"/>
              <w:jc w:val="center"/>
              <w:rPr>
                <w:rFonts w:eastAsia="Times New Roman" w:cs="Times New Roman"/>
                <w:color w:val="000000"/>
                <w:sz w:val="22"/>
              </w:rPr>
            </w:pPr>
            <w:r w:rsidRPr="009A6D4B">
              <w:rPr>
                <w:rFonts w:cs="Times New Roman"/>
                <w:sz w:val="22"/>
              </w:rPr>
              <w:t>16,049</w:t>
            </w:r>
          </w:p>
        </w:tc>
        <w:tc>
          <w:tcPr>
            <w:tcW w:w="990" w:type="dxa"/>
            <w:tcBorders>
              <w:top w:val="single" w:color="auto" w:sz="4" w:space="0"/>
              <w:left w:val="nil"/>
              <w:bottom w:val="single" w:color="auto" w:sz="12" w:space="0"/>
              <w:right w:val="single" w:color="auto" w:sz="4" w:space="0"/>
            </w:tcBorders>
            <w:shd w:val="clear" w:color="auto" w:fill="auto"/>
            <w:noWrap/>
            <w:vAlign w:val="center"/>
          </w:tcPr>
          <w:p w:rsidRPr="009A6D4B" w:rsidR="009A6D4B" w:rsidP="009A6D4B" w:rsidRDefault="009A6D4B" w14:paraId="22ADC1E2"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100%</w:t>
            </w:r>
          </w:p>
        </w:tc>
        <w:tc>
          <w:tcPr>
            <w:tcW w:w="1170" w:type="dxa"/>
            <w:tcBorders>
              <w:top w:val="single" w:color="auto" w:sz="4" w:space="0"/>
              <w:left w:val="nil"/>
              <w:bottom w:val="single" w:color="auto" w:sz="12" w:space="0"/>
              <w:right w:val="single" w:color="auto" w:sz="4" w:space="0"/>
            </w:tcBorders>
            <w:vAlign w:val="center"/>
          </w:tcPr>
          <w:p w:rsidRPr="009A6D4B" w:rsidR="009A6D4B" w:rsidP="009A6D4B" w:rsidRDefault="009A6D4B" w14:paraId="7EF3AF06"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350</w:t>
            </w:r>
          </w:p>
        </w:tc>
        <w:tc>
          <w:tcPr>
            <w:tcW w:w="1170" w:type="dxa"/>
            <w:tcBorders>
              <w:top w:val="single" w:color="auto" w:sz="4" w:space="0"/>
              <w:left w:val="single" w:color="auto" w:sz="4" w:space="0"/>
              <w:bottom w:val="single" w:color="auto" w:sz="12" w:space="0"/>
              <w:right w:val="single" w:color="auto" w:sz="4" w:space="0"/>
            </w:tcBorders>
            <w:vAlign w:val="center"/>
          </w:tcPr>
          <w:p w:rsidRPr="009A6D4B" w:rsidR="009A6D4B" w:rsidP="009A6D4B" w:rsidRDefault="009A6D4B" w14:paraId="658E74A9" w14:textId="77777777">
            <w:pPr>
              <w:spacing w:after="0" w:line="240" w:lineRule="auto"/>
              <w:jc w:val="center"/>
              <w:rPr>
                <w:rFonts w:eastAsia="Times New Roman" w:cs="Times New Roman"/>
                <w:color w:val="000000"/>
                <w:sz w:val="22"/>
              </w:rPr>
            </w:pPr>
            <w:r w:rsidRPr="009A6D4B">
              <w:rPr>
                <w:rFonts w:cs="Times New Roman"/>
                <w:sz w:val="22"/>
              </w:rPr>
              <w:t>2,837</w:t>
            </w:r>
          </w:p>
        </w:tc>
        <w:tc>
          <w:tcPr>
            <w:tcW w:w="990" w:type="dxa"/>
            <w:tcBorders>
              <w:top w:val="single" w:color="auto" w:sz="4" w:space="0"/>
              <w:left w:val="nil"/>
              <w:bottom w:val="single" w:color="auto" w:sz="12" w:space="0"/>
              <w:right w:val="single" w:color="auto" w:sz="4" w:space="0"/>
            </w:tcBorders>
            <w:vAlign w:val="center"/>
          </w:tcPr>
          <w:p w:rsidRPr="009A6D4B" w:rsidR="009A6D4B" w:rsidP="009A6D4B" w:rsidRDefault="009A6D4B" w14:paraId="251E5E6C" w14:textId="77777777">
            <w:pPr>
              <w:spacing w:after="0" w:line="240" w:lineRule="auto"/>
              <w:jc w:val="center"/>
              <w:rPr>
                <w:rFonts w:eastAsia="Times New Roman" w:cs="Times New Roman"/>
                <w:color w:val="000000"/>
                <w:sz w:val="22"/>
              </w:rPr>
            </w:pPr>
            <w:r w:rsidRPr="009A6D4B">
              <w:rPr>
                <w:rFonts w:cs="Times New Roman"/>
                <w:color w:val="000000"/>
                <w:sz w:val="22"/>
              </w:rPr>
              <w:t>100%</w:t>
            </w:r>
          </w:p>
        </w:tc>
        <w:tc>
          <w:tcPr>
            <w:tcW w:w="1170" w:type="dxa"/>
            <w:tcBorders>
              <w:top w:val="single" w:color="auto" w:sz="4" w:space="0"/>
              <w:left w:val="nil"/>
              <w:bottom w:val="single" w:color="auto" w:sz="12" w:space="0"/>
              <w:right w:val="single" w:color="auto" w:sz="4" w:space="0"/>
            </w:tcBorders>
            <w:vAlign w:val="center"/>
          </w:tcPr>
          <w:p w:rsidRPr="009A6D4B" w:rsidR="009A6D4B" w:rsidP="009A6D4B" w:rsidRDefault="009A6D4B" w14:paraId="191925B6" w14:textId="77777777">
            <w:pPr>
              <w:spacing w:after="0" w:line="240" w:lineRule="auto"/>
              <w:jc w:val="center"/>
              <w:rPr>
                <w:rFonts w:eastAsia="Times New Roman" w:cs="Times New Roman"/>
                <w:color w:val="000000"/>
                <w:sz w:val="22"/>
              </w:rPr>
            </w:pPr>
            <w:r w:rsidRPr="009A6D4B">
              <w:rPr>
                <w:rFonts w:cs="Times New Roman"/>
                <w:color w:val="000000"/>
                <w:sz w:val="22"/>
              </w:rPr>
              <w:t>150</w:t>
            </w:r>
          </w:p>
        </w:tc>
      </w:tr>
      <w:tr w:rsidRPr="009A6D4B" w:rsidR="009A6D4B" w:rsidTr="00604876" w14:paraId="701BC186" w14:textId="77777777">
        <w:trPr>
          <w:trHeight w:val="300"/>
        </w:trPr>
        <w:tc>
          <w:tcPr>
            <w:tcW w:w="3037"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604876" w:rsidR="009A6D4B" w:rsidP="009A6D4B" w:rsidRDefault="00FC10C7" w14:paraId="4826D575" w14:textId="0B636CF6">
            <w:pPr>
              <w:spacing w:after="0" w:line="240" w:lineRule="auto"/>
              <w:rPr>
                <w:rFonts w:eastAsia="Times New Roman" w:cs="Times New Roman"/>
                <w:b/>
                <w:bCs/>
                <w:color w:val="000000"/>
                <w:sz w:val="22"/>
              </w:rPr>
            </w:pPr>
            <w:r>
              <w:rPr>
                <w:rFonts w:eastAsia="Times New Roman" w:cs="Times New Roman"/>
                <w:b/>
                <w:bCs/>
                <w:color w:val="000000"/>
                <w:sz w:val="22"/>
              </w:rPr>
              <w:t>Rating (</w:t>
            </w:r>
            <w:r w:rsidRPr="00604876" w:rsidR="009A6D4B">
              <w:rPr>
                <w:rFonts w:eastAsia="Times New Roman" w:cs="Times New Roman"/>
                <w:b/>
                <w:bCs/>
                <w:color w:val="000000"/>
                <w:sz w:val="22"/>
              </w:rPr>
              <w:t>Unlicensed</w:t>
            </w:r>
            <w:r>
              <w:rPr>
                <w:rFonts w:eastAsia="Times New Roman" w:cs="Times New Roman"/>
                <w:b/>
                <w:bCs/>
                <w:color w:val="000000"/>
                <w:sz w:val="22"/>
              </w:rPr>
              <w:t>)</w:t>
            </w:r>
            <w:r w:rsidRPr="00604876" w:rsidR="009A6D4B">
              <w:rPr>
                <w:rFonts w:eastAsia="Times New Roman" w:cs="Times New Roman"/>
                <w:b/>
                <w:bCs/>
                <w:color w:val="000000"/>
                <w:sz w:val="22"/>
              </w:rPr>
              <w:t xml:space="preserve"> Mariners</w:t>
            </w:r>
          </w:p>
        </w:tc>
        <w:tc>
          <w:tcPr>
            <w:tcW w:w="1170" w:type="dxa"/>
            <w:tcBorders>
              <w:top w:val="single" w:color="auto" w:sz="12" w:space="0"/>
              <w:left w:val="nil"/>
              <w:bottom w:val="single" w:color="auto" w:sz="4" w:space="0"/>
              <w:right w:val="single" w:color="auto" w:sz="4" w:space="0"/>
            </w:tcBorders>
            <w:shd w:val="clear" w:color="auto" w:fill="auto"/>
            <w:noWrap/>
            <w:vAlign w:val="center"/>
          </w:tcPr>
          <w:p w:rsidRPr="009A6D4B" w:rsidR="009A6D4B" w:rsidP="009A6D4B" w:rsidRDefault="009A6D4B" w14:paraId="14D7D5A1" w14:textId="77777777">
            <w:pPr>
              <w:spacing w:after="0" w:line="240" w:lineRule="auto"/>
              <w:jc w:val="center"/>
              <w:rPr>
                <w:rFonts w:eastAsia="Times New Roman" w:cs="Times New Roman"/>
                <w:color w:val="000000"/>
                <w:sz w:val="22"/>
              </w:rPr>
            </w:pPr>
          </w:p>
        </w:tc>
        <w:tc>
          <w:tcPr>
            <w:tcW w:w="990" w:type="dxa"/>
            <w:tcBorders>
              <w:top w:val="single" w:color="auto" w:sz="12" w:space="0"/>
              <w:left w:val="nil"/>
              <w:bottom w:val="single" w:color="auto" w:sz="4" w:space="0"/>
              <w:right w:val="single" w:color="auto" w:sz="4" w:space="0"/>
            </w:tcBorders>
            <w:shd w:val="clear" w:color="auto" w:fill="auto"/>
            <w:noWrap/>
            <w:vAlign w:val="center"/>
          </w:tcPr>
          <w:p w:rsidRPr="009A6D4B" w:rsidR="009A6D4B" w:rsidP="009A6D4B" w:rsidRDefault="009A6D4B" w14:paraId="372B3916" w14:textId="77777777">
            <w:pPr>
              <w:spacing w:after="0" w:line="240" w:lineRule="auto"/>
              <w:jc w:val="center"/>
              <w:rPr>
                <w:rFonts w:eastAsia="Times New Roman" w:cs="Times New Roman"/>
                <w:color w:val="000000"/>
                <w:sz w:val="22"/>
              </w:rPr>
            </w:pPr>
          </w:p>
        </w:tc>
        <w:tc>
          <w:tcPr>
            <w:tcW w:w="1170" w:type="dxa"/>
            <w:tcBorders>
              <w:top w:val="single" w:color="auto" w:sz="12" w:space="0"/>
              <w:left w:val="nil"/>
              <w:bottom w:val="single" w:color="auto" w:sz="4" w:space="0"/>
              <w:right w:val="single" w:color="auto" w:sz="4" w:space="0"/>
            </w:tcBorders>
            <w:vAlign w:val="center"/>
          </w:tcPr>
          <w:p w:rsidRPr="009A6D4B" w:rsidR="009A6D4B" w:rsidP="009A6D4B" w:rsidRDefault="009A6D4B" w14:paraId="1039D24B" w14:textId="77777777">
            <w:pPr>
              <w:spacing w:after="0" w:line="240" w:lineRule="auto"/>
              <w:jc w:val="center"/>
              <w:rPr>
                <w:rFonts w:eastAsia="Times New Roman" w:cs="Times New Roman"/>
                <w:color w:val="000000"/>
                <w:sz w:val="22"/>
              </w:rPr>
            </w:pPr>
          </w:p>
        </w:tc>
        <w:tc>
          <w:tcPr>
            <w:tcW w:w="1170" w:type="dxa"/>
            <w:tcBorders>
              <w:top w:val="single" w:color="auto" w:sz="12" w:space="0"/>
              <w:left w:val="single" w:color="auto" w:sz="4" w:space="0"/>
              <w:bottom w:val="single" w:color="auto" w:sz="4" w:space="0"/>
              <w:right w:val="single" w:color="auto" w:sz="4" w:space="0"/>
            </w:tcBorders>
            <w:vAlign w:val="center"/>
          </w:tcPr>
          <w:p w:rsidRPr="009A6D4B" w:rsidR="009A6D4B" w:rsidP="009A6D4B" w:rsidRDefault="009A6D4B" w14:paraId="15453DCC" w14:textId="77777777">
            <w:pPr>
              <w:spacing w:after="0" w:line="240" w:lineRule="auto"/>
              <w:jc w:val="center"/>
              <w:rPr>
                <w:rFonts w:eastAsia="Times New Roman" w:cs="Times New Roman"/>
                <w:color w:val="000000"/>
                <w:sz w:val="22"/>
              </w:rPr>
            </w:pPr>
          </w:p>
        </w:tc>
        <w:tc>
          <w:tcPr>
            <w:tcW w:w="990" w:type="dxa"/>
            <w:tcBorders>
              <w:top w:val="single" w:color="auto" w:sz="12" w:space="0"/>
              <w:left w:val="nil"/>
              <w:bottom w:val="single" w:color="auto" w:sz="4" w:space="0"/>
              <w:right w:val="single" w:color="auto" w:sz="4" w:space="0"/>
            </w:tcBorders>
            <w:vAlign w:val="center"/>
          </w:tcPr>
          <w:p w:rsidRPr="009A6D4B" w:rsidR="009A6D4B" w:rsidP="009A6D4B" w:rsidRDefault="009A6D4B" w14:paraId="1C607794" w14:textId="77777777">
            <w:pPr>
              <w:spacing w:after="0" w:line="240" w:lineRule="auto"/>
              <w:jc w:val="center"/>
              <w:rPr>
                <w:rFonts w:eastAsia="Times New Roman" w:cs="Times New Roman"/>
                <w:color w:val="000000"/>
                <w:sz w:val="22"/>
              </w:rPr>
            </w:pPr>
          </w:p>
        </w:tc>
        <w:tc>
          <w:tcPr>
            <w:tcW w:w="1170" w:type="dxa"/>
            <w:tcBorders>
              <w:top w:val="single" w:color="auto" w:sz="12" w:space="0"/>
              <w:left w:val="nil"/>
              <w:bottom w:val="single" w:color="auto" w:sz="4" w:space="0"/>
              <w:right w:val="single" w:color="auto" w:sz="4" w:space="0"/>
            </w:tcBorders>
            <w:vAlign w:val="center"/>
          </w:tcPr>
          <w:p w:rsidRPr="009A6D4B" w:rsidR="009A6D4B" w:rsidP="009A6D4B" w:rsidRDefault="009A6D4B" w14:paraId="3BD832A5" w14:textId="77777777">
            <w:pPr>
              <w:spacing w:after="0" w:line="240" w:lineRule="auto"/>
              <w:jc w:val="center"/>
              <w:rPr>
                <w:rFonts w:eastAsia="Times New Roman" w:cs="Times New Roman"/>
                <w:color w:val="000000"/>
                <w:sz w:val="22"/>
              </w:rPr>
            </w:pPr>
          </w:p>
        </w:tc>
      </w:tr>
      <w:tr w:rsidRPr="009A6D4B" w:rsidR="009A6D4B" w:rsidTr="00811BA5" w14:paraId="02F76DE6"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73DC2CDC"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Able Seaman Unlimited</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60B1E570"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11,928</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23BBDAB9" w14:textId="77777777">
            <w:pPr>
              <w:spacing w:after="0" w:line="240" w:lineRule="auto"/>
              <w:jc w:val="center"/>
              <w:rPr>
                <w:rFonts w:eastAsia="Times New Roman" w:cs="Times New Roman"/>
                <w:color w:val="000000"/>
                <w:sz w:val="22"/>
              </w:rPr>
            </w:pPr>
            <w:r w:rsidRPr="009A6D4B">
              <w:rPr>
                <w:rFonts w:cs="Times New Roman"/>
                <w:sz w:val="22"/>
              </w:rPr>
              <w:t>14%</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78C2A74C" w14:textId="77777777">
            <w:pPr>
              <w:spacing w:after="0" w:line="240" w:lineRule="auto"/>
              <w:jc w:val="center"/>
              <w:rPr>
                <w:rFonts w:eastAsia="Times New Roman" w:cs="Times New Roman"/>
                <w:color w:val="000000"/>
                <w:sz w:val="22"/>
              </w:rPr>
            </w:pPr>
            <w:r w:rsidRPr="009A6D4B">
              <w:rPr>
                <w:rFonts w:cs="Times New Roman"/>
                <w:color w:val="000000"/>
                <w:sz w:val="22"/>
              </w:rPr>
              <w:t>21</w:t>
            </w:r>
          </w:p>
        </w:tc>
        <w:tc>
          <w:tcPr>
            <w:tcW w:w="1170" w:type="dxa"/>
            <w:tcBorders>
              <w:top w:val="single" w:color="auto" w:sz="4" w:space="0"/>
              <w:left w:val="single" w:color="auto" w:sz="4" w:space="0"/>
              <w:bottom w:val="single" w:color="auto" w:sz="4" w:space="0"/>
              <w:right w:val="single" w:color="auto" w:sz="4" w:space="0"/>
            </w:tcBorders>
          </w:tcPr>
          <w:p w:rsidRPr="009A6D4B" w:rsidR="009A6D4B" w:rsidP="009A6D4B" w:rsidRDefault="009A6D4B" w14:paraId="5E99025F"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990" w:type="dxa"/>
            <w:tcBorders>
              <w:top w:val="single" w:color="auto" w:sz="4" w:space="0"/>
              <w:left w:val="nil"/>
              <w:bottom w:val="single" w:color="auto" w:sz="4" w:space="0"/>
              <w:right w:val="single" w:color="auto" w:sz="4" w:space="0"/>
            </w:tcBorders>
          </w:tcPr>
          <w:p w:rsidRPr="009A6D4B" w:rsidR="009A6D4B" w:rsidP="009A6D4B" w:rsidRDefault="009A6D4B" w14:paraId="2EFCE8C7"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1170" w:type="dxa"/>
            <w:tcBorders>
              <w:top w:val="single" w:color="auto" w:sz="4" w:space="0"/>
              <w:left w:val="nil"/>
              <w:bottom w:val="single" w:color="auto" w:sz="4" w:space="0"/>
              <w:right w:val="single" w:color="auto" w:sz="4" w:space="0"/>
            </w:tcBorders>
          </w:tcPr>
          <w:p w:rsidRPr="009A6D4B" w:rsidR="009A6D4B" w:rsidP="009A6D4B" w:rsidRDefault="009A6D4B" w14:paraId="377AF435"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r>
      <w:tr w:rsidRPr="009A6D4B" w:rsidR="009A6D4B" w:rsidTr="00811BA5" w14:paraId="658FC207" w14:textId="77777777">
        <w:trPr>
          <w:trHeight w:val="300"/>
        </w:trPr>
        <w:tc>
          <w:tcPr>
            <w:tcW w:w="3037" w:type="dxa"/>
            <w:tcBorders>
              <w:top w:val="nil"/>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693FBF75"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Able Seaman Special</w:t>
            </w:r>
          </w:p>
        </w:tc>
        <w:tc>
          <w:tcPr>
            <w:tcW w:w="1170" w:type="dxa"/>
            <w:tcBorders>
              <w:top w:val="nil"/>
              <w:left w:val="nil"/>
              <w:bottom w:val="single" w:color="auto" w:sz="4" w:space="0"/>
              <w:right w:val="single" w:color="auto" w:sz="4" w:space="0"/>
            </w:tcBorders>
            <w:shd w:val="clear" w:color="auto" w:fill="auto"/>
            <w:noWrap/>
            <w:vAlign w:val="center"/>
          </w:tcPr>
          <w:p w:rsidRPr="009A6D4B" w:rsidR="009A6D4B" w:rsidP="009A6D4B" w:rsidRDefault="009A6D4B" w14:paraId="4DA0E078"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5,651</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2FD03AD4" w14:textId="77777777">
            <w:pPr>
              <w:spacing w:after="0" w:line="240" w:lineRule="auto"/>
              <w:jc w:val="center"/>
              <w:rPr>
                <w:rFonts w:eastAsia="Times New Roman" w:cs="Times New Roman"/>
                <w:color w:val="000000"/>
                <w:sz w:val="22"/>
              </w:rPr>
            </w:pPr>
            <w:r w:rsidRPr="009A6D4B">
              <w:rPr>
                <w:rFonts w:cs="Times New Roman"/>
                <w:sz w:val="22"/>
              </w:rPr>
              <w:t>6%</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626DABAF" w14:textId="77777777">
            <w:pPr>
              <w:spacing w:after="0" w:line="240" w:lineRule="auto"/>
              <w:jc w:val="center"/>
              <w:rPr>
                <w:rFonts w:eastAsia="Times New Roman" w:cs="Times New Roman"/>
                <w:color w:val="000000"/>
                <w:sz w:val="22"/>
              </w:rPr>
            </w:pPr>
            <w:r w:rsidRPr="009A6D4B">
              <w:rPr>
                <w:rFonts w:cs="Times New Roman"/>
                <w:color w:val="000000"/>
                <w:sz w:val="22"/>
              </w:rPr>
              <w:t>10</w:t>
            </w:r>
          </w:p>
        </w:tc>
        <w:tc>
          <w:tcPr>
            <w:tcW w:w="1170" w:type="dxa"/>
            <w:tcBorders>
              <w:top w:val="single" w:color="auto" w:sz="4" w:space="0"/>
              <w:left w:val="single" w:color="auto" w:sz="4" w:space="0"/>
              <w:bottom w:val="single" w:color="auto" w:sz="4" w:space="0"/>
              <w:right w:val="single" w:color="auto" w:sz="4" w:space="0"/>
            </w:tcBorders>
          </w:tcPr>
          <w:p w:rsidRPr="009A6D4B" w:rsidR="009A6D4B" w:rsidP="009A6D4B" w:rsidRDefault="009A6D4B" w14:paraId="24603C28"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990" w:type="dxa"/>
            <w:tcBorders>
              <w:top w:val="single" w:color="auto" w:sz="4" w:space="0"/>
              <w:left w:val="nil"/>
              <w:bottom w:val="single" w:color="auto" w:sz="4" w:space="0"/>
              <w:right w:val="single" w:color="auto" w:sz="4" w:space="0"/>
            </w:tcBorders>
          </w:tcPr>
          <w:p w:rsidRPr="009A6D4B" w:rsidR="009A6D4B" w:rsidP="009A6D4B" w:rsidRDefault="009A6D4B" w14:paraId="1AF08D5F"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1170" w:type="dxa"/>
            <w:tcBorders>
              <w:top w:val="single" w:color="auto" w:sz="4" w:space="0"/>
              <w:left w:val="nil"/>
              <w:bottom w:val="single" w:color="auto" w:sz="4" w:space="0"/>
              <w:right w:val="single" w:color="auto" w:sz="4" w:space="0"/>
            </w:tcBorders>
          </w:tcPr>
          <w:p w:rsidRPr="009A6D4B" w:rsidR="009A6D4B" w:rsidP="009A6D4B" w:rsidRDefault="009A6D4B" w14:paraId="196C29E4"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r>
      <w:tr w:rsidRPr="009A6D4B" w:rsidR="009A6D4B" w:rsidTr="00811BA5" w14:paraId="543125EA" w14:textId="77777777">
        <w:trPr>
          <w:trHeight w:val="300"/>
        </w:trPr>
        <w:tc>
          <w:tcPr>
            <w:tcW w:w="303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57137B35"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QMED</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216A72FA"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4,262</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0BC9A8AE" w14:textId="77777777">
            <w:pPr>
              <w:spacing w:after="0" w:line="240" w:lineRule="auto"/>
              <w:jc w:val="center"/>
              <w:rPr>
                <w:rFonts w:eastAsia="Times New Roman" w:cs="Times New Roman"/>
                <w:color w:val="000000"/>
                <w:sz w:val="22"/>
              </w:rPr>
            </w:pPr>
            <w:r w:rsidRPr="009A6D4B">
              <w:rPr>
                <w:rFonts w:cs="Times New Roman"/>
                <w:sz w:val="22"/>
              </w:rPr>
              <w:t>5%</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5258D61B" w14:textId="77777777">
            <w:pPr>
              <w:spacing w:after="0" w:line="240" w:lineRule="auto"/>
              <w:jc w:val="center"/>
              <w:rPr>
                <w:rFonts w:eastAsia="Times New Roman" w:cs="Times New Roman"/>
                <w:color w:val="000000"/>
                <w:sz w:val="22"/>
              </w:rPr>
            </w:pPr>
            <w:r w:rsidRPr="009A6D4B">
              <w:rPr>
                <w:rFonts w:cs="Times New Roman"/>
                <w:color w:val="000000"/>
                <w:sz w:val="22"/>
              </w:rPr>
              <w:t>7</w:t>
            </w:r>
          </w:p>
        </w:tc>
        <w:tc>
          <w:tcPr>
            <w:tcW w:w="1170" w:type="dxa"/>
            <w:tcBorders>
              <w:top w:val="single" w:color="auto" w:sz="4" w:space="0"/>
              <w:left w:val="single" w:color="auto" w:sz="4" w:space="0"/>
              <w:bottom w:val="single" w:color="auto" w:sz="4" w:space="0"/>
              <w:right w:val="single" w:color="auto" w:sz="4" w:space="0"/>
            </w:tcBorders>
          </w:tcPr>
          <w:p w:rsidRPr="009A6D4B" w:rsidR="009A6D4B" w:rsidP="009A6D4B" w:rsidRDefault="009A6D4B" w14:paraId="351A9ACF"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990" w:type="dxa"/>
            <w:tcBorders>
              <w:top w:val="single" w:color="auto" w:sz="4" w:space="0"/>
              <w:left w:val="nil"/>
              <w:bottom w:val="single" w:color="auto" w:sz="4" w:space="0"/>
              <w:right w:val="single" w:color="auto" w:sz="4" w:space="0"/>
            </w:tcBorders>
          </w:tcPr>
          <w:p w:rsidRPr="009A6D4B" w:rsidR="009A6D4B" w:rsidP="009A6D4B" w:rsidRDefault="009A6D4B" w14:paraId="58B1B83C"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1170" w:type="dxa"/>
            <w:tcBorders>
              <w:top w:val="single" w:color="auto" w:sz="4" w:space="0"/>
              <w:left w:val="nil"/>
              <w:bottom w:val="single" w:color="auto" w:sz="4" w:space="0"/>
              <w:right w:val="single" w:color="auto" w:sz="4" w:space="0"/>
            </w:tcBorders>
          </w:tcPr>
          <w:p w:rsidRPr="009A6D4B" w:rsidR="009A6D4B" w:rsidP="009A6D4B" w:rsidRDefault="009A6D4B" w14:paraId="34F5C91D"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r>
      <w:tr w:rsidRPr="009A6D4B" w:rsidR="009A6D4B" w:rsidTr="00773185" w14:paraId="1B8A70E8" w14:textId="77777777">
        <w:trPr>
          <w:trHeight w:val="300"/>
        </w:trPr>
        <w:tc>
          <w:tcPr>
            <w:tcW w:w="303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A6D4B" w:rsidR="009A6D4B" w:rsidP="009A6D4B" w:rsidRDefault="009A6D4B" w14:paraId="7C886DAD" w14:textId="77777777">
            <w:pPr>
              <w:spacing w:after="0" w:line="240" w:lineRule="auto"/>
              <w:ind w:left="216"/>
              <w:rPr>
                <w:rFonts w:eastAsia="Times New Roman" w:cs="Times New Roman"/>
                <w:color w:val="000000"/>
                <w:sz w:val="22"/>
              </w:rPr>
            </w:pPr>
            <w:r w:rsidRPr="009A6D4B">
              <w:rPr>
                <w:rFonts w:eastAsia="Times New Roman" w:cs="Times New Roman"/>
                <w:color w:val="000000"/>
                <w:sz w:val="22"/>
              </w:rPr>
              <w:t>Ordinary Seaman/Wiper/ Steward</w:t>
            </w:r>
          </w:p>
        </w:tc>
        <w:tc>
          <w:tcPr>
            <w:tcW w:w="117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18E486BA"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64,991</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9A6D4B" w:rsidR="009A6D4B" w:rsidP="009A6D4B" w:rsidRDefault="009A6D4B" w14:paraId="1211513C" w14:textId="77777777">
            <w:pPr>
              <w:spacing w:after="0" w:line="240" w:lineRule="auto"/>
              <w:jc w:val="center"/>
              <w:rPr>
                <w:rFonts w:eastAsia="Times New Roman" w:cs="Times New Roman"/>
                <w:color w:val="000000"/>
                <w:sz w:val="22"/>
              </w:rPr>
            </w:pPr>
            <w:r w:rsidRPr="009A6D4B">
              <w:rPr>
                <w:rFonts w:cs="Times New Roman"/>
                <w:sz w:val="22"/>
              </w:rPr>
              <w:t>75%</w:t>
            </w:r>
          </w:p>
        </w:tc>
        <w:tc>
          <w:tcPr>
            <w:tcW w:w="1170" w:type="dxa"/>
            <w:tcBorders>
              <w:top w:val="single" w:color="auto" w:sz="4" w:space="0"/>
              <w:left w:val="nil"/>
              <w:bottom w:val="single" w:color="auto" w:sz="4" w:space="0"/>
              <w:right w:val="single" w:color="auto" w:sz="4" w:space="0"/>
            </w:tcBorders>
            <w:vAlign w:val="center"/>
          </w:tcPr>
          <w:p w:rsidRPr="009A6D4B" w:rsidR="009A6D4B" w:rsidP="009A6D4B" w:rsidRDefault="009A6D4B" w14:paraId="3D661F19" w14:textId="77777777">
            <w:pPr>
              <w:spacing w:after="0" w:line="240" w:lineRule="auto"/>
              <w:jc w:val="center"/>
              <w:rPr>
                <w:rFonts w:eastAsia="Times New Roman" w:cs="Times New Roman"/>
                <w:color w:val="000000"/>
                <w:sz w:val="22"/>
              </w:rPr>
            </w:pPr>
            <w:r w:rsidRPr="009A6D4B">
              <w:rPr>
                <w:rFonts w:cs="Times New Roman"/>
                <w:color w:val="000000"/>
                <w:sz w:val="22"/>
              </w:rPr>
              <w:t>112</w:t>
            </w:r>
          </w:p>
        </w:tc>
        <w:tc>
          <w:tcPr>
            <w:tcW w:w="1170" w:type="dxa"/>
            <w:tcBorders>
              <w:top w:val="single" w:color="auto" w:sz="4" w:space="0"/>
              <w:left w:val="single" w:color="auto" w:sz="4" w:space="0"/>
              <w:bottom w:val="single" w:color="auto" w:sz="4" w:space="0"/>
              <w:right w:val="single" w:color="auto" w:sz="4" w:space="0"/>
            </w:tcBorders>
          </w:tcPr>
          <w:p w:rsidRPr="009A6D4B" w:rsidR="009A6D4B" w:rsidP="009A6D4B" w:rsidRDefault="009A6D4B" w14:paraId="11C3D3AF"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990" w:type="dxa"/>
            <w:tcBorders>
              <w:top w:val="single" w:color="auto" w:sz="4" w:space="0"/>
              <w:left w:val="nil"/>
              <w:bottom w:val="single" w:color="auto" w:sz="4" w:space="0"/>
              <w:right w:val="single" w:color="auto" w:sz="4" w:space="0"/>
            </w:tcBorders>
          </w:tcPr>
          <w:p w:rsidRPr="009A6D4B" w:rsidR="009A6D4B" w:rsidP="009A6D4B" w:rsidRDefault="009A6D4B" w14:paraId="209C8CA2"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1170" w:type="dxa"/>
            <w:tcBorders>
              <w:top w:val="single" w:color="auto" w:sz="4" w:space="0"/>
              <w:left w:val="nil"/>
              <w:bottom w:val="single" w:color="auto" w:sz="4" w:space="0"/>
              <w:right w:val="single" w:color="auto" w:sz="4" w:space="0"/>
            </w:tcBorders>
          </w:tcPr>
          <w:p w:rsidRPr="009A6D4B" w:rsidR="009A6D4B" w:rsidP="009A6D4B" w:rsidRDefault="009A6D4B" w14:paraId="30CBF533" w14:textId="7777777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r>
      <w:tr w:rsidRPr="009A6D4B" w:rsidR="00D77A33" w:rsidTr="00773185" w14:paraId="23717B10" w14:textId="77777777">
        <w:trPr>
          <w:trHeight w:val="300"/>
        </w:trPr>
        <w:tc>
          <w:tcPr>
            <w:tcW w:w="3037" w:type="dxa"/>
            <w:tcBorders>
              <w:top w:val="single" w:color="auto" w:sz="4" w:space="0"/>
              <w:left w:val="single" w:color="auto" w:sz="4" w:space="0"/>
              <w:bottom w:val="single" w:color="auto" w:sz="12" w:space="0"/>
              <w:right w:val="single" w:color="auto" w:sz="4" w:space="0"/>
            </w:tcBorders>
            <w:shd w:val="clear" w:color="auto" w:fill="auto"/>
            <w:noWrap/>
            <w:vAlign w:val="bottom"/>
          </w:tcPr>
          <w:p w:rsidRPr="009A6D4B" w:rsidR="00D77A33" w:rsidP="00D77A33" w:rsidRDefault="00D77A33" w14:paraId="41B1D976" w14:textId="3237DFCA">
            <w:pPr>
              <w:spacing w:after="0" w:line="240" w:lineRule="auto"/>
              <w:ind w:left="216"/>
              <w:rPr>
                <w:rFonts w:eastAsia="Times New Roman" w:cs="Times New Roman"/>
                <w:color w:val="000000"/>
                <w:sz w:val="22"/>
              </w:rPr>
            </w:pPr>
            <w:r>
              <w:rPr>
                <w:rFonts w:eastAsia="Times New Roman" w:cs="Times New Roman"/>
                <w:color w:val="000000"/>
                <w:sz w:val="22"/>
              </w:rPr>
              <w:t>Subtotal</w:t>
            </w:r>
          </w:p>
        </w:tc>
        <w:tc>
          <w:tcPr>
            <w:tcW w:w="1170" w:type="dxa"/>
            <w:tcBorders>
              <w:top w:val="single" w:color="auto" w:sz="4" w:space="0"/>
              <w:left w:val="nil"/>
              <w:bottom w:val="single" w:color="auto" w:sz="12" w:space="0"/>
              <w:right w:val="single" w:color="auto" w:sz="4" w:space="0"/>
            </w:tcBorders>
            <w:shd w:val="clear" w:color="auto" w:fill="auto"/>
            <w:noWrap/>
            <w:vAlign w:val="center"/>
          </w:tcPr>
          <w:p w:rsidRPr="009A6D4B" w:rsidR="00D77A33" w:rsidP="00D77A33" w:rsidRDefault="00D77A33" w14:paraId="5EF05BD5" w14:textId="4CFA99E0">
            <w:pPr>
              <w:spacing w:after="0" w:line="240" w:lineRule="auto"/>
              <w:jc w:val="center"/>
              <w:rPr>
                <w:rFonts w:eastAsia="Times New Roman" w:cs="Times New Roman"/>
                <w:color w:val="000000"/>
                <w:sz w:val="22"/>
              </w:rPr>
            </w:pPr>
            <w:r>
              <w:rPr>
                <w:rFonts w:eastAsia="Times New Roman" w:cs="Times New Roman"/>
                <w:color w:val="000000"/>
                <w:sz w:val="22"/>
              </w:rPr>
              <w:t>86,832</w:t>
            </w:r>
          </w:p>
        </w:tc>
        <w:tc>
          <w:tcPr>
            <w:tcW w:w="990" w:type="dxa"/>
            <w:tcBorders>
              <w:top w:val="single" w:color="auto" w:sz="4" w:space="0"/>
              <w:left w:val="nil"/>
              <w:bottom w:val="single" w:color="auto" w:sz="12" w:space="0"/>
              <w:right w:val="single" w:color="auto" w:sz="4" w:space="0"/>
            </w:tcBorders>
            <w:shd w:val="clear" w:color="auto" w:fill="auto"/>
            <w:noWrap/>
            <w:vAlign w:val="center"/>
          </w:tcPr>
          <w:p w:rsidRPr="009A6D4B" w:rsidR="00D77A33" w:rsidP="00D77A33" w:rsidRDefault="00D77A33" w14:paraId="45FFDDA9" w14:textId="54731A6E">
            <w:pPr>
              <w:spacing w:after="0" w:line="240" w:lineRule="auto"/>
              <w:jc w:val="center"/>
              <w:rPr>
                <w:rFonts w:cs="Times New Roman"/>
                <w:color w:val="000000"/>
                <w:sz w:val="22"/>
              </w:rPr>
            </w:pPr>
            <w:r>
              <w:rPr>
                <w:rFonts w:cs="Times New Roman"/>
                <w:color w:val="000000"/>
                <w:sz w:val="22"/>
              </w:rPr>
              <w:t>100%</w:t>
            </w:r>
          </w:p>
        </w:tc>
        <w:tc>
          <w:tcPr>
            <w:tcW w:w="1170" w:type="dxa"/>
            <w:tcBorders>
              <w:top w:val="single" w:color="auto" w:sz="4" w:space="0"/>
              <w:left w:val="nil"/>
              <w:bottom w:val="single" w:color="auto" w:sz="12" w:space="0"/>
              <w:right w:val="single" w:color="auto" w:sz="4" w:space="0"/>
            </w:tcBorders>
            <w:vAlign w:val="center"/>
          </w:tcPr>
          <w:p w:rsidRPr="009A6D4B" w:rsidR="00D77A33" w:rsidP="00D77A33" w:rsidRDefault="00D77A33" w14:paraId="03E769B9" w14:textId="249C749F">
            <w:pPr>
              <w:spacing w:after="0" w:line="240" w:lineRule="auto"/>
              <w:jc w:val="center"/>
              <w:rPr>
                <w:rFonts w:cs="Times New Roman"/>
                <w:sz w:val="22"/>
              </w:rPr>
            </w:pPr>
            <w:r w:rsidRPr="009A6D4B">
              <w:rPr>
                <w:rFonts w:cs="Times New Roman"/>
                <w:sz w:val="22"/>
              </w:rPr>
              <w:t>150</w:t>
            </w:r>
          </w:p>
        </w:tc>
        <w:tc>
          <w:tcPr>
            <w:tcW w:w="1170" w:type="dxa"/>
            <w:tcBorders>
              <w:top w:val="single" w:color="auto" w:sz="4" w:space="0"/>
              <w:left w:val="single" w:color="auto" w:sz="4" w:space="0"/>
              <w:bottom w:val="single" w:color="auto" w:sz="12" w:space="0"/>
              <w:right w:val="single" w:color="auto" w:sz="4" w:space="0"/>
            </w:tcBorders>
          </w:tcPr>
          <w:p w:rsidRPr="009A6D4B" w:rsidR="00D77A33" w:rsidP="00D77A33" w:rsidRDefault="00D77A33" w14:paraId="5FCFA311" w14:textId="2132BFB2">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990" w:type="dxa"/>
            <w:tcBorders>
              <w:top w:val="single" w:color="auto" w:sz="4" w:space="0"/>
              <w:left w:val="nil"/>
              <w:bottom w:val="single" w:color="auto" w:sz="12" w:space="0"/>
              <w:right w:val="single" w:color="auto" w:sz="4" w:space="0"/>
            </w:tcBorders>
          </w:tcPr>
          <w:p w:rsidRPr="009A6D4B" w:rsidR="00D77A33" w:rsidP="00D77A33" w:rsidRDefault="00D77A33" w14:paraId="3BAF9A3E" w14:textId="32F0D187">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c>
          <w:tcPr>
            <w:tcW w:w="1170" w:type="dxa"/>
            <w:tcBorders>
              <w:top w:val="single" w:color="auto" w:sz="4" w:space="0"/>
              <w:left w:val="nil"/>
              <w:bottom w:val="single" w:color="auto" w:sz="12" w:space="0"/>
              <w:right w:val="single" w:color="auto" w:sz="4" w:space="0"/>
            </w:tcBorders>
          </w:tcPr>
          <w:p w:rsidRPr="009A6D4B" w:rsidR="00D77A33" w:rsidP="00D77A33" w:rsidRDefault="00D77A33" w14:paraId="5ABD18E9" w14:textId="5BA2F4EB">
            <w:pPr>
              <w:spacing w:after="0" w:line="240" w:lineRule="auto"/>
              <w:jc w:val="center"/>
              <w:rPr>
                <w:rFonts w:eastAsia="Times New Roman" w:cs="Times New Roman"/>
                <w:color w:val="000000"/>
                <w:sz w:val="22"/>
              </w:rPr>
            </w:pPr>
            <w:r w:rsidRPr="009A6D4B">
              <w:rPr>
                <w:rFonts w:eastAsia="Times New Roman" w:cs="Times New Roman"/>
                <w:color w:val="000000"/>
                <w:sz w:val="22"/>
              </w:rPr>
              <w:t>n/a</w:t>
            </w:r>
          </w:p>
        </w:tc>
      </w:tr>
      <w:tr w:rsidRPr="00D77A33" w:rsidR="009A6D4B" w:rsidTr="00773185" w14:paraId="7133D6DF" w14:textId="77777777">
        <w:trPr>
          <w:trHeight w:val="300"/>
        </w:trPr>
        <w:tc>
          <w:tcPr>
            <w:tcW w:w="3037" w:type="dxa"/>
            <w:tcBorders>
              <w:top w:val="single" w:color="auto" w:sz="12" w:space="0"/>
              <w:left w:val="single" w:color="auto" w:sz="4" w:space="0"/>
              <w:bottom w:val="single" w:color="auto" w:sz="4" w:space="0"/>
              <w:right w:val="single" w:color="auto" w:sz="4" w:space="0"/>
            </w:tcBorders>
            <w:shd w:val="clear" w:color="auto" w:fill="auto"/>
            <w:noWrap/>
            <w:vAlign w:val="bottom"/>
          </w:tcPr>
          <w:p w:rsidRPr="00773185" w:rsidR="009A6D4B" w:rsidP="00773185" w:rsidRDefault="00D77A33" w14:paraId="291A43C8" w14:textId="751F9CCD">
            <w:pPr>
              <w:spacing w:after="0" w:line="240" w:lineRule="auto"/>
              <w:rPr>
                <w:rFonts w:eastAsia="Times New Roman" w:cs="Times New Roman"/>
                <w:b/>
                <w:bCs/>
                <w:color w:val="000000"/>
                <w:sz w:val="22"/>
              </w:rPr>
            </w:pPr>
            <w:r>
              <w:rPr>
                <w:rFonts w:eastAsia="Times New Roman" w:cs="Times New Roman"/>
                <w:b/>
                <w:bCs/>
                <w:color w:val="000000"/>
                <w:sz w:val="22"/>
              </w:rPr>
              <w:t xml:space="preserve">Grand </w:t>
            </w:r>
            <w:r w:rsidRPr="00773185" w:rsidR="009A6D4B">
              <w:rPr>
                <w:rFonts w:eastAsia="Times New Roman" w:cs="Times New Roman"/>
                <w:b/>
                <w:bCs/>
                <w:color w:val="000000"/>
                <w:sz w:val="22"/>
              </w:rPr>
              <w:t>Total</w:t>
            </w:r>
          </w:p>
        </w:tc>
        <w:tc>
          <w:tcPr>
            <w:tcW w:w="1170" w:type="dxa"/>
            <w:tcBorders>
              <w:top w:val="single" w:color="auto" w:sz="12" w:space="0"/>
              <w:left w:val="nil"/>
              <w:bottom w:val="single" w:color="auto" w:sz="4" w:space="0"/>
              <w:right w:val="single" w:color="auto" w:sz="4" w:space="0"/>
            </w:tcBorders>
            <w:shd w:val="clear" w:color="auto" w:fill="auto"/>
            <w:noWrap/>
            <w:vAlign w:val="center"/>
          </w:tcPr>
          <w:p w:rsidRPr="00773185" w:rsidR="009A6D4B" w:rsidP="009A6D4B" w:rsidRDefault="009A6D4B" w14:paraId="6FA71EC7" w14:textId="77777777">
            <w:pPr>
              <w:spacing w:after="0" w:line="240" w:lineRule="auto"/>
              <w:jc w:val="center"/>
              <w:rPr>
                <w:rFonts w:eastAsia="Times New Roman" w:cs="Times New Roman"/>
                <w:b/>
                <w:bCs/>
                <w:color w:val="000000"/>
                <w:sz w:val="22"/>
              </w:rPr>
            </w:pPr>
            <w:r w:rsidRPr="00773185">
              <w:rPr>
                <w:rFonts w:eastAsia="Times New Roman" w:cs="Times New Roman"/>
                <w:b/>
                <w:bCs/>
                <w:color w:val="000000"/>
                <w:sz w:val="22"/>
              </w:rPr>
              <w:t>102,881</w:t>
            </w:r>
          </w:p>
        </w:tc>
        <w:tc>
          <w:tcPr>
            <w:tcW w:w="990" w:type="dxa"/>
            <w:tcBorders>
              <w:top w:val="single" w:color="auto" w:sz="12" w:space="0"/>
              <w:left w:val="nil"/>
              <w:bottom w:val="single" w:color="auto" w:sz="4" w:space="0"/>
              <w:right w:val="single" w:color="auto" w:sz="4" w:space="0"/>
            </w:tcBorders>
            <w:shd w:val="clear" w:color="auto" w:fill="auto"/>
            <w:noWrap/>
            <w:vAlign w:val="center"/>
          </w:tcPr>
          <w:p w:rsidRPr="00773185" w:rsidR="009A6D4B" w:rsidP="009A6D4B" w:rsidRDefault="009A6D4B" w14:paraId="7954B14D" w14:textId="0397D3A9">
            <w:pPr>
              <w:spacing w:after="0" w:line="240" w:lineRule="auto"/>
              <w:jc w:val="center"/>
              <w:rPr>
                <w:rFonts w:eastAsia="Times New Roman" w:cs="Times New Roman"/>
                <w:b/>
                <w:bCs/>
                <w:color w:val="000000"/>
                <w:sz w:val="22"/>
              </w:rPr>
            </w:pPr>
          </w:p>
        </w:tc>
        <w:tc>
          <w:tcPr>
            <w:tcW w:w="1170" w:type="dxa"/>
            <w:tcBorders>
              <w:top w:val="single" w:color="auto" w:sz="12" w:space="0"/>
              <w:left w:val="nil"/>
              <w:bottom w:val="single" w:color="auto" w:sz="4" w:space="0"/>
              <w:right w:val="single" w:color="auto" w:sz="4" w:space="0"/>
            </w:tcBorders>
            <w:vAlign w:val="center"/>
          </w:tcPr>
          <w:p w:rsidRPr="00773185" w:rsidR="009A6D4B" w:rsidP="009A6D4B" w:rsidRDefault="00D77A33" w14:paraId="4122BE4D" w14:textId="02073BD9">
            <w:pPr>
              <w:spacing w:after="0" w:line="240" w:lineRule="auto"/>
              <w:jc w:val="center"/>
              <w:rPr>
                <w:rFonts w:eastAsia="Times New Roman" w:cs="Times New Roman"/>
                <w:b/>
                <w:bCs/>
                <w:color w:val="000000"/>
                <w:sz w:val="22"/>
              </w:rPr>
            </w:pPr>
            <w:r w:rsidRPr="00773185">
              <w:rPr>
                <w:rFonts w:cs="Times New Roman"/>
                <w:b/>
                <w:bCs/>
                <w:sz w:val="22"/>
              </w:rPr>
              <w:t>500</w:t>
            </w:r>
          </w:p>
        </w:tc>
        <w:tc>
          <w:tcPr>
            <w:tcW w:w="1170" w:type="dxa"/>
            <w:tcBorders>
              <w:top w:val="single" w:color="auto" w:sz="12" w:space="0"/>
              <w:left w:val="single" w:color="auto" w:sz="4" w:space="0"/>
              <w:bottom w:val="single" w:color="auto" w:sz="4" w:space="0"/>
              <w:right w:val="single" w:color="auto" w:sz="4" w:space="0"/>
            </w:tcBorders>
          </w:tcPr>
          <w:p w:rsidRPr="00D77A33" w:rsidR="009A6D4B" w:rsidP="009A6D4B" w:rsidRDefault="00D77A33" w14:paraId="6CEB5607" w14:textId="560B8011">
            <w:pPr>
              <w:spacing w:after="0" w:line="240" w:lineRule="auto"/>
              <w:jc w:val="center"/>
              <w:rPr>
                <w:rFonts w:eastAsia="Times New Roman" w:cs="Times New Roman"/>
                <w:b/>
                <w:bCs/>
                <w:color w:val="000000"/>
                <w:sz w:val="22"/>
              </w:rPr>
            </w:pPr>
            <w:r>
              <w:rPr>
                <w:rFonts w:eastAsia="Times New Roman" w:cs="Times New Roman"/>
                <w:b/>
                <w:bCs/>
                <w:color w:val="000000"/>
                <w:sz w:val="22"/>
              </w:rPr>
              <w:t>2,837</w:t>
            </w:r>
          </w:p>
        </w:tc>
        <w:tc>
          <w:tcPr>
            <w:tcW w:w="990" w:type="dxa"/>
            <w:tcBorders>
              <w:top w:val="single" w:color="auto" w:sz="12" w:space="0"/>
              <w:left w:val="nil"/>
              <w:bottom w:val="single" w:color="auto" w:sz="4" w:space="0"/>
              <w:right w:val="single" w:color="auto" w:sz="4" w:space="0"/>
            </w:tcBorders>
          </w:tcPr>
          <w:p w:rsidRPr="00D77A33" w:rsidR="009A6D4B" w:rsidP="009A6D4B" w:rsidRDefault="009A6D4B" w14:paraId="1B504461" w14:textId="513A4D3A">
            <w:pPr>
              <w:spacing w:after="0" w:line="240" w:lineRule="auto"/>
              <w:jc w:val="center"/>
              <w:rPr>
                <w:rFonts w:eastAsia="Times New Roman" w:cs="Times New Roman"/>
                <w:b/>
                <w:bCs/>
                <w:color w:val="000000"/>
                <w:sz w:val="22"/>
              </w:rPr>
            </w:pPr>
          </w:p>
        </w:tc>
        <w:tc>
          <w:tcPr>
            <w:tcW w:w="1170" w:type="dxa"/>
            <w:tcBorders>
              <w:top w:val="single" w:color="auto" w:sz="12" w:space="0"/>
              <w:left w:val="nil"/>
              <w:bottom w:val="single" w:color="auto" w:sz="4" w:space="0"/>
              <w:right w:val="single" w:color="auto" w:sz="4" w:space="0"/>
            </w:tcBorders>
          </w:tcPr>
          <w:p w:rsidRPr="00D77A33" w:rsidR="009A6D4B" w:rsidP="009A6D4B" w:rsidRDefault="00D77A33" w14:paraId="715BFE33" w14:textId="44B19046">
            <w:pPr>
              <w:spacing w:after="0" w:line="240" w:lineRule="auto"/>
              <w:jc w:val="center"/>
              <w:rPr>
                <w:rFonts w:eastAsia="Times New Roman" w:cs="Times New Roman"/>
                <w:b/>
                <w:bCs/>
                <w:color w:val="000000"/>
                <w:sz w:val="22"/>
              </w:rPr>
            </w:pPr>
            <w:r w:rsidRPr="00773185">
              <w:rPr>
                <w:rFonts w:eastAsia="Times New Roman" w:cs="Times New Roman"/>
                <w:b/>
                <w:bCs/>
                <w:color w:val="000000"/>
                <w:sz w:val="22"/>
              </w:rPr>
              <w:t>150</w:t>
            </w:r>
          </w:p>
        </w:tc>
      </w:tr>
    </w:tbl>
    <w:p w:rsidRPr="009A6D4B" w:rsidR="009A6D4B" w:rsidP="009A6D4B" w:rsidRDefault="009A6D4B" w14:paraId="657788AC" w14:textId="77777777"/>
    <w:p w:rsidR="00693F0C" w:rsidP="009A6D4B" w:rsidRDefault="00693F0C" w14:paraId="34859DE9" w14:textId="29C77151">
      <w:pPr>
        <w:rPr>
          <w:rFonts w:cs="Times New Roman"/>
          <w:color w:val="000000" w:themeColor="text1"/>
          <w:szCs w:val="24"/>
        </w:rPr>
      </w:pPr>
      <w:r w:rsidRPr="00DF21C1">
        <w:rPr>
          <w:rFonts w:cs="Times New Roman"/>
          <w:color w:val="000000" w:themeColor="text1"/>
          <w:szCs w:val="24"/>
        </w:rPr>
        <w:t>This collection has not been conducted previously. A survey of mariners was last conducted in 2002, but a pre-test was not conducted.</w:t>
      </w:r>
    </w:p>
    <w:p w:rsidRPr="009A6D4B" w:rsidR="00DF21C1" w:rsidP="009A6D4B" w:rsidRDefault="00DF21C1" w14:paraId="6353041E" w14:textId="77777777">
      <w:pPr>
        <w:rPr>
          <w:rFonts w:eastAsiaTheme="majorEastAsia" w:cstheme="majorBidi"/>
          <w:b/>
          <w:szCs w:val="32"/>
        </w:rPr>
      </w:pPr>
    </w:p>
    <w:p w:rsidRPr="009A6D4B" w:rsidR="00B87B0A" w:rsidP="00B87B0A" w:rsidRDefault="00B87B0A" w14:paraId="1E4E3ECD" w14:textId="77777777">
      <w:pPr>
        <w:pStyle w:val="Heading3"/>
      </w:pPr>
      <w:bookmarkStart w:name="_Toc90302244" w:id="4"/>
      <w:bookmarkStart w:name="_Toc36473985" w:id="5"/>
      <w:bookmarkStart w:name="_Toc90302130" w:id="6"/>
      <w:r w:rsidRPr="009A6D4B">
        <w:t>B.2 Statistical Methodology</w:t>
      </w:r>
      <w:bookmarkEnd w:id="4"/>
    </w:p>
    <w:bookmarkEnd w:id="5"/>
    <w:bookmarkEnd w:id="6"/>
    <w:p w:rsidR="00470084" w:rsidP="00470084" w:rsidRDefault="009A6D4B" w14:paraId="47889DA9" w14:textId="64E38521">
      <w:r w:rsidRPr="009A6D4B">
        <w:t xml:space="preserve">For the </w:t>
      </w:r>
      <w:r w:rsidRPr="009A6D4B">
        <w:rPr>
          <w:b/>
          <w:bCs/>
        </w:rPr>
        <w:t>cognitive interviews</w:t>
      </w:r>
      <w:r w:rsidRPr="009A6D4B">
        <w:t xml:space="preserve">, a simple random sample will be drawn from </w:t>
      </w:r>
      <w:r w:rsidR="003121FE">
        <w:t xml:space="preserve">each of the </w:t>
      </w:r>
      <w:r w:rsidRPr="009A6D4B">
        <w:t>six mariner groupings</w:t>
      </w:r>
      <w:r w:rsidR="001A6818">
        <w:t>.</w:t>
      </w:r>
      <w:r w:rsidRPr="009A6D4B">
        <w:t xml:space="preserve"> For the </w:t>
      </w:r>
      <w:r w:rsidRPr="009A6D4B">
        <w:rPr>
          <w:b/>
          <w:bCs/>
        </w:rPr>
        <w:t>pilot test</w:t>
      </w:r>
      <w:r w:rsidRPr="009A6D4B">
        <w:t xml:space="preserve">, a proportionate stratified random sample will be drawn from each of </w:t>
      </w:r>
      <w:r w:rsidR="003121FE">
        <w:t xml:space="preserve">the </w:t>
      </w:r>
      <w:r w:rsidRPr="009A6D4B">
        <w:t>three major groupings of mariners</w:t>
      </w:r>
      <w:r w:rsidR="001A6818">
        <w:t xml:space="preserve">. Both samples will be drawn using randomizing functions in </w:t>
      </w:r>
      <w:r w:rsidR="00B43314">
        <w:t xml:space="preserve">Microsoft </w:t>
      </w:r>
      <w:r w:rsidR="001A6818">
        <w:t>Excel.</w:t>
      </w:r>
    </w:p>
    <w:p w:rsidR="00470084" w:rsidP="00470084" w:rsidRDefault="00470084" w14:paraId="3B950726" w14:textId="6EA7909A">
      <w:r>
        <w:t>Given that the cognitive interviews and pilot test are testing the survey items and data collection methods, no attempt will be made to produce estimations from the responses given in the survey</w:t>
      </w:r>
      <w:r w:rsidR="0045216C">
        <w:t xml:space="preserve">. However, some analysis will be performed on the pilot test data with the goal of identifying improvements to the survey instrument for the full survey effort. </w:t>
      </w:r>
      <w:proofErr w:type="gramStart"/>
      <w:r w:rsidR="0045216C">
        <w:t>In particular, descriptive</w:t>
      </w:r>
      <w:proofErr w:type="gramEnd"/>
      <w:r w:rsidR="0045216C">
        <w:t xml:space="preserve"> analysis will be conducted for all survey items. Additionally, analysis will be conducted to examine the relationships between the mariner demographics captured in Section 1 and the willingness to serve items in Section 2</w:t>
      </w:r>
      <w:r w:rsidR="0000126C">
        <w:t>. This analysis</w:t>
      </w:r>
      <w:r w:rsidR="0045216C">
        <w:t xml:space="preserve"> will inform decisions on whether to revise demographic items or drop them from the full survey effort</w:t>
      </w:r>
      <w:r w:rsidR="0000126C">
        <w:t xml:space="preserve"> if they are not found to be predictive.</w:t>
      </w:r>
    </w:p>
    <w:p w:rsidRPr="006F51E4" w:rsidR="009A6D4B" w:rsidP="006F51E4" w:rsidRDefault="009A6D4B" w14:paraId="19A083D0" w14:textId="7A2EE401">
      <w:r w:rsidRPr="009A6D4B">
        <w:t xml:space="preserve">The </w:t>
      </w:r>
      <w:r w:rsidRPr="009A6D4B">
        <w:rPr>
          <w:u w:val="single"/>
        </w:rPr>
        <w:t>Mariner Survey Pre-Test</w:t>
      </w:r>
      <w:r w:rsidRPr="009A6D4B">
        <w:t xml:space="preserve"> will be conducted one time. The results will be used to test the survey instrument and other study components and identify improvements. Following the pre-test, </w:t>
      </w:r>
      <w:r w:rsidRPr="009A6D4B">
        <w:rPr>
          <w:rFonts w:cs="Times New Roman"/>
          <w:szCs w:val="24"/>
        </w:rPr>
        <w:t>MARAD will submit a separate request for the full survey effort.</w:t>
      </w:r>
      <w:bookmarkStart w:name="_Toc36473986" w:id="7"/>
    </w:p>
    <w:p w:rsidRPr="009A6D4B" w:rsidR="009A6D4B" w:rsidP="009A6D4B" w:rsidRDefault="009A6D4B" w14:paraId="3DED8373" w14:textId="77777777">
      <w:pPr>
        <w:pStyle w:val="Heading3"/>
      </w:pPr>
      <w:bookmarkStart w:name="_Toc90302131" w:id="8"/>
      <w:r w:rsidRPr="009A6D4B">
        <w:lastRenderedPageBreak/>
        <w:t>B.3 Methods to Maximize Response Rates and Deal with Issues of Nonresponse</w:t>
      </w:r>
      <w:bookmarkEnd w:id="7"/>
      <w:bookmarkEnd w:id="8"/>
      <w:r w:rsidRPr="009A6D4B">
        <w:t xml:space="preserve"> </w:t>
      </w:r>
    </w:p>
    <w:p w:rsidR="00470084" w:rsidP="009A6D4B" w:rsidRDefault="009A6D4B" w14:paraId="5BF282EA" w14:textId="3DC87ECA">
      <w:r w:rsidRPr="009A6D4B">
        <w:t xml:space="preserve">The goal of the </w:t>
      </w:r>
      <w:r w:rsidRPr="009A6D4B">
        <w:rPr>
          <w:b/>
          <w:bCs/>
        </w:rPr>
        <w:t>cognitive interviews</w:t>
      </w:r>
      <w:r w:rsidRPr="009A6D4B">
        <w:t xml:space="preserve"> is not to achieve a certain response rate, rather it is to conduct six to seven interviews with mariners in </w:t>
      </w:r>
      <w:r w:rsidR="00D04344">
        <w:t xml:space="preserve">each of the </w:t>
      </w:r>
      <w:r w:rsidRPr="009A6D4B">
        <w:t>six groupings. Sampled mariners will be contacted via regular mail</w:t>
      </w:r>
      <w:r w:rsidR="00983E90">
        <w:t xml:space="preserve"> and email</w:t>
      </w:r>
      <w:r w:rsidRPr="009A6D4B">
        <w:t>; the invitation letter will include information about the incentive for participating ($50). If there is not sufficient response to the initial letter, non-responding mariners will be contacted by phone. If needed, additional mariners will be sampled</w:t>
      </w:r>
      <w:r w:rsidR="00CB278F">
        <w:t xml:space="preserve"> and invited to participate using the same methods</w:t>
      </w:r>
      <w:r w:rsidRPr="009A6D4B">
        <w:t xml:space="preserve"> </w:t>
      </w:r>
      <w:r w:rsidR="00D04344">
        <w:t>until six to seven interviews are conducted</w:t>
      </w:r>
      <w:r w:rsidR="006B1548">
        <w:t xml:space="preserve"> with mariners in each of the six </w:t>
      </w:r>
      <w:r w:rsidR="00CB278F">
        <w:t>sub</w:t>
      </w:r>
      <w:r w:rsidR="006B1548">
        <w:t>group</w:t>
      </w:r>
      <w:r w:rsidR="00CB278F">
        <w:t>s.</w:t>
      </w:r>
    </w:p>
    <w:p w:rsidRPr="009A6D4B" w:rsidR="009A6D4B" w:rsidP="009A6D4B" w:rsidRDefault="00451020" w14:paraId="126649EA" w14:textId="05367B4E">
      <w:pPr>
        <w:rPr>
          <w:rFonts w:cs="Times New Roman"/>
          <w:szCs w:val="24"/>
        </w:rPr>
      </w:pPr>
      <w:r>
        <w:rPr>
          <w:rFonts w:cs="Times New Roman"/>
          <w:szCs w:val="24"/>
        </w:rPr>
        <w:t xml:space="preserve">The </w:t>
      </w:r>
      <w:r w:rsidRPr="00DF55E8">
        <w:rPr>
          <w:rFonts w:cs="Times New Roman"/>
          <w:b/>
          <w:bCs/>
          <w:szCs w:val="24"/>
        </w:rPr>
        <w:t>pilot test</w:t>
      </w:r>
      <w:r>
        <w:rPr>
          <w:rFonts w:cs="Times New Roman"/>
          <w:szCs w:val="24"/>
        </w:rPr>
        <w:t xml:space="preserve"> is a pre-test of the main survey effort and will consist of the same data collection methods planned for the main survey.</w:t>
      </w:r>
      <w:r w:rsidR="00470084">
        <w:rPr>
          <w:rFonts w:cs="Times New Roman"/>
          <w:szCs w:val="24"/>
        </w:rPr>
        <w:t xml:space="preserve"> The main difference between the pilot test and main survey methodology is that the pre-test data collection period will be shorter.</w:t>
      </w:r>
      <w:r>
        <w:rPr>
          <w:rFonts w:cs="Times New Roman"/>
          <w:szCs w:val="24"/>
        </w:rPr>
        <w:t xml:space="preserve"> </w:t>
      </w:r>
      <w:r w:rsidRPr="009A6D4B" w:rsidR="009A6D4B">
        <w:rPr>
          <w:rFonts w:cs="Times New Roman"/>
          <w:szCs w:val="24"/>
        </w:rPr>
        <w:t xml:space="preserve">Several strategies will be used to maximize response rates for the </w:t>
      </w:r>
      <w:r w:rsidRPr="00470084" w:rsidR="009A6D4B">
        <w:rPr>
          <w:rFonts w:cs="Times New Roman"/>
          <w:szCs w:val="24"/>
        </w:rPr>
        <w:t>pilot test</w:t>
      </w:r>
      <w:r w:rsidRPr="009A6D4B" w:rsidR="009A6D4B">
        <w:rPr>
          <w:rFonts w:cs="Times New Roman"/>
          <w:b/>
          <w:bCs/>
          <w:szCs w:val="24"/>
        </w:rPr>
        <w:t xml:space="preserve"> </w:t>
      </w:r>
      <w:r w:rsidRPr="009A6D4B" w:rsidR="009A6D4B">
        <w:rPr>
          <w:rFonts w:cs="Times New Roman"/>
          <w:szCs w:val="24"/>
        </w:rPr>
        <w:t xml:space="preserve">component of the </w:t>
      </w:r>
      <w:r w:rsidRPr="009A6D4B" w:rsidR="009A6D4B">
        <w:rPr>
          <w:rFonts w:cs="Times New Roman"/>
          <w:szCs w:val="24"/>
          <w:u w:val="single"/>
        </w:rPr>
        <w:t>Mariner Survey Pre-Test</w:t>
      </w:r>
      <w:r w:rsidRPr="009A6D4B" w:rsidR="009A6D4B">
        <w:rPr>
          <w:rFonts w:cs="Times New Roman"/>
          <w:szCs w:val="24"/>
        </w:rPr>
        <w:t xml:space="preserve">. These strategies include keeping the survey as brief as possible, offering a web and mail version of the survey, and using multiple methods to contact mariners. </w:t>
      </w:r>
      <w:r w:rsidR="00027315">
        <w:rPr>
          <w:rFonts w:cs="Times New Roman"/>
          <w:szCs w:val="24"/>
        </w:rPr>
        <w:t xml:space="preserve">The effectiveness of these strategies will be used to identify improvements to the full survey methodology. </w:t>
      </w:r>
      <w:r w:rsidRPr="009A6D4B" w:rsidR="009A6D4B">
        <w:rPr>
          <w:rFonts w:cs="Times New Roman"/>
          <w:szCs w:val="24"/>
        </w:rPr>
        <w:t>Details about these strategies are provided below.</w:t>
      </w:r>
    </w:p>
    <w:p w:rsidRPr="009A6D4B" w:rsidR="009A6D4B" w:rsidP="00416AB2" w:rsidRDefault="009A6D4B" w14:paraId="792E5C83" w14:textId="500ABFD3">
      <w:pPr>
        <w:rPr>
          <w:rFonts w:cs="Times New Roman"/>
          <w:szCs w:val="24"/>
        </w:rPr>
      </w:pPr>
      <w:r w:rsidRPr="009A6D4B">
        <w:rPr>
          <w:rFonts w:cs="Times New Roman"/>
          <w:szCs w:val="24"/>
        </w:rPr>
        <w:t xml:space="preserve">The current version of the survey consists of </w:t>
      </w:r>
      <w:r w:rsidRPr="00604876">
        <w:rPr>
          <w:rFonts w:cs="Times New Roman"/>
          <w:szCs w:val="24"/>
        </w:rPr>
        <w:t>2</w:t>
      </w:r>
      <w:r w:rsidR="00604876">
        <w:rPr>
          <w:rFonts w:cs="Times New Roman"/>
          <w:szCs w:val="24"/>
        </w:rPr>
        <w:t>5</w:t>
      </w:r>
      <w:r w:rsidRPr="009A6D4B">
        <w:rPr>
          <w:rFonts w:cs="Times New Roman"/>
          <w:szCs w:val="24"/>
        </w:rPr>
        <w:t xml:space="preserve"> questions</w:t>
      </w:r>
      <w:r w:rsidR="00A429CA">
        <w:rPr>
          <w:rFonts w:cs="Times New Roman"/>
          <w:szCs w:val="24"/>
        </w:rPr>
        <w:t xml:space="preserve"> in two sections</w:t>
      </w:r>
      <w:r w:rsidR="00604876">
        <w:rPr>
          <w:rFonts w:cs="Times New Roman"/>
          <w:szCs w:val="24"/>
        </w:rPr>
        <w:t xml:space="preserve">; depending on their </w:t>
      </w:r>
      <w:proofErr w:type="gramStart"/>
      <w:r w:rsidR="00604876">
        <w:rPr>
          <w:rFonts w:cs="Times New Roman"/>
          <w:szCs w:val="24"/>
        </w:rPr>
        <w:t>particular situation</w:t>
      </w:r>
      <w:proofErr w:type="gramEnd"/>
      <w:r w:rsidR="00604876">
        <w:rPr>
          <w:rFonts w:cs="Times New Roman"/>
          <w:szCs w:val="24"/>
        </w:rPr>
        <w:t xml:space="preserve">, some mariners will be </w:t>
      </w:r>
      <w:r w:rsidR="00416AB2">
        <w:rPr>
          <w:rFonts w:cs="Times New Roman"/>
          <w:szCs w:val="24"/>
        </w:rPr>
        <w:t>skipped out of some</w:t>
      </w:r>
      <w:r w:rsidR="00604876">
        <w:rPr>
          <w:rFonts w:cs="Times New Roman"/>
          <w:szCs w:val="24"/>
        </w:rPr>
        <w:t xml:space="preserve"> question</w:t>
      </w:r>
      <w:r w:rsidR="00416AB2">
        <w:rPr>
          <w:rFonts w:cs="Times New Roman"/>
          <w:szCs w:val="24"/>
        </w:rPr>
        <w:t>s</w:t>
      </w:r>
      <w:r w:rsidR="00604876">
        <w:rPr>
          <w:rFonts w:cs="Times New Roman"/>
          <w:szCs w:val="24"/>
        </w:rPr>
        <w:t>.</w:t>
      </w:r>
      <w:r w:rsidR="00470084">
        <w:rPr>
          <w:rFonts w:cs="Times New Roman"/>
          <w:szCs w:val="24"/>
        </w:rPr>
        <w:t xml:space="preserve"> The survey underwent multiple iterations, with the goal of minimizing respondent burden to the extent possible while still </w:t>
      </w:r>
      <w:r w:rsidR="00416AB2">
        <w:rPr>
          <w:rFonts w:cs="Times New Roman"/>
          <w:szCs w:val="24"/>
        </w:rPr>
        <w:t>captur</w:t>
      </w:r>
      <w:r w:rsidR="00470084">
        <w:rPr>
          <w:rFonts w:cs="Times New Roman"/>
          <w:szCs w:val="24"/>
        </w:rPr>
        <w:t>ing all</w:t>
      </w:r>
      <w:r w:rsidR="00416AB2">
        <w:rPr>
          <w:rFonts w:cs="Times New Roman"/>
          <w:szCs w:val="24"/>
        </w:rPr>
        <w:t xml:space="preserve"> information required to answer the study’s research </w:t>
      </w:r>
      <w:r w:rsidR="00470084">
        <w:rPr>
          <w:rFonts w:cs="Times New Roman"/>
          <w:szCs w:val="24"/>
        </w:rPr>
        <w:t>question.</w:t>
      </w:r>
      <w:r w:rsidR="00416AB2">
        <w:rPr>
          <w:rFonts w:cs="Times New Roman"/>
          <w:szCs w:val="24"/>
        </w:rPr>
        <w:t xml:space="preserve"> </w:t>
      </w:r>
      <w:r w:rsidRPr="00416AB2" w:rsidR="00416AB2">
        <w:rPr>
          <w:rFonts w:cs="Times New Roman"/>
          <w:szCs w:val="24"/>
        </w:rPr>
        <w:t>Section 1 obtains key information about mariners’ experience and potential availability in the event of a National Need. The information asked in Section 1 is not available from the MMLD or any other sources</w:t>
      </w:r>
      <w:r w:rsidR="00416AB2">
        <w:rPr>
          <w:rFonts w:cs="Times New Roman"/>
          <w:szCs w:val="24"/>
        </w:rPr>
        <w:t xml:space="preserve">. </w:t>
      </w:r>
      <w:r w:rsidRPr="00416AB2" w:rsidR="00416AB2">
        <w:rPr>
          <w:rFonts w:cs="Times New Roman"/>
          <w:szCs w:val="24"/>
        </w:rPr>
        <w:t>Section 2 assesses mariners’ willingness to volunteer to serve in the event of a National Need, and the conditions under which they might be willing to volunteer to serve</w:t>
      </w:r>
      <w:r w:rsidR="00416AB2">
        <w:rPr>
          <w:rFonts w:cs="Times New Roman"/>
          <w:szCs w:val="24"/>
        </w:rPr>
        <w:t>.</w:t>
      </w:r>
    </w:p>
    <w:p w:rsidR="009A6D4B" w:rsidP="009A6D4B" w:rsidRDefault="00416AB2" w14:paraId="02A00AE0" w14:textId="44F4FDFB">
      <w:pPr>
        <w:rPr>
          <w:rFonts w:cs="Times New Roman"/>
          <w:szCs w:val="24"/>
        </w:rPr>
      </w:pPr>
      <w:r>
        <w:rPr>
          <w:rFonts w:cs="Times New Roman"/>
          <w:szCs w:val="24"/>
        </w:rPr>
        <w:t>At different stages of data collection, mariners will be contacted via different m</w:t>
      </w:r>
      <w:r w:rsidR="00567079">
        <w:rPr>
          <w:rFonts w:cs="Times New Roman"/>
          <w:szCs w:val="24"/>
        </w:rPr>
        <w:t>ethods, an approach that has been shown to increase response rates.</w:t>
      </w:r>
      <w:r w:rsidR="00567079">
        <w:rPr>
          <w:rStyle w:val="FootnoteReference"/>
          <w:rFonts w:cs="Times New Roman"/>
          <w:szCs w:val="24"/>
        </w:rPr>
        <w:footnoteReference w:id="2"/>
      </w:r>
      <w:r>
        <w:rPr>
          <w:rFonts w:cs="Times New Roman"/>
          <w:szCs w:val="24"/>
        </w:rPr>
        <w:t xml:space="preserve"> Since a regular mail address is available for nearly all mariners in the frame, all mariners will first be mailed a survey invitation letter. The</w:t>
      </w:r>
      <w:r w:rsidRPr="009A6D4B" w:rsidR="009A6D4B">
        <w:rPr>
          <w:rFonts w:cs="Times New Roman"/>
          <w:szCs w:val="24"/>
        </w:rPr>
        <w:t xml:space="preserve"> letter will introduce the survey and its purpose, emphasize the importance of participating, provide contact information in case they have any questions, and provide the survey website and the mariner’s </w:t>
      </w:r>
      <w:r w:rsidRPr="009A6D4B" w:rsidR="009A6D4B">
        <w:t xml:space="preserve">passcode </w:t>
      </w:r>
      <w:r w:rsidRPr="009A6D4B" w:rsidR="009A6D4B">
        <w:rPr>
          <w:rFonts w:cs="Times New Roman"/>
          <w:szCs w:val="24"/>
        </w:rPr>
        <w:t xml:space="preserve">for accessing the survey. </w:t>
      </w:r>
      <w:r w:rsidR="00567079">
        <w:rPr>
          <w:rFonts w:cs="Times New Roman"/>
          <w:szCs w:val="24"/>
        </w:rPr>
        <w:t xml:space="preserve">About a week-and-a-half later, a </w:t>
      </w:r>
      <w:r w:rsidR="00234326">
        <w:rPr>
          <w:rFonts w:cs="Times New Roman"/>
          <w:szCs w:val="24"/>
        </w:rPr>
        <w:t>survey invitation will be sent via email to all mariners for whom an email address is available (approximately 92% of mariners).</w:t>
      </w:r>
    </w:p>
    <w:p w:rsidRPr="00A4283B" w:rsidR="009A6D4B" w:rsidP="009A6D4B" w:rsidRDefault="00234326" w14:paraId="50CDDB76" w14:textId="4E91D45E">
      <w:pPr>
        <w:rPr>
          <w:rFonts w:cs="Times New Roman"/>
          <w:szCs w:val="24"/>
        </w:rPr>
      </w:pPr>
      <w:r>
        <w:rPr>
          <w:rFonts w:cs="Times New Roman"/>
          <w:szCs w:val="24"/>
        </w:rPr>
        <w:t xml:space="preserve">In week four of data collection, </w:t>
      </w:r>
      <w:r w:rsidRPr="009A6D4B" w:rsidR="009A6D4B">
        <w:t xml:space="preserve">a survey packet will be mailed to all </w:t>
      </w:r>
      <w:r>
        <w:t xml:space="preserve">non-responding </w:t>
      </w:r>
      <w:r w:rsidRPr="009A6D4B" w:rsidR="009A6D4B">
        <w:t xml:space="preserve">mariners </w:t>
      </w:r>
      <w:r w:rsidR="00A4283B">
        <w:t>who do not have</w:t>
      </w:r>
      <w:r>
        <w:t xml:space="preserve"> a valid email address</w:t>
      </w:r>
      <w:r w:rsidRPr="009A6D4B" w:rsidR="009A6D4B">
        <w:t xml:space="preserve"> </w:t>
      </w:r>
      <w:r w:rsidR="00A4283B">
        <w:rPr>
          <w:rFonts w:cs="Times New Roman"/>
          <w:szCs w:val="24"/>
        </w:rPr>
        <w:t>(</w:t>
      </w:r>
      <w:r w:rsidRPr="009A6D4B" w:rsidR="00A4283B">
        <w:rPr>
          <w:rFonts w:cs="Times New Roman"/>
          <w:szCs w:val="24"/>
        </w:rPr>
        <w:t>as determined from the email survey invitation)</w:t>
      </w:r>
      <w:r w:rsidR="00A4283B">
        <w:rPr>
          <w:rFonts w:cs="Times New Roman"/>
          <w:szCs w:val="24"/>
        </w:rPr>
        <w:t xml:space="preserve">. </w:t>
      </w:r>
      <w:r w:rsidRPr="009A6D4B" w:rsidR="009A6D4B">
        <w:t xml:space="preserve">The packet will include a personalized cover letter (which, again, will provide the survey website and their passcode in case they would prefer to take the survey online), the survey questionnaire, and a business reply envelope. </w:t>
      </w:r>
      <w:r w:rsidR="00A4283B">
        <w:t>These mariners will be mailed</w:t>
      </w:r>
      <w:r w:rsidRPr="009A6D4B" w:rsidR="009A6D4B">
        <w:t xml:space="preserve"> a second </w:t>
      </w:r>
      <w:r w:rsidR="00A4283B">
        <w:t xml:space="preserve">survey </w:t>
      </w:r>
      <w:r w:rsidRPr="009A6D4B" w:rsidR="009A6D4B">
        <w:t xml:space="preserve">packet </w:t>
      </w:r>
      <w:r w:rsidR="00A4283B">
        <w:t xml:space="preserve">approximately </w:t>
      </w:r>
      <w:r w:rsidR="00A4283B">
        <w:lastRenderedPageBreak/>
        <w:t>three weeks later if they have not</w:t>
      </w:r>
      <w:r w:rsidRPr="009A6D4B" w:rsidR="009A6D4B">
        <w:t xml:space="preserve"> yet returned the mail survey, completed the survey online, or called </w:t>
      </w:r>
      <w:r w:rsidR="00A4283B">
        <w:t xml:space="preserve">Strategic Research Group </w:t>
      </w:r>
      <w:r w:rsidRPr="009A6D4B" w:rsidR="009A6D4B">
        <w:t xml:space="preserve">to opt out.  </w:t>
      </w:r>
    </w:p>
    <w:p w:rsidRPr="009A6D4B" w:rsidR="009A6D4B" w:rsidP="009A6D4B" w:rsidRDefault="009A6D4B" w14:paraId="04691E88" w14:textId="7DCFC39F">
      <w:pPr>
        <w:rPr>
          <w:rFonts w:cs="Times New Roman"/>
          <w:szCs w:val="24"/>
        </w:rPr>
      </w:pPr>
      <w:r w:rsidRPr="009A6D4B">
        <w:rPr>
          <w:rFonts w:cs="Times New Roman"/>
          <w:szCs w:val="24"/>
        </w:rPr>
        <w:t>All non-responding mariners who have a valid email address will be sent a reminder email on a weekly basis until either they complete the survey, or the survey window closes</w:t>
      </w:r>
      <w:r w:rsidR="006B1548">
        <w:rPr>
          <w:rFonts w:cs="Times New Roman"/>
          <w:szCs w:val="24"/>
        </w:rPr>
        <w:t xml:space="preserve"> ten weeks after the initial invitations are sent</w:t>
      </w:r>
      <w:r w:rsidRPr="009A6D4B">
        <w:rPr>
          <w:rFonts w:cs="Times New Roman"/>
          <w:szCs w:val="24"/>
        </w:rPr>
        <w:t xml:space="preserve">. There will be multiple versions of the follow-up reminder emails, so there is some variation in phrasing as the data collection phase progresses. In addition to sending email reminders to non-responders, email reminders will be sent to mariners who have started but not yet completed the survey. These reminders would convey appreciation to the mariner for having started the survey and encourage them to finish. </w:t>
      </w:r>
    </w:p>
    <w:p w:rsidR="00470084" w:rsidP="009A6D4B" w:rsidRDefault="009A6D4B" w14:paraId="2AB57221" w14:textId="0BABB67D">
      <w:pPr>
        <w:rPr>
          <w:rFonts w:cs="Times New Roman"/>
          <w:szCs w:val="24"/>
        </w:rPr>
      </w:pPr>
      <w:r w:rsidRPr="009A6D4B">
        <w:rPr>
          <w:rFonts w:cs="Times New Roman"/>
          <w:szCs w:val="24"/>
        </w:rPr>
        <w:t xml:space="preserve">Approximately eight weeks after sending the initial survey invitations, nonresponse telephone prompting will begin. Response will be closely monitored for the subpopulations and nonresponse efforts will be focused on </w:t>
      </w:r>
      <w:r w:rsidR="006B1548">
        <w:rPr>
          <w:rFonts w:cs="Times New Roman"/>
          <w:szCs w:val="24"/>
        </w:rPr>
        <w:t xml:space="preserve">subgroups with low response, </w:t>
      </w:r>
      <w:proofErr w:type="gramStart"/>
      <w:r w:rsidR="006B1548">
        <w:rPr>
          <w:rFonts w:cs="Times New Roman"/>
          <w:szCs w:val="24"/>
        </w:rPr>
        <w:t>in order to</w:t>
      </w:r>
      <w:proofErr w:type="gramEnd"/>
      <w:r w:rsidR="006B1548">
        <w:rPr>
          <w:rFonts w:cs="Times New Roman"/>
          <w:szCs w:val="24"/>
        </w:rPr>
        <w:t xml:space="preserve"> determine the level of effort necessary for the full survey effort to achieve the desired response rate</w:t>
      </w:r>
      <w:r w:rsidRPr="009A6D4B">
        <w:rPr>
          <w:rFonts w:cs="Times New Roman"/>
          <w:szCs w:val="24"/>
        </w:rPr>
        <w:t xml:space="preserve">. </w:t>
      </w:r>
      <w:bookmarkStart w:name="_Hlk34214260" w:id="9"/>
      <w:r w:rsidRPr="009A6D4B">
        <w:rPr>
          <w:rFonts w:cs="Times New Roman"/>
          <w:szCs w:val="24"/>
        </w:rPr>
        <w:t>The nonresponse prompting effort will also allow us to contact cases for which we have a telephone number for a mariner, but no valid email or mail address</w:t>
      </w:r>
      <w:bookmarkEnd w:id="9"/>
      <w:r w:rsidRPr="009A6D4B">
        <w:rPr>
          <w:rFonts w:cs="Times New Roman"/>
          <w:szCs w:val="24"/>
        </w:rPr>
        <w:t>.</w:t>
      </w:r>
    </w:p>
    <w:p w:rsidR="00470084" w:rsidP="009A6D4B" w:rsidRDefault="00470084" w14:paraId="1CA4DD8C" w14:textId="61FB0BCE">
      <w:pPr>
        <w:rPr>
          <w:rFonts w:cs="Times New Roman"/>
          <w:szCs w:val="24"/>
        </w:rPr>
      </w:pPr>
      <w:r>
        <w:rPr>
          <w:rFonts w:cs="Times New Roman"/>
          <w:szCs w:val="24"/>
        </w:rPr>
        <w:t xml:space="preserve">In summary, </w:t>
      </w:r>
      <w:r w:rsidR="00DF55E8">
        <w:rPr>
          <w:rFonts w:cs="Times New Roman"/>
          <w:szCs w:val="24"/>
        </w:rPr>
        <w:t xml:space="preserve">response rates will be maximized by using multiple methods of contact, offering multiple modes of the survey, sending multiple reminders, and using telephone non-response prompting. </w:t>
      </w:r>
    </w:p>
    <w:p w:rsidR="00962220" w:rsidP="009A6D4B" w:rsidRDefault="00983E90" w14:paraId="4B5F0D8A" w14:textId="77777777">
      <w:pPr>
        <w:rPr>
          <w:rFonts w:cs="Times New Roman"/>
          <w:szCs w:val="24"/>
        </w:rPr>
      </w:pPr>
      <w:r>
        <w:rPr>
          <w:rFonts w:cs="Times New Roman"/>
          <w:szCs w:val="24"/>
        </w:rPr>
        <w:t>Copies of the</w:t>
      </w:r>
      <w:r w:rsidR="00F402AB">
        <w:rPr>
          <w:rFonts w:cs="Times New Roman"/>
          <w:szCs w:val="24"/>
        </w:rPr>
        <w:t xml:space="preserve"> mail versions of the</w:t>
      </w:r>
      <w:r>
        <w:rPr>
          <w:rFonts w:cs="Times New Roman"/>
          <w:szCs w:val="24"/>
        </w:rPr>
        <w:t xml:space="preserve"> </w:t>
      </w:r>
      <w:r w:rsidRPr="00EC49E9">
        <w:rPr>
          <w:rFonts w:cs="Times New Roman"/>
          <w:szCs w:val="24"/>
          <w:u w:val="single"/>
        </w:rPr>
        <w:t>Cognitive Interview Invitation Letter</w:t>
      </w:r>
      <w:r>
        <w:rPr>
          <w:rFonts w:cs="Times New Roman"/>
          <w:szCs w:val="24"/>
        </w:rPr>
        <w:t xml:space="preserve"> and </w:t>
      </w:r>
      <w:r w:rsidRPr="00EC49E9">
        <w:rPr>
          <w:rFonts w:cs="Times New Roman"/>
          <w:szCs w:val="24"/>
          <w:u w:val="single"/>
        </w:rPr>
        <w:t>Pilot Test Survey Invitation</w:t>
      </w:r>
      <w:r w:rsidR="00F402AB">
        <w:rPr>
          <w:rFonts w:cs="Times New Roman"/>
          <w:szCs w:val="24"/>
          <w:u w:val="single"/>
        </w:rPr>
        <w:t xml:space="preserve"> Letter</w:t>
      </w:r>
      <w:r>
        <w:rPr>
          <w:rFonts w:cs="Times New Roman"/>
          <w:szCs w:val="24"/>
        </w:rPr>
        <w:t xml:space="preserve"> are provided in </w:t>
      </w:r>
      <w:r w:rsidRPr="00F402AB">
        <w:rPr>
          <w:rFonts w:cs="Times New Roman"/>
          <w:szCs w:val="24"/>
        </w:rPr>
        <w:t>Appendix 1.f</w:t>
      </w:r>
      <w:r w:rsidR="00F402AB">
        <w:rPr>
          <w:rFonts w:cs="Times New Roman"/>
          <w:szCs w:val="24"/>
        </w:rPr>
        <w:t>.</w:t>
      </w:r>
    </w:p>
    <w:p w:rsidRPr="009A6D4B" w:rsidR="009A6D4B" w:rsidP="009A6D4B" w:rsidRDefault="009A6D4B" w14:paraId="6151E269" w14:textId="69F501AA">
      <w:pPr>
        <w:rPr>
          <w:b/>
          <w:bCs/>
        </w:rPr>
      </w:pPr>
    </w:p>
    <w:p w:rsidRPr="009A6D4B" w:rsidR="009A6D4B" w:rsidP="009A6D4B" w:rsidRDefault="009A6D4B" w14:paraId="04E0004D" w14:textId="77777777">
      <w:pPr>
        <w:pStyle w:val="Heading3"/>
      </w:pPr>
      <w:bookmarkStart w:name="_Toc36473987" w:id="10"/>
      <w:bookmarkStart w:name="_Toc90302132" w:id="11"/>
      <w:r w:rsidRPr="009A6D4B">
        <w:t>B.4 Tests of Procedures or Methods</w:t>
      </w:r>
      <w:bookmarkEnd w:id="10"/>
      <w:bookmarkEnd w:id="11"/>
      <w:r w:rsidRPr="009A6D4B">
        <w:t xml:space="preserve"> </w:t>
      </w:r>
    </w:p>
    <w:p w:rsidRPr="009A6D4B" w:rsidR="009A6D4B" w:rsidP="009A6D4B" w:rsidRDefault="009A6D4B" w14:paraId="20782E2A" w14:textId="77777777">
      <w:bookmarkStart w:name="_Toc36473988" w:id="12"/>
      <w:r w:rsidRPr="009A6D4B">
        <w:t xml:space="preserve">This current request is for a pre-test of the Mariner Survey and will be used to inform the full study request for clearance to be submitted </w:t>
      </w:r>
      <w:proofErr w:type="gramStart"/>
      <w:r w:rsidRPr="009A6D4B">
        <w:t>at a later date</w:t>
      </w:r>
      <w:proofErr w:type="gramEnd"/>
      <w:r w:rsidRPr="009A6D4B">
        <w:t>.</w:t>
      </w:r>
    </w:p>
    <w:p w:rsidRPr="009A6D4B" w:rsidR="009A6D4B" w:rsidP="009A6D4B" w:rsidRDefault="009A6D4B" w14:paraId="3D8FD0D5" w14:textId="77777777"/>
    <w:p w:rsidRPr="009A6D4B" w:rsidR="009A6D4B" w:rsidP="009A6D4B" w:rsidRDefault="009A6D4B" w14:paraId="514B5179" w14:textId="77777777">
      <w:pPr>
        <w:pStyle w:val="Heading3"/>
      </w:pPr>
      <w:bookmarkStart w:name="_Toc90302133" w:id="13"/>
      <w:r w:rsidRPr="009A6D4B">
        <w:t>B.5 Individuals Consulted on Study Design</w:t>
      </w:r>
      <w:bookmarkEnd w:id="12"/>
      <w:bookmarkEnd w:id="13"/>
      <w:r w:rsidRPr="009A6D4B">
        <w:t xml:space="preserve"> </w:t>
      </w:r>
    </w:p>
    <w:p w:rsidRPr="009A6D4B" w:rsidR="009A6D4B" w:rsidP="009A6D4B" w:rsidRDefault="009A6D4B" w14:paraId="51815D7B" w14:textId="77777777">
      <w:r w:rsidRPr="009A6D4B">
        <w:t xml:space="preserve">Strategic Research Group (SRG) is the contractor providing survey design, methodology, survey administration, survey analysis, and reporting services for the </w:t>
      </w:r>
      <w:r w:rsidRPr="009A6D4B">
        <w:rPr>
          <w:u w:val="single"/>
        </w:rPr>
        <w:t>Mariner Survey Pre-Test</w:t>
      </w:r>
      <w:r w:rsidRPr="009A6D4B">
        <w:t xml:space="preserve"> to the Maritime Administration (MARAD). The SRG team is led by:</w:t>
      </w:r>
    </w:p>
    <w:p w:rsidRPr="009A6D4B" w:rsidR="009A6D4B" w:rsidP="009A6D4B" w:rsidRDefault="009A6D4B" w14:paraId="6AEC1F4F" w14:textId="77777777">
      <w:pPr>
        <w:contextualSpacing/>
      </w:pPr>
      <w:r w:rsidRPr="009A6D4B">
        <w:t xml:space="preserve">Dr. Kristen </w:t>
      </w:r>
      <w:proofErr w:type="spellStart"/>
      <w:r w:rsidRPr="009A6D4B">
        <w:t>Heimdal</w:t>
      </w:r>
      <w:proofErr w:type="spellEnd"/>
    </w:p>
    <w:p w:rsidRPr="009A6D4B" w:rsidR="009A6D4B" w:rsidP="009A6D4B" w:rsidRDefault="009A6D4B" w14:paraId="7F79FB8D" w14:textId="77777777">
      <w:pPr>
        <w:contextualSpacing/>
      </w:pPr>
      <w:r w:rsidRPr="009A6D4B">
        <w:t>Principal Investigator</w:t>
      </w:r>
    </w:p>
    <w:p w:rsidRPr="009A6D4B" w:rsidR="009A6D4B" w:rsidP="009A6D4B" w:rsidRDefault="009A6D4B" w14:paraId="05B4591F" w14:textId="77777777">
      <w:pPr>
        <w:contextualSpacing/>
      </w:pPr>
      <w:r w:rsidRPr="009A6D4B">
        <w:t>Strategic Research Group</w:t>
      </w:r>
    </w:p>
    <w:p w:rsidRPr="009A6D4B" w:rsidR="009A6D4B" w:rsidP="009A6D4B" w:rsidRDefault="009A6D4B" w14:paraId="72CBA857" w14:textId="77777777">
      <w:pPr>
        <w:contextualSpacing/>
      </w:pPr>
      <w:r w:rsidRPr="009A6D4B">
        <w:t>614-220-8860</w:t>
      </w:r>
    </w:p>
    <w:p w:rsidRPr="009A6D4B" w:rsidR="009A6D4B" w:rsidP="009A6D4B" w:rsidRDefault="006B1548" w14:paraId="0A0606A6" w14:textId="1B6FBF83">
      <w:pPr>
        <w:contextualSpacing/>
      </w:pPr>
      <w:r w:rsidRPr="009A6D4B">
        <w:rPr>
          <w:color w:val="0563C1" w:themeColor="hyperlink"/>
          <w:u w:val="single"/>
        </w:rPr>
        <w:t>kheimdal@strategicreseachgroup.com</w:t>
      </w:r>
    </w:p>
    <w:p w:rsidRPr="009A6D4B" w:rsidR="009A6D4B" w:rsidP="009A6D4B" w:rsidRDefault="009A6D4B" w14:paraId="2439B74B" w14:textId="77777777"/>
    <w:p w:rsidRPr="009A6D4B" w:rsidR="009A6D4B" w:rsidP="009A6D4B" w:rsidRDefault="009A6D4B" w14:paraId="5539796F" w14:textId="22131039">
      <w:r w:rsidRPr="009A6D4B">
        <w:t>SRG and MARAD consulted with the following staff from the Bureau of Transportation Statistics:</w:t>
      </w:r>
    </w:p>
    <w:p w:rsidRPr="009A6D4B" w:rsidR="009A6D4B" w:rsidP="009A6D4B" w:rsidRDefault="009A6D4B" w14:paraId="18F47237" w14:textId="77777777">
      <w:pPr>
        <w:spacing w:after="0"/>
      </w:pPr>
      <w:r w:rsidRPr="009A6D4B">
        <w:lastRenderedPageBreak/>
        <w:t>Patricia Hu</w:t>
      </w:r>
    </w:p>
    <w:p w:rsidR="00515BA4" w:rsidP="009A6D4B" w:rsidRDefault="009A6D4B" w14:paraId="271CD1E8" w14:textId="77777777">
      <w:pPr>
        <w:spacing w:after="0"/>
      </w:pPr>
      <w:r w:rsidRPr="009A6D4B">
        <w:t>Director</w:t>
      </w:r>
    </w:p>
    <w:p w:rsidR="009A6D4B" w:rsidP="009A6D4B" w:rsidRDefault="009A6D4B" w14:paraId="74CE681E" w14:textId="32124EE5">
      <w:pPr>
        <w:spacing w:after="0"/>
      </w:pPr>
      <w:r w:rsidRPr="009A6D4B">
        <w:t>Bureau of Transportation Statistics</w:t>
      </w:r>
    </w:p>
    <w:p w:rsidRPr="009A6D4B" w:rsidR="00515BA4" w:rsidP="00515BA4" w:rsidRDefault="00515BA4" w14:paraId="7F9C57B0" w14:textId="77777777">
      <w:pPr>
        <w:contextualSpacing/>
      </w:pPr>
      <w:r w:rsidRPr="009A6D4B">
        <w:t>U.S. Department of Transportation</w:t>
      </w:r>
    </w:p>
    <w:p w:rsidR="007E3413" w:rsidP="009A6D4B" w:rsidRDefault="007E3413" w14:paraId="1CD13CB8" w14:textId="77777777">
      <w:pPr>
        <w:spacing w:after="0"/>
      </w:pPr>
      <w:r w:rsidRPr="007E3413">
        <w:t>(202) 366-5277</w:t>
      </w:r>
    </w:p>
    <w:p w:rsidRPr="009A6D4B" w:rsidR="009A6D4B" w:rsidP="009A6D4B" w:rsidRDefault="009A6D4B" w14:paraId="3726A456" w14:textId="61733BFD">
      <w:pPr>
        <w:spacing w:after="0"/>
      </w:pPr>
      <w:r w:rsidRPr="009A6D4B">
        <w:t>patricia.hu@dot.gov</w:t>
      </w:r>
    </w:p>
    <w:p w:rsidRPr="009A6D4B" w:rsidR="009A6D4B" w:rsidP="009A6D4B" w:rsidRDefault="009A6D4B" w14:paraId="607B3F06" w14:textId="77777777">
      <w:pPr>
        <w:spacing w:after="0"/>
      </w:pPr>
    </w:p>
    <w:p w:rsidRPr="009A6D4B" w:rsidR="009A6D4B" w:rsidP="009A6D4B" w:rsidRDefault="009A6D4B" w14:paraId="732DA377" w14:textId="77777777">
      <w:pPr>
        <w:spacing w:after="0"/>
      </w:pPr>
      <w:r w:rsidRPr="009A6D4B">
        <w:t>Dr. Cha-Chi Fan</w:t>
      </w:r>
    </w:p>
    <w:p w:rsidR="00515BA4" w:rsidP="009A6D4B" w:rsidRDefault="00515BA4" w14:paraId="70D7E41A" w14:textId="2BDD08DA">
      <w:pPr>
        <w:spacing w:after="0"/>
      </w:pPr>
      <w:r w:rsidRPr="00515BA4">
        <w:t>Director, Office of Data Development &amp; Standards</w:t>
      </w:r>
    </w:p>
    <w:p w:rsidR="009A6D4B" w:rsidP="009A6D4B" w:rsidRDefault="009A6D4B" w14:paraId="38E507B7" w14:textId="36CAB0EA">
      <w:pPr>
        <w:spacing w:after="0"/>
      </w:pPr>
      <w:r w:rsidRPr="009A6D4B">
        <w:t>Bureau of Transportation Statistics</w:t>
      </w:r>
    </w:p>
    <w:p w:rsidRPr="009A6D4B" w:rsidR="00515BA4" w:rsidP="00515BA4" w:rsidRDefault="00515BA4" w14:paraId="4DD39C0D" w14:textId="77777777">
      <w:pPr>
        <w:contextualSpacing/>
      </w:pPr>
      <w:r w:rsidRPr="009A6D4B">
        <w:t>U.S. Department of Transportation</w:t>
      </w:r>
    </w:p>
    <w:p w:rsidR="00515BA4" w:rsidP="009A6D4B" w:rsidRDefault="00515BA4" w14:paraId="229A2B20" w14:textId="77777777">
      <w:pPr>
        <w:spacing w:after="0"/>
      </w:pPr>
      <w:r w:rsidRPr="00515BA4">
        <w:t>(202) 366-0483</w:t>
      </w:r>
    </w:p>
    <w:p w:rsidRPr="009A6D4B" w:rsidR="009A6D4B" w:rsidP="009A6D4B" w:rsidRDefault="009A6D4B" w14:paraId="6A5633EA" w14:textId="576396B9">
      <w:pPr>
        <w:spacing w:after="0"/>
      </w:pPr>
      <w:r w:rsidRPr="009A6D4B">
        <w:t>chachi.fan@dot.gov</w:t>
      </w:r>
    </w:p>
    <w:p w:rsidRPr="009A6D4B" w:rsidR="009A6D4B" w:rsidP="009A6D4B" w:rsidRDefault="009A6D4B" w14:paraId="081274FF" w14:textId="77777777"/>
    <w:p w:rsidRPr="009A6D4B" w:rsidR="009A6D4B" w:rsidP="009A6D4B" w:rsidRDefault="009A6D4B" w14:paraId="471F1E12" w14:textId="77777777">
      <w:r w:rsidRPr="009A6D4B">
        <w:t xml:space="preserve">The MARAD team which was consulted on the design of the information collection for the </w:t>
      </w:r>
      <w:r w:rsidRPr="009A6D4B">
        <w:rPr>
          <w:u w:val="single"/>
        </w:rPr>
        <w:t>Mariner Survey Pre-Test</w:t>
      </w:r>
      <w:r w:rsidRPr="009A6D4B">
        <w:t xml:space="preserve"> includes:</w:t>
      </w:r>
    </w:p>
    <w:p w:rsidRPr="009A6D4B" w:rsidR="009A6D4B" w:rsidP="009A6D4B" w:rsidRDefault="009A6D4B" w14:paraId="0FD184AA" w14:textId="77777777">
      <w:pPr>
        <w:contextualSpacing/>
      </w:pPr>
      <w:r w:rsidRPr="009A6D4B">
        <w:t xml:space="preserve">Dr. Shashi N. Kumar </w:t>
      </w:r>
    </w:p>
    <w:p w:rsidRPr="009A6D4B" w:rsidR="009A6D4B" w:rsidP="009A6D4B" w:rsidRDefault="009A6D4B" w14:paraId="73DB255A" w14:textId="77777777">
      <w:pPr>
        <w:contextualSpacing/>
      </w:pPr>
      <w:r w:rsidRPr="009A6D4B">
        <w:t>Deputy Associate Administrator and National Coordinator for Maritime Education &amp; Training</w:t>
      </w:r>
    </w:p>
    <w:p w:rsidRPr="009A6D4B" w:rsidR="009A6D4B" w:rsidP="009A6D4B" w:rsidRDefault="009A6D4B" w14:paraId="3934E55B" w14:textId="77777777">
      <w:pPr>
        <w:contextualSpacing/>
      </w:pPr>
      <w:r w:rsidRPr="009A6D4B">
        <w:t>Maritime Administration</w:t>
      </w:r>
    </w:p>
    <w:p w:rsidRPr="009A6D4B" w:rsidR="009A6D4B" w:rsidP="009A6D4B" w:rsidRDefault="009A6D4B" w14:paraId="3D4FB10C" w14:textId="77777777">
      <w:pPr>
        <w:contextualSpacing/>
      </w:pPr>
      <w:r w:rsidRPr="009A6D4B">
        <w:t>U.S. Department of Transportation</w:t>
      </w:r>
    </w:p>
    <w:p w:rsidRPr="009A6D4B" w:rsidR="009A6D4B" w:rsidP="009A6D4B" w:rsidRDefault="009A6D4B" w14:paraId="3547DCCC" w14:textId="77777777">
      <w:pPr>
        <w:contextualSpacing/>
      </w:pPr>
      <w:r w:rsidRPr="009A6D4B">
        <w:t xml:space="preserve">202 366-2105 </w:t>
      </w:r>
    </w:p>
    <w:p w:rsidRPr="009A6D4B" w:rsidR="009A6D4B" w:rsidP="009A6D4B" w:rsidRDefault="00CE2093" w14:paraId="20EE43DF" w14:textId="77777777">
      <w:pPr>
        <w:contextualSpacing/>
      </w:pPr>
      <w:hyperlink w:history="1" r:id="rId8">
        <w:r w:rsidRPr="009A6D4B" w:rsidR="009A6D4B">
          <w:rPr>
            <w:color w:val="0563C1" w:themeColor="hyperlink"/>
            <w:u w:val="single"/>
          </w:rPr>
          <w:t>shashi.kumar@dot.gov</w:t>
        </w:r>
      </w:hyperlink>
    </w:p>
    <w:p w:rsidRPr="009A6D4B" w:rsidR="009A6D4B" w:rsidP="009A6D4B" w:rsidRDefault="009A6D4B" w14:paraId="6FAE799B" w14:textId="77777777">
      <w:pPr>
        <w:contextualSpacing/>
      </w:pPr>
    </w:p>
    <w:p w:rsidRPr="009A6D4B" w:rsidR="009A6D4B" w:rsidP="009A6D4B" w:rsidRDefault="009A6D4B" w14:paraId="137C26F9" w14:textId="77777777">
      <w:pPr>
        <w:keepNext/>
        <w:keepLines/>
        <w:spacing w:after="0"/>
      </w:pPr>
      <w:r w:rsidRPr="009A6D4B">
        <w:t>Christopher Wahler</w:t>
      </w:r>
    </w:p>
    <w:p w:rsidRPr="009A6D4B" w:rsidR="009A6D4B" w:rsidP="009A6D4B" w:rsidRDefault="009A6D4B" w14:paraId="1CEFD515" w14:textId="77777777">
      <w:pPr>
        <w:keepNext/>
        <w:keepLines/>
        <w:contextualSpacing/>
      </w:pPr>
      <w:r w:rsidRPr="009A6D4B">
        <w:t>Director, Maritime Labor and Training</w:t>
      </w:r>
    </w:p>
    <w:p w:rsidRPr="009A6D4B" w:rsidR="009A6D4B" w:rsidP="009A6D4B" w:rsidRDefault="009A6D4B" w14:paraId="37CE4A11" w14:textId="77777777">
      <w:pPr>
        <w:contextualSpacing/>
      </w:pPr>
      <w:r w:rsidRPr="009A6D4B">
        <w:t>Maritime Administration</w:t>
      </w:r>
    </w:p>
    <w:p w:rsidRPr="009A6D4B" w:rsidR="009A6D4B" w:rsidP="009A6D4B" w:rsidRDefault="009A6D4B" w14:paraId="7FFC33EE" w14:textId="77777777">
      <w:pPr>
        <w:contextualSpacing/>
      </w:pPr>
      <w:r w:rsidRPr="009A6D4B">
        <w:t>U.S. Department of Transportation</w:t>
      </w:r>
    </w:p>
    <w:p w:rsidRPr="009A6D4B" w:rsidR="009A6D4B" w:rsidP="009A6D4B" w:rsidRDefault="009A6D4B" w14:paraId="096135CA" w14:textId="77777777">
      <w:pPr>
        <w:contextualSpacing/>
      </w:pPr>
      <w:r w:rsidRPr="009A6D4B">
        <w:t>(202) 366-5469</w:t>
      </w:r>
    </w:p>
    <w:p w:rsidRPr="009A6D4B" w:rsidR="009A6D4B" w:rsidP="009A6D4B" w:rsidRDefault="00CE2093" w14:paraId="71593177" w14:textId="77777777">
      <w:pPr>
        <w:contextualSpacing/>
      </w:pPr>
      <w:hyperlink w:history="1" r:id="rId9">
        <w:r w:rsidRPr="009A6D4B" w:rsidR="009A6D4B">
          <w:rPr>
            <w:color w:val="0563C1" w:themeColor="hyperlink"/>
            <w:u w:val="single"/>
          </w:rPr>
          <w:t>christopher.wahler@dot.gov</w:t>
        </w:r>
      </w:hyperlink>
    </w:p>
    <w:p w:rsidRPr="009A6D4B" w:rsidR="009A6D4B" w:rsidP="009A6D4B" w:rsidRDefault="009A6D4B" w14:paraId="05CB8D15" w14:textId="77777777">
      <w:pPr>
        <w:contextualSpacing/>
      </w:pPr>
    </w:p>
    <w:p w:rsidRPr="009A6D4B" w:rsidR="009A6D4B" w:rsidP="009A6D4B" w:rsidRDefault="009A6D4B" w14:paraId="6CF01300" w14:textId="77777777">
      <w:pPr>
        <w:contextualSpacing/>
      </w:pPr>
      <w:r w:rsidRPr="009A6D4B">
        <w:t>Douglas McDonald</w:t>
      </w:r>
    </w:p>
    <w:p w:rsidRPr="009A6D4B" w:rsidR="009A6D4B" w:rsidP="009A6D4B" w:rsidRDefault="009A6D4B" w14:paraId="5115E5EE" w14:textId="77777777">
      <w:pPr>
        <w:contextualSpacing/>
      </w:pPr>
      <w:r w:rsidRPr="009A6D4B">
        <w:t>Director, Office of Policy and Plans</w:t>
      </w:r>
    </w:p>
    <w:p w:rsidRPr="009A6D4B" w:rsidR="009A6D4B" w:rsidP="009A6D4B" w:rsidRDefault="009A6D4B" w14:paraId="5022A9E9" w14:textId="77777777">
      <w:pPr>
        <w:contextualSpacing/>
      </w:pPr>
      <w:r w:rsidRPr="009A6D4B">
        <w:t>Maritime Administration</w:t>
      </w:r>
    </w:p>
    <w:p w:rsidRPr="009A6D4B" w:rsidR="009A6D4B" w:rsidP="009A6D4B" w:rsidRDefault="009A6D4B" w14:paraId="5CDD304D" w14:textId="77777777">
      <w:pPr>
        <w:contextualSpacing/>
      </w:pPr>
      <w:r w:rsidRPr="009A6D4B">
        <w:t>U.S. Department of Transportation</w:t>
      </w:r>
    </w:p>
    <w:p w:rsidRPr="009A6D4B" w:rsidR="009A6D4B" w:rsidP="009A6D4B" w:rsidRDefault="009A6D4B" w14:paraId="2C92DFF4" w14:textId="77777777">
      <w:pPr>
        <w:contextualSpacing/>
      </w:pPr>
      <w:r w:rsidRPr="009A6D4B">
        <w:t>(202) 366-5469</w:t>
      </w:r>
    </w:p>
    <w:p w:rsidRPr="009A6D4B" w:rsidR="009A6D4B" w:rsidP="009A6D4B" w:rsidRDefault="009A6D4B" w14:paraId="19A64F49" w14:textId="77777777">
      <w:pPr>
        <w:contextualSpacing/>
      </w:pPr>
      <w:r w:rsidRPr="009A6D4B">
        <w:t>202-366-2145</w:t>
      </w:r>
    </w:p>
    <w:p w:rsidRPr="009A6D4B" w:rsidR="009A6D4B" w:rsidP="009A6D4B" w:rsidRDefault="00CE2093" w14:paraId="1C3C6D7A" w14:textId="77777777">
      <w:pPr>
        <w:contextualSpacing/>
      </w:pPr>
      <w:hyperlink w:history="1" r:id="rId10">
        <w:r w:rsidRPr="009A6D4B" w:rsidR="009A6D4B">
          <w:rPr>
            <w:color w:val="0563C1" w:themeColor="hyperlink"/>
            <w:u w:val="single"/>
          </w:rPr>
          <w:t>douglas.mcdonald@dot.gov</w:t>
        </w:r>
      </w:hyperlink>
    </w:p>
    <w:p w:rsidRPr="009A6D4B" w:rsidR="009A6D4B" w:rsidP="009A6D4B" w:rsidRDefault="009A6D4B" w14:paraId="55409F83" w14:textId="77777777">
      <w:pPr>
        <w:contextualSpacing/>
      </w:pPr>
    </w:p>
    <w:p w:rsidR="007657B2" w:rsidP="009A6D4B" w:rsidRDefault="007657B2" w14:paraId="086A6197" w14:textId="77777777">
      <w:pPr>
        <w:contextualSpacing/>
      </w:pPr>
    </w:p>
    <w:p w:rsidRPr="009A6D4B" w:rsidR="009A6D4B" w:rsidP="009A6D4B" w:rsidRDefault="009A6D4B" w14:paraId="2B34354A" w14:textId="0DE0E97F">
      <w:pPr>
        <w:contextualSpacing/>
      </w:pPr>
      <w:r w:rsidRPr="009A6D4B">
        <w:t>Matthew Mueller</w:t>
      </w:r>
    </w:p>
    <w:p w:rsidRPr="009A6D4B" w:rsidR="009A6D4B" w:rsidP="009A6D4B" w:rsidRDefault="008B39F0" w14:paraId="0CED236A" w14:textId="1292211C">
      <w:pPr>
        <w:contextualSpacing/>
      </w:pPr>
      <w:r>
        <w:t>Maritime Workforce Development Officer</w:t>
      </w:r>
    </w:p>
    <w:p w:rsidRPr="009A6D4B" w:rsidR="009A6D4B" w:rsidP="009A6D4B" w:rsidRDefault="009A6D4B" w14:paraId="00745096" w14:textId="77777777">
      <w:pPr>
        <w:contextualSpacing/>
      </w:pPr>
      <w:r w:rsidRPr="009A6D4B">
        <w:t>Maritime Administration</w:t>
      </w:r>
    </w:p>
    <w:p w:rsidRPr="009A6D4B" w:rsidR="009A6D4B" w:rsidP="009A6D4B" w:rsidRDefault="009A6D4B" w14:paraId="09442B04" w14:textId="77777777">
      <w:pPr>
        <w:contextualSpacing/>
      </w:pPr>
      <w:r w:rsidRPr="009A6D4B">
        <w:lastRenderedPageBreak/>
        <w:t>U.S. Department of Transportation</w:t>
      </w:r>
    </w:p>
    <w:p w:rsidRPr="009A6D4B" w:rsidR="009A6D4B" w:rsidP="009A6D4B" w:rsidRDefault="009A6D4B" w14:paraId="1732E57D" w14:textId="77777777">
      <w:pPr>
        <w:contextualSpacing/>
      </w:pPr>
      <w:r w:rsidRPr="009A6D4B">
        <w:t>202-366-7173</w:t>
      </w:r>
    </w:p>
    <w:p w:rsidRPr="009A6D4B" w:rsidR="009A6D4B" w:rsidP="009A6D4B" w:rsidRDefault="00CE2093" w14:paraId="169AB1C2" w14:textId="77777777">
      <w:pPr>
        <w:contextualSpacing/>
      </w:pPr>
      <w:hyperlink w:history="1" r:id="rId11">
        <w:r w:rsidRPr="009A6D4B" w:rsidR="009A6D4B">
          <w:rPr>
            <w:color w:val="0563C1" w:themeColor="hyperlink"/>
            <w:u w:val="single"/>
          </w:rPr>
          <w:t>matthew.mueller@dot.gov</w:t>
        </w:r>
      </w:hyperlink>
    </w:p>
    <w:p w:rsidRPr="009A6D4B" w:rsidR="009A6D4B" w:rsidP="009A6D4B" w:rsidRDefault="009A6D4B" w14:paraId="47A22A4B" w14:textId="77777777">
      <w:pPr>
        <w:contextualSpacing/>
      </w:pPr>
    </w:p>
    <w:p w:rsidR="009A6D4B" w:rsidP="009A6D4B" w:rsidRDefault="009A6D4B" w14:paraId="4549CDD3" w14:textId="1F39F7B7">
      <w:bookmarkStart w:name="_Hlk92710928" w:id="14"/>
      <w:r w:rsidRPr="009A6D4B">
        <w:t>The MARAD team input to SRG was provided through Nuns Jain, the designated MARAD Contracting Officer’s Representative for the MARAD-SRG Mariner Survey Contract.</w:t>
      </w:r>
      <w:r w:rsidR="008B39F0">
        <w:t xml:space="preserve"> Mr. Jain retired from federal service effective</w:t>
      </w:r>
      <w:r w:rsidRPr="008B39F0" w:rsidR="008B39F0">
        <w:t xml:space="preserve"> December 31, 2021, </w:t>
      </w:r>
      <w:r w:rsidR="008B39F0">
        <w:t xml:space="preserve">and </w:t>
      </w:r>
      <w:r w:rsidRPr="008B39F0" w:rsidR="008B39F0">
        <w:t xml:space="preserve">Mr. Matthew Mueller </w:t>
      </w:r>
      <w:r w:rsidR="000869A7">
        <w:t>assumed coordinating responsibilities.</w:t>
      </w:r>
    </w:p>
    <w:bookmarkEnd w:id="14"/>
    <w:p w:rsidR="00F402AB" w:rsidP="00F402AB" w:rsidRDefault="00F402AB" w14:paraId="36003949" w14:textId="77777777">
      <w:pPr>
        <w:rPr>
          <w:rFonts w:cs="Times New Roman"/>
          <w:szCs w:val="24"/>
        </w:rPr>
      </w:pPr>
    </w:p>
    <w:p w:rsidRPr="008E6666" w:rsidR="00F402AB" w:rsidP="008E6666" w:rsidRDefault="00F402AB" w14:paraId="41A284D4" w14:textId="69B6734D">
      <w:pPr>
        <w:rPr>
          <w:b/>
          <w:bCs/>
          <w:caps/>
        </w:rPr>
      </w:pPr>
      <w:r w:rsidRPr="008E6666">
        <w:rPr>
          <w:b/>
          <w:bCs/>
          <w:caps/>
        </w:rPr>
        <w:t>Documents Included in Appendix 1</w:t>
      </w:r>
    </w:p>
    <w:p w:rsidR="00F402AB" w:rsidP="005939B0" w:rsidRDefault="00F402AB" w14:paraId="12CE94A8" w14:textId="77777777">
      <w:pPr>
        <w:spacing w:after="120"/>
        <w:ind w:left="360"/>
        <w:rPr>
          <w:rFonts w:cs="Times New Roman"/>
          <w:szCs w:val="24"/>
        </w:rPr>
      </w:pPr>
      <w:r>
        <w:rPr>
          <w:rFonts w:cs="Times New Roman"/>
          <w:szCs w:val="24"/>
        </w:rPr>
        <w:t>1.a. Copies of Statutes and Executive Orders Requiring the Data Collection</w:t>
      </w:r>
    </w:p>
    <w:p w:rsidR="00F402AB" w:rsidP="005939B0" w:rsidRDefault="00F402AB" w14:paraId="1A29AA21" w14:textId="36DBD3EA">
      <w:pPr>
        <w:spacing w:after="120"/>
        <w:ind w:left="360"/>
        <w:rPr>
          <w:rFonts w:cs="Times New Roman"/>
          <w:szCs w:val="24"/>
        </w:rPr>
      </w:pPr>
      <w:r>
        <w:rPr>
          <w:rFonts w:cs="Times New Roman"/>
          <w:szCs w:val="24"/>
        </w:rPr>
        <w:t>1.b. Mariner Survey Questionnaire</w:t>
      </w:r>
    </w:p>
    <w:p w:rsidR="00F402AB" w:rsidP="005939B0" w:rsidRDefault="00F402AB" w14:paraId="4B707733" w14:textId="77CCBECD">
      <w:pPr>
        <w:tabs>
          <w:tab w:val="left" w:pos="7815"/>
        </w:tabs>
        <w:spacing w:after="120"/>
        <w:ind w:left="360"/>
        <w:rPr>
          <w:rFonts w:cs="Times New Roman"/>
          <w:szCs w:val="24"/>
        </w:rPr>
      </w:pPr>
      <w:r>
        <w:rPr>
          <w:rFonts w:cs="Times New Roman"/>
          <w:szCs w:val="24"/>
        </w:rPr>
        <w:t>1.c.</w:t>
      </w:r>
      <w:r w:rsidRPr="00F402AB">
        <w:rPr>
          <w:rFonts w:cs="Times New Roman"/>
          <w:szCs w:val="24"/>
        </w:rPr>
        <w:t xml:space="preserve"> </w:t>
      </w:r>
      <w:r>
        <w:rPr>
          <w:rFonts w:cs="Times New Roman"/>
          <w:szCs w:val="24"/>
        </w:rPr>
        <w:t>Summary of Merchant Mariner Risk and Compensation Factors</w:t>
      </w:r>
      <w:r>
        <w:rPr>
          <w:rFonts w:cs="Times New Roman"/>
          <w:szCs w:val="24"/>
        </w:rPr>
        <w:tab/>
      </w:r>
    </w:p>
    <w:p w:rsidR="00F402AB" w:rsidP="005939B0" w:rsidRDefault="00F402AB" w14:paraId="3499B6BF" w14:textId="50768F13">
      <w:pPr>
        <w:tabs>
          <w:tab w:val="left" w:pos="7815"/>
        </w:tabs>
        <w:spacing w:after="120"/>
        <w:ind w:left="360"/>
        <w:rPr>
          <w:rFonts w:cs="Times New Roman"/>
          <w:szCs w:val="24"/>
        </w:rPr>
      </w:pPr>
      <w:r>
        <w:rPr>
          <w:rFonts w:cs="Times New Roman"/>
          <w:szCs w:val="24"/>
        </w:rPr>
        <w:t>1.d. Cognitive Interview Guide</w:t>
      </w:r>
    </w:p>
    <w:p w:rsidR="00F402AB" w:rsidP="005939B0" w:rsidRDefault="00F402AB" w14:paraId="0804815A" w14:textId="554ACAAB">
      <w:pPr>
        <w:tabs>
          <w:tab w:val="left" w:pos="7815"/>
        </w:tabs>
        <w:spacing w:after="120"/>
        <w:ind w:left="360"/>
        <w:rPr>
          <w:rFonts w:cs="Times New Roman"/>
          <w:szCs w:val="24"/>
        </w:rPr>
      </w:pPr>
      <w:r>
        <w:rPr>
          <w:rFonts w:cs="Times New Roman"/>
          <w:szCs w:val="24"/>
        </w:rPr>
        <w:t xml:space="preserve">1.e. </w:t>
      </w:r>
      <w:r w:rsidRPr="000A5E3B">
        <w:rPr>
          <w:rFonts w:cs="Times New Roman"/>
          <w:szCs w:val="24"/>
        </w:rPr>
        <w:t>Summary of Available Historical Revealed Data from Past Major Mariner Mobilizations</w:t>
      </w:r>
    </w:p>
    <w:p w:rsidR="00F51060" w:rsidP="00F51060" w:rsidRDefault="00F402AB" w14:paraId="6312BD18" w14:textId="07EDACB5">
      <w:pPr>
        <w:tabs>
          <w:tab w:val="left" w:pos="7815"/>
        </w:tabs>
        <w:spacing w:after="120"/>
        <w:ind w:left="360"/>
        <w:rPr>
          <w:rFonts w:cs="Times New Roman"/>
          <w:szCs w:val="24"/>
        </w:rPr>
      </w:pPr>
      <w:r>
        <w:rPr>
          <w:rFonts w:cs="Times New Roman"/>
          <w:szCs w:val="24"/>
        </w:rPr>
        <w:t>1.f.</w:t>
      </w:r>
      <w:r w:rsidRPr="000A5E3B">
        <w:t xml:space="preserve"> </w:t>
      </w:r>
      <w:r>
        <w:t xml:space="preserve">Cognitive Interview Invitation and Pilot Survey Invitation </w:t>
      </w:r>
    </w:p>
    <w:sectPr w:rsidR="00F51060" w:rsidSect="000D0D7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BA45E" w14:textId="77777777" w:rsidR="008B39F0" w:rsidRDefault="008B39F0" w:rsidP="00416F70">
      <w:pPr>
        <w:spacing w:after="0" w:line="240" w:lineRule="auto"/>
      </w:pPr>
      <w:r>
        <w:separator/>
      </w:r>
    </w:p>
  </w:endnote>
  <w:endnote w:type="continuationSeparator" w:id="0">
    <w:p w14:paraId="4C6072C4" w14:textId="77777777" w:rsidR="008B39F0" w:rsidRDefault="008B39F0" w:rsidP="0041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5FF2" w14:textId="77777777" w:rsidR="008B39F0" w:rsidRDefault="008B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1BAB3" w14:textId="740529FE" w:rsidR="008B39F0" w:rsidRDefault="008B39F0">
    <w:pPr>
      <w:pStyle w:val="Footer"/>
      <w:jc w:val="center"/>
    </w:pPr>
  </w:p>
  <w:p w14:paraId="1702717F" w14:textId="79894A3A" w:rsidR="008B39F0" w:rsidRPr="00C611EC" w:rsidRDefault="008B39F0" w:rsidP="000D0D77">
    <w:pPr>
      <w:pStyle w:val="Footer"/>
      <w:jc w:val="center"/>
      <w:rPr>
        <w:rFonts w:cs="Times New Roman"/>
        <w:sz w:val="20"/>
        <w:szCs w:val="20"/>
      </w:rPr>
    </w:pPr>
    <w:r w:rsidRPr="00C611EC">
      <w:rPr>
        <w:rFonts w:cs="Times New Roman"/>
        <w:sz w:val="20"/>
        <w:szCs w:val="20"/>
      </w:rPr>
      <w:fldChar w:fldCharType="begin"/>
    </w:r>
    <w:r w:rsidRPr="00C611EC">
      <w:rPr>
        <w:rFonts w:cs="Times New Roman"/>
        <w:sz w:val="20"/>
        <w:szCs w:val="20"/>
      </w:rPr>
      <w:instrText xml:space="preserve"> PAGE   \* MERGEFORMAT </w:instrText>
    </w:r>
    <w:r w:rsidRPr="00C611EC">
      <w:rPr>
        <w:rFonts w:cs="Times New Roman"/>
        <w:sz w:val="20"/>
        <w:szCs w:val="20"/>
      </w:rPr>
      <w:fldChar w:fldCharType="separate"/>
    </w:r>
    <w:r>
      <w:rPr>
        <w:rFonts w:cs="Times New Roman"/>
        <w:noProof/>
        <w:sz w:val="20"/>
        <w:szCs w:val="20"/>
      </w:rPr>
      <w:t>10</w:t>
    </w:r>
    <w:r w:rsidRPr="00C611EC">
      <w:rPr>
        <w:rFonts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94F0" w14:textId="2106EF7D" w:rsidR="008B39F0" w:rsidRDefault="008B39F0">
    <w:pPr>
      <w:pStyle w:val="Footer"/>
      <w:jc w:val="center"/>
    </w:pPr>
  </w:p>
  <w:p w14:paraId="35257147" w14:textId="77777777" w:rsidR="008B39F0" w:rsidRDefault="008B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D49EB" w14:textId="77777777" w:rsidR="008B39F0" w:rsidRDefault="008B39F0" w:rsidP="00416F70">
      <w:pPr>
        <w:spacing w:after="0" w:line="240" w:lineRule="auto"/>
      </w:pPr>
      <w:r>
        <w:separator/>
      </w:r>
    </w:p>
  </w:footnote>
  <w:footnote w:type="continuationSeparator" w:id="0">
    <w:p w14:paraId="23FB4B4D" w14:textId="77777777" w:rsidR="008B39F0" w:rsidRDefault="008B39F0" w:rsidP="00416F70">
      <w:pPr>
        <w:spacing w:after="0" w:line="240" w:lineRule="auto"/>
      </w:pPr>
      <w:r>
        <w:continuationSeparator/>
      </w:r>
    </w:p>
  </w:footnote>
  <w:footnote w:id="1">
    <w:p w14:paraId="04AA781E" w14:textId="0CB4A76E" w:rsidR="008B39F0" w:rsidRDefault="008B39F0" w:rsidP="009A6D4B">
      <w:pPr>
        <w:pStyle w:val="FootnoteText"/>
      </w:pPr>
      <w:r>
        <w:rPr>
          <w:rStyle w:val="FootnoteReference"/>
        </w:rPr>
        <w:footnoteRef/>
      </w:r>
      <w:r>
        <w:t xml:space="preserve"> In the survey effort, </w:t>
      </w:r>
      <w:r w:rsidRPr="00244854">
        <w:t>MARAD is including mariners with an MMC in</w:t>
      </w:r>
      <w:r>
        <w:t xml:space="preserve"> </w:t>
      </w:r>
      <w:r w:rsidRPr="00244854">
        <w:t>continuity status</w:t>
      </w:r>
      <w:r>
        <w:t xml:space="preserve">. Continuity status means that the license is not active, but it can be renewed if the mariner completes refresher training required by the U.S. Coast Guard. These mariners </w:t>
      </w:r>
      <w:r w:rsidRPr="00244854">
        <w:t>may be open to renewing their expired credentials by completing the necessary training once they are able to meet the current medical standards.</w:t>
      </w:r>
      <w:r>
        <w:t xml:space="preserve"> Only licensed mariners are included in this group; because the pool of unlicensed mariners with a current MMC is so large, it is </w:t>
      </w:r>
      <w:r w:rsidRPr="00244854">
        <w:t>unlikely that unlicensed mariners</w:t>
      </w:r>
      <w:r>
        <w:t xml:space="preserve"> with an MMC in </w:t>
      </w:r>
      <w:r w:rsidRPr="004A173F">
        <w:t>continuity status would ever be needed to crew sealift vessels during periods of National Need.</w:t>
      </w:r>
    </w:p>
  </w:footnote>
  <w:footnote w:id="2">
    <w:p w14:paraId="74EC006F" w14:textId="14B6A864" w:rsidR="008B39F0" w:rsidRDefault="008B39F0">
      <w:pPr>
        <w:pStyle w:val="FootnoteText"/>
      </w:pPr>
      <w:r>
        <w:rPr>
          <w:rStyle w:val="FootnoteReference"/>
        </w:rPr>
        <w:footnoteRef/>
      </w:r>
      <w:r>
        <w:t xml:space="preserve"> See, for example, </w:t>
      </w:r>
      <w:proofErr w:type="spellStart"/>
      <w:r>
        <w:t>Dillman</w:t>
      </w:r>
      <w:proofErr w:type="spellEnd"/>
      <w:r>
        <w:t>, D. A., Smith, J. D., and Christian, L. M. 2014</w:t>
      </w:r>
      <w:r w:rsidRPr="00567079">
        <w:t xml:space="preserve">. </w:t>
      </w:r>
      <w:r w:rsidRPr="00567079">
        <w:rPr>
          <w:i/>
          <w:iCs/>
        </w:rPr>
        <w:t xml:space="preserve">Internet, phone, mail, and mixed-mode surveys: The tailored design method. </w:t>
      </w:r>
      <w:r>
        <w:t>Hoboken, New Jersey: John Wiley &amp; Sons,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C161" w14:textId="77777777" w:rsidR="008B39F0" w:rsidRDefault="008B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C329" w14:textId="14FE5558" w:rsidR="008B39F0" w:rsidRDefault="008B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6491" w14:textId="77777777" w:rsidR="008B39F0" w:rsidRDefault="008B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619B"/>
    <w:multiLevelType w:val="hybridMultilevel"/>
    <w:tmpl w:val="7F94D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382"/>
    <w:multiLevelType w:val="hybridMultilevel"/>
    <w:tmpl w:val="A3C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4687"/>
    <w:multiLevelType w:val="hybridMultilevel"/>
    <w:tmpl w:val="B3BC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3731E"/>
    <w:multiLevelType w:val="hybridMultilevel"/>
    <w:tmpl w:val="B650A1B8"/>
    <w:lvl w:ilvl="0" w:tplc="03564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4A2FF3"/>
    <w:multiLevelType w:val="hybridMultilevel"/>
    <w:tmpl w:val="6FD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449D3"/>
    <w:multiLevelType w:val="hybridMultilevel"/>
    <w:tmpl w:val="DFFA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2801"/>
    <w:multiLevelType w:val="hybridMultilevel"/>
    <w:tmpl w:val="68B20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22439"/>
    <w:multiLevelType w:val="hybridMultilevel"/>
    <w:tmpl w:val="9916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2063B"/>
    <w:multiLevelType w:val="hybridMultilevel"/>
    <w:tmpl w:val="7B4E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3005F"/>
    <w:multiLevelType w:val="hybridMultilevel"/>
    <w:tmpl w:val="EEEC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E6CEF"/>
    <w:multiLevelType w:val="hybridMultilevel"/>
    <w:tmpl w:val="888847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F25B8"/>
    <w:multiLevelType w:val="hybridMultilevel"/>
    <w:tmpl w:val="5F4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E0A1C"/>
    <w:multiLevelType w:val="hybridMultilevel"/>
    <w:tmpl w:val="164CA31E"/>
    <w:lvl w:ilvl="0" w:tplc="38A4730A">
      <w:start w:val="2"/>
      <w:numFmt w:val="decimal"/>
      <w:lvlText w:val="%1."/>
      <w:lvlJc w:val="left"/>
      <w:pPr>
        <w:ind w:left="216" w:hanging="72"/>
      </w:pPr>
      <w:rPr>
        <w:rFonts w:hint="default"/>
        <w:b w:val="0"/>
        <w:u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3698C"/>
    <w:multiLevelType w:val="hybridMultilevel"/>
    <w:tmpl w:val="D3E48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08403B"/>
    <w:multiLevelType w:val="hybridMultilevel"/>
    <w:tmpl w:val="66F2E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47891"/>
    <w:multiLevelType w:val="hybridMultilevel"/>
    <w:tmpl w:val="07023CEA"/>
    <w:lvl w:ilvl="0" w:tplc="CCAC74B6">
      <w:start w:val="30"/>
      <w:numFmt w:val="bullet"/>
      <w:lvlText w:val="-"/>
      <w:lvlJc w:val="left"/>
      <w:pPr>
        <w:ind w:left="410" w:hanging="360"/>
      </w:pPr>
      <w:rPr>
        <w:rFonts w:ascii="Times New Roman" w:eastAsiaTheme="minorHAns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77850965"/>
    <w:multiLevelType w:val="hybridMultilevel"/>
    <w:tmpl w:val="0CD2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4"/>
  </w:num>
  <w:num w:numId="5">
    <w:abstractNumId w:val="10"/>
  </w:num>
  <w:num w:numId="6">
    <w:abstractNumId w:val="14"/>
  </w:num>
  <w:num w:numId="7">
    <w:abstractNumId w:val="6"/>
  </w:num>
  <w:num w:numId="8">
    <w:abstractNumId w:val="2"/>
  </w:num>
  <w:num w:numId="9">
    <w:abstractNumId w:val="11"/>
  </w:num>
  <w:num w:numId="10">
    <w:abstractNumId w:val="1"/>
  </w:num>
  <w:num w:numId="11">
    <w:abstractNumId w:val="16"/>
  </w:num>
  <w:num w:numId="12">
    <w:abstractNumId w:val="12"/>
  </w:num>
  <w:num w:numId="13">
    <w:abstractNumId w:val="5"/>
  </w:num>
  <w:num w:numId="14">
    <w:abstractNumId w:val="3"/>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sDSxsDS3tDCyNDJU0lEKTi0uzszPAykwrAUAGFdQAiwAAAA="/>
  </w:docVars>
  <w:rsids>
    <w:rsidRoot w:val="00DA36B1"/>
    <w:rsid w:val="0000126C"/>
    <w:rsid w:val="00004EBB"/>
    <w:rsid w:val="00006F24"/>
    <w:rsid w:val="00011352"/>
    <w:rsid w:val="000146E1"/>
    <w:rsid w:val="00014E59"/>
    <w:rsid w:val="000167BB"/>
    <w:rsid w:val="00023CE3"/>
    <w:rsid w:val="00027315"/>
    <w:rsid w:val="00027AA0"/>
    <w:rsid w:val="000327FB"/>
    <w:rsid w:val="00045AA7"/>
    <w:rsid w:val="00050FC4"/>
    <w:rsid w:val="00056796"/>
    <w:rsid w:val="00062D5A"/>
    <w:rsid w:val="00066DDE"/>
    <w:rsid w:val="0006709A"/>
    <w:rsid w:val="000672CD"/>
    <w:rsid w:val="00067440"/>
    <w:rsid w:val="000752FD"/>
    <w:rsid w:val="0007554E"/>
    <w:rsid w:val="00076B11"/>
    <w:rsid w:val="00077D80"/>
    <w:rsid w:val="00082F20"/>
    <w:rsid w:val="000837C7"/>
    <w:rsid w:val="000869A7"/>
    <w:rsid w:val="00090DF1"/>
    <w:rsid w:val="00091EEA"/>
    <w:rsid w:val="000936DF"/>
    <w:rsid w:val="00094384"/>
    <w:rsid w:val="0009748F"/>
    <w:rsid w:val="000A0250"/>
    <w:rsid w:val="000A189F"/>
    <w:rsid w:val="000A2804"/>
    <w:rsid w:val="000A5132"/>
    <w:rsid w:val="000A7F86"/>
    <w:rsid w:val="000B0811"/>
    <w:rsid w:val="000B2870"/>
    <w:rsid w:val="000B394A"/>
    <w:rsid w:val="000B5E3B"/>
    <w:rsid w:val="000B6EDF"/>
    <w:rsid w:val="000B74BA"/>
    <w:rsid w:val="000C06EB"/>
    <w:rsid w:val="000C3E01"/>
    <w:rsid w:val="000C3E4C"/>
    <w:rsid w:val="000C6F8D"/>
    <w:rsid w:val="000C729B"/>
    <w:rsid w:val="000C7997"/>
    <w:rsid w:val="000D05E9"/>
    <w:rsid w:val="000D0D77"/>
    <w:rsid w:val="000D114B"/>
    <w:rsid w:val="000D2AE9"/>
    <w:rsid w:val="000D5806"/>
    <w:rsid w:val="000D5F7A"/>
    <w:rsid w:val="000D6627"/>
    <w:rsid w:val="000E113F"/>
    <w:rsid w:val="000E169E"/>
    <w:rsid w:val="000E1EBA"/>
    <w:rsid w:val="000E4A07"/>
    <w:rsid w:val="000E4DC5"/>
    <w:rsid w:val="000E6249"/>
    <w:rsid w:val="000E6B20"/>
    <w:rsid w:val="000F1826"/>
    <w:rsid w:val="000F28CB"/>
    <w:rsid w:val="000F4578"/>
    <w:rsid w:val="000F6D1C"/>
    <w:rsid w:val="00102309"/>
    <w:rsid w:val="00112B19"/>
    <w:rsid w:val="00120630"/>
    <w:rsid w:val="0012205D"/>
    <w:rsid w:val="00131CDB"/>
    <w:rsid w:val="00133E6D"/>
    <w:rsid w:val="00135FB2"/>
    <w:rsid w:val="00141D0C"/>
    <w:rsid w:val="00144143"/>
    <w:rsid w:val="00144F0A"/>
    <w:rsid w:val="0014752A"/>
    <w:rsid w:val="00153DD6"/>
    <w:rsid w:val="00153E3A"/>
    <w:rsid w:val="00154369"/>
    <w:rsid w:val="00155753"/>
    <w:rsid w:val="00157C38"/>
    <w:rsid w:val="001614DE"/>
    <w:rsid w:val="001658EC"/>
    <w:rsid w:val="00165B8D"/>
    <w:rsid w:val="001660CF"/>
    <w:rsid w:val="00170A24"/>
    <w:rsid w:val="00173A1C"/>
    <w:rsid w:val="00174C72"/>
    <w:rsid w:val="00175D64"/>
    <w:rsid w:val="00180F2C"/>
    <w:rsid w:val="00184B94"/>
    <w:rsid w:val="001876DD"/>
    <w:rsid w:val="00187989"/>
    <w:rsid w:val="001925D0"/>
    <w:rsid w:val="0019536D"/>
    <w:rsid w:val="0019670A"/>
    <w:rsid w:val="001A4F32"/>
    <w:rsid w:val="001A6818"/>
    <w:rsid w:val="001B0657"/>
    <w:rsid w:val="001B06BB"/>
    <w:rsid w:val="001B3AEA"/>
    <w:rsid w:val="001B4B83"/>
    <w:rsid w:val="001C2597"/>
    <w:rsid w:val="001C4FEB"/>
    <w:rsid w:val="001C532B"/>
    <w:rsid w:val="001C6CF6"/>
    <w:rsid w:val="001C7268"/>
    <w:rsid w:val="001D4023"/>
    <w:rsid w:val="001E31DE"/>
    <w:rsid w:val="001E5B45"/>
    <w:rsid w:val="001E6A05"/>
    <w:rsid w:val="001E76B6"/>
    <w:rsid w:val="001F0426"/>
    <w:rsid w:val="001F18FB"/>
    <w:rsid w:val="001F562A"/>
    <w:rsid w:val="001F7C49"/>
    <w:rsid w:val="00200B42"/>
    <w:rsid w:val="002115A7"/>
    <w:rsid w:val="00214459"/>
    <w:rsid w:val="002164A4"/>
    <w:rsid w:val="00217BCA"/>
    <w:rsid w:val="0022450B"/>
    <w:rsid w:val="0022573D"/>
    <w:rsid w:val="00227053"/>
    <w:rsid w:val="00231C57"/>
    <w:rsid w:val="00233DDC"/>
    <w:rsid w:val="00234326"/>
    <w:rsid w:val="00236500"/>
    <w:rsid w:val="00237958"/>
    <w:rsid w:val="00242517"/>
    <w:rsid w:val="00245085"/>
    <w:rsid w:val="00245247"/>
    <w:rsid w:val="002500F5"/>
    <w:rsid w:val="002517F6"/>
    <w:rsid w:val="00252FA1"/>
    <w:rsid w:val="00253F01"/>
    <w:rsid w:val="002602F9"/>
    <w:rsid w:val="00260917"/>
    <w:rsid w:val="00261847"/>
    <w:rsid w:val="00264D5A"/>
    <w:rsid w:val="0026588D"/>
    <w:rsid w:val="002661A2"/>
    <w:rsid w:val="00271CD7"/>
    <w:rsid w:val="002720B6"/>
    <w:rsid w:val="00273E7E"/>
    <w:rsid w:val="002740A4"/>
    <w:rsid w:val="002741D8"/>
    <w:rsid w:val="002769BC"/>
    <w:rsid w:val="0028138E"/>
    <w:rsid w:val="00283BD7"/>
    <w:rsid w:val="00284BBE"/>
    <w:rsid w:val="002853C3"/>
    <w:rsid w:val="002910D0"/>
    <w:rsid w:val="002A00B5"/>
    <w:rsid w:val="002A00FF"/>
    <w:rsid w:val="002A0C85"/>
    <w:rsid w:val="002A3794"/>
    <w:rsid w:val="002A6109"/>
    <w:rsid w:val="002A6595"/>
    <w:rsid w:val="002B1269"/>
    <w:rsid w:val="002B7BFE"/>
    <w:rsid w:val="002C709F"/>
    <w:rsid w:val="002C7762"/>
    <w:rsid w:val="002D1D8C"/>
    <w:rsid w:val="002D2FB7"/>
    <w:rsid w:val="002D474E"/>
    <w:rsid w:val="002D60AD"/>
    <w:rsid w:val="002E0BB5"/>
    <w:rsid w:val="002E2FDB"/>
    <w:rsid w:val="002E3460"/>
    <w:rsid w:val="002F16D3"/>
    <w:rsid w:val="002F2BF4"/>
    <w:rsid w:val="00300F66"/>
    <w:rsid w:val="00303E81"/>
    <w:rsid w:val="00307E9A"/>
    <w:rsid w:val="003121FE"/>
    <w:rsid w:val="00324344"/>
    <w:rsid w:val="00326923"/>
    <w:rsid w:val="00327B96"/>
    <w:rsid w:val="003306C2"/>
    <w:rsid w:val="00332C7A"/>
    <w:rsid w:val="003330AE"/>
    <w:rsid w:val="0033409E"/>
    <w:rsid w:val="00340A7C"/>
    <w:rsid w:val="00342979"/>
    <w:rsid w:val="00345760"/>
    <w:rsid w:val="003464FE"/>
    <w:rsid w:val="00346E36"/>
    <w:rsid w:val="00357DB5"/>
    <w:rsid w:val="003638B4"/>
    <w:rsid w:val="00363B34"/>
    <w:rsid w:val="00364B8D"/>
    <w:rsid w:val="00365EAB"/>
    <w:rsid w:val="00367043"/>
    <w:rsid w:val="00370B06"/>
    <w:rsid w:val="00375988"/>
    <w:rsid w:val="003800C6"/>
    <w:rsid w:val="0038591C"/>
    <w:rsid w:val="00386AAF"/>
    <w:rsid w:val="003904DD"/>
    <w:rsid w:val="003908C0"/>
    <w:rsid w:val="00392D91"/>
    <w:rsid w:val="003A3ECA"/>
    <w:rsid w:val="003A7458"/>
    <w:rsid w:val="003B04B3"/>
    <w:rsid w:val="003B4E2B"/>
    <w:rsid w:val="003B5F9A"/>
    <w:rsid w:val="003B5FFD"/>
    <w:rsid w:val="003B7DC0"/>
    <w:rsid w:val="003C1A5F"/>
    <w:rsid w:val="003C1D75"/>
    <w:rsid w:val="003C6D15"/>
    <w:rsid w:val="003C6F5E"/>
    <w:rsid w:val="003D2275"/>
    <w:rsid w:val="003D287D"/>
    <w:rsid w:val="003D3EB3"/>
    <w:rsid w:val="003D47C6"/>
    <w:rsid w:val="003D47E6"/>
    <w:rsid w:val="003D4BAB"/>
    <w:rsid w:val="003D7E13"/>
    <w:rsid w:val="003E3453"/>
    <w:rsid w:val="003E54FD"/>
    <w:rsid w:val="003E6359"/>
    <w:rsid w:val="003F25E9"/>
    <w:rsid w:val="003F6B98"/>
    <w:rsid w:val="00403BB4"/>
    <w:rsid w:val="00404107"/>
    <w:rsid w:val="00410DAA"/>
    <w:rsid w:val="00416AB2"/>
    <w:rsid w:val="00416F70"/>
    <w:rsid w:val="0042009C"/>
    <w:rsid w:val="0042092D"/>
    <w:rsid w:val="004217AD"/>
    <w:rsid w:val="00423997"/>
    <w:rsid w:val="00425539"/>
    <w:rsid w:val="00427E88"/>
    <w:rsid w:val="00430442"/>
    <w:rsid w:val="00432BED"/>
    <w:rsid w:val="00433F00"/>
    <w:rsid w:val="004350AF"/>
    <w:rsid w:val="0043556E"/>
    <w:rsid w:val="00441B30"/>
    <w:rsid w:val="004428DE"/>
    <w:rsid w:val="004442D9"/>
    <w:rsid w:val="00445BB8"/>
    <w:rsid w:val="00446B68"/>
    <w:rsid w:val="00447CAE"/>
    <w:rsid w:val="00451020"/>
    <w:rsid w:val="00451270"/>
    <w:rsid w:val="0045216C"/>
    <w:rsid w:val="004558D7"/>
    <w:rsid w:val="00455ADA"/>
    <w:rsid w:val="004601BA"/>
    <w:rsid w:val="00460DD0"/>
    <w:rsid w:val="00462550"/>
    <w:rsid w:val="00467EAF"/>
    <w:rsid w:val="00470084"/>
    <w:rsid w:val="00471F60"/>
    <w:rsid w:val="0047416D"/>
    <w:rsid w:val="004807CC"/>
    <w:rsid w:val="004829C0"/>
    <w:rsid w:val="00484ED8"/>
    <w:rsid w:val="004852BB"/>
    <w:rsid w:val="00487664"/>
    <w:rsid w:val="00487BF4"/>
    <w:rsid w:val="004939A3"/>
    <w:rsid w:val="00493E08"/>
    <w:rsid w:val="004B131F"/>
    <w:rsid w:val="004B1CF7"/>
    <w:rsid w:val="004B3017"/>
    <w:rsid w:val="004B69B3"/>
    <w:rsid w:val="004B705F"/>
    <w:rsid w:val="004C5356"/>
    <w:rsid w:val="004C5611"/>
    <w:rsid w:val="004C7BD4"/>
    <w:rsid w:val="004D5084"/>
    <w:rsid w:val="004D53FA"/>
    <w:rsid w:val="004D6DB5"/>
    <w:rsid w:val="004E1593"/>
    <w:rsid w:val="004E2714"/>
    <w:rsid w:val="004E4DAB"/>
    <w:rsid w:val="004F30EE"/>
    <w:rsid w:val="004F6EC1"/>
    <w:rsid w:val="004F78B5"/>
    <w:rsid w:val="00500523"/>
    <w:rsid w:val="00500FBB"/>
    <w:rsid w:val="00502B1C"/>
    <w:rsid w:val="005072A6"/>
    <w:rsid w:val="00510443"/>
    <w:rsid w:val="00515BA4"/>
    <w:rsid w:val="00517596"/>
    <w:rsid w:val="00521168"/>
    <w:rsid w:val="00522D89"/>
    <w:rsid w:val="005258A1"/>
    <w:rsid w:val="00530A6E"/>
    <w:rsid w:val="0053734E"/>
    <w:rsid w:val="00542FC9"/>
    <w:rsid w:val="00544794"/>
    <w:rsid w:val="0054772D"/>
    <w:rsid w:val="005503CB"/>
    <w:rsid w:val="005516A0"/>
    <w:rsid w:val="00552F4D"/>
    <w:rsid w:val="0055392F"/>
    <w:rsid w:val="00561BA8"/>
    <w:rsid w:val="00561E7D"/>
    <w:rsid w:val="00563727"/>
    <w:rsid w:val="00567079"/>
    <w:rsid w:val="00571873"/>
    <w:rsid w:val="005777F1"/>
    <w:rsid w:val="00577CBD"/>
    <w:rsid w:val="0058189C"/>
    <w:rsid w:val="00581AD7"/>
    <w:rsid w:val="005841CC"/>
    <w:rsid w:val="00590C59"/>
    <w:rsid w:val="00591A86"/>
    <w:rsid w:val="00592D07"/>
    <w:rsid w:val="005939B0"/>
    <w:rsid w:val="005959BE"/>
    <w:rsid w:val="00596B46"/>
    <w:rsid w:val="005A0024"/>
    <w:rsid w:val="005A067A"/>
    <w:rsid w:val="005A1718"/>
    <w:rsid w:val="005A1D09"/>
    <w:rsid w:val="005A7CCF"/>
    <w:rsid w:val="005B0C3A"/>
    <w:rsid w:val="005B172E"/>
    <w:rsid w:val="005B4631"/>
    <w:rsid w:val="005C015A"/>
    <w:rsid w:val="005C2858"/>
    <w:rsid w:val="005C6543"/>
    <w:rsid w:val="005C6E16"/>
    <w:rsid w:val="005D0683"/>
    <w:rsid w:val="005D2FB7"/>
    <w:rsid w:val="005D35FC"/>
    <w:rsid w:val="005D3D19"/>
    <w:rsid w:val="005E00E9"/>
    <w:rsid w:val="005E07A4"/>
    <w:rsid w:val="005E2311"/>
    <w:rsid w:val="005E4D22"/>
    <w:rsid w:val="005E7105"/>
    <w:rsid w:val="005F3213"/>
    <w:rsid w:val="005F6971"/>
    <w:rsid w:val="006029D9"/>
    <w:rsid w:val="00603A99"/>
    <w:rsid w:val="00604876"/>
    <w:rsid w:val="0060551F"/>
    <w:rsid w:val="00606CD5"/>
    <w:rsid w:val="00611829"/>
    <w:rsid w:val="006171FA"/>
    <w:rsid w:val="00620B27"/>
    <w:rsid w:val="00622DD0"/>
    <w:rsid w:val="00626DC8"/>
    <w:rsid w:val="00626F8C"/>
    <w:rsid w:val="006300D3"/>
    <w:rsid w:val="00631BD6"/>
    <w:rsid w:val="00632944"/>
    <w:rsid w:val="00633FC2"/>
    <w:rsid w:val="00635C13"/>
    <w:rsid w:val="006361A7"/>
    <w:rsid w:val="00640EFB"/>
    <w:rsid w:val="00644DEC"/>
    <w:rsid w:val="00645F14"/>
    <w:rsid w:val="006464C8"/>
    <w:rsid w:val="00651DE5"/>
    <w:rsid w:val="0065613D"/>
    <w:rsid w:val="00660FDF"/>
    <w:rsid w:val="00664759"/>
    <w:rsid w:val="006704F3"/>
    <w:rsid w:val="00673616"/>
    <w:rsid w:val="006759A4"/>
    <w:rsid w:val="00684474"/>
    <w:rsid w:val="00684852"/>
    <w:rsid w:val="006857F2"/>
    <w:rsid w:val="00690C92"/>
    <w:rsid w:val="00693F0C"/>
    <w:rsid w:val="006B1548"/>
    <w:rsid w:val="006B38D7"/>
    <w:rsid w:val="006B532A"/>
    <w:rsid w:val="006C11D5"/>
    <w:rsid w:val="006C1B52"/>
    <w:rsid w:val="006C22F6"/>
    <w:rsid w:val="006C231B"/>
    <w:rsid w:val="006C63DE"/>
    <w:rsid w:val="006C66C7"/>
    <w:rsid w:val="006C7369"/>
    <w:rsid w:val="006D16E0"/>
    <w:rsid w:val="006D28EC"/>
    <w:rsid w:val="006D7BAB"/>
    <w:rsid w:val="006E4971"/>
    <w:rsid w:val="006E4A7C"/>
    <w:rsid w:val="006E4E5E"/>
    <w:rsid w:val="006E576B"/>
    <w:rsid w:val="006F2640"/>
    <w:rsid w:val="006F51E4"/>
    <w:rsid w:val="007007FC"/>
    <w:rsid w:val="00702A63"/>
    <w:rsid w:val="00702CD2"/>
    <w:rsid w:val="0070319C"/>
    <w:rsid w:val="00703F89"/>
    <w:rsid w:val="00704374"/>
    <w:rsid w:val="00704B42"/>
    <w:rsid w:val="00705AF3"/>
    <w:rsid w:val="00706625"/>
    <w:rsid w:val="0071035D"/>
    <w:rsid w:val="0071378B"/>
    <w:rsid w:val="007167B7"/>
    <w:rsid w:val="0072157C"/>
    <w:rsid w:val="007247BC"/>
    <w:rsid w:val="007261F3"/>
    <w:rsid w:val="007302AE"/>
    <w:rsid w:val="0073154C"/>
    <w:rsid w:val="00737610"/>
    <w:rsid w:val="00740213"/>
    <w:rsid w:val="00752C98"/>
    <w:rsid w:val="00754591"/>
    <w:rsid w:val="007547E4"/>
    <w:rsid w:val="0075662E"/>
    <w:rsid w:val="007626DD"/>
    <w:rsid w:val="007635C0"/>
    <w:rsid w:val="007644CB"/>
    <w:rsid w:val="007657B2"/>
    <w:rsid w:val="00765E47"/>
    <w:rsid w:val="00773185"/>
    <w:rsid w:val="007741BD"/>
    <w:rsid w:val="00774347"/>
    <w:rsid w:val="00783C10"/>
    <w:rsid w:val="00784832"/>
    <w:rsid w:val="007866EF"/>
    <w:rsid w:val="0078778B"/>
    <w:rsid w:val="00793AA8"/>
    <w:rsid w:val="007946FE"/>
    <w:rsid w:val="007A3CA9"/>
    <w:rsid w:val="007A5E24"/>
    <w:rsid w:val="007B43D6"/>
    <w:rsid w:val="007B4F79"/>
    <w:rsid w:val="007C564D"/>
    <w:rsid w:val="007D0AC9"/>
    <w:rsid w:val="007D194C"/>
    <w:rsid w:val="007D2C68"/>
    <w:rsid w:val="007D3319"/>
    <w:rsid w:val="007D74C4"/>
    <w:rsid w:val="007E214F"/>
    <w:rsid w:val="007E3413"/>
    <w:rsid w:val="007E348F"/>
    <w:rsid w:val="007F1285"/>
    <w:rsid w:val="007F2393"/>
    <w:rsid w:val="007F7250"/>
    <w:rsid w:val="00800DA2"/>
    <w:rsid w:val="00801775"/>
    <w:rsid w:val="0080301B"/>
    <w:rsid w:val="00811875"/>
    <w:rsid w:val="00811BA5"/>
    <w:rsid w:val="00812CDC"/>
    <w:rsid w:val="0081780E"/>
    <w:rsid w:val="00821BC0"/>
    <w:rsid w:val="00826E35"/>
    <w:rsid w:val="00831D2B"/>
    <w:rsid w:val="008327CA"/>
    <w:rsid w:val="0083285B"/>
    <w:rsid w:val="008376D8"/>
    <w:rsid w:val="008415DB"/>
    <w:rsid w:val="00841E1C"/>
    <w:rsid w:val="008448A3"/>
    <w:rsid w:val="00845E9A"/>
    <w:rsid w:val="00846166"/>
    <w:rsid w:val="008469B0"/>
    <w:rsid w:val="00852839"/>
    <w:rsid w:val="00857392"/>
    <w:rsid w:val="0085778E"/>
    <w:rsid w:val="00857DE2"/>
    <w:rsid w:val="0086046C"/>
    <w:rsid w:val="00866119"/>
    <w:rsid w:val="008740E1"/>
    <w:rsid w:val="0088102D"/>
    <w:rsid w:val="008903BC"/>
    <w:rsid w:val="008908D7"/>
    <w:rsid w:val="00896811"/>
    <w:rsid w:val="008A00F7"/>
    <w:rsid w:val="008A2BB5"/>
    <w:rsid w:val="008B1E0E"/>
    <w:rsid w:val="008B21E4"/>
    <w:rsid w:val="008B2DB3"/>
    <w:rsid w:val="008B39F0"/>
    <w:rsid w:val="008B3AD2"/>
    <w:rsid w:val="008B494C"/>
    <w:rsid w:val="008B5344"/>
    <w:rsid w:val="008B7E3C"/>
    <w:rsid w:val="008C1250"/>
    <w:rsid w:val="008C1C9F"/>
    <w:rsid w:val="008C2095"/>
    <w:rsid w:val="008C3808"/>
    <w:rsid w:val="008C5333"/>
    <w:rsid w:val="008C6678"/>
    <w:rsid w:val="008D0490"/>
    <w:rsid w:val="008D070C"/>
    <w:rsid w:val="008D354C"/>
    <w:rsid w:val="008D37A7"/>
    <w:rsid w:val="008D398C"/>
    <w:rsid w:val="008E01D3"/>
    <w:rsid w:val="008E0730"/>
    <w:rsid w:val="008E2C53"/>
    <w:rsid w:val="008E319B"/>
    <w:rsid w:val="008E43F5"/>
    <w:rsid w:val="008E6666"/>
    <w:rsid w:val="008E7B30"/>
    <w:rsid w:val="008F39D0"/>
    <w:rsid w:val="008F5E22"/>
    <w:rsid w:val="008F6350"/>
    <w:rsid w:val="0090564F"/>
    <w:rsid w:val="00906018"/>
    <w:rsid w:val="00910017"/>
    <w:rsid w:val="0091214C"/>
    <w:rsid w:val="0091717A"/>
    <w:rsid w:val="009200E0"/>
    <w:rsid w:val="0092726F"/>
    <w:rsid w:val="00931B88"/>
    <w:rsid w:val="00933153"/>
    <w:rsid w:val="00935491"/>
    <w:rsid w:val="009506FA"/>
    <w:rsid w:val="009526F8"/>
    <w:rsid w:val="009540D6"/>
    <w:rsid w:val="00954473"/>
    <w:rsid w:val="009567AF"/>
    <w:rsid w:val="00961DC2"/>
    <w:rsid w:val="00962061"/>
    <w:rsid w:val="00962220"/>
    <w:rsid w:val="009633CD"/>
    <w:rsid w:val="00963556"/>
    <w:rsid w:val="00965889"/>
    <w:rsid w:val="00966457"/>
    <w:rsid w:val="0096797F"/>
    <w:rsid w:val="00971498"/>
    <w:rsid w:val="009722CE"/>
    <w:rsid w:val="00974F91"/>
    <w:rsid w:val="00977B0E"/>
    <w:rsid w:val="00980A89"/>
    <w:rsid w:val="00980F86"/>
    <w:rsid w:val="0098319B"/>
    <w:rsid w:val="00983E90"/>
    <w:rsid w:val="00987591"/>
    <w:rsid w:val="0099341C"/>
    <w:rsid w:val="009936BC"/>
    <w:rsid w:val="009A07C2"/>
    <w:rsid w:val="009A235A"/>
    <w:rsid w:val="009A6D4B"/>
    <w:rsid w:val="009A70D9"/>
    <w:rsid w:val="009B1E1E"/>
    <w:rsid w:val="009B2876"/>
    <w:rsid w:val="009B48B7"/>
    <w:rsid w:val="009B6BA3"/>
    <w:rsid w:val="009C0A36"/>
    <w:rsid w:val="009C6B61"/>
    <w:rsid w:val="009D34DC"/>
    <w:rsid w:val="009D4241"/>
    <w:rsid w:val="009E257D"/>
    <w:rsid w:val="009E313E"/>
    <w:rsid w:val="009E3CF4"/>
    <w:rsid w:val="009F0162"/>
    <w:rsid w:val="009F048D"/>
    <w:rsid w:val="009F0C5C"/>
    <w:rsid w:val="009F1F62"/>
    <w:rsid w:val="009F4241"/>
    <w:rsid w:val="009F428A"/>
    <w:rsid w:val="00A00B49"/>
    <w:rsid w:val="00A030D7"/>
    <w:rsid w:val="00A1013E"/>
    <w:rsid w:val="00A10B9F"/>
    <w:rsid w:val="00A117FF"/>
    <w:rsid w:val="00A145B2"/>
    <w:rsid w:val="00A146A0"/>
    <w:rsid w:val="00A15487"/>
    <w:rsid w:val="00A15735"/>
    <w:rsid w:val="00A218E4"/>
    <w:rsid w:val="00A30A67"/>
    <w:rsid w:val="00A31AFB"/>
    <w:rsid w:val="00A3473E"/>
    <w:rsid w:val="00A3653C"/>
    <w:rsid w:val="00A36E0D"/>
    <w:rsid w:val="00A40081"/>
    <w:rsid w:val="00A41792"/>
    <w:rsid w:val="00A4283B"/>
    <w:rsid w:val="00A429CA"/>
    <w:rsid w:val="00A51F44"/>
    <w:rsid w:val="00A535AA"/>
    <w:rsid w:val="00A55A5C"/>
    <w:rsid w:val="00A57136"/>
    <w:rsid w:val="00A57932"/>
    <w:rsid w:val="00A61AF8"/>
    <w:rsid w:val="00A6362B"/>
    <w:rsid w:val="00A6404D"/>
    <w:rsid w:val="00A6771B"/>
    <w:rsid w:val="00A70CBF"/>
    <w:rsid w:val="00A715E7"/>
    <w:rsid w:val="00A74829"/>
    <w:rsid w:val="00A803B3"/>
    <w:rsid w:val="00A808AB"/>
    <w:rsid w:val="00A83C55"/>
    <w:rsid w:val="00A90C36"/>
    <w:rsid w:val="00A94A1A"/>
    <w:rsid w:val="00A95457"/>
    <w:rsid w:val="00A96062"/>
    <w:rsid w:val="00A97667"/>
    <w:rsid w:val="00AA4371"/>
    <w:rsid w:val="00AB0230"/>
    <w:rsid w:val="00AB175A"/>
    <w:rsid w:val="00AB4139"/>
    <w:rsid w:val="00AC15B6"/>
    <w:rsid w:val="00AD4944"/>
    <w:rsid w:val="00AD5F21"/>
    <w:rsid w:val="00AD6AD5"/>
    <w:rsid w:val="00AE3B78"/>
    <w:rsid w:val="00AE4978"/>
    <w:rsid w:val="00AE6037"/>
    <w:rsid w:val="00AE7389"/>
    <w:rsid w:val="00AE738A"/>
    <w:rsid w:val="00AF2232"/>
    <w:rsid w:val="00AF26E2"/>
    <w:rsid w:val="00AF2D59"/>
    <w:rsid w:val="00AF338B"/>
    <w:rsid w:val="00AF3BA3"/>
    <w:rsid w:val="00AF607A"/>
    <w:rsid w:val="00AF70D6"/>
    <w:rsid w:val="00B01441"/>
    <w:rsid w:val="00B01AD9"/>
    <w:rsid w:val="00B058D1"/>
    <w:rsid w:val="00B12803"/>
    <w:rsid w:val="00B1316B"/>
    <w:rsid w:val="00B173AD"/>
    <w:rsid w:val="00B2052A"/>
    <w:rsid w:val="00B23711"/>
    <w:rsid w:val="00B2424D"/>
    <w:rsid w:val="00B25C60"/>
    <w:rsid w:val="00B2759E"/>
    <w:rsid w:val="00B27636"/>
    <w:rsid w:val="00B35604"/>
    <w:rsid w:val="00B36A99"/>
    <w:rsid w:val="00B36FC8"/>
    <w:rsid w:val="00B37BFA"/>
    <w:rsid w:val="00B43314"/>
    <w:rsid w:val="00B45D1D"/>
    <w:rsid w:val="00B50510"/>
    <w:rsid w:val="00B51356"/>
    <w:rsid w:val="00B55E1C"/>
    <w:rsid w:val="00B60996"/>
    <w:rsid w:val="00B63BDF"/>
    <w:rsid w:val="00B65E69"/>
    <w:rsid w:val="00B66E03"/>
    <w:rsid w:val="00B70983"/>
    <w:rsid w:val="00B75F22"/>
    <w:rsid w:val="00B8005C"/>
    <w:rsid w:val="00B80C92"/>
    <w:rsid w:val="00B80E78"/>
    <w:rsid w:val="00B843E4"/>
    <w:rsid w:val="00B84B84"/>
    <w:rsid w:val="00B856A6"/>
    <w:rsid w:val="00B87B0A"/>
    <w:rsid w:val="00B92E3B"/>
    <w:rsid w:val="00BA1286"/>
    <w:rsid w:val="00BA3668"/>
    <w:rsid w:val="00BA64E4"/>
    <w:rsid w:val="00BB05FF"/>
    <w:rsid w:val="00BB5AB3"/>
    <w:rsid w:val="00BB7213"/>
    <w:rsid w:val="00BC7F3A"/>
    <w:rsid w:val="00BD1C73"/>
    <w:rsid w:val="00BD52B0"/>
    <w:rsid w:val="00BE05BA"/>
    <w:rsid w:val="00BE0F18"/>
    <w:rsid w:val="00BE22CA"/>
    <w:rsid w:val="00BE3D7F"/>
    <w:rsid w:val="00BE5D75"/>
    <w:rsid w:val="00BF2D71"/>
    <w:rsid w:val="00BF50A8"/>
    <w:rsid w:val="00C03BED"/>
    <w:rsid w:val="00C12B81"/>
    <w:rsid w:val="00C1335F"/>
    <w:rsid w:val="00C1677C"/>
    <w:rsid w:val="00C21B2D"/>
    <w:rsid w:val="00C27B2B"/>
    <w:rsid w:val="00C30304"/>
    <w:rsid w:val="00C32096"/>
    <w:rsid w:val="00C36DDA"/>
    <w:rsid w:val="00C3713B"/>
    <w:rsid w:val="00C4149D"/>
    <w:rsid w:val="00C45706"/>
    <w:rsid w:val="00C47014"/>
    <w:rsid w:val="00C611EC"/>
    <w:rsid w:val="00C677AF"/>
    <w:rsid w:val="00C70961"/>
    <w:rsid w:val="00C72164"/>
    <w:rsid w:val="00C73F9D"/>
    <w:rsid w:val="00C7450F"/>
    <w:rsid w:val="00C77D8C"/>
    <w:rsid w:val="00C82873"/>
    <w:rsid w:val="00C8591A"/>
    <w:rsid w:val="00C904A2"/>
    <w:rsid w:val="00C910A5"/>
    <w:rsid w:val="00CA3909"/>
    <w:rsid w:val="00CA4A88"/>
    <w:rsid w:val="00CA6CF3"/>
    <w:rsid w:val="00CA7723"/>
    <w:rsid w:val="00CB278F"/>
    <w:rsid w:val="00CB3C92"/>
    <w:rsid w:val="00CC26F5"/>
    <w:rsid w:val="00CD1DE9"/>
    <w:rsid w:val="00CD3939"/>
    <w:rsid w:val="00CD551A"/>
    <w:rsid w:val="00CD7F73"/>
    <w:rsid w:val="00CE0F73"/>
    <w:rsid w:val="00CE1DFC"/>
    <w:rsid w:val="00CE2093"/>
    <w:rsid w:val="00CE5D7D"/>
    <w:rsid w:val="00CE6F96"/>
    <w:rsid w:val="00CF1411"/>
    <w:rsid w:val="00CF2661"/>
    <w:rsid w:val="00CF79B2"/>
    <w:rsid w:val="00D017F5"/>
    <w:rsid w:val="00D01AF6"/>
    <w:rsid w:val="00D04344"/>
    <w:rsid w:val="00D15427"/>
    <w:rsid w:val="00D1692E"/>
    <w:rsid w:val="00D2071A"/>
    <w:rsid w:val="00D213B7"/>
    <w:rsid w:val="00D2282C"/>
    <w:rsid w:val="00D248E4"/>
    <w:rsid w:val="00D276AA"/>
    <w:rsid w:val="00D27777"/>
    <w:rsid w:val="00D277A5"/>
    <w:rsid w:val="00D31F48"/>
    <w:rsid w:val="00D34052"/>
    <w:rsid w:val="00D35C41"/>
    <w:rsid w:val="00D36C28"/>
    <w:rsid w:val="00D37916"/>
    <w:rsid w:val="00D45DB3"/>
    <w:rsid w:val="00D46A03"/>
    <w:rsid w:val="00D47C0F"/>
    <w:rsid w:val="00D51D7B"/>
    <w:rsid w:val="00D565E0"/>
    <w:rsid w:val="00D60CEB"/>
    <w:rsid w:val="00D61DDA"/>
    <w:rsid w:val="00D621A2"/>
    <w:rsid w:val="00D62D00"/>
    <w:rsid w:val="00D63851"/>
    <w:rsid w:val="00D646E6"/>
    <w:rsid w:val="00D73839"/>
    <w:rsid w:val="00D77711"/>
    <w:rsid w:val="00D77A33"/>
    <w:rsid w:val="00D81307"/>
    <w:rsid w:val="00D83E40"/>
    <w:rsid w:val="00D92F81"/>
    <w:rsid w:val="00DA2C6E"/>
    <w:rsid w:val="00DA36B1"/>
    <w:rsid w:val="00DA72B0"/>
    <w:rsid w:val="00DA72BA"/>
    <w:rsid w:val="00DB4D05"/>
    <w:rsid w:val="00DB5A3D"/>
    <w:rsid w:val="00DB72A1"/>
    <w:rsid w:val="00DC32C6"/>
    <w:rsid w:val="00DC6EB0"/>
    <w:rsid w:val="00DC701E"/>
    <w:rsid w:val="00DD3B9C"/>
    <w:rsid w:val="00DE3238"/>
    <w:rsid w:val="00DE545F"/>
    <w:rsid w:val="00DE78CC"/>
    <w:rsid w:val="00DF21C1"/>
    <w:rsid w:val="00DF5454"/>
    <w:rsid w:val="00DF55E8"/>
    <w:rsid w:val="00DF5B3F"/>
    <w:rsid w:val="00DF619B"/>
    <w:rsid w:val="00E00941"/>
    <w:rsid w:val="00E03D6D"/>
    <w:rsid w:val="00E11FE6"/>
    <w:rsid w:val="00E154F3"/>
    <w:rsid w:val="00E20DB3"/>
    <w:rsid w:val="00E21D95"/>
    <w:rsid w:val="00E22244"/>
    <w:rsid w:val="00E32534"/>
    <w:rsid w:val="00E32764"/>
    <w:rsid w:val="00E32854"/>
    <w:rsid w:val="00E35E9F"/>
    <w:rsid w:val="00E4011D"/>
    <w:rsid w:val="00E50E48"/>
    <w:rsid w:val="00E57EDC"/>
    <w:rsid w:val="00E57EF9"/>
    <w:rsid w:val="00E6392B"/>
    <w:rsid w:val="00E63EB3"/>
    <w:rsid w:val="00E66702"/>
    <w:rsid w:val="00E705F2"/>
    <w:rsid w:val="00E71032"/>
    <w:rsid w:val="00E72746"/>
    <w:rsid w:val="00E77FA2"/>
    <w:rsid w:val="00E80EF1"/>
    <w:rsid w:val="00E815F7"/>
    <w:rsid w:val="00E84097"/>
    <w:rsid w:val="00E92959"/>
    <w:rsid w:val="00E936A3"/>
    <w:rsid w:val="00E96884"/>
    <w:rsid w:val="00E970DC"/>
    <w:rsid w:val="00E97D83"/>
    <w:rsid w:val="00EA12B0"/>
    <w:rsid w:val="00EA30E4"/>
    <w:rsid w:val="00EA42CB"/>
    <w:rsid w:val="00EA42D8"/>
    <w:rsid w:val="00EA4494"/>
    <w:rsid w:val="00EA7D8C"/>
    <w:rsid w:val="00EB0371"/>
    <w:rsid w:val="00EB0C0B"/>
    <w:rsid w:val="00EB1620"/>
    <w:rsid w:val="00EB2711"/>
    <w:rsid w:val="00EB273A"/>
    <w:rsid w:val="00EB2763"/>
    <w:rsid w:val="00EB67F7"/>
    <w:rsid w:val="00EC0ADB"/>
    <w:rsid w:val="00EC110D"/>
    <w:rsid w:val="00EC49E9"/>
    <w:rsid w:val="00EC4E43"/>
    <w:rsid w:val="00EC56B3"/>
    <w:rsid w:val="00ED30E5"/>
    <w:rsid w:val="00ED64E2"/>
    <w:rsid w:val="00ED73C8"/>
    <w:rsid w:val="00EE3DCD"/>
    <w:rsid w:val="00EF2C82"/>
    <w:rsid w:val="00EF3C40"/>
    <w:rsid w:val="00EF5485"/>
    <w:rsid w:val="00EF597D"/>
    <w:rsid w:val="00F1086F"/>
    <w:rsid w:val="00F11CB5"/>
    <w:rsid w:val="00F14151"/>
    <w:rsid w:val="00F236B6"/>
    <w:rsid w:val="00F238AE"/>
    <w:rsid w:val="00F33692"/>
    <w:rsid w:val="00F33CBA"/>
    <w:rsid w:val="00F34C1C"/>
    <w:rsid w:val="00F37050"/>
    <w:rsid w:val="00F402AB"/>
    <w:rsid w:val="00F4071E"/>
    <w:rsid w:val="00F43D54"/>
    <w:rsid w:val="00F43E2F"/>
    <w:rsid w:val="00F51060"/>
    <w:rsid w:val="00F6063A"/>
    <w:rsid w:val="00F60CAD"/>
    <w:rsid w:val="00F61866"/>
    <w:rsid w:val="00F63C61"/>
    <w:rsid w:val="00F6718B"/>
    <w:rsid w:val="00F67AE9"/>
    <w:rsid w:val="00F71569"/>
    <w:rsid w:val="00F80DD1"/>
    <w:rsid w:val="00F819FA"/>
    <w:rsid w:val="00F81C34"/>
    <w:rsid w:val="00F9047D"/>
    <w:rsid w:val="00F93D37"/>
    <w:rsid w:val="00F95BD1"/>
    <w:rsid w:val="00F96C9F"/>
    <w:rsid w:val="00FA0826"/>
    <w:rsid w:val="00FA0A8E"/>
    <w:rsid w:val="00FA49CA"/>
    <w:rsid w:val="00FA5BA8"/>
    <w:rsid w:val="00FA64FB"/>
    <w:rsid w:val="00FA7B2F"/>
    <w:rsid w:val="00FB2FC8"/>
    <w:rsid w:val="00FB64F1"/>
    <w:rsid w:val="00FC085F"/>
    <w:rsid w:val="00FC10C7"/>
    <w:rsid w:val="00FC3305"/>
    <w:rsid w:val="00FC47DB"/>
    <w:rsid w:val="00FD0EC6"/>
    <w:rsid w:val="00FD3B1B"/>
    <w:rsid w:val="00FD4F55"/>
    <w:rsid w:val="00FE0E06"/>
    <w:rsid w:val="00FE25C7"/>
    <w:rsid w:val="00FF3E13"/>
    <w:rsid w:val="00FF4816"/>
    <w:rsid w:val="00FF77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42EB2"/>
  <w15:chartTrackingRefBased/>
  <w15:docId w15:val="{D3DCD736-9B8A-4BAA-8DA0-39FC9269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64"/>
    <w:rPr>
      <w:rFonts w:ascii="Times New Roman" w:hAnsi="Times New Roman"/>
      <w:sz w:val="24"/>
    </w:rPr>
  </w:style>
  <w:style w:type="paragraph" w:styleId="Heading1">
    <w:name w:val="heading 1"/>
    <w:basedOn w:val="Normal"/>
    <w:next w:val="Normal"/>
    <w:link w:val="Heading1Char"/>
    <w:uiPriority w:val="9"/>
    <w:qFormat/>
    <w:rsid w:val="00E4011D"/>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F2BF4"/>
    <w:pPr>
      <w:keepNext/>
      <w:keepLines/>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2F2BF4"/>
    <w:pPr>
      <w:keepNext/>
      <w:keepLines/>
      <w:spacing w:after="1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22"/>
    <w:pPr>
      <w:ind w:left="720"/>
      <w:contextualSpacing/>
    </w:pPr>
  </w:style>
  <w:style w:type="table" w:styleId="TableGrid">
    <w:name w:val="Table Grid"/>
    <w:basedOn w:val="TableNormal"/>
    <w:uiPriority w:val="39"/>
    <w:rsid w:val="004442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70"/>
  </w:style>
  <w:style w:type="paragraph" w:styleId="Footer">
    <w:name w:val="footer"/>
    <w:basedOn w:val="Normal"/>
    <w:link w:val="FooterChar"/>
    <w:uiPriority w:val="99"/>
    <w:unhideWhenUsed/>
    <w:rsid w:val="0041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70"/>
  </w:style>
  <w:style w:type="character" w:styleId="Hyperlink">
    <w:name w:val="Hyperlink"/>
    <w:uiPriority w:val="99"/>
    <w:unhideWhenUsed/>
    <w:rsid w:val="0071378B"/>
    <w:rPr>
      <w:color w:val="0000FF"/>
      <w:u w:val="single"/>
    </w:rPr>
  </w:style>
  <w:style w:type="paragraph" w:styleId="TOC1">
    <w:name w:val="toc 1"/>
    <w:basedOn w:val="Normal"/>
    <w:next w:val="Normal"/>
    <w:autoRedefine/>
    <w:uiPriority w:val="39"/>
    <w:unhideWhenUsed/>
    <w:rsid w:val="00E4011D"/>
    <w:pPr>
      <w:spacing w:before="120" w:after="120" w:line="276" w:lineRule="auto"/>
    </w:pPr>
    <w:rPr>
      <w:rFonts w:eastAsia="Calibri" w:cs="Times New Roman"/>
      <w:b/>
      <w:bCs/>
      <w:caps/>
      <w:szCs w:val="20"/>
    </w:rPr>
  </w:style>
  <w:style w:type="paragraph" w:styleId="TOC2">
    <w:name w:val="toc 2"/>
    <w:basedOn w:val="Normal"/>
    <w:next w:val="Normal"/>
    <w:autoRedefine/>
    <w:uiPriority w:val="39"/>
    <w:unhideWhenUsed/>
    <w:rsid w:val="00E4011D"/>
    <w:pPr>
      <w:spacing w:after="0" w:line="276" w:lineRule="auto"/>
      <w:ind w:left="220"/>
    </w:pPr>
    <w:rPr>
      <w:rFonts w:eastAsia="Calibri" w:cs="Times New Roman"/>
      <w:szCs w:val="20"/>
    </w:rPr>
  </w:style>
  <w:style w:type="paragraph" w:customStyle="1" w:styleId="Level3">
    <w:name w:val="Level 3"/>
    <w:basedOn w:val="TOC3"/>
    <w:link w:val="Level3CharChar"/>
    <w:qFormat/>
    <w:rsid w:val="0071378B"/>
    <w:pPr>
      <w:tabs>
        <w:tab w:val="right" w:leader="dot" w:pos="8630"/>
      </w:tabs>
      <w:spacing w:after="0" w:line="240" w:lineRule="auto"/>
      <w:ind w:left="400"/>
    </w:pPr>
    <w:rPr>
      <w:rFonts w:asciiTheme="majorHAnsi" w:eastAsia="Times New Roman" w:hAnsiTheme="majorHAnsi" w:cs="Times New Roman"/>
      <w:i/>
      <w:iCs/>
      <w:sz w:val="20"/>
      <w:szCs w:val="20"/>
    </w:rPr>
  </w:style>
  <w:style w:type="character" w:customStyle="1" w:styleId="Level3CharChar">
    <w:name w:val="Level 3 Char Char"/>
    <w:basedOn w:val="DefaultParagraphFont"/>
    <w:link w:val="Level3"/>
    <w:rsid w:val="0071378B"/>
    <w:rPr>
      <w:rFonts w:asciiTheme="majorHAnsi" w:eastAsia="Times New Roman" w:hAnsiTheme="majorHAnsi" w:cs="Times New Roman"/>
      <w:i/>
      <w:iCs/>
      <w:sz w:val="20"/>
      <w:szCs w:val="20"/>
    </w:rPr>
  </w:style>
  <w:style w:type="paragraph" w:customStyle="1" w:styleId="Level1">
    <w:name w:val="Level 1"/>
    <w:basedOn w:val="TOC1"/>
    <w:link w:val="Level1Char"/>
    <w:qFormat/>
    <w:rsid w:val="0071378B"/>
    <w:pPr>
      <w:tabs>
        <w:tab w:val="right" w:leader="dot" w:pos="8630"/>
      </w:tabs>
      <w:spacing w:line="240" w:lineRule="auto"/>
    </w:pPr>
    <w:rPr>
      <w:rFonts w:asciiTheme="majorHAnsi" w:eastAsia="Times New Roman" w:hAnsiTheme="majorHAnsi"/>
    </w:rPr>
  </w:style>
  <w:style w:type="character" w:customStyle="1" w:styleId="Level1Char">
    <w:name w:val="Level 1 Char"/>
    <w:basedOn w:val="DefaultParagraphFont"/>
    <w:link w:val="Level1"/>
    <w:rsid w:val="0071378B"/>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71378B"/>
    <w:pPr>
      <w:tabs>
        <w:tab w:val="right" w:leader="dot" w:pos="8630"/>
      </w:tabs>
      <w:spacing w:line="240" w:lineRule="auto"/>
      <w:ind w:left="200"/>
    </w:pPr>
    <w:rPr>
      <w:rFonts w:asciiTheme="majorHAnsi" w:eastAsia="Times New Roman" w:hAnsiTheme="majorHAnsi"/>
      <w:color w:val="000000"/>
    </w:rPr>
  </w:style>
  <w:style w:type="character" w:customStyle="1" w:styleId="Level2Char">
    <w:name w:val="Level 2 Char"/>
    <w:basedOn w:val="DefaultParagraphFont"/>
    <w:link w:val="Level2"/>
    <w:rsid w:val="0071378B"/>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unhideWhenUsed/>
    <w:rsid w:val="0071378B"/>
    <w:pPr>
      <w:spacing w:after="100"/>
      <w:ind w:left="440"/>
    </w:pPr>
  </w:style>
  <w:style w:type="paragraph" w:styleId="BalloonText">
    <w:name w:val="Balloon Text"/>
    <w:basedOn w:val="Normal"/>
    <w:link w:val="BalloonTextChar"/>
    <w:uiPriority w:val="99"/>
    <w:semiHidden/>
    <w:unhideWhenUsed/>
    <w:rsid w:val="00B75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22"/>
    <w:rPr>
      <w:rFonts w:ascii="Segoe UI" w:hAnsi="Segoe UI" w:cs="Segoe UI"/>
      <w:sz w:val="18"/>
      <w:szCs w:val="18"/>
    </w:rPr>
  </w:style>
  <w:style w:type="character" w:customStyle="1" w:styleId="Heading1Char">
    <w:name w:val="Heading 1 Char"/>
    <w:basedOn w:val="DefaultParagraphFont"/>
    <w:link w:val="Heading1"/>
    <w:uiPriority w:val="9"/>
    <w:rsid w:val="00E4011D"/>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2F2BF4"/>
    <w:rPr>
      <w:rFonts w:ascii="Times New Roman" w:eastAsiaTheme="majorEastAsia" w:hAnsi="Times New Roman" w:cstheme="majorBidi"/>
      <w:b/>
      <w:caps/>
      <w:sz w:val="24"/>
      <w:szCs w:val="26"/>
    </w:rPr>
  </w:style>
  <w:style w:type="paragraph" w:styleId="TOCHeading">
    <w:name w:val="TOC Heading"/>
    <w:basedOn w:val="Heading1"/>
    <w:next w:val="Normal"/>
    <w:uiPriority w:val="39"/>
    <w:unhideWhenUsed/>
    <w:qFormat/>
    <w:rsid w:val="00E4011D"/>
    <w:pPr>
      <w:spacing w:before="240" w:after="0"/>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7741BD"/>
    <w:rPr>
      <w:sz w:val="16"/>
      <w:szCs w:val="16"/>
    </w:rPr>
  </w:style>
  <w:style w:type="paragraph" w:styleId="CommentText">
    <w:name w:val="annotation text"/>
    <w:basedOn w:val="Normal"/>
    <w:link w:val="CommentTextChar"/>
    <w:uiPriority w:val="99"/>
    <w:unhideWhenUsed/>
    <w:rsid w:val="007741BD"/>
    <w:pPr>
      <w:spacing w:line="240" w:lineRule="auto"/>
    </w:pPr>
    <w:rPr>
      <w:sz w:val="20"/>
      <w:szCs w:val="20"/>
    </w:rPr>
  </w:style>
  <w:style w:type="character" w:customStyle="1" w:styleId="CommentTextChar">
    <w:name w:val="Comment Text Char"/>
    <w:basedOn w:val="DefaultParagraphFont"/>
    <w:link w:val="CommentText"/>
    <w:uiPriority w:val="99"/>
    <w:rsid w:val="007741BD"/>
    <w:rPr>
      <w:sz w:val="20"/>
      <w:szCs w:val="20"/>
    </w:rPr>
  </w:style>
  <w:style w:type="paragraph" w:styleId="CommentSubject">
    <w:name w:val="annotation subject"/>
    <w:basedOn w:val="CommentText"/>
    <w:next w:val="CommentText"/>
    <w:link w:val="CommentSubjectChar"/>
    <w:uiPriority w:val="99"/>
    <w:semiHidden/>
    <w:unhideWhenUsed/>
    <w:rsid w:val="007741BD"/>
    <w:rPr>
      <w:b/>
      <w:bCs/>
    </w:rPr>
  </w:style>
  <w:style w:type="character" w:customStyle="1" w:styleId="CommentSubjectChar">
    <w:name w:val="Comment Subject Char"/>
    <w:basedOn w:val="CommentTextChar"/>
    <w:link w:val="CommentSubject"/>
    <w:uiPriority w:val="99"/>
    <w:semiHidden/>
    <w:rsid w:val="007741BD"/>
    <w:rPr>
      <w:b/>
      <w:bCs/>
      <w:sz w:val="20"/>
      <w:szCs w:val="20"/>
    </w:rPr>
  </w:style>
  <w:style w:type="paragraph" w:styleId="Revision">
    <w:name w:val="Revision"/>
    <w:hidden/>
    <w:uiPriority w:val="99"/>
    <w:semiHidden/>
    <w:rsid w:val="007167B7"/>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47416D"/>
    <w:rPr>
      <w:color w:val="808080"/>
      <w:shd w:val="clear" w:color="auto" w:fill="E6E6E6"/>
    </w:rPr>
  </w:style>
  <w:style w:type="character" w:styleId="FootnoteReference">
    <w:name w:val="footnote reference"/>
    <w:basedOn w:val="DefaultParagraphFont"/>
    <w:uiPriority w:val="99"/>
    <w:semiHidden/>
    <w:unhideWhenUsed/>
    <w:rsid w:val="000C06EB"/>
    <w:rPr>
      <w:vertAlign w:val="superscript"/>
    </w:rPr>
  </w:style>
  <w:style w:type="paragraph" w:styleId="FootnoteText">
    <w:name w:val="footnote text"/>
    <w:basedOn w:val="Normal"/>
    <w:link w:val="FootnoteTextChar"/>
    <w:uiPriority w:val="99"/>
    <w:semiHidden/>
    <w:unhideWhenUsed/>
    <w:rsid w:val="00731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54C"/>
    <w:rPr>
      <w:rFonts w:ascii="Times New Roman" w:hAnsi="Times New Roman"/>
      <w:sz w:val="20"/>
      <w:szCs w:val="20"/>
    </w:rPr>
  </w:style>
  <w:style w:type="paragraph" w:customStyle="1" w:styleId="CM10">
    <w:name w:val="CM10"/>
    <w:basedOn w:val="Normal"/>
    <w:next w:val="Normal"/>
    <w:uiPriority w:val="99"/>
    <w:rsid w:val="005F6971"/>
    <w:pPr>
      <w:autoSpaceDE w:val="0"/>
      <w:autoSpaceDN w:val="0"/>
      <w:adjustRightInd w:val="0"/>
      <w:spacing w:after="0" w:line="276" w:lineRule="atLeast"/>
    </w:pPr>
    <w:rPr>
      <w:rFonts w:cs="Times New Roman"/>
      <w:szCs w:val="24"/>
    </w:rPr>
  </w:style>
  <w:style w:type="paragraph" w:customStyle="1" w:styleId="CM56">
    <w:name w:val="CM56"/>
    <w:basedOn w:val="Normal"/>
    <w:next w:val="Normal"/>
    <w:uiPriority w:val="99"/>
    <w:rsid w:val="004D5084"/>
    <w:pPr>
      <w:autoSpaceDE w:val="0"/>
      <w:autoSpaceDN w:val="0"/>
      <w:adjustRightInd w:val="0"/>
      <w:spacing w:after="0" w:line="240" w:lineRule="auto"/>
    </w:pPr>
    <w:rPr>
      <w:rFonts w:cs="Times New Roman"/>
      <w:szCs w:val="24"/>
    </w:rPr>
  </w:style>
  <w:style w:type="character" w:styleId="Mention">
    <w:name w:val="Mention"/>
    <w:basedOn w:val="DefaultParagraphFont"/>
    <w:uiPriority w:val="99"/>
    <w:semiHidden/>
    <w:unhideWhenUsed/>
    <w:rsid w:val="00EB273A"/>
    <w:rPr>
      <w:color w:val="2B579A"/>
      <w:shd w:val="clear" w:color="auto" w:fill="E6E6E6"/>
    </w:rPr>
  </w:style>
  <w:style w:type="character" w:styleId="FollowedHyperlink">
    <w:name w:val="FollowedHyperlink"/>
    <w:basedOn w:val="DefaultParagraphFont"/>
    <w:uiPriority w:val="99"/>
    <w:semiHidden/>
    <w:unhideWhenUsed/>
    <w:rsid w:val="00500FBB"/>
    <w:rPr>
      <w:color w:val="954F72" w:themeColor="followedHyperlink"/>
      <w:u w:val="single"/>
    </w:rPr>
  </w:style>
  <w:style w:type="character" w:customStyle="1" w:styleId="Heading3Char">
    <w:name w:val="Heading 3 Char"/>
    <w:basedOn w:val="DefaultParagraphFont"/>
    <w:link w:val="Heading3"/>
    <w:uiPriority w:val="9"/>
    <w:rsid w:val="002F2BF4"/>
    <w:rPr>
      <w:rFonts w:ascii="Times New Roman" w:eastAsiaTheme="majorEastAsia" w:hAnsi="Times New Roman" w:cstheme="majorBidi"/>
      <w:b/>
      <w:color w:val="000000" w:themeColor="text1"/>
      <w:sz w:val="24"/>
      <w:szCs w:val="24"/>
    </w:rPr>
  </w:style>
  <w:style w:type="character" w:styleId="UnresolvedMention">
    <w:name w:val="Unresolved Mention"/>
    <w:basedOn w:val="DefaultParagraphFont"/>
    <w:uiPriority w:val="99"/>
    <w:semiHidden/>
    <w:unhideWhenUsed/>
    <w:rsid w:val="00F96C9F"/>
    <w:rPr>
      <w:color w:val="605E5C"/>
      <w:shd w:val="clear" w:color="auto" w:fill="E1DFDD"/>
    </w:rPr>
  </w:style>
  <w:style w:type="paragraph" w:styleId="NoSpacing">
    <w:name w:val="No Spacing"/>
    <w:uiPriority w:val="1"/>
    <w:qFormat/>
    <w:rsid w:val="002517F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52114">
      <w:bodyDiv w:val="1"/>
      <w:marLeft w:val="0"/>
      <w:marRight w:val="0"/>
      <w:marTop w:val="0"/>
      <w:marBottom w:val="0"/>
      <w:divBdr>
        <w:top w:val="none" w:sz="0" w:space="0" w:color="auto"/>
        <w:left w:val="none" w:sz="0" w:space="0" w:color="auto"/>
        <w:bottom w:val="none" w:sz="0" w:space="0" w:color="auto"/>
        <w:right w:val="none" w:sz="0" w:space="0" w:color="auto"/>
      </w:divBdr>
    </w:div>
    <w:div w:id="354622783">
      <w:bodyDiv w:val="1"/>
      <w:marLeft w:val="0"/>
      <w:marRight w:val="0"/>
      <w:marTop w:val="0"/>
      <w:marBottom w:val="0"/>
      <w:divBdr>
        <w:top w:val="none" w:sz="0" w:space="0" w:color="auto"/>
        <w:left w:val="none" w:sz="0" w:space="0" w:color="auto"/>
        <w:bottom w:val="none" w:sz="0" w:space="0" w:color="auto"/>
        <w:right w:val="none" w:sz="0" w:space="0" w:color="auto"/>
      </w:divBdr>
    </w:div>
    <w:div w:id="380640471">
      <w:bodyDiv w:val="1"/>
      <w:marLeft w:val="0"/>
      <w:marRight w:val="0"/>
      <w:marTop w:val="0"/>
      <w:marBottom w:val="0"/>
      <w:divBdr>
        <w:top w:val="none" w:sz="0" w:space="0" w:color="auto"/>
        <w:left w:val="none" w:sz="0" w:space="0" w:color="auto"/>
        <w:bottom w:val="none" w:sz="0" w:space="0" w:color="auto"/>
        <w:right w:val="none" w:sz="0" w:space="0" w:color="auto"/>
      </w:divBdr>
    </w:div>
    <w:div w:id="451678347">
      <w:bodyDiv w:val="1"/>
      <w:marLeft w:val="0"/>
      <w:marRight w:val="0"/>
      <w:marTop w:val="0"/>
      <w:marBottom w:val="0"/>
      <w:divBdr>
        <w:top w:val="none" w:sz="0" w:space="0" w:color="auto"/>
        <w:left w:val="none" w:sz="0" w:space="0" w:color="auto"/>
        <w:bottom w:val="none" w:sz="0" w:space="0" w:color="auto"/>
        <w:right w:val="none" w:sz="0" w:space="0" w:color="auto"/>
      </w:divBdr>
    </w:div>
    <w:div w:id="547835975">
      <w:bodyDiv w:val="1"/>
      <w:marLeft w:val="0"/>
      <w:marRight w:val="0"/>
      <w:marTop w:val="0"/>
      <w:marBottom w:val="0"/>
      <w:divBdr>
        <w:top w:val="none" w:sz="0" w:space="0" w:color="auto"/>
        <w:left w:val="none" w:sz="0" w:space="0" w:color="auto"/>
        <w:bottom w:val="none" w:sz="0" w:space="0" w:color="auto"/>
        <w:right w:val="none" w:sz="0" w:space="0" w:color="auto"/>
      </w:divBdr>
    </w:div>
    <w:div w:id="714889957">
      <w:bodyDiv w:val="1"/>
      <w:marLeft w:val="0"/>
      <w:marRight w:val="0"/>
      <w:marTop w:val="0"/>
      <w:marBottom w:val="0"/>
      <w:divBdr>
        <w:top w:val="none" w:sz="0" w:space="0" w:color="auto"/>
        <w:left w:val="none" w:sz="0" w:space="0" w:color="auto"/>
        <w:bottom w:val="none" w:sz="0" w:space="0" w:color="auto"/>
        <w:right w:val="none" w:sz="0" w:space="0" w:color="auto"/>
      </w:divBdr>
    </w:div>
    <w:div w:id="1434937984">
      <w:bodyDiv w:val="1"/>
      <w:marLeft w:val="0"/>
      <w:marRight w:val="0"/>
      <w:marTop w:val="0"/>
      <w:marBottom w:val="0"/>
      <w:divBdr>
        <w:top w:val="none" w:sz="0" w:space="0" w:color="auto"/>
        <w:left w:val="none" w:sz="0" w:space="0" w:color="auto"/>
        <w:bottom w:val="none" w:sz="0" w:space="0" w:color="auto"/>
        <w:right w:val="none" w:sz="0" w:space="0" w:color="auto"/>
      </w:divBdr>
    </w:div>
    <w:div w:id="14784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hi.kumar@dot.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mueller@dot.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uglas.mcdonald@do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opher.wahler@do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172B-F34A-4B6B-917F-1819C900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Bregman</dc:creator>
  <cp:keywords/>
  <dc:description/>
  <cp:lastModifiedBy>Lewczuk, Katarzyna</cp:lastModifiedBy>
  <cp:revision>6</cp:revision>
  <cp:lastPrinted>2018-10-18T19:59:00Z</cp:lastPrinted>
  <dcterms:created xsi:type="dcterms:W3CDTF">2022-01-28T18:30:00Z</dcterms:created>
  <dcterms:modified xsi:type="dcterms:W3CDTF">2022-01-28T18:38:00Z</dcterms:modified>
</cp:coreProperties>
</file>