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6861" w:rsidR="00455BF0" w:rsidRDefault="00455BF0">
      <w:pPr>
        <w:widowControl/>
        <w:tabs>
          <w:tab w:val="center" w:pos="4500"/>
        </w:tabs>
        <w:jc w:val="center"/>
        <w:rPr>
          <w:rFonts w:ascii="Times New Roman" w:hAnsi="Times New Roman"/>
          <w:b/>
          <w:sz w:val="28"/>
          <w:szCs w:val="28"/>
        </w:rPr>
      </w:pPr>
      <w:r w:rsidRPr="007B6861">
        <w:rPr>
          <w:rFonts w:ascii="Times New Roman" w:hAnsi="Times New Roman"/>
          <w:b/>
          <w:sz w:val="28"/>
          <w:szCs w:val="28"/>
        </w:rPr>
        <w:t>SUPPORTING STATEMENT</w:t>
      </w:r>
    </w:p>
    <w:p w:rsidRPr="007B6861" w:rsidR="00455BF0" w:rsidRDefault="00455BF0">
      <w:pPr>
        <w:widowControl/>
        <w:tabs>
          <w:tab w:val="center" w:pos="4500"/>
        </w:tabs>
        <w:jc w:val="center"/>
        <w:rPr>
          <w:rFonts w:ascii="Times New Roman" w:hAnsi="Times New Roman"/>
          <w:b/>
          <w:sz w:val="28"/>
          <w:szCs w:val="28"/>
        </w:rPr>
      </w:pPr>
      <w:r w:rsidRPr="007B6861">
        <w:rPr>
          <w:rFonts w:ascii="Times New Roman" w:hAnsi="Times New Roman"/>
          <w:b/>
          <w:sz w:val="28"/>
          <w:szCs w:val="28"/>
        </w:rPr>
        <w:t>PROCEDURES FOR MONITORING BANK PROTECTION ACT COMPLIANCE</w:t>
      </w:r>
    </w:p>
    <w:p w:rsidRPr="007B6861" w:rsidR="00455BF0" w:rsidRDefault="00455BF0">
      <w:pPr>
        <w:widowControl/>
        <w:tabs>
          <w:tab w:val="center" w:pos="4500"/>
        </w:tabs>
        <w:jc w:val="center"/>
        <w:rPr>
          <w:rFonts w:ascii="Times New Roman" w:hAnsi="Times New Roman"/>
          <w:b/>
          <w:sz w:val="28"/>
          <w:szCs w:val="28"/>
        </w:rPr>
      </w:pPr>
      <w:r w:rsidRPr="007B6861">
        <w:rPr>
          <w:rFonts w:ascii="Times New Roman" w:hAnsi="Times New Roman"/>
          <w:b/>
          <w:sz w:val="28"/>
          <w:szCs w:val="28"/>
        </w:rPr>
        <w:t>(OMB No. 3064</w:t>
      </w:r>
      <w:r w:rsidRPr="007B6861">
        <w:rPr>
          <w:rFonts w:ascii="Times New Roman" w:hAnsi="Times New Roman"/>
          <w:b/>
          <w:sz w:val="28"/>
          <w:szCs w:val="28"/>
        </w:rPr>
        <w:noBreakHyphen/>
        <w:t>0095)</w:t>
      </w:r>
    </w:p>
    <w:p w:rsidR="00455BF0" w:rsidRDefault="00455BF0">
      <w:pPr>
        <w:pStyle w:val="Footer"/>
        <w:widowControl/>
        <w:tabs>
          <w:tab w:val="clear" w:pos="8640"/>
          <w:tab w:val="left" w:pos="600"/>
          <w:tab w:val="left" w:pos="1200"/>
          <w:tab w:val="left" w:pos="1800"/>
          <w:tab w:val="left" w:pos="2280"/>
          <w:tab w:val="left" w:pos="4320"/>
        </w:tabs>
        <w:rPr>
          <w:rFonts w:ascii="Times New Roman" w:hAnsi="Times New Roman"/>
        </w:rPr>
      </w:pPr>
    </w:p>
    <w:p w:rsidR="00455BF0" w:rsidRDefault="00455BF0">
      <w:pPr>
        <w:widowControl/>
        <w:tabs>
          <w:tab w:val="left" w:pos="600"/>
          <w:tab w:val="left" w:pos="1200"/>
          <w:tab w:val="left" w:pos="1800"/>
          <w:tab w:val="left" w:pos="2280"/>
          <w:tab w:val="left" w:pos="4320"/>
        </w:tabs>
        <w:rPr>
          <w:rFonts w:ascii="Times New Roman" w:hAnsi="Times New Roman"/>
        </w:rPr>
      </w:pPr>
    </w:p>
    <w:p w:rsidR="00455BF0" w:rsidRDefault="00455BF0">
      <w:pPr>
        <w:widowControl/>
        <w:tabs>
          <w:tab w:val="left" w:pos="600"/>
          <w:tab w:val="left" w:pos="1200"/>
          <w:tab w:val="left" w:pos="1800"/>
          <w:tab w:val="left" w:pos="2280"/>
          <w:tab w:val="left" w:pos="4320"/>
        </w:tabs>
        <w:rPr>
          <w:rFonts w:ascii="Times New Roman" w:hAnsi="Times New Roman"/>
        </w:rPr>
      </w:pPr>
      <w:r>
        <w:rPr>
          <w:rFonts w:ascii="Times New Roman" w:hAnsi="Times New Roman"/>
          <w:u w:val="single"/>
        </w:rPr>
        <w:t>INTRODUCTION</w:t>
      </w:r>
    </w:p>
    <w:p w:rsidR="00455BF0" w:rsidRDefault="00455BF0">
      <w:pPr>
        <w:widowControl/>
        <w:tabs>
          <w:tab w:val="left" w:pos="600"/>
          <w:tab w:val="left" w:pos="1200"/>
          <w:tab w:val="left" w:pos="1800"/>
          <w:tab w:val="left" w:pos="2280"/>
          <w:tab w:val="left" w:pos="4320"/>
        </w:tabs>
        <w:rPr>
          <w:rFonts w:ascii="Times New Roman" w:hAnsi="Times New Roman"/>
        </w:rPr>
      </w:pPr>
    </w:p>
    <w:p w:rsidR="00455BF0" w:rsidRDefault="00455BF0">
      <w:pPr>
        <w:widowControl/>
        <w:tabs>
          <w:tab w:val="left" w:pos="600"/>
          <w:tab w:val="left" w:pos="1200"/>
          <w:tab w:val="left" w:pos="1800"/>
          <w:tab w:val="left" w:pos="2280"/>
          <w:tab w:val="left" w:pos="4320"/>
        </w:tabs>
        <w:ind w:right="-428"/>
        <w:rPr>
          <w:rFonts w:ascii="Times New Roman" w:hAnsi="Times New Roman"/>
        </w:rPr>
      </w:pPr>
      <w:r>
        <w:rPr>
          <w:rFonts w:ascii="Times New Roman" w:hAnsi="Times New Roman"/>
        </w:rPr>
        <w:t>The FDIC is requesting OMB approval of a three</w:t>
      </w:r>
      <w:r>
        <w:rPr>
          <w:rFonts w:ascii="Times New Roman" w:hAnsi="Times New Roman"/>
        </w:rPr>
        <w:noBreakHyphen/>
        <w:t>year extension</w:t>
      </w:r>
      <w:r w:rsidR="007B6861">
        <w:rPr>
          <w:rFonts w:ascii="Times New Roman" w:hAnsi="Times New Roman"/>
        </w:rPr>
        <w:t>, without change,</w:t>
      </w:r>
      <w:r>
        <w:rPr>
          <w:rFonts w:ascii="Times New Roman" w:hAnsi="Times New Roman"/>
        </w:rPr>
        <w:t xml:space="preserve"> of the collectio</w:t>
      </w:r>
      <w:r w:rsidR="007B6861">
        <w:rPr>
          <w:rFonts w:ascii="Times New Roman" w:hAnsi="Times New Roman"/>
        </w:rPr>
        <w:t>n of information entitled “ Procedures for Monitoring Bank Protection Act Compliance</w:t>
      </w:r>
      <w:r>
        <w:rPr>
          <w:rFonts w:ascii="Times New Roman" w:hAnsi="Times New Roman"/>
        </w:rPr>
        <w:t xml:space="preserve">  This collection is imposed on insured nonmember banks as a result 12 CFR Part 326, subpart A </w:t>
      </w:r>
      <w:r>
        <w:rPr>
          <w:rFonts w:ascii="Times New Roman" w:hAnsi="Times New Roman"/>
        </w:rPr>
        <w:noBreakHyphen/>
      </w:r>
      <w:r>
        <w:rPr>
          <w:rFonts w:ascii="Times New Roman" w:hAnsi="Times New Roman"/>
        </w:rPr>
        <w:noBreakHyphen/>
        <w:t xml:space="preserve"> </w:t>
      </w:r>
      <w:r w:rsidRPr="00EE6AFD">
        <w:rPr>
          <w:rFonts w:ascii="Times New Roman" w:hAnsi="Times New Roman"/>
        </w:rPr>
        <w:t>MINIMUM SECURITY DEVICES AND PROCEDURES FOR INSURED NONMEMBER BANKS.</w:t>
      </w:r>
      <w:r>
        <w:rPr>
          <w:rFonts w:ascii="Times New Roman" w:hAnsi="Times New Roman"/>
        </w:rPr>
        <w:t xml:space="preserve">  </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RDefault="00455BF0">
      <w:pPr>
        <w:widowControl/>
        <w:tabs>
          <w:tab w:val="left" w:pos="600"/>
          <w:tab w:val="left" w:pos="1200"/>
          <w:tab w:val="left" w:pos="1800"/>
          <w:tab w:val="left" w:pos="2280"/>
          <w:tab w:val="left" w:pos="4320"/>
        </w:tabs>
        <w:ind w:right="-428"/>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RDefault="00455BF0">
      <w:pPr>
        <w:widowControl/>
        <w:tabs>
          <w:tab w:val="left" w:pos="600"/>
          <w:tab w:val="left" w:pos="1200"/>
          <w:tab w:val="left" w:pos="1800"/>
          <w:tab w:val="left" w:pos="2280"/>
          <w:tab w:val="left" w:pos="4320"/>
        </w:tabs>
        <w:ind w:left="1200" w:right="-428" w:hanging="60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The Bank Protection Act of 1968 (12 USC 1881</w:t>
      </w:r>
      <w:r>
        <w:rPr>
          <w:rFonts w:ascii="Times New Roman" w:hAnsi="Times New Roman"/>
        </w:rPr>
        <w:noBreakHyphen/>
        <w:t>1884) requires each Federal supervisory agency to promulgate rules establishing minimum standards for security devices and procedures to discourage financial crime and to assist in the identification of persons who commit such crimes.</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To avoid the necessity of constantly updating a technology</w:t>
      </w:r>
      <w:r>
        <w:rPr>
          <w:rFonts w:ascii="Times New Roman" w:hAnsi="Times New Roman"/>
        </w:rPr>
        <w:noBreakHyphen/>
        <w:t>based regulation, the FDIC takes a flexible approach to implementing this statute.  It requires each insured nonmember bank to designate a security officer who will administer a written security program.  The security program shall: (1) establish procedures for opening and closing for business and for safekeeping valuables; (2) establish procedures that will assist in identifying persons committing crimes against the bank; (3) provide for initial and periodic training of employees in their responsibilities under the security program; and (4) provide for selecting, testing, operating and maintaining security devices as prescribed in the regulation.  In addition, the FDIC requires the security officer to report at least annually to the bank's board of directors on the effectiveness of the security program.</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RDefault="00455BF0">
      <w:pPr>
        <w:widowControl/>
        <w:tabs>
          <w:tab w:val="left" w:pos="600"/>
          <w:tab w:val="left" w:pos="1200"/>
          <w:tab w:val="left" w:pos="1800"/>
          <w:tab w:val="left" w:pos="2280"/>
          <w:tab w:val="left" w:pos="4320"/>
        </w:tabs>
        <w:ind w:right="-428" w:firstLine="60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The information is used by FDIC bank examiners to assure that insured nonmember banks comply with 12 CFR 326, which implements the Bank Protection Act of 1968, and to review bank security programs.</w:t>
      </w:r>
    </w:p>
    <w:p w:rsidR="00455BF0" w:rsidRDefault="00455BF0">
      <w:pPr>
        <w:widowControl/>
        <w:tabs>
          <w:tab w:val="left" w:pos="600"/>
          <w:tab w:val="left" w:pos="1200"/>
          <w:tab w:val="left" w:pos="1800"/>
          <w:tab w:val="left" w:pos="2280"/>
          <w:tab w:val="left" w:pos="4320"/>
        </w:tabs>
        <w:ind w:right="-428"/>
        <w:rPr>
          <w:rFonts w:ascii="Times New Roman" w:hAnsi="Times New Roman"/>
        </w:rPr>
      </w:pPr>
    </w:p>
    <w:p w:rsidR="00455BF0" w:rsidRDefault="00455BF0">
      <w:pPr>
        <w:widowControl/>
        <w:tabs>
          <w:tab w:val="left" w:pos="600"/>
          <w:tab w:val="left" w:pos="1200"/>
          <w:tab w:val="left" w:pos="1800"/>
          <w:tab w:val="left" w:pos="2280"/>
          <w:tab w:val="left" w:pos="4320"/>
        </w:tabs>
        <w:ind w:left="600" w:right="-428"/>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Use of Technology to Reduce Burden</w:t>
      </w:r>
    </w:p>
    <w:p w:rsidR="00455BF0" w:rsidRDefault="00455BF0">
      <w:pPr>
        <w:widowControl/>
        <w:tabs>
          <w:tab w:val="left" w:pos="600"/>
          <w:tab w:val="left" w:pos="1200"/>
          <w:tab w:val="left" w:pos="1800"/>
          <w:tab w:val="left" w:pos="2280"/>
          <w:tab w:val="left" w:pos="4320"/>
        </w:tabs>
        <w:ind w:left="1200" w:right="-428"/>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 xml:space="preserve">The FDIC has created an interactive Website, FDICconnect, between FDIC insured institutions and the FDIC.  All PRA collections are reviewed to determine if converting to electronic collection is cost beneficial.  In this case, however, updates to the written security program and training materials are not required to be submitted to the FDIC.  </w:t>
      </w:r>
      <w:r>
        <w:rPr>
          <w:rFonts w:ascii="Times New Roman" w:hAnsi="Times New Roman"/>
        </w:rPr>
        <w:lastRenderedPageBreak/>
        <w:t xml:space="preserve">Institutions need only maintain the records for review during on-site examinations and, therefore, may use technology to the extent deemed feasible and appropriate to maintain and update the required documents.  </w:t>
      </w:r>
    </w:p>
    <w:p w:rsidR="00455BF0" w:rsidRDefault="00455BF0">
      <w:pPr>
        <w:widowControl/>
        <w:tabs>
          <w:tab w:val="left" w:pos="480"/>
          <w:tab w:val="left" w:pos="1080"/>
          <w:tab w:val="left" w:pos="1680"/>
        </w:tabs>
        <w:ind w:left="480"/>
        <w:rPr>
          <w:rFonts w:ascii="Times New Roman" w:hAnsi="Times New Roman"/>
        </w:rPr>
      </w:pP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455BF0" w:rsidRDefault="00455BF0">
      <w:pPr>
        <w:widowControl/>
        <w:tabs>
          <w:tab w:val="left" w:pos="480"/>
          <w:tab w:val="left" w:pos="1080"/>
          <w:tab w:val="left" w:pos="1680"/>
        </w:tabs>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 xml:space="preserve">The information is collected from insured nonmember banks and does not duplicate information available within other government agencies nor in other FDIC collections.  </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Minimizing the Burden on Small Banks</w:t>
      </w:r>
    </w:p>
    <w:p w:rsidR="00455BF0" w:rsidRDefault="00455BF0">
      <w:pPr>
        <w:widowControl/>
        <w:tabs>
          <w:tab w:val="left" w:pos="480"/>
          <w:tab w:val="left" w:pos="1080"/>
          <w:tab w:val="left" w:pos="1680"/>
        </w:tabs>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The establishment of a written security program and developing training materials are one</w:t>
      </w:r>
      <w:r>
        <w:rPr>
          <w:rFonts w:ascii="Times New Roman" w:hAnsi="Times New Roman"/>
        </w:rPr>
        <w:noBreakHyphen/>
        <w:t>time requirements.  Updating and maintaining the program and training materials should not involve more than a minimal burden.</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455BF0" w:rsidRDefault="00455BF0">
      <w:pPr>
        <w:widowControl/>
        <w:tabs>
          <w:tab w:val="left" w:pos="480"/>
          <w:tab w:val="left" w:pos="1080"/>
          <w:tab w:val="left" w:pos="1680"/>
        </w:tabs>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The only periodic recordkeeping requirement is the security officer's annual report to the board of directors, the completion of which is in most cases a small burden.  Less frequent reporting would create a risk of inadequate security systems in insured nonmember banks.</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Circumstances Inconsistent with 5 CFR 1320.6</w:t>
      </w:r>
    </w:p>
    <w:p w:rsidR="00455BF0" w:rsidRDefault="00455BF0">
      <w:pPr>
        <w:widowControl/>
        <w:tabs>
          <w:tab w:val="left" w:pos="480"/>
          <w:tab w:val="left" w:pos="1080"/>
          <w:tab w:val="left" w:pos="1680"/>
        </w:tabs>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The recordkeeping requirements of 12 CFR 326 are not inconsistent with 5 CFR 1320.6.</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Consultation with Persons Outside the FDIC</w:t>
      </w:r>
    </w:p>
    <w:p w:rsidR="00455BF0" w:rsidRDefault="00455BF0">
      <w:pPr>
        <w:widowControl/>
        <w:tabs>
          <w:tab w:val="left" w:pos="480"/>
          <w:tab w:val="left" w:pos="1080"/>
          <w:tab w:val="left" w:pos="1680"/>
        </w:tabs>
        <w:rPr>
          <w:rFonts w:ascii="Times New Roman" w:hAnsi="Times New Roman"/>
        </w:rPr>
      </w:pPr>
    </w:p>
    <w:p w:rsidRPr="004D6FDC" w:rsidR="004D6FDC" w:rsidP="002429D9" w:rsidRDefault="004D6FDC">
      <w:pPr>
        <w:widowControl/>
        <w:tabs>
          <w:tab w:val="left" w:pos="480"/>
          <w:tab w:val="left" w:pos="1080"/>
          <w:tab w:val="left" w:pos="1680"/>
        </w:tabs>
        <w:ind w:left="480"/>
        <w:rPr>
          <w:rFonts w:ascii="Times New Roman" w:hAnsi="Times New Roman"/>
        </w:rPr>
      </w:pPr>
      <w:r w:rsidRPr="004D6FDC">
        <w:rPr>
          <w:rFonts w:ascii="Times New Roman" w:hAnsi="Times New Roman"/>
        </w:rPr>
        <w:t xml:space="preserve">On </w:t>
      </w:r>
      <w:r w:rsidRPr="004D6FDC" w:rsidR="007B6861">
        <w:rPr>
          <w:rFonts w:ascii="Times New Roman" w:hAnsi="Times New Roman"/>
        </w:rPr>
        <w:t>J</w:t>
      </w:r>
      <w:r w:rsidR="007B6861">
        <w:rPr>
          <w:rFonts w:ascii="Times New Roman" w:hAnsi="Times New Roman"/>
        </w:rPr>
        <w:t>anuary 25, 2022</w:t>
      </w:r>
      <w:r w:rsidRPr="004D6FDC">
        <w:rPr>
          <w:rFonts w:ascii="Times New Roman" w:hAnsi="Times New Roman"/>
        </w:rPr>
        <w:t>, FDIC published a Federal Register notice seeking public</w:t>
      </w:r>
      <w:r w:rsidR="007B6861">
        <w:rPr>
          <w:rFonts w:ascii="Times New Roman" w:hAnsi="Times New Roman"/>
        </w:rPr>
        <w:t xml:space="preserve"> comment for a 60-day period (87 FR 3806</w:t>
      </w:r>
      <w:r w:rsidRPr="004D6FDC">
        <w:rPr>
          <w:rFonts w:ascii="Times New Roman" w:hAnsi="Times New Roman"/>
        </w:rPr>
        <w:t xml:space="preserve">).  No comments were received. </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455BF0" w:rsidRDefault="00455BF0">
      <w:pPr>
        <w:widowControl/>
        <w:tabs>
          <w:tab w:val="left" w:pos="480"/>
          <w:tab w:val="left" w:pos="1080"/>
          <w:tab w:val="left" w:pos="1680"/>
        </w:tabs>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 xml:space="preserve">None. </w:t>
      </w:r>
    </w:p>
    <w:p w:rsidR="00455BF0" w:rsidRDefault="00455BF0">
      <w:pPr>
        <w:widowControl/>
        <w:tabs>
          <w:tab w:val="left" w:pos="480"/>
          <w:tab w:val="left" w:pos="1080"/>
          <w:tab w:val="left" w:pos="1680"/>
        </w:tabs>
        <w:rPr>
          <w:rFonts w:ascii="Times New Roman" w:hAnsi="Times New Roman"/>
        </w:rPr>
      </w:pPr>
    </w:p>
    <w:p w:rsidR="00455BF0" w:rsidRDefault="00455BF0">
      <w:pPr>
        <w:widowControl/>
        <w:numPr>
          <w:ilvl w:val="0"/>
          <w:numId w:val="1"/>
        </w:numPr>
        <w:tabs>
          <w:tab w:val="left" w:pos="480"/>
          <w:tab w:val="left" w:pos="1680"/>
        </w:tabs>
        <w:rPr>
          <w:rFonts w:ascii="Times New Roman" w:hAnsi="Times New Roman"/>
        </w:rPr>
      </w:pPr>
      <w:r>
        <w:rPr>
          <w:rFonts w:ascii="Times New Roman" w:hAnsi="Times New Roman"/>
          <w:u w:val="single"/>
        </w:rPr>
        <w:t>Confidentiality</w:t>
      </w:r>
    </w:p>
    <w:p w:rsidR="00455BF0" w:rsidRDefault="00455BF0">
      <w:pPr>
        <w:widowControl/>
        <w:tabs>
          <w:tab w:val="left" w:pos="480"/>
          <w:tab w:val="left" w:pos="1080"/>
          <w:tab w:val="left" w:pos="1680"/>
        </w:tabs>
        <w:ind w:left="480"/>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All information required by this recordkeeping is retained by the bank for review by FDIC bank examiners.  Information obtained thereby would be exempt from public disclosure under the Freedom of Information Act</w:t>
      </w:r>
      <w:r w:rsidR="00CD4046">
        <w:rPr>
          <w:rFonts w:ascii="Times New Roman" w:hAnsi="Times New Roman"/>
        </w:rPr>
        <w:t>, 5 USC §552(b)(8)</w:t>
      </w:r>
      <w:r>
        <w:rPr>
          <w:rFonts w:ascii="Times New Roman" w:hAnsi="Times New Roman"/>
        </w:rPr>
        <w:t>.</w:t>
      </w: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br w:type="page"/>
        <w:t>11.</w:t>
      </w:r>
      <w:r>
        <w:rPr>
          <w:rFonts w:ascii="Times New Roman" w:hAnsi="Times New Roman"/>
        </w:rPr>
        <w:tab/>
      </w:r>
      <w:r>
        <w:rPr>
          <w:rFonts w:ascii="Times New Roman" w:hAnsi="Times New Roman"/>
          <w:u w:val="single"/>
        </w:rPr>
        <w:t>Information of a Sensitive Nature</w:t>
      </w:r>
    </w:p>
    <w:p w:rsidR="00455BF0" w:rsidRDefault="00455BF0">
      <w:pPr>
        <w:widowControl/>
        <w:tabs>
          <w:tab w:val="left" w:pos="480"/>
          <w:tab w:val="left" w:pos="1080"/>
          <w:tab w:val="left" w:pos="1680"/>
        </w:tabs>
        <w:rPr>
          <w:rFonts w:ascii="Times New Roman" w:hAnsi="Times New Roman"/>
        </w:rPr>
      </w:pPr>
    </w:p>
    <w:p w:rsidR="00455BF0" w:rsidP="002429D9" w:rsidRDefault="00455BF0">
      <w:pPr>
        <w:widowControl/>
        <w:tabs>
          <w:tab w:val="left" w:pos="480"/>
          <w:tab w:val="left" w:pos="1080"/>
          <w:tab w:val="left" w:pos="1680"/>
        </w:tabs>
        <w:ind w:left="480"/>
        <w:rPr>
          <w:rFonts w:ascii="Times New Roman" w:hAnsi="Times New Roman"/>
        </w:rPr>
      </w:pPr>
      <w:r>
        <w:rPr>
          <w:rFonts w:ascii="Times New Roman" w:hAnsi="Times New Roman"/>
        </w:rPr>
        <w:t>No information of a sensitive nature is collected.</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Annual Burden</w:t>
      </w:r>
    </w:p>
    <w:p w:rsidR="00455BF0" w:rsidRDefault="00455BF0">
      <w:pPr>
        <w:widowControl/>
        <w:tabs>
          <w:tab w:val="left" w:pos="480"/>
          <w:tab w:val="left" w:pos="1080"/>
          <w:tab w:val="left" w:pos="1680"/>
        </w:tabs>
        <w:ind w:left="480"/>
        <w:rPr>
          <w:rFonts w:ascii="Times New Roman" w:hAnsi="Times New Roman"/>
        </w:rPr>
      </w:pPr>
    </w:p>
    <w:p w:rsidR="007B6861" w:rsidP="007B6861" w:rsidRDefault="007B6861">
      <w:pPr>
        <w:widowControl/>
        <w:tabs>
          <w:tab w:val="left" w:pos="480"/>
          <w:tab w:val="left" w:pos="1080"/>
          <w:tab w:val="left" w:pos="1680"/>
        </w:tabs>
        <w:ind w:left="480"/>
        <w:rPr>
          <w:rFonts w:ascii="Times New Roman" w:hAnsi="Times New Roman"/>
        </w:rPr>
      </w:pPr>
      <w:r w:rsidRPr="007B6861">
        <w:rPr>
          <w:rFonts w:ascii="Times New Roman" w:hAnsi="Times New Roman"/>
        </w:rPr>
        <w:t>The FDIC estimates that the annual recordkeeping burden of approximately 3,200 FDIC supervised institutions will vary, depending on the size,</w:t>
      </w:r>
      <w:r>
        <w:rPr>
          <w:rFonts w:ascii="Times New Roman" w:hAnsi="Times New Roman"/>
        </w:rPr>
        <w:t xml:space="preserve"> complexity, and type of bank.</w:t>
      </w:r>
      <w:r w:rsidR="003059F4">
        <w:rPr>
          <w:rFonts w:ascii="Times New Roman" w:hAnsi="Times New Roman"/>
        </w:rPr>
        <w:t xml:space="preserve">  FDIC </w:t>
      </w:r>
      <w:r w:rsidRPr="003059F4" w:rsidR="003059F4">
        <w:rPr>
          <w:rFonts w:ascii="Times New Roman" w:hAnsi="Times New Roman"/>
          <w:lang w:bidi="en-US"/>
        </w:rPr>
        <w:t>believe</w:t>
      </w:r>
      <w:r w:rsidR="003059F4">
        <w:rPr>
          <w:rFonts w:ascii="Times New Roman" w:hAnsi="Times New Roman"/>
          <w:lang w:bidi="en-US"/>
        </w:rPr>
        <w:t>s</w:t>
      </w:r>
      <w:r w:rsidRPr="003059F4" w:rsidDel="00851B5F" w:rsidR="003059F4">
        <w:rPr>
          <w:rFonts w:ascii="Times New Roman" w:hAnsi="Times New Roman"/>
          <w:lang w:bidi="en-US"/>
        </w:rPr>
        <w:t xml:space="preserve"> that </w:t>
      </w:r>
      <w:r w:rsidRPr="003059F4" w:rsidR="003059F4">
        <w:rPr>
          <w:rFonts w:ascii="Times New Roman" w:hAnsi="Times New Roman"/>
          <w:lang w:bidi="en-US"/>
        </w:rPr>
        <w:t>t</w:t>
      </w:r>
      <w:r w:rsidRPr="003059F4" w:rsidDel="00851B5F" w:rsidR="003059F4">
        <w:rPr>
          <w:rFonts w:ascii="Times New Roman" w:hAnsi="Times New Roman"/>
          <w:lang w:bidi="en-US"/>
        </w:rPr>
        <w:t xml:space="preserve">he recordkeeping requirement in </w:t>
      </w:r>
      <w:r w:rsidRPr="003059F4" w:rsidR="003059F4">
        <w:rPr>
          <w:rFonts w:ascii="Times New Roman" w:hAnsi="Times New Roman"/>
          <w:lang w:bidi="en-US"/>
        </w:rPr>
        <w:t>Section 326, subpart A</w:t>
      </w:r>
      <w:r w:rsidRPr="003059F4" w:rsidDel="00851B5F" w:rsidR="003059F4">
        <w:rPr>
          <w:rFonts w:ascii="Times New Roman" w:hAnsi="Times New Roman"/>
          <w:lang w:bidi="en-US"/>
        </w:rPr>
        <w:t xml:space="preserve"> would pose an implementation burden for new FDIC-supervise</w:t>
      </w:r>
      <w:r w:rsidR="003059F4">
        <w:rPr>
          <w:rFonts w:ascii="Times New Roman" w:hAnsi="Times New Roman"/>
          <w:lang w:bidi="en-US"/>
        </w:rPr>
        <w:t xml:space="preserve">d depository institutions and for those depository institutions that have undergone a significant change in structure due to mergers.  The FDIC assumes a lesser </w:t>
      </w:r>
      <w:r w:rsidRPr="003059F4" w:rsidDel="00851B5F" w:rsidR="003059F4">
        <w:rPr>
          <w:rFonts w:ascii="Times New Roman" w:hAnsi="Times New Roman"/>
          <w:lang w:bidi="en-US"/>
        </w:rPr>
        <w:t>ongoing burden for FDIC-supervised IDIs</w:t>
      </w:r>
      <w:r w:rsidRPr="003059F4" w:rsidR="003059F4">
        <w:rPr>
          <w:rFonts w:ascii="Times New Roman" w:hAnsi="Times New Roman"/>
          <w:lang w:bidi="en-US"/>
        </w:rPr>
        <w:t xml:space="preserve"> that have previously developed a security program</w:t>
      </w:r>
      <w:r w:rsidR="003059F4">
        <w:rPr>
          <w:rFonts w:ascii="Times New Roman" w:hAnsi="Times New Roman"/>
          <w:lang w:bidi="en-US"/>
        </w:rPr>
        <w:t xml:space="preserve"> and are merely revising said programs due to changed operational circumstances</w:t>
      </w:r>
      <w:r w:rsidRPr="003059F4" w:rsidDel="00851B5F" w:rsidR="003059F4">
        <w:rPr>
          <w:rFonts w:ascii="Times New Roman" w:hAnsi="Times New Roman"/>
          <w:lang w:bidi="en-US"/>
        </w:rPr>
        <w:t>.</w:t>
      </w:r>
    </w:p>
    <w:p w:rsidR="007B6861" w:rsidP="007B6861" w:rsidRDefault="007B6861">
      <w:pPr>
        <w:widowControl/>
        <w:tabs>
          <w:tab w:val="left" w:pos="480"/>
          <w:tab w:val="left" w:pos="1080"/>
          <w:tab w:val="left" w:pos="1680"/>
        </w:tabs>
        <w:ind w:left="480"/>
        <w:rPr>
          <w:rFonts w:ascii="Times New Roman" w:hAnsi="Times New Roman"/>
        </w:rPr>
      </w:pPr>
    </w:p>
    <w:p w:rsidR="007B6861" w:rsidP="007B6861" w:rsidRDefault="003059F4">
      <w:pPr>
        <w:widowControl/>
        <w:tabs>
          <w:tab w:val="left" w:pos="480"/>
          <w:tab w:val="left" w:pos="1080"/>
          <w:tab w:val="left" w:pos="1680"/>
        </w:tabs>
        <w:ind w:left="480"/>
        <w:rPr>
          <w:rFonts w:ascii="Times New Roman" w:hAnsi="Times New Roman"/>
        </w:rPr>
      </w:pPr>
      <w:r>
        <w:rPr>
          <w:rFonts w:ascii="Times New Roman" w:hAnsi="Times New Roman"/>
        </w:rPr>
        <w:t xml:space="preserve">The burden is </w:t>
      </w:r>
      <w:r w:rsidR="00BD11D4">
        <w:rPr>
          <w:rFonts w:ascii="Times New Roman" w:hAnsi="Times New Roman"/>
        </w:rPr>
        <w:t xml:space="preserve">estimated </w:t>
      </w:r>
      <w:r w:rsidRPr="007B6861" w:rsidR="00BD11D4">
        <w:rPr>
          <w:rFonts w:ascii="Times New Roman" w:hAnsi="Times New Roman"/>
        </w:rPr>
        <w:t>as</w:t>
      </w:r>
      <w:r w:rsidRPr="007B6861" w:rsidR="007B6861">
        <w:rPr>
          <w:rFonts w:ascii="Times New Roman" w:hAnsi="Times New Roman"/>
        </w:rPr>
        <w:t xml:space="preserve"> follows:</w:t>
      </w:r>
    </w:p>
    <w:p w:rsidR="007B6861" w:rsidRDefault="007B6861">
      <w:pPr>
        <w:widowControl/>
        <w:tabs>
          <w:tab w:val="left" w:pos="480"/>
          <w:tab w:val="left" w:pos="1080"/>
          <w:tab w:val="left" w:pos="1680"/>
        </w:tabs>
        <w:ind w:left="480"/>
        <w:rPr>
          <w:rFonts w:ascii="Times New Roman" w:hAnsi="Times New Roman"/>
        </w:rPr>
      </w:pPr>
    </w:p>
    <w:tbl>
      <w:tblPr>
        <w:tblW w:w="4796" w:type="pct"/>
        <w:tblLook w:val="04A0" w:firstRow="1" w:lastRow="0" w:firstColumn="1" w:lastColumn="0" w:noHBand="0" w:noVBand="1"/>
      </w:tblPr>
      <w:tblGrid>
        <w:gridCol w:w="1930"/>
        <w:gridCol w:w="1351"/>
        <w:gridCol w:w="1130"/>
        <w:gridCol w:w="1353"/>
        <w:gridCol w:w="1266"/>
        <w:gridCol w:w="1074"/>
        <w:gridCol w:w="865"/>
      </w:tblGrid>
      <w:tr w:rsidRPr="007B6861" w:rsidR="007B6861" w:rsidTr="00B30A47">
        <w:trPr>
          <w:trHeight w:val="128"/>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3059F4" w:rsidRDefault="007B6861">
            <w:pPr>
              <w:widowControl/>
              <w:tabs>
                <w:tab w:val="left" w:pos="480"/>
                <w:tab w:val="left" w:pos="1080"/>
                <w:tab w:val="left" w:pos="1680"/>
              </w:tabs>
              <w:jc w:val="center"/>
              <w:rPr>
                <w:rFonts w:ascii="Times New Roman" w:hAnsi="Times New Roman"/>
                <w:sz w:val="18"/>
                <w:szCs w:val="18"/>
              </w:rPr>
            </w:pPr>
            <w:r w:rsidRPr="007B6861">
              <w:rPr>
                <w:rFonts w:ascii="Times New Roman" w:hAnsi="Times New Roman"/>
                <w:b/>
                <w:bCs/>
                <w:sz w:val="18"/>
                <w:szCs w:val="18"/>
              </w:rPr>
              <w:t>Table 1. Summary of Estimated Annual Burdens (OMB No. 3064-0095)</w:t>
            </w:r>
          </w:p>
        </w:tc>
      </w:tr>
      <w:tr w:rsidRPr="007B6861" w:rsidR="007B6861" w:rsidTr="00B30A47">
        <w:trPr>
          <w:trHeight w:val="847"/>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IC Description</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Type of Burden</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(Obligation to Respond)</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Frequency</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of Response</w:t>
            </w:r>
          </w:p>
        </w:tc>
        <w:tc>
          <w:tcPr>
            <w:tcW w:w="754" w:type="pct"/>
            <w:tcBorders>
              <w:top w:val="single" w:color="auto" w:sz="4" w:space="0"/>
              <w:left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Number of Respondents</w:t>
            </w:r>
          </w:p>
        </w:tc>
        <w:tc>
          <w:tcPr>
            <w:tcW w:w="7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Number of Responses </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per</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Respondent</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Hours per Response</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Annual Burden (Hours)</w:t>
            </w:r>
          </w:p>
        </w:tc>
      </w:tr>
      <w:tr w:rsidRPr="007B6861" w:rsidR="007B6861" w:rsidTr="00B30A47">
        <w:trPr>
          <w:trHeight w:val="296"/>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i/>
                <w:sz w:val="18"/>
                <w:szCs w:val="18"/>
              </w:rPr>
            </w:pPr>
            <w:r w:rsidRPr="007B6861">
              <w:rPr>
                <w:rFonts w:ascii="Times New Roman" w:hAnsi="Times New Roman"/>
                <w:i/>
                <w:sz w:val="18"/>
                <w:szCs w:val="18"/>
              </w:rPr>
              <w:t>Implementation Burden:</w:t>
            </w:r>
          </w:p>
        </w:tc>
      </w:tr>
      <w:tr w:rsidRPr="007B6861" w:rsidR="007B6861" w:rsidTr="00B30A47">
        <w:trPr>
          <w:trHeight w:val="908"/>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lang w:bidi="en-US"/>
              </w:rPr>
            </w:pPr>
            <w:r w:rsidRPr="007B6861">
              <w:rPr>
                <w:rFonts w:ascii="Times New Roman" w:hAnsi="Times New Roman"/>
                <w:sz w:val="18"/>
                <w:szCs w:val="18"/>
                <w:lang w:bidi="en-US"/>
              </w:rPr>
              <w:t xml:space="preserve">Bank Protection Act Compliance Program – </w:t>
            </w:r>
            <w:r w:rsidRPr="007B6861">
              <w:rPr>
                <w:rFonts w:ascii="Times New Roman" w:hAnsi="Times New Roman"/>
                <w:i/>
                <w:sz w:val="18"/>
                <w:szCs w:val="18"/>
                <w:lang w:bidi="en-US"/>
              </w:rPr>
              <w:t>Institutions with an Asset Size Less than $500 million</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Recordkeeping</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(Mandatory)</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Annually</w:t>
            </w:r>
          </w:p>
        </w:tc>
        <w:tc>
          <w:tcPr>
            <w:tcW w:w="754"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35</w:t>
            </w:r>
          </w:p>
        </w:tc>
        <w:tc>
          <w:tcPr>
            <w:tcW w:w="70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50</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1,750</w:t>
            </w:r>
          </w:p>
        </w:tc>
      </w:tr>
      <w:tr w:rsidRPr="007B6861" w:rsidR="007B6861" w:rsidTr="00B30A47">
        <w:trPr>
          <w:trHeight w:val="908"/>
        </w:trPr>
        <w:tc>
          <w:tcPr>
            <w:tcW w:w="1076" w:type="pct"/>
            <w:tcBorders>
              <w:top w:val="single" w:color="auto" w:sz="4" w:space="0"/>
              <w:left w:val="single" w:color="auto" w:sz="4" w:space="0"/>
              <w:bottom w:val="single" w:color="auto" w:sz="4" w:space="0"/>
              <w:right w:val="single" w:color="auto" w:sz="4" w:space="0"/>
            </w:tcBorders>
            <w:shd w:val="clear" w:color="auto" w:fill="auto"/>
          </w:tcPr>
          <w:p w:rsidRPr="007B6861" w:rsidR="007B6861" w:rsidP="007B6861" w:rsidRDefault="007B6861">
            <w:pPr>
              <w:widowControl/>
              <w:tabs>
                <w:tab w:val="left" w:pos="480"/>
                <w:tab w:val="left" w:pos="1080"/>
                <w:tab w:val="left" w:pos="1680"/>
              </w:tabs>
              <w:rPr>
                <w:rFonts w:ascii="Times New Roman" w:hAnsi="Times New Roman"/>
                <w:sz w:val="18"/>
                <w:szCs w:val="18"/>
                <w:lang w:bidi="en-US"/>
              </w:rPr>
            </w:pPr>
            <w:r w:rsidRPr="007B6861">
              <w:rPr>
                <w:rFonts w:ascii="Times New Roman" w:hAnsi="Times New Roman"/>
                <w:sz w:val="18"/>
                <w:szCs w:val="18"/>
                <w:lang w:bidi="en-US"/>
              </w:rPr>
              <w:t xml:space="preserve">Bank Protection Act Compliance Program – </w:t>
            </w:r>
            <w:r w:rsidRPr="007B6861">
              <w:rPr>
                <w:rFonts w:ascii="Times New Roman" w:hAnsi="Times New Roman"/>
                <w:i/>
                <w:sz w:val="18"/>
                <w:szCs w:val="18"/>
                <w:lang w:bidi="en-US"/>
              </w:rPr>
              <w:t>Medium-Sized Institutions ($500 million - $10 billion)</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Recordkeeping</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(Mandatory)</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Annually</w:t>
            </w:r>
          </w:p>
        </w:tc>
        <w:tc>
          <w:tcPr>
            <w:tcW w:w="754"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57</w:t>
            </w:r>
          </w:p>
        </w:tc>
        <w:tc>
          <w:tcPr>
            <w:tcW w:w="70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300</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17,100</w:t>
            </w:r>
          </w:p>
        </w:tc>
      </w:tr>
      <w:tr w:rsidRPr="007B6861" w:rsidR="007B6861" w:rsidTr="00B30A47">
        <w:trPr>
          <w:trHeight w:val="908"/>
        </w:trPr>
        <w:tc>
          <w:tcPr>
            <w:tcW w:w="1076" w:type="pct"/>
            <w:tcBorders>
              <w:top w:val="single" w:color="auto" w:sz="4" w:space="0"/>
              <w:left w:val="single" w:color="auto" w:sz="4" w:space="0"/>
              <w:bottom w:val="single" w:color="auto" w:sz="4" w:space="0"/>
              <w:right w:val="single" w:color="auto" w:sz="4" w:space="0"/>
            </w:tcBorders>
            <w:shd w:val="clear" w:color="auto" w:fill="auto"/>
          </w:tcPr>
          <w:p w:rsidRPr="007B6861" w:rsidR="007B6861" w:rsidP="007B6861" w:rsidRDefault="007B6861">
            <w:pPr>
              <w:widowControl/>
              <w:tabs>
                <w:tab w:val="left" w:pos="480"/>
                <w:tab w:val="left" w:pos="1080"/>
                <w:tab w:val="left" w:pos="1680"/>
              </w:tabs>
              <w:rPr>
                <w:rFonts w:ascii="Times New Roman" w:hAnsi="Times New Roman"/>
                <w:sz w:val="18"/>
                <w:szCs w:val="18"/>
                <w:lang w:bidi="en-US"/>
              </w:rPr>
            </w:pPr>
            <w:r w:rsidRPr="007B6861">
              <w:rPr>
                <w:rFonts w:ascii="Times New Roman" w:hAnsi="Times New Roman"/>
                <w:sz w:val="18"/>
                <w:szCs w:val="18"/>
                <w:lang w:bidi="en-US"/>
              </w:rPr>
              <w:t xml:space="preserve">Bank Protection Act Compliance Program – </w:t>
            </w:r>
            <w:r w:rsidRPr="007B6861">
              <w:rPr>
                <w:rFonts w:ascii="Times New Roman" w:hAnsi="Times New Roman"/>
                <w:i/>
                <w:sz w:val="18"/>
                <w:szCs w:val="18"/>
                <w:lang w:bidi="en-US"/>
              </w:rPr>
              <w:t>Large Institutions (Over $10 billion)</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Recordkeeping</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(Mandatory)</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Annually</w:t>
            </w:r>
          </w:p>
        </w:tc>
        <w:tc>
          <w:tcPr>
            <w:tcW w:w="754"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12</w:t>
            </w:r>
          </w:p>
        </w:tc>
        <w:tc>
          <w:tcPr>
            <w:tcW w:w="70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500</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6,000</w:t>
            </w:r>
          </w:p>
        </w:tc>
      </w:tr>
      <w:tr w:rsidRPr="007B6861" w:rsidR="007B6861" w:rsidTr="00B30A47">
        <w:trPr>
          <w:trHeight w:val="305"/>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i/>
                <w:sz w:val="18"/>
                <w:szCs w:val="18"/>
              </w:rPr>
            </w:pPr>
            <w:r w:rsidRPr="007B6861">
              <w:rPr>
                <w:rFonts w:ascii="Times New Roman" w:hAnsi="Times New Roman"/>
                <w:i/>
                <w:sz w:val="18"/>
                <w:szCs w:val="18"/>
              </w:rPr>
              <w:t>Ongoing Burden:</w:t>
            </w:r>
          </w:p>
        </w:tc>
      </w:tr>
      <w:tr w:rsidRPr="007B6861" w:rsidR="007B6861" w:rsidTr="00B30A47">
        <w:trPr>
          <w:trHeight w:val="908"/>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lang w:bidi="en-US"/>
              </w:rPr>
            </w:pPr>
            <w:r w:rsidRPr="007B6861">
              <w:rPr>
                <w:rFonts w:ascii="Times New Roman" w:hAnsi="Times New Roman"/>
                <w:sz w:val="18"/>
                <w:szCs w:val="18"/>
                <w:lang w:bidi="en-US"/>
              </w:rPr>
              <w:t>Bank Protection Act Compliance Program – Routine Revisions</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Recordkeeping</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(Mandatory)</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Annually</w:t>
            </w:r>
          </w:p>
        </w:tc>
        <w:tc>
          <w:tcPr>
            <w:tcW w:w="754"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2,880</w:t>
            </w:r>
          </w:p>
        </w:tc>
        <w:tc>
          <w:tcPr>
            <w:tcW w:w="70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5</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14,400</w:t>
            </w:r>
          </w:p>
        </w:tc>
      </w:tr>
      <w:tr w:rsidRPr="007B6861" w:rsidR="007B6861" w:rsidTr="00B30A47">
        <w:trPr>
          <w:trHeight w:val="908"/>
        </w:trPr>
        <w:tc>
          <w:tcPr>
            <w:tcW w:w="1076" w:type="pct"/>
            <w:tcBorders>
              <w:top w:val="single" w:color="auto" w:sz="4" w:space="0"/>
              <w:left w:val="single" w:color="auto" w:sz="4" w:space="0"/>
              <w:bottom w:val="single" w:color="auto" w:sz="4" w:space="0"/>
              <w:right w:val="single" w:color="auto" w:sz="4" w:space="0"/>
            </w:tcBorders>
            <w:shd w:val="clear" w:color="auto" w:fill="auto"/>
          </w:tcPr>
          <w:p w:rsidRPr="007B6861" w:rsidR="007B6861" w:rsidP="007B6861" w:rsidRDefault="007B6861">
            <w:pPr>
              <w:widowControl/>
              <w:tabs>
                <w:tab w:val="left" w:pos="480"/>
                <w:tab w:val="left" w:pos="1080"/>
                <w:tab w:val="left" w:pos="1680"/>
              </w:tabs>
              <w:rPr>
                <w:rFonts w:ascii="Times New Roman" w:hAnsi="Times New Roman"/>
                <w:sz w:val="18"/>
                <w:szCs w:val="18"/>
                <w:lang w:bidi="en-US"/>
              </w:rPr>
            </w:pPr>
            <w:r w:rsidRPr="007B6861">
              <w:rPr>
                <w:rFonts w:ascii="Times New Roman" w:hAnsi="Times New Roman"/>
                <w:sz w:val="18"/>
                <w:szCs w:val="18"/>
                <w:lang w:bidi="en-US"/>
              </w:rPr>
              <w:t>Bank Protection Act Compliance Program – Significant Revisions</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Recordkeeping</w:t>
            </w:r>
          </w:p>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(Mandatory)</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Annually</w:t>
            </w:r>
          </w:p>
        </w:tc>
        <w:tc>
          <w:tcPr>
            <w:tcW w:w="754"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320</w:t>
            </w:r>
          </w:p>
        </w:tc>
        <w:tc>
          <w:tcPr>
            <w:tcW w:w="706"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35</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11,200</w:t>
            </w:r>
          </w:p>
        </w:tc>
      </w:tr>
      <w:tr w:rsidRPr="007B6861" w:rsidR="007B6861" w:rsidTr="00B30A47">
        <w:trPr>
          <w:trHeight w:val="103"/>
        </w:trPr>
        <w:tc>
          <w:tcPr>
            <w:tcW w:w="4518" w:type="pct"/>
            <w:gridSpan w:val="6"/>
            <w:tcBorders>
              <w:top w:val="single" w:color="auto" w:sz="4" w:space="0"/>
              <w:left w:val="single" w:color="auto" w:sz="4" w:space="0"/>
              <w:bottom w:val="single" w:color="auto" w:sz="4" w:space="0"/>
              <w:right w:val="single" w:color="auto" w:sz="4" w:space="0"/>
            </w:tcBorders>
            <w:shd w:val="clear" w:color="auto" w:fill="auto"/>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Total Annual Burden Hours: </w:t>
            </w:r>
          </w:p>
        </w:tc>
        <w:tc>
          <w:tcPr>
            <w:tcW w:w="482" w:type="pct"/>
            <w:tcBorders>
              <w:top w:val="single" w:color="auto" w:sz="4" w:space="0"/>
              <w:left w:val="single" w:color="auto" w:sz="4" w:space="0"/>
              <w:bottom w:val="single" w:color="auto" w:sz="4" w:space="0"/>
              <w:right w:val="single" w:color="auto" w:sz="4" w:space="0"/>
            </w:tcBorders>
            <w:vAlign w:val="center"/>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50,450</w:t>
            </w:r>
          </w:p>
        </w:tc>
      </w:tr>
      <w:tr w:rsidRPr="007B6861" w:rsidR="007B6861" w:rsidTr="00B30A47">
        <w:trPr>
          <w:trHeight w:val="148"/>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Pr>
          <w:p w:rsidRPr="007B6861" w:rsidR="007B6861" w:rsidP="007B6861" w:rsidRDefault="007B6861">
            <w:pPr>
              <w:widowControl/>
              <w:tabs>
                <w:tab w:val="left" w:pos="480"/>
                <w:tab w:val="left" w:pos="1080"/>
                <w:tab w:val="left" w:pos="1680"/>
              </w:tabs>
              <w:rPr>
                <w:rFonts w:ascii="Times New Roman" w:hAnsi="Times New Roman"/>
                <w:sz w:val="18"/>
                <w:szCs w:val="18"/>
              </w:rPr>
            </w:pPr>
            <w:r w:rsidRPr="007B6861">
              <w:rPr>
                <w:rFonts w:ascii="Times New Roman" w:hAnsi="Times New Roman"/>
                <w:sz w:val="18"/>
                <w:szCs w:val="18"/>
              </w:rPr>
              <w:t>Source: FDIC. </w:t>
            </w:r>
          </w:p>
        </w:tc>
      </w:tr>
    </w:tbl>
    <w:p w:rsidR="00086578" w:rsidP="002035C8" w:rsidRDefault="00086578">
      <w:pPr>
        <w:widowControl/>
        <w:tabs>
          <w:tab w:val="left" w:pos="480"/>
          <w:tab w:val="left" w:pos="1080"/>
          <w:tab w:val="left" w:pos="1680"/>
        </w:tabs>
        <w:rPr>
          <w:rFonts w:ascii="Times New Roman" w:hAnsi="Times New Roman"/>
          <w:lang w:bidi="en-US"/>
        </w:rPr>
      </w:pPr>
    </w:p>
    <w:p w:rsidRPr="00086578" w:rsidR="00086578" w:rsidP="00086578" w:rsidRDefault="002A2C41">
      <w:pPr>
        <w:pageBreakBefore/>
        <w:tabs>
          <w:tab w:val="left" w:pos="480"/>
          <w:tab w:val="left" w:pos="1080"/>
          <w:tab w:val="left" w:pos="1680"/>
        </w:tabs>
        <w:rPr>
          <w:rFonts w:ascii="Times New Roman" w:hAnsi="Times New Roman"/>
          <w:b/>
          <w:lang w:bidi="en-US"/>
        </w:rPr>
      </w:pPr>
      <w:r>
        <w:rPr>
          <w:rFonts w:ascii="Times New Roman" w:hAnsi="Times New Roman"/>
          <w:b/>
          <w:lang w:bidi="en-US"/>
        </w:rPr>
        <w:tab/>
      </w:r>
      <w:r w:rsidRPr="00086578" w:rsidR="00086578">
        <w:rPr>
          <w:rFonts w:ascii="Times New Roman" w:hAnsi="Times New Roman"/>
          <w:b/>
          <w:lang w:bidi="en-US"/>
        </w:rPr>
        <w:t>Estimated Number of Respondents</w:t>
      </w:r>
      <w:r w:rsidR="00086578">
        <w:rPr>
          <w:rFonts w:ascii="Times New Roman" w:hAnsi="Times New Roman"/>
          <w:b/>
          <w:lang w:bidi="en-US"/>
        </w:rPr>
        <w:t>.</w:t>
      </w:r>
    </w:p>
    <w:p w:rsidR="00086578" w:rsidP="002035C8" w:rsidRDefault="00086578">
      <w:pPr>
        <w:widowControl/>
        <w:tabs>
          <w:tab w:val="left" w:pos="480"/>
          <w:tab w:val="left" w:pos="1080"/>
          <w:tab w:val="left" w:pos="1680"/>
        </w:tabs>
        <w:rPr>
          <w:rFonts w:ascii="Times New Roman" w:hAnsi="Times New Roman"/>
          <w:lang w:bidi="en-US"/>
        </w:rPr>
      </w:pPr>
    </w:p>
    <w:p w:rsidR="002035C8" w:rsidP="002A2C41" w:rsidRDefault="00E4399C">
      <w:pPr>
        <w:widowControl/>
        <w:tabs>
          <w:tab w:val="left" w:pos="480"/>
          <w:tab w:val="left" w:pos="1080"/>
          <w:tab w:val="left" w:pos="1680"/>
        </w:tabs>
        <w:ind w:left="480"/>
        <w:rPr>
          <w:rFonts w:ascii="Times New Roman" w:hAnsi="Times New Roman"/>
          <w:lang w:bidi="en-US"/>
        </w:rPr>
      </w:pPr>
      <w:r>
        <w:rPr>
          <w:rFonts w:ascii="Times New Roman" w:hAnsi="Times New Roman"/>
          <w:lang w:bidi="en-US"/>
        </w:rPr>
        <w:t xml:space="preserve">Based on </w:t>
      </w:r>
      <w:r w:rsidRPr="002035C8">
        <w:rPr>
          <w:rFonts w:ascii="Times New Roman" w:hAnsi="Times New Roman"/>
          <w:lang w:bidi="en-US"/>
        </w:rPr>
        <w:t>supervisory</w:t>
      </w:r>
      <w:r w:rsidRPr="002035C8" w:rsidR="002035C8">
        <w:rPr>
          <w:rFonts w:ascii="Times New Roman" w:hAnsi="Times New Roman"/>
          <w:lang w:bidi="en-US"/>
        </w:rPr>
        <w:t xml:space="preserve"> experience, t</w:t>
      </w:r>
      <w:r w:rsidRPr="002035C8" w:rsidDel="00851B5F" w:rsidR="002035C8">
        <w:rPr>
          <w:rFonts w:ascii="Times New Roman" w:hAnsi="Times New Roman"/>
          <w:lang w:bidi="en-US"/>
        </w:rPr>
        <w:t xml:space="preserve">he </w:t>
      </w:r>
      <w:r>
        <w:rPr>
          <w:rFonts w:ascii="Times New Roman" w:hAnsi="Times New Roman"/>
          <w:lang w:bidi="en-US"/>
        </w:rPr>
        <w:t>FDIC</w:t>
      </w:r>
      <w:r w:rsidRPr="002035C8" w:rsidR="002035C8">
        <w:rPr>
          <w:rFonts w:ascii="Times New Roman" w:hAnsi="Times New Roman"/>
          <w:lang w:bidi="en-US"/>
        </w:rPr>
        <w:t xml:space="preserve"> believe</w:t>
      </w:r>
      <w:r>
        <w:rPr>
          <w:rFonts w:ascii="Times New Roman" w:hAnsi="Times New Roman"/>
          <w:lang w:bidi="en-US"/>
        </w:rPr>
        <w:t>s</w:t>
      </w:r>
      <w:r w:rsidRPr="002035C8" w:rsidDel="00851B5F" w:rsidR="002035C8">
        <w:rPr>
          <w:rFonts w:ascii="Times New Roman" w:hAnsi="Times New Roman"/>
          <w:lang w:bidi="en-US"/>
        </w:rPr>
        <w:t xml:space="preserve"> that the </w:t>
      </w:r>
      <w:r w:rsidRPr="002035C8" w:rsidR="002035C8">
        <w:rPr>
          <w:rFonts w:ascii="Times New Roman" w:hAnsi="Times New Roman"/>
          <w:lang w:bidi="en-US"/>
        </w:rPr>
        <w:t xml:space="preserve">implementation </w:t>
      </w:r>
      <w:r w:rsidRPr="002035C8" w:rsidDel="00851B5F" w:rsidR="002035C8">
        <w:rPr>
          <w:rFonts w:ascii="Times New Roman" w:hAnsi="Times New Roman"/>
          <w:lang w:bidi="en-US"/>
        </w:rPr>
        <w:t xml:space="preserve">burden for this information </w:t>
      </w:r>
      <w:r w:rsidRPr="002035C8" w:rsidDel="00851B5F" w:rsidR="002035C8">
        <w:rPr>
          <w:rFonts w:ascii="Times New Roman" w:hAnsi="Times New Roman"/>
        </w:rPr>
        <w:t>collection</w:t>
      </w:r>
      <w:r w:rsidRPr="002035C8" w:rsidDel="00851B5F" w:rsidR="002035C8">
        <w:rPr>
          <w:rFonts w:ascii="Times New Roman" w:hAnsi="Times New Roman"/>
          <w:lang w:bidi="en-US"/>
        </w:rPr>
        <w:t xml:space="preserve"> is directly r</w:t>
      </w:r>
      <w:r>
        <w:rPr>
          <w:rFonts w:ascii="Times New Roman" w:hAnsi="Times New Roman"/>
          <w:lang w:bidi="en-US"/>
        </w:rPr>
        <w:t>elated to the asset size of the</w:t>
      </w:r>
      <w:r w:rsidRPr="002035C8" w:rsidR="002035C8">
        <w:rPr>
          <w:rFonts w:ascii="Times New Roman" w:hAnsi="Times New Roman"/>
          <w:lang w:bidi="en-US"/>
        </w:rPr>
        <w:t xml:space="preserve"> FDIC-supervised </w:t>
      </w:r>
      <w:r w:rsidRPr="002035C8" w:rsidDel="00851B5F" w:rsidR="002035C8">
        <w:rPr>
          <w:rFonts w:ascii="Times New Roman" w:hAnsi="Times New Roman"/>
          <w:lang w:bidi="en-US"/>
        </w:rPr>
        <w:t>institution</w:t>
      </w:r>
      <w:r>
        <w:rPr>
          <w:rFonts w:ascii="Times New Roman" w:hAnsi="Times New Roman"/>
          <w:lang w:bidi="en-US"/>
        </w:rPr>
        <w:t xml:space="preserve"> (IDI)</w:t>
      </w:r>
      <w:r w:rsidRPr="002035C8" w:rsidDel="00851B5F" w:rsidR="002035C8">
        <w:rPr>
          <w:rFonts w:ascii="Times New Roman" w:hAnsi="Times New Roman"/>
          <w:lang w:bidi="en-US"/>
        </w:rPr>
        <w:t xml:space="preserve">. </w:t>
      </w:r>
      <w:r>
        <w:rPr>
          <w:rFonts w:ascii="Times New Roman" w:hAnsi="Times New Roman"/>
          <w:lang w:bidi="en-US"/>
        </w:rPr>
        <w:t>Accordingly, FDIC</w:t>
      </w:r>
      <w:r w:rsidRPr="002035C8" w:rsidDel="00851B5F" w:rsidR="002035C8">
        <w:rPr>
          <w:rFonts w:ascii="Times New Roman" w:hAnsi="Times New Roman"/>
          <w:lang w:bidi="en-US"/>
        </w:rPr>
        <w:t xml:space="preserve"> split</w:t>
      </w:r>
      <w:r>
        <w:rPr>
          <w:rFonts w:ascii="Times New Roman" w:hAnsi="Times New Roman"/>
          <w:lang w:bidi="en-US"/>
        </w:rPr>
        <w:t>s</w:t>
      </w:r>
      <w:r w:rsidRPr="002035C8" w:rsidDel="00851B5F" w:rsidR="002035C8">
        <w:rPr>
          <w:rFonts w:ascii="Times New Roman" w:hAnsi="Times New Roman"/>
          <w:lang w:bidi="en-US"/>
        </w:rPr>
        <w:t xml:space="preserve"> the est</w:t>
      </w:r>
      <w:r>
        <w:rPr>
          <w:rFonts w:ascii="Times New Roman" w:hAnsi="Times New Roman"/>
          <w:lang w:bidi="en-US"/>
        </w:rPr>
        <w:t>imated number of respondents in</w:t>
      </w:r>
      <w:r w:rsidRPr="002035C8" w:rsidDel="00851B5F" w:rsidR="002035C8">
        <w:rPr>
          <w:rFonts w:ascii="Times New Roman" w:hAnsi="Times New Roman"/>
          <w:lang w:bidi="en-US"/>
        </w:rPr>
        <w:t>to three groups</w:t>
      </w:r>
      <w:r>
        <w:rPr>
          <w:rFonts w:ascii="Times New Roman" w:hAnsi="Times New Roman"/>
          <w:lang w:bidi="en-US"/>
        </w:rPr>
        <w:t>: small, medium and large institutions</w:t>
      </w:r>
      <w:r w:rsidRPr="002035C8" w:rsidDel="00851B5F" w:rsidR="002035C8">
        <w:rPr>
          <w:rFonts w:ascii="Times New Roman" w:hAnsi="Times New Roman"/>
          <w:lang w:bidi="en-US"/>
        </w:rPr>
        <w:t xml:space="preserve"> based on </w:t>
      </w:r>
      <w:r w:rsidRPr="002035C8" w:rsidR="002035C8">
        <w:rPr>
          <w:rFonts w:ascii="Times New Roman" w:hAnsi="Times New Roman"/>
          <w:lang w:bidi="en-US"/>
        </w:rPr>
        <w:t xml:space="preserve">whether the IDI’s </w:t>
      </w:r>
      <w:r w:rsidRPr="002035C8" w:rsidDel="00851B5F" w:rsidR="002035C8">
        <w:rPr>
          <w:rFonts w:ascii="Times New Roman" w:hAnsi="Times New Roman"/>
          <w:lang w:bidi="en-US"/>
        </w:rPr>
        <w:t>asset size</w:t>
      </w:r>
      <w:r w:rsidRPr="002035C8" w:rsidR="002035C8">
        <w:rPr>
          <w:rFonts w:ascii="Times New Roman" w:hAnsi="Times New Roman"/>
          <w:lang w:bidi="en-US"/>
        </w:rPr>
        <w:t xml:space="preserve"> is</w:t>
      </w:r>
      <w:r w:rsidRPr="002035C8" w:rsidDel="00851B5F" w:rsidR="002035C8">
        <w:rPr>
          <w:rFonts w:ascii="Times New Roman" w:hAnsi="Times New Roman"/>
          <w:lang w:bidi="en-US"/>
        </w:rPr>
        <w:t>: less than $500 million</w:t>
      </w:r>
      <w:r>
        <w:rPr>
          <w:rFonts w:ascii="Times New Roman" w:hAnsi="Times New Roman"/>
          <w:lang w:bidi="en-US"/>
        </w:rPr>
        <w:t xml:space="preserve"> (small institutions)</w:t>
      </w:r>
      <w:r w:rsidRPr="002035C8" w:rsidDel="00851B5F" w:rsidR="002035C8">
        <w:rPr>
          <w:rFonts w:ascii="Times New Roman" w:hAnsi="Times New Roman"/>
          <w:lang w:bidi="en-US"/>
        </w:rPr>
        <w:t>, between $500 million and $10 billion</w:t>
      </w:r>
      <w:r w:rsidRPr="002035C8" w:rsidR="002035C8">
        <w:rPr>
          <w:rFonts w:ascii="Times New Roman" w:hAnsi="Times New Roman"/>
          <w:lang w:bidi="en-US"/>
        </w:rPr>
        <w:t xml:space="preserve"> (medium-sized institutions)</w:t>
      </w:r>
      <w:r w:rsidRPr="002035C8" w:rsidDel="00851B5F" w:rsidR="002035C8">
        <w:rPr>
          <w:rFonts w:ascii="Times New Roman" w:hAnsi="Times New Roman"/>
          <w:lang w:bidi="en-US"/>
        </w:rPr>
        <w:t xml:space="preserve">, </w:t>
      </w:r>
      <w:r w:rsidRPr="002035C8" w:rsidR="002035C8">
        <w:rPr>
          <w:rFonts w:ascii="Times New Roman" w:hAnsi="Times New Roman"/>
          <w:lang w:bidi="en-US"/>
        </w:rPr>
        <w:t>or</w:t>
      </w:r>
      <w:r w:rsidRPr="002035C8" w:rsidDel="00851B5F" w:rsidR="002035C8">
        <w:rPr>
          <w:rFonts w:ascii="Times New Roman" w:hAnsi="Times New Roman"/>
          <w:lang w:bidi="en-US"/>
        </w:rPr>
        <w:t xml:space="preserve"> over $10 billion</w:t>
      </w:r>
      <w:r w:rsidRPr="002035C8" w:rsidR="002035C8">
        <w:rPr>
          <w:rFonts w:ascii="Times New Roman" w:hAnsi="Times New Roman"/>
          <w:lang w:bidi="en-US"/>
        </w:rPr>
        <w:t xml:space="preserve"> (large institutions)</w:t>
      </w:r>
      <w:r w:rsidRPr="002035C8" w:rsidDel="00851B5F" w:rsidR="002035C8">
        <w:rPr>
          <w:rFonts w:ascii="Times New Roman" w:hAnsi="Times New Roman"/>
          <w:lang w:bidi="en-US"/>
        </w:rPr>
        <w:t xml:space="preserve">. </w:t>
      </w:r>
      <w:r>
        <w:rPr>
          <w:rFonts w:ascii="Times New Roman" w:hAnsi="Times New Roman"/>
          <w:lang w:bidi="en-US"/>
        </w:rPr>
        <w:t>Using</w:t>
      </w:r>
      <w:r w:rsidRPr="002035C8" w:rsidR="002035C8">
        <w:rPr>
          <w:rFonts w:ascii="Times New Roman" w:hAnsi="Times New Roman"/>
          <w:lang w:bidi="en-US"/>
        </w:rPr>
        <w:t xml:space="preserve"> supervisory data, </w:t>
      </w:r>
      <w:r>
        <w:rPr>
          <w:rFonts w:ascii="Times New Roman" w:hAnsi="Times New Roman"/>
          <w:lang w:bidi="en-US"/>
        </w:rPr>
        <w:t xml:space="preserve">determined </w:t>
      </w:r>
      <w:r w:rsidRPr="002035C8" w:rsidR="002035C8">
        <w:rPr>
          <w:rFonts w:ascii="Times New Roman" w:hAnsi="Times New Roman"/>
          <w:lang w:bidi="en-US"/>
        </w:rPr>
        <w:t xml:space="preserve">the number of new FDIC-supervised IDIs in the years 2018, 2019, and 2020 to be 8, 12, and 6, respectively. Based on the asset value reported on the earliest available Call Report data for each new FDIC-supervised IDI, all 26 institutions were institutions with an asset size less than $500 million. Thus, the average number of new FDIC-supervised IDIs over the three years is equal to 26 total institutions divided by three, or approximately nine institutions per year after rounding. Further, the implementation burden could also be borne by entities that </w:t>
      </w:r>
      <w:r>
        <w:rPr>
          <w:rFonts w:ascii="Times New Roman" w:hAnsi="Times New Roman"/>
          <w:lang w:bidi="en-US"/>
        </w:rPr>
        <w:t>have recently merged. Using</w:t>
      </w:r>
      <w:r w:rsidRPr="002035C8" w:rsidR="002035C8">
        <w:rPr>
          <w:rFonts w:ascii="Times New Roman" w:hAnsi="Times New Roman"/>
          <w:lang w:bidi="en-US"/>
        </w:rPr>
        <w:t xml:space="preserve"> supervisory data, </w:t>
      </w:r>
      <w:r>
        <w:rPr>
          <w:rFonts w:ascii="Times New Roman" w:hAnsi="Times New Roman"/>
          <w:lang w:bidi="en-US"/>
        </w:rPr>
        <w:t>FDIC determined</w:t>
      </w:r>
      <w:r w:rsidRPr="002035C8" w:rsidR="002035C8">
        <w:rPr>
          <w:rFonts w:ascii="Times New Roman" w:hAnsi="Times New Roman"/>
          <w:lang w:bidi="en-US"/>
        </w:rPr>
        <w:t xml:space="preserve"> the number of mergers</w:t>
      </w:r>
      <w:r w:rsidRPr="002035C8" w:rsidR="002035C8">
        <w:rPr>
          <w:rFonts w:ascii="Times New Roman" w:hAnsi="Times New Roman"/>
          <w:vertAlign w:val="superscript"/>
          <w:lang w:bidi="en-US"/>
        </w:rPr>
        <w:footnoteReference w:id="1"/>
      </w:r>
      <w:r w:rsidRPr="002035C8" w:rsidR="002035C8">
        <w:rPr>
          <w:rFonts w:ascii="Times New Roman" w:hAnsi="Times New Roman"/>
          <w:lang w:bidi="en-US"/>
        </w:rPr>
        <w:t xml:space="preserve"> that result</w:t>
      </w:r>
      <w:r>
        <w:rPr>
          <w:rFonts w:ascii="Times New Roman" w:hAnsi="Times New Roman"/>
          <w:lang w:bidi="en-US"/>
        </w:rPr>
        <w:t>ed</w:t>
      </w:r>
      <w:r w:rsidRPr="002035C8" w:rsidR="002035C8">
        <w:rPr>
          <w:rFonts w:ascii="Times New Roman" w:hAnsi="Times New Roman"/>
          <w:lang w:bidi="en-US"/>
        </w:rPr>
        <w:t xml:space="preserve"> in FDIC-supervised institutions in the years 2018, 2019, and 2020. The number of mergers resulting in FDIC-supervised institutions with an asset size less than $500 million in the years 2018, 2019, and 2020, were 28, 28, and 21, respectively, with an average of 26 (after rounding) over the three-year period. </w:t>
      </w:r>
      <w:r>
        <w:rPr>
          <w:rFonts w:ascii="Times New Roman" w:hAnsi="Times New Roman"/>
          <w:lang w:bidi="en-US"/>
        </w:rPr>
        <w:t>T</w:t>
      </w:r>
      <w:r w:rsidRPr="002035C8" w:rsidR="002035C8">
        <w:rPr>
          <w:rFonts w:ascii="Times New Roman" w:hAnsi="Times New Roman"/>
          <w:lang w:bidi="en-US"/>
        </w:rPr>
        <w:t>he number of mergers resulting in medium-sized FDIC-supervised institutions in the years</w:t>
      </w:r>
      <w:r>
        <w:rPr>
          <w:rFonts w:ascii="Times New Roman" w:hAnsi="Times New Roman"/>
          <w:lang w:bidi="en-US"/>
        </w:rPr>
        <w:t xml:space="preserve"> 2018, 2019, and 2020, were</w:t>
      </w:r>
      <w:r w:rsidRPr="002035C8" w:rsidR="002035C8">
        <w:rPr>
          <w:rFonts w:ascii="Times New Roman" w:hAnsi="Times New Roman"/>
          <w:lang w:bidi="en-US"/>
        </w:rPr>
        <w:t xml:space="preserve"> 61, 64, 44, respectively, with an average of 57 (after rounding) over the three-year period. For large FDIC-supervised institutions, the counts for the years 2018, 2019, and 2020, are 11, 15, and 8, respectively, with an average of 12 (after rounding) over the three year-period. Thus, for this ICR,</w:t>
      </w:r>
      <w:r w:rsidR="00683E37">
        <w:rPr>
          <w:rFonts w:ascii="Times New Roman" w:hAnsi="Times New Roman"/>
          <w:lang w:bidi="en-US"/>
        </w:rPr>
        <w:t xml:space="preserve"> </w:t>
      </w:r>
      <w:r>
        <w:rPr>
          <w:rFonts w:ascii="Times New Roman" w:hAnsi="Times New Roman"/>
          <w:lang w:bidi="en-US"/>
        </w:rPr>
        <w:t>FDIC estimates</w:t>
      </w:r>
      <w:r w:rsidRPr="002035C8" w:rsidR="002035C8">
        <w:rPr>
          <w:rFonts w:ascii="Times New Roman" w:hAnsi="Times New Roman"/>
          <w:lang w:bidi="en-US"/>
        </w:rPr>
        <w:t xml:space="preserve"> </w:t>
      </w:r>
      <w:r w:rsidRPr="002035C8" w:rsidDel="00851B5F" w:rsidR="002035C8">
        <w:rPr>
          <w:rFonts w:ascii="Times New Roman" w:hAnsi="Times New Roman"/>
          <w:lang w:bidi="en-US"/>
        </w:rPr>
        <w:t>respondent count</w:t>
      </w:r>
      <w:r w:rsidRPr="002035C8" w:rsidR="002035C8">
        <w:rPr>
          <w:rFonts w:ascii="Times New Roman" w:hAnsi="Times New Roman"/>
          <w:lang w:bidi="en-US"/>
        </w:rPr>
        <w:t>s of 35 institutions with an asset size less than $500 million (26 + 9), 57 medium-sized institutions, and 12 large institutions.</w:t>
      </w:r>
      <w:r w:rsidRPr="002035C8" w:rsidDel="00B708CC" w:rsidR="002035C8">
        <w:rPr>
          <w:rFonts w:ascii="Times New Roman" w:hAnsi="Times New Roman"/>
          <w:lang w:bidi="en-US"/>
        </w:rPr>
        <w:t xml:space="preserve"> </w:t>
      </w:r>
      <w:r w:rsidRPr="002035C8" w:rsidR="002035C8">
        <w:rPr>
          <w:rFonts w:ascii="Times New Roman" w:hAnsi="Times New Roman"/>
          <w:lang w:bidi="en-US"/>
        </w:rPr>
        <w:t>These are likely conservative estimates because an FDIC-supervised institution that is in the same asset size category as the related merging institutions may not incur an implementation burden.</w:t>
      </w:r>
    </w:p>
    <w:p w:rsidRPr="002035C8" w:rsidR="00E4399C" w:rsidP="002035C8" w:rsidRDefault="00E4399C">
      <w:pPr>
        <w:widowControl/>
        <w:tabs>
          <w:tab w:val="left" w:pos="480"/>
          <w:tab w:val="left" w:pos="1080"/>
          <w:tab w:val="left" w:pos="1680"/>
        </w:tabs>
        <w:rPr>
          <w:rFonts w:ascii="Times New Roman" w:hAnsi="Times New Roman"/>
          <w:lang w:bidi="en-US"/>
        </w:rPr>
      </w:pPr>
    </w:p>
    <w:p w:rsidR="002035C8" w:rsidP="002A2C41" w:rsidRDefault="00E4399C">
      <w:pPr>
        <w:widowControl/>
        <w:tabs>
          <w:tab w:val="left" w:pos="480"/>
          <w:tab w:val="left" w:pos="1080"/>
          <w:tab w:val="left" w:pos="1680"/>
        </w:tabs>
        <w:ind w:left="480"/>
        <w:rPr>
          <w:rFonts w:ascii="Times New Roman" w:hAnsi="Times New Roman"/>
          <w:lang w:bidi="en-US"/>
        </w:rPr>
      </w:pPr>
      <w:r>
        <w:rPr>
          <w:rFonts w:ascii="Times New Roman" w:hAnsi="Times New Roman"/>
          <w:lang w:bidi="en-US"/>
        </w:rPr>
        <w:t xml:space="preserve">Based on </w:t>
      </w:r>
      <w:r w:rsidRPr="002035C8" w:rsidR="002035C8">
        <w:rPr>
          <w:rFonts w:ascii="Times New Roman" w:hAnsi="Times New Roman"/>
          <w:lang w:bidi="en-US"/>
        </w:rPr>
        <w:t>supervisory experience, t</w:t>
      </w:r>
      <w:r w:rsidRPr="002035C8" w:rsidDel="00851B5F" w:rsidR="002035C8">
        <w:rPr>
          <w:rFonts w:ascii="Times New Roman" w:hAnsi="Times New Roman"/>
          <w:lang w:bidi="en-US"/>
        </w:rPr>
        <w:t xml:space="preserve">he </w:t>
      </w:r>
      <w:r>
        <w:rPr>
          <w:rFonts w:ascii="Times New Roman" w:hAnsi="Times New Roman"/>
          <w:lang w:bidi="en-US"/>
        </w:rPr>
        <w:t>FDIC</w:t>
      </w:r>
      <w:r w:rsidRPr="002035C8" w:rsidR="002035C8">
        <w:rPr>
          <w:rFonts w:ascii="Times New Roman" w:hAnsi="Times New Roman"/>
          <w:lang w:bidi="en-US"/>
        </w:rPr>
        <w:t xml:space="preserve"> believe</w:t>
      </w:r>
      <w:r>
        <w:rPr>
          <w:rFonts w:ascii="Times New Roman" w:hAnsi="Times New Roman"/>
          <w:lang w:bidi="en-US"/>
        </w:rPr>
        <w:t>s</w:t>
      </w:r>
      <w:r w:rsidRPr="002035C8" w:rsidDel="00851B5F" w:rsidR="002035C8">
        <w:rPr>
          <w:rFonts w:ascii="Times New Roman" w:hAnsi="Times New Roman"/>
          <w:lang w:bidi="en-US"/>
        </w:rPr>
        <w:t xml:space="preserve"> </w:t>
      </w:r>
      <w:r w:rsidRPr="002035C8" w:rsidR="002035C8">
        <w:rPr>
          <w:rFonts w:ascii="Times New Roman" w:hAnsi="Times New Roman"/>
          <w:lang w:bidi="en-US"/>
        </w:rPr>
        <w:t>that the ongoing burden</w:t>
      </w:r>
      <w:r w:rsidRPr="002035C8" w:rsidDel="00851B5F" w:rsidR="002035C8">
        <w:rPr>
          <w:rFonts w:ascii="Times New Roman" w:hAnsi="Times New Roman"/>
          <w:lang w:bidi="en-US"/>
        </w:rPr>
        <w:t xml:space="preserve"> is related to </w:t>
      </w:r>
      <w:r w:rsidRPr="002035C8" w:rsidR="002035C8">
        <w:rPr>
          <w:rFonts w:ascii="Times New Roman" w:hAnsi="Times New Roman"/>
          <w:lang w:bidi="en-US"/>
        </w:rPr>
        <w:t>the extent of the revisions to the security program that institutions make each year</w:t>
      </w:r>
      <w:r w:rsidRPr="002035C8" w:rsidDel="00851B5F" w:rsidR="002035C8">
        <w:rPr>
          <w:rFonts w:ascii="Times New Roman" w:hAnsi="Times New Roman"/>
          <w:lang w:bidi="en-US"/>
        </w:rPr>
        <w:t xml:space="preserve">. </w:t>
      </w:r>
      <w:r w:rsidR="00F047F8">
        <w:rPr>
          <w:rFonts w:ascii="Times New Roman" w:hAnsi="Times New Roman"/>
          <w:lang w:bidi="en-US"/>
        </w:rPr>
        <w:t>The FDIC splits</w:t>
      </w:r>
      <w:r w:rsidRPr="002035C8" w:rsidR="002035C8">
        <w:rPr>
          <w:rFonts w:ascii="Times New Roman" w:hAnsi="Times New Roman"/>
          <w:lang w:bidi="en-US"/>
        </w:rPr>
        <w:t xml:space="preserve"> </w:t>
      </w:r>
      <w:r w:rsidRPr="002035C8" w:rsidDel="00851B5F" w:rsidR="002035C8">
        <w:rPr>
          <w:rFonts w:ascii="Times New Roman" w:hAnsi="Times New Roman"/>
          <w:lang w:bidi="en-US"/>
        </w:rPr>
        <w:t>the est</w:t>
      </w:r>
      <w:r w:rsidR="00F047F8">
        <w:rPr>
          <w:rFonts w:ascii="Times New Roman" w:hAnsi="Times New Roman"/>
          <w:lang w:bidi="en-US"/>
        </w:rPr>
        <w:t>imated number of respondents in</w:t>
      </w:r>
      <w:r w:rsidRPr="002035C8" w:rsidDel="00851B5F" w:rsidR="002035C8">
        <w:rPr>
          <w:rFonts w:ascii="Times New Roman" w:hAnsi="Times New Roman"/>
          <w:lang w:bidi="en-US"/>
        </w:rPr>
        <w:t xml:space="preserve">to </w:t>
      </w:r>
      <w:r w:rsidRPr="002035C8" w:rsidR="002035C8">
        <w:rPr>
          <w:rFonts w:ascii="Times New Roman" w:hAnsi="Times New Roman"/>
          <w:lang w:bidi="en-US"/>
        </w:rPr>
        <w:t>two</w:t>
      </w:r>
      <w:r w:rsidRPr="002035C8" w:rsidDel="00851B5F" w:rsidR="002035C8">
        <w:rPr>
          <w:rFonts w:ascii="Times New Roman" w:hAnsi="Times New Roman"/>
          <w:lang w:bidi="en-US"/>
        </w:rPr>
        <w:t xml:space="preserve"> groups </w:t>
      </w:r>
      <w:r w:rsidR="00F047F8">
        <w:rPr>
          <w:rFonts w:ascii="Times New Roman" w:hAnsi="Times New Roman"/>
          <w:lang w:bidi="en-US"/>
        </w:rPr>
        <w:t>depending</w:t>
      </w:r>
      <w:r w:rsidRPr="002035C8" w:rsidDel="00851B5F" w:rsidR="002035C8">
        <w:rPr>
          <w:rFonts w:ascii="Times New Roman" w:hAnsi="Times New Roman"/>
          <w:lang w:bidi="en-US"/>
        </w:rPr>
        <w:t xml:space="preserve"> on </w:t>
      </w:r>
      <w:r w:rsidR="00F047F8">
        <w:rPr>
          <w:rFonts w:ascii="Times New Roman" w:hAnsi="Times New Roman"/>
          <w:lang w:bidi="en-US"/>
        </w:rPr>
        <w:t>whether an</w:t>
      </w:r>
      <w:r w:rsidRPr="002035C8" w:rsidR="002035C8">
        <w:rPr>
          <w:rFonts w:ascii="Times New Roman" w:hAnsi="Times New Roman"/>
          <w:lang w:bidi="en-US"/>
        </w:rPr>
        <w:t xml:space="preserve"> IDI</w:t>
      </w:r>
      <w:r w:rsidR="00F047F8">
        <w:rPr>
          <w:rFonts w:ascii="Times New Roman" w:hAnsi="Times New Roman"/>
          <w:lang w:bidi="en-US"/>
        </w:rPr>
        <w:t xml:space="preserve"> is assumed to  make</w:t>
      </w:r>
      <w:r w:rsidRPr="002035C8" w:rsidR="002035C8">
        <w:rPr>
          <w:rFonts w:ascii="Times New Roman" w:hAnsi="Times New Roman"/>
          <w:lang w:bidi="en-US"/>
        </w:rPr>
        <w:t xml:space="preserve"> </w:t>
      </w:r>
      <w:r w:rsidR="00F047F8">
        <w:rPr>
          <w:rFonts w:ascii="Times New Roman" w:hAnsi="Times New Roman"/>
          <w:lang w:bidi="en-US"/>
        </w:rPr>
        <w:t>routine revisions to its</w:t>
      </w:r>
      <w:r w:rsidRPr="002035C8" w:rsidR="002035C8">
        <w:rPr>
          <w:rFonts w:ascii="Times New Roman" w:hAnsi="Times New Roman"/>
          <w:lang w:bidi="en-US"/>
        </w:rPr>
        <w:t xml:space="preserve"> security program, or significant revisions (</w:t>
      </w:r>
      <w:r w:rsidRPr="002035C8" w:rsidR="002035C8">
        <w:rPr>
          <w:rFonts w:ascii="Times New Roman" w:hAnsi="Times New Roman"/>
          <w:i/>
          <w:lang w:bidi="en-US"/>
        </w:rPr>
        <w:t xml:space="preserve">e.g., </w:t>
      </w:r>
      <w:r w:rsidRPr="002035C8" w:rsidR="002035C8">
        <w:rPr>
          <w:rFonts w:ascii="Times New Roman" w:hAnsi="Times New Roman"/>
          <w:lang w:bidi="en-US"/>
        </w:rPr>
        <w:t>when the IDI updates the security procedures and the security program after opening new branches, after adding ATMs in non-bank locations such as grocery stores, etc.)</w:t>
      </w:r>
      <w:r w:rsidRPr="002035C8" w:rsidDel="00851B5F" w:rsidR="002035C8">
        <w:rPr>
          <w:rFonts w:ascii="Times New Roman" w:hAnsi="Times New Roman"/>
          <w:lang w:bidi="en-US"/>
        </w:rPr>
        <w:t>.</w:t>
      </w:r>
      <w:r w:rsidRPr="002035C8" w:rsidR="002035C8">
        <w:rPr>
          <w:rFonts w:ascii="Times New Roman" w:hAnsi="Times New Roman"/>
          <w:lang w:bidi="en-US"/>
        </w:rPr>
        <w:t xml:space="preserve"> The</w:t>
      </w:r>
      <w:r w:rsidR="00F047F8">
        <w:rPr>
          <w:rFonts w:ascii="Times New Roman" w:hAnsi="Times New Roman"/>
          <w:lang w:bidi="en-US"/>
        </w:rPr>
        <w:t xml:space="preserve"> FDIC assumes</w:t>
      </w:r>
      <w:r w:rsidRPr="002035C8" w:rsidR="002035C8">
        <w:rPr>
          <w:rFonts w:ascii="Times New Roman" w:hAnsi="Times New Roman"/>
          <w:lang w:bidi="en-US"/>
        </w:rPr>
        <w:t xml:space="preserve"> that approximately 90 percent of FDIC-supervised IDIs would make routine revisions, while the remaining ten percent would make significant revisions. </w:t>
      </w:r>
      <w:r w:rsidRPr="002035C8" w:rsidDel="00851B5F" w:rsidR="002035C8">
        <w:rPr>
          <w:rFonts w:ascii="Times New Roman" w:hAnsi="Times New Roman"/>
          <w:lang w:bidi="en-US"/>
        </w:rPr>
        <w:t>For the estimated number of respondents for the ongoing</w:t>
      </w:r>
      <w:r w:rsidR="00F047F8">
        <w:rPr>
          <w:rFonts w:ascii="Times New Roman" w:hAnsi="Times New Roman"/>
          <w:lang w:bidi="en-US"/>
        </w:rPr>
        <w:t xml:space="preserve"> burden, FDIC</w:t>
      </w:r>
      <w:r w:rsidRPr="002035C8" w:rsidDel="00851B5F" w:rsidR="002035C8">
        <w:rPr>
          <w:rFonts w:ascii="Times New Roman" w:hAnsi="Times New Roman"/>
          <w:lang w:bidi="en-US"/>
        </w:rPr>
        <w:t xml:space="preserve"> use</w:t>
      </w:r>
      <w:r w:rsidR="00F047F8">
        <w:rPr>
          <w:rFonts w:ascii="Times New Roman" w:hAnsi="Times New Roman"/>
          <w:lang w:bidi="en-US"/>
        </w:rPr>
        <w:t>s</w:t>
      </w:r>
      <w:r w:rsidRPr="002035C8" w:rsidDel="00851B5F" w:rsidR="002035C8">
        <w:rPr>
          <w:rFonts w:ascii="Times New Roman" w:hAnsi="Times New Roman"/>
          <w:lang w:bidi="en-US"/>
        </w:rPr>
        <w:t xml:space="preserve"> </w:t>
      </w:r>
      <w:r w:rsidRPr="002035C8" w:rsidR="002035C8">
        <w:rPr>
          <w:rFonts w:ascii="Times New Roman" w:hAnsi="Times New Roman"/>
          <w:lang w:bidi="en-US"/>
        </w:rPr>
        <w:t xml:space="preserve">the </w:t>
      </w:r>
      <w:r w:rsidRPr="002035C8" w:rsidDel="00851B5F" w:rsidR="002035C8">
        <w:rPr>
          <w:rFonts w:ascii="Times New Roman" w:hAnsi="Times New Roman"/>
          <w:lang w:bidi="en-US"/>
        </w:rPr>
        <w:t>counts of institutions the FDIC supervises from the most recent data and use</w:t>
      </w:r>
      <w:r w:rsidR="00F047F8">
        <w:rPr>
          <w:rFonts w:ascii="Times New Roman" w:hAnsi="Times New Roman"/>
          <w:lang w:bidi="en-US"/>
        </w:rPr>
        <w:t>s</w:t>
      </w:r>
      <w:r w:rsidRPr="002035C8" w:rsidDel="00851B5F" w:rsidR="002035C8">
        <w:rPr>
          <w:rFonts w:ascii="Times New Roman" w:hAnsi="Times New Roman"/>
          <w:lang w:bidi="en-US"/>
        </w:rPr>
        <w:t xml:space="preserve"> 2,</w:t>
      </w:r>
      <w:r w:rsidRPr="002035C8" w:rsidR="002035C8">
        <w:rPr>
          <w:rFonts w:ascii="Times New Roman" w:hAnsi="Times New Roman"/>
          <w:lang w:bidi="en-US"/>
        </w:rPr>
        <w:t xml:space="preserve">880 (or 90 percent of 3,200 FDIC-supervised IDIs) </w:t>
      </w:r>
      <w:r w:rsidRPr="002035C8" w:rsidDel="00851B5F" w:rsidR="002035C8">
        <w:rPr>
          <w:rFonts w:ascii="Times New Roman" w:hAnsi="Times New Roman"/>
          <w:lang w:bidi="en-US"/>
        </w:rPr>
        <w:t xml:space="preserve">for institutions </w:t>
      </w:r>
      <w:r w:rsidRPr="002035C8" w:rsidR="002035C8">
        <w:rPr>
          <w:rFonts w:ascii="Times New Roman" w:hAnsi="Times New Roman"/>
          <w:lang w:bidi="en-US"/>
        </w:rPr>
        <w:t>that make routine revisions to the security program</w:t>
      </w:r>
      <w:r w:rsidRPr="002035C8" w:rsidDel="00851B5F" w:rsidR="002035C8">
        <w:rPr>
          <w:rFonts w:ascii="Times New Roman" w:hAnsi="Times New Roman"/>
          <w:lang w:bidi="en-US"/>
        </w:rPr>
        <w:t xml:space="preserve">, and </w:t>
      </w:r>
      <w:r w:rsidRPr="002035C8" w:rsidR="002035C8">
        <w:rPr>
          <w:rFonts w:ascii="Times New Roman" w:hAnsi="Times New Roman"/>
          <w:lang w:bidi="en-US"/>
        </w:rPr>
        <w:t>320</w:t>
      </w:r>
      <w:r w:rsidRPr="002035C8" w:rsidDel="00851B5F" w:rsidR="002035C8">
        <w:rPr>
          <w:rFonts w:ascii="Times New Roman" w:hAnsi="Times New Roman"/>
          <w:lang w:bidi="en-US"/>
        </w:rPr>
        <w:t xml:space="preserve"> </w:t>
      </w:r>
      <w:r w:rsidRPr="002035C8" w:rsidR="002035C8">
        <w:rPr>
          <w:rFonts w:ascii="Times New Roman" w:hAnsi="Times New Roman"/>
          <w:lang w:bidi="en-US"/>
        </w:rPr>
        <w:t xml:space="preserve">(ten percent of 3,200) </w:t>
      </w:r>
      <w:r w:rsidRPr="002035C8" w:rsidDel="00851B5F" w:rsidR="002035C8">
        <w:rPr>
          <w:rFonts w:ascii="Times New Roman" w:hAnsi="Times New Roman"/>
          <w:lang w:bidi="en-US"/>
        </w:rPr>
        <w:t xml:space="preserve">for institutions </w:t>
      </w:r>
      <w:r w:rsidRPr="002035C8" w:rsidR="002035C8">
        <w:rPr>
          <w:rFonts w:ascii="Times New Roman" w:hAnsi="Times New Roman"/>
          <w:lang w:bidi="en-US"/>
        </w:rPr>
        <w:t>that make significant revisions</w:t>
      </w:r>
      <w:r w:rsidRPr="002035C8" w:rsidDel="00851B5F" w:rsidR="002035C8">
        <w:rPr>
          <w:rFonts w:ascii="Times New Roman" w:hAnsi="Times New Roman"/>
          <w:lang w:bidi="en-US"/>
        </w:rPr>
        <w:t>.</w:t>
      </w:r>
      <w:r w:rsidRPr="002035C8" w:rsidR="002035C8">
        <w:rPr>
          <w:rFonts w:ascii="Times New Roman" w:hAnsi="Times New Roman"/>
          <w:vertAlign w:val="superscript"/>
          <w:lang w:bidi="en-US"/>
        </w:rPr>
        <w:footnoteReference w:id="2"/>
      </w:r>
    </w:p>
    <w:p w:rsidRPr="002035C8" w:rsidR="00F047F8" w:rsidP="002035C8" w:rsidRDefault="00F047F8">
      <w:pPr>
        <w:widowControl/>
        <w:tabs>
          <w:tab w:val="left" w:pos="480"/>
          <w:tab w:val="left" w:pos="1080"/>
          <w:tab w:val="left" w:pos="1680"/>
        </w:tabs>
        <w:rPr>
          <w:rFonts w:ascii="Times New Roman" w:hAnsi="Times New Roman"/>
          <w:lang w:bidi="en-US"/>
        </w:rPr>
      </w:pPr>
    </w:p>
    <w:p w:rsidR="002035C8" w:rsidP="002A2C41" w:rsidRDefault="002035C8">
      <w:pPr>
        <w:widowControl/>
        <w:tabs>
          <w:tab w:val="left" w:pos="480"/>
          <w:tab w:val="left" w:pos="1080"/>
          <w:tab w:val="left" w:pos="1680"/>
        </w:tabs>
        <w:ind w:left="480"/>
        <w:rPr>
          <w:rFonts w:ascii="Times New Roman" w:hAnsi="Times New Roman"/>
          <w:lang w:bidi="en-US"/>
        </w:rPr>
      </w:pPr>
      <w:bookmarkStart w:name="OLE_LINK1" w:id="0"/>
      <w:r w:rsidRPr="002035C8">
        <w:rPr>
          <w:rFonts w:ascii="Times New Roman" w:hAnsi="Times New Roman"/>
          <w:lang w:bidi="en-US"/>
        </w:rPr>
        <w:t>Overall, t</w:t>
      </w:r>
      <w:r w:rsidRPr="002035C8" w:rsidDel="008F4F81">
        <w:rPr>
          <w:rFonts w:ascii="Times New Roman" w:hAnsi="Times New Roman"/>
          <w:lang w:bidi="en-US"/>
        </w:rPr>
        <w:t>he total estimated number of respondents for this ICR, 3</w:t>
      </w:r>
      <w:r w:rsidRPr="002035C8">
        <w:rPr>
          <w:rFonts w:ascii="Times New Roman" w:hAnsi="Times New Roman"/>
          <w:lang w:bidi="en-US"/>
        </w:rPr>
        <w:t>,</w:t>
      </w:r>
      <w:r w:rsidRPr="002035C8" w:rsidDel="008F4F81">
        <w:rPr>
          <w:rFonts w:ascii="Times New Roman" w:hAnsi="Times New Roman"/>
          <w:lang w:bidi="en-US"/>
        </w:rPr>
        <w:t>20</w:t>
      </w:r>
      <w:r w:rsidRPr="002035C8">
        <w:rPr>
          <w:rFonts w:ascii="Times New Roman" w:hAnsi="Times New Roman"/>
          <w:lang w:bidi="en-US"/>
        </w:rPr>
        <w:t>0</w:t>
      </w:r>
      <w:r w:rsidRPr="002035C8" w:rsidDel="008F4F81">
        <w:rPr>
          <w:rFonts w:ascii="Times New Roman" w:hAnsi="Times New Roman"/>
          <w:lang w:bidi="en-US"/>
        </w:rPr>
        <w:t xml:space="preserve">, represents a decrease of </w:t>
      </w:r>
      <w:r w:rsidRPr="002035C8">
        <w:rPr>
          <w:rFonts w:ascii="Times New Roman" w:hAnsi="Times New Roman"/>
          <w:lang w:bidi="en-US"/>
        </w:rPr>
        <w:t>333</w:t>
      </w:r>
      <w:r w:rsidRPr="002035C8" w:rsidDel="008F4F81">
        <w:rPr>
          <w:rFonts w:ascii="Times New Roman" w:hAnsi="Times New Roman"/>
          <w:lang w:bidi="en-US"/>
        </w:rPr>
        <w:t xml:space="preserve"> respondents from the 2019 ICR estimate. The change in the estimated number of respondents reflects the drop in the number of FDIC-supervised IDIs in recent years.</w:t>
      </w:r>
      <w:bookmarkEnd w:id="0"/>
    </w:p>
    <w:p w:rsidRPr="002035C8" w:rsidR="002A2C41" w:rsidP="002A2C41" w:rsidRDefault="002A2C41">
      <w:pPr>
        <w:widowControl/>
        <w:tabs>
          <w:tab w:val="left" w:pos="480"/>
          <w:tab w:val="left" w:pos="1080"/>
          <w:tab w:val="left" w:pos="1680"/>
        </w:tabs>
        <w:ind w:left="480"/>
        <w:rPr>
          <w:rFonts w:ascii="Times New Roman" w:hAnsi="Times New Roman"/>
          <w:lang w:bidi="en-US"/>
        </w:rPr>
      </w:pPr>
    </w:p>
    <w:p w:rsidR="00086578" w:rsidP="00086578" w:rsidRDefault="002A2C41">
      <w:pPr>
        <w:widowControl/>
        <w:tabs>
          <w:tab w:val="left" w:pos="480"/>
          <w:tab w:val="left" w:pos="1080"/>
          <w:tab w:val="left" w:pos="1680"/>
        </w:tabs>
        <w:rPr>
          <w:rFonts w:ascii="Times New Roman" w:hAnsi="Times New Roman"/>
          <w:b/>
          <w:lang w:bidi="en-US"/>
        </w:rPr>
      </w:pPr>
      <w:r>
        <w:rPr>
          <w:rFonts w:ascii="Times New Roman" w:hAnsi="Times New Roman"/>
          <w:b/>
          <w:lang w:bidi="en-US"/>
        </w:rPr>
        <w:tab/>
      </w:r>
      <w:r w:rsidRPr="00086578" w:rsidR="00086578">
        <w:rPr>
          <w:rFonts w:ascii="Times New Roman" w:hAnsi="Times New Roman"/>
          <w:b/>
          <w:lang w:bidi="en-US"/>
        </w:rPr>
        <w:t>Frequency of Responses and Estimated Responses per Respondent</w:t>
      </w:r>
      <w:r w:rsidR="00086578">
        <w:rPr>
          <w:rFonts w:ascii="Times New Roman" w:hAnsi="Times New Roman"/>
          <w:b/>
          <w:lang w:bidi="en-US"/>
        </w:rPr>
        <w:t>.</w:t>
      </w:r>
    </w:p>
    <w:p w:rsidR="00BC30B9" w:rsidP="00086578" w:rsidRDefault="00BC30B9">
      <w:pPr>
        <w:widowControl/>
        <w:tabs>
          <w:tab w:val="left" w:pos="480"/>
          <w:tab w:val="left" w:pos="1080"/>
          <w:tab w:val="left" w:pos="1680"/>
        </w:tabs>
        <w:rPr>
          <w:rFonts w:ascii="Times New Roman" w:hAnsi="Times New Roman"/>
          <w:b/>
          <w:lang w:bidi="en-US"/>
        </w:rPr>
      </w:pPr>
    </w:p>
    <w:p w:rsidR="00086578" w:rsidP="002A2C41" w:rsidRDefault="00BC30B9">
      <w:pPr>
        <w:widowControl/>
        <w:tabs>
          <w:tab w:val="left" w:pos="480"/>
          <w:tab w:val="left" w:pos="1080"/>
          <w:tab w:val="left" w:pos="1680"/>
        </w:tabs>
        <w:ind w:left="480"/>
        <w:rPr>
          <w:rFonts w:ascii="Times New Roman" w:hAnsi="Times New Roman"/>
          <w:lang w:bidi="en-US"/>
        </w:rPr>
      </w:pPr>
      <w:r>
        <w:rPr>
          <w:rFonts w:ascii="Times New Roman" w:hAnsi="Times New Roman"/>
          <w:lang w:bidi="en-US"/>
        </w:rPr>
        <w:t>Part 326 requires that</w:t>
      </w:r>
      <w:r w:rsidRPr="00086578" w:rsidR="00086578">
        <w:rPr>
          <w:rFonts w:ascii="Times New Roman" w:hAnsi="Times New Roman"/>
          <w:lang w:bidi="en-US"/>
        </w:rPr>
        <w:t xml:space="preserve"> the security officer report, at least annually, to the bank's board of directors on the implementation, administration, and effectiveness of the security program</w:t>
      </w:r>
      <w:r>
        <w:rPr>
          <w:rFonts w:ascii="Times New Roman" w:hAnsi="Times New Roman"/>
          <w:lang w:bidi="en-US"/>
        </w:rPr>
        <w:t>. FDIC supervisory experience confirms</w:t>
      </w:r>
      <w:r w:rsidRPr="00086578" w:rsidR="00086578">
        <w:rPr>
          <w:rFonts w:ascii="Times New Roman" w:hAnsi="Times New Roman"/>
          <w:lang w:bidi="en-US"/>
        </w:rPr>
        <w:t xml:space="preserve"> that each FDIC-supervised institution’s board of directors receives one annual report from the security officer, pursuant to the requirements in Section 326, subpart A. </w:t>
      </w:r>
      <w:r>
        <w:rPr>
          <w:rFonts w:ascii="Times New Roman" w:hAnsi="Times New Roman"/>
          <w:lang w:bidi="en-US"/>
        </w:rPr>
        <w:t>Accordingly, FDIC</w:t>
      </w:r>
      <w:r w:rsidRPr="00086578" w:rsidR="00086578">
        <w:rPr>
          <w:rFonts w:ascii="Times New Roman" w:hAnsi="Times New Roman"/>
          <w:lang w:bidi="en-US"/>
        </w:rPr>
        <w:t xml:space="preserve"> use</w:t>
      </w:r>
      <w:r>
        <w:rPr>
          <w:rFonts w:ascii="Times New Roman" w:hAnsi="Times New Roman"/>
          <w:lang w:bidi="en-US"/>
        </w:rPr>
        <w:t>s</w:t>
      </w:r>
      <w:r w:rsidRPr="00086578" w:rsidR="00086578">
        <w:rPr>
          <w:rFonts w:ascii="Times New Roman" w:hAnsi="Times New Roman"/>
          <w:lang w:bidi="en-US"/>
        </w:rPr>
        <w:t xml:space="preserve"> one as the estimated annual number of responses per respondent.</w:t>
      </w:r>
    </w:p>
    <w:p w:rsidR="00BC30B9" w:rsidP="00086578" w:rsidRDefault="00BC30B9">
      <w:pPr>
        <w:widowControl/>
        <w:tabs>
          <w:tab w:val="left" w:pos="480"/>
          <w:tab w:val="left" w:pos="1080"/>
          <w:tab w:val="left" w:pos="1680"/>
        </w:tabs>
        <w:rPr>
          <w:rFonts w:ascii="Times New Roman" w:hAnsi="Times New Roman"/>
          <w:lang w:bidi="en-US"/>
        </w:rPr>
      </w:pPr>
    </w:p>
    <w:p w:rsidR="00BC30B9" w:rsidP="00BC30B9" w:rsidRDefault="002A2C41">
      <w:pPr>
        <w:widowControl/>
        <w:tabs>
          <w:tab w:val="left" w:pos="480"/>
          <w:tab w:val="left" w:pos="1080"/>
          <w:tab w:val="left" w:pos="1680"/>
        </w:tabs>
        <w:rPr>
          <w:rFonts w:ascii="Times New Roman" w:hAnsi="Times New Roman"/>
          <w:b/>
          <w:lang w:bidi="en-US"/>
        </w:rPr>
      </w:pPr>
      <w:r>
        <w:rPr>
          <w:rFonts w:ascii="Times New Roman" w:hAnsi="Times New Roman"/>
          <w:b/>
          <w:lang w:bidi="en-US"/>
        </w:rPr>
        <w:tab/>
      </w:r>
      <w:r w:rsidRPr="00BC30B9" w:rsidR="00BC30B9">
        <w:rPr>
          <w:rFonts w:ascii="Times New Roman" w:hAnsi="Times New Roman"/>
          <w:b/>
          <w:lang w:bidi="en-US"/>
        </w:rPr>
        <w:t>Estimated Time per Response</w:t>
      </w:r>
      <w:r w:rsidR="00BC30B9">
        <w:rPr>
          <w:rFonts w:ascii="Times New Roman" w:hAnsi="Times New Roman"/>
          <w:b/>
          <w:lang w:bidi="en-US"/>
        </w:rPr>
        <w:t>,</w:t>
      </w:r>
    </w:p>
    <w:p w:rsidRPr="00BC30B9" w:rsidR="00BC30B9" w:rsidP="00BC30B9" w:rsidRDefault="00BC30B9">
      <w:pPr>
        <w:widowControl/>
        <w:tabs>
          <w:tab w:val="left" w:pos="480"/>
          <w:tab w:val="left" w:pos="1080"/>
          <w:tab w:val="left" w:pos="1680"/>
        </w:tabs>
        <w:rPr>
          <w:rFonts w:ascii="Times New Roman" w:hAnsi="Times New Roman"/>
          <w:b/>
          <w:lang w:bidi="en-US"/>
        </w:rPr>
      </w:pPr>
    </w:p>
    <w:p w:rsidR="00BC30B9" w:rsidP="002A2C41" w:rsidRDefault="00BC30B9">
      <w:pPr>
        <w:widowControl/>
        <w:tabs>
          <w:tab w:val="left" w:pos="480"/>
          <w:tab w:val="left" w:pos="1080"/>
          <w:tab w:val="left" w:pos="1680"/>
        </w:tabs>
        <w:ind w:left="480"/>
        <w:rPr>
          <w:rFonts w:ascii="Times New Roman" w:hAnsi="Times New Roman"/>
          <w:lang w:bidi="en-US"/>
        </w:rPr>
      </w:pPr>
      <w:r w:rsidRPr="00BC30B9">
        <w:rPr>
          <w:rFonts w:ascii="Times New Roman" w:hAnsi="Times New Roman"/>
          <w:lang w:bidi="en-US"/>
        </w:rPr>
        <w:t xml:space="preserve">In the 2019 ICR, the FDIC estimated that each FDIC-supervised IDI would </w:t>
      </w:r>
      <w:r>
        <w:rPr>
          <w:rFonts w:ascii="Times New Roman" w:hAnsi="Times New Roman"/>
          <w:lang w:bidi="en-US"/>
        </w:rPr>
        <w:t>take approximately</w:t>
      </w:r>
      <w:r w:rsidRPr="00BC30B9">
        <w:rPr>
          <w:rFonts w:ascii="Times New Roman" w:hAnsi="Times New Roman"/>
          <w:lang w:bidi="en-US"/>
        </w:rPr>
        <w:t xml:space="preserve"> 0.5 hours per response to respond to the recordkeeping </w:t>
      </w:r>
      <w:r>
        <w:rPr>
          <w:rFonts w:ascii="Times New Roman" w:hAnsi="Times New Roman"/>
          <w:lang w:bidi="en-US"/>
        </w:rPr>
        <w:t xml:space="preserve">requirements in Part 326. </w:t>
      </w:r>
      <w:r w:rsidRPr="00BC30B9">
        <w:rPr>
          <w:rFonts w:ascii="Times New Roman" w:hAnsi="Times New Roman"/>
          <w:lang w:bidi="en-US"/>
        </w:rPr>
        <w:t xml:space="preserve"> </w:t>
      </w:r>
      <w:bookmarkStart w:name="OLE_LINK7" w:id="1"/>
      <w:bookmarkStart w:name="OLE_LINK8" w:id="2"/>
      <w:r w:rsidRPr="00BC30B9">
        <w:rPr>
          <w:rFonts w:ascii="Times New Roman" w:hAnsi="Times New Roman"/>
          <w:lang w:bidi="en-US"/>
        </w:rPr>
        <w:t xml:space="preserve">Based on supervisory experience, the </w:t>
      </w:r>
      <w:r>
        <w:rPr>
          <w:rFonts w:ascii="Times New Roman" w:hAnsi="Times New Roman"/>
          <w:lang w:bidi="en-US"/>
        </w:rPr>
        <w:t>FDIC is adjusting its estimate of</w:t>
      </w:r>
      <w:r w:rsidRPr="00BC30B9">
        <w:rPr>
          <w:rFonts w:ascii="Times New Roman" w:hAnsi="Times New Roman"/>
          <w:lang w:bidi="en-US"/>
        </w:rPr>
        <w:t xml:space="preserve"> the </w:t>
      </w:r>
      <w:r>
        <w:rPr>
          <w:rFonts w:ascii="Times New Roman" w:hAnsi="Times New Roman"/>
          <w:lang w:bidi="en-US"/>
        </w:rPr>
        <w:t>“</w:t>
      </w:r>
      <w:r w:rsidRPr="00BC30B9">
        <w:rPr>
          <w:rFonts w:ascii="Times New Roman" w:hAnsi="Times New Roman"/>
          <w:lang w:bidi="en-US"/>
        </w:rPr>
        <w:t>Time per Response</w:t>
      </w:r>
      <w:r>
        <w:rPr>
          <w:rFonts w:ascii="Times New Roman" w:hAnsi="Times New Roman"/>
          <w:lang w:bidi="en-US"/>
        </w:rPr>
        <w:t>”</w:t>
      </w:r>
      <w:r w:rsidRPr="00BC30B9">
        <w:rPr>
          <w:rFonts w:ascii="Times New Roman" w:hAnsi="Times New Roman"/>
          <w:lang w:bidi="en-US"/>
        </w:rPr>
        <w:t xml:space="preserve"> for the implementation burden that new FDIC-supervised IDIs could incur to be 50 hours for institutions with an asset size less than $500 million, 300 hours for medium-sized institutions, and 500 hours for large institutions. The </w:t>
      </w:r>
      <w:r>
        <w:rPr>
          <w:rFonts w:ascii="Times New Roman" w:hAnsi="Times New Roman"/>
          <w:lang w:bidi="en-US"/>
        </w:rPr>
        <w:t>FDIC is also adjusting its</w:t>
      </w:r>
      <w:r w:rsidRPr="00BC30B9">
        <w:rPr>
          <w:rFonts w:ascii="Times New Roman" w:hAnsi="Times New Roman"/>
          <w:lang w:bidi="en-US"/>
        </w:rPr>
        <w:t xml:space="preserve"> estimate </w:t>
      </w:r>
      <w:r>
        <w:rPr>
          <w:rFonts w:ascii="Times New Roman" w:hAnsi="Times New Roman"/>
          <w:lang w:bidi="en-US"/>
        </w:rPr>
        <w:t xml:space="preserve">of </w:t>
      </w:r>
      <w:r w:rsidRPr="00BC30B9">
        <w:rPr>
          <w:rFonts w:ascii="Times New Roman" w:hAnsi="Times New Roman"/>
          <w:lang w:bidi="en-US"/>
        </w:rPr>
        <w:t xml:space="preserve">the </w:t>
      </w:r>
      <w:r>
        <w:rPr>
          <w:rFonts w:ascii="Times New Roman" w:hAnsi="Times New Roman"/>
          <w:lang w:bidi="en-US"/>
        </w:rPr>
        <w:t>“</w:t>
      </w:r>
      <w:r w:rsidRPr="00BC30B9">
        <w:rPr>
          <w:rFonts w:ascii="Times New Roman" w:hAnsi="Times New Roman"/>
          <w:lang w:bidi="en-US"/>
        </w:rPr>
        <w:t>Time per Response</w:t>
      </w:r>
      <w:r>
        <w:rPr>
          <w:rFonts w:ascii="Times New Roman" w:hAnsi="Times New Roman"/>
          <w:lang w:bidi="en-US"/>
        </w:rPr>
        <w:t>”</w:t>
      </w:r>
      <w:r w:rsidRPr="00BC30B9">
        <w:rPr>
          <w:rFonts w:ascii="Times New Roman" w:hAnsi="Times New Roman"/>
          <w:lang w:bidi="en-US"/>
        </w:rPr>
        <w:t xml:space="preserve"> for the ongoing</w:t>
      </w:r>
      <w:r>
        <w:rPr>
          <w:rFonts w:ascii="Times New Roman" w:hAnsi="Times New Roman"/>
          <w:lang w:bidi="en-US"/>
        </w:rPr>
        <w:t xml:space="preserve"> burden</w:t>
      </w:r>
      <w:r w:rsidRPr="00BC30B9">
        <w:rPr>
          <w:rFonts w:ascii="Times New Roman" w:hAnsi="Times New Roman"/>
          <w:lang w:bidi="en-US"/>
        </w:rPr>
        <w:t xml:space="preserve"> FDIC-supervised IDIs that make routine revisions to the security program could incur to be five hours, and 35 hours for IDIs that make significant revisions.</w:t>
      </w:r>
      <w:bookmarkEnd w:id="1"/>
      <w:bookmarkEnd w:id="2"/>
    </w:p>
    <w:p w:rsidR="00BC30B9" w:rsidP="00BC30B9" w:rsidRDefault="00BC30B9">
      <w:pPr>
        <w:widowControl/>
        <w:tabs>
          <w:tab w:val="left" w:pos="480"/>
          <w:tab w:val="left" w:pos="1080"/>
          <w:tab w:val="left" w:pos="1680"/>
        </w:tabs>
        <w:rPr>
          <w:rFonts w:ascii="Times New Roman" w:hAnsi="Times New Roman"/>
          <w:lang w:bidi="en-US"/>
        </w:rPr>
      </w:pPr>
    </w:p>
    <w:p w:rsidRPr="007B6861" w:rsidR="00683E37" w:rsidP="002A2C41" w:rsidRDefault="00BC30B9">
      <w:pPr>
        <w:widowControl/>
        <w:tabs>
          <w:tab w:val="left" w:pos="480"/>
          <w:tab w:val="left" w:pos="1080"/>
          <w:tab w:val="left" w:pos="1680"/>
        </w:tabs>
        <w:ind w:left="480"/>
        <w:rPr>
          <w:rFonts w:ascii="Times New Roman" w:hAnsi="Times New Roman"/>
          <w:lang w:bidi="en-US"/>
        </w:rPr>
      </w:pPr>
      <w:r w:rsidRPr="00BC30B9">
        <w:rPr>
          <w:rFonts w:ascii="Times New Roman" w:hAnsi="Times New Roman"/>
          <w:lang w:bidi="en-US"/>
        </w:rPr>
        <w:t xml:space="preserve"> The estimated annual burden for each line item in this IC, in hours, is the product of the estimated number of respondents per year, number of responses per respondent per year, and the hours per response, as summarized in Table 1</w:t>
      </w:r>
      <w:r>
        <w:rPr>
          <w:rFonts w:ascii="Times New Roman" w:hAnsi="Times New Roman"/>
          <w:lang w:bidi="en-US"/>
        </w:rPr>
        <w:t xml:space="preserve"> above</w:t>
      </w:r>
      <w:r w:rsidRPr="00BC30B9">
        <w:rPr>
          <w:rFonts w:ascii="Times New Roman" w:hAnsi="Times New Roman"/>
          <w:lang w:bidi="en-US"/>
        </w:rPr>
        <w:t>. The total estimated annual burden for this information collection is 50,450 hours, which is 48,683 hours higher than the previously approved IC of 1,767 hours. As the estimated number of respondents in this ICR decreased from the 2019 ICR, the change in the total estimated annual burden hours can be attributed to the increase in the estimated time per response.</w:t>
      </w:r>
    </w:p>
    <w:p w:rsidRPr="007B6861" w:rsidR="007B6861" w:rsidP="007B6861" w:rsidRDefault="007B6861">
      <w:pPr>
        <w:widowControl/>
        <w:tabs>
          <w:tab w:val="left" w:pos="480"/>
          <w:tab w:val="left" w:pos="1080"/>
          <w:tab w:val="left" w:pos="1680"/>
        </w:tabs>
        <w:rPr>
          <w:rFonts w:ascii="Times New Roman" w:hAnsi="Times New Roman"/>
        </w:rPr>
      </w:pPr>
    </w:p>
    <w:p w:rsidRPr="00BD11D4" w:rsidR="00BD11D4" w:rsidP="00BD11D4" w:rsidRDefault="002A2C41">
      <w:pPr>
        <w:widowControl/>
        <w:tabs>
          <w:tab w:val="left" w:pos="480"/>
          <w:tab w:val="left" w:pos="1080"/>
          <w:tab w:val="left" w:pos="1680"/>
        </w:tabs>
        <w:rPr>
          <w:rFonts w:ascii="Times New Roman" w:hAnsi="Times New Roman"/>
          <w:b/>
          <w:lang w:bidi="en-US"/>
        </w:rPr>
      </w:pPr>
      <w:r>
        <w:rPr>
          <w:rFonts w:ascii="Times New Roman" w:hAnsi="Times New Roman"/>
          <w:b/>
          <w:lang w:bidi="en-US"/>
        </w:rPr>
        <w:tab/>
      </w:r>
      <w:r w:rsidRPr="00BD11D4" w:rsidR="00BD11D4">
        <w:rPr>
          <w:rFonts w:ascii="Times New Roman" w:hAnsi="Times New Roman"/>
          <w:b/>
          <w:lang w:bidi="en-US"/>
        </w:rPr>
        <w:t>Total Estimated Hourly Labor Compensation Rates</w:t>
      </w:r>
    </w:p>
    <w:p w:rsidRPr="00BD11D4" w:rsidR="00BD11D4" w:rsidP="00BD11D4" w:rsidRDefault="00BD11D4">
      <w:pPr>
        <w:widowControl/>
        <w:tabs>
          <w:tab w:val="left" w:pos="480"/>
          <w:tab w:val="left" w:pos="1080"/>
          <w:tab w:val="left" w:pos="1680"/>
        </w:tabs>
        <w:rPr>
          <w:rFonts w:ascii="Times New Roman" w:hAnsi="Times New Roman"/>
          <w:b/>
          <w:lang w:bidi="en-US"/>
        </w:rPr>
      </w:pPr>
    </w:p>
    <w:p w:rsidRPr="00BD11D4" w:rsidR="00BD11D4" w:rsidP="002A2C41" w:rsidRDefault="00BD11D4">
      <w:pPr>
        <w:widowControl/>
        <w:tabs>
          <w:tab w:val="left" w:pos="480"/>
          <w:tab w:val="left" w:pos="1080"/>
          <w:tab w:val="left" w:pos="1680"/>
        </w:tabs>
        <w:ind w:left="480"/>
        <w:rPr>
          <w:rFonts w:ascii="Times New Roman" w:hAnsi="Times New Roman"/>
          <w:lang w:bidi="en-US"/>
        </w:rPr>
      </w:pPr>
      <w:r w:rsidRPr="00BD11D4">
        <w:rPr>
          <w:rFonts w:ascii="Times New Roman" w:hAnsi="Times New Roman"/>
          <w:lang w:bidi="en-US"/>
        </w:rPr>
        <w:t>To estimate the weighted averag</w:t>
      </w:r>
      <w:r w:rsidR="002A2C41">
        <w:rPr>
          <w:rFonts w:ascii="Times New Roman" w:hAnsi="Times New Roman"/>
          <w:lang w:bidi="en-US"/>
        </w:rPr>
        <w:t>e hourly cost of compensation, FDIC</w:t>
      </w:r>
      <w:r w:rsidRPr="00BD11D4">
        <w:rPr>
          <w:rFonts w:ascii="Times New Roman" w:hAnsi="Times New Roman"/>
          <w:lang w:bidi="en-US"/>
        </w:rPr>
        <w:t xml:space="preserve"> use</w:t>
      </w:r>
      <w:r w:rsidR="002A2C41">
        <w:rPr>
          <w:rFonts w:ascii="Times New Roman" w:hAnsi="Times New Roman"/>
          <w:lang w:bidi="en-US"/>
        </w:rPr>
        <w:t>s</w:t>
      </w:r>
      <w:r w:rsidRPr="00BD11D4">
        <w:rPr>
          <w:rFonts w:ascii="Times New Roman" w:hAnsi="Times New Roman"/>
          <w:lang w:bidi="en-US"/>
        </w:rPr>
        <w:t xml:space="preserve"> the 75</w:t>
      </w:r>
      <w:r w:rsidRPr="00BD11D4">
        <w:rPr>
          <w:rFonts w:ascii="Times New Roman" w:hAnsi="Times New Roman"/>
          <w:vertAlign w:val="superscript"/>
          <w:lang w:bidi="en-US"/>
        </w:rPr>
        <w:t>th</w:t>
      </w:r>
      <w:r w:rsidRPr="00BD11D4">
        <w:rPr>
          <w:rFonts w:ascii="Times New Roman" w:hAnsi="Times New Roman"/>
          <w:lang w:bidi="en-US"/>
        </w:rPr>
        <w:t xml:space="preserve"> percentile hourly wages reported by the BLS National Industry-Specific Occupational Employment and Wage Estimates for the relevant occupations in the Depository Credit Intermediation sector, as of May 2020.</w:t>
      </w:r>
      <w:r w:rsidRPr="00BD11D4">
        <w:rPr>
          <w:rFonts w:ascii="Times New Roman" w:hAnsi="Times New Roman"/>
          <w:vertAlign w:val="superscript"/>
          <w:lang w:bidi="en-US"/>
        </w:rPr>
        <w:footnoteReference w:id="3"/>
      </w:r>
      <w:r w:rsidRPr="00BD11D4">
        <w:rPr>
          <w:rFonts w:ascii="Times New Roman" w:hAnsi="Times New Roman"/>
          <w:lang w:bidi="en-US"/>
        </w:rPr>
        <w:t xml:space="preserve"> </w:t>
      </w:r>
    </w:p>
    <w:p w:rsidRPr="00BD11D4" w:rsidR="00BD11D4" w:rsidP="00BD11D4" w:rsidRDefault="00BD11D4">
      <w:pPr>
        <w:widowControl/>
        <w:tabs>
          <w:tab w:val="left" w:pos="480"/>
          <w:tab w:val="left" w:pos="1080"/>
          <w:tab w:val="left" w:pos="1680"/>
        </w:tabs>
        <w:rPr>
          <w:rFonts w:ascii="Times New Roman" w:hAnsi="Times New Roman"/>
          <w:lang w:bidi="en-US"/>
        </w:rPr>
      </w:pPr>
    </w:p>
    <w:p w:rsidRPr="00BD11D4" w:rsidR="00BD11D4" w:rsidP="002A2C41" w:rsidRDefault="00BD11D4">
      <w:pPr>
        <w:widowControl/>
        <w:tabs>
          <w:tab w:val="left" w:pos="480"/>
          <w:tab w:val="left" w:pos="1080"/>
          <w:tab w:val="left" w:pos="1680"/>
        </w:tabs>
        <w:ind w:left="480"/>
        <w:rPr>
          <w:rFonts w:ascii="Times New Roman" w:hAnsi="Times New Roman"/>
          <w:lang w:bidi="en-US"/>
        </w:rPr>
      </w:pPr>
      <w:r w:rsidRPr="00BD11D4">
        <w:rPr>
          <w:rFonts w:ascii="Times New Roman" w:hAnsi="Times New Roman"/>
          <w:lang w:bidi="en-US"/>
        </w:rPr>
        <w:t>The reported hourly wage rates do not include non-monetary compensation. According to the June 2021 Employer Cost of Employee Compensation data, compensation rates for health and other benefits are 33.3 percent of total compensation. To account for non-</w:t>
      </w:r>
      <w:r w:rsidR="002A2C41">
        <w:rPr>
          <w:rFonts w:ascii="Times New Roman" w:hAnsi="Times New Roman"/>
          <w:lang w:bidi="en-US"/>
        </w:rPr>
        <w:t>monetary compensation, FDIC</w:t>
      </w:r>
      <w:r w:rsidRPr="00BD11D4">
        <w:rPr>
          <w:rFonts w:ascii="Times New Roman" w:hAnsi="Times New Roman"/>
          <w:lang w:bidi="en-US"/>
        </w:rPr>
        <w:t xml:space="preserve"> divide</w:t>
      </w:r>
      <w:r w:rsidR="002A2C41">
        <w:rPr>
          <w:rFonts w:ascii="Times New Roman" w:hAnsi="Times New Roman"/>
          <w:lang w:bidi="en-US"/>
        </w:rPr>
        <w:t>s</w:t>
      </w:r>
      <w:r w:rsidRPr="00BD11D4">
        <w:rPr>
          <w:rFonts w:ascii="Times New Roman" w:hAnsi="Times New Roman"/>
          <w:lang w:bidi="en-US"/>
        </w:rPr>
        <w:t xml:space="preserve"> the hourly wage rates reported by BLS by (1 – 0.333).</w:t>
      </w:r>
      <w:r w:rsidRPr="00BD11D4">
        <w:rPr>
          <w:rFonts w:ascii="Times New Roman" w:hAnsi="Times New Roman"/>
          <w:vertAlign w:val="superscript"/>
          <w:lang w:bidi="en-US"/>
        </w:rPr>
        <w:footnoteReference w:id="4"/>
      </w:r>
      <w:r w:rsidR="002A2C41">
        <w:rPr>
          <w:rFonts w:ascii="Times New Roman" w:hAnsi="Times New Roman"/>
          <w:lang w:bidi="en-US"/>
        </w:rPr>
        <w:t xml:space="preserve"> FDIC</w:t>
      </w:r>
      <w:r w:rsidRPr="00BD11D4">
        <w:rPr>
          <w:rFonts w:ascii="Times New Roman" w:hAnsi="Times New Roman"/>
          <w:lang w:bidi="en-US"/>
        </w:rPr>
        <w:t xml:space="preserve"> also adjust</w:t>
      </w:r>
      <w:r w:rsidR="002A2C41">
        <w:rPr>
          <w:rFonts w:ascii="Times New Roman" w:hAnsi="Times New Roman"/>
          <w:lang w:bidi="en-US"/>
        </w:rPr>
        <w:t>s</w:t>
      </w:r>
      <w:r w:rsidRPr="00BD11D4">
        <w:rPr>
          <w:rFonts w:ascii="Times New Roman" w:hAnsi="Times New Roman"/>
          <w:lang w:bidi="en-US"/>
        </w:rPr>
        <w:t xml:space="preserve"> the hourly wage by 5.97 percent based on changes in the Consumer Price Index for Urban Consumers (CPI-U) from May 2020 to June 2021 to account for inflation and ensure that the wage information is contemporaneous with the non-monetary compensation statistic.</w:t>
      </w:r>
      <w:r w:rsidRPr="00BD11D4">
        <w:rPr>
          <w:rFonts w:ascii="Times New Roman" w:hAnsi="Times New Roman"/>
          <w:vertAlign w:val="superscript"/>
          <w:lang w:bidi="en-US"/>
        </w:rPr>
        <w:footnoteReference w:id="5"/>
      </w:r>
      <w:r w:rsidRPr="00BD11D4">
        <w:rPr>
          <w:rFonts w:ascii="Times New Roman" w:hAnsi="Times New Roman"/>
          <w:lang w:bidi="en-US"/>
        </w:rPr>
        <w:t xml:space="preserve"> </w:t>
      </w:r>
    </w:p>
    <w:p w:rsidRPr="00BD11D4" w:rsidR="00BD11D4" w:rsidP="00BD11D4" w:rsidRDefault="00BD11D4">
      <w:pPr>
        <w:widowControl/>
        <w:tabs>
          <w:tab w:val="left" w:pos="480"/>
          <w:tab w:val="left" w:pos="1080"/>
          <w:tab w:val="left" w:pos="1680"/>
        </w:tabs>
        <w:rPr>
          <w:rFonts w:ascii="Times New Roman" w:hAnsi="Times New Roman"/>
          <w:lang w:bidi="en-US"/>
        </w:rPr>
      </w:pPr>
    </w:p>
    <w:p w:rsidRPr="00BD11D4" w:rsidR="00BD11D4" w:rsidP="002A2C41" w:rsidRDefault="00BD11D4">
      <w:pPr>
        <w:widowControl/>
        <w:tabs>
          <w:tab w:val="left" w:pos="480"/>
          <w:tab w:val="left" w:pos="1080"/>
          <w:tab w:val="left" w:pos="1680"/>
        </w:tabs>
        <w:ind w:left="480"/>
        <w:rPr>
          <w:rFonts w:ascii="Times New Roman" w:hAnsi="Times New Roman"/>
          <w:lang w:bidi="en-US"/>
        </w:rPr>
      </w:pPr>
      <w:r w:rsidRPr="00BD11D4">
        <w:rPr>
          <w:rFonts w:ascii="Times New Roman" w:hAnsi="Times New Roman"/>
          <w:lang w:bidi="en-US"/>
        </w:rPr>
        <w:t xml:space="preserve">After calculating these adjustments, </w:t>
      </w:r>
      <w:r w:rsidR="002A2C41">
        <w:rPr>
          <w:rFonts w:ascii="Times New Roman" w:hAnsi="Times New Roman"/>
          <w:lang w:bidi="en-US"/>
        </w:rPr>
        <w:t>FDIC</w:t>
      </w:r>
      <w:r w:rsidRPr="00BD11D4">
        <w:rPr>
          <w:rFonts w:ascii="Times New Roman" w:hAnsi="Times New Roman"/>
          <w:lang w:bidi="en-US"/>
        </w:rPr>
        <w:t>I weight</w:t>
      </w:r>
      <w:r w:rsidR="002A2C41">
        <w:rPr>
          <w:rFonts w:ascii="Times New Roman" w:hAnsi="Times New Roman"/>
          <w:lang w:bidi="en-US"/>
        </w:rPr>
        <w:t>s</w:t>
      </w:r>
      <w:r w:rsidRPr="00BD11D4">
        <w:rPr>
          <w:rFonts w:ascii="Times New Roman" w:hAnsi="Times New Roman"/>
          <w:lang w:bidi="en-US"/>
        </w:rPr>
        <w:t xml:space="preserve"> the total hourly compensation for the two occupations shown in the table, using </w:t>
      </w:r>
      <w:r w:rsidR="002A2C41">
        <w:rPr>
          <w:rFonts w:ascii="Times New Roman" w:hAnsi="Times New Roman"/>
          <w:lang w:bidi="en-US"/>
        </w:rPr>
        <w:t>FDIC’s</w:t>
      </w:r>
      <w:r w:rsidRPr="00BD11D4">
        <w:rPr>
          <w:rFonts w:ascii="Times New Roman" w:hAnsi="Times New Roman"/>
          <w:lang w:bidi="en-US"/>
        </w:rPr>
        <w:t xml:space="preserve"> estimated allocation of labor for each IC to find the estimated hourly cost of complying with this ICR.</w:t>
      </w:r>
      <w:r w:rsidRPr="00BD11D4">
        <w:rPr>
          <w:rFonts w:ascii="Times New Roman" w:hAnsi="Times New Roman"/>
          <w:vertAlign w:val="superscript"/>
          <w:lang w:bidi="en-US"/>
        </w:rPr>
        <w:footnoteReference w:id="6"/>
      </w:r>
    </w:p>
    <w:p w:rsidRPr="00BD11D4" w:rsidR="00BD11D4" w:rsidP="00BD11D4" w:rsidRDefault="00BD11D4">
      <w:pPr>
        <w:widowControl/>
        <w:tabs>
          <w:tab w:val="left" w:pos="480"/>
          <w:tab w:val="left" w:pos="1080"/>
          <w:tab w:val="left" w:pos="1680"/>
        </w:tabs>
        <w:rPr>
          <w:rFonts w:ascii="Times New Roman" w:hAnsi="Times New Roman"/>
          <w:lang w:bidi="en-US"/>
        </w:rPr>
      </w:pPr>
    </w:p>
    <w:p w:rsidRPr="00BD11D4" w:rsidR="00BD11D4" w:rsidP="00BD11D4" w:rsidRDefault="00BD11D4">
      <w:pPr>
        <w:widowControl/>
        <w:tabs>
          <w:tab w:val="left" w:pos="480"/>
          <w:tab w:val="left" w:pos="1080"/>
          <w:tab w:val="left" w:pos="1680"/>
        </w:tabs>
        <w:rPr>
          <w:rFonts w:ascii="Times New Roman" w:hAnsi="Times New Roman"/>
          <w:u w:val="single"/>
          <w:lang w:bidi="en-US"/>
        </w:rPr>
      </w:pPr>
    </w:p>
    <w:tbl>
      <w:tblPr>
        <w:tblStyle w:val="TableGrid"/>
        <w:tblW w:w="0" w:type="auto"/>
        <w:tblLook w:val="04A0" w:firstRow="1" w:lastRow="0" w:firstColumn="1" w:lastColumn="0" w:noHBand="0" w:noVBand="1"/>
      </w:tblPr>
      <w:tblGrid>
        <w:gridCol w:w="2965"/>
        <w:gridCol w:w="2160"/>
        <w:gridCol w:w="2070"/>
        <w:gridCol w:w="2155"/>
      </w:tblGrid>
      <w:tr w:rsidRPr="00BD11D4" w:rsidR="00BD11D4" w:rsidTr="00B30A47">
        <w:trPr>
          <w:trHeight w:val="386"/>
        </w:trPr>
        <w:tc>
          <w:tcPr>
            <w:tcW w:w="9350" w:type="dxa"/>
            <w:gridSpan w:val="4"/>
            <w:vAlign w:val="center"/>
          </w:tcPr>
          <w:p w:rsidRPr="00BD11D4" w:rsidR="00BD11D4" w:rsidP="00BD11D4" w:rsidRDefault="00BD11D4">
            <w:pPr>
              <w:widowControl/>
              <w:tabs>
                <w:tab w:val="left" w:pos="480"/>
                <w:tab w:val="left" w:pos="1080"/>
                <w:tab w:val="left" w:pos="1680"/>
              </w:tabs>
              <w:jc w:val="center"/>
              <w:rPr>
                <w:rFonts w:ascii="Times New Roman" w:hAnsi="Times New Roman"/>
                <w:b/>
                <w:bCs/>
                <w:sz w:val="18"/>
                <w:szCs w:val="18"/>
              </w:rPr>
            </w:pPr>
            <w:r w:rsidRPr="00BD11D4">
              <w:rPr>
                <w:rFonts w:ascii="Times New Roman" w:hAnsi="Times New Roman"/>
                <w:b/>
                <w:bCs/>
                <w:sz w:val="18"/>
                <w:szCs w:val="18"/>
              </w:rPr>
              <w:t>Table 2: Summary of Hourly Burden Cost Estimate (OMB No. 3064-0095)</w:t>
            </w:r>
          </w:p>
        </w:tc>
      </w:tr>
      <w:tr w:rsidRPr="00BD11D4" w:rsidR="00BD11D4" w:rsidTr="00B30A47">
        <w:tc>
          <w:tcPr>
            <w:tcW w:w="2965" w:type="dxa"/>
            <w:vAlign w:val="center"/>
          </w:tcPr>
          <w:p w:rsidRPr="00BD11D4" w:rsidR="00BD11D4" w:rsidP="00BD11D4" w:rsidRDefault="00BD11D4">
            <w:pPr>
              <w:widowControl/>
              <w:tabs>
                <w:tab w:val="left" w:pos="480"/>
                <w:tab w:val="left" w:pos="1080"/>
                <w:tab w:val="left" w:pos="1680"/>
              </w:tabs>
              <w:rPr>
                <w:rFonts w:ascii="Times New Roman" w:hAnsi="Times New Roman"/>
                <w:b/>
                <w:sz w:val="18"/>
                <w:szCs w:val="18"/>
                <w:lang w:bidi="en-US"/>
              </w:rPr>
            </w:pPr>
            <w:r w:rsidRPr="00BD11D4">
              <w:rPr>
                <w:rFonts w:ascii="Times New Roman" w:hAnsi="Times New Roman"/>
                <w:b/>
                <w:sz w:val="18"/>
                <w:szCs w:val="18"/>
                <w:lang w:bidi="en-US"/>
              </w:rPr>
              <w:t>Estimated Category of Personnel Responsible for Complying with the PRA Burden</w:t>
            </w:r>
          </w:p>
        </w:tc>
        <w:tc>
          <w:tcPr>
            <w:tcW w:w="2160" w:type="dxa"/>
            <w:vAlign w:val="center"/>
          </w:tcPr>
          <w:p w:rsidRPr="00BD11D4" w:rsidR="00BD11D4" w:rsidP="00BD11D4" w:rsidRDefault="00BD11D4">
            <w:pPr>
              <w:widowControl/>
              <w:tabs>
                <w:tab w:val="left" w:pos="480"/>
                <w:tab w:val="left" w:pos="1080"/>
                <w:tab w:val="left" w:pos="1680"/>
              </w:tabs>
              <w:rPr>
                <w:rFonts w:ascii="Times New Roman" w:hAnsi="Times New Roman"/>
                <w:b/>
                <w:sz w:val="18"/>
                <w:szCs w:val="18"/>
                <w:lang w:bidi="en-US"/>
              </w:rPr>
            </w:pPr>
            <w:r w:rsidRPr="00BD11D4">
              <w:rPr>
                <w:rFonts w:ascii="Times New Roman" w:hAnsi="Times New Roman"/>
                <w:b/>
                <w:sz w:val="18"/>
                <w:szCs w:val="18"/>
                <w:lang w:bidi="en-US"/>
              </w:rPr>
              <w:t>Total Estimated Hourly Compensation</w:t>
            </w:r>
          </w:p>
        </w:tc>
        <w:tc>
          <w:tcPr>
            <w:tcW w:w="2070" w:type="dxa"/>
            <w:vAlign w:val="center"/>
          </w:tcPr>
          <w:p w:rsidRPr="00BD11D4" w:rsidR="00BD11D4" w:rsidP="00BD11D4" w:rsidRDefault="00BD11D4">
            <w:pPr>
              <w:widowControl/>
              <w:tabs>
                <w:tab w:val="left" w:pos="480"/>
                <w:tab w:val="left" w:pos="1080"/>
                <w:tab w:val="left" w:pos="1680"/>
              </w:tabs>
              <w:rPr>
                <w:rFonts w:ascii="Times New Roman" w:hAnsi="Times New Roman"/>
                <w:b/>
                <w:sz w:val="18"/>
                <w:szCs w:val="18"/>
                <w:lang w:bidi="en-US"/>
              </w:rPr>
            </w:pPr>
            <w:r w:rsidRPr="00BD11D4">
              <w:rPr>
                <w:rFonts w:ascii="Times New Roman" w:hAnsi="Times New Roman"/>
                <w:b/>
                <w:sz w:val="18"/>
                <w:szCs w:val="18"/>
                <w:lang w:bidi="en-US"/>
              </w:rPr>
              <w:t>Estimated Weights</w:t>
            </w:r>
          </w:p>
        </w:tc>
        <w:tc>
          <w:tcPr>
            <w:tcW w:w="2155" w:type="dxa"/>
            <w:vAlign w:val="center"/>
          </w:tcPr>
          <w:p w:rsidRPr="00BD11D4" w:rsidR="00BD11D4" w:rsidP="00BD11D4" w:rsidRDefault="00BD11D4">
            <w:pPr>
              <w:widowControl/>
              <w:tabs>
                <w:tab w:val="left" w:pos="480"/>
                <w:tab w:val="left" w:pos="1080"/>
                <w:tab w:val="left" w:pos="1680"/>
              </w:tabs>
              <w:rPr>
                <w:rFonts w:ascii="Times New Roman" w:hAnsi="Times New Roman"/>
                <w:b/>
                <w:sz w:val="18"/>
                <w:szCs w:val="18"/>
                <w:lang w:bidi="en-US"/>
              </w:rPr>
            </w:pPr>
            <w:r w:rsidRPr="00BD11D4">
              <w:rPr>
                <w:rFonts w:ascii="Times New Roman" w:hAnsi="Times New Roman"/>
                <w:b/>
                <w:sz w:val="18"/>
                <w:szCs w:val="18"/>
                <w:lang w:bidi="en-US"/>
              </w:rPr>
              <w:t>Weighted Hourly Compensation</w:t>
            </w:r>
          </w:p>
        </w:tc>
      </w:tr>
      <w:tr w:rsidRPr="00BD11D4" w:rsidR="00BD11D4" w:rsidTr="00B30A47">
        <w:trPr>
          <w:trHeight w:val="350"/>
        </w:trPr>
        <w:tc>
          <w:tcPr>
            <w:tcW w:w="2965" w:type="dxa"/>
            <w:vAlign w:val="center"/>
          </w:tcPr>
          <w:p w:rsidRPr="00BD11D4" w:rsidR="00BD11D4" w:rsidP="00BD11D4" w:rsidRDefault="00BD11D4">
            <w:pPr>
              <w:widowControl/>
              <w:tabs>
                <w:tab w:val="left" w:pos="480"/>
                <w:tab w:val="left" w:pos="1080"/>
                <w:tab w:val="left" w:pos="1680"/>
              </w:tabs>
              <w:rPr>
                <w:rFonts w:ascii="Times New Roman" w:hAnsi="Times New Roman"/>
                <w:bCs/>
                <w:sz w:val="18"/>
                <w:szCs w:val="18"/>
                <w:lang w:bidi="en-US"/>
              </w:rPr>
            </w:pPr>
            <w:r w:rsidRPr="00BD11D4">
              <w:rPr>
                <w:rFonts w:ascii="Times New Roman" w:hAnsi="Times New Roman"/>
                <w:sz w:val="18"/>
                <w:szCs w:val="18"/>
                <w:lang w:bidi="en-US"/>
              </w:rPr>
              <w:t>Compliance Officer</w:t>
            </w:r>
            <w:r w:rsidRPr="00BD11D4">
              <w:rPr>
                <w:rFonts w:ascii="Times New Roman" w:hAnsi="Times New Roman"/>
                <w:sz w:val="18"/>
                <w:szCs w:val="18"/>
                <w:vertAlign w:val="superscript"/>
                <w:lang w:bidi="en-US"/>
              </w:rPr>
              <w:footnoteReference w:id="7"/>
            </w:r>
          </w:p>
        </w:tc>
        <w:tc>
          <w:tcPr>
            <w:tcW w:w="2160" w:type="dxa"/>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$69.38</w:t>
            </w:r>
          </w:p>
        </w:tc>
        <w:tc>
          <w:tcPr>
            <w:tcW w:w="2070" w:type="dxa"/>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95%</w:t>
            </w:r>
          </w:p>
        </w:tc>
        <w:tc>
          <w:tcPr>
            <w:tcW w:w="2155" w:type="dxa"/>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$65.91</w:t>
            </w:r>
          </w:p>
        </w:tc>
      </w:tr>
      <w:tr w:rsidRPr="00BD11D4" w:rsidR="00BD11D4" w:rsidTr="00B30A47">
        <w:trPr>
          <w:trHeight w:val="350"/>
        </w:trPr>
        <w:tc>
          <w:tcPr>
            <w:tcW w:w="2965" w:type="dxa"/>
            <w:vAlign w:val="center"/>
          </w:tcPr>
          <w:p w:rsidRPr="00BD11D4" w:rsidR="00BD11D4" w:rsidP="00BD11D4" w:rsidRDefault="00BD11D4">
            <w:pPr>
              <w:widowControl/>
              <w:tabs>
                <w:tab w:val="left" w:pos="480"/>
                <w:tab w:val="left" w:pos="1080"/>
                <w:tab w:val="left" w:pos="1680"/>
              </w:tabs>
              <w:rPr>
                <w:rFonts w:ascii="Times New Roman" w:hAnsi="Times New Roman"/>
                <w:bCs/>
                <w:sz w:val="18"/>
                <w:szCs w:val="18"/>
                <w:lang w:bidi="en-US"/>
              </w:rPr>
            </w:pPr>
            <w:r w:rsidRPr="00BD11D4">
              <w:rPr>
                <w:rFonts w:ascii="Times New Roman" w:hAnsi="Times New Roman"/>
                <w:sz w:val="18"/>
                <w:szCs w:val="18"/>
                <w:lang w:bidi="en-US"/>
              </w:rPr>
              <w:t>Clerical</w:t>
            </w:r>
            <w:r w:rsidRPr="00BD11D4">
              <w:rPr>
                <w:rFonts w:ascii="Times New Roman" w:hAnsi="Times New Roman"/>
                <w:sz w:val="18"/>
                <w:szCs w:val="18"/>
                <w:vertAlign w:val="superscript"/>
                <w:lang w:bidi="en-US"/>
              </w:rPr>
              <w:footnoteReference w:id="8"/>
            </w:r>
          </w:p>
        </w:tc>
        <w:tc>
          <w:tcPr>
            <w:tcW w:w="2160" w:type="dxa"/>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$35.62</w:t>
            </w:r>
          </w:p>
        </w:tc>
        <w:tc>
          <w:tcPr>
            <w:tcW w:w="2070" w:type="dxa"/>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5%</w:t>
            </w:r>
          </w:p>
        </w:tc>
        <w:tc>
          <w:tcPr>
            <w:tcW w:w="2155" w:type="dxa"/>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$1.78</w:t>
            </w:r>
          </w:p>
        </w:tc>
      </w:tr>
      <w:tr w:rsidRPr="00BD11D4" w:rsidR="00BD11D4" w:rsidTr="00B30A47">
        <w:trPr>
          <w:trHeight w:val="350"/>
        </w:trPr>
        <w:tc>
          <w:tcPr>
            <w:tcW w:w="2965" w:type="dxa"/>
            <w:vAlign w:val="bottom"/>
          </w:tcPr>
          <w:p w:rsidRPr="00BD11D4" w:rsidR="00BD11D4" w:rsidP="00BD11D4" w:rsidRDefault="00BD11D4">
            <w:pPr>
              <w:widowControl/>
              <w:tabs>
                <w:tab w:val="left" w:pos="480"/>
                <w:tab w:val="left" w:pos="1080"/>
                <w:tab w:val="left" w:pos="1680"/>
              </w:tabs>
              <w:rPr>
                <w:rFonts w:ascii="Times New Roman" w:hAnsi="Times New Roman"/>
                <w:bCs/>
                <w:sz w:val="18"/>
                <w:szCs w:val="18"/>
                <w:lang w:bidi="en-US"/>
              </w:rPr>
            </w:pPr>
            <w:r w:rsidRPr="00BD11D4">
              <w:rPr>
                <w:rFonts w:ascii="Times New Roman" w:hAnsi="Times New Roman"/>
                <w:bCs/>
                <w:sz w:val="18"/>
                <w:szCs w:val="18"/>
                <w:lang w:bidi="en-US"/>
              </w:rPr>
              <w:t>Weighted Average</w:t>
            </w:r>
          </w:p>
        </w:tc>
        <w:tc>
          <w:tcPr>
            <w:tcW w:w="2160" w:type="dxa"/>
            <w:vAlign w:val="bottom"/>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p>
        </w:tc>
        <w:tc>
          <w:tcPr>
            <w:tcW w:w="2070" w:type="dxa"/>
            <w:vAlign w:val="bottom"/>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100%</w:t>
            </w:r>
          </w:p>
        </w:tc>
        <w:tc>
          <w:tcPr>
            <w:tcW w:w="2155" w:type="dxa"/>
            <w:vAlign w:val="center"/>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$67.69</w:t>
            </w:r>
            <w:r w:rsidRPr="00BD11D4">
              <w:rPr>
                <w:rFonts w:ascii="Times New Roman" w:hAnsi="Times New Roman"/>
                <w:sz w:val="18"/>
                <w:szCs w:val="18"/>
                <w:vertAlign w:val="superscript"/>
                <w:lang w:bidi="en-US"/>
              </w:rPr>
              <w:footnoteReference w:id="9"/>
            </w:r>
            <w:r w:rsidRPr="00BD11D4">
              <w:rPr>
                <w:rFonts w:ascii="Times New Roman" w:hAnsi="Times New Roman"/>
                <w:sz w:val="18"/>
                <w:szCs w:val="18"/>
                <w:lang w:bidi="en-US"/>
              </w:rPr>
              <w:t xml:space="preserve"> </w:t>
            </w:r>
          </w:p>
        </w:tc>
      </w:tr>
      <w:tr w:rsidRPr="00BD11D4" w:rsidR="00BD11D4" w:rsidTr="00B30A47">
        <w:trPr>
          <w:trHeight w:val="350"/>
        </w:trPr>
        <w:tc>
          <w:tcPr>
            <w:tcW w:w="9350" w:type="dxa"/>
            <w:gridSpan w:val="4"/>
            <w:vAlign w:val="center"/>
          </w:tcPr>
          <w:p w:rsidRPr="00BD11D4" w:rsidR="00BD11D4" w:rsidP="00BD11D4" w:rsidRDefault="00BD11D4">
            <w:pPr>
              <w:widowControl/>
              <w:tabs>
                <w:tab w:val="left" w:pos="480"/>
                <w:tab w:val="left" w:pos="1080"/>
                <w:tab w:val="left" w:pos="1680"/>
              </w:tabs>
              <w:rPr>
                <w:rFonts w:ascii="Times New Roman" w:hAnsi="Times New Roman"/>
                <w:sz w:val="18"/>
                <w:szCs w:val="18"/>
                <w:lang w:bidi="en-US"/>
              </w:rPr>
            </w:pPr>
            <w:r w:rsidRPr="00BD11D4">
              <w:rPr>
                <w:rFonts w:ascii="Times New Roman" w:hAnsi="Times New Roman"/>
                <w:sz w:val="18"/>
                <w:szCs w:val="18"/>
                <w:lang w:bidi="en-US"/>
              </w:rPr>
              <w:t>Source: BLS: "National Industry-Specific Occupational Employment and Wage Estimates: Credit Intermediation and Related Activities (5221 And 5223 only)" (May 2020), Employer Cost of Employee Compensation (June 2021), Consumer Price Index (June 2021).</w:t>
            </w:r>
          </w:p>
        </w:tc>
      </w:tr>
    </w:tbl>
    <w:p w:rsidRPr="00BD11D4" w:rsidR="00BD11D4" w:rsidP="00BD11D4" w:rsidRDefault="00BD11D4">
      <w:pPr>
        <w:widowControl/>
        <w:tabs>
          <w:tab w:val="left" w:pos="480"/>
          <w:tab w:val="left" w:pos="1080"/>
          <w:tab w:val="left" w:pos="1680"/>
        </w:tabs>
        <w:rPr>
          <w:rFonts w:ascii="Times New Roman" w:hAnsi="Times New Roman"/>
          <w:b/>
          <w:lang w:bidi="en-US"/>
        </w:rPr>
      </w:pPr>
    </w:p>
    <w:p w:rsidRPr="00BD11D4" w:rsidR="00BD11D4" w:rsidP="00BD11D4" w:rsidRDefault="002A2C41">
      <w:pPr>
        <w:widowControl/>
        <w:tabs>
          <w:tab w:val="left" w:pos="480"/>
          <w:tab w:val="left" w:pos="1080"/>
          <w:tab w:val="left" w:pos="1680"/>
        </w:tabs>
        <w:rPr>
          <w:rFonts w:ascii="Times New Roman" w:hAnsi="Times New Roman"/>
          <w:b/>
          <w:lang w:bidi="en-US"/>
        </w:rPr>
      </w:pPr>
      <w:r>
        <w:rPr>
          <w:rFonts w:ascii="Times New Roman" w:hAnsi="Times New Roman"/>
          <w:b/>
          <w:lang w:bidi="en-US"/>
        </w:rPr>
        <w:tab/>
      </w:r>
      <w:bookmarkStart w:name="_GoBack" w:id="3"/>
      <w:bookmarkEnd w:id="3"/>
      <w:r w:rsidRPr="00BD11D4" w:rsidR="00BD11D4">
        <w:rPr>
          <w:rFonts w:ascii="Times New Roman" w:hAnsi="Times New Roman"/>
          <w:b/>
          <w:lang w:bidi="en-US"/>
        </w:rPr>
        <w:t>Total Estimated Compliance Cost</w:t>
      </w:r>
    </w:p>
    <w:p w:rsidRPr="00BD11D4" w:rsidR="00BD11D4" w:rsidP="00BD11D4" w:rsidRDefault="00BD11D4">
      <w:pPr>
        <w:widowControl/>
        <w:tabs>
          <w:tab w:val="left" w:pos="480"/>
          <w:tab w:val="left" w:pos="1080"/>
          <w:tab w:val="left" w:pos="1680"/>
        </w:tabs>
        <w:rPr>
          <w:rFonts w:ascii="Times New Roman" w:hAnsi="Times New Roman"/>
          <w:b/>
          <w:lang w:bidi="en-US"/>
        </w:rPr>
      </w:pPr>
    </w:p>
    <w:p w:rsidRPr="00BD11D4" w:rsidR="00BD11D4" w:rsidP="002A2C41" w:rsidRDefault="00BD11D4">
      <w:pPr>
        <w:widowControl/>
        <w:tabs>
          <w:tab w:val="left" w:pos="480"/>
          <w:tab w:val="left" w:pos="1080"/>
          <w:tab w:val="left" w:pos="1680"/>
        </w:tabs>
        <w:ind w:left="480"/>
        <w:rPr>
          <w:rFonts w:ascii="Times New Roman" w:hAnsi="Times New Roman"/>
          <w:lang w:bidi="en-US"/>
        </w:rPr>
      </w:pPr>
      <w:r w:rsidRPr="00BD11D4">
        <w:rPr>
          <w:rFonts w:ascii="Times New Roman" w:hAnsi="Times New Roman"/>
          <w:lang w:bidi="en-US"/>
        </w:rPr>
        <w:t xml:space="preserve">Using the estimated hour burden, and the wage estimates, the total cost burden for the ICR (OMB No. 3064-0095) is 50,450 hours / year X $67.69 / hours = </w:t>
      </w:r>
      <w:r w:rsidRPr="00BD11D4">
        <w:rPr>
          <w:rFonts w:ascii="Times New Roman" w:hAnsi="Times New Roman"/>
          <w:b/>
          <w:lang w:bidi="en-US"/>
        </w:rPr>
        <w:t>$3,414,960.50 per year</w:t>
      </w:r>
      <w:r w:rsidRPr="00BD11D4">
        <w:rPr>
          <w:rFonts w:ascii="Times New Roman" w:hAnsi="Times New Roman"/>
          <w:lang w:bidi="en-US"/>
        </w:rPr>
        <w:t>. The estimated cost burden is higher than the 2019 ICR by $3,297,260.50. As discussed previously, the increase is driven mainly by the increase in the revision of the estimated time per response for this IC.</w:t>
      </w:r>
    </w:p>
    <w:p w:rsidR="00455BF0" w:rsidRDefault="00455BF0">
      <w:pPr>
        <w:widowControl/>
        <w:tabs>
          <w:tab w:val="left" w:pos="480"/>
          <w:tab w:val="left" w:pos="1080"/>
          <w:tab w:val="left" w:pos="1680"/>
        </w:tabs>
        <w:rPr>
          <w:rFonts w:ascii="Times New Roman" w:hAnsi="Times New Roman"/>
        </w:rPr>
      </w:pPr>
    </w:p>
    <w:p w:rsidR="007B6861" w:rsidRDefault="007B6861">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Capital, Start-up, Operating, and Maintenance Cost Burden</w:t>
      </w:r>
    </w:p>
    <w:p w:rsidR="00455BF0" w:rsidRDefault="00455BF0">
      <w:pPr>
        <w:widowControl/>
        <w:tabs>
          <w:tab w:val="left" w:pos="480"/>
          <w:tab w:val="left" w:pos="1080"/>
          <w:tab w:val="left" w:pos="1680"/>
        </w:tabs>
        <w:rPr>
          <w:rFonts w:ascii="Times New Roman" w:hAnsi="Times New Roman"/>
        </w:rPr>
      </w:pPr>
      <w:r>
        <w:rPr>
          <w:rFonts w:ascii="Times New Roman" w:hAnsi="Times New Roman"/>
        </w:rPr>
        <w:t xml:space="preserve"> </w:t>
      </w:r>
    </w:p>
    <w:p w:rsidR="00455BF0" w:rsidRDefault="00455BF0">
      <w:pPr>
        <w:widowControl/>
        <w:tabs>
          <w:tab w:val="left" w:pos="480"/>
          <w:tab w:val="left" w:pos="1080"/>
          <w:tab w:val="left" w:pos="1680"/>
        </w:tabs>
        <w:ind w:left="1080"/>
        <w:rPr>
          <w:rFonts w:ascii="Times New Roman" w:hAnsi="Times New Roman"/>
        </w:rPr>
      </w:pPr>
      <w:r>
        <w:rPr>
          <w:rFonts w:ascii="Times New Roman" w:hAnsi="Times New Roman"/>
        </w:rPr>
        <w:t>None.</w:t>
      </w:r>
    </w:p>
    <w:p w:rsidR="00455BF0" w:rsidRDefault="00455BF0">
      <w:pPr>
        <w:widowControl/>
        <w:tabs>
          <w:tab w:val="left" w:pos="480"/>
          <w:tab w:val="left" w:pos="1080"/>
          <w:tab w:val="left" w:pos="1680"/>
        </w:tabs>
        <w:ind w:left="480"/>
        <w:rPr>
          <w:rFonts w:ascii="Times New Roman" w:hAnsi="Times New Roman"/>
        </w:rPr>
      </w:pP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Estimated Annual Cost to Federal Government</w:t>
      </w:r>
      <w:r>
        <w:rPr>
          <w:rFonts w:ascii="Times New Roman" w:hAnsi="Times New Roman"/>
        </w:rPr>
        <w:t xml:space="preserve"> </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rPr>
          <w:rFonts w:ascii="Times New Roman" w:hAnsi="Times New Roman"/>
        </w:rPr>
      </w:pPr>
      <w:r>
        <w:rPr>
          <w:rFonts w:ascii="Times New Roman" w:hAnsi="Times New Roman"/>
        </w:rPr>
        <w:tab/>
      </w:r>
      <w:r>
        <w:rPr>
          <w:rFonts w:ascii="Times New Roman" w:hAnsi="Times New Roman"/>
        </w:rPr>
        <w:tab/>
        <w:t>None.</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 xml:space="preserve">Reason for Change in Burden </w:t>
      </w:r>
    </w:p>
    <w:p w:rsidR="00455BF0" w:rsidRDefault="00455BF0">
      <w:pPr>
        <w:widowControl/>
        <w:tabs>
          <w:tab w:val="left" w:pos="480"/>
          <w:tab w:val="left" w:pos="1080"/>
          <w:tab w:val="left" w:pos="1680"/>
        </w:tabs>
        <w:rPr>
          <w:rFonts w:ascii="Times New Roman" w:hAnsi="Times New Roman"/>
        </w:rPr>
      </w:pPr>
    </w:p>
    <w:p w:rsidRPr="007B6861" w:rsidR="007B6861" w:rsidP="007B6861" w:rsidRDefault="007B6861">
      <w:pPr>
        <w:widowControl/>
        <w:tabs>
          <w:tab w:val="left" w:pos="480"/>
          <w:tab w:val="left" w:pos="1080"/>
          <w:tab w:val="left" w:pos="1680"/>
        </w:tabs>
        <w:rPr>
          <w:rFonts w:ascii="Times New Roman" w:hAnsi="Times New Roman"/>
        </w:rPr>
      </w:pPr>
      <w:r w:rsidRPr="007B6861">
        <w:rPr>
          <w:rFonts w:ascii="Times New Roman" w:hAnsi="Times New Roman"/>
        </w:rPr>
        <w:t xml:space="preserve">There is no change in the method or substance of the collection. The 48,683 increase in burden hours is the result of the agency re-evaluating the time it takes for recordkeeping and reporting associated with the rule, and including new implementation burdens for new entities and entities reviewing their policies in light of mergers and other organizational changes. </w:t>
      </w:r>
      <w:r w:rsidR="00C0603C">
        <w:rPr>
          <w:rFonts w:ascii="Times New Roman" w:hAnsi="Times New Roman"/>
        </w:rPr>
        <w:t xml:space="preserve"> See discussion in Section 12 above.</w:t>
      </w:r>
    </w:p>
    <w:p w:rsidR="007B6861" w:rsidRDefault="007B6861">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Publication</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left="1080"/>
        <w:rPr>
          <w:rFonts w:ascii="Times New Roman" w:hAnsi="Times New Roman"/>
        </w:rPr>
      </w:pPr>
      <w:r>
        <w:rPr>
          <w:rFonts w:ascii="Times New Roman" w:hAnsi="Times New Roman"/>
        </w:rPr>
        <w:t>The information is retained at the bank for review by FDIC examiners to verify compliance with regulatory requirements.  No publication is made of the records.</w:t>
      </w:r>
    </w:p>
    <w:p w:rsidR="00455BF0" w:rsidRDefault="00455BF0">
      <w:pPr>
        <w:widowControl/>
        <w:tabs>
          <w:tab w:val="left" w:pos="480"/>
          <w:tab w:val="left" w:pos="1080"/>
          <w:tab w:val="left" w:pos="1680"/>
        </w:tabs>
        <w:ind w:left="480"/>
        <w:rPr>
          <w:rFonts w:ascii="Times New Roman" w:hAnsi="Times New Roman"/>
        </w:rPr>
      </w:pP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Display of Expiration Date</w:t>
      </w:r>
      <w:r>
        <w:rPr>
          <w:rFonts w:ascii="Times New Roman" w:hAnsi="Times New Roman"/>
        </w:rPr>
        <w:t xml:space="preserve"> </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left="1080"/>
        <w:rPr>
          <w:rFonts w:ascii="Times New Roman" w:hAnsi="Times New Roman"/>
        </w:rPr>
      </w:pPr>
      <w:r>
        <w:rPr>
          <w:rFonts w:ascii="Times New Roman" w:hAnsi="Times New Roman"/>
        </w:rPr>
        <w:t>Not applicable.</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left="48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Pr>
          <w:rFonts w:ascii="Times New Roman" w:hAnsi="Times New Roman"/>
        </w:rPr>
        <w:t xml:space="preserve">  </w:t>
      </w:r>
    </w:p>
    <w:p w:rsidR="00455BF0" w:rsidRDefault="00455BF0">
      <w:pPr>
        <w:widowControl/>
        <w:tabs>
          <w:tab w:val="left" w:pos="480"/>
          <w:tab w:val="left" w:pos="1080"/>
          <w:tab w:val="left" w:pos="1680"/>
        </w:tabs>
        <w:rPr>
          <w:rFonts w:ascii="Times New Roman" w:hAnsi="Times New Roman"/>
        </w:rPr>
      </w:pPr>
    </w:p>
    <w:p w:rsidR="00455BF0" w:rsidP="002A2C41" w:rsidRDefault="00455BF0">
      <w:pPr>
        <w:widowControl/>
        <w:tabs>
          <w:tab w:val="left" w:pos="480"/>
          <w:tab w:val="left" w:pos="1080"/>
          <w:tab w:val="left" w:pos="1680"/>
        </w:tabs>
        <w:ind w:left="1080"/>
        <w:rPr>
          <w:rFonts w:ascii="Times New Roman" w:hAnsi="Times New Roman"/>
        </w:rPr>
      </w:pPr>
      <w:r>
        <w:rPr>
          <w:rFonts w:ascii="Times New Roman" w:hAnsi="Times New Roman"/>
        </w:rPr>
        <w:t>None.</w:t>
      </w:r>
    </w:p>
    <w:p w:rsidR="00455BF0" w:rsidRDefault="00455BF0">
      <w:pPr>
        <w:widowControl/>
        <w:tabs>
          <w:tab w:val="left" w:pos="480"/>
          <w:tab w:val="left" w:pos="1080"/>
          <w:tab w:val="left" w:pos="1680"/>
        </w:tabs>
        <w:ind w:left="1080"/>
        <w:rPr>
          <w:rFonts w:ascii="Times New Roman" w:hAnsi="Times New Roman"/>
        </w:rPr>
      </w:pPr>
    </w:p>
    <w:p w:rsidR="00455BF0" w:rsidRDefault="00455BF0">
      <w:pPr>
        <w:widowControl/>
        <w:tabs>
          <w:tab w:val="left" w:pos="480"/>
          <w:tab w:val="left" w:pos="1080"/>
          <w:tab w:val="left" w:pos="1680"/>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ind w:firstLine="480"/>
        <w:rPr>
          <w:rFonts w:ascii="Times New Roman" w:hAnsi="Times New Roman"/>
        </w:rPr>
      </w:pPr>
      <w:r>
        <w:rPr>
          <w:rFonts w:ascii="Times New Roman" w:hAnsi="Times New Roman"/>
        </w:rPr>
        <w:t>Not applicable.</w:t>
      </w: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rPr>
          <w:rFonts w:ascii="Times New Roman" w:hAnsi="Times New Roman"/>
        </w:rPr>
      </w:pPr>
    </w:p>
    <w:p w:rsidR="00455BF0" w:rsidRDefault="00455BF0">
      <w:pPr>
        <w:widowControl/>
        <w:tabs>
          <w:tab w:val="left" w:pos="480"/>
          <w:tab w:val="left" w:pos="1080"/>
          <w:tab w:val="left" w:pos="1680"/>
        </w:tabs>
        <w:rPr>
          <w:rFonts w:ascii="Times New Roman" w:hAnsi="Times New Roman"/>
          <w:u w:val="single"/>
        </w:rPr>
      </w:pPr>
    </w:p>
    <w:p w:rsidR="00455BF0" w:rsidRDefault="00455BF0">
      <w:pPr>
        <w:widowControl/>
        <w:tabs>
          <w:tab w:val="left" w:pos="480"/>
          <w:tab w:val="left" w:pos="1080"/>
          <w:tab w:val="left" w:pos="1680"/>
        </w:tabs>
      </w:pPr>
    </w:p>
    <w:sectPr w:rsidR="00455BF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A28" w:rsidRDefault="00A10A28">
      <w:r>
        <w:separator/>
      </w:r>
    </w:p>
  </w:endnote>
  <w:endnote w:type="continuationSeparator" w:id="0">
    <w:p w:rsidR="00A10A28" w:rsidRDefault="00A1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74" w:rsidRDefault="000F0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FD" w:rsidRDefault="00EE6AFD">
    <w:pPr>
      <w:tabs>
        <w:tab w:val="center" w:pos="4200"/>
      </w:tabs>
      <w:rPr>
        <w:sz w:val="20"/>
      </w:rPr>
    </w:pPr>
  </w:p>
  <w:p w:rsidR="00EE6AFD" w:rsidRDefault="00EE6AFD">
    <w:pPr>
      <w:framePr w:w="840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03485">
      <w:rPr>
        <w:rFonts w:ascii="Times New Roman" w:hAnsi="Times New Roman"/>
        <w:noProof/>
      </w:rPr>
      <w:t>3</w:t>
    </w:r>
    <w:r>
      <w:rPr>
        <w:rFonts w:ascii="Times New Roman" w:hAnsi="Times New Roman"/>
      </w:rPr>
      <w:fldChar w:fldCharType="end"/>
    </w:r>
  </w:p>
  <w:p w:rsidR="00EE6AFD" w:rsidRDefault="00EE6AFD">
    <w:pPr>
      <w:tabs>
        <w:tab w:val="left" w:pos="480"/>
        <w:tab w:val="left" w:pos="1080"/>
        <w:tab w:val="left" w:pos="16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74" w:rsidRDefault="000F0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A28" w:rsidRDefault="00A10A28">
      <w:r>
        <w:separator/>
      </w:r>
    </w:p>
  </w:footnote>
  <w:footnote w:type="continuationSeparator" w:id="0">
    <w:p w:rsidR="00A10A28" w:rsidRDefault="00A10A28">
      <w:r>
        <w:continuationSeparator/>
      </w:r>
    </w:p>
  </w:footnote>
  <w:footnote w:id="1">
    <w:p w:rsidR="002035C8" w:rsidRPr="00F047F8" w:rsidRDefault="002035C8" w:rsidP="002035C8">
      <w:pPr>
        <w:pStyle w:val="FootnoteText"/>
        <w:rPr>
          <w:rFonts w:ascii="Times New Roman" w:hAnsi="Times New Roman"/>
        </w:rPr>
      </w:pPr>
      <w:r w:rsidRPr="00F047F8">
        <w:rPr>
          <w:rStyle w:val="FootnoteReference"/>
          <w:rFonts w:ascii="Times New Roman" w:hAnsi="Times New Roman"/>
          <w:vertAlign w:val="superscript"/>
        </w:rPr>
        <w:footnoteRef/>
      </w:r>
      <w:r w:rsidRPr="00F047F8">
        <w:rPr>
          <w:rFonts w:ascii="Times New Roman" w:hAnsi="Times New Roman"/>
          <w:vertAlign w:val="superscript"/>
        </w:rPr>
        <w:t xml:space="preserve"> </w:t>
      </w:r>
      <w:r w:rsidR="00F047F8">
        <w:rPr>
          <w:rFonts w:ascii="Times New Roman" w:hAnsi="Times New Roman"/>
        </w:rPr>
        <w:t xml:space="preserve">FDIC </w:t>
      </w:r>
      <w:r w:rsidRPr="00F047F8">
        <w:rPr>
          <w:rFonts w:ascii="Times New Roman" w:hAnsi="Times New Roman"/>
        </w:rPr>
        <w:t>exclude</w:t>
      </w:r>
      <w:r w:rsidR="00F047F8">
        <w:rPr>
          <w:rFonts w:ascii="Times New Roman" w:hAnsi="Times New Roman"/>
        </w:rPr>
        <w:t>s</w:t>
      </w:r>
      <w:r w:rsidRPr="00F047F8">
        <w:rPr>
          <w:rFonts w:ascii="Times New Roman" w:hAnsi="Times New Roman"/>
        </w:rPr>
        <w:t xml:space="preserve"> cases of voluntary liquidation, credit union acquisition, or other voluntary closures that do not involve an acquiring FDIC-insured institution.</w:t>
      </w:r>
    </w:p>
  </w:footnote>
  <w:footnote w:id="2">
    <w:p w:rsidR="002035C8" w:rsidRPr="00F047F8" w:rsidRDefault="002035C8" w:rsidP="002035C8">
      <w:pPr>
        <w:pStyle w:val="FootnoteText"/>
        <w:rPr>
          <w:rFonts w:ascii="Times New Roman" w:hAnsi="Times New Roman"/>
        </w:rPr>
      </w:pPr>
      <w:r w:rsidRPr="00F047F8">
        <w:rPr>
          <w:rStyle w:val="FootnoteReference"/>
          <w:rFonts w:ascii="Times New Roman" w:hAnsi="Times New Roman"/>
          <w:vertAlign w:val="superscript"/>
        </w:rPr>
        <w:footnoteRef/>
      </w:r>
      <w:r w:rsidRPr="00F047F8">
        <w:rPr>
          <w:rFonts w:ascii="Times New Roman" w:hAnsi="Times New Roman"/>
          <w:vertAlign w:val="superscript"/>
        </w:rPr>
        <w:t xml:space="preserve"> </w:t>
      </w:r>
      <w:r w:rsidRPr="00F047F8">
        <w:rPr>
          <w:rFonts w:ascii="Times New Roman" w:hAnsi="Times New Roman"/>
        </w:rPr>
        <w:t>Call Report data, June 30, 2021.</w:t>
      </w:r>
    </w:p>
  </w:footnote>
  <w:footnote w:id="3">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rPr>
        <w:t xml:space="preserve"> </w:t>
      </w:r>
      <w:r w:rsidRPr="00BD11D4">
        <w:rPr>
          <w:rFonts w:ascii="Times New Roman" w:hAnsi="Times New Roman"/>
          <w:color w:val="000000"/>
          <w:szCs w:val="22"/>
        </w:rPr>
        <w:t>BLS: "National Industry-Specific Occupational Employment and Wage Estimates: Industry: Credit Intermediation and Related Activities (5221 And 5223 only)" (May 2020).</w:t>
      </w:r>
    </w:p>
  </w:footnote>
  <w:footnote w:id="4">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vertAlign w:val="superscript"/>
        </w:rPr>
        <w:t xml:space="preserve"> </w:t>
      </w:r>
      <w:r w:rsidRPr="00BD11D4">
        <w:rPr>
          <w:rFonts w:ascii="Times New Roman" w:hAnsi="Times New Roman"/>
          <w:color w:val="000000"/>
          <w:szCs w:val="22"/>
        </w:rPr>
        <w:t>BLS: Employer Cost of Employee Compensation (June 2021).</w:t>
      </w:r>
    </w:p>
  </w:footnote>
  <w:footnote w:id="5">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rPr>
        <w:t xml:space="preserve"> </w:t>
      </w:r>
      <w:r w:rsidRPr="00BD11D4">
        <w:rPr>
          <w:rFonts w:ascii="Times New Roman" w:hAnsi="Times New Roman"/>
          <w:color w:val="000000"/>
          <w:szCs w:val="22"/>
        </w:rPr>
        <w:t>BLS: Consumer Price Index (June 2021).</w:t>
      </w:r>
    </w:p>
  </w:footnote>
  <w:footnote w:id="6">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rPr>
        <w:t xml:space="preserve"> The occupational categories and allocations of labor represent a change from the 2019 ICR. The 2019 ICR used a weighted average of three occupations: Top Executives, Compliance Officers, and Office and Administrative Support. However, the weighted average wage calculated in the 2019 ICR ($66.61 per hour) is similar to the wage rate calculated in the current ICR.</w:t>
      </w:r>
    </w:p>
  </w:footnote>
  <w:footnote w:id="7">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rPr>
        <w:t xml:space="preserve"> Occupation (SOC Code): Compliance Officers (131040).</w:t>
      </w:r>
    </w:p>
  </w:footnote>
  <w:footnote w:id="8">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vertAlign w:val="superscript"/>
        </w:rPr>
        <w:t xml:space="preserve"> </w:t>
      </w:r>
      <w:r w:rsidRPr="00BD11D4">
        <w:rPr>
          <w:rFonts w:ascii="Times New Roman" w:hAnsi="Times New Roman"/>
        </w:rPr>
        <w:t>Occupation (SOC Code): Office and Administrative Support Occupations (430000).</w:t>
      </w:r>
    </w:p>
  </w:footnote>
  <w:footnote w:id="9">
    <w:p w:rsidR="00BD11D4" w:rsidRPr="00BD11D4" w:rsidRDefault="00BD11D4" w:rsidP="00BD11D4">
      <w:pPr>
        <w:pStyle w:val="FootnoteText"/>
        <w:rPr>
          <w:rFonts w:ascii="Times New Roman" w:hAnsi="Times New Roman"/>
        </w:rPr>
      </w:pPr>
      <w:r w:rsidRPr="00BD11D4">
        <w:rPr>
          <w:rStyle w:val="FootnoteReference"/>
          <w:rFonts w:ascii="Times New Roman" w:hAnsi="Times New Roman"/>
          <w:vertAlign w:val="superscript"/>
        </w:rPr>
        <w:footnoteRef/>
      </w:r>
      <w:r w:rsidRPr="00BD11D4">
        <w:rPr>
          <w:rFonts w:ascii="Times New Roman" w:hAnsi="Times New Roman"/>
        </w:rPr>
        <w:t xml:space="preserve"> Total may not appear to sum precisely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74" w:rsidRDefault="000F0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74" w:rsidRDefault="000F0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74" w:rsidRDefault="000F0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857"/>
    <w:multiLevelType w:val="singleLevel"/>
    <w:tmpl w:val="478C4260"/>
    <w:lvl w:ilvl="0">
      <w:start w:val="10"/>
      <w:numFmt w:val="decimal"/>
      <w:lvlText w:val="%1."/>
      <w:lvlJc w:val="left"/>
      <w:pPr>
        <w:tabs>
          <w:tab w:val="num" w:pos="1080"/>
        </w:tabs>
        <w:ind w:left="1080" w:hanging="6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3C"/>
    <w:rsid w:val="0001177E"/>
    <w:rsid w:val="00086578"/>
    <w:rsid w:val="000F0A74"/>
    <w:rsid w:val="001B01A7"/>
    <w:rsid w:val="001E0525"/>
    <w:rsid w:val="002035C8"/>
    <w:rsid w:val="002429D9"/>
    <w:rsid w:val="002A2C41"/>
    <w:rsid w:val="002F2CB4"/>
    <w:rsid w:val="00303485"/>
    <w:rsid w:val="003059F4"/>
    <w:rsid w:val="003922F6"/>
    <w:rsid w:val="003B2523"/>
    <w:rsid w:val="003E201A"/>
    <w:rsid w:val="00403F3C"/>
    <w:rsid w:val="0041516F"/>
    <w:rsid w:val="00455BF0"/>
    <w:rsid w:val="00490708"/>
    <w:rsid w:val="004D6FDC"/>
    <w:rsid w:val="00577C46"/>
    <w:rsid w:val="00683E37"/>
    <w:rsid w:val="00757312"/>
    <w:rsid w:val="007B6861"/>
    <w:rsid w:val="00840CEF"/>
    <w:rsid w:val="008C677F"/>
    <w:rsid w:val="008C7C75"/>
    <w:rsid w:val="00A10A28"/>
    <w:rsid w:val="00BC30B9"/>
    <w:rsid w:val="00BD11D4"/>
    <w:rsid w:val="00C0603C"/>
    <w:rsid w:val="00CC0B80"/>
    <w:rsid w:val="00CD4046"/>
    <w:rsid w:val="00CF1DE0"/>
    <w:rsid w:val="00E4399C"/>
    <w:rsid w:val="00E63DB1"/>
    <w:rsid w:val="00E97343"/>
    <w:rsid w:val="00EE6AFD"/>
    <w:rsid w:val="00F047F8"/>
    <w:rsid w:val="00F875E7"/>
    <w:rsid w:val="00F9447B"/>
    <w:rsid w:val="00FB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5B8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12,Style 19,Style 16,Style 35,Style 39,Style 14,Style 6,Footnote Reference Superscript,SUPERS,BVI fnr,Footnote symbol,Footnote,(Footnote Reference),Footnote reference number,note TESI,EN Footnote Reference,Voetnootverwijzing"/>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B6861"/>
    <w:rPr>
      <w:sz w:val="20"/>
    </w:rPr>
  </w:style>
  <w:style w:type="character" w:customStyle="1" w:styleId="FootnoteTextChar">
    <w:name w:val="Footnote Text Char"/>
    <w:basedOn w:val="DefaultParagraphFont"/>
    <w:link w:val="FootnoteText"/>
    <w:rsid w:val="007B6861"/>
    <w:rPr>
      <w:rFonts w:ascii="Courier" w:hAnsi="Courier"/>
      <w:snapToGrid w:val="0"/>
    </w:rPr>
  </w:style>
  <w:style w:type="table" w:styleId="TableGrid">
    <w:name w:val="Table Grid"/>
    <w:basedOn w:val="TableNormal"/>
    <w:rsid w:val="00BD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12213</Characters>
  <Application>Microsoft Office Word</Application>
  <DocSecurity>0</DocSecurity>
  <Lines>101</Lines>
  <Paragraphs>28</Paragraphs>
  <ScaleCrop>false</ScaleCrop>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2022-03-16T14:41:00Z</dcterms:created>
  <dcterms:modified xsi:type="dcterms:W3CDTF">2022-03-16T14:41:00Z</dcterms:modified>
</cp:coreProperties>
</file>