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72AE" w:rsidR="00731A90" w:rsidRDefault="00731A90">
      <w:pPr>
        <w:pStyle w:val="Footer"/>
        <w:tabs>
          <w:tab w:val="clear" w:pos="4320"/>
          <w:tab w:val="clear" w:pos="8640"/>
          <w:tab w:val="center" w:pos="4680"/>
        </w:tabs>
        <w:jc w:val="center"/>
        <w:rPr>
          <w:rFonts w:ascii="Times New Roman" w:hAnsi="Times New Roman"/>
          <w:b/>
          <w:sz w:val="28"/>
          <w:szCs w:val="28"/>
        </w:rPr>
      </w:pPr>
      <w:r w:rsidRPr="004472AE">
        <w:rPr>
          <w:rFonts w:ascii="Times New Roman" w:hAnsi="Times New Roman"/>
          <w:b/>
          <w:sz w:val="28"/>
          <w:szCs w:val="28"/>
        </w:rPr>
        <w:t>SUPPORTING STATEMENT</w:t>
      </w:r>
    </w:p>
    <w:p w:rsidRPr="004472AE" w:rsidR="00731A90" w:rsidRDefault="00731A90">
      <w:pPr>
        <w:tabs>
          <w:tab w:val="center" w:pos="4680"/>
        </w:tabs>
        <w:jc w:val="center"/>
        <w:rPr>
          <w:rFonts w:ascii="Times New Roman" w:hAnsi="Times New Roman"/>
          <w:b/>
          <w:sz w:val="28"/>
          <w:szCs w:val="28"/>
        </w:rPr>
      </w:pPr>
      <w:r w:rsidRPr="004472AE">
        <w:rPr>
          <w:rFonts w:ascii="Times New Roman" w:hAnsi="Times New Roman"/>
          <w:b/>
          <w:sz w:val="28"/>
          <w:szCs w:val="28"/>
        </w:rPr>
        <w:t>MUTUAL-TO-STOCK CONVERSIONS OF STATE SAVINGS BANKS</w:t>
      </w:r>
    </w:p>
    <w:p w:rsidRPr="004472AE" w:rsidR="00731A90" w:rsidRDefault="00731A90">
      <w:pPr>
        <w:tabs>
          <w:tab w:val="center" w:pos="4680"/>
        </w:tabs>
        <w:jc w:val="center"/>
        <w:rPr>
          <w:rFonts w:ascii="Times New Roman" w:hAnsi="Times New Roman"/>
          <w:b/>
          <w:sz w:val="28"/>
          <w:szCs w:val="28"/>
        </w:rPr>
      </w:pPr>
      <w:r w:rsidRPr="004472AE">
        <w:rPr>
          <w:rFonts w:ascii="Times New Roman" w:hAnsi="Times New Roman"/>
          <w:b/>
          <w:sz w:val="28"/>
          <w:szCs w:val="28"/>
        </w:rPr>
        <w:t>(3064-0117)</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u w:val="single"/>
        </w:rPr>
        <w:t>INTRODUCTION</w:t>
      </w:r>
    </w:p>
    <w:p w:rsidR="00731A90" w:rsidRDefault="00731A90">
      <w:pPr>
        <w:rPr>
          <w:rFonts w:ascii="Times New Roman" w:hAnsi="Times New Roman"/>
          <w:u w:val="single"/>
        </w:rPr>
      </w:pPr>
    </w:p>
    <w:p w:rsidR="001B4291" w:rsidRDefault="001B4291">
      <w:pPr>
        <w:rPr>
          <w:rFonts w:ascii="Times New Roman" w:hAnsi="Times New Roman"/>
        </w:rPr>
      </w:pPr>
      <w:r w:rsidRPr="001B4291">
        <w:rPr>
          <w:rFonts w:ascii="Times New Roman" w:hAnsi="Times New Roman"/>
          <w:bCs/>
        </w:rPr>
        <w:t xml:space="preserve">The FDIC is requesting </w:t>
      </w:r>
      <w:r>
        <w:rPr>
          <w:rFonts w:ascii="Times New Roman" w:hAnsi="Times New Roman"/>
          <w:bCs/>
        </w:rPr>
        <w:t xml:space="preserve">OMB </w:t>
      </w:r>
      <w:r w:rsidRPr="001B4291">
        <w:rPr>
          <w:rFonts w:ascii="Times New Roman" w:hAnsi="Times New Roman"/>
          <w:bCs/>
        </w:rPr>
        <w:t>approval to extend, without change, a currently approved information collection (OMB Control No. 3064-01</w:t>
      </w:r>
      <w:r>
        <w:rPr>
          <w:rFonts w:ascii="Times New Roman" w:hAnsi="Times New Roman"/>
          <w:bCs/>
        </w:rPr>
        <w:t>17</w:t>
      </w:r>
      <w:r w:rsidRPr="001B4291">
        <w:rPr>
          <w:rFonts w:ascii="Times New Roman" w:hAnsi="Times New Roman"/>
          <w:bCs/>
        </w:rPr>
        <w:t>)</w:t>
      </w:r>
      <w:r w:rsidRPr="001B4291">
        <w:rPr>
          <w:rFonts w:ascii="Times New Roman" w:hAnsi="Times New Roman"/>
        </w:rPr>
        <w:t xml:space="preserve">.  </w:t>
      </w:r>
      <w:r w:rsidR="007C1599">
        <w:rPr>
          <w:rFonts w:ascii="Times New Roman" w:hAnsi="Times New Roman"/>
        </w:rPr>
        <w:t xml:space="preserve">The FDIC is the primary federal regulator of insured state chartered savings banks that are not members of the Federal Reserve System (“State Savings Banks”).  In cases where a state savings bank proposes to convert from mutual to stock form of ownership, the FDIC’s regulations at 12 CFR §303.161 and §333.4 require the state savings bank to file with the FDIC a notice of intent to convert to stock form and provide copies of documents filed with state and federal banking and/ or securities regulators in connection with the proposed conversion.  </w:t>
      </w:r>
      <w:r w:rsidRPr="001B4291">
        <w:rPr>
          <w:rFonts w:ascii="Times New Roman" w:hAnsi="Times New Roman"/>
        </w:rPr>
        <w:t xml:space="preserve">The information collection expires on </w:t>
      </w:r>
      <w:r w:rsidR="004472AE">
        <w:rPr>
          <w:rFonts w:ascii="Times New Roman" w:hAnsi="Times New Roman"/>
        </w:rPr>
        <w:t>March</w:t>
      </w:r>
      <w:r w:rsidR="007C1599">
        <w:rPr>
          <w:rFonts w:ascii="Times New Roman" w:hAnsi="Times New Roman"/>
        </w:rPr>
        <w:t xml:space="preserve"> 31</w:t>
      </w:r>
      <w:r w:rsidRPr="001B4291">
        <w:rPr>
          <w:rFonts w:ascii="Times New Roman" w:hAnsi="Times New Roman"/>
        </w:rPr>
        <w:t>, 20</w:t>
      </w:r>
      <w:r w:rsidR="004472AE">
        <w:rPr>
          <w:rFonts w:ascii="Times New Roman" w:hAnsi="Times New Roman"/>
        </w:rPr>
        <w:t>22</w:t>
      </w:r>
      <w:r w:rsidRPr="001B4291">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u w:val="single"/>
        </w:rPr>
      </w:pPr>
      <w:r>
        <w:rPr>
          <w:rFonts w:ascii="Times New Roman" w:hAnsi="Times New Roman"/>
        </w:rPr>
        <w:t>A.</w:t>
      </w:r>
      <w:r>
        <w:rPr>
          <w:rFonts w:ascii="Times New Roman" w:hAnsi="Times New Roman"/>
        </w:rPr>
        <w:tab/>
      </w:r>
      <w:r>
        <w:rPr>
          <w:rFonts w:ascii="Times New Roman" w:hAnsi="Times New Roman"/>
          <w:u w:val="single"/>
        </w:rPr>
        <w:t>JUSTIFICATION</w:t>
      </w:r>
    </w:p>
    <w:p w:rsidR="00731A90" w:rsidRDefault="00731A90">
      <w:pPr>
        <w:rPr>
          <w:rFonts w:ascii="Times New Roman" w:hAnsi="Times New Roman"/>
        </w:rPr>
      </w:pPr>
    </w:p>
    <w:p w:rsidR="00731A90" w:rsidP="00C82C81" w:rsidRDefault="00731A90">
      <w:pPr>
        <w:rPr>
          <w:rFonts w:ascii="Times New Roman" w:hAnsi="Times New Roman"/>
        </w:rPr>
      </w:pPr>
      <w:r>
        <w:rPr>
          <w:rFonts w:ascii="Times New Roman" w:hAnsi="Times New Roman"/>
        </w:rPr>
        <w:t>1.</w:t>
      </w:r>
      <w:r>
        <w:rPr>
          <w:rFonts w:ascii="Times New Roman" w:hAnsi="Times New Roman"/>
        </w:rPr>
        <w:tab/>
      </w:r>
      <w:r w:rsidRPr="00647F97" w:rsidR="00573771">
        <w:rPr>
          <w:rFonts w:ascii="Times New Roman TUR" w:hAnsi="Times New Roman TUR" w:cs="Times New Roman TUR"/>
          <w:bCs/>
          <w:u w:val="single"/>
        </w:rPr>
        <w:t>Circumstances that make the collection necessary:</w:t>
      </w:r>
    </w:p>
    <w:p w:rsidR="00731A90" w:rsidRDefault="00731A90">
      <w:pPr>
        <w:ind w:firstLine="1440"/>
        <w:rPr>
          <w:rFonts w:ascii="Times New Roman" w:hAnsi="Times New Roman"/>
        </w:rPr>
      </w:pPr>
    </w:p>
    <w:p w:rsidR="00731A90" w:rsidP="008932AC" w:rsidRDefault="007C1599">
      <w:pPr>
        <w:ind w:left="720"/>
        <w:rPr>
          <w:rFonts w:ascii="Times New Roman" w:hAnsi="Times New Roman"/>
        </w:rPr>
      </w:pPr>
      <w:r w:rsidRPr="007C1599">
        <w:rPr>
          <w:rFonts w:ascii="Times New Roman" w:hAnsi="Times New Roman"/>
        </w:rPr>
        <w:t>State savings associations must file a notice of intent to convert to stock form, and provide the FDIC with copies of documents filed with state and federal banking and/or securities regulators in connection with any proposed mutual-to-stock conversion.</w:t>
      </w:r>
      <w:r w:rsidRPr="007C1599">
        <w:rPr>
          <w:rFonts w:ascii="Times New Roman" w:hAnsi="Times New Roman"/>
        </w:rPr>
        <w:tab/>
      </w:r>
      <w:r w:rsidR="00731A90">
        <w:rPr>
          <w:rFonts w:ascii="Times New Roman" w:hAnsi="Times New Roman"/>
        </w:rPr>
        <w:t xml:space="preserve">The </w:t>
      </w:r>
      <w:r>
        <w:rPr>
          <w:rFonts w:ascii="Times New Roman" w:hAnsi="Times New Roman"/>
        </w:rPr>
        <w:t xml:space="preserve">information </w:t>
      </w:r>
      <w:r w:rsidR="00731A90">
        <w:rPr>
          <w:rFonts w:ascii="Times New Roman" w:hAnsi="Times New Roman"/>
        </w:rPr>
        <w:t xml:space="preserve">collection consists of </w:t>
      </w:r>
      <w:r>
        <w:rPr>
          <w:rFonts w:ascii="Times New Roman" w:hAnsi="Times New Roman"/>
        </w:rPr>
        <w:t xml:space="preserve">the reporting requirement to provide </w:t>
      </w:r>
      <w:r w:rsidR="00731A90">
        <w:rPr>
          <w:rFonts w:ascii="Times New Roman" w:hAnsi="Times New Roman"/>
        </w:rPr>
        <w:t xml:space="preserve">copies of all applications and other materials filed by a state-chartered mutual savings bank with its applicable federal and state banking and securities regulators in connection with a proposed conversion to the stock form of ownership. </w:t>
      </w:r>
    </w:p>
    <w:p w:rsidR="00731A90" w:rsidRDefault="00731A90">
      <w:pPr>
        <w:ind w:firstLine="1440"/>
        <w:rPr>
          <w:rFonts w:ascii="Times New Roman" w:hAnsi="Times New Roman"/>
          <w:u w:val="single"/>
        </w:rPr>
      </w:pPr>
    </w:p>
    <w:p w:rsidR="00731A90" w:rsidP="00A104B7" w:rsidRDefault="00731A90">
      <w:pPr>
        <w:rPr>
          <w:rFonts w:ascii="Times New Roman" w:hAnsi="Times New Roman"/>
        </w:rPr>
      </w:pPr>
      <w:r>
        <w:rPr>
          <w:rFonts w:ascii="Times New Roman" w:hAnsi="Times New Roman"/>
        </w:rPr>
        <w:t>2.</w:t>
      </w:r>
      <w:r>
        <w:rPr>
          <w:rFonts w:ascii="Times New Roman" w:hAnsi="Times New Roman"/>
        </w:rPr>
        <w:tab/>
      </w:r>
      <w:r w:rsidRPr="00647F97" w:rsidR="00573771">
        <w:rPr>
          <w:rFonts w:ascii="Times New Roman TUR" w:hAnsi="Times New Roman TUR" w:cs="Times New Roman TUR"/>
          <w:bCs/>
          <w:u w:val="single"/>
        </w:rPr>
        <w:t>Use of the information:</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The information will be used to enable the FDIC to identify and address issues involved in the proposed conversion relating to the safety and soundness of the bank, any abusive management practices and potential violations of applicable law to determine whether to object to the proposed conversion.</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3.</w:t>
      </w:r>
      <w:r>
        <w:rPr>
          <w:rFonts w:ascii="Times New Roman" w:hAnsi="Times New Roman"/>
        </w:rPr>
        <w:tab/>
      </w:r>
      <w:r w:rsidRPr="00647F97" w:rsidR="00573771">
        <w:rPr>
          <w:rFonts w:ascii="Times New Roman TUR" w:hAnsi="Times New Roman TUR" w:cs="Times New Roman TUR"/>
          <w:bCs/>
          <w:u w:val="single"/>
        </w:rPr>
        <w:t>Consideration of the use of improved information technology:</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Institutions are free to use whatever methods are the least burdensome to them for sending the necessary information to the FDIC; however, there are a number of constraints relating to secure transmission, the volume of transmitted materials, and the diverse nature of related regulatory filings that may make this option impractical.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 xml:space="preserve">Efforts to </w:t>
      </w:r>
      <w:r w:rsidR="00573771">
        <w:rPr>
          <w:rFonts w:ascii="Times New Roman" w:hAnsi="Times New Roman"/>
          <w:u w:val="single"/>
        </w:rPr>
        <w:t>i</w:t>
      </w:r>
      <w:r>
        <w:rPr>
          <w:rFonts w:ascii="Times New Roman" w:hAnsi="Times New Roman"/>
          <w:u w:val="single"/>
        </w:rPr>
        <w:t xml:space="preserve">dentify </w:t>
      </w:r>
      <w:r w:rsidR="00573771">
        <w:rPr>
          <w:rFonts w:ascii="Times New Roman" w:hAnsi="Times New Roman"/>
          <w:u w:val="single"/>
        </w:rPr>
        <w:t>d</w:t>
      </w:r>
      <w:r>
        <w:rPr>
          <w:rFonts w:ascii="Times New Roman" w:hAnsi="Times New Roman"/>
          <w:u w:val="single"/>
        </w:rPr>
        <w:t>uplication</w:t>
      </w:r>
      <w:r w:rsidR="00573771">
        <w:rPr>
          <w:rFonts w:ascii="Times New Roman" w:hAnsi="Times New Roman"/>
          <w:u w:val="single"/>
        </w:rPr>
        <w:t>:</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The bulk of the information collection pursuant to 303.161 requires the Respondent to provide the FDIC copies of materials the bank already has prepared for other federal and </w:t>
      </w:r>
      <w:r>
        <w:rPr>
          <w:rFonts w:ascii="Times New Roman" w:hAnsi="Times New Roman"/>
        </w:rPr>
        <w:lastRenderedPageBreak/>
        <w:t>state regulators, rather than requiring banks to furnish separate materials specifically prepared for the FDIC.  Similar information is not available from any other single source.</w:t>
      </w:r>
    </w:p>
    <w:p w:rsidR="00731A90" w:rsidRDefault="00731A90">
      <w:pPr>
        <w:ind w:left="720"/>
        <w:rPr>
          <w:rFonts w:ascii="Times New Roman" w:hAnsi="Times New Roman"/>
        </w:rPr>
      </w:pPr>
    </w:p>
    <w:p w:rsidR="00731A90" w:rsidP="00A104B7" w:rsidRDefault="00731A90">
      <w:pPr>
        <w:ind w:left="720" w:hanging="720"/>
        <w:rPr>
          <w:rFonts w:ascii="Times New Roman" w:hAnsi="Times New Roman"/>
          <w:u w:val="single"/>
        </w:rPr>
      </w:pPr>
      <w:r>
        <w:rPr>
          <w:rFonts w:ascii="Times New Roman" w:hAnsi="Times New Roman"/>
        </w:rPr>
        <w:t>5.</w:t>
      </w:r>
      <w:r>
        <w:rPr>
          <w:rFonts w:ascii="Times New Roman" w:hAnsi="Times New Roman"/>
        </w:rPr>
        <w:tab/>
      </w:r>
      <w:r w:rsidRPr="00647F97" w:rsidR="00573771">
        <w:rPr>
          <w:rFonts w:ascii="Times New Roman TUR" w:hAnsi="Times New Roman TUR" w:cs="Times New Roman TUR"/>
          <w:bCs/>
          <w:u w:val="single"/>
        </w:rPr>
        <w:t xml:space="preserve">Methods used to minimize burden if the collection has a significant impact on </w:t>
      </w:r>
      <w:r w:rsidR="00573771">
        <w:rPr>
          <w:rFonts w:ascii="Times New Roman TUR" w:hAnsi="Times New Roman TUR" w:cs="Times New Roman TUR"/>
          <w:bCs/>
          <w:u w:val="single"/>
        </w:rPr>
        <w:t xml:space="preserve">a </w:t>
      </w:r>
      <w:r w:rsidRPr="00647F97" w:rsidR="00573771">
        <w:rPr>
          <w:rFonts w:ascii="Times New Roman TUR" w:hAnsi="Times New Roman TUR" w:cs="Times New Roman TUR"/>
          <w:bCs/>
          <w:u w:val="single"/>
        </w:rPr>
        <w:t>substantial number of small entities:</w:t>
      </w:r>
    </w:p>
    <w:p w:rsidR="00731A90" w:rsidRDefault="00731A90">
      <w:pPr>
        <w:ind w:left="1440"/>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The information required is the minimum necessary for the FDIC to determine whether it should object to the proposed conversion. </w:t>
      </w:r>
    </w:p>
    <w:p w:rsidR="00731A90" w:rsidRDefault="00731A90">
      <w:pPr>
        <w:rPr>
          <w:rFonts w:ascii="Times New Roman" w:hAnsi="Times New Roman"/>
        </w:rPr>
      </w:pPr>
    </w:p>
    <w:p w:rsidR="00731A90" w:rsidP="00A104B7" w:rsidRDefault="00731A90">
      <w:pPr>
        <w:ind w:left="720" w:hanging="720"/>
        <w:rPr>
          <w:rFonts w:ascii="Times New Roman" w:hAnsi="Times New Roman"/>
        </w:rPr>
      </w:pPr>
      <w:r>
        <w:rPr>
          <w:rFonts w:ascii="Times New Roman" w:hAnsi="Times New Roman"/>
        </w:rPr>
        <w:t>6.</w:t>
      </w:r>
      <w:r>
        <w:rPr>
          <w:rFonts w:ascii="Times New Roman" w:hAnsi="Times New Roman"/>
        </w:rPr>
        <w:tab/>
      </w:r>
      <w:r w:rsidRPr="00647F97" w:rsidR="005E1C4C">
        <w:rPr>
          <w:rFonts w:ascii="Times New Roman TUR" w:hAnsi="Times New Roman TUR" w:cs="Times New Roman TUR"/>
          <w:bCs/>
          <w:u w:val="single"/>
        </w:rPr>
        <w:t>Consequences to the Federal program if the collection were conducted less frequently:</w:t>
      </w:r>
      <w:r>
        <w:rPr>
          <w:rFonts w:ascii="Times New Roman" w:hAnsi="Times New Roman"/>
        </w:rPr>
        <w:t xml:space="preserve">   </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The collection of information is required only when state savings banks voluntarily choose to convert form of ownership. </w:t>
      </w:r>
      <w:r w:rsidR="007C1599">
        <w:rPr>
          <w:rFonts w:ascii="Times New Roman" w:hAnsi="Times New Roman"/>
        </w:rPr>
        <w:t>If the information was not collected FDIC would not be able to fulfill its supervisory mandate.</w:t>
      </w:r>
    </w:p>
    <w:p w:rsidR="00731A90" w:rsidRDefault="00731A90">
      <w:pPr>
        <w:rPr>
          <w:rFonts w:ascii="Times New Roman" w:hAnsi="Times New Roman"/>
        </w:rPr>
      </w:pPr>
    </w:p>
    <w:p w:rsidR="00731A90" w:rsidP="00A104B7" w:rsidRDefault="00731A90">
      <w:pPr>
        <w:ind w:left="720" w:hanging="720"/>
        <w:rPr>
          <w:rFonts w:ascii="Times New Roman" w:hAnsi="Times New Roman"/>
        </w:rPr>
      </w:pPr>
      <w:r>
        <w:rPr>
          <w:rFonts w:ascii="Times New Roman" w:hAnsi="Times New Roman"/>
        </w:rPr>
        <w:t>7.</w:t>
      </w:r>
      <w:r>
        <w:rPr>
          <w:rFonts w:ascii="Times New Roman" w:hAnsi="Times New Roman"/>
        </w:rPr>
        <w:tab/>
      </w:r>
      <w:r w:rsidRPr="00647F97" w:rsidR="005E1C4C">
        <w:rPr>
          <w:rFonts w:ascii="Times New Roman TUR" w:hAnsi="Times New Roman TUR" w:cs="Times New Roman TUR"/>
          <w:bCs/>
          <w:u w:val="single"/>
        </w:rPr>
        <w:t>Special circumstances necessitating collection inconsistent with 5 CFR Part 1320</w:t>
      </w:r>
      <w:r w:rsidR="005E1C4C">
        <w:rPr>
          <w:rFonts w:ascii="Times New Roman TUR" w:hAnsi="Times New Roman TUR" w:cs="Times New Roman TUR"/>
          <w:bCs/>
          <w:u w:val="single"/>
        </w:rPr>
        <w:t>.5(d)(2)</w:t>
      </w:r>
      <w:r w:rsidRPr="00647F97" w:rsidR="005E1C4C">
        <w:rPr>
          <w:rFonts w:ascii="Times New Roman TUR" w:hAnsi="Times New Roman TUR" w:cs="Times New Roman TUR"/>
          <w:bCs/>
          <w:u w:val="single"/>
        </w:rPr>
        <w:t>:</w:t>
      </w:r>
    </w:p>
    <w:p w:rsidR="00731A90" w:rsidRDefault="00731A90">
      <w:pPr>
        <w:rPr>
          <w:rFonts w:ascii="Times New Roman" w:hAnsi="Times New Roman"/>
        </w:rPr>
      </w:pPr>
    </w:p>
    <w:p w:rsidR="00731A90" w:rsidP="008932AC" w:rsidRDefault="005E1C4C">
      <w:pPr>
        <w:ind w:left="720"/>
        <w:rPr>
          <w:rFonts w:ascii="Times New Roman" w:hAnsi="Times New Roman"/>
        </w:rPr>
      </w:pPr>
      <w:r w:rsidRPr="0078042F">
        <w:rPr>
          <w:rFonts w:ascii="Times New Roman TUR" w:hAnsi="Times New Roman TUR" w:cs="Times New Roman TUR"/>
        </w:rPr>
        <w:t xml:space="preserve">There are no special circumstances. This information collection is conducted in accordance </w:t>
      </w:r>
      <w:r w:rsidRPr="00C82C81">
        <w:rPr>
          <w:rFonts w:ascii="Times New Roman" w:hAnsi="Times New Roman"/>
        </w:rPr>
        <w:t>with</w:t>
      </w:r>
      <w:r w:rsidRPr="0078042F">
        <w:rPr>
          <w:rFonts w:ascii="Times New Roman TUR" w:hAnsi="Times New Roman TUR" w:cs="Times New Roman TUR"/>
        </w:rPr>
        <w:t xml:space="preserve"> the </w:t>
      </w:r>
      <w:r w:rsidRPr="008932AC">
        <w:rPr>
          <w:rFonts w:ascii="Times New Roman" w:hAnsi="Times New Roman"/>
        </w:rPr>
        <w:t>guidelines</w:t>
      </w:r>
      <w:r w:rsidRPr="0078042F">
        <w:rPr>
          <w:rFonts w:ascii="Times New Roman TUR" w:hAnsi="Times New Roman TUR" w:cs="Times New Roman TUR"/>
        </w:rPr>
        <w:t xml:space="preserve"> in 5 CFR 1320.5(d)(2).</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8.</w:t>
      </w:r>
      <w:r>
        <w:rPr>
          <w:rFonts w:ascii="Times New Roman" w:hAnsi="Times New Roman"/>
        </w:rPr>
        <w:tab/>
      </w:r>
      <w:r w:rsidRPr="00647F97" w:rsidR="009E4FE6">
        <w:rPr>
          <w:rFonts w:ascii="Times New Roman TUR" w:hAnsi="Times New Roman TUR" w:cs="Times New Roman TUR"/>
          <w:bCs/>
          <w:u w:val="single"/>
        </w:rPr>
        <w:t>Efforts to consult with persons outside the agency:</w:t>
      </w:r>
    </w:p>
    <w:p w:rsidR="00731A90" w:rsidRDefault="00731A90">
      <w:pPr>
        <w:rPr>
          <w:rFonts w:ascii="Times New Roman" w:hAnsi="Times New Roman"/>
        </w:rPr>
      </w:pPr>
    </w:p>
    <w:p w:rsidR="00731A90" w:rsidP="008932AC" w:rsidRDefault="00F67AED">
      <w:pPr>
        <w:ind w:left="720"/>
        <w:rPr>
          <w:rFonts w:ascii="Times New Roman" w:hAnsi="Times New Roman"/>
        </w:rPr>
      </w:pPr>
      <w:r>
        <w:rPr>
          <w:rFonts w:ascii="Times New Roman" w:hAnsi="Times New Roman"/>
        </w:rPr>
        <w:t xml:space="preserve">On </w:t>
      </w:r>
      <w:r w:rsidR="004472AE">
        <w:rPr>
          <w:rFonts w:ascii="Times New Roman" w:hAnsi="Times New Roman"/>
        </w:rPr>
        <w:t>January 25, 2022</w:t>
      </w:r>
      <w:r>
        <w:rPr>
          <w:rFonts w:ascii="Times New Roman" w:hAnsi="Times New Roman"/>
        </w:rPr>
        <w:t>, FDIC published a</w:t>
      </w:r>
      <w:r w:rsidR="00731A90">
        <w:rPr>
          <w:rFonts w:ascii="Times New Roman" w:hAnsi="Times New Roman"/>
        </w:rPr>
        <w:t xml:space="preserve"> Federal Register notice seeking public comment for a 60-day period </w:t>
      </w:r>
      <w:r>
        <w:rPr>
          <w:rFonts w:ascii="Times New Roman" w:hAnsi="Times New Roman"/>
        </w:rPr>
        <w:t>(</w:t>
      </w:r>
      <w:r w:rsidR="001D73DB">
        <w:rPr>
          <w:rFonts w:ascii="Times New Roman" w:hAnsi="Times New Roman"/>
        </w:rPr>
        <w:t>8</w:t>
      </w:r>
      <w:r w:rsidR="004472AE">
        <w:rPr>
          <w:rFonts w:ascii="Times New Roman" w:hAnsi="Times New Roman"/>
        </w:rPr>
        <w:t>7</w:t>
      </w:r>
      <w:r w:rsidR="001D73DB">
        <w:rPr>
          <w:rFonts w:ascii="Times New Roman" w:hAnsi="Times New Roman"/>
        </w:rPr>
        <w:t xml:space="preserve"> FR </w:t>
      </w:r>
      <w:r w:rsidR="004472AE">
        <w:rPr>
          <w:rFonts w:ascii="Times New Roman" w:hAnsi="Times New Roman"/>
        </w:rPr>
        <w:t>3806</w:t>
      </w:r>
      <w:r w:rsidR="00731A90">
        <w:rPr>
          <w:rFonts w:ascii="Times New Roman" w:hAnsi="Times New Roman"/>
        </w:rPr>
        <w:t xml:space="preserve">).  No comments were received.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9.</w:t>
      </w:r>
      <w:r>
        <w:rPr>
          <w:rFonts w:ascii="Times New Roman" w:hAnsi="Times New Roman"/>
        </w:rPr>
        <w:tab/>
      </w:r>
      <w:r w:rsidR="009E4FE6">
        <w:rPr>
          <w:rFonts w:ascii="Times New Roman" w:hAnsi="Times New Roman"/>
          <w:u w:val="single"/>
        </w:rPr>
        <w:t>Payments or g</w:t>
      </w:r>
      <w:r>
        <w:rPr>
          <w:rFonts w:ascii="Times New Roman" w:hAnsi="Times New Roman"/>
          <w:u w:val="single"/>
        </w:rPr>
        <w:t>ift</w:t>
      </w:r>
      <w:r w:rsidR="009E4FE6">
        <w:rPr>
          <w:rFonts w:ascii="Times New Roman" w:hAnsi="Times New Roman"/>
          <w:u w:val="single"/>
        </w:rPr>
        <w:t>s to r</w:t>
      </w:r>
      <w:r>
        <w:rPr>
          <w:rFonts w:ascii="Times New Roman" w:hAnsi="Times New Roman"/>
          <w:u w:val="single"/>
        </w:rPr>
        <w:t>espondents</w:t>
      </w:r>
      <w:r w:rsidR="009E4FE6">
        <w:rPr>
          <w:rFonts w:ascii="Times New Roman" w:hAnsi="Times New Roman"/>
          <w:u w:val="single"/>
        </w:rPr>
        <w:t>:</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10.</w:t>
      </w:r>
      <w:r>
        <w:rPr>
          <w:rFonts w:ascii="Times New Roman" w:hAnsi="Times New Roman"/>
        </w:rPr>
        <w:tab/>
      </w:r>
      <w:r w:rsidRPr="00647F97" w:rsidR="009E4FE6">
        <w:rPr>
          <w:rFonts w:ascii="Times New Roman TUR" w:hAnsi="Times New Roman TUR" w:cs="Times New Roman TUR"/>
          <w:bCs/>
          <w:u w:val="single"/>
        </w:rPr>
        <w:t>Any assurance of confidentiality:</w:t>
      </w:r>
    </w:p>
    <w:p w:rsidR="00731A90" w:rsidRDefault="00731A90">
      <w:pPr>
        <w:rPr>
          <w:rFonts w:ascii="Times New Roman" w:hAnsi="Times New Roman"/>
        </w:rPr>
      </w:pPr>
    </w:p>
    <w:p w:rsidRPr="00F67AED" w:rsidR="00F67AED" w:rsidP="008932AC" w:rsidRDefault="00F67AED">
      <w:pPr>
        <w:ind w:left="720"/>
        <w:rPr>
          <w:rFonts w:ascii="Times New Roman" w:hAnsi="Times New Roman"/>
        </w:rPr>
      </w:pPr>
      <w:r w:rsidRPr="00F67AED">
        <w:rPr>
          <w:rFonts w:ascii="Times New Roman" w:hAnsi="Times New Roman"/>
        </w:rPr>
        <w:t>Confidential information will be kept private to the extent allowed by law.</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11.</w:t>
      </w:r>
      <w:r>
        <w:rPr>
          <w:rFonts w:ascii="Times New Roman" w:hAnsi="Times New Roman"/>
        </w:rPr>
        <w:tab/>
      </w:r>
      <w:r w:rsidRPr="00647F97" w:rsidR="009E4FE6">
        <w:rPr>
          <w:rFonts w:ascii="Times New Roman TUR" w:hAnsi="Times New Roman TUR" w:cs="Times New Roman TUR"/>
          <w:bCs/>
          <w:u w:val="single"/>
        </w:rPr>
        <w:t>Justification for questions of a sensitive nature:</w:t>
      </w:r>
      <w:r>
        <w:rPr>
          <w:rFonts w:ascii="Times New Roman" w:hAnsi="Times New Roman"/>
        </w:rPr>
        <w:t xml:space="preserve"> </w:t>
      </w:r>
    </w:p>
    <w:p w:rsidR="00731A90" w:rsidRDefault="00731A90">
      <w:pPr>
        <w:rPr>
          <w:rFonts w:ascii="Times New Roman" w:hAnsi="Times New Roman"/>
        </w:rPr>
      </w:pPr>
    </w:p>
    <w:p w:rsidR="004472AE" w:rsidP="008932AC" w:rsidRDefault="009E4FE6">
      <w:pPr>
        <w:ind w:left="720"/>
        <w:rPr>
          <w:rFonts w:ascii="Times New Roman" w:hAnsi="Times New Roman"/>
        </w:rPr>
      </w:pPr>
      <w:r w:rsidRPr="009E4FE6">
        <w:rPr>
          <w:rFonts w:ascii="Times New Roman" w:hAnsi="Times New Roman"/>
        </w:rPr>
        <w:t>The information collection does not request information of a sensitive nature.</w:t>
      </w:r>
    </w:p>
    <w:p w:rsidR="004472AE" w:rsidRDefault="004472AE">
      <w:pPr>
        <w:widowControl/>
        <w:rPr>
          <w:rFonts w:ascii="Times New Roman" w:hAnsi="Times New Roman"/>
        </w:rPr>
      </w:pPr>
      <w:r>
        <w:rPr>
          <w:rFonts w:ascii="Times New Roman" w:hAnsi="Times New Roman"/>
        </w:rPr>
        <w:br w:type="page"/>
      </w:r>
    </w:p>
    <w:p w:rsidR="00731A90" w:rsidP="004472AE" w:rsidRDefault="00731A90">
      <w:pPr>
        <w:rPr>
          <w:rFonts w:ascii="Times New Roman" w:hAnsi="Times New Roman"/>
        </w:rPr>
      </w:pPr>
      <w:r>
        <w:rPr>
          <w:rFonts w:ascii="Times New Roman" w:hAnsi="Times New Roman"/>
        </w:rPr>
        <w:lastRenderedPageBreak/>
        <w:t xml:space="preserve"> </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12.</w:t>
      </w:r>
      <w:r>
        <w:rPr>
          <w:rFonts w:ascii="Times New Roman" w:hAnsi="Times New Roman"/>
        </w:rPr>
        <w:tab/>
      </w:r>
      <w:r w:rsidRPr="009E4FE6" w:rsidR="009E4FE6">
        <w:rPr>
          <w:rFonts w:ascii="Times New Roman" w:hAnsi="Times New Roman"/>
          <w:u w:val="single"/>
        </w:rPr>
        <w:t xml:space="preserve">Estimate of </w:t>
      </w:r>
      <w:r w:rsidR="009E4FE6">
        <w:rPr>
          <w:rFonts w:ascii="Times New Roman" w:hAnsi="Times New Roman"/>
          <w:u w:val="single"/>
        </w:rPr>
        <w:t>hour burden including annualized hourly c</w:t>
      </w:r>
      <w:r w:rsidRPr="009E4FE6" w:rsidR="009E4FE6">
        <w:rPr>
          <w:rFonts w:ascii="Times New Roman" w:hAnsi="Times New Roman"/>
          <w:u w:val="single"/>
        </w:rPr>
        <w:t>osts:</w:t>
      </w:r>
      <w:r>
        <w:rPr>
          <w:rFonts w:ascii="Times New Roman" w:hAnsi="Times New Roman"/>
        </w:rPr>
        <w:t xml:space="preserve">  </w:t>
      </w:r>
    </w:p>
    <w:p w:rsidR="00731A90" w:rsidRDefault="00731A90">
      <w:pPr>
        <w:rPr>
          <w:rFonts w:ascii="Times New Roman" w:hAnsi="Times New Roman"/>
        </w:rPr>
      </w:pPr>
    </w:p>
    <w:tbl>
      <w:tblPr>
        <w:tblW w:w="8978" w:type="dxa"/>
        <w:jc w:val="center"/>
        <w:tblLook w:val="04A0" w:firstRow="1" w:lastRow="0" w:firstColumn="1" w:lastColumn="0" w:noHBand="0" w:noVBand="1"/>
      </w:tblPr>
      <w:tblGrid>
        <w:gridCol w:w="2650"/>
        <w:gridCol w:w="856"/>
        <w:gridCol w:w="942"/>
        <w:gridCol w:w="1034"/>
        <w:gridCol w:w="892"/>
        <w:gridCol w:w="856"/>
        <w:gridCol w:w="892"/>
        <w:gridCol w:w="856"/>
      </w:tblGrid>
      <w:tr w:rsidRPr="001B4291" w:rsidR="001B4291" w:rsidTr="001B4291">
        <w:trPr>
          <w:trHeight w:val="286"/>
          <w:jc w:val="center"/>
        </w:trPr>
        <w:tc>
          <w:tcPr>
            <w:tcW w:w="8978" w:type="dxa"/>
            <w:gridSpan w:val="8"/>
            <w:tcBorders>
              <w:top w:val="single" w:color="auto" w:sz="8" w:space="0"/>
              <w:left w:val="single" w:color="auto" w:sz="8" w:space="0"/>
              <w:bottom w:val="single" w:color="auto" w:sz="4" w:space="0"/>
              <w:right w:val="single" w:color="000000" w:sz="8" w:space="0"/>
            </w:tcBorders>
            <w:shd w:val="clear" w:color="auto" w:fill="auto"/>
            <w:noWrap/>
            <w:vAlign w:val="center"/>
            <w:hideMark/>
          </w:tcPr>
          <w:p w:rsidRPr="001B4291" w:rsidR="001B4291" w:rsidP="001B4291" w:rsidRDefault="00C82C81">
            <w:pPr>
              <w:widowControl/>
              <w:jc w:val="center"/>
              <w:rPr>
                <w:rFonts w:ascii="Times New Roman" w:hAnsi="Times New Roman"/>
                <w:b/>
                <w:bCs/>
                <w:snapToGrid/>
                <w:color w:val="000000"/>
                <w:sz w:val="16"/>
                <w:szCs w:val="16"/>
              </w:rPr>
            </w:pPr>
            <w:r>
              <w:rPr>
                <w:rFonts w:ascii="Times New Roman" w:hAnsi="Times New Roman"/>
                <w:b/>
                <w:bCs/>
                <w:snapToGrid/>
                <w:color w:val="000000"/>
                <w:sz w:val="16"/>
                <w:szCs w:val="16"/>
              </w:rPr>
              <w:t xml:space="preserve">Table 1: </w:t>
            </w:r>
            <w:r w:rsidRPr="001B4291" w:rsidR="001B4291">
              <w:rPr>
                <w:rFonts w:ascii="Times New Roman" w:hAnsi="Times New Roman"/>
                <w:b/>
                <w:bCs/>
                <w:snapToGrid/>
                <w:color w:val="000000"/>
                <w:sz w:val="16"/>
                <w:szCs w:val="16"/>
              </w:rPr>
              <w:t>Summary of Annual Burden</w:t>
            </w:r>
            <w:r>
              <w:rPr>
                <w:rFonts w:ascii="Times New Roman" w:hAnsi="Times New Roman"/>
                <w:b/>
                <w:bCs/>
                <w:snapToGrid/>
                <w:color w:val="000000"/>
                <w:sz w:val="16"/>
                <w:szCs w:val="16"/>
              </w:rPr>
              <w:t xml:space="preserve"> (OMB 3064-0117)</w:t>
            </w:r>
          </w:p>
        </w:tc>
      </w:tr>
      <w:tr w:rsidRPr="001B4291" w:rsidR="001B4291" w:rsidTr="001B4291">
        <w:trPr>
          <w:trHeight w:val="608"/>
          <w:jc w:val="center"/>
        </w:trPr>
        <w:tc>
          <w:tcPr>
            <w:tcW w:w="2650" w:type="dxa"/>
            <w:tcBorders>
              <w:top w:val="nil"/>
              <w:left w:val="single" w:color="auto" w:sz="8" w:space="0"/>
              <w:bottom w:val="single" w:color="auto" w:sz="4" w:space="0"/>
              <w:right w:val="single" w:color="auto" w:sz="4" w:space="0"/>
            </w:tcBorders>
            <w:shd w:val="clear" w:color="auto" w:fill="auto"/>
            <w:noWrap/>
            <w:vAlign w:val="bottom"/>
            <w:hideMark/>
          </w:tcPr>
          <w:p w:rsidRPr="001B4291" w:rsidR="001B4291" w:rsidP="001B4291" w:rsidRDefault="001B4291">
            <w:pPr>
              <w:widowControl/>
              <w:rPr>
                <w:rFonts w:ascii="Times New Roman" w:hAnsi="Times New Roman"/>
                <w:snapToGrid/>
                <w:color w:val="000000"/>
                <w:sz w:val="16"/>
                <w:szCs w:val="16"/>
              </w:rPr>
            </w:pPr>
            <w:r w:rsidRPr="001B4291">
              <w:rPr>
                <w:rFonts w:ascii="Times New Roman" w:hAnsi="Times New Roman"/>
                <w:snapToGrid/>
                <w:color w:val="000000"/>
                <w:sz w:val="16"/>
                <w:szCs w:val="16"/>
              </w:rPr>
              <w:t> </w:t>
            </w:r>
          </w:p>
        </w:tc>
        <w:tc>
          <w:tcPr>
            <w:tcW w:w="856"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Type of Burden</w:t>
            </w:r>
          </w:p>
        </w:tc>
        <w:tc>
          <w:tcPr>
            <w:tcW w:w="942"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Obligation to Respond</w:t>
            </w:r>
          </w:p>
        </w:tc>
        <w:tc>
          <w:tcPr>
            <w:tcW w:w="1034"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Estimated Number of Respondents</w:t>
            </w:r>
          </w:p>
        </w:tc>
        <w:tc>
          <w:tcPr>
            <w:tcW w:w="892"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Estimated Frequency of Responses</w:t>
            </w:r>
          </w:p>
        </w:tc>
        <w:tc>
          <w:tcPr>
            <w:tcW w:w="856"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Estimated Time per Response</w:t>
            </w:r>
          </w:p>
        </w:tc>
        <w:tc>
          <w:tcPr>
            <w:tcW w:w="892"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Frequency of Response</w:t>
            </w:r>
          </w:p>
        </w:tc>
        <w:tc>
          <w:tcPr>
            <w:tcW w:w="856" w:type="dxa"/>
            <w:tcBorders>
              <w:top w:val="nil"/>
              <w:left w:val="nil"/>
              <w:bottom w:val="single" w:color="auto" w:sz="4" w:space="0"/>
              <w:right w:val="single" w:color="auto" w:sz="8"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Total Annual Estimated Burden</w:t>
            </w:r>
          </w:p>
        </w:tc>
      </w:tr>
      <w:tr w:rsidRPr="001B4291" w:rsidR="001B4291" w:rsidTr="001B4291">
        <w:trPr>
          <w:trHeight w:val="405"/>
          <w:jc w:val="center"/>
        </w:trPr>
        <w:tc>
          <w:tcPr>
            <w:tcW w:w="2650" w:type="dxa"/>
            <w:tcBorders>
              <w:top w:val="nil"/>
              <w:left w:val="single" w:color="auto" w:sz="8" w:space="0"/>
              <w:bottom w:val="single" w:color="auto" w:sz="4" w:space="0"/>
              <w:right w:val="single" w:color="auto" w:sz="4" w:space="0"/>
            </w:tcBorders>
            <w:shd w:val="clear" w:color="auto" w:fill="auto"/>
            <w:vAlign w:val="center"/>
            <w:hideMark/>
          </w:tcPr>
          <w:p w:rsidRPr="001B4291" w:rsidR="001B4291" w:rsidP="001B4291" w:rsidRDefault="001B4291">
            <w:pPr>
              <w:widowControl/>
              <w:rPr>
                <w:rFonts w:ascii="Times New Roman" w:hAnsi="Times New Roman"/>
                <w:b/>
                <w:bCs/>
                <w:snapToGrid/>
                <w:color w:val="000000"/>
                <w:sz w:val="16"/>
                <w:szCs w:val="16"/>
              </w:rPr>
            </w:pPr>
            <w:r w:rsidRPr="001B4291">
              <w:rPr>
                <w:rFonts w:ascii="Times New Roman" w:hAnsi="Times New Roman"/>
                <w:b/>
                <w:bCs/>
                <w:snapToGrid/>
                <w:color w:val="000000"/>
                <w:sz w:val="16"/>
                <w:szCs w:val="16"/>
              </w:rPr>
              <w:t>Mutual-to-Stock Conversion of State Savings Bank</w:t>
            </w:r>
          </w:p>
        </w:tc>
        <w:tc>
          <w:tcPr>
            <w:tcW w:w="856"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Reporting</w:t>
            </w:r>
          </w:p>
        </w:tc>
        <w:tc>
          <w:tcPr>
            <w:tcW w:w="942"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Mandatory</w:t>
            </w:r>
          </w:p>
        </w:tc>
        <w:tc>
          <w:tcPr>
            <w:tcW w:w="1034"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5</w:t>
            </w:r>
          </w:p>
        </w:tc>
        <w:tc>
          <w:tcPr>
            <w:tcW w:w="892"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1</w:t>
            </w:r>
          </w:p>
        </w:tc>
        <w:tc>
          <w:tcPr>
            <w:tcW w:w="856"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250 hours</w:t>
            </w:r>
          </w:p>
        </w:tc>
        <w:tc>
          <w:tcPr>
            <w:tcW w:w="892" w:type="dxa"/>
            <w:tcBorders>
              <w:top w:val="nil"/>
              <w:left w:val="nil"/>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On Occasion</w:t>
            </w:r>
          </w:p>
        </w:tc>
        <w:tc>
          <w:tcPr>
            <w:tcW w:w="856" w:type="dxa"/>
            <w:tcBorders>
              <w:top w:val="nil"/>
              <w:left w:val="nil"/>
              <w:bottom w:val="single" w:color="auto" w:sz="4" w:space="0"/>
              <w:right w:val="single" w:color="auto" w:sz="8" w:space="0"/>
            </w:tcBorders>
            <w:shd w:val="clear" w:color="auto" w:fill="auto"/>
            <w:vAlign w:val="center"/>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1,250</w:t>
            </w:r>
          </w:p>
        </w:tc>
      </w:tr>
      <w:tr w:rsidRPr="001B4291" w:rsidR="001B4291" w:rsidTr="001B4291">
        <w:trPr>
          <w:trHeight w:val="58"/>
          <w:jc w:val="center"/>
        </w:trPr>
        <w:tc>
          <w:tcPr>
            <w:tcW w:w="2650" w:type="dxa"/>
            <w:tcBorders>
              <w:top w:val="nil"/>
              <w:left w:val="single" w:color="auto" w:sz="8" w:space="0"/>
              <w:bottom w:val="single" w:color="auto" w:sz="4" w:space="0"/>
              <w:right w:val="single" w:color="auto" w:sz="4" w:space="0"/>
            </w:tcBorders>
            <w:shd w:val="clear" w:color="auto" w:fill="auto"/>
            <w:vAlign w:val="center"/>
            <w:hideMark/>
          </w:tcPr>
          <w:p w:rsidRPr="001B4291" w:rsidR="001B4291" w:rsidP="001B4291" w:rsidRDefault="001B4291">
            <w:pPr>
              <w:widowControl/>
              <w:jc w:val="center"/>
              <w:rPr>
                <w:rFonts w:ascii="Times New Roman" w:hAnsi="Times New Roman"/>
                <w:b/>
                <w:bCs/>
                <w:snapToGrid/>
                <w:color w:val="000000"/>
                <w:sz w:val="16"/>
                <w:szCs w:val="16"/>
              </w:rPr>
            </w:pPr>
            <w:r w:rsidRPr="001B4291">
              <w:rPr>
                <w:rFonts w:ascii="Times New Roman" w:hAnsi="Times New Roman"/>
                <w:b/>
                <w:bCs/>
                <w:snapToGrid/>
                <w:color w:val="000000"/>
                <w:sz w:val="16"/>
                <w:szCs w:val="16"/>
              </w:rPr>
              <w:t>TOTAL HOURLY BURDEN</w:t>
            </w:r>
          </w:p>
        </w:tc>
        <w:tc>
          <w:tcPr>
            <w:tcW w:w="856" w:type="dxa"/>
            <w:tcBorders>
              <w:top w:val="nil"/>
              <w:left w:val="nil"/>
              <w:bottom w:val="single" w:color="auto" w:sz="4" w:space="0"/>
              <w:right w:val="single" w:color="auto" w:sz="4" w:space="0"/>
            </w:tcBorders>
            <w:shd w:val="clear" w:color="auto" w:fill="auto"/>
            <w:vAlign w:val="bottom"/>
            <w:hideMark/>
          </w:tcPr>
          <w:p w:rsidRPr="001B4291" w:rsidR="001B4291" w:rsidP="001B4291" w:rsidRDefault="001B4291">
            <w:pPr>
              <w:widowControl/>
              <w:rPr>
                <w:rFonts w:ascii="Times New Roman" w:hAnsi="Times New Roman"/>
                <w:snapToGrid/>
                <w:color w:val="000000"/>
                <w:sz w:val="16"/>
                <w:szCs w:val="16"/>
              </w:rPr>
            </w:pPr>
            <w:r w:rsidRPr="001B4291">
              <w:rPr>
                <w:rFonts w:ascii="Times New Roman" w:hAnsi="Times New Roman"/>
                <w:snapToGrid/>
                <w:color w:val="000000"/>
                <w:sz w:val="16"/>
                <w:szCs w:val="16"/>
              </w:rPr>
              <w:t> </w:t>
            </w:r>
          </w:p>
        </w:tc>
        <w:tc>
          <w:tcPr>
            <w:tcW w:w="942" w:type="dxa"/>
            <w:tcBorders>
              <w:top w:val="nil"/>
              <w:left w:val="nil"/>
              <w:bottom w:val="single" w:color="auto" w:sz="4" w:space="0"/>
              <w:right w:val="single" w:color="auto" w:sz="4" w:space="0"/>
            </w:tcBorders>
            <w:shd w:val="clear" w:color="auto" w:fill="auto"/>
            <w:noWrap/>
            <w:vAlign w:val="bottom"/>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 </w:t>
            </w:r>
          </w:p>
        </w:tc>
        <w:tc>
          <w:tcPr>
            <w:tcW w:w="1034" w:type="dxa"/>
            <w:tcBorders>
              <w:top w:val="nil"/>
              <w:left w:val="nil"/>
              <w:bottom w:val="single" w:color="auto" w:sz="4" w:space="0"/>
              <w:right w:val="single" w:color="auto" w:sz="4" w:space="0"/>
            </w:tcBorders>
            <w:shd w:val="clear" w:color="auto" w:fill="auto"/>
            <w:noWrap/>
            <w:vAlign w:val="bottom"/>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 </w:t>
            </w:r>
          </w:p>
        </w:tc>
        <w:tc>
          <w:tcPr>
            <w:tcW w:w="892" w:type="dxa"/>
            <w:tcBorders>
              <w:top w:val="nil"/>
              <w:left w:val="nil"/>
              <w:bottom w:val="single" w:color="auto" w:sz="4" w:space="0"/>
              <w:right w:val="single" w:color="auto" w:sz="4" w:space="0"/>
            </w:tcBorders>
            <w:shd w:val="clear" w:color="auto" w:fill="auto"/>
            <w:noWrap/>
            <w:vAlign w:val="bottom"/>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 </w:t>
            </w:r>
          </w:p>
        </w:tc>
        <w:tc>
          <w:tcPr>
            <w:tcW w:w="856" w:type="dxa"/>
            <w:tcBorders>
              <w:top w:val="nil"/>
              <w:left w:val="nil"/>
              <w:bottom w:val="single" w:color="auto" w:sz="4" w:space="0"/>
              <w:right w:val="single" w:color="auto" w:sz="4" w:space="0"/>
            </w:tcBorders>
            <w:shd w:val="clear" w:color="auto" w:fill="auto"/>
            <w:noWrap/>
            <w:vAlign w:val="bottom"/>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 </w:t>
            </w:r>
          </w:p>
        </w:tc>
        <w:tc>
          <w:tcPr>
            <w:tcW w:w="892" w:type="dxa"/>
            <w:tcBorders>
              <w:top w:val="nil"/>
              <w:left w:val="nil"/>
              <w:bottom w:val="single" w:color="auto" w:sz="4" w:space="0"/>
              <w:right w:val="single" w:color="auto" w:sz="4" w:space="0"/>
            </w:tcBorders>
            <w:shd w:val="clear" w:color="auto" w:fill="auto"/>
            <w:noWrap/>
            <w:vAlign w:val="bottom"/>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 </w:t>
            </w:r>
          </w:p>
        </w:tc>
        <w:tc>
          <w:tcPr>
            <w:tcW w:w="856" w:type="dxa"/>
            <w:tcBorders>
              <w:top w:val="nil"/>
              <w:left w:val="nil"/>
              <w:bottom w:val="single" w:color="auto" w:sz="4" w:space="0"/>
              <w:right w:val="single" w:color="auto" w:sz="8" w:space="0"/>
            </w:tcBorders>
            <w:shd w:val="clear" w:color="auto" w:fill="auto"/>
            <w:noWrap/>
            <w:vAlign w:val="bottom"/>
            <w:hideMark/>
          </w:tcPr>
          <w:p w:rsidRPr="001B4291" w:rsidR="001B4291" w:rsidP="001B4291" w:rsidRDefault="001B4291">
            <w:pPr>
              <w:widowControl/>
              <w:jc w:val="center"/>
              <w:rPr>
                <w:rFonts w:ascii="Times New Roman" w:hAnsi="Times New Roman"/>
                <w:snapToGrid/>
                <w:color w:val="000000"/>
                <w:sz w:val="16"/>
                <w:szCs w:val="16"/>
              </w:rPr>
            </w:pPr>
            <w:r w:rsidRPr="001B4291">
              <w:rPr>
                <w:rFonts w:ascii="Times New Roman" w:hAnsi="Times New Roman"/>
                <w:snapToGrid/>
                <w:color w:val="000000"/>
                <w:sz w:val="16"/>
                <w:szCs w:val="16"/>
              </w:rPr>
              <w:t>1,250 hours</w:t>
            </w:r>
          </w:p>
        </w:tc>
      </w:tr>
    </w:tbl>
    <w:p w:rsidR="00AE7995" w:rsidP="001B4291" w:rsidRDefault="00AE7995">
      <w:pPr>
        <w:rPr>
          <w:rFonts w:ascii="Times New Roman" w:hAnsi="Times New Roman"/>
          <w:b/>
        </w:rPr>
      </w:pPr>
    </w:p>
    <w:p w:rsidRPr="004472AE" w:rsidR="004472AE" w:rsidP="00C82C81" w:rsidRDefault="00C82C81">
      <w:pPr>
        <w:tabs>
          <w:tab w:val="left" w:pos="1440"/>
          <w:tab w:val="left" w:pos="5040"/>
        </w:tabs>
        <w:suppressAutoHyphens/>
        <w:autoSpaceDE w:val="0"/>
        <w:autoSpaceDN w:val="0"/>
        <w:ind w:right="-86"/>
        <w:rPr>
          <w:rFonts w:ascii="Times New Roman" w:hAnsi="Times New Roman" w:eastAsia="Source Sans Pro"/>
          <w:b/>
          <w:snapToGrid/>
          <w:szCs w:val="24"/>
          <w:lang w:bidi="en-US"/>
        </w:rPr>
      </w:pPr>
      <w:r>
        <w:rPr>
          <w:rFonts w:ascii="Times New Roman" w:hAnsi="Times New Roman" w:eastAsia="Source Sans Pro"/>
          <w:b/>
          <w:snapToGrid/>
          <w:szCs w:val="24"/>
          <w:lang w:bidi="en-US"/>
        </w:rPr>
        <w:tab/>
      </w:r>
      <w:r w:rsidRPr="004472AE" w:rsidR="004472AE">
        <w:rPr>
          <w:rFonts w:ascii="Times New Roman" w:hAnsi="Times New Roman" w:eastAsia="Source Sans Pro"/>
          <w:b/>
          <w:snapToGrid/>
          <w:szCs w:val="24"/>
          <w:lang w:bidi="en-US"/>
        </w:rPr>
        <w:t>Total Estimated Hourly Labor Compensation Rates</w:t>
      </w:r>
    </w:p>
    <w:p w:rsidR="00C82C81" w:rsidP="00C82C81" w:rsidRDefault="00C82C81">
      <w:pPr>
        <w:ind w:left="1440"/>
        <w:rPr>
          <w:rFonts w:ascii="Times New Roman" w:hAnsi="Times New Roman" w:eastAsia="Source Sans Pro"/>
          <w:snapToGrid/>
          <w:szCs w:val="24"/>
          <w:lang w:bidi="en-US"/>
        </w:rPr>
      </w:pPr>
    </w:p>
    <w:p w:rsidRPr="004472AE" w:rsidR="004472AE" w:rsidP="008932AC" w:rsidRDefault="004472AE">
      <w:pPr>
        <w:ind w:left="720"/>
        <w:rPr>
          <w:rFonts w:ascii="Times New Roman" w:hAnsi="Times New Roman" w:eastAsia="Source Sans Pro"/>
          <w:snapToGrid/>
          <w:szCs w:val="24"/>
          <w:lang w:bidi="en-US"/>
        </w:rPr>
      </w:pPr>
      <w:r w:rsidRPr="004472AE">
        <w:rPr>
          <w:rFonts w:ascii="Times New Roman" w:hAnsi="Times New Roman" w:eastAsia="Source Sans Pro"/>
          <w:snapToGrid/>
          <w:szCs w:val="24"/>
          <w:lang w:bidi="en-US"/>
        </w:rPr>
        <w:t xml:space="preserve">To estimate the average </w:t>
      </w:r>
      <w:r w:rsidRPr="00C82C81" w:rsidR="00C82C81">
        <w:rPr>
          <w:rFonts w:ascii="Times New Roman" w:hAnsi="Times New Roman" w:eastAsia="Source Sans Pro"/>
          <w:snapToGrid/>
          <w:szCs w:val="24"/>
          <w:lang w:bidi="en-US"/>
        </w:rPr>
        <w:t>cost of compensation per hour, FDIC</w:t>
      </w:r>
      <w:r w:rsidRPr="004472AE">
        <w:rPr>
          <w:rFonts w:ascii="Times New Roman" w:hAnsi="Times New Roman" w:eastAsia="Source Sans Pro"/>
          <w:snapToGrid/>
          <w:szCs w:val="24"/>
          <w:lang w:bidi="en-US"/>
        </w:rPr>
        <w:t xml:space="preserve"> use</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75</w:t>
      </w:r>
      <w:r w:rsidRPr="004472AE">
        <w:rPr>
          <w:rFonts w:ascii="Times New Roman" w:hAnsi="Times New Roman" w:eastAsia="Source Sans Pro"/>
          <w:snapToGrid/>
          <w:szCs w:val="24"/>
          <w:vertAlign w:val="superscript"/>
          <w:lang w:bidi="en-US"/>
        </w:rPr>
        <w:t>th</w:t>
      </w:r>
      <w:r w:rsidRPr="004472AE">
        <w:rPr>
          <w:rFonts w:ascii="Times New Roman" w:hAnsi="Times New Roman" w:eastAsia="Source Sans Pro"/>
          <w:snapToGrid/>
          <w:szCs w:val="24"/>
          <w:lang w:bidi="en-US"/>
        </w:rPr>
        <w:t xml:space="preserve"> percentile hourly wages reported by the Bureau of Labor Statistics (BLS) National </w:t>
      </w:r>
      <w:r w:rsidRPr="004472AE">
        <w:rPr>
          <w:rFonts w:ascii="Times New Roman" w:hAnsi="Times New Roman"/>
        </w:rPr>
        <w:t>Industry</w:t>
      </w:r>
      <w:r w:rsidRPr="004472AE">
        <w:rPr>
          <w:rFonts w:ascii="Times New Roman" w:hAnsi="Times New Roman" w:eastAsia="Source Sans Pro"/>
          <w:snapToGrid/>
          <w:szCs w:val="24"/>
          <w:lang w:bidi="en-US"/>
        </w:rPr>
        <w:t xml:space="preserve">-Specific Occupational </w:t>
      </w:r>
      <w:r w:rsidRPr="004472AE">
        <w:rPr>
          <w:rFonts w:ascii="Times New Roman" w:hAnsi="Times New Roman"/>
        </w:rPr>
        <w:t>Employment</w:t>
      </w:r>
      <w:r w:rsidRPr="004472AE">
        <w:rPr>
          <w:rFonts w:ascii="Times New Roman" w:hAnsi="Times New Roman" w:eastAsia="Source Sans Pro"/>
          <w:snapToGrid/>
          <w:szCs w:val="24"/>
          <w:lang w:bidi="en-US"/>
        </w:rPr>
        <w:t xml:space="preserve"> and Wage Estimates for the relevant occupations in the Depository Credit Intermediation sector, as of May 2020.  The reported hourly wage rates do not include non-monetary </w:t>
      </w:r>
      <w:r w:rsidRPr="004472AE">
        <w:rPr>
          <w:rFonts w:ascii="Times New Roman TUR" w:hAnsi="Times New Roman TUR" w:cs="Times New Roman TUR"/>
        </w:rPr>
        <w:t>compensation</w:t>
      </w:r>
      <w:r w:rsidRPr="004472AE">
        <w:rPr>
          <w:rFonts w:ascii="Times New Roman" w:hAnsi="Times New Roman" w:eastAsia="Source Sans Pro"/>
          <w:snapToGrid/>
          <w:szCs w:val="24"/>
          <w:lang w:bidi="en-US"/>
        </w:rPr>
        <w:t xml:space="preserve">.  According to the June 2021 Employer Cost of Employee Compensation data from BLS, compensation rates for health and other benefits make up 33.3 percent of total compensation. To account </w:t>
      </w:r>
      <w:r w:rsidRPr="00C82C81" w:rsidR="00C82C81">
        <w:rPr>
          <w:rFonts w:ascii="Times New Roman" w:hAnsi="Times New Roman" w:eastAsia="Source Sans Pro"/>
          <w:snapToGrid/>
          <w:szCs w:val="24"/>
          <w:lang w:bidi="en-US"/>
        </w:rPr>
        <w:t>for non-monetary compensation, FDIC</w:t>
      </w:r>
      <w:r w:rsidRPr="004472AE">
        <w:rPr>
          <w:rFonts w:ascii="Times New Roman" w:hAnsi="Times New Roman" w:eastAsia="Source Sans Pro"/>
          <w:snapToGrid/>
          <w:szCs w:val="24"/>
          <w:lang w:bidi="en-US"/>
        </w:rPr>
        <w:t xml:space="preserve"> divide</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hourly wage rates reported by BLS by (1 – 0.333). </w:t>
      </w:r>
      <w:r w:rsidRPr="00C82C81" w:rsidR="00C82C81">
        <w:rPr>
          <w:rFonts w:ascii="Times New Roman" w:hAnsi="Times New Roman" w:eastAsia="Source Sans Pro"/>
          <w:snapToGrid/>
          <w:szCs w:val="24"/>
          <w:lang w:bidi="en-US"/>
        </w:rPr>
        <w:t xml:space="preserve"> </w:t>
      </w:r>
      <w:r w:rsidRPr="004472AE">
        <w:rPr>
          <w:rFonts w:ascii="Times New Roman" w:hAnsi="Times New Roman" w:eastAsia="Source Sans Pro"/>
          <w:snapToGrid/>
          <w:szCs w:val="24"/>
          <w:lang w:bidi="en-US"/>
        </w:rPr>
        <w:t xml:space="preserve">Next, </w:t>
      </w:r>
      <w:r w:rsidRPr="00C82C81" w:rsidR="00C82C81">
        <w:rPr>
          <w:rFonts w:ascii="Times New Roman" w:hAnsi="Times New Roman" w:eastAsia="Source Sans Pro"/>
          <w:snapToGrid/>
          <w:szCs w:val="24"/>
          <w:lang w:bidi="en-US"/>
        </w:rPr>
        <w:t>FDIC</w:t>
      </w:r>
      <w:r w:rsidRPr="004472AE">
        <w:rPr>
          <w:rFonts w:ascii="Times New Roman" w:hAnsi="Times New Roman" w:eastAsia="Source Sans Pro"/>
          <w:snapToGrid/>
          <w:szCs w:val="24"/>
          <w:lang w:bidi="en-US"/>
        </w:rPr>
        <w:t xml:space="preserve"> adjust</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hourly wage by 5.97 percent based on changes in the Consumer Price Index for Urban Consumers (CPI-U) from May 2020 to June 2021 to account for inflation, and so that the wage rate is contemporaneous with the non-monetary compensation share data.</w:t>
      </w:r>
    </w:p>
    <w:p w:rsidRPr="004472AE" w:rsidR="004472AE" w:rsidP="004472AE" w:rsidRDefault="004472AE">
      <w:pPr>
        <w:suppressAutoHyphens/>
        <w:autoSpaceDE w:val="0"/>
        <w:autoSpaceDN w:val="0"/>
        <w:spacing w:after="120" w:line="276" w:lineRule="auto"/>
        <w:ind w:right="-86"/>
        <w:rPr>
          <w:rFonts w:ascii="Times New Roman" w:hAnsi="Times New Roman" w:eastAsia="Source Sans Pro"/>
          <w:snapToGrid/>
          <w:szCs w:val="24"/>
          <w:lang w:bidi="en-US"/>
        </w:rPr>
      </w:pPr>
    </w:p>
    <w:p w:rsidRPr="004472AE" w:rsidR="004472AE" w:rsidP="008932AC" w:rsidRDefault="004472AE">
      <w:pPr>
        <w:ind w:left="720"/>
        <w:rPr>
          <w:rFonts w:ascii="Times New Roman" w:hAnsi="Times New Roman" w:eastAsia="Source Sans Pro"/>
          <w:snapToGrid/>
          <w:color w:val="FF0000"/>
          <w:sz w:val="22"/>
          <w:szCs w:val="22"/>
          <w:lang w:bidi="en-US"/>
        </w:rPr>
      </w:pPr>
      <w:r w:rsidRPr="004472AE">
        <w:rPr>
          <w:rFonts w:ascii="Times New Roman" w:hAnsi="Times New Roman" w:eastAsia="Source Sans Pro"/>
          <w:snapToGrid/>
          <w:szCs w:val="24"/>
          <w:lang w:bidi="en-US"/>
        </w:rPr>
        <w:t xml:space="preserve">After </w:t>
      </w:r>
      <w:r w:rsidRPr="00C82C81" w:rsidR="00C82C81">
        <w:rPr>
          <w:rFonts w:ascii="Times New Roman" w:hAnsi="Times New Roman" w:eastAsia="Source Sans Pro"/>
          <w:snapToGrid/>
          <w:szCs w:val="24"/>
          <w:lang w:bidi="en-US"/>
        </w:rPr>
        <w:t>calculating these adjustments, FDIC</w:t>
      </w:r>
      <w:r w:rsidRPr="004472AE">
        <w:rPr>
          <w:rFonts w:ascii="Times New Roman" w:hAnsi="Times New Roman" w:eastAsia="Source Sans Pro"/>
          <w:snapToGrid/>
          <w:szCs w:val="24"/>
          <w:lang w:bidi="en-US"/>
        </w:rPr>
        <w:t xml:space="preserve"> weight</w:t>
      </w:r>
      <w:r w:rsidRPr="00C82C81" w:rsidR="00C82C81">
        <w:rPr>
          <w:rFonts w:ascii="Times New Roman" w:hAnsi="Times New Roman" w:eastAsia="Source Sans Pro"/>
          <w:snapToGrid/>
          <w:szCs w:val="24"/>
          <w:lang w:bidi="en-US"/>
        </w:rPr>
        <w:t>s</w:t>
      </w:r>
      <w:r w:rsidRPr="004472AE">
        <w:rPr>
          <w:rFonts w:ascii="Times New Roman" w:hAnsi="Times New Roman" w:eastAsia="Source Sans Pro"/>
          <w:snapToGrid/>
          <w:szCs w:val="24"/>
          <w:lang w:bidi="en-US"/>
        </w:rPr>
        <w:t xml:space="preserve"> the total hourly compensation for the </w:t>
      </w:r>
      <w:r w:rsidRPr="004472AE">
        <w:rPr>
          <w:rFonts w:ascii="Times New Roman" w:hAnsi="Times New Roman"/>
        </w:rPr>
        <w:t>occupations</w:t>
      </w:r>
      <w:r w:rsidRPr="004472AE">
        <w:rPr>
          <w:rFonts w:ascii="Times New Roman" w:hAnsi="Times New Roman" w:eastAsia="Source Sans Pro"/>
          <w:snapToGrid/>
          <w:szCs w:val="24"/>
          <w:lang w:bidi="en-US"/>
        </w:rPr>
        <w:t xml:space="preserve"> shown in Table 3 using </w:t>
      </w:r>
      <w:r w:rsidRPr="00C82C81" w:rsidR="00C82C81">
        <w:rPr>
          <w:rFonts w:ascii="Times New Roman" w:hAnsi="Times New Roman" w:eastAsia="Source Sans Pro"/>
          <w:snapToGrid/>
          <w:szCs w:val="24"/>
          <w:lang w:bidi="en-US"/>
        </w:rPr>
        <w:t>FDIC’</w:t>
      </w:r>
      <w:r w:rsidRPr="004472AE">
        <w:rPr>
          <w:rFonts w:ascii="Times New Roman" w:hAnsi="Times New Roman" w:eastAsia="Source Sans Pro"/>
          <w:snapToGrid/>
          <w:szCs w:val="24"/>
          <w:lang w:bidi="en-US"/>
        </w:rPr>
        <w:t xml:space="preserve">s estimated allocation of labor to find the estimated hourly cost of </w:t>
      </w:r>
      <w:r w:rsidRPr="004472AE">
        <w:rPr>
          <w:rFonts w:ascii="Times New Roman TUR" w:hAnsi="Times New Roman TUR" w:cs="Times New Roman TUR"/>
        </w:rPr>
        <w:t>complying</w:t>
      </w:r>
      <w:r w:rsidRPr="004472AE">
        <w:rPr>
          <w:rFonts w:ascii="Times New Roman" w:hAnsi="Times New Roman" w:eastAsia="Source Sans Pro"/>
          <w:snapToGrid/>
          <w:szCs w:val="24"/>
          <w:lang w:bidi="en-US"/>
        </w:rPr>
        <w:t xml:space="preserve"> with this IC. The </w:t>
      </w:r>
      <w:r w:rsidRPr="00C82C81" w:rsidR="00C82C81">
        <w:rPr>
          <w:rFonts w:ascii="Times New Roman" w:hAnsi="Times New Roman" w:eastAsia="Source Sans Pro"/>
          <w:snapToGrid/>
          <w:szCs w:val="24"/>
          <w:lang w:bidi="en-US"/>
        </w:rPr>
        <w:t>FDIC</w:t>
      </w:r>
      <w:r w:rsidRPr="004472AE">
        <w:rPr>
          <w:rFonts w:ascii="Times New Roman" w:hAnsi="Times New Roman" w:eastAsia="Source Sans Pro"/>
          <w:snapToGrid/>
          <w:szCs w:val="24"/>
          <w:lang w:bidi="en-US"/>
        </w:rPr>
        <w:t xml:space="preserve"> estimates that 68 percent of the labor is performed by Lawyers, 20 percent is performed by Executives and Managers, 8 percent is performed by Compliance Officers, and the remaining 4 percent is performed by Office and Administrative Support Occupations. These weights are identical to those used in the 2019 ICR’s estimated division of labor.</w:t>
      </w:r>
    </w:p>
    <w:p w:rsidRPr="004472AE" w:rsidR="004472AE" w:rsidP="004472AE" w:rsidRDefault="004472AE">
      <w:pPr>
        <w:suppressAutoHyphens/>
        <w:autoSpaceDE w:val="0"/>
        <w:autoSpaceDN w:val="0"/>
        <w:spacing w:after="120" w:line="260" w:lineRule="exact"/>
        <w:ind w:right="-86"/>
        <w:rPr>
          <w:rFonts w:ascii="Times New Roman" w:hAnsi="Times New Roman" w:eastAsia="Source Sans Pro"/>
          <w:snapToGrid/>
          <w:sz w:val="20"/>
          <w:lang w:bidi="en-US"/>
        </w:rPr>
      </w:pPr>
    </w:p>
    <w:tbl>
      <w:tblPr>
        <w:tblStyle w:val="TableGrid1"/>
        <w:tblW w:w="0" w:type="auto"/>
        <w:tblLook w:val="04A0" w:firstRow="1" w:lastRow="0" w:firstColumn="1" w:lastColumn="0" w:noHBand="0" w:noVBand="1"/>
      </w:tblPr>
      <w:tblGrid>
        <w:gridCol w:w="2785"/>
        <w:gridCol w:w="1889"/>
        <w:gridCol w:w="2338"/>
        <w:gridCol w:w="2338"/>
      </w:tblGrid>
      <w:tr w:rsidRPr="004472AE" w:rsidR="004472AE" w:rsidTr="00D17F47">
        <w:tc>
          <w:tcPr>
            <w:tcW w:w="9350" w:type="dxa"/>
            <w:gridSpan w:val="4"/>
          </w:tcPr>
          <w:p w:rsidRPr="004472AE" w:rsidR="004472AE" w:rsidP="004472AE" w:rsidRDefault="004472AE">
            <w:pPr>
              <w:suppressAutoHyphens/>
              <w:spacing w:after="120" w:line="260" w:lineRule="exact"/>
              <w:ind w:right="-86"/>
              <w:jc w:val="center"/>
              <w:rPr>
                <w:rFonts w:ascii="Times New Roman" w:hAnsi="Times New Roman" w:eastAsia="Source Sans Pro"/>
                <w:b/>
                <w:snapToGrid/>
                <w:sz w:val="18"/>
                <w:szCs w:val="18"/>
                <w:lang w:bidi="en-US"/>
              </w:rPr>
            </w:pPr>
            <w:r w:rsidRPr="004472AE">
              <w:rPr>
                <w:rFonts w:ascii="Times New Roman" w:hAnsi="Times New Roman" w:eastAsia="Source Sans Pro"/>
                <w:b/>
                <w:snapToGrid/>
                <w:sz w:val="18"/>
                <w:szCs w:val="18"/>
                <w:lang w:bidi="en-US"/>
              </w:rPr>
              <w:t>Table 2. Summary of Hourly Burden Cost Estimate (OMB No. 3064-0117)</w:t>
            </w:r>
          </w:p>
        </w:tc>
      </w:tr>
      <w:tr w:rsidRPr="004472AE" w:rsidR="004472AE" w:rsidTr="00D17F47">
        <w:trPr>
          <w:trHeight w:val="971"/>
        </w:trPr>
        <w:tc>
          <w:tcPr>
            <w:tcW w:w="2785"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Estimated category of personnel responsible for complying with the PRA</w:t>
            </w:r>
          </w:p>
        </w:tc>
        <w:tc>
          <w:tcPr>
            <w:tcW w:w="1889"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Total estimated hourly compensation</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Estimated weights</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Estimated total weighted labor cost component</w:t>
            </w:r>
          </w:p>
        </w:tc>
      </w:tr>
      <w:tr w:rsidRPr="004472AE" w:rsidR="004472AE" w:rsidTr="00D17F47">
        <w:trPr>
          <w:trHeight w:val="440"/>
        </w:trPr>
        <w:tc>
          <w:tcPr>
            <w:tcW w:w="2785"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Executives and managers*</w:t>
            </w:r>
          </w:p>
        </w:tc>
        <w:tc>
          <w:tcPr>
            <w:tcW w:w="1889"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$131.09</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20%</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$26.22</w:t>
            </w:r>
          </w:p>
        </w:tc>
      </w:tr>
      <w:tr w:rsidRPr="004472AE" w:rsidR="004472AE" w:rsidTr="00D17F47">
        <w:trPr>
          <w:trHeight w:val="440"/>
        </w:trPr>
        <w:tc>
          <w:tcPr>
            <w:tcW w:w="2785"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Compliance Officers**</w:t>
            </w:r>
          </w:p>
        </w:tc>
        <w:tc>
          <w:tcPr>
            <w:tcW w:w="1889"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$69.38</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8%</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$5.55</w:t>
            </w:r>
          </w:p>
        </w:tc>
      </w:tr>
      <w:tr w:rsidRPr="004472AE" w:rsidR="004472AE" w:rsidTr="00D17F47">
        <w:trPr>
          <w:trHeight w:val="440"/>
        </w:trPr>
        <w:tc>
          <w:tcPr>
            <w:tcW w:w="2785"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Lawyers***</w:t>
            </w:r>
          </w:p>
        </w:tc>
        <w:tc>
          <w:tcPr>
            <w:tcW w:w="1889"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$156.79</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68%</w:t>
            </w:r>
          </w:p>
        </w:tc>
        <w:tc>
          <w:tcPr>
            <w:tcW w:w="2338" w:type="dxa"/>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$106.62</w:t>
            </w:r>
          </w:p>
        </w:tc>
      </w:tr>
      <w:tr w:rsidRPr="004472AE" w:rsidR="004472AE" w:rsidTr="00D17F47">
        <w:trPr>
          <w:trHeight w:val="620"/>
        </w:trPr>
        <w:tc>
          <w:tcPr>
            <w:tcW w:w="2785" w:type="dxa"/>
            <w:tcBorders>
              <w:bottom w:val="single" w:color="auto" w:sz="4" w:space="0"/>
            </w:tcBorders>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lastRenderedPageBreak/>
              <w:t>Office and Administrative Support Occupations****</w:t>
            </w:r>
          </w:p>
        </w:tc>
        <w:tc>
          <w:tcPr>
            <w:tcW w:w="1889" w:type="dxa"/>
            <w:tcBorders>
              <w:bottom w:val="single" w:color="auto" w:sz="4" w:space="0"/>
            </w:tcBorders>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$35.62</w:t>
            </w:r>
          </w:p>
        </w:tc>
        <w:tc>
          <w:tcPr>
            <w:tcW w:w="2338" w:type="dxa"/>
            <w:tcBorders>
              <w:bottom w:val="single" w:color="auto" w:sz="4" w:space="0"/>
            </w:tcBorders>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4%</w:t>
            </w:r>
          </w:p>
        </w:tc>
        <w:tc>
          <w:tcPr>
            <w:tcW w:w="2338" w:type="dxa"/>
            <w:tcBorders>
              <w:bottom w:val="single" w:color="auto" w:sz="4" w:space="0"/>
            </w:tcBorders>
            <w:vAlign w:val="center"/>
          </w:tcPr>
          <w:p w:rsidRPr="004472AE" w:rsidR="004472AE" w:rsidP="004472AE" w:rsidRDefault="004472AE">
            <w:pPr>
              <w:suppressAutoHyphens/>
              <w:spacing w:after="120" w:line="260" w:lineRule="exact"/>
              <w:ind w:right="-86"/>
              <w:rPr>
                <w:rFonts w:ascii="Times New Roman" w:hAnsi="Times New Roman" w:eastAsia="Source Sans Pro"/>
                <w:snapToGrid/>
                <w:sz w:val="18"/>
                <w:szCs w:val="18"/>
                <w:lang w:bidi="en-US"/>
              </w:rPr>
            </w:pPr>
            <w:r w:rsidRPr="004472AE">
              <w:rPr>
                <w:rFonts w:ascii="Times New Roman" w:hAnsi="Times New Roman" w:eastAsia="Source Sans Pro"/>
                <w:snapToGrid/>
                <w:sz w:val="18"/>
                <w:szCs w:val="18"/>
                <w:lang w:bidi="en-US"/>
              </w:rPr>
              <w:t>$1.42</w:t>
            </w:r>
          </w:p>
        </w:tc>
      </w:tr>
      <w:tr w:rsidRPr="004472AE" w:rsidR="004472AE" w:rsidTr="00D17F47">
        <w:trPr>
          <w:trHeight w:val="620"/>
        </w:trPr>
        <w:tc>
          <w:tcPr>
            <w:tcW w:w="4674" w:type="dxa"/>
            <w:gridSpan w:val="2"/>
            <w:tcBorders>
              <w:bottom w:val="single" w:color="auto" w:sz="4" w:space="0"/>
            </w:tcBorders>
            <w:vAlign w:val="center"/>
          </w:tcPr>
          <w:p w:rsidRPr="004472AE" w:rsidR="004472AE" w:rsidP="004472AE" w:rsidRDefault="004472AE">
            <w:pPr>
              <w:suppressAutoHyphens/>
              <w:spacing w:after="120" w:line="260" w:lineRule="exact"/>
              <w:ind w:right="-86"/>
              <w:rPr>
                <w:rFonts w:ascii="Times New Roman" w:hAnsi="Times New Roman" w:eastAsia="Source Sans Pro"/>
                <w:b/>
                <w:snapToGrid/>
                <w:sz w:val="18"/>
                <w:szCs w:val="18"/>
                <w:lang w:bidi="en-US"/>
              </w:rPr>
            </w:pPr>
            <w:r w:rsidRPr="004472AE">
              <w:rPr>
                <w:rFonts w:ascii="Times New Roman" w:hAnsi="Times New Roman" w:eastAsia="Source Sans Pro"/>
                <w:b/>
                <w:snapToGrid/>
                <w:sz w:val="18"/>
                <w:szCs w:val="18"/>
                <w:lang w:bidi="en-US"/>
              </w:rPr>
              <w:t xml:space="preserve">Weighted Average Wage </w:t>
            </w:r>
          </w:p>
        </w:tc>
        <w:tc>
          <w:tcPr>
            <w:tcW w:w="2338" w:type="dxa"/>
            <w:tcBorders>
              <w:bottom w:val="single" w:color="auto" w:sz="4" w:space="0"/>
            </w:tcBorders>
            <w:vAlign w:val="center"/>
          </w:tcPr>
          <w:p w:rsidRPr="004472AE" w:rsidR="004472AE" w:rsidP="004472AE" w:rsidRDefault="004472AE">
            <w:pPr>
              <w:suppressAutoHyphens/>
              <w:spacing w:after="120" w:line="260" w:lineRule="exact"/>
              <w:ind w:right="-86"/>
              <w:rPr>
                <w:rFonts w:ascii="Times New Roman" w:hAnsi="Times New Roman" w:eastAsia="Source Sans Pro"/>
                <w:b/>
                <w:snapToGrid/>
                <w:sz w:val="18"/>
                <w:szCs w:val="18"/>
                <w:lang w:bidi="en-US"/>
              </w:rPr>
            </w:pPr>
            <w:r w:rsidRPr="004472AE">
              <w:rPr>
                <w:rFonts w:ascii="Times New Roman" w:hAnsi="Times New Roman" w:eastAsia="Source Sans Pro"/>
                <w:b/>
                <w:snapToGrid/>
                <w:sz w:val="18"/>
                <w:szCs w:val="18"/>
                <w:lang w:bidi="en-US"/>
              </w:rPr>
              <w:t>100%</w:t>
            </w:r>
          </w:p>
        </w:tc>
        <w:tc>
          <w:tcPr>
            <w:tcW w:w="2338" w:type="dxa"/>
            <w:tcBorders>
              <w:bottom w:val="single" w:color="auto" w:sz="4" w:space="0"/>
            </w:tcBorders>
            <w:vAlign w:val="center"/>
          </w:tcPr>
          <w:p w:rsidRPr="004472AE" w:rsidR="004472AE" w:rsidP="004472AE" w:rsidRDefault="004472AE">
            <w:pPr>
              <w:suppressAutoHyphens/>
              <w:spacing w:after="120" w:line="260" w:lineRule="exact"/>
              <w:ind w:right="-86"/>
              <w:rPr>
                <w:rFonts w:ascii="Times New Roman" w:hAnsi="Times New Roman" w:eastAsia="Source Sans Pro"/>
                <w:b/>
                <w:snapToGrid/>
                <w:sz w:val="18"/>
                <w:szCs w:val="18"/>
                <w:lang w:bidi="en-US"/>
              </w:rPr>
            </w:pPr>
            <w:r w:rsidRPr="004472AE">
              <w:rPr>
                <w:rFonts w:ascii="Times New Roman" w:hAnsi="Times New Roman" w:eastAsia="Source Sans Pro"/>
                <w:b/>
                <w:snapToGrid/>
                <w:sz w:val="18"/>
                <w:szCs w:val="18"/>
                <w:lang w:bidi="en-US"/>
              </w:rPr>
              <w:t>$139.81</w:t>
            </w:r>
          </w:p>
        </w:tc>
      </w:tr>
      <w:tr w:rsidRPr="004472AE" w:rsidR="004472AE" w:rsidTr="00D17F47">
        <w:trPr>
          <w:trHeight w:val="620"/>
        </w:trPr>
        <w:tc>
          <w:tcPr>
            <w:tcW w:w="9350" w:type="dxa"/>
            <w:gridSpan w:val="4"/>
            <w:tcBorders>
              <w:top w:val="single" w:color="auto" w:sz="4" w:space="0"/>
              <w:left w:val="nil"/>
              <w:bottom w:val="nil"/>
              <w:right w:val="nil"/>
            </w:tcBorders>
            <w:vAlign w:val="center"/>
          </w:tcPr>
          <w:p w:rsidRPr="004472AE" w:rsidR="004472AE" w:rsidP="004472AE" w:rsidRDefault="004472AE">
            <w:pPr>
              <w:keepNext/>
              <w:keepLines/>
              <w:widowControl/>
              <w:rPr>
                <w:rFonts w:ascii="Times New Roman" w:hAnsi="Times New Roman"/>
                <w:snapToGrid/>
                <w:color w:val="000000"/>
                <w:sz w:val="18"/>
                <w:szCs w:val="18"/>
              </w:rPr>
            </w:pPr>
            <w:r w:rsidRPr="004472AE">
              <w:rPr>
                <w:rFonts w:ascii="Times New Roman" w:hAnsi="Times New Roman"/>
                <w:snapToGrid/>
                <w:color w:val="000000"/>
                <w:sz w:val="18"/>
                <w:szCs w:val="18"/>
              </w:rPr>
              <w:t>Source: Bureau of Labor Statistics: "National Industry-Specific Occupational Employment and Wage Estimates: Industry: Credit Intermediation and Related Activities (5221 And 5223 only)" (May 2020), Employer Cost of Employee Compensation (June 2021), Consumer Price Index (June 2021).</w:t>
            </w:r>
          </w:p>
          <w:p w:rsidRPr="004472AE" w:rsidR="004472AE" w:rsidP="00C82C81" w:rsidRDefault="004472AE">
            <w:pPr>
              <w:suppressAutoHyphens/>
              <w:ind w:right="-86"/>
              <w:rPr>
                <w:rFonts w:ascii="Times New Roman" w:hAnsi="Times New Roman" w:eastAsia="Source Sans Pro"/>
                <w:snapToGrid/>
                <w:sz w:val="18"/>
                <w:szCs w:val="18"/>
              </w:rPr>
            </w:pPr>
            <w:r w:rsidRPr="004472AE">
              <w:rPr>
                <w:rFonts w:ascii="Times New Roman" w:hAnsi="Times New Roman" w:eastAsia="Source Sans Pro"/>
                <w:snapToGrid/>
                <w:sz w:val="18"/>
                <w:szCs w:val="18"/>
              </w:rPr>
              <w:t>*</w:t>
            </w:r>
            <w:r w:rsidRPr="004472AE">
              <w:rPr>
                <w:rFonts w:ascii="Times New Roman" w:hAnsi="Times New Roman" w:eastAsia="Source Sans Pro"/>
                <w:snapToGrid/>
                <w:sz w:val="18"/>
                <w:szCs w:val="18"/>
                <w:lang w:bidi="en-US"/>
              </w:rPr>
              <w:t xml:space="preserve"> </w:t>
            </w:r>
            <w:r w:rsidRPr="004472AE">
              <w:rPr>
                <w:rFonts w:ascii="Times New Roman" w:hAnsi="Times New Roman" w:eastAsia="Source Sans Pro"/>
                <w:snapToGrid/>
                <w:sz w:val="18"/>
                <w:szCs w:val="18"/>
              </w:rPr>
              <w:t>Occupation (SOC Code): Management Occupations (110000)</w:t>
            </w:r>
          </w:p>
          <w:p w:rsidRPr="004472AE" w:rsidR="004472AE" w:rsidP="00C82C81" w:rsidRDefault="004472AE">
            <w:pPr>
              <w:suppressAutoHyphens/>
              <w:ind w:right="-86"/>
              <w:rPr>
                <w:rFonts w:ascii="Times New Roman" w:hAnsi="Times New Roman" w:eastAsia="Source Sans Pro"/>
                <w:snapToGrid/>
                <w:sz w:val="18"/>
                <w:szCs w:val="18"/>
              </w:rPr>
            </w:pPr>
            <w:r w:rsidRPr="004472AE">
              <w:rPr>
                <w:rFonts w:ascii="Times New Roman" w:hAnsi="Times New Roman" w:eastAsia="Source Sans Pro"/>
                <w:snapToGrid/>
                <w:sz w:val="18"/>
                <w:szCs w:val="18"/>
              </w:rPr>
              <w:t>**  Occupation (SOC Code): Compliance Officers (131040)</w:t>
            </w:r>
          </w:p>
          <w:p w:rsidRPr="004472AE" w:rsidR="004472AE" w:rsidP="00C82C81" w:rsidRDefault="004472AE">
            <w:pPr>
              <w:suppressAutoHyphens/>
              <w:ind w:right="-86"/>
              <w:rPr>
                <w:rFonts w:ascii="Times New Roman" w:hAnsi="Times New Roman" w:eastAsia="Source Sans Pro"/>
                <w:snapToGrid/>
                <w:sz w:val="18"/>
                <w:szCs w:val="18"/>
              </w:rPr>
            </w:pPr>
            <w:r w:rsidRPr="004472AE">
              <w:rPr>
                <w:rFonts w:ascii="Times New Roman" w:hAnsi="Times New Roman" w:eastAsia="Source Sans Pro"/>
                <w:snapToGrid/>
                <w:sz w:val="18"/>
                <w:szCs w:val="18"/>
              </w:rPr>
              <w:t>***  Occupation (SOC Code): Legal Occupations (230000)</w:t>
            </w:r>
          </w:p>
          <w:p w:rsidRPr="004472AE" w:rsidR="004472AE" w:rsidP="00C82C81" w:rsidRDefault="004472AE">
            <w:pPr>
              <w:suppressAutoHyphens/>
              <w:ind w:right="-86"/>
              <w:rPr>
                <w:rFonts w:ascii="Times New Roman" w:hAnsi="Times New Roman" w:eastAsia="Source Sans Pro"/>
                <w:snapToGrid/>
                <w:sz w:val="18"/>
                <w:szCs w:val="18"/>
              </w:rPr>
            </w:pPr>
            <w:r w:rsidRPr="004472AE">
              <w:rPr>
                <w:rFonts w:ascii="Times New Roman" w:hAnsi="Times New Roman" w:eastAsia="Source Sans Pro"/>
                <w:snapToGrid/>
                <w:sz w:val="18"/>
                <w:szCs w:val="18"/>
              </w:rPr>
              <w:t>****  Office and Administrative Support Occupations (430000)</w:t>
            </w:r>
            <w:r w:rsidRPr="004472AE">
              <w:rPr>
                <w:rFonts w:ascii="Times New Roman" w:hAnsi="Times New Roman" w:eastAsia="Source Sans Pro"/>
                <w:snapToGrid/>
                <w:sz w:val="18"/>
                <w:szCs w:val="18"/>
              </w:rPr>
              <w:tab/>
            </w:r>
          </w:p>
        </w:tc>
      </w:tr>
    </w:tbl>
    <w:p w:rsidRPr="004472AE" w:rsidR="004472AE" w:rsidP="004472AE" w:rsidRDefault="004472AE">
      <w:pPr>
        <w:suppressAutoHyphens/>
        <w:autoSpaceDE w:val="0"/>
        <w:autoSpaceDN w:val="0"/>
        <w:spacing w:after="120" w:line="260" w:lineRule="exact"/>
        <w:ind w:right="-86"/>
        <w:rPr>
          <w:rFonts w:ascii="Times New Roman" w:hAnsi="Times New Roman" w:eastAsia="Source Sans Pro"/>
          <w:snapToGrid/>
          <w:sz w:val="20"/>
          <w:lang w:bidi="en-US"/>
        </w:rPr>
      </w:pPr>
    </w:p>
    <w:p w:rsidRPr="004472AE" w:rsidR="004472AE" w:rsidP="00C82C81" w:rsidRDefault="004472AE">
      <w:pPr>
        <w:suppressAutoHyphens/>
        <w:autoSpaceDE w:val="0"/>
        <w:autoSpaceDN w:val="0"/>
        <w:spacing w:after="120" w:line="260" w:lineRule="exact"/>
        <w:ind w:left="720" w:right="-86" w:firstLine="720"/>
        <w:rPr>
          <w:rFonts w:ascii="Times New Roman" w:hAnsi="Times New Roman" w:eastAsia="Source Sans Pro"/>
          <w:snapToGrid/>
          <w:szCs w:val="24"/>
          <w:lang w:bidi="en-US"/>
        </w:rPr>
      </w:pPr>
      <w:r w:rsidRPr="004472AE">
        <w:rPr>
          <w:rFonts w:ascii="Times New Roman" w:hAnsi="Times New Roman" w:eastAsia="Source Sans Pro"/>
          <w:snapToGrid/>
          <w:szCs w:val="24"/>
          <w:lang w:bidi="en-US"/>
        </w:rPr>
        <w:fldChar w:fldCharType="begin"/>
      </w:r>
      <w:r w:rsidRPr="004472AE">
        <w:rPr>
          <w:rFonts w:ascii="Times New Roman" w:hAnsi="Times New Roman" w:eastAsia="Source Sans Pro"/>
          <w:snapToGrid/>
          <w:szCs w:val="24"/>
          <w:lang w:bidi="en-US"/>
        </w:rPr>
        <w:instrText xml:space="preserve"> LINK Excel.Sheet.12 "\\\\VASWRES004P\\EBreitenstein$\\U Projects\\Reg Analysis\\ICRs\\Notice of Branch Closure ICR\\2021\\Derek S. Burden Table.xlsx" "cost_table!R2C7:R18C10" \a \f 4 \h  \* MERGEFORMAT </w:instrText>
      </w:r>
      <w:r w:rsidRPr="004472AE">
        <w:rPr>
          <w:rFonts w:ascii="Times New Roman" w:hAnsi="Times New Roman" w:eastAsia="Source Sans Pro"/>
          <w:snapToGrid/>
          <w:szCs w:val="24"/>
          <w:lang w:bidi="en-US"/>
        </w:rPr>
        <w:fldChar w:fldCharType="end"/>
      </w:r>
      <w:r w:rsidRPr="004472AE">
        <w:rPr>
          <w:rFonts w:ascii="Times New Roman" w:hAnsi="Times New Roman" w:eastAsia="Source Sans Pro"/>
          <w:b/>
          <w:snapToGrid/>
          <w:szCs w:val="24"/>
          <w:lang w:bidi="en-US"/>
        </w:rPr>
        <w:t>Total Estimated Compliance Cost</w:t>
      </w:r>
    </w:p>
    <w:p w:rsidRPr="004472AE" w:rsidR="004472AE" w:rsidP="008932AC" w:rsidRDefault="00C82C81">
      <w:pPr>
        <w:ind w:left="720"/>
        <w:rPr>
          <w:rFonts w:ascii="Times New Roman" w:hAnsi="Times New Roman" w:eastAsia="Source Sans Pro"/>
          <w:snapToGrid/>
          <w:szCs w:val="24"/>
          <w:lang w:bidi="en-US"/>
        </w:rPr>
      </w:pPr>
      <w:r w:rsidRPr="00C82C81">
        <w:rPr>
          <w:rFonts w:ascii="Times New Roman" w:hAnsi="Times New Roman" w:eastAsia="Source Sans Pro"/>
          <w:snapToGrid/>
          <w:szCs w:val="24"/>
          <w:lang w:bidi="en-US"/>
        </w:rPr>
        <w:t>FDIC</w:t>
      </w:r>
      <w:r w:rsidRPr="004472AE" w:rsidR="004472AE">
        <w:rPr>
          <w:rFonts w:ascii="Times New Roman" w:hAnsi="Times New Roman" w:eastAsia="Source Sans Pro"/>
          <w:snapToGrid/>
          <w:szCs w:val="24"/>
          <w:lang w:bidi="en-US"/>
        </w:rPr>
        <w:t xml:space="preserve"> estimate</w:t>
      </w:r>
      <w:r w:rsidRPr="00C82C81">
        <w:rPr>
          <w:rFonts w:ascii="Times New Roman" w:hAnsi="Times New Roman" w:eastAsia="Source Sans Pro"/>
          <w:snapToGrid/>
          <w:szCs w:val="24"/>
          <w:lang w:bidi="en-US"/>
        </w:rPr>
        <w:t>s</w:t>
      </w:r>
      <w:r w:rsidRPr="004472AE" w:rsidR="004472AE">
        <w:rPr>
          <w:rFonts w:ascii="Times New Roman" w:hAnsi="Times New Roman" w:eastAsia="Source Sans Pro"/>
          <w:snapToGrid/>
          <w:szCs w:val="24"/>
          <w:lang w:bidi="en-US"/>
        </w:rPr>
        <w:t xml:space="preserve"> the total annual cost burden for OMB No. 3064-0117 by multiplying the total annual estimated </w:t>
      </w:r>
      <w:r w:rsidRPr="004472AE" w:rsidR="004472AE">
        <w:rPr>
          <w:rFonts w:ascii="Times New Roman TUR" w:hAnsi="Times New Roman TUR" w:cs="Times New Roman TUR"/>
        </w:rPr>
        <w:t>burden</w:t>
      </w:r>
      <w:r w:rsidRPr="004472AE" w:rsidR="004472AE">
        <w:rPr>
          <w:rFonts w:ascii="Times New Roman" w:hAnsi="Times New Roman" w:eastAsia="Source Sans Pro"/>
          <w:snapToGrid/>
          <w:szCs w:val="24"/>
          <w:lang w:bidi="en-US"/>
        </w:rPr>
        <w:t xml:space="preserve"> hours</w:t>
      </w:r>
      <w:r w:rsidRPr="00C82C81">
        <w:rPr>
          <w:rFonts w:ascii="Times New Roman" w:hAnsi="Times New Roman" w:eastAsia="Source Sans Pro"/>
          <w:snapToGrid/>
          <w:szCs w:val="24"/>
          <w:lang w:bidi="en-US"/>
        </w:rPr>
        <w:t xml:space="preserve"> for this IC reported in Table 1</w:t>
      </w:r>
      <w:r w:rsidRPr="004472AE" w:rsidR="004472AE">
        <w:rPr>
          <w:rFonts w:ascii="Times New Roman" w:hAnsi="Times New Roman" w:eastAsia="Source Sans Pro"/>
          <w:snapToGrid/>
          <w:szCs w:val="24"/>
          <w:lang w:bidi="en-US"/>
        </w:rPr>
        <w:t xml:space="preserve"> by the weighted average hourly </w:t>
      </w:r>
      <w:r w:rsidRPr="004472AE" w:rsidR="004472AE">
        <w:rPr>
          <w:rFonts w:ascii="Times New Roman" w:hAnsi="Times New Roman"/>
        </w:rPr>
        <w:t>compensat</w:t>
      </w:r>
      <w:r w:rsidRPr="008932AC">
        <w:rPr>
          <w:rFonts w:ascii="Times New Roman" w:hAnsi="Times New Roman"/>
        </w:rPr>
        <w:t>ion</w:t>
      </w:r>
      <w:r w:rsidRPr="00C82C81">
        <w:rPr>
          <w:rFonts w:ascii="Times New Roman" w:hAnsi="Times New Roman" w:eastAsia="Source Sans Pro"/>
          <w:snapToGrid/>
          <w:szCs w:val="24"/>
          <w:lang w:bidi="en-US"/>
        </w:rPr>
        <w:t xml:space="preserve"> estimate reported in Table 2</w:t>
      </w:r>
      <w:r w:rsidRPr="004472AE" w:rsidR="004472AE">
        <w:rPr>
          <w:rFonts w:ascii="Times New Roman" w:hAnsi="Times New Roman" w:eastAsia="Source Sans Pro"/>
          <w:snapToGrid/>
          <w:szCs w:val="24"/>
          <w:lang w:bidi="en-US"/>
        </w:rPr>
        <w:t xml:space="preserve">. The total annual </w:t>
      </w:r>
      <w:r w:rsidRPr="004472AE" w:rsidR="004472AE">
        <w:rPr>
          <w:rFonts w:ascii="Times New Roman" w:hAnsi="Times New Roman"/>
        </w:rPr>
        <w:t>cost</w:t>
      </w:r>
      <w:r w:rsidRPr="004472AE" w:rsidR="004472AE">
        <w:rPr>
          <w:rFonts w:ascii="Times New Roman" w:hAnsi="Times New Roman" w:eastAsia="Source Sans Pro"/>
          <w:snapToGrid/>
          <w:szCs w:val="24"/>
          <w:lang w:bidi="en-US"/>
        </w:rPr>
        <w:t xml:space="preserve"> burden for this IC is estimated as: 1,250 hours / year * $139.81 / hour = </w:t>
      </w:r>
      <w:r w:rsidRPr="004472AE" w:rsidR="004472AE">
        <w:rPr>
          <w:rFonts w:ascii="Times New Roman" w:hAnsi="Times New Roman" w:eastAsia="Source Sans Pro"/>
          <w:b/>
          <w:snapToGrid/>
          <w:szCs w:val="24"/>
          <w:lang w:bidi="en-US"/>
        </w:rPr>
        <w:t xml:space="preserve">$174,762.50 </w:t>
      </w:r>
      <w:r w:rsidRPr="004472AE" w:rsidR="004472AE">
        <w:rPr>
          <w:rFonts w:ascii="Times New Roman" w:hAnsi="Times New Roman" w:eastAsia="Source Sans Pro"/>
          <w:snapToGrid/>
          <w:color w:val="000000"/>
          <w:szCs w:val="24"/>
          <w:lang w:bidi="en-US"/>
        </w:rPr>
        <w:t>per</w:t>
      </w:r>
      <w:r w:rsidRPr="004472AE" w:rsidR="004472AE">
        <w:rPr>
          <w:rFonts w:ascii="Times New Roman" w:hAnsi="Times New Roman" w:eastAsia="Source Sans Pro"/>
          <w:snapToGrid/>
          <w:szCs w:val="24"/>
          <w:lang w:bidi="en-US"/>
        </w:rPr>
        <w:t xml:space="preserve"> year.</w:t>
      </w:r>
    </w:p>
    <w:p w:rsidR="00731A90" w:rsidRDefault="00731A90">
      <w:pPr>
        <w:ind w:firstLine="720"/>
        <w:rPr>
          <w:rFonts w:ascii="Times New Roman" w:hAnsi="Times New Roman"/>
        </w:rPr>
      </w:pPr>
    </w:p>
    <w:p w:rsidR="00731A90" w:rsidP="00A104B7" w:rsidRDefault="00731A90">
      <w:pPr>
        <w:rPr>
          <w:rFonts w:ascii="Times New Roman" w:hAnsi="Times New Roman"/>
        </w:rPr>
      </w:pPr>
      <w:r>
        <w:rPr>
          <w:rFonts w:ascii="Times New Roman" w:hAnsi="Times New Roman"/>
        </w:rPr>
        <w:t>13.</w:t>
      </w:r>
      <w:r>
        <w:rPr>
          <w:rFonts w:ascii="Times New Roman" w:hAnsi="Times New Roman"/>
        </w:rPr>
        <w:tab/>
      </w:r>
      <w:r w:rsidRPr="009E4FE6" w:rsidR="009E4FE6">
        <w:rPr>
          <w:rFonts w:ascii="Times New Roman" w:hAnsi="Times New Roman"/>
          <w:bCs/>
          <w:u w:val="single"/>
        </w:rPr>
        <w:t xml:space="preserve">Estimate of </w:t>
      </w:r>
      <w:r w:rsidR="00817DAE">
        <w:rPr>
          <w:rFonts w:ascii="Times New Roman" w:hAnsi="Times New Roman"/>
          <w:bCs/>
          <w:u w:val="single"/>
        </w:rPr>
        <w:t>s</w:t>
      </w:r>
      <w:r w:rsidRPr="009E4FE6" w:rsidR="009E4FE6">
        <w:rPr>
          <w:rFonts w:ascii="Times New Roman" w:hAnsi="Times New Roman"/>
          <w:bCs/>
          <w:u w:val="single"/>
        </w:rPr>
        <w:t xml:space="preserve">tart-up </w:t>
      </w:r>
      <w:r w:rsidR="00817DAE">
        <w:rPr>
          <w:rFonts w:ascii="Times New Roman" w:hAnsi="Times New Roman"/>
          <w:bCs/>
          <w:u w:val="single"/>
        </w:rPr>
        <w:t>c</w:t>
      </w:r>
      <w:r w:rsidRPr="009E4FE6" w:rsidR="009E4FE6">
        <w:rPr>
          <w:rFonts w:ascii="Times New Roman" w:hAnsi="Times New Roman"/>
          <w:bCs/>
          <w:u w:val="single"/>
        </w:rPr>
        <w:t xml:space="preserve">osts to </w:t>
      </w:r>
      <w:r w:rsidR="00817DAE">
        <w:rPr>
          <w:rFonts w:ascii="Times New Roman" w:hAnsi="Times New Roman"/>
          <w:bCs/>
          <w:u w:val="single"/>
        </w:rPr>
        <w:t>r</w:t>
      </w:r>
      <w:r w:rsidRPr="009E4FE6" w:rsidR="009E4FE6">
        <w:rPr>
          <w:rFonts w:ascii="Times New Roman" w:hAnsi="Times New Roman"/>
          <w:bCs/>
          <w:u w:val="single"/>
        </w:rPr>
        <w:t>espondents:</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None. </w:t>
      </w:r>
    </w:p>
    <w:p w:rsidR="00731A90" w:rsidRDefault="00731A90">
      <w:pPr>
        <w:rPr>
          <w:rFonts w:ascii="Times New Roman" w:hAnsi="Times New Roman"/>
        </w:rPr>
      </w:pP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14.</w:t>
      </w:r>
      <w:r>
        <w:rPr>
          <w:rFonts w:ascii="Times New Roman" w:hAnsi="Times New Roman"/>
        </w:rPr>
        <w:tab/>
      </w:r>
      <w:r w:rsidRPr="00817DAE" w:rsidR="00817DAE">
        <w:rPr>
          <w:rFonts w:ascii="Times New Roman" w:hAnsi="Times New Roman"/>
          <w:bCs/>
          <w:u w:val="single"/>
        </w:rPr>
        <w:t>Estimate of annualized costs to the government:</w:t>
      </w:r>
    </w:p>
    <w:p w:rsidR="00731A90" w:rsidRDefault="00731A90">
      <w:pPr>
        <w:rPr>
          <w:rFonts w:ascii="Times New Roman" w:hAnsi="Times New Roman"/>
        </w:rPr>
      </w:pPr>
    </w:p>
    <w:p w:rsidR="00731A90" w:rsidP="008932AC" w:rsidRDefault="007C1599">
      <w:pPr>
        <w:ind w:left="720"/>
        <w:rPr>
          <w:rFonts w:ascii="Times New Roman" w:hAnsi="Times New Roman"/>
        </w:rPr>
      </w:pPr>
      <w:r>
        <w:rPr>
          <w:rFonts w:ascii="Times New Roman" w:hAnsi="Times New Roman"/>
        </w:rPr>
        <w:t>None.</w:t>
      </w:r>
    </w:p>
    <w:p w:rsidR="007C1599" w:rsidRDefault="007C1599">
      <w:pPr>
        <w:rPr>
          <w:rFonts w:ascii="Times New Roman" w:hAnsi="Times New Roman"/>
        </w:rPr>
      </w:pPr>
    </w:p>
    <w:p w:rsidR="00731A90" w:rsidP="00A104B7" w:rsidRDefault="00731A90">
      <w:pPr>
        <w:rPr>
          <w:rFonts w:ascii="Times New Roman" w:hAnsi="Times New Roman"/>
        </w:rPr>
      </w:pPr>
      <w:r>
        <w:rPr>
          <w:rFonts w:ascii="Times New Roman" w:hAnsi="Times New Roman"/>
        </w:rPr>
        <w:t>15.</w:t>
      </w:r>
      <w:r>
        <w:rPr>
          <w:rFonts w:ascii="Times New Roman" w:hAnsi="Times New Roman"/>
        </w:rPr>
        <w:tab/>
      </w:r>
      <w:r w:rsidRPr="00817DAE" w:rsidR="00817DAE">
        <w:rPr>
          <w:rFonts w:ascii="Times New Roman" w:hAnsi="Times New Roman"/>
          <w:u w:val="single"/>
        </w:rPr>
        <w:t>Analysis of change in burden:</w:t>
      </w:r>
      <w:r>
        <w:rPr>
          <w:rFonts w:ascii="Times New Roman" w:hAnsi="Times New Roman"/>
          <w:u w:val="single"/>
        </w:rPr>
        <w:t xml:space="preserve"> </w:t>
      </w:r>
    </w:p>
    <w:p w:rsidR="00731A90" w:rsidRDefault="00731A90">
      <w:pPr>
        <w:rPr>
          <w:rFonts w:ascii="Times New Roman" w:hAnsi="Times New Roman"/>
        </w:rPr>
      </w:pPr>
    </w:p>
    <w:p w:rsidR="00731A90" w:rsidP="008932AC" w:rsidRDefault="007C1599">
      <w:pPr>
        <w:ind w:left="720"/>
        <w:rPr>
          <w:rFonts w:ascii="Times New Roman" w:hAnsi="Times New Roman"/>
        </w:rPr>
      </w:pPr>
      <w:r w:rsidRPr="007C1599">
        <w:rPr>
          <w:rFonts w:ascii="Times New Roman" w:hAnsi="Times New Roman"/>
        </w:rPr>
        <w:t>There is no change in the method or substance of the collection.  The</w:t>
      </w:r>
      <w:r w:rsidR="00C82C81">
        <w:rPr>
          <w:rFonts w:ascii="Times New Roman" w:hAnsi="Times New Roman"/>
        </w:rPr>
        <w:t>re is no change in the estimated annual burden.</w:t>
      </w:r>
      <w:r w:rsidR="00731A90">
        <w:rPr>
          <w:rFonts w:ascii="Times New Roman" w:hAnsi="Times New Roman"/>
        </w:rPr>
        <w:t xml:space="preserve">   </w:t>
      </w:r>
    </w:p>
    <w:p w:rsidR="00731A90" w:rsidRDefault="00731A90">
      <w:pPr>
        <w:rPr>
          <w:rFonts w:ascii="Times New Roman" w:hAnsi="Times New Roman"/>
        </w:rPr>
      </w:pPr>
    </w:p>
    <w:p w:rsidR="00731A90" w:rsidP="00A104B7" w:rsidRDefault="00731A90">
      <w:pPr>
        <w:ind w:left="720" w:hanging="720"/>
        <w:rPr>
          <w:rFonts w:ascii="Times New Roman" w:hAnsi="Times New Roman"/>
        </w:rPr>
      </w:pPr>
      <w:r>
        <w:rPr>
          <w:rFonts w:ascii="Times New Roman" w:hAnsi="Times New Roman"/>
        </w:rPr>
        <w:t>16.</w:t>
      </w:r>
      <w:r>
        <w:rPr>
          <w:rFonts w:ascii="Times New Roman" w:hAnsi="Times New Roman"/>
        </w:rPr>
        <w:tab/>
      </w:r>
      <w:r w:rsidRPr="00817DAE" w:rsidR="00817DAE">
        <w:rPr>
          <w:rFonts w:ascii="Times New Roman TUR" w:hAnsi="Times New Roman TUR" w:cs="Times New Roman TUR"/>
          <w:bCs/>
          <w:u w:val="single"/>
        </w:rPr>
        <w:t>Information</w:t>
      </w:r>
      <w:r w:rsidRPr="00817DAE" w:rsidR="00817DAE">
        <w:rPr>
          <w:rFonts w:ascii="Times New Roman" w:hAnsi="Times New Roman"/>
          <w:bCs/>
          <w:u w:val="single"/>
        </w:rPr>
        <w:t xml:space="preserve"> regarding collections whose results are planned to be published for statistical use:</w:t>
      </w:r>
      <w:r>
        <w:rPr>
          <w:rFonts w:ascii="Times New Roman" w:hAnsi="Times New Roman"/>
        </w:rPr>
        <w:t xml:space="preserve"> </w:t>
      </w:r>
    </w:p>
    <w:p w:rsidR="00731A90" w:rsidRDefault="00731A90">
      <w:pPr>
        <w:rPr>
          <w:rFonts w:ascii="Times New Roman" w:hAnsi="Times New Roman"/>
        </w:rPr>
      </w:pPr>
    </w:p>
    <w:p w:rsidR="00731A90" w:rsidP="008932AC" w:rsidRDefault="00817DAE">
      <w:pPr>
        <w:ind w:left="720"/>
        <w:rPr>
          <w:rFonts w:ascii="Times New Roman" w:hAnsi="Times New Roman"/>
        </w:rPr>
      </w:pPr>
      <w:r w:rsidRPr="00817DAE">
        <w:rPr>
          <w:rFonts w:ascii="Times New Roman" w:hAnsi="Times New Roman"/>
        </w:rPr>
        <w:t xml:space="preserve">The </w:t>
      </w:r>
      <w:r w:rsidRPr="00A104B7">
        <w:rPr>
          <w:rFonts w:ascii="Times New Roman" w:hAnsi="Times New Roman" w:eastAsia="Source Sans Pro"/>
          <w:snapToGrid/>
          <w:szCs w:val="24"/>
          <w:lang w:bidi="en-US"/>
        </w:rPr>
        <w:t>results</w:t>
      </w:r>
      <w:r w:rsidRPr="00817DAE">
        <w:rPr>
          <w:rFonts w:ascii="Times New Roman" w:hAnsi="Times New Roman"/>
        </w:rPr>
        <w:t xml:space="preserve"> of this collection will not be published for statistical use.</w:t>
      </w:r>
    </w:p>
    <w:p w:rsidR="00731A90" w:rsidRDefault="00731A90">
      <w:pPr>
        <w:rPr>
          <w:rFonts w:ascii="Times New Roman" w:hAnsi="Times New Roman"/>
        </w:rPr>
      </w:pPr>
    </w:p>
    <w:p w:rsidR="00731A90" w:rsidP="00A104B7" w:rsidRDefault="00731A90">
      <w:pPr>
        <w:rPr>
          <w:rFonts w:ascii="Times New Roman" w:hAnsi="Times New Roman"/>
        </w:rPr>
      </w:pPr>
      <w:r>
        <w:rPr>
          <w:rFonts w:ascii="Times New Roman" w:hAnsi="Times New Roman"/>
        </w:rPr>
        <w:t>17.</w:t>
      </w:r>
      <w:r>
        <w:rPr>
          <w:rFonts w:ascii="Times New Roman" w:hAnsi="Times New Roman"/>
        </w:rPr>
        <w:tab/>
      </w:r>
      <w:r w:rsidR="00817DAE">
        <w:rPr>
          <w:rFonts w:ascii="Times New Roman" w:hAnsi="Times New Roman"/>
          <w:u w:val="single"/>
        </w:rPr>
        <w:t>Display of expiration d</w:t>
      </w:r>
      <w:r>
        <w:rPr>
          <w:rFonts w:ascii="Times New Roman" w:hAnsi="Times New Roman"/>
          <w:u w:val="single"/>
        </w:rPr>
        <w:t>ate</w:t>
      </w:r>
      <w:r>
        <w:rPr>
          <w:rFonts w:ascii="Times New Roman" w:hAnsi="Times New Roman"/>
        </w:rPr>
        <w:t xml:space="preserve"> </w:t>
      </w:r>
    </w:p>
    <w:p w:rsidR="00731A90" w:rsidRDefault="00731A90">
      <w:pPr>
        <w:rPr>
          <w:rFonts w:ascii="Times New Roman" w:hAnsi="Times New Roman"/>
        </w:rPr>
      </w:pPr>
    </w:p>
    <w:p w:rsidR="00731A90" w:rsidP="008932AC" w:rsidRDefault="00731A90">
      <w:pPr>
        <w:ind w:left="720"/>
        <w:rPr>
          <w:rFonts w:ascii="Times New Roman" w:hAnsi="Times New Roman"/>
        </w:rPr>
      </w:pPr>
      <w:r>
        <w:rPr>
          <w:rFonts w:ascii="Times New Roman" w:hAnsi="Times New Roman"/>
        </w:rPr>
        <w:t xml:space="preserve">Not </w:t>
      </w:r>
      <w:r w:rsidRPr="008932AC">
        <w:rPr>
          <w:rFonts w:ascii="Times New Roman" w:hAnsi="Times New Roman"/>
        </w:rPr>
        <w:t>applicable</w:t>
      </w:r>
      <w:r>
        <w:rPr>
          <w:rFonts w:ascii="Times New Roman" w:hAnsi="Times New Roman"/>
        </w:rPr>
        <w:t>.</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numPr>
          <w:ilvl w:val="0"/>
          <w:numId w:val="3"/>
        </w:numPr>
        <w:rPr>
          <w:rFonts w:ascii="Times New Roman" w:hAnsi="Times New Roman"/>
          <w:u w:val="single"/>
        </w:rPr>
      </w:pPr>
      <w:r>
        <w:rPr>
          <w:rFonts w:ascii="Times New Roman" w:hAnsi="Times New Roman"/>
          <w:u w:val="single"/>
        </w:rPr>
        <w:t xml:space="preserve">STATISTICAL METHODS </w:t>
      </w:r>
    </w:p>
    <w:p w:rsidR="00731A90" w:rsidRDefault="00731A90">
      <w:pPr>
        <w:rPr>
          <w:rFonts w:ascii="Times New Roman" w:hAnsi="Times New Roman"/>
          <w:u w:val="single"/>
        </w:rPr>
      </w:pPr>
    </w:p>
    <w:p w:rsidR="00731A90" w:rsidP="008932AC" w:rsidRDefault="00731A90">
      <w:pPr>
        <w:ind w:left="720"/>
        <w:rPr>
          <w:rFonts w:ascii="Times New Roman" w:hAnsi="Times New Roman"/>
        </w:rPr>
      </w:pPr>
      <w:r>
        <w:rPr>
          <w:rFonts w:ascii="Times New Roman" w:hAnsi="Times New Roman"/>
        </w:rPr>
        <w:t xml:space="preserve">Not </w:t>
      </w:r>
      <w:r w:rsidRPr="008932AC">
        <w:rPr>
          <w:rFonts w:ascii="Times New Roman" w:hAnsi="Times New Roman"/>
        </w:rPr>
        <w:t>A</w:t>
      </w:r>
      <w:bookmarkStart w:name="_GoBack" w:id="0"/>
      <w:bookmarkEnd w:id="0"/>
      <w:r w:rsidRPr="008932AC">
        <w:rPr>
          <w:rFonts w:ascii="Times New Roman" w:hAnsi="Times New Roman"/>
        </w:rPr>
        <w:t>pplicable</w:t>
      </w:r>
    </w:p>
    <w:p w:rsidR="00731A90" w:rsidRDefault="00731A90">
      <w:pPr>
        <w:rPr>
          <w:rFonts w:ascii="Times New Roman" w:hAnsi="Times New Roman"/>
        </w:rPr>
      </w:pPr>
    </w:p>
    <w:p w:rsidR="00731A90" w:rsidRDefault="00731A90">
      <w:pPr>
        <w:rPr>
          <w:rFonts w:ascii="Times New Roman" w:hAnsi="Times New Roman"/>
        </w:rPr>
      </w:pPr>
    </w:p>
    <w:p w:rsidR="00731A90" w:rsidRDefault="00731A90">
      <w:pPr>
        <w:rPr>
          <w:rFonts w:ascii="Times New Roman" w:hAnsi="Times New Roman"/>
        </w:rPr>
      </w:pPr>
    </w:p>
    <w:p w:rsidR="00731A90" w:rsidRDefault="00731A90"/>
    <w:sectPr w:rsidR="00731A90">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A3" w:rsidRDefault="00A572A3">
      <w:r>
        <w:separator/>
      </w:r>
    </w:p>
  </w:endnote>
  <w:endnote w:type="continuationSeparator" w:id="0">
    <w:p w:rsidR="00A572A3" w:rsidRDefault="00A5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76" w:rsidRDefault="000D7176">
    <w:pPr>
      <w:spacing w:line="240" w:lineRule="exact"/>
    </w:pPr>
  </w:p>
  <w:p w:rsidR="000D7176" w:rsidRDefault="000D7176">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C1240">
      <w:rPr>
        <w:rFonts w:ascii="Times New Roman" w:hAnsi="Times New Roman"/>
        <w:noProof/>
      </w:rPr>
      <w:t>2</w:t>
    </w:r>
    <w:r>
      <w:rPr>
        <w:rFonts w:ascii="Times New Roman" w:hAnsi="Times New Roman"/>
      </w:rPr>
      <w:fldChar w:fldCharType="end"/>
    </w:r>
  </w:p>
  <w:p w:rsidR="000D7176" w:rsidRDefault="000D717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A3" w:rsidRDefault="00A572A3">
      <w:r>
        <w:separator/>
      </w:r>
    </w:p>
  </w:footnote>
  <w:footnote w:type="continuationSeparator" w:id="0">
    <w:p w:rsidR="00A572A3" w:rsidRDefault="00A57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9A" w:rsidRDefault="008E4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1" w15:restartNumberingAfterBreak="0">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2" w15:restartNumberingAfterBreak="0">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A3"/>
    <w:rsid w:val="000D7176"/>
    <w:rsid w:val="000E495A"/>
    <w:rsid w:val="001B4291"/>
    <w:rsid w:val="001D73DB"/>
    <w:rsid w:val="00243D1D"/>
    <w:rsid w:val="002C1240"/>
    <w:rsid w:val="003037F5"/>
    <w:rsid w:val="003E2C64"/>
    <w:rsid w:val="004472AE"/>
    <w:rsid w:val="00565D70"/>
    <w:rsid w:val="00573771"/>
    <w:rsid w:val="005E1C4C"/>
    <w:rsid w:val="006769C3"/>
    <w:rsid w:val="00722F22"/>
    <w:rsid w:val="00731A90"/>
    <w:rsid w:val="007371E1"/>
    <w:rsid w:val="007C1599"/>
    <w:rsid w:val="00817DAE"/>
    <w:rsid w:val="008932AC"/>
    <w:rsid w:val="008E4B9A"/>
    <w:rsid w:val="00917501"/>
    <w:rsid w:val="009E4FE6"/>
    <w:rsid w:val="00A104B7"/>
    <w:rsid w:val="00A572A3"/>
    <w:rsid w:val="00AE7995"/>
    <w:rsid w:val="00C82C81"/>
    <w:rsid w:val="00D664A3"/>
    <w:rsid w:val="00DF3C8F"/>
    <w:rsid w:val="00E86C42"/>
    <w:rsid w:val="00F6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E59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unhideWhenUsed/>
    <w:rsid w:val="001B4291"/>
    <w:pPr>
      <w:widowControl/>
    </w:pPr>
    <w:rPr>
      <w:rFonts w:ascii="Times New Roman" w:hAnsi="Times New Roman"/>
      <w:snapToGrid/>
      <w:sz w:val="20"/>
    </w:rPr>
  </w:style>
  <w:style w:type="character" w:customStyle="1" w:styleId="FootnoteTextChar">
    <w:name w:val="Footnote Text Char"/>
    <w:basedOn w:val="DefaultParagraphFont"/>
    <w:link w:val="FootnoteText"/>
    <w:uiPriority w:val="99"/>
    <w:rsid w:val="001B4291"/>
  </w:style>
  <w:style w:type="table" w:customStyle="1" w:styleId="TableGrid1">
    <w:name w:val="Table Grid1"/>
    <w:basedOn w:val="TableNormal"/>
    <w:next w:val="TableGrid"/>
    <w:uiPriority w:val="39"/>
    <w:rsid w:val="004472AE"/>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4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6871</Characters>
  <Application>Microsoft Office Word</Application>
  <DocSecurity>0</DocSecurity>
  <Lines>57</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2022-03-16T15:53:00Z</dcterms:created>
  <dcterms:modified xsi:type="dcterms:W3CDTF">2022-03-16T15:54:00Z</dcterms:modified>
</cp:coreProperties>
</file>