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40A1A" w:rsidR="00C40A1A" w:rsidP="00C40A1A" w:rsidRDefault="00C40A1A">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bookmarkStart w:name="_GoBack" w:id="0"/>
      <w:bookmarkEnd w:id="0"/>
      <w:r w:rsidRPr="00C40A1A">
        <w:rPr>
          <w:rFonts w:ascii="Times New Roman" w:hAnsi="Times New Roman"/>
          <w:szCs w:val="24"/>
        </w:rPr>
        <w:t>SUPPORTING STATEMENT</w:t>
      </w:r>
    </w:p>
    <w:p w:rsidRPr="00B37694" w:rsidR="00B37694" w:rsidP="000014B9" w:rsidRDefault="00864737">
      <w:pPr>
        <w:widowControl/>
        <w:tabs>
          <w:tab w:val="center" w:pos="5112"/>
        </w:tabs>
        <w:jc w:val="center"/>
        <w:rPr>
          <w:rFonts w:ascii="Times New Roman" w:hAnsi="Times New Roman"/>
        </w:rPr>
      </w:pPr>
      <w:r w:rsidRPr="00864737">
        <w:rPr>
          <w:rFonts w:ascii="Times New Roman" w:hAnsi="Times New Roman"/>
        </w:rPr>
        <w:t>FURNISHER INFORMATION ACCURACY AND INTEGRITY (FACTA 312)</w:t>
      </w:r>
    </w:p>
    <w:p w:rsidRPr="00C40A1A" w:rsidR="00C40A1A" w:rsidP="00915517" w:rsidRDefault="00915517">
      <w:pPr>
        <w:tabs>
          <w:tab w:val="left" w:pos="0"/>
          <w:tab w:val="right" w:pos="2020"/>
        </w:tabs>
        <w:spacing w:line="360" w:lineRule="auto"/>
        <w:jc w:val="center"/>
        <w:rPr>
          <w:rFonts w:ascii="Times New Roman" w:hAnsi="Times New Roman"/>
          <w:szCs w:val="24"/>
        </w:rPr>
      </w:pPr>
      <w:r w:rsidRPr="00C40A1A">
        <w:rPr>
          <w:rFonts w:ascii="Times New Roman" w:hAnsi="Times New Roman"/>
          <w:szCs w:val="24"/>
        </w:rPr>
        <w:t xml:space="preserve"> </w:t>
      </w:r>
      <w:r w:rsidRPr="00C40A1A" w:rsidR="00C40A1A">
        <w:rPr>
          <w:rFonts w:ascii="Times New Roman" w:hAnsi="Times New Roman"/>
          <w:szCs w:val="24"/>
        </w:rPr>
        <w:t>(OMB Control No. 3064-0</w:t>
      </w:r>
      <w:r w:rsidR="00864737">
        <w:rPr>
          <w:rFonts w:ascii="Times New Roman" w:hAnsi="Times New Roman"/>
          <w:szCs w:val="24"/>
        </w:rPr>
        <w:t>161</w:t>
      </w:r>
      <w:r w:rsidRPr="00C40A1A" w:rsidR="00C40A1A">
        <w:rPr>
          <w:rFonts w:ascii="Times New Roman" w:hAnsi="Times New Roman"/>
          <w:szCs w:val="24"/>
        </w:rPr>
        <w:t>)</w:t>
      </w:r>
    </w:p>
    <w:p w:rsidR="00F146F1" w:rsidRDefault="00F146F1">
      <w:pPr>
        <w:widowControl/>
        <w:tabs>
          <w:tab w:val="left" w:pos="576"/>
          <w:tab w:val="left" w:pos="1440"/>
          <w:tab w:val="left" w:pos="2160"/>
          <w:tab w:val="left" w:pos="2880"/>
          <w:tab w:val="left" w:pos="3600"/>
          <w:tab w:val="left" w:pos="4320"/>
          <w:tab w:val="left" w:pos="5040"/>
        </w:tabs>
        <w:rPr>
          <w:rFonts w:ascii="Times New Roman" w:hAnsi="Times New Roman"/>
        </w:rPr>
      </w:pPr>
    </w:p>
    <w:p w:rsidR="00F146F1" w:rsidRDefault="00F146F1">
      <w:pPr>
        <w:widowControl/>
        <w:tabs>
          <w:tab w:val="left" w:pos="576"/>
          <w:tab w:val="left" w:pos="1440"/>
          <w:tab w:val="left" w:pos="2160"/>
          <w:tab w:val="left" w:pos="2880"/>
          <w:tab w:val="left" w:pos="3600"/>
          <w:tab w:val="left" w:pos="4320"/>
          <w:tab w:val="left" w:pos="5040"/>
        </w:tabs>
        <w:rPr>
          <w:rFonts w:ascii="Times New Roman" w:hAnsi="Times New Roman"/>
        </w:rPr>
      </w:pPr>
    </w:p>
    <w:p w:rsidR="00F146F1" w:rsidRDefault="00F146F1">
      <w:pPr>
        <w:widowControl/>
        <w:tabs>
          <w:tab w:val="left" w:pos="576"/>
          <w:tab w:val="left" w:pos="1440"/>
          <w:tab w:val="left" w:pos="2160"/>
          <w:tab w:val="left" w:pos="2880"/>
          <w:tab w:val="left" w:pos="3600"/>
          <w:tab w:val="left" w:pos="4320"/>
          <w:tab w:val="left" w:pos="5040"/>
        </w:tabs>
        <w:rPr>
          <w:rFonts w:ascii="Times New Roman" w:hAnsi="Times New Roman"/>
        </w:rPr>
      </w:pPr>
      <w:r>
        <w:rPr>
          <w:rFonts w:ascii="Times New Roman" w:hAnsi="Times New Roman"/>
          <w:u w:val="single"/>
        </w:rPr>
        <w:t>INTRODUCTION</w:t>
      </w:r>
    </w:p>
    <w:p w:rsidR="00D07D24" w:rsidP="00583579" w:rsidRDefault="00D07D24">
      <w:pPr>
        <w:widowControl/>
        <w:autoSpaceDE w:val="0"/>
        <w:autoSpaceDN w:val="0"/>
        <w:adjustRightInd w:val="0"/>
        <w:rPr>
          <w:rFonts w:ascii="Times New Roman" w:hAnsi="Times New Roman"/>
          <w:szCs w:val="24"/>
        </w:rPr>
      </w:pPr>
    </w:p>
    <w:p w:rsidR="00B10980" w:rsidP="00583579" w:rsidRDefault="00864737">
      <w:pPr>
        <w:widowControl/>
        <w:autoSpaceDE w:val="0"/>
        <w:autoSpaceDN w:val="0"/>
        <w:adjustRightInd w:val="0"/>
        <w:rPr>
          <w:rFonts w:ascii="Times New Roman" w:hAnsi="Times New Roman"/>
          <w:szCs w:val="24"/>
        </w:rPr>
      </w:pPr>
      <w:r w:rsidRPr="00864737">
        <w:rPr>
          <w:rFonts w:ascii="Times New Roman" w:hAnsi="Times New Roman"/>
          <w:bCs/>
          <w:szCs w:val="24"/>
        </w:rPr>
        <w:t xml:space="preserve">The Federal Deposit Insurance Corporation (FDIC) is requesting a three-year renewal of the information collection for its collection (3064-0161) associated with privacy of consumer financial information.  The current clearance for the collection expires on </w:t>
      </w:r>
      <w:r>
        <w:rPr>
          <w:rFonts w:ascii="Times New Roman" w:hAnsi="Times New Roman"/>
          <w:bCs/>
          <w:szCs w:val="24"/>
        </w:rPr>
        <w:t>April 30, 2022</w:t>
      </w:r>
      <w:r w:rsidRPr="00864737">
        <w:rPr>
          <w:rFonts w:ascii="Times New Roman" w:hAnsi="Times New Roman"/>
          <w:bCs/>
          <w:szCs w:val="24"/>
        </w:rPr>
        <w:t>.  There is no change in the method or substance of the collection</w:t>
      </w:r>
      <w:r w:rsidRPr="000014B9" w:rsidR="000014B9">
        <w:rPr>
          <w:rFonts w:ascii="Times New Roman" w:hAnsi="Times New Roman"/>
          <w:szCs w:val="24"/>
        </w:rPr>
        <w:t>.</w:t>
      </w:r>
    </w:p>
    <w:p w:rsidR="000014B9" w:rsidP="00583579" w:rsidRDefault="000014B9">
      <w:pPr>
        <w:widowControl/>
        <w:autoSpaceDE w:val="0"/>
        <w:autoSpaceDN w:val="0"/>
        <w:adjustRightInd w:val="0"/>
        <w:rPr>
          <w:rFonts w:ascii="Times New Roman" w:hAnsi="Times New Roman"/>
        </w:rPr>
      </w:pPr>
    </w:p>
    <w:p w:rsidR="00F146F1" w:rsidP="0024672A" w:rsidRDefault="00F146F1">
      <w:pPr>
        <w:widowControl/>
        <w:numPr>
          <w:ilvl w:val="0"/>
          <w:numId w:val="2"/>
        </w:numPr>
        <w:rPr>
          <w:rFonts w:ascii="Times New Roman" w:hAnsi="Times New Roman"/>
        </w:rPr>
      </w:pPr>
      <w:r>
        <w:rPr>
          <w:rFonts w:ascii="Times New Roman" w:hAnsi="Times New Roman"/>
          <w:u w:val="single"/>
        </w:rPr>
        <w:t>JUSTIFICATION</w:t>
      </w:r>
    </w:p>
    <w:p w:rsidR="00F146F1" w:rsidRDefault="00F146F1">
      <w:pPr>
        <w:widowControl/>
        <w:rPr>
          <w:rFonts w:ascii="Times New Roman" w:hAnsi="Times New Roman"/>
        </w:rPr>
      </w:pPr>
    </w:p>
    <w:p w:rsidR="00F146F1" w:rsidP="00F175D5" w:rsidRDefault="00F175D5">
      <w:pPr>
        <w:widowControl/>
        <w:numPr>
          <w:ilvl w:val="0"/>
          <w:numId w:val="4"/>
        </w:numPr>
        <w:rPr>
          <w:rFonts w:ascii="Times New Roman" w:hAnsi="Times New Roman"/>
        </w:rPr>
      </w:pPr>
      <w:r w:rsidRPr="00C56C82">
        <w:rPr>
          <w:rFonts w:ascii="Times New Roman" w:hAnsi="Times New Roman"/>
          <w:bCs/>
          <w:iCs/>
          <w:u w:val="single"/>
        </w:rPr>
        <w:t>Circumstances tha</w:t>
      </w:r>
      <w:r>
        <w:rPr>
          <w:rFonts w:ascii="Times New Roman" w:hAnsi="Times New Roman"/>
          <w:bCs/>
          <w:iCs/>
          <w:u w:val="single"/>
        </w:rPr>
        <w:t>t make the collection necessary:</w:t>
      </w:r>
    </w:p>
    <w:p w:rsidR="00F146F1" w:rsidRDefault="00F146F1">
      <w:pPr>
        <w:widowControl/>
        <w:rPr>
          <w:rFonts w:ascii="Times New Roman" w:hAnsi="Times New Roman"/>
        </w:rPr>
      </w:pPr>
    </w:p>
    <w:p w:rsidRPr="00FA4D5D" w:rsidR="00FA4D5D" w:rsidP="000014B9" w:rsidRDefault="00864737">
      <w:pPr>
        <w:widowControl/>
        <w:ind w:left="1440"/>
        <w:rPr>
          <w:rFonts w:ascii="Times New Roman" w:hAnsi="Times New Roman"/>
        </w:rPr>
      </w:pPr>
      <w:r w:rsidRPr="00864737">
        <w:rPr>
          <w:rFonts w:ascii="Times New Roman" w:hAnsi="Times New Roman"/>
          <w:iCs/>
        </w:rPr>
        <w:t>The Federal Deposit Insurance Corporation, the Board of Governors of the Federal Reserve System, the Office of the Comptroller of the Currency, the Office of Thrift Supervision (OTS), the National Credit Union Administration, and the Federal Trade Commission, (Agencies) were required by section 312 of the Fair and Accurate Credit Transactions Act of 2003 (FACT Act) to issue guidelines for use by furnishers regarding the accuracy and integrity of the information about consumers that they furnish to consumer reporting agencies and prescribe regulations requiring furnishers to establish reasonable policies and procedures for implementing the guidelines.  Section 312 also required t</w:t>
      </w:r>
      <w:r w:rsidRPr="00864737">
        <w:rPr>
          <w:rFonts w:ascii="Times New Roman" w:hAnsi="Times New Roman"/>
        </w:rPr>
        <w:t>he Agencies to issue regulations identifying the circumstances under which a furnisher must reinvestigate disputes about the accuracy of information contained in a consumer report based on a direct request from a consumer.  The regulations covering this information collection are contained in Regulation V of the Consumer Financial Protection Bureau’s regulations, Fair Credit Reporting, 12 CFR Section 1022.  The FDIC examines for compliance with Regulation V and takes enforcement action when warranted</w:t>
      </w:r>
      <w:r w:rsidRPr="00FA4D5D" w:rsidR="00FA4D5D">
        <w:rPr>
          <w:rFonts w:ascii="Times New Roman" w:hAnsi="Times New Roman"/>
        </w:rPr>
        <w:t xml:space="preserve">.     </w:t>
      </w:r>
    </w:p>
    <w:p w:rsidR="0024672A" w:rsidP="00FA4D5D" w:rsidRDefault="0024672A">
      <w:pPr>
        <w:widowControl/>
        <w:rPr>
          <w:rFonts w:ascii="Times New Roman" w:hAnsi="Times New Roman"/>
        </w:rPr>
      </w:pPr>
    </w:p>
    <w:p w:rsidR="00F146F1" w:rsidP="00F175D5" w:rsidRDefault="00F175D5">
      <w:pPr>
        <w:widowControl/>
        <w:numPr>
          <w:ilvl w:val="0"/>
          <w:numId w:val="4"/>
        </w:numPr>
        <w:rPr>
          <w:rFonts w:ascii="Times New Roman" w:hAnsi="Times New Roman"/>
        </w:rPr>
      </w:pPr>
      <w:r w:rsidRPr="00366534">
        <w:rPr>
          <w:rFonts w:ascii="Times New Roman" w:hAnsi="Times New Roman"/>
          <w:u w:val="single"/>
        </w:rPr>
        <w:t>Use of information collected:</w:t>
      </w:r>
    </w:p>
    <w:p w:rsidR="00F146F1" w:rsidRDefault="00F146F1">
      <w:pPr>
        <w:widowControl/>
        <w:rPr>
          <w:rFonts w:ascii="Times New Roman" w:hAnsi="Times New Roman"/>
        </w:rPr>
      </w:pPr>
    </w:p>
    <w:p w:rsidRPr="00864737" w:rsidR="00864737" w:rsidP="00864737" w:rsidRDefault="00864737">
      <w:pPr>
        <w:widowControl/>
        <w:ind w:left="1440"/>
        <w:rPr>
          <w:rFonts w:ascii="Times New Roman" w:hAnsi="Times New Roman"/>
        </w:rPr>
      </w:pPr>
      <w:r w:rsidRPr="00864737">
        <w:rPr>
          <w:rFonts w:ascii="Times New Roman" w:hAnsi="Times New Roman"/>
        </w:rPr>
        <w:t xml:space="preserve">Section 1022.42(a) requires furnishers to establish and implement reasonable written policies and procedures regarding the accuracy and integrity of information relating to consumers that they provide to a consumer reporting agency (CRA).  This rule requires furnishers to put into writing policies and procedures that address their section 312 responsibilities regarding the accuracy and integrity of information.  Furnishers’ accuracy and integrity policies and procedures may include their existing policies and procedures that are reasonable and appropriate.  </w:t>
      </w:r>
    </w:p>
    <w:p w:rsidRPr="00864737" w:rsidR="00864737" w:rsidP="00864737" w:rsidRDefault="00864737">
      <w:pPr>
        <w:widowControl/>
        <w:ind w:left="1440"/>
        <w:rPr>
          <w:rFonts w:ascii="Times New Roman" w:hAnsi="Times New Roman"/>
        </w:rPr>
      </w:pPr>
    </w:p>
    <w:p w:rsidRPr="00864737" w:rsidR="00864737" w:rsidP="00864737" w:rsidRDefault="00864737">
      <w:pPr>
        <w:widowControl/>
        <w:ind w:left="1440"/>
        <w:rPr>
          <w:rFonts w:ascii="Times New Roman" w:hAnsi="Times New Roman"/>
        </w:rPr>
      </w:pPr>
      <w:r w:rsidRPr="00864737">
        <w:rPr>
          <w:rFonts w:ascii="Times New Roman" w:hAnsi="Times New Roman"/>
        </w:rPr>
        <w:t xml:space="preserve">Section 1022.43(a) permits consumers to initiate disputes directly with the furnishers. This gave consumers a new way to dispute consumer report information; instead of having to go through a CRA as permitted by the Fair </w:t>
      </w:r>
      <w:r w:rsidRPr="00864737">
        <w:rPr>
          <w:rFonts w:ascii="Times New Roman" w:hAnsi="Times New Roman"/>
        </w:rPr>
        <w:lastRenderedPageBreak/>
        <w:t xml:space="preserve">Credit Reporting Act, consumers now have the right to go directly to the furnisher in certain circumstances.  Under the rule, furnishers have to follow a process substantially similar to what they currently use for handling disputes submitted through a CRA.  Furnishers need to amend their procedures to ensure that disputes received directly from consumers are handled in a substantially similar manner to the CRA dispute process.  </w:t>
      </w:r>
    </w:p>
    <w:p w:rsidRPr="00864737" w:rsidR="00864737" w:rsidP="00864737" w:rsidRDefault="00864737">
      <w:pPr>
        <w:widowControl/>
        <w:ind w:left="1440"/>
        <w:rPr>
          <w:rFonts w:ascii="Times New Roman" w:hAnsi="Times New Roman"/>
        </w:rPr>
      </w:pPr>
    </w:p>
    <w:p w:rsidR="00F146F1" w:rsidP="00864737" w:rsidRDefault="00864737">
      <w:pPr>
        <w:widowControl/>
        <w:ind w:left="1440"/>
        <w:rPr>
          <w:rFonts w:ascii="Times New Roman" w:hAnsi="Times New Roman"/>
        </w:rPr>
      </w:pPr>
      <w:r w:rsidRPr="00864737">
        <w:rPr>
          <w:rFonts w:ascii="Times New Roman" w:hAnsi="Times New Roman"/>
        </w:rPr>
        <w:t>Section 1022.43(f</w:t>
      </w:r>
      <w:proofErr w:type="gramStart"/>
      <w:r w:rsidRPr="00864737">
        <w:rPr>
          <w:rFonts w:ascii="Times New Roman" w:hAnsi="Times New Roman"/>
        </w:rPr>
        <w:t>)(</w:t>
      </w:r>
      <w:proofErr w:type="gramEnd"/>
      <w:r w:rsidRPr="00864737">
        <w:rPr>
          <w:rFonts w:ascii="Times New Roman" w:hAnsi="Times New Roman"/>
        </w:rPr>
        <w:t>2) incorporates the statutory requirement that a furnisher must notify a consumer by mail or other means (if authorized by the consumer) not later than five business days after making a determination that a dispute is frivolous or irrelevant.  Section 1022.43(f</w:t>
      </w:r>
      <w:proofErr w:type="gramStart"/>
      <w:r w:rsidRPr="00864737">
        <w:rPr>
          <w:rFonts w:ascii="Times New Roman" w:hAnsi="Times New Roman"/>
        </w:rPr>
        <w:t>)(</w:t>
      </w:r>
      <w:proofErr w:type="gramEnd"/>
      <w:r w:rsidRPr="00864737">
        <w:rPr>
          <w:rFonts w:ascii="Times New Roman" w:hAnsi="Times New Roman"/>
        </w:rPr>
        <w:t>3) incorporates the statute’s content requirements for the notices</w:t>
      </w:r>
      <w:r>
        <w:rPr>
          <w:rFonts w:ascii="Times New Roman" w:hAnsi="Times New Roman"/>
        </w:rPr>
        <w:t>.</w:t>
      </w:r>
    </w:p>
    <w:p w:rsidR="00FA4D5D" w:rsidP="00FA4D5D" w:rsidRDefault="00FA4D5D">
      <w:pPr>
        <w:widowControl/>
        <w:ind w:left="1440"/>
        <w:rPr>
          <w:rFonts w:ascii="Times New Roman" w:hAnsi="Times New Roman"/>
        </w:rPr>
      </w:pPr>
    </w:p>
    <w:p w:rsidR="00F146F1" w:rsidP="00F175D5" w:rsidRDefault="00F175D5">
      <w:pPr>
        <w:widowControl/>
        <w:numPr>
          <w:ilvl w:val="0"/>
          <w:numId w:val="4"/>
        </w:numPr>
        <w:rPr>
          <w:rFonts w:ascii="Times New Roman" w:hAnsi="Times New Roman"/>
        </w:rPr>
      </w:pPr>
      <w:r w:rsidRPr="00366534">
        <w:rPr>
          <w:rFonts w:ascii="Times New Roman" w:hAnsi="Times New Roman"/>
          <w:u w:val="single"/>
        </w:rPr>
        <w:t>Consideration of the use of improved information technology:</w:t>
      </w:r>
    </w:p>
    <w:p w:rsidR="00F146F1" w:rsidRDefault="00F146F1">
      <w:pPr>
        <w:widowControl/>
        <w:rPr>
          <w:rFonts w:ascii="Times New Roman" w:hAnsi="Times New Roman"/>
        </w:rPr>
      </w:pPr>
    </w:p>
    <w:p w:rsidR="00F146F1" w:rsidRDefault="00864737">
      <w:pPr>
        <w:widowControl/>
        <w:ind w:left="1440"/>
        <w:rPr>
          <w:rFonts w:ascii="Times New Roman" w:hAnsi="Times New Roman"/>
        </w:rPr>
      </w:pPr>
      <w:r w:rsidRPr="00864737">
        <w:rPr>
          <w:rFonts w:ascii="Times New Roman" w:hAnsi="Times New Roman"/>
        </w:rPr>
        <w:t>Financial institutions may adopt any existing technology relevant to producing or delivering the information</w:t>
      </w:r>
      <w:r w:rsidRPr="00FA4D5D" w:rsidR="00FA4D5D">
        <w:rPr>
          <w:rFonts w:ascii="Times New Roman" w:hAnsi="Times New Roman"/>
        </w:rPr>
        <w:t>.</w:t>
      </w:r>
      <w:r w:rsidR="00F146F1">
        <w:rPr>
          <w:rFonts w:ascii="Times New Roman" w:hAnsi="Times New Roman"/>
        </w:rPr>
        <w:t xml:space="preserve">  </w:t>
      </w:r>
    </w:p>
    <w:p w:rsidR="00F146F1" w:rsidRDefault="00F146F1">
      <w:pPr>
        <w:widowControl/>
        <w:ind w:left="1440"/>
        <w:rPr>
          <w:rFonts w:ascii="Times New Roman" w:hAnsi="Times New Roman"/>
        </w:rPr>
      </w:pPr>
    </w:p>
    <w:p w:rsidR="00F146F1" w:rsidP="00F175D5" w:rsidRDefault="00F175D5">
      <w:pPr>
        <w:widowControl/>
        <w:numPr>
          <w:ilvl w:val="0"/>
          <w:numId w:val="4"/>
        </w:numPr>
        <w:rPr>
          <w:rFonts w:ascii="Times New Roman" w:hAnsi="Times New Roman"/>
        </w:rPr>
      </w:pPr>
      <w:r w:rsidRPr="00366534">
        <w:rPr>
          <w:rFonts w:ascii="Times New Roman" w:hAnsi="Times New Roman"/>
          <w:u w:val="single"/>
        </w:rPr>
        <w:t>Efforts to identify duplication:</w:t>
      </w:r>
    </w:p>
    <w:p w:rsidR="00F146F1" w:rsidRDefault="00F146F1">
      <w:pPr>
        <w:widowControl/>
        <w:rPr>
          <w:rFonts w:ascii="Times New Roman" w:hAnsi="Times New Roman"/>
        </w:rPr>
      </w:pPr>
    </w:p>
    <w:p w:rsidR="00F146F1" w:rsidP="00FA4D5D" w:rsidRDefault="00621A3B">
      <w:pPr>
        <w:widowControl/>
        <w:ind w:left="1440"/>
        <w:rPr>
          <w:rFonts w:ascii="Times New Roman" w:hAnsi="Times New Roman"/>
        </w:rPr>
      </w:pPr>
      <w:r w:rsidRPr="00621A3B">
        <w:rPr>
          <w:rFonts w:ascii="Times New Roman" w:hAnsi="Times New Roman"/>
        </w:rPr>
        <w:t>The information required by this collection is not available elsewhere.</w:t>
      </w:r>
    </w:p>
    <w:p w:rsidR="00ED4700" w:rsidRDefault="00ED4700">
      <w:pPr>
        <w:widowControl/>
        <w:ind w:left="1440"/>
        <w:rPr>
          <w:rFonts w:ascii="Times New Roman" w:hAnsi="Times New Roman"/>
        </w:rPr>
      </w:pPr>
    </w:p>
    <w:p w:rsidR="00F146F1" w:rsidP="00F175D5" w:rsidRDefault="00F175D5">
      <w:pPr>
        <w:widowControl/>
        <w:numPr>
          <w:ilvl w:val="0"/>
          <w:numId w:val="4"/>
        </w:numPr>
        <w:rPr>
          <w:rFonts w:ascii="Times New Roman" w:hAnsi="Times New Roman"/>
        </w:rPr>
      </w:pPr>
      <w:r w:rsidRPr="00366534">
        <w:rPr>
          <w:rFonts w:ascii="Times New Roman" w:hAnsi="Times New Roman"/>
          <w:u w:val="single"/>
        </w:rPr>
        <w:t>Methods used to minimize burden if the collection has a significant impact on a substantial number of small entities:</w:t>
      </w:r>
    </w:p>
    <w:p w:rsidR="00F146F1" w:rsidRDefault="00F146F1">
      <w:pPr>
        <w:widowControl/>
        <w:rPr>
          <w:rFonts w:ascii="Times New Roman" w:hAnsi="Times New Roman"/>
        </w:rPr>
      </w:pPr>
    </w:p>
    <w:p w:rsidRPr="00864737" w:rsidR="00864737" w:rsidP="00864737" w:rsidRDefault="00864737">
      <w:pPr>
        <w:widowControl/>
        <w:ind w:left="1440"/>
        <w:rPr>
          <w:rFonts w:ascii="Times New Roman" w:hAnsi="Times New Roman"/>
        </w:rPr>
      </w:pPr>
      <w:r w:rsidRPr="00864737">
        <w:rPr>
          <w:rFonts w:ascii="Times New Roman" w:hAnsi="Times New Roman"/>
        </w:rPr>
        <w:t>The information collections do not impose any significant burden beyond that required by the statute.  Because of the statutory requirements, there are no significant alternatives that minimize burden on small institutions.</w:t>
      </w:r>
    </w:p>
    <w:p w:rsidRPr="00864737" w:rsidR="00864737" w:rsidP="00864737" w:rsidRDefault="00864737">
      <w:pPr>
        <w:widowControl/>
        <w:ind w:left="1440"/>
        <w:rPr>
          <w:rFonts w:ascii="Times New Roman" w:hAnsi="Times New Roman"/>
        </w:rPr>
      </w:pPr>
    </w:p>
    <w:p w:rsidRPr="00621A3B" w:rsidR="00621A3B" w:rsidP="00864737" w:rsidRDefault="00864737">
      <w:pPr>
        <w:widowControl/>
        <w:ind w:left="1440"/>
        <w:rPr>
          <w:rFonts w:ascii="Times New Roman" w:hAnsi="Times New Roman"/>
        </w:rPr>
      </w:pPr>
      <w:r w:rsidRPr="00864737">
        <w:rPr>
          <w:rFonts w:ascii="Times New Roman" w:hAnsi="Times New Roman"/>
        </w:rPr>
        <w:t>This collection has a significant impact on a substantial number of small entities.  In particular, according to Cal</w:t>
      </w:r>
      <w:r>
        <w:rPr>
          <w:rFonts w:ascii="Times New Roman" w:hAnsi="Times New Roman"/>
        </w:rPr>
        <w:t>l Report data as of September 30, 2021</w:t>
      </w:r>
      <w:r w:rsidRPr="00864737">
        <w:rPr>
          <w:rFonts w:ascii="Times New Roman" w:hAnsi="Times New Roman"/>
        </w:rPr>
        <w:t>, there were 3,</w:t>
      </w:r>
      <w:r w:rsidR="007A5DB9">
        <w:rPr>
          <w:rFonts w:ascii="Times New Roman" w:hAnsi="Times New Roman"/>
        </w:rPr>
        <w:t>177</w:t>
      </w:r>
      <w:r w:rsidRPr="00864737">
        <w:rPr>
          <w:rFonts w:ascii="Times New Roman" w:hAnsi="Times New Roman"/>
        </w:rPr>
        <w:t xml:space="preserve"> FDIC-supervised institutions.  2,</w:t>
      </w:r>
      <w:r w:rsidR="007A5DB9">
        <w:rPr>
          <w:rFonts w:ascii="Times New Roman" w:hAnsi="Times New Roman"/>
        </w:rPr>
        <w:t>250</w:t>
      </w:r>
      <w:r w:rsidRPr="00864737">
        <w:rPr>
          <w:rFonts w:ascii="Times New Roman" w:hAnsi="Times New Roman"/>
        </w:rPr>
        <w:t xml:space="preserve"> of these entities have total assets of less than $</w:t>
      </w:r>
      <w:r w:rsidR="007A5DB9">
        <w:rPr>
          <w:rFonts w:ascii="Times New Roman" w:hAnsi="Times New Roman"/>
        </w:rPr>
        <w:t>600</w:t>
      </w:r>
      <w:r w:rsidRPr="00864737">
        <w:rPr>
          <w:rFonts w:ascii="Times New Roman" w:hAnsi="Times New Roman"/>
        </w:rPr>
        <w:t xml:space="preserve"> million therefore meeting the Small Business Administration’s definition of a “smal</w:t>
      </w:r>
      <w:r w:rsidR="007A5DB9">
        <w:rPr>
          <w:rFonts w:ascii="Times New Roman" w:hAnsi="Times New Roman"/>
        </w:rPr>
        <w:t>l entity</w:t>
      </w:r>
      <w:r w:rsidRPr="00621A3B" w:rsidR="00621A3B">
        <w:rPr>
          <w:rFonts w:ascii="Times New Roman" w:hAnsi="Times New Roman"/>
        </w:rPr>
        <w:t xml:space="preserve">. </w:t>
      </w:r>
    </w:p>
    <w:p w:rsidR="004A75C2" w:rsidP="004A75C2" w:rsidRDefault="004A75C2">
      <w:pPr>
        <w:widowControl/>
        <w:rPr>
          <w:rFonts w:ascii="Times New Roman" w:hAnsi="Times New Roman"/>
        </w:rPr>
      </w:pPr>
    </w:p>
    <w:p w:rsidR="00F146F1" w:rsidP="00F175D5" w:rsidRDefault="00F175D5">
      <w:pPr>
        <w:widowControl/>
        <w:numPr>
          <w:ilvl w:val="0"/>
          <w:numId w:val="4"/>
        </w:numPr>
        <w:rPr>
          <w:rFonts w:ascii="Times New Roman" w:hAnsi="Times New Roman"/>
        </w:rPr>
      </w:pPr>
      <w:r w:rsidRPr="00366534">
        <w:rPr>
          <w:rFonts w:ascii="Times New Roman" w:hAnsi="Times New Roman"/>
          <w:u w:val="single"/>
        </w:rPr>
        <w:t>Consequences to the Federal program if the collection were conducted less frequently:</w:t>
      </w:r>
    </w:p>
    <w:p w:rsidR="00F146F1" w:rsidRDefault="00F146F1">
      <w:pPr>
        <w:widowControl/>
        <w:rPr>
          <w:rFonts w:ascii="Times New Roman" w:hAnsi="Times New Roman"/>
        </w:rPr>
      </w:pPr>
    </w:p>
    <w:p w:rsidRPr="007A5DB9" w:rsidR="007A5DB9" w:rsidP="007A5DB9" w:rsidRDefault="007A5DB9">
      <w:pPr>
        <w:widowControl/>
        <w:ind w:left="1440"/>
        <w:rPr>
          <w:rFonts w:ascii="Times New Roman" w:hAnsi="Times New Roman"/>
        </w:rPr>
      </w:pPr>
      <w:r w:rsidRPr="007A5DB9">
        <w:rPr>
          <w:rFonts w:ascii="Times New Roman" w:hAnsi="Times New Roman"/>
        </w:rPr>
        <w:t>Without this information, the Agencies would be unable to meet the requirements of the statute.</w:t>
      </w:r>
    </w:p>
    <w:p w:rsidR="00F146F1" w:rsidRDefault="00F146F1">
      <w:pPr>
        <w:widowControl/>
        <w:rPr>
          <w:rFonts w:ascii="Times New Roman" w:hAnsi="Times New Roman"/>
        </w:rPr>
      </w:pPr>
    </w:p>
    <w:p w:rsidR="00F146F1" w:rsidP="00F175D5" w:rsidRDefault="00F175D5">
      <w:pPr>
        <w:widowControl/>
        <w:numPr>
          <w:ilvl w:val="0"/>
          <w:numId w:val="4"/>
        </w:numPr>
        <w:rPr>
          <w:rFonts w:ascii="Times New Roman" w:hAnsi="Times New Roman"/>
        </w:rPr>
      </w:pPr>
      <w:r w:rsidRPr="00366534">
        <w:rPr>
          <w:rFonts w:ascii="Times New Roman" w:hAnsi="Times New Roman"/>
          <w:u w:val="single"/>
        </w:rPr>
        <w:t>Special circumstances necessitating collection inconsistent with 5 CFR Part 1320.5(d)(2):</w:t>
      </w:r>
    </w:p>
    <w:p w:rsidR="00F146F1" w:rsidRDefault="00F146F1">
      <w:pPr>
        <w:widowControl/>
        <w:rPr>
          <w:rFonts w:ascii="Times New Roman" w:hAnsi="Times New Roman"/>
        </w:rPr>
      </w:pPr>
    </w:p>
    <w:p w:rsidR="00F146F1" w:rsidP="00820109" w:rsidRDefault="002423D4">
      <w:pPr>
        <w:widowControl/>
        <w:ind w:left="1440"/>
        <w:rPr>
          <w:rFonts w:ascii="Times New Roman" w:hAnsi="Times New Roman"/>
        </w:rPr>
      </w:pPr>
      <w:r w:rsidRPr="00366534">
        <w:rPr>
          <w:rFonts w:ascii="Times New Roman" w:hAnsi="Times New Roman"/>
        </w:rPr>
        <w:t>None.  The</w:t>
      </w:r>
      <w:r w:rsidRPr="00366534">
        <w:rPr>
          <w:rFonts w:ascii="Times New Roman" w:hAnsi="Times New Roman"/>
          <w:bCs/>
          <w:iCs/>
        </w:rPr>
        <w:t xml:space="preserve"> information is collected in a manner consistent with 5 CFR Part 1320.5(d</w:t>
      </w:r>
      <w:proofErr w:type="gramStart"/>
      <w:r w:rsidRPr="00366534">
        <w:rPr>
          <w:rFonts w:ascii="Times New Roman" w:hAnsi="Times New Roman"/>
          <w:bCs/>
          <w:iCs/>
        </w:rPr>
        <w:t>)(</w:t>
      </w:r>
      <w:proofErr w:type="gramEnd"/>
      <w:r w:rsidRPr="00366534">
        <w:rPr>
          <w:rFonts w:ascii="Times New Roman" w:hAnsi="Times New Roman"/>
          <w:bCs/>
          <w:iCs/>
        </w:rPr>
        <w:t>2).</w:t>
      </w:r>
    </w:p>
    <w:p w:rsidR="00F146F1" w:rsidRDefault="00F146F1">
      <w:pPr>
        <w:widowControl/>
        <w:ind w:left="576"/>
        <w:rPr>
          <w:rFonts w:ascii="Times New Roman" w:hAnsi="Times New Roman"/>
        </w:rPr>
      </w:pPr>
    </w:p>
    <w:p w:rsidR="00F146F1" w:rsidP="00F175D5" w:rsidRDefault="002423D4">
      <w:pPr>
        <w:widowControl/>
        <w:numPr>
          <w:ilvl w:val="0"/>
          <w:numId w:val="4"/>
        </w:numPr>
        <w:rPr>
          <w:rFonts w:ascii="Times New Roman" w:hAnsi="Times New Roman"/>
        </w:rPr>
      </w:pPr>
      <w:r w:rsidRPr="00366534">
        <w:rPr>
          <w:rFonts w:ascii="Times New Roman" w:hAnsi="Times New Roman"/>
          <w:u w:val="single"/>
        </w:rPr>
        <w:lastRenderedPageBreak/>
        <w:t>Efforts to consult with persons outside the agency:</w:t>
      </w:r>
    </w:p>
    <w:p w:rsidRPr="00280958" w:rsidR="00F146F1" w:rsidP="00280958" w:rsidRDefault="00F146F1">
      <w:pPr>
        <w:widowControl/>
        <w:ind w:left="1440"/>
        <w:rPr>
          <w:rFonts w:ascii="Times New Roman" w:hAnsi="Times New Roman"/>
        </w:rPr>
      </w:pPr>
    </w:p>
    <w:p w:rsidR="00F146F1" w:rsidP="00280958" w:rsidRDefault="002423D4">
      <w:pPr>
        <w:pStyle w:val="Footer"/>
        <w:widowControl/>
        <w:tabs>
          <w:tab w:val="clear" w:pos="4320"/>
          <w:tab w:val="clear" w:pos="8640"/>
        </w:tabs>
        <w:ind w:left="1440"/>
        <w:rPr>
          <w:rFonts w:ascii="Times New Roman" w:hAnsi="Times New Roman"/>
        </w:rPr>
      </w:pPr>
      <w:r w:rsidRPr="005E1A91">
        <w:rPr>
          <w:rFonts w:ascii="Times New Roman" w:hAnsi="Times New Roman"/>
        </w:rPr>
        <w:t xml:space="preserve">A 60-day notice seeking public comment on the </w:t>
      </w:r>
      <w:r>
        <w:rPr>
          <w:rFonts w:ascii="Times New Roman" w:hAnsi="Times New Roman"/>
        </w:rPr>
        <w:t>FDIC’s</w:t>
      </w:r>
      <w:r w:rsidRPr="005E1A91">
        <w:rPr>
          <w:rFonts w:ascii="Times New Roman" w:hAnsi="Times New Roman"/>
        </w:rPr>
        <w:t xml:space="preserve"> renewal of the information collection was published on </w:t>
      </w:r>
      <w:r w:rsidR="007A5DB9">
        <w:rPr>
          <w:rFonts w:ascii="Times New Roman" w:hAnsi="Times New Roman"/>
        </w:rPr>
        <w:t>January 13</w:t>
      </w:r>
      <w:proofErr w:type="gramStart"/>
      <w:r w:rsidR="007A5DB9">
        <w:rPr>
          <w:rFonts w:ascii="Times New Roman" w:hAnsi="Times New Roman"/>
        </w:rPr>
        <w:t>,2022</w:t>
      </w:r>
      <w:proofErr w:type="gramEnd"/>
      <w:r w:rsidR="007A5DB9">
        <w:rPr>
          <w:rFonts w:ascii="Times New Roman" w:hAnsi="Times New Roman"/>
        </w:rPr>
        <w:t xml:space="preserve"> (87</w:t>
      </w:r>
      <w:r>
        <w:rPr>
          <w:rFonts w:ascii="Times New Roman" w:hAnsi="Times New Roman"/>
        </w:rPr>
        <w:t xml:space="preserve"> FR </w:t>
      </w:r>
      <w:r w:rsidR="007A5DB9">
        <w:rPr>
          <w:rFonts w:ascii="Times New Roman" w:hAnsi="Times New Roman"/>
        </w:rPr>
        <w:t>2155</w:t>
      </w:r>
      <w:r>
        <w:rPr>
          <w:rFonts w:ascii="Times New Roman" w:hAnsi="Times New Roman"/>
        </w:rPr>
        <w:t>)</w:t>
      </w:r>
      <w:r w:rsidRPr="005E1A91">
        <w:rPr>
          <w:rFonts w:ascii="Times New Roman" w:hAnsi="Times New Roman"/>
        </w:rPr>
        <w:t>.  No comments were received.</w:t>
      </w:r>
      <w:r w:rsidRPr="00280958" w:rsidR="00280958">
        <w:rPr>
          <w:rFonts w:ascii="Times New Roman" w:hAnsi="Times New Roman"/>
        </w:rPr>
        <w:t xml:space="preserve"> </w:t>
      </w:r>
    </w:p>
    <w:p w:rsidRPr="00280958" w:rsidR="00280958" w:rsidP="00280958" w:rsidRDefault="00280958">
      <w:pPr>
        <w:pStyle w:val="Footer"/>
        <w:widowControl/>
        <w:tabs>
          <w:tab w:val="clear" w:pos="4320"/>
          <w:tab w:val="clear" w:pos="8640"/>
        </w:tabs>
        <w:ind w:left="1440"/>
        <w:rPr>
          <w:rFonts w:ascii="Times New Roman" w:hAnsi="Times New Roman"/>
        </w:rPr>
      </w:pPr>
    </w:p>
    <w:p w:rsidR="00F146F1" w:rsidP="00F175D5" w:rsidRDefault="002423D4">
      <w:pPr>
        <w:widowControl/>
        <w:numPr>
          <w:ilvl w:val="0"/>
          <w:numId w:val="4"/>
        </w:numPr>
        <w:rPr>
          <w:rFonts w:ascii="Times New Roman" w:hAnsi="Times New Roman"/>
        </w:rPr>
      </w:pPr>
      <w:r w:rsidRPr="00366534">
        <w:rPr>
          <w:rFonts w:ascii="Times New Roman" w:hAnsi="Times New Roman"/>
          <w:u w:val="single"/>
        </w:rPr>
        <w:t>Payment or gift to respondents:</w:t>
      </w:r>
    </w:p>
    <w:p w:rsidR="00F146F1" w:rsidRDefault="00F146F1">
      <w:pPr>
        <w:widowControl/>
        <w:rPr>
          <w:rFonts w:ascii="Times New Roman" w:hAnsi="Times New Roman"/>
        </w:rPr>
      </w:pPr>
    </w:p>
    <w:p w:rsidR="00F146F1" w:rsidRDefault="00712BA4">
      <w:pPr>
        <w:widowControl/>
        <w:ind w:left="720" w:firstLine="720"/>
        <w:rPr>
          <w:rFonts w:ascii="Times New Roman" w:hAnsi="Times New Roman"/>
        </w:rPr>
      </w:pPr>
      <w:r w:rsidRPr="00712BA4">
        <w:rPr>
          <w:rFonts w:ascii="Times New Roman" w:hAnsi="Times New Roman"/>
        </w:rPr>
        <w:t>Not applicable.</w:t>
      </w:r>
      <w:r w:rsidR="00F146F1">
        <w:rPr>
          <w:rFonts w:ascii="Times New Roman" w:hAnsi="Times New Roman"/>
        </w:rPr>
        <w:t xml:space="preserve"> </w:t>
      </w:r>
    </w:p>
    <w:p w:rsidR="00573F81" w:rsidP="00E57520" w:rsidRDefault="00573F81">
      <w:pPr>
        <w:widowControl/>
        <w:rPr>
          <w:rFonts w:ascii="Times New Roman" w:hAnsi="Times New Roman"/>
        </w:rPr>
      </w:pPr>
    </w:p>
    <w:p w:rsidR="00F146F1" w:rsidP="00F175D5" w:rsidRDefault="002423D4">
      <w:pPr>
        <w:widowControl/>
        <w:numPr>
          <w:ilvl w:val="0"/>
          <w:numId w:val="4"/>
        </w:numPr>
        <w:rPr>
          <w:rFonts w:ascii="Times New Roman" w:hAnsi="Times New Roman"/>
        </w:rPr>
      </w:pPr>
      <w:r w:rsidRPr="00366534">
        <w:rPr>
          <w:rFonts w:ascii="Times New Roman" w:hAnsi="Times New Roman"/>
          <w:u w:val="single"/>
        </w:rPr>
        <w:t>Any assurance of confidentiality:</w:t>
      </w:r>
    </w:p>
    <w:p w:rsidR="00F146F1" w:rsidRDefault="00F146F1">
      <w:pPr>
        <w:widowControl/>
        <w:ind w:left="576"/>
        <w:rPr>
          <w:rFonts w:ascii="Times New Roman" w:hAnsi="Times New Roman"/>
        </w:rPr>
      </w:pPr>
    </w:p>
    <w:p w:rsidR="00F146F1" w:rsidRDefault="00E57520">
      <w:pPr>
        <w:widowControl/>
        <w:ind w:left="1440"/>
        <w:rPr>
          <w:rFonts w:ascii="Times New Roman" w:hAnsi="Times New Roman"/>
        </w:rPr>
      </w:pPr>
      <w:r w:rsidRPr="00E57520">
        <w:rPr>
          <w:rFonts w:ascii="Times New Roman" w:hAnsi="Times New Roman"/>
        </w:rPr>
        <w:t>Any information deemed to be of a confidential nature would be exempt from public disclosure in accordance with the provisions of the Freedom of Information Act (5 U.S.C. 552).</w:t>
      </w:r>
      <w:r w:rsidR="00F146F1">
        <w:rPr>
          <w:rFonts w:ascii="Times New Roman" w:hAnsi="Times New Roman"/>
        </w:rPr>
        <w:t xml:space="preserve">  </w:t>
      </w:r>
    </w:p>
    <w:p w:rsidR="00621A3B" w:rsidRDefault="00621A3B">
      <w:pPr>
        <w:widowControl/>
        <w:rPr>
          <w:rFonts w:ascii="Times New Roman" w:hAnsi="Times New Roman"/>
        </w:rPr>
      </w:pPr>
    </w:p>
    <w:p w:rsidR="00F146F1" w:rsidP="00F175D5" w:rsidRDefault="002423D4">
      <w:pPr>
        <w:widowControl/>
        <w:numPr>
          <w:ilvl w:val="0"/>
          <w:numId w:val="4"/>
        </w:numPr>
        <w:rPr>
          <w:rFonts w:ascii="Times New Roman" w:hAnsi="Times New Roman"/>
        </w:rPr>
      </w:pPr>
      <w:r w:rsidRPr="00366534">
        <w:rPr>
          <w:rFonts w:ascii="Times New Roman" w:hAnsi="Times New Roman"/>
          <w:u w:val="single"/>
        </w:rPr>
        <w:t>Justification for questions of a sensitive nature:</w:t>
      </w:r>
    </w:p>
    <w:p w:rsidR="00F146F1" w:rsidRDefault="00F146F1">
      <w:pPr>
        <w:widowControl/>
        <w:rPr>
          <w:rFonts w:ascii="Times New Roman" w:hAnsi="Times New Roman"/>
        </w:rPr>
      </w:pPr>
    </w:p>
    <w:p w:rsidR="009D2562" w:rsidP="009D2562" w:rsidRDefault="00621A3B">
      <w:pPr>
        <w:widowControl/>
        <w:ind w:left="1440"/>
        <w:rPr>
          <w:rFonts w:ascii="Times New Roman" w:hAnsi="Times New Roman"/>
        </w:rPr>
      </w:pPr>
      <w:r w:rsidRPr="00621A3B">
        <w:rPr>
          <w:rFonts w:ascii="Times New Roman" w:hAnsi="Times New Roman"/>
        </w:rPr>
        <w:t>No questions of a sensitive nature are included in the collection.</w:t>
      </w:r>
    </w:p>
    <w:p w:rsidR="002423D4" w:rsidP="00820109" w:rsidRDefault="002423D4">
      <w:pPr>
        <w:widowControl/>
        <w:rPr>
          <w:rFonts w:ascii="Times New Roman" w:hAnsi="Times New Roman" w:eastAsia="Calibri"/>
        </w:rPr>
      </w:pPr>
    </w:p>
    <w:p w:rsidRPr="00621A3B" w:rsidR="00F146F1" w:rsidP="00F175D5" w:rsidRDefault="002423D4">
      <w:pPr>
        <w:widowControl/>
        <w:numPr>
          <w:ilvl w:val="0"/>
          <w:numId w:val="4"/>
        </w:numPr>
        <w:rPr>
          <w:rFonts w:ascii="Times New Roman" w:hAnsi="Times New Roman"/>
        </w:rPr>
      </w:pPr>
      <w:bookmarkStart w:name="_DV_M10" w:id="1"/>
      <w:bookmarkEnd w:id="1"/>
      <w:r w:rsidRPr="009234BE">
        <w:rPr>
          <w:rFonts w:ascii="Times New Roman" w:hAnsi="Times New Roman"/>
          <w:u w:val="single"/>
        </w:rPr>
        <w:t>Estimate of hour burden including annualized hourly costs:</w:t>
      </w:r>
    </w:p>
    <w:p w:rsidR="00621A3B" w:rsidP="00621A3B" w:rsidRDefault="00621A3B">
      <w:pPr>
        <w:widowControl/>
        <w:ind w:left="720"/>
        <w:rPr>
          <w:rFonts w:ascii="Times New Roman" w:hAnsi="Times New Roman"/>
        </w:rPr>
      </w:pPr>
    </w:p>
    <w:tbl>
      <w:tblPr>
        <w:tblW w:w="10140" w:type="dxa"/>
        <w:tblLook w:val="04A0" w:firstRow="1" w:lastRow="0" w:firstColumn="1" w:lastColumn="0" w:noHBand="0" w:noVBand="1"/>
      </w:tblPr>
      <w:tblGrid>
        <w:gridCol w:w="2223"/>
        <w:gridCol w:w="2272"/>
        <w:gridCol w:w="1440"/>
        <w:gridCol w:w="1440"/>
        <w:gridCol w:w="1260"/>
        <w:gridCol w:w="1505"/>
      </w:tblGrid>
      <w:tr w:rsidRPr="00FD54B0" w:rsidR="00FD54B0" w:rsidTr="00F43A6D">
        <w:trPr>
          <w:trHeight w:val="288"/>
        </w:trPr>
        <w:tc>
          <w:tcPr>
            <w:tcW w:w="10140" w:type="dxa"/>
            <w:gridSpan w:val="6"/>
            <w:tcBorders>
              <w:top w:val="single" w:color="auto" w:sz="4" w:space="0"/>
              <w:left w:val="single" w:color="auto" w:sz="4" w:space="0"/>
              <w:bottom w:val="single" w:color="auto" w:sz="4" w:space="0"/>
              <w:right w:val="single" w:color="auto" w:sz="4" w:space="0"/>
            </w:tcBorders>
            <w:shd w:val="clear" w:color="auto" w:fill="auto"/>
            <w:vAlign w:val="center"/>
            <w:hideMark/>
          </w:tcPr>
          <w:p w:rsidRPr="00FD54B0" w:rsidR="00FD54B0" w:rsidP="00FD54B0" w:rsidRDefault="00FD54B0">
            <w:pPr>
              <w:widowControl/>
              <w:jc w:val="center"/>
              <w:rPr>
                <w:rFonts w:ascii="Source Sans Pro" w:hAnsi="Source Sans Pro" w:cs="Calibri"/>
                <w:b/>
                <w:bCs/>
                <w:snapToGrid/>
                <w:color w:val="000000"/>
                <w:sz w:val="20"/>
              </w:rPr>
            </w:pPr>
            <w:r w:rsidRPr="00FD54B0">
              <w:rPr>
                <w:rFonts w:ascii="Source Sans Pro" w:hAnsi="Source Sans Pro" w:cs="Calibri"/>
                <w:b/>
                <w:bCs/>
                <w:snapToGrid/>
                <w:color w:val="000000"/>
                <w:sz w:val="20"/>
              </w:rPr>
              <w:t>Summary of Estimated Annual Burden (OMB No. 3064-0161)</w:t>
            </w:r>
            <w:r w:rsidRPr="00FD54B0">
              <w:rPr>
                <w:rFonts w:ascii="Source Sans Pro" w:hAnsi="Source Sans Pro" w:cs="Calibri"/>
                <w:snapToGrid/>
                <w:color w:val="000000"/>
                <w:sz w:val="20"/>
              </w:rPr>
              <w:t> </w:t>
            </w:r>
          </w:p>
        </w:tc>
      </w:tr>
      <w:tr w:rsidRPr="00FD54B0" w:rsidR="00FD54B0" w:rsidTr="00F43A6D">
        <w:trPr>
          <w:trHeight w:val="792"/>
        </w:trPr>
        <w:tc>
          <w:tcPr>
            <w:tcW w:w="2223" w:type="dxa"/>
            <w:tcBorders>
              <w:top w:val="nil"/>
              <w:left w:val="single" w:color="auto" w:sz="4" w:space="0"/>
              <w:bottom w:val="single" w:color="auto" w:sz="4" w:space="0"/>
              <w:right w:val="single" w:color="auto" w:sz="4" w:space="0"/>
            </w:tcBorders>
            <w:shd w:val="clear" w:color="auto" w:fill="D9D9D9"/>
            <w:vAlign w:val="center"/>
          </w:tcPr>
          <w:p w:rsidRPr="00FD54B0" w:rsidR="00FD54B0" w:rsidP="00FD54B0" w:rsidRDefault="00FD54B0">
            <w:pPr>
              <w:widowControl/>
              <w:rPr>
                <w:rFonts w:ascii="Source Sans Pro" w:hAnsi="Source Sans Pro" w:cs="Calibri"/>
                <w:snapToGrid/>
                <w:color w:val="000000"/>
                <w:sz w:val="20"/>
              </w:rPr>
            </w:pPr>
            <w:r w:rsidRPr="00FD54B0">
              <w:rPr>
                <w:rFonts w:ascii="Source Sans Pro" w:hAnsi="Source Sans Pro" w:cs="Calibri"/>
                <w:snapToGrid/>
                <w:color w:val="000000"/>
                <w:sz w:val="20"/>
              </w:rPr>
              <w:t>Information Collection Description</w:t>
            </w:r>
          </w:p>
        </w:tc>
        <w:tc>
          <w:tcPr>
            <w:tcW w:w="2272" w:type="dxa"/>
            <w:tcBorders>
              <w:top w:val="nil"/>
              <w:left w:val="nil"/>
              <w:bottom w:val="single" w:color="auto" w:sz="4" w:space="0"/>
              <w:right w:val="single" w:color="auto" w:sz="4" w:space="0"/>
            </w:tcBorders>
            <w:shd w:val="clear" w:color="auto" w:fill="D9D9D9"/>
            <w:vAlign w:val="center"/>
          </w:tcPr>
          <w:p w:rsidRPr="00FD54B0" w:rsidR="00FD54B0" w:rsidP="00FD54B0" w:rsidRDefault="00FD54B0">
            <w:pPr>
              <w:widowControl/>
              <w:jc w:val="center"/>
              <w:rPr>
                <w:rFonts w:ascii="Source Sans Pro" w:hAnsi="Source Sans Pro" w:cs="Calibri"/>
                <w:snapToGrid/>
                <w:color w:val="000000"/>
                <w:sz w:val="20"/>
              </w:rPr>
            </w:pPr>
            <w:r w:rsidRPr="00FD54B0">
              <w:rPr>
                <w:rFonts w:ascii="Source Sans Pro" w:hAnsi="Source Sans Pro" w:cs="Calibri"/>
                <w:snapToGrid/>
                <w:color w:val="000000"/>
                <w:sz w:val="20"/>
              </w:rPr>
              <w:t>Type of Burden (Obligation to Respond)</w:t>
            </w:r>
          </w:p>
        </w:tc>
        <w:tc>
          <w:tcPr>
            <w:tcW w:w="1440" w:type="dxa"/>
            <w:tcBorders>
              <w:top w:val="nil"/>
              <w:left w:val="nil"/>
              <w:bottom w:val="single" w:color="auto" w:sz="4" w:space="0"/>
              <w:right w:val="single" w:color="auto" w:sz="4" w:space="0"/>
            </w:tcBorders>
            <w:shd w:val="clear" w:color="auto" w:fill="D9D9D9"/>
            <w:vAlign w:val="center"/>
          </w:tcPr>
          <w:p w:rsidRPr="00FD54B0" w:rsidR="00FD54B0" w:rsidP="00FD54B0" w:rsidRDefault="00FD54B0">
            <w:pPr>
              <w:widowControl/>
              <w:jc w:val="center"/>
              <w:rPr>
                <w:rFonts w:ascii="Source Sans Pro" w:hAnsi="Source Sans Pro" w:cs="Calibri"/>
                <w:snapToGrid/>
                <w:color w:val="000000"/>
                <w:sz w:val="20"/>
              </w:rPr>
            </w:pPr>
            <w:r w:rsidRPr="00FD54B0">
              <w:rPr>
                <w:rFonts w:ascii="Source Sans Pro" w:hAnsi="Source Sans Pro" w:cs="Calibri"/>
                <w:snapToGrid/>
                <w:color w:val="000000"/>
                <w:sz w:val="20"/>
              </w:rPr>
              <w:t>Number of Responses</w:t>
            </w:r>
          </w:p>
        </w:tc>
        <w:tc>
          <w:tcPr>
            <w:tcW w:w="1440" w:type="dxa"/>
            <w:tcBorders>
              <w:top w:val="nil"/>
              <w:left w:val="nil"/>
              <w:bottom w:val="single" w:color="auto" w:sz="4" w:space="0"/>
              <w:right w:val="single" w:color="auto" w:sz="4" w:space="0"/>
            </w:tcBorders>
            <w:shd w:val="clear" w:color="auto" w:fill="D9D9D9"/>
            <w:vAlign w:val="center"/>
          </w:tcPr>
          <w:p w:rsidRPr="00FD54B0" w:rsidR="00FD54B0" w:rsidP="00FD54B0" w:rsidRDefault="00FD54B0">
            <w:pPr>
              <w:widowControl/>
              <w:jc w:val="center"/>
              <w:rPr>
                <w:rFonts w:ascii="Source Sans Pro" w:hAnsi="Source Sans Pro" w:cs="Calibri"/>
                <w:snapToGrid/>
                <w:color w:val="000000"/>
                <w:sz w:val="20"/>
              </w:rPr>
            </w:pPr>
            <w:r w:rsidRPr="00FD54B0">
              <w:rPr>
                <w:rFonts w:ascii="Source Sans Pro" w:hAnsi="Source Sans Pro" w:cs="Calibri"/>
                <w:snapToGrid/>
                <w:color w:val="000000"/>
                <w:sz w:val="20"/>
              </w:rPr>
              <w:t>Number of Respondents</w:t>
            </w:r>
          </w:p>
        </w:tc>
        <w:tc>
          <w:tcPr>
            <w:tcW w:w="1260" w:type="dxa"/>
            <w:tcBorders>
              <w:top w:val="nil"/>
              <w:left w:val="nil"/>
              <w:bottom w:val="single" w:color="auto" w:sz="4" w:space="0"/>
              <w:right w:val="single" w:color="auto" w:sz="4" w:space="0"/>
            </w:tcBorders>
            <w:shd w:val="clear" w:color="auto" w:fill="D9D9D9"/>
            <w:vAlign w:val="center"/>
          </w:tcPr>
          <w:p w:rsidRPr="00FD54B0" w:rsidR="00FD54B0" w:rsidP="00FD54B0" w:rsidRDefault="00FD54B0">
            <w:pPr>
              <w:widowControl/>
              <w:jc w:val="center"/>
              <w:rPr>
                <w:rFonts w:ascii="Source Sans Pro" w:hAnsi="Source Sans Pro" w:cs="Calibri"/>
                <w:snapToGrid/>
                <w:color w:val="000000"/>
                <w:sz w:val="20"/>
              </w:rPr>
            </w:pPr>
            <w:r w:rsidRPr="00FD54B0">
              <w:rPr>
                <w:rFonts w:ascii="Source Sans Pro" w:hAnsi="Source Sans Pro" w:cs="Calibri"/>
                <w:snapToGrid/>
                <w:color w:val="000000"/>
                <w:sz w:val="20"/>
              </w:rPr>
              <w:t>Hours per Response</w:t>
            </w:r>
          </w:p>
        </w:tc>
        <w:tc>
          <w:tcPr>
            <w:tcW w:w="1505" w:type="dxa"/>
            <w:tcBorders>
              <w:top w:val="nil"/>
              <w:left w:val="nil"/>
              <w:bottom w:val="single" w:color="auto" w:sz="4" w:space="0"/>
              <w:right w:val="single" w:color="auto" w:sz="4" w:space="0"/>
            </w:tcBorders>
            <w:shd w:val="clear" w:color="auto" w:fill="D9D9D9"/>
            <w:vAlign w:val="center"/>
          </w:tcPr>
          <w:p w:rsidRPr="00FD54B0" w:rsidR="00FD54B0" w:rsidP="00FD54B0" w:rsidRDefault="00FD54B0">
            <w:pPr>
              <w:widowControl/>
              <w:jc w:val="center"/>
              <w:rPr>
                <w:rFonts w:ascii="Source Sans Pro" w:hAnsi="Source Sans Pro" w:cs="Calibri"/>
                <w:snapToGrid/>
                <w:color w:val="000000"/>
                <w:sz w:val="20"/>
              </w:rPr>
            </w:pPr>
            <w:r w:rsidRPr="00FD54B0">
              <w:rPr>
                <w:rFonts w:ascii="Source Sans Pro" w:hAnsi="Source Sans Pro" w:cs="Calibri"/>
                <w:snapToGrid/>
                <w:color w:val="000000"/>
                <w:sz w:val="20"/>
              </w:rPr>
              <w:t>Annual Burden (Hours)</w:t>
            </w:r>
          </w:p>
        </w:tc>
      </w:tr>
      <w:tr w:rsidRPr="00FD54B0" w:rsidR="00FD54B0" w:rsidTr="00F43A6D">
        <w:trPr>
          <w:trHeight w:val="792"/>
        </w:trPr>
        <w:tc>
          <w:tcPr>
            <w:tcW w:w="2223" w:type="dxa"/>
            <w:tcBorders>
              <w:top w:val="nil"/>
              <w:left w:val="single" w:color="auto" w:sz="4" w:space="0"/>
              <w:bottom w:val="single" w:color="auto" w:sz="4" w:space="0"/>
              <w:right w:val="single" w:color="auto" w:sz="4" w:space="0"/>
            </w:tcBorders>
            <w:shd w:val="clear" w:color="auto" w:fill="auto"/>
            <w:vAlign w:val="center"/>
          </w:tcPr>
          <w:p w:rsidRPr="00FD54B0" w:rsidR="00FD54B0" w:rsidP="00FD54B0" w:rsidRDefault="00FD54B0">
            <w:pPr>
              <w:widowControl/>
              <w:rPr>
                <w:rFonts w:ascii="Source Sans Pro" w:hAnsi="Source Sans Pro" w:cs="Calibri"/>
                <w:snapToGrid/>
                <w:color w:val="000000"/>
                <w:sz w:val="20"/>
              </w:rPr>
            </w:pPr>
            <w:r w:rsidRPr="00FD54B0">
              <w:rPr>
                <w:rFonts w:ascii="Source Sans Pro" w:hAnsi="Source Sans Pro" w:cs="Calibri"/>
                <w:snapToGrid/>
                <w:color w:val="000000"/>
                <w:sz w:val="20"/>
              </w:rPr>
              <w:t>Procedures to Enhance the Accuracy and Integrity of Information furnished to Consumer Reporting Agencies under Section 312 of the Fair and Accurate Credit Transaction Act</w:t>
            </w:r>
          </w:p>
        </w:tc>
        <w:tc>
          <w:tcPr>
            <w:tcW w:w="2272" w:type="dxa"/>
            <w:tcBorders>
              <w:top w:val="nil"/>
              <w:left w:val="nil"/>
              <w:bottom w:val="single" w:color="auto" w:sz="4" w:space="0"/>
              <w:right w:val="single" w:color="auto" w:sz="4" w:space="0"/>
            </w:tcBorders>
            <w:shd w:val="clear" w:color="auto" w:fill="auto"/>
            <w:vAlign w:val="center"/>
          </w:tcPr>
          <w:p w:rsidRPr="00FD54B0" w:rsidR="00FD54B0" w:rsidP="00FD54B0" w:rsidRDefault="00FD54B0">
            <w:pPr>
              <w:widowControl/>
              <w:jc w:val="center"/>
              <w:rPr>
                <w:rFonts w:ascii="Source Sans Pro" w:hAnsi="Source Sans Pro" w:cs="Calibri"/>
                <w:snapToGrid/>
                <w:color w:val="000000"/>
                <w:sz w:val="20"/>
              </w:rPr>
            </w:pPr>
            <w:r w:rsidRPr="00FD54B0">
              <w:rPr>
                <w:rFonts w:ascii="Source Sans Pro" w:hAnsi="Source Sans Pro" w:cs="Calibri"/>
                <w:snapToGrid/>
                <w:color w:val="000000"/>
                <w:sz w:val="20"/>
              </w:rPr>
              <w:t>Recordkeeping (Required)</w:t>
            </w:r>
          </w:p>
        </w:tc>
        <w:tc>
          <w:tcPr>
            <w:tcW w:w="1440" w:type="dxa"/>
            <w:tcBorders>
              <w:top w:val="nil"/>
              <w:left w:val="nil"/>
              <w:bottom w:val="single" w:color="auto" w:sz="4" w:space="0"/>
              <w:right w:val="single" w:color="auto" w:sz="4" w:space="0"/>
            </w:tcBorders>
            <w:shd w:val="clear" w:color="auto" w:fill="auto"/>
            <w:vAlign w:val="center"/>
          </w:tcPr>
          <w:p w:rsidRPr="00FD54B0" w:rsidR="00FD54B0" w:rsidP="00FD54B0" w:rsidRDefault="00FD54B0">
            <w:pPr>
              <w:widowControl/>
              <w:jc w:val="center"/>
              <w:rPr>
                <w:rFonts w:ascii="Source Sans Pro" w:hAnsi="Source Sans Pro" w:cs="Calibri"/>
                <w:snapToGrid/>
                <w:color w:val="000000"/>
                <w:sz w:val="20"/>
              </w:rPr>
            </w:pPr>
            <w:r w:rsidRPr="00FD54B0">
              <w:rPr>
                <w:rFonts w:ascii="Source Sans Pro" w:hAnsi="Source Sans Pro" w:cs="Calibri"/>
                <w:snapToGrid/>
                <w:color w:val="000000"/>
                <w:sz w:val="20"/>
              </w:rPr>
              <w:t>1 </w:t>
            </w:r>
          </w:p>
        </w:tc>
        <w:tc>
          <w:tcPr>
            <w:tcW w:w="1440" w:type="dxa"/>
            <w:tcBorders>
              <w:top w:val="nil"/>
              <w:left w:val="nil"/>
              <w:bottom w:val="single" w:color="auto" w:sz="4" w:space="0"/>
              <w:right w:val="single" w:color="auto" w:sz="4" w:space="0"/>
            </w:tcBorders>
            <w:shd w:val="clear" w:color="auto" w:fill="auto"/>
            <w:vAlign w:val="center"/>
          </w:tcPr>
          <w:p w:rsidRPr="00FD54B0" w:rsidR="00FD54B0" w:rsidP="00FD54B0" w:rsidRDefault="00FD54B0">
            <w:pPr>
              <w:widowControl/>
              <w:jc w:val="center"/>
              <w:rPr>
                <w:rFonts w:ascii="Source Sans Pro" w:hAnsi="Source Sans Pro" w:cs="Calibri"/>
                <w:snapToGrid/>
                <w:color w:val="000000"/>
                <w:sz w:val="20"/>
              </w:rPr>
            </w:pPr>
            <w:r w:rsidRPr="00FD54B0">
              <w:rPr>
                <w:rFonts w:ascii="Source Sans Pro" w:hAnsi="Source Sans Pro" w:cs="Calibri"/>
                <w:snapToGrid/>
                <w:color w:val="000000"/>
                <w:sz w:val="20"/>
              </w:rPr>
              <w:t>3,140</w:t>
            </w:r>
          </w:p>
        </w:tc>
        <w:tc>
          <w:tcPr>
            <w:tcW w:w="1260" w:type="dxa"/>
            <w:tcBorders>
              <w:top w:val="nil"/>
              <w:left w:val="nil"/>
              <w:bottom w:val="single" w:color="auto" w:sz="4" w:space="0"/>
              <w:right w:val="single" w:color="auto" w:sz="4" w:space="0"/>
            </w:tcBorders>
            <w:shd w:val="clear" w:color="auto" w:fill="auto"/>
            <w:vAlign w:val="center"/>
          </w:tcPr>
          <w:p w:rsidRPr="00FD54B0" w:rsidR="00FD54B0" w:rsidP="00FD54B0" w:rsidRDefault="00FD54B0">
            <w:pPr>
              <w:widowControl/>
              <w:jc w:val="center"/>
              <w:rPr>
                <w:rFonts w:ascii="Source Sans Pro" w:hAnsi="Source Sans Pro" w:cs="Calibri"/>
                <w:snapToGrid/>
                <w:color w:val="000000"/>
                <w:sz w:val="20"/>
              </w:rPr>
            </w:pPr>
            <w:r w:rsidRPr="00FD54B0">
              <w:rPr>
                <w:rFonts w:ascii="Source Sans Pro" w:hAnsi="Source Sans Pro" w:cs="Calibri"/>
                <w:snapToGrid/>
                <w:color w:val="000000"/>
                <w:sz w:val="20"/>
              </w:rPr>
              <w:t>40</w:t>
            </w:r>
          </w:p>
        </w:tc>
        <w:tc>
          <w:tcPr>
            <w:tcW w:w="1505" w:type="dxa"/>
            <w:tcBorders>
              <w:top w:val="nil"/>
              <w:left w:val="nil"/>
              <w:bottom w:val="single" w:color="auto" w:sz="4" w:space="0"/>
              <w:right w:val="single" w:color="auto" w:sz="4" w:space="0"/>
            </w:tcBorders>
            <w:shd w:val="clear" w:color="auto" w:fill="auto"/>
            <w:vAlign w:val="center"/>
          </w:tcPr>
          <w:p w:rsidRPr="00FD54B0" w:rsidR="00FD54B0" w:rsidP="00FD54B0" w:rsidRDefault="00FD54B0">
            <w:pPr>
              <w:widowControl/>
              <w:jc w:val="center"/>
              <w:rPr>
                <w:rFonts w:ascii="Source Sans Pro" w:hAnsi="Source Sans Pro" w:cs="Calibri"/>
                <w:snapToGrid/>
                <w:color w:val="000000"/>
                <w:sz w:val="20"/>
              </w:rPr>
            </w:pPr>
            <w:r w:rsidRPr="00FD54B0">
              <w:rPr>
                <w:rFonts w:ascii="Source Sans Pro" w:hAnsi="Source Sans Pro" w:cs="Calibri"/>
                <w:snapToGrid/>
                <w:color w:val="000000"/>
                <w:sz w:val="20"/>
              </w:rPr>
              <w:t>125,600</w:t>
            </w:r>
          </w:p>
        </w:tc>
      </w:tr>
      <w:tr w:rsidRPr="00FD54B0" w:rsidR="00FD54B0" w:rsidTr="00F43A6D">
        <w:trPr>
          <w:trHeight w:val="792"/>
        </w:trPr>
        <w:tc>
          <w:tcPr>
            <w:tcW w:w="2223" w:type="dxa"/>
            <w:tcBorders>
              <w:top w:val="nil"/>
              <w:left w:val="single" w:color="auto" w:sz="4" w:space="0"/>
              <w:bottom w:val="single" w:color="auto" w:sz="4" w:space="0"/>
              <w:right w:val="single" w:color="auto" w:sz="4" w:space="0"/>
            </w:tcBorders>
            <w:shd w:val="clear" w:color="auto" w:fill="auto"/>
            <w:vAlign w:val="center"/>
          </w:tcPr>
          <w:p w:rsidRPr="00FD54B0" w:rsidR="00FD54B0" w:rsidP="00FD54B0" w:rsidRDefault="00FD54B0">
            <w:pPr>
              <w:widowControl/>
              <w:rPr>
                <w:rFonts w:ascii="Source Sans Pro" w:hAnsi="Source Sans Pro" w:cs="Calibri"/>
                <w:snapToGrid/>
                <w:color w:val="000000"/>
                <w:sz w:val="20"/>
              </w:rPr>
            </w:pPr>
            <w:r w:rsidRPr="00FD54B0">
              <w:rPr>
                <w:rFonts w:ascii="Source Sans Pro" w:hAnsi="Source Sans Pro" w:cs="Calibri"/>
                <w:snapToGrid/>
                <w:color w:val="000000"/>
                <w:sz w:val="20"/>
              </w:rPr>
              <w:t>Distribution of Notices in Response to Direct Disputes</w:t>
            </w:r>
          </w:p>
        </w:tc>
        <w:tc>
          <w:tcPr>
            <w:tcW w:w="2272" w:type="dxa"/>
            <w:tcBorders>
              <w:top w:val="nil"/>
              <w:left w:val="nil"/>
              <w:bottom w:val="single" w:color="auto" w:sz="4" w:space="0"/>
              <w:right w:val="single" w:color="auto" w:sz="4" w:space="0"/>
            </w:tcBorders>
            <w:shd w:val="clear" w:color="auto" w:fill="auto"/>
            <w:vAlign w:val="center"/>
          </w:tcPr>
          <w:p w:rsidRPr="00FD54B0" w:rsidR="00FD54B0" w:rsidP="00FD54B0" w:rsidRDefault="00FD54B0">
            <w:pPr>
              <w:widowControl/>
              <w:jc w:val="center"/>
              <w:rPr>
                <w:rFonts w:ascii="Source Sans Pro" w:hAnsi="Source Sans Pro" w:cs="Calibri"/>
                <w:snapToGrid/>
                <w:color w:val="000000"/>
                <w:sz w:val="20"/>
              </w:rPr>
            </w:pPr>
            <w:r w:rsidRPr="00FD54B0">
              <w:rPr>
                <w:rFonts w:ascii="Source Sans Pro" w:hAnsi="Source Sans Pro" w:cs="Calibri"/>
                <w:snapToGrid/>
                <w:color w:val="000000"/>
                <w:sz w:val="20"/>
              </w:rPr>
              <w:t>Third Party Disclosure (Required)</w:t>
            </w:r>
          </w:p>
        </w:tc>
        <w:tc>
          <w:tcPr>
            <w:tcW w:w="1440" w:type="dxa"/>
            <w:tcBorders>
              <w:top w:val="nil"/>
              <w:left w:val="nil"/>
              <w:bottom w:val="single" w:color="auto" w:sz="4" w:space="0"/>
              <w:right w:val="single" w:color="auto" w:sz="4" w:space="0"/>
            </w:tcBorders>
            <w:shd w:val="clear" w:color="auto" w:fill="auto"/>
            <w:vAlign w:val="center"/>
          </w:tcPr>
          <w:p w:rsidRPr="00FD54B0" w:rsidR="00FD54B0" w:rsidP="00FD54B0" w:rsidRDefault="00FD54B0">
            <w:pPr>
              <w:widowControl/>
              <w:jc w:val="center"/>
              <w:rPr>
                <w:rFonts w:ascii="Source Sans Pro" w:hAnsi="Source Sans Pro" w:cs="Calibri"/>
                <w:snapToGrid/>
                <w:color w:val="000000"/>
                <w:sz w:val="20"/>
              </w:rPr>
            </w:pPr>
            <w:r w:rsidRPr="00FD54B0">
              <w:rPr>
                <w:rFonts w:ascii="Source Sans Pro" w:hAnsi="Source Sans Pro" w:cs="Calibri"/>
                <w:snapToGrid/>
                <w:color w:val="000000"/>
                <w:sz w:val="20"/>
              </w:rPr>
              <w:t>46</w:t>
            </w:r>
          </w:p>
        </w:tc>
        <w:tc>
          <w:tcPr>
            <w:tcW w:w="1440" w:type="dxa"/>
            <w:tcBorders>
              <w:top w:val="nil"/>
              <w:left w:val="nil"/>
              <w:bottom w:val="single" w:color="auto" w:sz="4" w:space="0"/>
              <w:right w:val="single" w:color="auto" w:sz="4" w:space="0"/>
            </w:tcBorders>
            <w:shd w:val="clear" w:color="auto" w:fill="auto"/>
            <w:vAlign w:val="center"/>
          </w:tcPr>
          <w:p w:rsidRPr="00FD54B0" w:rsidR="00FD54B0" w:rsidP="00FD54B0" w:rsidRDefault="00FD54B0">
            <w:pPr>
              <w:widowControl/>
              <w:jc w:val="center"/>
              <w:rPr>
                <w:rFonts w:ascii="Source Sans Pro" w:hAnsi="Source Sans Pro" w:cs="Calibri"/>
                <w:snapToGrid/>
                <w:color w:val="000000"/>
                <w:sz w:val="20"/>
              </w:rPr>
            </w:pPr>
            <w:r w:rsidRPr="00FD54B0">
              <w:rPr>
                <w:rFonts w:ascii="Source Sans Pro" w:hAnsi="Source Sans Pro" w:cs="Calibri"/>
                <w:snapToGrid/>
                <w:color w:val="000000"/>
                <w:sz w:val="20"/>
              </w:rPr>
              <w:t>3,140</w:t>
            </w:r>
          </w:p>
        </w:tc>
        <w:tc>
          <w:tcPr>
            <w:tcW w:w="1260" w:type="dxa"/>
            <w:tcBorders>
              <w:top w:val="nil"/>
              <w:left w:val="nil"/>
              <w:bottom w:val="single" w:color="auto" w:sz="4" w:space="0"/>
              <w:right w:val="single" w:color="auto" w:sz="4" w:space="0"/>
            </w:tcBorders>
            <w:shd w:val="clear" w:color="auto" w:fill="auto"/>
            <w:vAlign w:val="center"/>
          </w:tcPr>
          <w:p w:rsidRPr="00FD54B0" w:rsidR="00FD54B0" w:rsidP="00FD54B0" w:rsidRDefault="00FD54B0">
            <w:pPr>
              <w:widowControl/>
              <w:jc w:val="center"/>
              <w:rPr>
                <w:rFonts w:ascii="Source Sans Pro" w:hAnsi="Source Sans Pro" w:cs="Calibri"/>
                <w:snapToGrid/>
                <w:color w:val="000000"/>
                <w:sz w:val="20"/>
              </w:rPr>
            </w:pPr>
            <w:r w:rsidRPr="00FD54B0">
              <w:rPr>
                <w:rFonts w:ascii="Source Sans Pro" w:hAnsi="Source Sans Pro" w:cs="Calibri"/>
                <w:snapToGrid/>
                <w:color w:val="000000"/>
                <w:sz w:val="20"/>
              </w:rPr>
              <w:t>0.23</w:t>
            </w:r>
          </w:p>
        </w:tc>
        <w:tc>
          <w:tcPr>
            <w:tcW w:w="1505" w:type="dxa"/>
            <w:tcBorders>
              <w:top w:val="nil"/>
              <w:left w:val="nil"/>
              <w:bottom w:val="single" w:color="auto" w:sz="4" w:space="0"/>
              <w:right w:val="single" w:color="auto" w:sz="4" w:space="0"/>
            </w:tcBorders>
            <w:shd w:val="clear" w:color="auto" w:fill="auto"/>
            <w:vAlign w:val="center"/>
          </w:tcPr>
          <w:p w:rsidRPr="00FD54B0" w:rsidR="00FD54B0" w:rsidP="00FD54B0" w:rsidRDefault="00FD54B0">
            <w:pPr>
              <w:widowControl/>
              <w:jc w:val="center"/>
              <w:rPr>
                <w:rFonts w:ascii="Source Sans Pro" w:hAnsi="Source Sans Pro" w:cs="Calibri"/>
                <w:snapToGrid/>
                <w:color w:val="000000"/>
                <w:sz w:val="20"/>
              </w:rPr>
            </w:pPr>
            <w:r w:rsidRPr="00FD54B0">
              <w:rPr>
                <w:rFonts w:ascii="Source Sans Pro" w:hAnsi="Source Sans Pro" w:cs="Calibri"/>
                <w:snapToGrid/>
                <w:color w:val="000000"/>
                <w:sz w:val="20"/>
              </w:rPr>
              <w:t>33,221</w:t>
            </w:r>
          </w:p>
        </w:tc>
      </w:tr>
      <w:tr w:rsidRPr="00FD54B0" w:rsidR="00FD54B0" w:rsidTr="00F43A6D">
        <w:trPr>
          <w:trHeight w:val="288"/>
        </w:trPr>
        <w:tc>
          <w:tcPr>
            <w:tcW w:w="8635"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FD54B0" w:rsidR="00FD54B0" w:rsidP="00FD54B0" w:rsidRDefault="00FD54B0">
            <w:pPr>
              <w:widowControl/>
              <w:jc w:val="right"/>
              <w:rPr>
                <w:rFonts w:ascii="Source Sans Pro" w:hAnsi="Source Sans Pro" w:cs="Calibri"/>
                <w:b/>
                <w:snapToGrid/>
                <w:color w:val="000000"/>
                <w:sz w:val="20"/>
              </w:rPr>
            </w:pPr>
            <w:r w:rsidRPr="00FD54B0">
              <w:rPr>
                <w:rFonts w:ascii="Source Sans Pro" w:hAnsi="Source Sans Pro" w:cs="Calibri"/>
                <w:b/>
                <w:snapToGrid/>
                <w:color w:val="000000"/>
                <w:sz w:val="20"/>
              </w:rPr>
              <w:t>Total Annual Burden (Hours) </w:t>
            </w:r>
          </w:p>
        </w:tc>
        <w:tc>
          <w:tcPr>
            <w:tcW w:w="1505" w:type="dxa"/>
            <w:tcBorders>
              <w:top w:val="nil"/>
              <w:left w:val="nil"/>
              <w:bottom w:val="single" w:color="auto" w:sz="4" w:space="0"/>
              <w:right w:val="single" w:color="auto" w:sz="4" w:space="0"/>
            </w:tcBorders>
            <w:shd w:val="clear" w:color="auto" w:fill="auto"/>
            <w:vAlign w:val="center"/>
            <w:hideMark/>
          </w:tcPr>
          <w:p w:rsidRPr="00FD54B0" w:rsidR="00FD54B0" w:rsidP="00FD54B0" w:rsidRDefault="00FD54B0">
            <w:pPr>
              <w:widowControl/>
              <w:jc w:val="center"/>
              <w:rPr>
                <w:rFonts w:ascii="Source Sans Pro" w:hAnsi="Source Sans Pro" w:cs="Calibri"/>
                <w:b/>
                <w:snapToGrid/>
                <w:color w:val="000000"/>
                <w:sz w:val="20"/>
              </w:rPr>
            </w:pPr>
            <w:r w:rsidRPr="00FD54B0">
              <w:rPr>
                <w:rFonts w:ascii="Source Sans Pro" w:hAnsi="Source Sans Pro" w:cs="Calibri"/>
                <w:b/>
                <w:snapToGrid/>
                <w:color w:val="000000"/>
                <w:sz w:val="20"/>
              </w:rPr>
              <w:t>158,821</w:t>
            </w:r>
          </w:p>
        </w:tc>
      </w:tr>
    </w:tbl>
    <w:p w:rsidRPr="009234BE" w:rsidR="00FD54B0" w:rsidP="00621A3B" w:rsidRDefault="00FD54B0">
      <w:pPr>
        <w:widowControl/>
        <w:ind w:left="720"/>
        <w:rPr>
          <w:rFonts w:ascii="Times New Roman" w:hAnsi="Times New Roman"/>
        </w:rPr>
      </w:pPr>
    </w:p>
    <w:p w:rsidRPr="00820109" w:rsidR="00F146F1" w:rsidRDefault="00F146F1">
      <w:pPr>
        <w:widowControl/>
        <w:rPr>
          <w:rFonts w:ascii="Times New Roman" w:hAnsi="Times New Roman"/>
          <w:sz w:val="22"/>
          <w:szCs w:val="22"/>
        </w:rPr>
      </w:pPr>
    </w:p>
    <w:p w:rsidRPr="009234BE" w:rsidR="000F36F0" w:rsidP="000F36F0" w:rsidRDefault="0030358E">
      <w:pPr>
        <w:tabs>
          <w:tab w:val="left" w:pos="-1440"/>
        </w:tabs>
        <w:spacing w:line="360" w:lineRule="auto"/>
        <w:ind w:left="720"/>
        <w:contextualSpacing/>
        <w:rPr>
          <w:rFonts w:ascii="Times New Roman" w:hAnsi="Times New Roman"/>
        </w:rPr>
      </w:pPr>
      <w:r>
        <w:rPr>
          <w:rFonts w:ascii="Times New Roman" w:hAnsi="Times New Roman"/>
        </w:rPr>
        <w:t>Total</w:t>
      </w:r>
      <w:r w:rsidRPr="009234BE" w:rsidR="000F36F0">
        <w:rPr>
          <w:rFonts w:ascii="Times New Roman" w:hAnsi="Times New Roman"/>
        </w:rPr>
        <w:t xml:space="preserve"> </w:t>
      </w:r>
      <w:r w:rsidR="002B69D8">
        <w:rPr>
          <w:rFonts w:ascii="Times New Roman" w:hAnsi="Times New Roman"/>
        </w:rPr>
        <w:t xml:space="preserve">recordkeeping </w:t>
      </w:r>
      <w:r>
        <w:rPr>
          <w:rFonts w:ascii="Times New Roman" w:hAnsi="Times New Roman"/>
        </w:rPr>
        <w:t xml:space="preserve">estimated </w:t>
      </w:r>
      <w:r w:rsidRPr="009234BE" w:rsidR="000F36F0">
        <w:rPr>
          <w:rFonts w:ascii="Times New Roman" w:hAnsi="Times New Roman"/>
        </w:rPr>
        <w:t>annual burden</w:t>
      </w:r>
      <w:r w:rsidR="001F2335">
        <w:rPr>
          <w:rFonts w:ascii="Times New Roman" w:hAnsi="Times New Roman"/>
        </w:rPr>
        <w:t xml:space="preserve"> hours</w:t>
      </w:r>
      <w:r w:rsidRPr="009234BE" w:rsidR="000F36F0">
        <w:rPr>
          <w:rFonts w:ascii="Times New Roman" w:hAnsi="Times New Roman"/>
        </w:rPr>
        <w:t xml:space="preserve">: </w:t>
      </w:r>
      <w:r w:rsidR="00FD54B0">
        <w:rPr>
          <w:rFonts w:ascii="Times New Roman" w:hAnsi="Times New Roman"/>
        </w:rPr>
        <w:t>1</w:t>
      </w:r>
      <w:r w:rsidR="002B69D8">
        <w:rPr>
          <w:rFonts w:ascii="Times New Roman" w:hAnsi="Times New Roman"/>
        </w:rPr>
        <w:t>25,600</w:t>
      </w:r>
    </w:p>
    <w:p w:rsidR="000F36F0" w:rsidP="000F36F0" w:rsidRDefault="0030358E">
      <w:pPr>
        <w:tabs>
          <w:tab w:val="left" w:pos="-1440"/>
        </w:tabs>
        <w:spacing w:line="360" w:lineRule="auto"/>
        <w:ind w:left="720"/>
        <w:contextualSpacing/>
        <w:rPr>
          <w:rFonts w:ascii="Times New Roman" w:hAnsi="Times New Roman"/>
        </w:rPr>
      </w:pPr>
      <w:r>
        <w:rPr>
          <w:rFonts w:ascii="Times New Roman" w:hAnsi="Times New Roman"/>
        </w:rPr>
        <w:t xml:space="preserve">Total </w:t>
      </w:r>
      <w:r w:rsidR="002B69D8">
        <w:rPr>
          <w:rFonts w:ascii="Times New Roman" w:hAnsi="Times New Roman"/>
        </w:rPr>
        <w:t xml:space="preserve">recordkeeping </w:t>
      </w:r>
      <w:r>
        <w:rPr>
          <w:rFonts w:ascii="Times New Roman" w:hAnsi="Times New Roman"/>
        </w:rPr>
        <w:t>estimated</w:t>
      </w:r>
      <w:r w:rsidR="001F2335">
        <w:rPr>
          <w:rFonts w:ascii="Times New Roman" w:hAnsi="Times New Roman"/>
        </w:rPr>
        <w:t xml:space="preserve"> annual cost</w:t>
      </w:r>
      <w:r w:rsidRPr="009234BE" w:rsidR="000F36F0">
        <w:rPr>
          <w:rFonts w:ascii="Times New Roman" w:hAnsi="Times New Roman"/>
        </w:rPr>
        <w:t>:</w:t>
      </w:r>
      <w:r w:rsidR="000F36F0">
        <w:rPr>
          <w:rFonts w:ascii="Times New Roman" w:hAnsi="Times New Roman"/>
        </w:rPr>
        <w:t xml:space="preserve"> </w:t>
      </w:r>
      <w:r w:rsidR="00FD54B0">
        <w:rPr>
          <w:rFonts w:ascii="Times New Roman" w:hAnsi="Times New Roman"/>
        </w:rPr>
        <w:t>1</w:t>
      </w:r>
      <w:r w:rsidR="002B69D8">
        <w:rPr>
          <w:rFonts w:ascii="Times New Roman" w:hAnsi="Times New Roman"/>
        </w:rPr>
        <w:t xml:space="preserve">25,600 </w:t>
      </w:r>
      <w:r w:rsidRPr="009234BE" w:rsidR="000F36F0">
        <w:rPr>
          <w:rFonts w:ascii="Times New Roman" w:hAnsi="Times New Roman"/>
        </w:rPr>
        <w:t>hours x $</w:t>
      </w:r>
      <w:r w:rsidR="002B69D8">
        <w:rPr>
          <w:rFonts w:ascii="Times New Roman" w:hAnsi="Times New Roman"/>
        </w:rPr>
        <w:t>99.68</w:t>
      </w:r>
      <w:r w:rsidRPr="009234BE" w:rsidR="000F36F0">
        <w:rPr>
          <w:rFonts w:ascii="Times New Roman" w:hAnsi="Times New Roman"/>
        </w:rPr>
        <w:t xml:space="preserve"> = $</w:t>
      </w:r>
      <w:r w:rsidR="002B69D8">
        <w:rPr>
          <w:rFonts w:ascii="Times New Roman" w:hAnsi="Times New Roman"/>
        </w:rPr>
        <w:t>12,519,808</w:t>
      </w:r>
    </w:p>
    <w:p w:rsidR="002B69D8" w:rsidP="000F36F0" w:rsidRDefault="002B69D8">
      <w:pPr>
        <w:tabs>
          <w:tab w:val="left" w:pos="-1440"/>
        </w:tabs>
        <w:spacing w:line="360" w:lineRule="auto"/>
        <w:ind w:left="720"/>
        <w:contextualSpacing/>
        <w:rPr>
          <w:rFonts w:ascii="Times New Roman" w:hAnsi="Times New Roman"/>
        </w:rPr>
      </w:pPr>
      <w:r>
        <w:rPr>
          <w:rFonts w:ascii="Times New Roman" w:hAnsi="Times New Roman"/>
        </w:rPr>
        <w:t>----------</w:t>
      </w:r>
    </w:p>
    <w:p w:rsidRPr="009234BE" w:rsidR="002B69D8" w:rsidP="002B69D8" w:rsidRDefault="002B69D8">
      <w:pPr>
        <w:tabs>
          <w:tab w:val="left" w:pos="-1440"/>
        </w:tabs>
        <w:spacing w:line="360" w:lineRule="auto"/>
        <w:ind w:left="720"/>
        <w:contextualSpacing/>
        <w:rPr>
          <w:rFonts w:ascii="Times New Roman" w:hAnsi="Times New Roman"/>
        </w:rPr>
      </w:pPr>
      <w:r>
        <w:rPr>
          <w:rFonts w:ascii="Times New Roman" w:hAnsi="Times New Roman"/>
        </w:rPr>
        <w:t>Total</w:t>
      </w:r>
      <w:r w:rsidRPr="009234BE">
        <w:rPr>
          <w:rFonts w:ascii="Times New Roman" w:hAnsi="Times New Roman"/>
        </w:rPr>
        <w:t xml:space="preserve"> </w:t>
      </w:r>
      <w:r>
        <w:rPr>
          <w:rFonts w:ascii="Times New Roman" w:hAnsi="Times New Roman"/>
        </w:rPr>
        <w:t xml:space="preserve">third party disclosure estimated </w:t>
      </w:r>
      <w:r w:rsidRPr="009234BE">
        <w:rPr>
          <w:rFonts w:ascii="Times New Roman" w:hAnsi="Times New Roman"/>
        </w:rPr>
        <w:t>annual burden</w:t>
      </w:r>
      <w:r>
        <w:rPr>
          <w:rFonts w:ascii="Times New Roman" w:hAnsi="Times New Roman"/>
        </w:rPr>
        <w:t xml:space="preserve"> hours</w:t>
      </w:r>
      <w:r w:rsidRPr="009234BE">
        <w:rPr>
          <w:rFonts w:ascii="Times New Roman" w:hAnsi="Times New Roman"/>
        </w:rPr>
        <w:t xml:space="preserve">: </w:t>
      </w:r>
      <w:r>
        <w:rPr>
          <w:rFonts w:ascii="Times New Roman" w:hAnsi="Times New Roman"/>
        </w:rPr>
        <w:t>33,221</w:t>
      </w:r>
    </w:p>
    <w:p w:rsidR="002B69D8" w:rsidP="002B69D8" w:rsidRDefault="002B69D8">
      <w:pPr>
        <w:tabs>
          <w:tab w:val="left" w:pos="-1440"/>
        </w:tabs>
        <w:spacing w:line="360" w:lineRule="auto"/>
        <w:ind w:left="720"/>
        <w:contextualSpacing/>
        <w:rPr>
          <w:rFonts w:ascii="Times New Roman" w:hAnsi="Times New Roman"/>
        </w:rPr>
      </w:pPr>
      <w:r>
        <w:rPr>
          <w:rFonts w:ascii="Times New Roman" w:hAnsi="Times New Roman"/>
        </w:rPr>
        <w:t>Total third party disclosure estimated annual cost</w:t>
      </w:r>
      <w:r w:rsidRPr="009234BE">
        <w:rPr>
          <w:rFonts w:ascii="Times New Roman" w:hAnsi="Times New Roman"/>
        </w:rPr>
        <w:t>:</w:t>
      </w:r>
      <w:r>
        <w:rPr>
          <w:rFonts w:ascii="Times New Roman" w:hAnsi="Times New Roman"/>
        </w:rPr>
        <w:t xml:space="preserve"> 33,221 </w:t>
      </w:r>
      <w:r w:rsidRPr="009234BE">
        <w:rPr>
          <w:rFonts w:ascii="Times New Roman" w:hAnsi="Times New Roman"/>
        </w:rPr>
        <w:t>hours x $</w:t>
      </w:r>
      <w:r>
        <w:rPr>
          <w:rFonts w:ascii="Times New Roman" w:hAnsi="Times New Roman"/>
        </w:rPr>
        <w:t>87.96</w:t>
      </w:r>
      <w:r w:rsidRPr="009234BE">
        <w:rPr>
          <w:rFonts w:ascii="Times New Roman" w:hAnsi="Times New Roman"/>
        </w:rPr>
        <w:t xml:space="preserve"> = $</w:t>
      </w:r>
      <w:r>
        <w:rPr>
          <w:rFonts w:ascii="Times New Roman" w:hAnsi="Times New Roman"/>
        </w:rPr>
        <w:t>2,922,119</w:t>
      </w:r>
    </w:p>
    <w:p w:rsidR="002B69D8" w:rsidP="002B69D8" w:rsidRDefault="002B69D8">
      <w:pPr>
        <w:tabs>
          <w:tab w:val="left" w:pos="-1440"/>
        </w:tabs>
        <w:spacing w:line="360" w:lineRule="auto"/>
        <w:ind w:left="720"/>
        <w:contextualSpacing/>
        <w:rPr>
          <w:rFonts w:ascii="Times New Roman" w:hAnsi="Times New Roman"/>
        </w:rPr>
      </w:pPr>
      <w:r>
        <w:rPr>
          <w:rFonts w:ascii="Times New Roman" w:hAnsi="Times New Roman"/>
        </w:rPr>
        <w:lastRenderedPageBreak/>
        <w:t>----------</w:t>
      </w:r>
    </w:p>
    <w:p w:rsidRPr="009234BE" w:rsidR="002B69D8" w:rsidP="002B69D8" w:rsidRDefault="002B69D8">
      <w:pPr>
        <w:tabs>
          <w:tab w:val="left" w:pos="-1440"/>
        </w:tabs>
        <w:spacing w:line="360" w:lineRule="auto"/>
        <w:ind w:left="720"/>
        <w:contextualSpacing/>
        <w:rPr>
          <w:rFonts w:ascii="Times New Roman" w:hAnsi="Times New Roman"/>
        </w:rPr>
      </w:pPr>
      <w:r>
        <w:rPr>
          <w:rFonts w:ascii="Times New Roman" w:hAnsi="Times New Roman"/>
        </w:rPr>
        <w:t>Total</w:t>
      </w:r>
      <w:r w:rsidRPr="009234BE">
        <w:rPr>
          <w:rFonts w:ascii="Times New Roman" w:hAnsi="Times New Roman"/>
        </w:rPr>
        <w:t xml:space="preserve"> </w:t>
      </w:r>
      <w:r>
        <w:rPr>
          <w:rFonts w:ascii="Times New Roman" w:hAnsi="Times New Roman"/>
        </w:rPr>
        <w:t xml:space="preserve">combined estimated </w:t>
      </w:r>
      <w:r w:rsidRPr="009234BE">
        <w:rPr>
          <w:rFonts w:ascii="Times New Roman" w:hAnsi="Times New Roman"/>
        </w:rPr>
        <w:t>annual burden</w:t>
      </w:r>
      <w:r>
        <w:rPr>
          <w:rFonts w:ascii="Times New Roman" w:hAnsi="Times New Roman"/>
        </w:rPr>
        <w:t xml:space="preserve"> hours</w:t>
      </w:r>
      <w:r w:rsidRPr="009234BE">
        <w:rPr>
          <w:rFonts w:ascii="Times New Roman" w:hAnsi="Times New Roman"/>
        </w:rPr>
        <w:t xml:space="preserve">: </w:t>
      </w:r>
      <w:r>
        <w:rPr>
          <w:rFonts w:ascii="Times New Roman" w:hAnsi="Times New Roman"/>
        </w:rPr>
        <w:t>158,821</w:t>
      </w:r>
    </w:p>
    <w:p w:rsidR="002B69D8" w:rsidP="002B69D8" w:rsidRDefault="002B69D8">
      <w:pPr>
        <w:tabs>
          <w:tab w:val="left" w:pos="-1440"/>
        </w:tabs>
        <w:spacing w:line="360" w:lineRule="auto"/>
        <w:ind w:left="720"/>
        <w:contextualSpacing/>
        <w:rPr>
          <w:rFonts w:ascii="Times New Roman" w:hAnsi="Times New Roman"/>
        </w:rPr>
      </w:pPr>
      <w:r>
        <w:rPr>
          <w:rFonts w:ascii="Times New Roman" w:hAnsi="Times New Roman"/>
        </w:rPr>
        <w:t>Total combined estimated annual cost</w:t>
      </w:r>
      <w:r w:rsidRPr="009234BE">
        <w:rPr>
          <w:rFonts w:ascii="Times New Roman" w:hAnsi="Times New Roman"/>
        </w:rPr>
        <w:t>:</w:t>
      </w:r>
      <w:r>
        <w:rPr>
          <w:rFonts w:ascii="Times New Roman" w:hAnsi="Times New Roman"/>
        </w:rPr>
        <w:t xml:space="preserve"> $12,519,808 + $2,922,119</w:t>
      </w:r>
      <w:r w:rsidRPr="009234BE">
        <w:rPr>
          <w:rFonts w:ascii="Times New Roman" w:hAnsi="Times New Roman"/>
        </w:rPr>
        <w:t xml:space="preserve"> = $</w:t>
      </w:r>
      <w:r>
        <w:rPr>
          <w:rFonts w:ascii="Times New Roman" w:hAnsi="Times New Roman"/>
        </w:rPr>
        <w:t>15,441,927</w:t>
      </w:r>
    </w:p>
    <w:p w:rsidR="002B69D8" w:rsidP="002B69D8" w:rsidRDefault="002B69D8">
      <w:pPr>
        <w:tabs>
          <w:tab w:val="left" w:pos="-1440"/>
        </w:tabs>
        <w:spacing w:line="360" w:lineRule="auto"/>
        <w:ind w:left="720"/>
        <w:contextualSpacing/>
        <w:rPr>
          <w:rFonts w:ascii="Times New Roman" w:hAnsi="Times New Roman"/>
        </w:rPr>
      </w:pPr>
    </w:p>
    <w:tbl>
      <w:tblPr>
        <w:tblW w:w="954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328"/>
        <w:gridCol w:w="1531"/>
        <w:gridCol w:w="1543"/>
        <w:gridCol w:w="1710"/>
        <w:gridCol w:w="1710"/>
        <w:gridCol w:w="1723"/>
      </w:tblGrid>
      <w:tr w:rsidRPr="002B69D8" w:rsidR="002B69D8" w:rsidTr="00F43A6D">
        <w:trPr>
          <w:trHeight w:val="53"/>
        </w:trPr>
        <w:tc>
          <w:tcPr>
            <w:tcW w:w="0" w:type="auto"/>
            <w:gridSpan w:val="6"/>
            <w:tcBorders>
              <w:top w:val="single" w:color="auto" w:sz="6" w:space="0"/>
              <w:left w:val="single" w:color="auto" w:sz="6" w:space="0"/>
              <w:bottom w:val="single" w:color="auto" w:sz="6" w:space="0"/>
              <w:right w:val="single" w:color="auto" w:sz="6" w:space="0"/>
            </w:tcBorders>
            <w:shd w:val="clear" w:color="auto" w:fill="auto"/>
            <w:vAlign w:val="center"/>
          </w:tcPr>
          <w:p w:rsidRPr="002B69D8" w:rsidR="002B69D8" w:rsidP="002B69D8" w:rsidRDefault="002B69D8">
            <w:pPr>
              <w:keepNext/>
              <w:keepLines/>
              <w:suppressAutoHyphens/>
              <w:autoSpaceDE w:val="0"/>
              <w:autoSpaceDN w:val="0"/>
              <w:spacing w:line="260" w:lineRule="exact"/>
              <w:ind w:right="-86"/>
              <w:jc w:val="center"/>
              <w:rPr>
                <w:rFonts w:ascii="Source Sans Pro" w:hAnsi="Source Sans Pro" w:cs="Calibri"/>
                <w:snapToGrid/>
                <w:color w:val="000000"/>
                <w:sz w:val="20"/>
              </w:rPr>
            </w:pPr>
            <w:r w:rsidRPr="002B69D8">
              <w:rPr>
                <w:rFonts w:ascii="Source Sans Pro" w:hAnsi="Source Sans Pro" w:eastAsia="Source Sans Pro" w:cs="Source Sans Pro"/>
                <w:b/>
                <w:snapToGrid/>
                <w:sz w:val="20"/>
                <w:lang w:bidi="en-US"/>
              </w:rPr>
              <w:t>Summary of Hourly Burden Cost Estimate (OMB No. 3064-0161)</w:t>
            </w:r>
          </w:p>
        </w:tc>
      </w:tr>
      <w:tr w:rsidRPr="002B69D8" w:rsidR="002B69D8" w:rsidTr="00F43A6D">
        <w:trPr>
          <w:trHeight w:val="53"/>
        </w:trPr>
        <w:tc>
          <w:tcPr>
            <w:tcW w:w="1328" w:type="dxa"/>
            <w:tcBorders>
              <w:top w:val="single" w:color="auto" w:sz="6" w:space="0"/>
              <w:left w:val="single" w:color="auto" w:sz="6" w:space="0"/>
              <w:bottom w:val="single" w:color="auto" w:sz="6" w:space="0"/>
              <w:right w:val="single" w:color="auto" w:sz="6" w:space="0"/>
            </w:tcBorders>
            <w:shd w:val="clear" w:color="auto" w:fill="auto"/>
            <w:vAlign w:val="center"/>
          </w:tcPr>
          <w:p w:rsidRPr="002B69D8" w:rsidR="002B69D8" w:rsidP="002B69D8" w:rsidRDefault="002B69D8">
            <w:pPr>
              <w:keepNext/>
              <w:keepLines/>
              <w:suppressAutoHyphens/>
              <w:autoSpaceDE w:val="0"/>
              <w:autoSpaceDN w:val="0"/>
              <w:spacing w:after="240" w:line="260" w:lineRule="exact"/>
              <w:ind w:left="144" w:right="144"/>
              <w:rPr>
                <w:rFonts w:ascii="Source Sans Pro" w:hAnsi="Source Sans Pro" w:eastAsia="Source Sans Pro" w:cs="Source Sans Pro"/>
                <w:snapToGrid/>
                <w:sz w:val="20"/>
                <w:lang w:bidi="en-US"/>
              </w:rPr>
            </w:pPr>
          </w:p>
        </w:tc>
        <w:tc>
          <w:tcPr>
            <w:tcW w:w="1531" w:type="dxa"/>
            <w:tcBorders>
              <w:top w:val="single" w:color="auto" w:sz="6" w:space="0"/>
              <w:left w:val="single" w:color="auto" w:sz="6" w:space="0"/>
              <w:bottom w:val="single" w:color="auto" w:sz="6" w:space="0"/>
              <w:right w:val="single" w:color="auto" w:sz="4" w:space="0"/>
            </w:tcBorders>
            <w:shd w:val="clear" w:color="auto" w:fill="auto"/>
            <w:vAlign w:val="center"/>
          </w:tcPr>
          <w:p w:rsidRPr="002B69D8" w:rsidR="002B69D8" w:rsidP="002B69D8" w:rsidRDefault="002B69D8">
            <w:pPr>
              <w:keepNext/>
              <w:keepLines/>
              <w:suppressAutoHyphens/>
              <w:autoSpaceDE w:val="0"/>
              <w:autoSpaceDN w:val="0"/>
              <w:spacing w:after="240" w:line="260" w:lineRule="exact"/>
              <w:ind w:left="144" w:right="144"/>
              <w:jc w:val="center"/>
              <w:rPr>
                <w:rFonts w:ascii="Source Sans Pro" w:hAnsi="Source Sans Pro" w:eastAsia="Source Sans Pro" w:cs="Source Sans Pro"/>
                <w:snapToGrid/>
                <w:sz w:val="20"/>
                <w:lang w:bidi="en-US"/>
              </w:rPr>
            </w:pPr>
          </w:p>
        </w:tc>
        <w:tc>
          <w:tcPr>
            <w:tcW w:w="3253" w:type="dxa"/>
            <w:gridSpan w:val="2"/>
            <w:tcBorders>
              <w:top w:val="single" w:color="auto" w:sz="4" w:space="0"/>
              <w:left w:val="single" w:color="auto" w:sz="4" w:space="0"/>
              <w:bottom w:val="single" w:color="auto" w:sz="6" w:space="0"/>
              <w:right w:val="single" w:color="auto" w:sz="4" w:space="0"/>
            </w:tcBorders>
            <w:shd w:val="clear" w:color="auto" w:fill="auto"/>
            <w:vAlign w:val="center"/>
          </w:tcPr>
          <w:p w:rsidRPr="002B69D8" w:rsidR="002B69D8" w:rsidP="002B69D8" w:rsidRDefault="002B69D8">
            <w:pPr>
              <w:keepNext/>
              <w:keepLines/>
              <w:widowControl/>
              <w:suppressAutoHyphens/>
              <w:ind w:left="144" w:right="144"/>
              <w:jc w:val="center"/>
              <w:rPr>
                <w:rFonts w:ascii="Source Sans Pro" w:hAnsi="Source Sans Pro" w:eastAsia="Source Sans Pro" w:cs="Source Sans Pro"/>
                <w:snapToGrid/>
                <w:sz w:val="20"/>
                <w:lang w:bidi="en-US"/>
              </w:rPr>
            </w:pPr>
            <w:r w:rsidRPr="002B69D8">
              <w:rPr>
                <w:rFonts w:ascii="Source Sans Pro" w:hAnsi="Source Sans Pro" w:cs="Calibri"/>
                <w:snapToGrid/>
                <w:color w:val="000000"/>
                <w:sz w:val="20"/>
              </w:rPr>
              <w:t>Procedures to Enhance the Accuracy and Integrity of Information furnished to Consumer Reporting Agencies under Section 312 of the Fair and Accurate Credit Transaction Act</w:t>
            </w:r>
          </w:p>
        </w:tc>
        <w:tc>
          <w:tcPr>
            <w:tcW w:w="3433" w:type="dxa"/>
            <w:gridSpan w:val="2"/>
            <w:tcBorders>
              <w:top w:val="single" w:color="auto" w:sz="6" w:space="0"/>
              <w:left w:val="single" w:color="auto" w:sz="4" w:space="0"/>
              <w:bottom w:val="single" w:color="auto" w:sz="6" w:space="0"/>
              <w:right w:val="single" w:color="auto" w:sz="6" w:space="0"/>
            </w:tcBorders>
            <w:vAlign w:val="center"/>
          </w:tcPr>
          <w:p w:rsidRPr="002B69D8" w:rsidR="002B69D8" w:rsidP="002B69D8" w:rsidRDefault="002B69D8">
            <w:pPr>
              <w:keepNext/>
              <w:keepLines/>
              <w:widowControl/>
              <w:suppressAutoHyphens/>
              <w:ind w:left="144" w:right="144"/>
              <w:jc w:val="center"/>
              <w:rPr>
                <w:rFonts w:ascii="Source Sans Pro" w:hAnsi="Source Sans Pro" w:eastAsia="Source Sans Pro" w:cs="Source Sans Pro"/>
                <w:snapToGrid/>
                <w:sz w:val="20"/>
                <w:lang w:bidi="en-US"/>
              </w:rPr>
            </w:pPr>
            <w:r w:rsidRPr="002B69D8">
              <w:rPr>
                <w:rFonts w:ascii="Source Sans Pro" w:hAnsi="Source Sans Pro" w:cs="Calibri"/>
                <w:snapToGrid/>
                <w:color w:val="000000"/>
                <w:sz w:val="20"/>
              </w:rPr>
              <w:t>Distribution of Notices in Response to Direct Disputes</w:t>
            </w:r>
          </w:p>
        </w:tc>
      </w:tr>
      <w:tr w:rsidRPr="002B69D8" w:rsidR="002B69D8" w:rsidTr="00F43A6D">
        <w:trPr>
          <w:trHeight w:val="53"/>
        </w:trPr>
        <w:tc>
          <w:tcPr>
            <w:tcW w:w="1328" w:type="dxa"/>
            <w:tcBorders>
              <w:top w:val="single" w:color="auto" w:sz="6" w:space="0"/>
              <w:left w:val="single" w:color="auto" w:sz="6" w:space="0"/>
              <w:bottom w:val="single" w:color="auto" w:sz="6" w:space="0"/>
              <w:right w:val="single" w:color="auto" w:sz="6" w:space="0"/>
            </w:tcBorders>
            <w:shd w:val="clear" w:color="auto" w:fill="D9D9D9"/>
            <w:vAlign w:val="center"/>
            <w:hideMark/>
          </w:tcPr>
          <w:p w:rsidRPr="002B69D8" w:rsidR="002B69D8" w:rsidP="002B69D8" w:rsidRDefault="002B69D8">
            <w:pPr>
              <w:keepNext/>
              <w:keepLines/>
              <w:suppressAutoHyphens/>
              <w:autoSpaceDE w:val="0"/>
              <w:autoSpaceDN w:val="0"/>
              <w:spacing w:after="240" w:line="260" w:lineRule="exact"/>
              <w:ind w:left="144" w:right="144"/>
              <w:rPr>
                <w:rFonts w:ascii="Source Sans Pro" w:hAnsi="Source Sans Pro" w:eastAsia="Source Sans Pro" w:cs="Source Sans Pro"/>
                <w:snapToGrid/>
                <w:sz w:val="20"/>
                <w:lang w:bidi="en-US"/>
              </w:rPr>
            </w:pPr>
            <w:r w:rsidRPr="002B69D8">
              <w:rPr>
                <w:rFonts w:ascii="Source Sans Pro" w:hAnsi="Source Sans Pro" w:eastAsia="Source Sans Pro" w:cs="Source Sans Pro"/>
                <w:snapToGrid/>
                <w:sz w:val="20"/>
                <w:lang w:bidi="en-US"/>
              </w:rPr>
              <w:t>Estimated Category of Personnel Responsible for Complying with the PRA Burden </w:t>
            </w:r>
          </w:p>
        </w:tc>
        <w:tc>
          <w:tcPr>
            <w:tcW w:w="1531" w:type="dxa"/>
            <w:tcBorders>
              <w:top w:val="single" w:color="auto" w:sz="6" w:space="0"/>
              <w:left w:val="single" w:color="auto" w:sz="6" w:space="0"/>
              <w:bottom w:val="single" w:color="auto" w:sz="6" w:space="0"/>
              <w:right w:val="single" w:color="auto" w:sz="4" w:space="0"/>
            </w:tcBorders>
            <w:shd w:val="clear" w:color="auto" w:fill="D9D9D9"/>
            <w:vAlign w:val="center"/>
            <w:hideMark/>
          </w:tcPr>
          <w:p w:rsidRPr="002B69D8" w:rsidR="002B69D8" w:rsidP="002B69D8" w:rsidRDefault="002B69D8">
            <w:pPr>
              <w:keepNext/>
              <w:keepLines/>
              <w:suppressAutoHyphens/>
              <w:autoSpaceDE w:val="0"/>
              <w:autoSpaceDN w:val="0"/>
              <w:spacing w:after="240" w:line="260" w:lineRule="exact"/>
              <w:ind w:left="144" w:right="144"/>
              <w:jc w:val="center"/>
              <w:rPr>
                <w:rFonts w:ascii="Source Sans Pro" w:hAnsi="Source Sans Pro" w:eastAsia="Source Sans Pro" w:cs="Source Sans Pro"/>
                <w:snapToGrid/>
                <w:sz w:val="20"/>
                <w:lang w:bidi="en-US"/>
              </w:rPr>
            </w:pPr>
            <w:r w:rsidRPr="002B69D8">
              <w:rPr>
                <w:rFonts w:ascii="Source Sans Pro" w:hAnsi="Source Sans Pro" w:eastAsia="Source Sans Pro" w:cs="Source Sans Pro"/>
                <w:snapToGrid/>
                <w:sz w:val="20"/>
                <w:lang w:bidi="en-US"/>
              </w:rPr>
              <w:t>Total Estimated Hourly Compensation</w:t>
            </w:r>
          </w:p>
        </w:tc>
        <w:tc>
          <w:tcPr>
            <w:tcW w:w="1543" w:type="dxa"/>
            <w:tcBorders>
              <w:top w:val="single" w:color="auto" w:sz="6" w:space="0"/>
              <w:left w:val="single" w:color="auto" w:sz="4" w:space="0"/>
              <w:bottom w:val="single" w:color="auto" w:sz="6" w:space="0"/>
              <w:right w:val="single" w:color="auto" w:sz="6" w:space="0"/>
            </w:tcBorders>
            <w:shd w:val="clear" w:color="auto" w:fill="D9D9D9"/>
            <w:vAlign w:val="center"/>
            <w:hideMark/>
          </w:tcPr>
          <w:p w:rsidRPr="002B69D8" w:rsidR="002B69D8" w:rsidP="002B69D8" w:rsidRDefault="002B69D8">
            <w:pPr>
              <w:keepNext/>
              <w:keepLines/>
              <w:suppressAutoHyphens/>
              <w:autoSpaceDE w:val="0"/>
              <w:autoSpaceDN w:val="0"/>
              <w:spacing w:after="240" w:line="260" w:lineRule="exact"/>
              <w:ind w:left="144" w:right="144"/>
              <w:jc w:val="center"/>
              <w:rPr>
                <w:rFonts w:ascii="Source Sans Pro" w:hAnsi="Source Sans Pro" w:eastAsia="Source Sans Pro" w:cs="Source Sans Pro"/>
                <w:snapToGrid/>
                <w:sz w:val="20"/>
                <w:lang w:bidi="en-US"/>
              </w:rPr>
            </w:pPr>
            <w:r w:rsidRPr="002B69D8">
              <w:rPr>
                <w:rFonts w:ascii="Source Sans Pro" w:hAnsi="Source Sans Pro" w:eastAsia="Source Sans Pro" w:cs="Source Sans Pro"/>
                <w:snapToGrid/>
                <w:sz w:val="20"/>
                <w:lang w:bidi="en-US"/>
              </w:rPr>
              <w:t>Estimated Weights</w:t>
            </w:r>
          </w:p>
        </w:tc>
        <w:tc>
          <w:tcPr>
            <w:tcW w:w="1710" w:type="dxa"/>
            <w:tcBorders>
              <w:top w:val="single" w:color="auto" w:sz="6" w:space="0"/>
              <w:left w:val="single" w:color="auto" w:sz="6" w:space="0"/>
              <w:bottom w:val="single" w:color="auto" w:sz="6" w:space="0"/>
              <w:right w:val="single" w:color="auto" w:sz="4" w:space="0"/>
            </w:tcBorders>
            <w:shd w:val="clear" w:color="auto" w:fill="D9D9D9"/>
            <w:vAlign w:val="center"/>
            <w:hideMark/>
          </w:tcPr>
          <w:p w:rsidRPr="002B69D8" w:rsidR="002B69D8" w:rsidP="002B69D8" w:rsidRDefault="002B69D8">
            <w:pPr>
              <w:keepNext/>
              <w:keepLines/>
              <w:suppressAutoHyphens/>
              <w:autoSpaceDE w:val="0"/>
              <w:autoSpaceDN w:val="0"/>
              <w:spacing w:after="240" w:line="260" w:lineRule="exact"/>
              <w:ind w:left="144" w:right="144"/>
              <w:jc w:val="center"/>
              <w:rPr>
                <w:rFonts w:ascii="Source Sans Pro" w:hAnsi="Source Sans Pro" w:eastAsia="Source Sans Pro" w:cs="Source Sans Pro"/>
                <w:snapToGrid/>
                <w:sz w:val="20"/>
                <w:lang w:bidi="en-US"/>
              </w:rPr>
            </w:pPr>
            <w:r w:rsidRPr="002B69D8">
              <w:rPr>
                <w:rFonts w:ascii="Source Sans Pro" w:hAnsi="Source Sans Pro" w:eastAsia="Source Sans Pro" w:cs="Source Sans Pro"/>
                <w:snapToGrid/>
                <w:sz w:val="20"/>
                <w:lang w:bidi="en-US"/>
              </w:rPr>
              <w:t>Estimated Total Weighted Labor Cost Component</w:t>
            </w:r>
          </w:p>
        </w:tc>
        <w:tc>
          <w:tcPr>
            <w:tcW w:w="1710" w:type="dxa"/>
            <w:tcBorders>
              <w:top w:val="single" w:color="auto" w:sz="6" w:space="0"/>
              <w:left w:val="single" w:color="auto" w:sz="4" w:space="0"/>
              <w:bottom w:val="single" w:color="auto" w:sz="6" w:space="0"/>
              <w:right w:val="single" w:color="auto" w:sz="6" w:space="0"/>
            </w:tcBorders>
            <w:shd w:val="clear" w:color="auto" w:fill="D9D9D9"/>
            <w:vAlign w:val="center"/>
          </w:tcPr>
          <w:p w:rsidRPr="002B69D8" w:rsidR="002B69D8" w:rsidP="002B69D8" w:rsidRDefault="002B69D8">
            <w:pPr>
              <w:keepNext/>
              <w:keepLines/>
              <w:suppressAutoHyphens/>
              <w:autoSpaceDE w:val="0"/>
              <w:autoSpaceDN w:val="0"/>
              <w:spacing w:after="240" w:line="260" w:lineRule="exact"/>
              <w:ind w:left="144" w:right="144"/>
              <w:jc w:val="center"/>
              <w:rPr>
                <w:rFonts w:ascii="Source Sans Pro" w:hAnsi="Source Sans Pro" w:eastAsia="Source Sans Pro" w:cs="Source Sans Pro"/>
                <w:snapToGrid/>
                <w:sz w:val="20"/>
                <w:lang w:bidi="en-US"/>
              </w:rPr>
            </w:pPr>
            <w:r w:rsidRPr="002B69D8">
              <w:rPr>
                <w:rFonts w:ascii="Source Sans Pro" w:hAnsi="Source Sans Pro" w:eastAsia="Source Sans Pro" w:cs="Source Sans Pro"/>
                <w:snapToGrid/>
                <w:sz w:val="20"/>
                <w:lang w:bidi="en-US"/>
              </w:rPr>
              <w:t>Estimated Weights</w:t>
            </w:r>
          </w:p>
        </w:tc>
        <w:tc>
          <w:tcPr>
            <w:tcW w:w="1723" w:type="dxa"/>
            <w:tcBorders>
              <w:top w:val="single" w:color="auto" w:sz="6" w:space="0"/>
              <w:left w:val="single" w:color="auto" w:sz="6" w:space="0"/>
              <w:bottom w:val="single" w:color="auto" w:sz="6" w:space="0"/>
              <w:right w:val="single" w:color="auto" w:sz="6" w:space="0"/>
            </w:tcBorders>
            <w:shd w:val="clear" w:color="auto" w:fill="D9D9D9"/>
            <w:vAlign w:val="center"/>
          </w:tcPr>
          <w:p w:rsidRPr="002B69D8" w:rsidR="002B69D8" w:rsidP="002B69D8" w:rsidRDefault="002B69D8">
            <w:pPr>
              <w:keepNext/>
              <w:keepLines/>
              <w:suppressAutoHyphens/>
              <w:autoSpaceDE w:val="0"/>
              <w:autoSpaceDN w:val="0"/>
              <w:spacing w:after="240" w:line="260" w:lineRule="exact"/>
              <w:ind w:left="144" w:right="144"/>
              <w:jc w:val="center"/>
              <w:rPr>
                <w:rFonts w:ascii="Source Sans Pro" w:hAnsi="Source Sans Pro" w:eastAsia="Source Sans Pro" w:cs="Source Sans Pro"/>
                <w:snapToGrid/>
                <w:sz w:val="20"/>
                <w:lang w:bidi="en-US"/>
              </w:rPr>
            </w:pPr>
            <w:r w:rsidRPr="002B69D8">
              <w:rPr>
                <w:rFonts w:ascii="Source Sans Pro" w:hAnsi="Source Sans Pro" w:eastAsia="Source Sans Pro" w:cs="Source Sans Pro"/>
                <w:snapToGrid/>
                <w:sz w:val="20"/>
                <w:lang w:bidi="en-US"/>
              </w:rPr>
              <w:t>Estimated Total Weighted Labor Cost Component</w:t>
            </w:r>
          </w:p>
        </w:tc>
      </w:tr>
      <w:tr w:rsidRPr="002B69D8" w:rsidR="002B69D8" w:rsidTr="00F43A6D">
        <w:trPr>
          <w:trHeight w:val="53"/>
        </w:trPr>
        <w:tc>
          <w:tcPr>
            <w:tcW w:w="1328" w:type="dxa"/>
            <w:tcBorders>
              <w:top w:val="nil"/>
              <w:left w:val="single" w:color="auto" w:sz="6" w:space="0"/>
              <w:bottom w:val="single" w:color="auto" w:sz="6" w:space="0"/>
              <w:right w:val="single" w:color="auto" w:sz="6" w:space="0"/>
            </w:tcBorders>
            <w:shd w:val="clear" w:color="auto" w:fill="auto"/>
            <w:vAlign w:val="center"/>
            <w:hideMark/>
          </w:tcPr>
          <w:p w:rsidRPr="002B69D8" w:rsidR="002B69D8" w:rsidP="002B69D8" w:rsidRDefault="002B69D8">
            <w:pPr>
              <w:keepNext/>
              <w:keepLines/>
              <w:suppressAutoHyphens/>
              <w:autoSpaceDE w:val="0"/>
              <w:autoSpaceDN w:val="0"/>
              <w:spacing w:after="240" w:line="260" w:lineRule="exact"/>
              <w:ind w:left="144" w:right="144"/>
              <w:rPr>
                <w:rFonts w:ascii="Source Sans Pro" w:hAnsi="Source Sans Pro" w:eastAsia="Source Sans Pro" w:cs="Source Sans Pro"/>
                <w:snapToGrid/>
                <w:sz w:val="20"/>
                <w:lang w:bidi="en-US"/>
              </w:rPr>
            </w:pPr>
            <w:r w:rsidRPr="002B69D8">
              <w:rPr>
                <w:rFonts w:ascii="Source Sans Pro" w:hAnsi="Source Sans Pro" w:eastAsia="Source Sans Pro" w:cs="Source Sans Pro"/>
                <w:snapToGrid/>
                <w:sz w:val="20"/>
                <w:lang w:bidi="en-US"/>
              </w:rPr>
              <w:t>Executives and Managers</w:t>
            </w:r>
          </w:p>
        </w:tc>
        <w:tc>
          <w:tcPr>
            <w:tcW w:w="1531" w:type="dxa"/>
            <w:tcBorders>
              <w:top w:val="nil"/>
              <w:left w:val="single" w:color="auto" w:sz="6" w:space="0"/>
              <w:bottom w:val="single" w:color="auto" w:sz="6" w:space="0"/>
              <w:right w:val="single" w:color="auto" w:sz="4" w:space="0"/>
            </w:tcBorders>
            <w:shd w:val="clear" w:color="auto" w:fill="auto"/>
            <w:vAlign w:val="center"/>
            <w:hideMark/>
          </w:tcPr>
          <w:p w:rsidRPr="002B69D8" w:rsidR="002B69D8" w:rsidP="002B69D8" w:rsidRDefault="002B69D8">
            <w:pPr>
              <w:keepNext/>
              <w:keepLines/>
              <w:suppressAutoHyphens/>
              <w:autoSpaceDE w:val="0"/>
              <w:autoSpaceDN w:val="0"/>
              <w:spacing w:after="240" w:line="260" w:lineRule="exact"/>
              <w:ind w:left="144" w:right="144"/>
              <w:jc w:val="center"/>
              <w:rPr>
                <w:rFonts w:ascii="Source Sans Pro" w:hAnsi="Source Sans Pro" w:eastAsia="Source Sans Pro" w:cs="Source Sans Pro"/>
                <w:snapToGrid/>
                <w:sz w:val="20"/>
                <w:lang w:bidi="en-US"/>
              </w:rPr>
            </w:pPr>
            <w:r w:rsidRPr="002B69D8">
              <w:rPr>
                <w:rFonts w:ascii="Source Sans Pro" w:hAnsi="Source Sans Pro" w:eastAsia="Source Sans Pro" w:cs="Calibri"/>
                <w:snapToGrid/>
                <w:color w:val="000000"/>
                <w:sz w:val="20"/>
                <w:lang w:bidi="en-US"/>
              </w:rPr>
              <w:t>$131.09</w:t>
            </w:r>
          </w:p>
        </w:tc>
        <w:tc>
          <w:tcPr>
            <w:tcW w:w="1543" w:type="dxa"/>
            <w:tcBorders>
              <w:top w:val="single" w:color="auto" w:sz="6" w:space="0"/>
              <w:left w:val="single" w:color="auto" w:sz="4" w:space="0"/>
              <w:bottom w:val="single" w:color="auto" w:sz="6" w:space="0"/>
              <w:right w:val="single" w:color="auto" w:sz="6" w:space="0"/>
            </w:tcBorders>
            <w:shd w:val="clear" w:color="auto" w:fill="auto"/>
            <w:vAlign w:val="center"/>
          </w:tcPr>
          <w:p w:rsidRPr="002B69D8" w:rsidR="002B69D8" w:rsidP="002B69D8" w:rsidRDefault="002B69D8">
            <w:pPr>
              <w:keepNext/>
              <w:keepLines/>
              <w:suppressAutoHyphens/>
              <w:autoSpaceDE w:val="0"/>
              <w:autoSpaceDN w:val="0"/>
              <w:spacing w:after="240" w:line="260" w:lineRule="exact"/>
              <w:ind w:left="144" w:right="144"/>
              <w:jc w:val="center"/>
              <w:rPr>
                <w:rFonts w:ascii="Source Sans Pro" w:hAnsi="Source Sans Pro" w:eastAsia="Source Sans Pro" w:cs="Source Sans Pro"/>
                <w:snapToGrid/>
                <w:sz w:val="20"/>
                <w:lang w:bidi="en-US"/>
              </w:rPr>
            </w:pPr>
            <w:r w:rsidRPr="002B69D8">
              <w:rPr>
                <w:rFonts w:ascii="Source Sans Pro" w:hAnsi="Source Sans Pro" w:eastAsia="Source Sans Pro" w:cs="Source Sans Pro"/>
                <w:snapToGrid/>
                <w:sz w:val="20"/>
                <w:lang w:bidi="en-US"/>
              </w:rPr>
              <w:t>15%</w:t>
            </w:r>
          </w:p>
        </w:tc>
        <w:tc>
          <w:tcPr>
            <w:tcW w:w="1710" w:type="dxa"/>
            <w:tcBorders>
              <w:top w:val="single" w:color="auto" w:sz="6" w:space="0"/>
              <w:left w:val="single" w:color="auto" w:sz="6" w:space="0"/>
              <w:bottom w:val="single" w:color="auto" w:sz="6" w:space="0"/>
              <w:right w:val="single" w:color="auto" w:sz="4" w:space="0"/>
            </w:tcBorders>
            <w:shd w:val="clear" w:color="auto" w:fill="auto"/>
            <w:vAlign w:val="center"/>
          </w:tcPr>
          <w:p w:rsidRPr="002B69D8" w:rsidR="002B69D8" w:rsidP="002B69D8" w:rsidRDefault="002B69D8">
            <w:pPr>
              <w:keepNext/>
              <w:keepLines/>
              <w:suppressAutoHyphens/>
              <w:autoSpaceDE w:val="0"/>
              <w:autoSpaceDN w:val="0"/>
              <w:spacing w:after="240" w:line="260" w:lineRule="exact"/>
              <w:ind w:left="144" w:right="144"/>
              <w:jc w:val="center"/>
              <w:rPr>
                <w:rFonts w:ascii="Source Sans Pro" w:hAnsi="Source Sans Pro" w:eastAsia="Source Sans Pro" w:cs="Source Sans Pro"/>
                <w:snapToGrid/>
                <w:sz w:val="20"/>
                <w:lang w:bidi="en-US"/>
              </w:rPr>
            </w:pPr>
            <w:r w:rsidRPr="002B69D8">
              <w:rPr>
                <w:rFonts w:ascii="Source Sans Pro" w:hAnsi="Source Sans Pro" w:eastAsia="Source Sans Pro" w:cs="Source Sans Pro"/>
                <w:snapToGrid/>
                <w:sz w:val="20"/>
                <w:lang w:bidi="en-US"/>
              </w:rPr>
              <w:t>$19.66</w:t>
            </w:r>
          </w:p>
        </w:tc>
        <w:tc>
          <w:tcPr>
            <w:tcW w:w="1710" w:type="dxa"/>
            <w:tcBorders>
              <w:top w:val="nil"/>
              <w:left w:val="single" w:color="auto" w:sz="4" w:space="0"/>
              <w:bottom w:val="single" w:color="auto" w:sz="6" w:space="0"/>
              <w:right w:val="single" w:color="auto" w:sz="6" w:space="0"/>
            </w:tcBorders>
            <w:vAlign w:val="center"/>
          </w:tcPr>
          <w:p w:rsidRPr="002B69D8" w:rsidR="002B69D8" w:rsidP="002B69D8" w:rsidRDefault="002B69D8">
            <w:pPr>
              <w:keepNext/>
              <w:keepLines/>
              <w:suppressAutoHyphens/>
              <w:autoSpaceDE w:val="0"/>
              <w:autoSpaceDN w:val="0"/>
              <w:spacing w:after="240" w:line="260" w:lineRule="exact"/>
              <w:ind w:left="144" w:right="144"/>
              <w:jc w:val="center"/>
              <w:rPr>
                <w:rFonts w:ascii="Source Sans Pro" w:hAnsi="Source Sans Pro" w:eastAsia="Source Sans Pro" w:cs="Source Sans Pro"/>
                <w:snapToGrid/>
                <w:sz w:val="20"/>
                <w:lang w:bidi="en-US"/>
              </w:rPr>
            </w:pPr>
            <w:r w:rsidRPr="002B69D8">
              <w:rPr>
                <w:rFonts w:ascii="Source Sans Pro" w:hAnsi="Source Sans Pro" w:eastAsia="Source Sans Pro" w:cs="Source Sans Pro"/>
                <w:snapToGrid/>
                <w:sz w:val="20"/>
                <w:lang w:bidi="en-US"/>
              </w:rPr>
              <w:t>0%</w:t>
            </w:r>
          </w:p>
        </w:tc>
        <w:tc>
          <w:tcPr>
            <w:tcW w:w="1723" w:type="dxa"/>
            <w:tcBorders>
              <w:top w:val="nil"/>
              <w:left w:val="single" w:color="auto" w:sz="6" w:space="0"/>
              <w:bottom w:val="single" w:color="auto" w:sz="6" w:space="0"/>
              <w:right w:val="single" w:color="auto" w:sz="6" w:space="0"/>
            </w:tcBorders>
            <w:vAlign w:val="center"/>
          </w:tcPr>
          <w:p w:rsidRPr="002B69D8" w:rsidR="002B69D8" w:rsidP="002B69D8" w:rsidRDefault="002B69D8">
            <w:pPr>
              <w:keepNext/>
              <w:keepLines/>
              <w:suppressAutoHyphens/>
              <w:autoSpaceDE w:val="0"/>
              <w:autoSpaceDN w:val="0"/>
              <w:spacing w:after="240" w:line="260" w:lineRule="exact"/>
              <w:ind w:left="144" w:right="144"/>
              <w:jc w:val="center"/>
              <w:rPr>
                <w:rFonts w:ascii="Source Sans Pro" w:hAnsi="Source Sans Pro" w:eastAsia="Source Sans Pro" w:cs="Source Sans Pro"/>
                <w:snapToGrid/>
                <w:sz w:val="20"/>
                <w:lang w:bidi="en-US"/>
              </w:rPr>
            </w:pPr>
            <w:r w:rsidRPr="002B69D8">
              <w:rPr>
                <w:rFonts w:ascii="Source Sans Pro" w:hAnsi="Source Sans Pro" w:eastAsia="Source Sans Pro" w:cs="Source Sans Pro"/>
                <w:snapToGrid/>
                <w:sz w:val="20"/>
                <w:lang w:bidi="en-US"/>
              </w:rPr>
              <w:t xml:space="preserve">$0.00 </w:t>
            </w:r>
          </w:p>
        </w:tc>
      </w:tr>
      <w:tr w:rsidRPr="002B69D8" w:rsidR="002B69D8" w:rsidTr="00F43A6D">
        <w:trPr>
          <w:trHeight w:val="53"/>
        </w:trPr>
        <w:tc>
          <w:tcPr>
            <w:tcW w:w="1328"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B69D8" w:rsidR="002B69D8" w:rsidP="002B69D8" w:rsidRDefault="002B69D8">
            <w:pPr>
              <w:keepNext/>
              <w:keepLines/>
              <w:suppressAutoHyphens/>
              <w:autoSpaceDE w:val="0"/>
              <w:autoSpaceDN w:val="0"/>
              <w:spacing w:after="240" w:line="260" w:lineRule="exact"/>
              <w:ind w:left="144" w:right="144"/>
              <w:rPr>
                <w:rFonts w:ascii="Source Sans Pro" w:hAnsi="Source Sans Pro" w:eastAsia="Source Sans Pro" w:cs="Source Sans Pro"/>
                <w:snapToGrid/>
                <w:sz w:val="20"/>
                <w:lang w:bidi="en-US"/>
              </w:rPr>
            </w:pPr>
            <w:r w:rsidRPr="002B69D8">
              <w:rPr>
                <w:rFonts w:ascii="Source Sans Pro" w:hAnsi="Source Sans Pro" w:eastAsia="Source Sans Pro" w:cs="Source Sans Pro"/>
                <w:snapToGrid/>
                <w:sz w:val="20"/>
                <w:lang w:bidi="en-US"/>
              </w:rPr>
              <w:t>Lawyers</w:t>
            </w:r>
          </w:p>
        </w:tc>
        <w:tc>
          <w:tcPr>
            <w:tcW w:w="1531" w:type="dxa"/>
            <w:tcBorders>
              <w:top w:val="single" w:color="auto" w:sz="6" w:space="0"/>
              <w:left w:val="single" w:color="auto" w:sz="6" w:space="0"/>
              <w:bottom w:val="single" w:color="auto" w:sz="6" w:space="0"/>
              <w:right w:val="single" w:color="auto" w:sz="4" w:space="0"/>
            </w:tcBorders>
            <w:shd w:val="clear" w:color="auto" w:fill="auto"/>
            <w:vAlign w:val="center"/>
            <w:hideMark/>
          </w:tcPr>
          <w:p w:rsidRPr="002B69D8" w:rsidR="002B69D8" w:rsidP="002B69D8" w:rsidRDefault="002B69D8">
            <w:pPr>
              <w:keepNext/>
              <w:keepLines/>
              <w:suppressAutoHyphens/>
              <w:autoSpaceDE w:val="0"/>
              <w:autoSpaceDN w:val="0"/>
              <w:spacing w:after="240" w:line="260" w:lineRule="exact"/>
              <w:ind w:left="144" w:right="144"/>
              <w:jc w:val="center"/>
              <w:rPr>
                <w:rFonts w:ascii="Source Sans Pro" w:hAnsi="Source Sans Pro" w:eastAsia="Source Sans Pro" w:cs="Source Sans Pro"/>
                <w:snapToGrid/>
                <w:sz w:val="20"/>
                <w:lang w:bidi="en-US"/>
              </w:rPr>
            </w:pPr>
            <w:r w:rsidRPr="002B69D8">
              <w:rPr>
                <w:rFonts w:ascii="Source Sans Pro" w:hAnsi="Source Sans Pro" w:eastAsia="Source Sans Pro" w:cs="Calibri"/>
                <w:snapToGrid/>
                <w:color w:val="000000"/>
                <w:sz w:val="20"/>
                <w:lang w:bidi="en-US"/>
              </w:rPr>
              <w:t>$156.79</w:t>
            </w:r>
          </w:p>
        </w:tc>
        <w:tc>
          <w:tcPr>
            <w:tcW w:w="1543" w:type="dxa"/>
            <w:tcBorders>
              <w:top w:val="single" w:color="auto" w:sz="6" w:space="0"/>
              <w:left w:val="single" w:color="auto" w:sz="4" w:space="0"/>
              <w:bottom w:val="single" w:color="auto" w:sz="6" w:space="0"/>
              <w:right w:val="single" w:color="auto" w:sz="6" w:space="0"/>
            </w:tcBorders>
            <w:shd w:val="clear" w:color="auto" w:fill="auto"/>
            <w:vAlign w:val="center"/>
          </w:tcPr>
          <w:p w:rsidRPr="002B69D8" w:rsidR="002B69D8" w:rsidP="002B69D8" w:rsidRDefault="002B69D8">
            <w:pPr>
              <w:keepNext/>
              <w:keepLines/>
              <w:suppressAutoHyphens/>
              <w:autoSpaceDE w:val="0"/>
              <w:autoSpaceDN w:val="0"/>
              <w:spacing w:after="240" w:line="260" w:lineRule="exact"/>
              <w:ind w:left="144" w:right="144"/>
              <w:jc w:val="center"/>
              <w:rPr>
                <w:rFonts w:ascii="Source Sans Pro" w:hAnsi="Source Sans Pro" w:eastAsia="Source Sans Pro" w:cs="Source Sans Pro"/>
                <w:snapToGrid/>
                <w:sz w:val="20"/>
                <w:lang w:bidi="en-US"/>
              </w:rPr>
            </w:pPr>
            <w:r w:rsidRPr="002B69D8">
              <w:rPr>
                <w:rFonts w:ascii="Source Sans Pro" w:hAnsi="Source Sans Pro" w:eastAsia="Source Sans Pro" w:cs="Source Sans Pro"/>
                <w:snapToGrid/>
                <w:sz w:val="20"/>
                <w:lang w:bidi="en-US"/>
              </w:rPr>
              <w:t>10%</w:t>
            </w:r>
          </w:p>
        </w:tc>
        <w:tc>
          <w:tcPr>
            <w:tcW w:w="1710" w:type="dxa"/>
            <w:tcBorders>
              <w:top w:val="single" w:color="auto" w:sz="6" w:space="0"/>
              <w:left w:val="single" w:color="auto" w:sz="6" w:space="0"/>
              <w:bottom w:val="single" w:color="auto" w:sz="6" w:space="0"/>
              <w:right w:val="single" w:color="auto" w:sz="4" w:space="0"/>
            </w:tcBorders>
            <w:shd w:val="clear" w:color="auto" w:fill="auto"/>
            <w:vAlign w:val="center"/>
          </w:tcPr>
          <w:p w:rsidRPr="002B69D8" w:rsidR="002B69D8" w:rsidP="002B69D8" w:rsidRDefault="002B69D8">
            <w:pPr>
              <w:keepNext/>
              <w:keepLines/>
              <w:suppressAutoHyphens/>
              <w:autoSpaceDE w:val="0"/>
              <w:autoSpaceDN w:val="0"/>
              <w:spacing w:after="240" w:line="260" w:lineRule="exact"/>
              <w:ind w:left="144" w:right="144"/>
              <w:jc w:val="center"/>
              <w:rPr>
                <w:rFonts w:ascii="Source Sans Pro" w:hAnsi="Source Sans Pro" w:eastAsia="Source Sans Pro" w:cs="Source Sans Pro"/>
                <w:snapToGrid/>
                <w:sz w:val="20"/>
                <w:lang w:bidi="en-US"/>
              </w:rPr>
            </w:pPr>
            <w:r w:rsidRPr="002B69D8">
              <w:rPr>
                <w:rFonts w:ascii="Source Sans Pro" w:hAnsi="Source Sans Pro" w:eastAsia="Source Sans Pro" w:cs="Source Sans Pro"/>
                <w:snapToGrid/>
                <w:sz w:val="20"/>
                <w:lang w:bidi="en-US"/>
              </w:rPr>
              <w:t>$15.68</w:t>
            </w:r>
          </w:p>
        </w:tc>
        <w:tc>
          <w:tcPr>
            <w:tcW w:w="1710" w:type="dxa"/>
            <w:tcBorders>
              <w:top w:val="nil"/>
              <w:left w:val="single" w:color="auto" w:sz="4" w:space="0"/>
              <w:bottom w:val="single" w:color="auto" w:sz="6" w:space="0"/>
              <w:right w:val="single" w:color="auto" w:sz="6" w:space="0"/>
            </w:tcBorders>
            <w:vAlign w:val="center"/>
          </w:tcPr>
          <w:p w:rsidRPr="002B69D8" w:rsidR="002B69D8" w:rsidP="002B69D8" w:rsidRDefault="002B69D8">
            <w:pPr>
              <w:keepNext/>
              <w:keepLines/>
              <w:suppressAutoHyphens/>
              <w:autoSpaceDE w:val="0"/>
              <w:autoSpaceDN w:val="0"/>
              <w:spacing w:after="240" w:line="260" w:lineRule="exact"/>
              <w:ind w:left="144" w:right="144"/>
              <w:jc w:val="center"/>
              <w:rPr>
                <w:rFonts w:ascii="Source Sans Pro" w:hAnsi="Source Sans Pro" w:eastAsia="Source Sans Pro" w:cs="Source Sans Pro"/>
                <w:snapToGrid/>
                <w:sz w:val="20"/>
                <w:lang w:bidi="en-US"/>
              </w:rPr>
            </w:pPr>
            <w:r w:rsidRPr="002B69D8">
              <w:rPr>
                <w:rFonts w:ascii="Source Sans Pro" w:hAnsi="Source Sans Pro" w:eastAsia="Source Sans Pro" w:cs="Source Sans Pro"/>
                <w:snapToGrid/>
                <w:sz w:val="20"/>
                <w:lang w:bidi="en-US"/>
              </w:rPr>
              <w:t>15%</w:t>
            </w:r>
          </w:p>
        </w:tc>
        <w:tc>
          <w:tcPr>
            <w:tcW w:w="1723" w:type="dxa"/>
            <w:tcBorders>
              <w:top w:val="nil"/>
              <w:left w:val="single" w:color="auto" w:sz="6" w:space="0"/>
              <w:bottom w:val="single" w:color="auto" w:sz="6" w:space="0"/>
              <w:right w:val="single" w:color="auto" w:sz="6" w:space="0"/>
            </w:tcBorders>
            <w:vAlign w:val="center"/>
          </w:tcPr>
          <w:p w:rsidRPr="002B69D8" w:rsidR="002B69D8" w:rsidP="002B69D8" w:rsidRDefault="002B69D8">
            <w:pPr>
              <w:keepNext/>
              <w:keepLines/>
              <w:suppressAutoHyphens/>
              <w:autoSpaceDE w:val="0"/>
              <w:autoSpaceDN w:val="0"/>
              <w:spacing w:after="240" w:line="260" w:lineRule="exact"/>
              <w:ind w:left="144" w:right="144"/>
              <w:jc w:val="center"/>
              <w:rPr>
                <w:rFonts w:ascii="Source Sans Pro" w:hAnsi="Source Sans Pro" w:eastAsia="Source Sans Pro" w:cs="Source Sans Pro"/>
                <w:snapToGrid/>
                <w:sz w:val="20"/>
                <w:lang w:bidi="en-US"/>
              </w:rPr>
            </w:pPr>
            <w:r w:rsidRPr="002B69D8">
              <w:rPr>
                <w:rFonts w:ascii="Source Sans Pro" w:hAnsi="Source Sans Pro" w:eastAsia="Source Sans Pro" w:cs="Source Sans Pro"/>
                <w:snapToGrid/>
                <w:sz w:val="20"/>
                <w:lang w:bidi="en-US"/>
              </w:rPr>
              <w:t xml:space="preserve">$23.52 </w:t>
            </w:r>
          </w:p>
        </w:tc>
      </w:tr>
      <w:tr w:rsidRPr="002B69D8" w:rsidR="002B69D8" w:rsidTr="00F43A6D">
        <w:trPr>
          <w:trHeight w:val="53"/>
        </w:trPr>
        <w:tc>
          <w:tcPr>
            <w:tcW w:w="1328"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B69D8" w:rsidR="002B69D8" w:rsidP="002B69D8" w:rsidRDefault="002B69D8">
            <w:pPr>
              <w:keepNext/>
              <w:keepLines/>
              <w:suppressAutoHyphens/>
              <w:autoSpaceDE w:val="0"/>
              <w:autoSpaceDN w:val="0"/>
              <w:spacing w:after="240" w:line="260" w:lineRule="exact"/>
              <w:ind w:left="144" w:right="144"/>
              <w:rPr>
                <w:rFonts w:ascii="Source Sans Pro" w:hAnsi="Source Sans Pro" w:eastAsia="Source Sans Pro" w:cs="Source Sans Pro"/>
                <w:snapToGrid/>
                <w:sz w:val="20"/>
                <w:lang w:bidi="en-US"/>
              </w:rPr>
            </w:pPr>
            <w:r w:rsidRPr="002B69D8">
              <w:rPr>
                <w:rFonts w:ascii="Source Sans Pro" w:hAnsi="Source Sans Pro" w:eastAsia="Source Sans Pro" w:cs="Source Sans Pro"/>
                <w:snapToGrid/>
                <w:sz w:val="20"/>
                <w:lang w:bidi="en-US"/>
              </w:rPr>
              <w:t>Compliance Officers</w:t>
            </w:r>
          </w:p>
        </w:tc>
        <w:tc>
          <w:tcPr>
            <w:tcW w:w="1531" w:type="dxa"/>
            <w:tcBorders>
              <w:top w:val="single" w:color="auto" w:sz="6" w:space="0"/>
              <w:left w:val="single" w:color="auto" w:sz="6" w:space="0"/>
              <w:bottom w:val="single" w:color="auto" w:sz="6" w:space="0"/>
              <w:right w:val="single" w:color="auto" w:sz="4" w:space="0"/>
            </w:tcBorders>
            <w:shd w:val="clear" w:color="auto" w:fill="auto"/>
            <w:vAlign w:val="center"/>
            <w:hideMark/>
          </w:tcPr>
          <w:p w:rsidRPr="002B69D8" w:rsidR="002B69D8" w:rsidP="002B69D8" w:rsidRDefault="002B69D8">
            <w:pPr>
              <w:keepNext/>
              <w:keepLines/>
              <w:suppressAutoHyphens/>
              <w:autoSpaceDE w:val="0"/>
              <w:autoSpaceDN w:val="0"/>
              <w:spacing w:after="240" w:line="260" w:lineRule="exact"/>
              <w:ind w:left="144" w:right="144"/>
              <w:jc w:val="center"/>
              <w:rPr>
                <w:rFonts w:ascii="Source Sans Pro" w:hAnsi="Source Sans Pro" w:eastAsia="Source Sans Pro" w:cs="Source Sans Pro"/>
                <w:snapToGrid/>
                <w:sz w:val="20"/>
                <w:lang w:bidi="en-US"/>
              </w:rPr>
            </w:pPr>
            <w:r w:rsidRPr="002B69D8">
              <w:rPr>
                <w:rFonts w:ascii="Source Sans Pro" w:hAnsi="Source Sans Pro" w:eastAsia="Source Sans Pro" w:cs="Calibri"/>
                <w:snapToGrid/>
                <w:color w:val="000000"/>
                <w:sz w:val="20"/>
                <w:lang w:bidi="en-US"/>
              </w:rPr>
              <w:t>$69.38</w:t>
            </w:r>
          </w:p>
        </w:tc>
        <w:tc>
          <w:tcPr>
            <w:tcW w:w="1543" w:type="dxa"/>
            <w:tcBorders>
              <w:top w:val="single" w:color="auto" w:sz="6" w:space="0"/>
              <w:left w:val="single" w:color="auto" w:sz="4" w:space="0"/>
              <w:bottom w:val="single" w:color="auto" w:sz="6" w:space="0"/>
              <w:right w:val="single" w:color="auto" w:sz="6" w:space="0"/>
            </w:tcBorders>
            <w:shd w:val="clear" w:color="auto" w:fill="auto"/>
            <w:vAlign w:val="center"/>
          </w:tcPr>
          <w:p w:rsidRPr="002B69D8" w:rsidR="002B69D8" w:rsidP="002B69D8" w:rsidRDefault="002B69D8">
            <w:pPr>
              <w:keepNext/>
              <w:keepLines/>
              <w:suppressAutoHyphens/>
              <w:autoSpaceDE w:val="0"/>
              <w:autoSpaceDN w:val="0"/>
              <w:spacing w:after="240" w:line="260" w:lineRule="exact"/>
              <w:ind w:left="144" w:right="144"/>
              <w:jc w:val="center"/>
              <w:rPr>
                <w:rFonts w:ascii="Source Sans Pro" w:hAnsi="Source Sans Pro" w:eastAsia="Source Sans Pro" w:cs="Source Sans Pro"/>
                <w:snapToGrid/>
                <w:sz w:val="20"/>
                <w:lang w:bidi="en-US"/>
              </w:rPr>
            </w:pPr>
            <w:r w:rsidRPr="002B69D8">
              <w:rPr>
                <w:rFonts w:ascii="Source Sans Pro" w:hAnsi="Source Sans Pro" w:eastAsia="Source Sans Pro" w:cs="Source Sans Pro"/>
                <w:snapToGrid/>
                <w:sz w:val="20"/>
                <w:lang w:bidi="en-US"/>
              </w:rPr>
              <w:t>30%</w:t>
            </w:r>
          </w:p>
        </w:tc>
        <w:tc>
          <w:tcPr>
            <w:tcW w:w="1710" w:type="dxa"/>
            <w:tcBorders>
              <w:top w:val="single" w:color="auto" w:sz="6" w:space="0"/>
              <w:left w:val="single" w:color="auto" w:sz="6" w:space="0"/>
              <w:bottom w:val="single" w:color="auto" w:sz="6" w:space="0"/>
              <w:right w:val="single" w:color="auto" w:sz="4" w:space="0"/>
            </w:tcBorders>
            <w:shd w:val="clear" w:color="auto" w:fill="auto"/>
            <w:vAlign w:val="center"/>
          </w:tcPr>
          <w:p w:rsidRPr="002B69D8" w:rsidR="002B69D8" w:rsidP="002B69D8" w:rsidRDefault="002B69D8">
            <w:pPr>
              <w:keepNext/>
              <w:keepLines/>
              <w:suppressAutoHyphens/>
              <w:autoSpaceDE w:val="0"/>
              <w:autoSpaceDN w:val="0"/>
              <w:spacing w:after="240" w:line="260" w:lineRule="exact"/>
              <w:ind w:left="144" w:right="144"/>
              <w:jc w:val="center"/>
              <w:rPr>
                <w:rFonts w:ascii="Source Sans Pro" w:hAnsi="Source Sans Pro" w:eastAsia="Source Sans Pro" w:cs="Source Sans Pro"/>
                <w:snapToGrid/>
                <w:sz w:val="20"/>
                <w:lang w:bidi="en-US"/>
              </w:rPr>
            </w:pPr>
            <w:r w:rsidRPr="002B69D8">
              <w:rPr>
                <w:rFonts w:ascii="Source Sans Pro" w:hAnsi="Source Sans Pro" w:eastAsia="Source Sans Pro" w:cs="Source Sans Pro"/>
                <w:snapToGrid/>
                <w:sz w:val="20"/>
                <w:lang w:bidi="en-US"/>
              </w:rPr>
              <w:t>$20.81</w:t>
            </w:r>
          </w:p>
        </w:tc>
        <w:tc>
          <w:tcPr>
            <w:tcW w:w="1710" w:type="dxa"/>
            <w:tcBorders>
              <w:top w:val="nil"/>
              <w:left w:val="single" w:color="auto" w:sz="4" w:space="0"/>
              <w:bottom w:val="single" w:color="auto" w:sz="6" w:space="0"/>
              <w:right w:val="single" w:color="auto" w:sz="6" w:space="0"/>
            </w:tcBorders>
            <w:vAlign w:val="center"/>
          </w:tcPr>
          <w:p w:rsidRPr="002B69D8" w:rsidR="002B69D8" w:rsidP="002B69D8" w:rsidRDefault="002B69D8">
            <w:pPr>
              <w:keepNext/>
              <w:keepLines/>
              <w:suppressAutoHyphens/>
              <w:autoSpaceDE w:val="0"/>
              <w:autoSpaceDN w:val="0"/>
              <w:spacing w:after="240" w:line="260" w:lineRule="exact"/>
              <w:ind w:left="144" w:right="144"/>
              <w:jc w:val="center"/>
              <w:rPr>
                <w:rFonts w:ascii="Source Sans Pro" w:hAnsi="Source Sans Pro" w:eastAsia="Source Sans Pro" w:cs="Source Sans Pro"/>
                <w:snapToGrid/>
                <w:sz w:val="20"/>
                <w:lang w:bidi="en-US"/>
              </w:rPr>
            </w:pPr>
            <w:r w:rsidRPr="002B69D8">
              <w:rPr>
                <w:rFonts w:ascii="Source Sans Pro" w:hAnsi="Source Sans Pro" w:eastAsia="Source Sans Pro" w:cs="Source Sans Pro"/>
                <w:snapToGrid/>
                <w:sz w:val="20"/>
                <w:lang w:bidi="en-US"/>
              </w:rPr>
              <w:t>65%</w:t>
            </w:r>
          </w:p>
        </w:tc>
        <w:tc>
          <w:tcPr>
            <w:tcW w:w="1723" w:type="dxa"/>
            <w:tcBorders>
              <w:top w:val="nil"/>
              <w:left w:val="single" w:color="auto" w:sz="6" w:space="0"/>
              <w:bottom w:val="single" w:color="auto" w:sz="6" w:space="0"/>
              <w:right w:val="single" w:color="auto" w:sz="6" w:space="0"/>
            </w:tcBorders>
            <w:vAlign w:val="center"/>
          </w:tcPr>
          <w:p w:rsidRPr="002B69D8" w:rsidR="002B69D8" w:rsidP="002B69D8" w:rsidRDefault="002B69D8">
            <w:pPr>
              <w:keepNext/>
              <w:keepLines/>
              <w:suppressAutoHyphens/>
              <w:autoSpaceDE w:val="0"/>
              <w:autoSpaceDN w:val="0"/>
              <w:spacing w:after="240" w:line="260" w:lineRule="exact"/>
              <w:ind w:left="144" w:right="144"/>
              <w:jc w:val="center"/>
              <w:rPr>
                <w:rFonts w:ascii="Source Sans Pro" w:hAnsi="Source Sans Pro" w:eastAsia="Source Sans Pro" w:cs="Source Sans Pro"/>
                <w:snapToGrid/>
                <w:sz w:val="20"/>
                <w:lang w:bidi="en-US"/>
              </w:rPr>
            </w:pPr>
            <w:r w:rsidRPr="002B69D8">
              <w:rPr>
                <w:rFonts w:ascii="Source Sans Pro" w:hAnsi="Source Sans Pro" w:eastAsia="Source Sans Pro" w:cs="Source Sans Pro"/>
                <w:snapToGrid/>
                <w:sz w:val="20"/>
                <w:lang w:bidi="en-US"/>
              </w:rPr>
              <w:t xml:space="preserve">$45.10 </w:t>
            </w:r>
          </w:p>
        </w:tc>
      </w:tr>
      <w:tr w:rsidRPr="002B69D8" w:rsidR="002B69D8" w:rsidTr="00F43A6D">
        <w:trPr>
          <w:trHeight w:val="53"/>
        </w:trPr>
        <w:tc>
          <w:tcPr>
            <w:tcW w:w="1328"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B69D8" w:rsidR="002B69D8" w:rsidP="002B69D8" w:rsidRDefault="002B69D8">
            <w:pPr>
              <w:keepNext/>
              <w:keepLines/>
              <w:suppressAutoHyphens/>
              <w:autoSpaceDE w:val="0"/>
              <w:autoSpaceDN w:val="0"/>
              <w:spacing w:after="240" w:line="260" w:lineRule="exact"/>
              <w:ind w:left="144" w:right="144"/>
              <w:rPr>
                <w:rFonts w:ascii="Source Sans Pro" w:hAnsi="Source Sans Pro" w:eastAsia="Source Sans Pro" w:cs="Source Sans Pro"/>
                <w:snapToGrid/>
                <w:sz w:val="20"/>
                <w:lang w:bidi="en-US"/>
              </w:rPr>
            </w:pPr>
            <w:r w:rsidRPr="002B69D8">
              <w:rPr>
                <w:rFonts w:ascii="Source Sans Pro" w:hAnsi="Source Sans Pro" w:eastAsia="Source Sans Pro" w:cs="Source Sans Pro"/>
                <w:snapToGrid/>
                <w:sz w:val="20"/>
                <w:lang w:bidi="en-US"/>
              </w:rPr>
              <w:t>IT Specialists</w:t>
            </w:r>
          </w:p>
        </w:tc>
        <w:tc>
          <w:tcPr>
            <w:tcW w:w="1531" w:type="dxa"/>
            <w:tcBorders>
              <w:top w:val="single" w:color="auto" w:sz="6" w:space="0"/>
              <w:left w:val="single" w:color="auto" w:sz="6" w:space="0"/>
              <w:bottom w:val="single" w:color="auto" w:sz="6" w:space="0"/>
              <w:right w:val="single" w:color="auto" w:sz="4" w:space="0"/>
            </w:tcBorders>
            <w:shd w:val="clear" w:color="auto" w:fill="auto"/>
            <w:vAlign w:val="center"/>
            <w:hideMark/>
          </w:tcPr>
          <w:p w:rsidRPr="002B69D8" w:rsidR="002B69D8" w:rsidP="002B69D8" w:rsidRDefault="002B69D8">
            <w:pPr>
              <w:keepNext/>
              <w:keepLines/>
              <w:suppressAutoHyphens/>
              <w:autoSpaceDE w:val="0"/>
              <w:autoSpaceDN w:val="0"/>
              <w:spacing w:after="240" w:line="260" w:lineRule="exact"/>
              <w:ind w:left="144" w:right="144"/>
              <w:jc w:val="center"/>
              <w:rPr>
                <w:rFonts w:ascii="Source Sans Pro" w:hAnsi="Source Sans Pro" w:eastAsia="Source Sans Pro" w:cs="Source Sans Pro"/>
                <w:snapToGrid/>
                <w:sz w:val="20"/>
                <w:lang w:bidi="en-US"/>
              </w:rPr>
            </w:pPr>
            <w:r w:rsidRPr="002B69D8">
              <w:rPr>
                <w:rFonts w:ascii="Source Sans Pro" w:hAnsi="Source Sans Pro" w:eastAsia="Source Sans Pro" w:cs="Calibri"/>
                <w:snapToGrid/>
                <w:color w:val="000000"/>
                <w:sz w:val="20"/>
                <w:lang w:bidi="en-US"/>
              </w:rPr>
              <w:t>$96.71</w:t>
            </w:r>
          </w:p>
        </w:tc>
        <w:tc>
          <w:tcPr>
            <w:tcW w:w="1543" w:type="dxa"/>
            <w:tcBorders>
              <w:top w:val="single" w:color="auto" w:sz="6" w:space="0"/>
              <w:left w:val="single" w:color="auto" w:sz="4" w:space="0"/>
              <w:bottom w:val="single" w:color="auto" w:sz="6" w:space="0"/>
              <w:right w:val="single" w:color="auto" w:sz="6" w:space="0"/>
            </w:tcBorders>
            <w:shd w:val="clear" w:color="auto" w:fill="auto"/>
            <w:vAlign w:val="center"/>
          </w:tcPr>
          <w:p w:rsidRPr="002B69D8" w:rsidR="002B69D8" w:rsidP="002B69D8" w:rsidRDefault="002B69D8">
            <w:pPr>
              <w:keepNext/>
              <w:keepLines/>
              <w:suppressAutoHyphens/>
              <w:autoSpaceDE w:val="0"/>
              <w:autoSpaceDN w:val="0"/>
              <w:spacing w:after="240" w:line="260" w:lineRule="exact"/>
              <w:ind w:left="144" w:right="144"/>
              <w:jc w:val="center"/>
              <w:rPr>
                <w:rFonts w:ascii="Source Sans Pro" w:hAnsi="Source Sans Pro" w:eastAsia="Source Sans Pro" w:cs="Source Sans Pro"/>
                <w:snapToGrid/>
                <w:sz w:val="20"/>
                <w:lang w:bidi="en-US"/>
              </w:rPr>
            </w:pPr>
            <w:r w:rsidRPr="002B69D8">
              <w:rPr>
                <w:rFonts w:ascii="Source Sans Pro" w:hAnsi="Source Sans Pro" w:eastAsia="Source Sans Pro" w:cs="Source Sans Pro"/>
                <w:snapToGrid/>
                <w:sz w:val="20"/>
                <w:lang w:bidi="en-US"/>
              </w:rPr>
              <w:t>45%</w:t>
            </w:r>
          </w:p>
        </w:tc>
        <w:tc>
          <w:tcPr>
            <w:tcW w:w="1710" w:type="dxa"/>
            <w:tcBorders>
              <w:top w:val="single" w:color="auto" w:sz="6" w:space="0"/>
              <w:left w:val="single" w:color="auto" w:sz="6" w:space="0"/>
              <w:bottom w:val="single" w:color="auto" w:sz="6" w:space="0"/>
              <w:right w:val="single" w:color="auto" w:sz="4" w:space="0"/>
            </w:tcBorders>
            <w:shd w:val="clear" w:color="auto" w:fill="auto"/>
            <w:vAlign w:val="center"/>
          </w:tcPr>
          <w:p w:rsidRPr="002B69D8" w:rsidR="002B69D8" w:rsidP="002B69D8" w:rsidRDefault="002B69D8">
            <w:pPr>
              <w:keepNext/>
              <w:keepLines/>
              <w:suppressAutoHyphens/>
              <w:autoSpaceDE w:val="0"/>
              <w:autoSpaceDN w:val="0"/>
              <w:spacing w:after="240" w:line="260" w:lineRule="exact"/>
              <w:ind w:left="144" w:right="144"/>
              <w:jc w:val="center"/>
              <w:rPr>
                <w:rFonts w:ascii="Source Sans Pro" w:hAnsi="Source Sans Pro" w:eastAsia="Source Sans Pro" w:cs="Source Sans Pro"/>
                <w:snapToGrid/>
                <w:sz w:val="20"/>
                <w:lang w:bidi="en-US"/>
              </w:rPr>
            </w:pPr>
            <w:r w:rsidRPr="002B69D8">
              <w:rPr>
                <w:rFonts w:ascii="Source Sans Pro" w:hAnsi="Source Sans Pro" w:eastAsia="Source Sans Pro" w:cs="Source Sans Pro"/>
                <w:snapToGrid/>
                <w:sz w:val="20"/>
                <w:lang w:bidi="en-US"/>
              </w:rPr>
              <w:t>$43.52</w:t>
            </w:r>
          </w:p>
        </w:tc>
        <w:tc>
          <w:tcPr>
            <w:tcW w:w="1710" w:type="dxa"/>
            <w:tcBorders>
              <w:top w:val="nil"/>
              <w:left w:val="single" w:color="auto" w:sz="4" w:space="0"/>
              <w:bottom w:val="single" w:color="auto" w:sz="6" w:space="0"/>
              <w:right w:val="single" w:color="auto" w:sz="6" w:space="0"/>
            </w:tcBorders>
            <w:vAlign w:val="center"/>
          </w:tcPr>
          <w:p w:rsidRPr="002B69D8" w:rsidR="002B69D8" w:rsidP="002B69D8" w:rsidRDefault="002B69D8">
            <w:pPr>
              <w:keepNext/>
              <w:keepLines/>
              <w:suppressAutoHyphens/>
              <w:autoSpaceDE w:val="0"/>
              <w:autoSpaceDN w:val="0"/>
              <w:spacing w:after="240" w:line="260" w:lineRule="exact"/>
              <w:ind w:left="144" w:right="144"/>
              <w:jc w:val="center"/>
              <w:rPr>
                <w:rFonts w:ascii="Source Sans Pro" w:hAnsi="Source Sans Pro" w:eastAsia="Source Sans Pro" w:cs="Source Sans Pro"/>
                <w:snapToGrid/>
                <w:sz w:val="20"/>
                <w:lang w:bidi="en-US"/>
              </w:rPr>
            </w:pPr>
            <w:r w:rsidRPr="002B69D8">
              <w:rPr>
                <w:rFonts w:ascii="Source Sans Pro" w:hAnsi="Source Sans Pro" w:eastAsia="Source Sans Pro" w:cs="Source Sans Pro"/>
                <w:snapToGrid/>
                <w:sz w:val="20"/>
                <w:lang w:bidi="en-US"/>
              </w:rPr>
              <w:t>20%</w:t>
            </w:r>
          </w:p>
        </w:tc>
        <w:tc>
          <w:tcPr>
            <w:tcW w:w="1723" w:type="dxa"/>
            <w:tcBorders>
              <w:top w:val="nil"/>
              <w:left w:val="single" w:color="auto" w:sz="6" w:space="0"/>
              <w:bottom w:val="single" w:color="auto" w:sz="6" w:space="0"/>
              <w:right w:val="single" w:color="auto" w:sz="6" w:space="0"/>
            </w:tcBorders>
            <w:vAlign w:val="center"/>
          </w:tcPr>
          <w:p w:rsidRPr="002B69D8" w:rsidR="002B69D8" w:rsidP="002B69D8" w:rsidRDefault="002B69D8">
            <w:pPr>
              <w:keepNext/>
              <w:keepLines/>
              <w:suppressAutoHyphens/>
              <w:autoSpaceDE w:val="0"/>
              <w:autoSpaceDN w:val="0"/>
              <w:spacing w:after="240" w:line="260" w:lineRule="exact"/>
              <w:ind w:left="144" w:right="144"/>
              <w:jc w:val="center"/>
              <w:rPr>
                <w:rFonts w:ascii="Source Sans Pro" w:hAnsi="Source Sans Pro" w:eastAsia="Source Sans Pro" w:cs="Source Sans Pro"/>
                <w:snapToGrid/>
                <w:sz w:val="20"/>
                <w:lang w:bidi="en-US"/>
              </w:rPr>
            </w:pPr>
            <w:r w:rsidRPr="002B69D8">
              <w:rPr>
                <w:rFonts w:ascii="Source Sans Pro" w:hAnsi="Source Sans Pro" w:eastAsia="Source Sans Pro" w:cs="Source Sans Pro"/>
                <w:snapToGrid/>
                <w:sz w:val="20"/>
                <w:lang w:bidi="en-US"/>
              </w:rPr>
              <w:t xml:space="preserve">$19.34 </w:t>
            </w:r>
          </w:p>
        </w:tc>
      </w:tr>
      <w:tr w:rsidRPr="002B69D8" w:rsidR="002B69D8" w:rsidTr="00F43A6D">
        <w:trPr>
          <w:trHeight w:val="53"/>
        </w:trPr>
        <w:tc>
          <w:tcPr>
            <w:tcW w:w="1328"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B69D8" w:rsidR="002B69D8" w:rsidP="002B69D8" w:rsidRDefault="002B69D8">
            <w:pPr>
              <w:keepNext/>
              <w:keepLines/>
              <w:suppressAutoHyphens/>
              <w:autoSpaceDE w:val="0"/>
              <w:autoSpaceDN w:val="0"/>
              <w:spacing w:after="240" w:line="260" w:lineRule="exact"/>
              <w:ind w:left="144" w:right="144"/>
              <w:rPr>
                <w:rFonts w:ascii="Source Sans Pro" w:hAnsi="Source Sans Pro" w:eastAsia="Source Sans Pro" w:cs="Source Sans Pro"/>
                <w:snapToGrid/>
                <w:sz w:val="20"/>
                <w:lang w:bidi="en-US"/>
              </w:rPr>
            </w:pPr>
            <w:r w:rsidRPr="002B69D8">
              <w:rPr>
                <w:rFonts w:ascii="Source Sans Pro" w:hAnsi="Source Sans Pro" w:eastAsia="Source Sans Pro" w:cs="Source Sans Pro"/>
                <w:snapToGrid/>
                <w:sz w:val="20"/>
                <w:lang w:bidi="en-US"/>
              </w:rPr>
              <w:t>Financial Analysts</w:t>
            </w:r>
          </w:p>
        </w:tc>
        <w:tc>
          <w:tcPr>
            <w:tcW w:w="1531" w:type="dxa"/>
            <w:tcBorders>
              <w:top w:val="single" w:color="auto" w:sz="6" w:space="0"/>
              <w:left w:val="single" w:color="auto" w:sz="6" w:space="0"/>
              <w:bottom w:val="single" w:color="auto" w:sz="6" w:space="0"/>
              <w:right w:val="single" w:color="auto" w:sz="4" w:space="0"/>
            </w:tcBorders>
            <w:shd w:val="clear" w:color="auto" w:fill="auto"/>
            <w:vAlign w:val="center"/>
            <w:hideMark/>
          </w:tcPr>
          <w:p w:rsidRPr="002B69D8" w:rsidR="002B69D8" w:rsidP="002B69D8" w:rsidRDefault="002B69D8">
            <w:pPr>
              <w:keepNext/>
              <w:keepLines/>
              <w:suppressAutoHyphens/>
              <w:autoSpaceDE w:val="0"/>
              <w:autoSpaceDN w:val="0"/>
              <w:spacing w:after="240" w:line="260" w:lineRule="exact"/>
              <w:ind w:left="144" w:right="144"/>
              <w:jc w:val="center"/>
              <w:rPr>
                <w:rFonts w:ascii="Source Sans Pro" w:hAnsi="Source Sans Pro" w:eastAsia="Source Sans Pro" w:cs="Source Sans Pro"/>
                <w:snapToGrid/>
                <w:sz w:val="20"/>
                <w:lang w:bidi="en-US"/>
              </w:rPr>
            </w:pPr>
            <w:r w:rsidRPr="002B69D8">
              <w:rPr>
                <w:rFonts w:ascii="Source Sans Pro" w:hAnsi="Source Sans Pro" w:eastAsia="Source Sans Pro" w:cs="Calibri"/>
                <w:snapToGrid/>
                <w:color w:val="000000"/>
                <w:sz w:val="20"/>
                <w:lang w:bidi="en-US"/>
              </w:rPr>
              <w:t>$84.43</w:t>
            </w:r>
          </w:p>
        </w:tc>
        <w:tc>
          <w:tcPr>
            <w:tcW w:w="1543" w:type="dxa"/>
            <w:tcBorders>
              <w:top w:val="single" w:color="auto" w:sz="6" w:space="0"/>
              <w:left w:val="single" w:color="auto" w:sz="4" w:space="0"/>
              <w:bottom w:val="single" w:color="auto" w:sz="6" w:space="0"/>
              <w:right w:val="single" w:color="auto" w:sz="6" w:space="0"/>
            </w:tcBorders>
            <w:shd w:val="clear" w:color="auto" w:fill="auto"/>
            <w:vAlign w:val="center"/>
          </w:tcPr>
          <w:p w:rsidRPr="002B69D8" w:rsidR="002B69D8" w:rsidP="002B69D8" w:rsidRDefault="002B69D8">
            <w:pPr>
              <w:keepNext/>
              <w:keepLines/>
              <w:suppressAutoHyphens/>
              <w:autoSpaceDE w:val="0"/>
              <w:autoSpaceDN w:val="0"/>
              <w:spacing w:after="240" w:line="260" w:lineRule="exact"/>
              <w:ind w:left="144" w:right="144"/>
              <w:jc w:val="center"/>
              <w:rPr>
                <w:rFonts w:ascii="Source Sans Pro" w:hAnsi="Source Sans Pro" w:eastAsia="Source Sans Pro" w:cs="Source Sans Pro"/>
                <w:snapToGrid/>
                <w:sz w:val="20"/>
                <w:lang w:bidi="en-US"/>
              </w:rPr>
            </w:pPr>
            <w:r w:rsidRPr="002B69D8">
              <w:rPr>
                <w:rFonts w:ascii="Source Sans Pro" w:hAnsi="Source Sans Pro" w:eastAsia="Source Sans Pro" w:cs="Source Sans Pro"/>
                <w:snapToGrid/>
                <w:sz w:val="20"/>
                <w:lang w:bidi="en-US"/>
              </w:rPr>
              <w:t>0%</w:t>
            </w:r>
          </w:p>
        </w:tc>
        <w:tc>
          <w:tcPr>
            <w:tcW w:w="1710" w:type="dxa"/>
            <w:tcBorders>
              <w:top w:val="single" w:color="auto" w:sz="6" w:space="0"/>
              <w:left w:val="single" w:color="auto" w:sz="6" w:space="0"/>
              <w:bottom w:val="single" w:color="auto" w:sz="6" w:space="0"/>
              <w:right w:val="single" w:color="auto" w:sz="4" w:space="0"/>
            </w:tcBorders>
            <w:shd w:val="clear" w:color="auto" w:fill="auto"/>
            <w:vAlign w:val="center"/>
          </w:tcPr>
          <w:p w:rsidRPr="002B69D8" w:rsidR="002B69D8" w:rsidP="002B69D8" w:rsidRDefault="002B69D8">
            <w:pPr>
              <w:keepNext/>
              <w:keepLines/>
              <w:suppressAutoHyphens/>
              <w:autoSpaceDE w:val="0"/>
              <w:autoSpaceDN w:val="0"/>
              <w:spacing w:after="240" w:line="260" w:lineRule="exact"/>
              <w:ind w:left="144" w:right="144"/>
              <w:jc w:val="center"/>
              <w:rPr>
                <w:rFonts w:ascii="Source Sans Pro" w:hAnsi="Source Sans Pro" w:eastAsia="Source Sans Pro" w:cs="Source Sans Pro"/>
                <w:snapToGrid/>
                <w:sz w:val="20"/>
                <w:lang w:bidi="en-US"/>
              </w:rPr>
            </w:pPr>
            <w:r w:rsidRPr="002B69D8">
              <w:rPr>
                <w:rFonts w:ascii="Source Sans Pro" w:hAnsi="Source Sans Pro" w:eastAsia="Source Sans Pro" w:cs="Source Sans Pro"/>
                <w:snapToGrid/>
                <w:sz w:val="20"/>
                <w:lang w:bidi="en-US"/>
              </w:rPr>
              <w:t>$0.00</w:t>
            </w:r>
          </w:p>
        </w:tc>
        <w:tc>
          <w:tcPr>
            <w:tcW w:w="1710" w:type="dxa"/>
            <w:tcBorders>
              <w:top w:val="nil"/>
              <w:left w:val="single" w:color="auto" w:sz="4" w:space="0"/>
              <w:bottom w:val="single" w:color="auto" w:sz="6" w:space="0"/>
              <w:right w:val="single" w:color="auto" w:sz="6" w:space="0"/>
            </w:tcBorders>
            <w:vAlign w:val="center"/>
          </w:tcPr>
          <w:p w:rsidRPr="002B69D8" w:rsidR="002B69D8" w:rsidP="002B69D8" w:rsidRDefault="002B69D8">
            <w:pPr>
              <w:keepNext/>
              <w:keepLines/>
              <w:suppressAutoHyphens/>
              <w:autoSpaceDE w:val="0"/>
              <w:autoSpaceDN w:val="0"/>
              <w:spacing w:after="240" w:line="260" w:lineRule="exact"/>
              <w:ind w:left="144" w:right="144"/>
              <w:jc w:val="center"/>
              <w:rPr>
                <w:rFonts w:ascii="Source Sans Pro" w:hAnsi="Source Sans Pro" w:eastAsia="Source Sans Pro" w:cs="Source Sans Pro"/>
                <w:snapToGrid/>
                <w:sz w:val="20"/>
                <w:lang w:bidi="en-US"/>
              </w:rPr>
            </w:pPr>
            <w:r w:rsidRPr="002B69D8">
              <w:rPr>
                <w:rFonts w:ascii="Source Sans Pro" w:hAnsi="Source Sans Pro" w:eastAsia="Source Sans Pro" w:cs="Source Sans Pro"/>
                <w:snapToGrid/>
                <w:sz w:val="20"/>
                <w:lang w:bidi="en-US"/>
              </w:rPr>
              <w:t>0%</w:t>
            </w:r>
          </w:p>
        </w:tc>
        <w:tc>
          <w:tcPr>
            <w:tcW w:w="1723" w:type="dxa"/>
            <w:tcBorders>
              <w:top w:val="nil"/>
              <w:left w:val="single" w:color="auto" w:sz="6" w:space="0"/>
              <w:bottom w:val="single" w:color="auto" w:sz="6" w:space="0"/>
              <w:right w:val="single" w:color="auto" w:sz="6" w:space="0"/>
            </w:tcBorders>
            <w:vAlign w:val="center"/>
          </w:tcPr>
          <w:p w:rsidRPr="002B69D8" w:rsidR="002B69D8" w:rsidP="002B69D8" w:rsidRDefault="002B69D8">
            <w:pPr>
              <w:keepNext/>
              <w:keepLines/>
              <w:suppressAutoHyphens/>
              <w:autoSpaceDE w:val="0"/>
              <w:autoSpaceDN w:val="0"/>
              <w:spacing w:after="240" w:line="260" w:lineRule="exact"/>
              <w:ind w:left="144" w:right="144"/>
              <w:jc w:val="center"/>
              <w:rPr>
                <w:rFonts w:ascii="Source Sans Pro" w:hAnsi="Source Sans Pro" w:eastAsia="Source Sans Pro" w:cs="Source Sans Pro"/>
                <w:snapToGrid/>
                <w:sz w:val="20"/>
                <w:lang w:bidi="en-US"/>
              </w:rPr>
            </w:pPr>
            <w:r w:rsidRPr="002B69D8">
              <w:rPr>
                <w:rFonts w:ascii="Source Sans Pro" w:hAnsi="Source Sans Pro" w:eastAsia="Source Sans Pro" w:cs="Source Sans Pro"/>
                <w:snapToGrid/>
                <w:sz w:val="20"/>
                <w:lang w:bidi="en-US"/>
              </w:rPr>
              <w:t xml:space="preserve">$0.00 </w:t>
            </w:r>
          </w:p>
        </w:tc>
      </w:tr>
      <w:tr w:rsidRPr="002B69D8" w:rsidR="002B69D8" w:rsidTr="00F43A6D">
        <w:trPr>
          <w:trHeight w:val="53"/>
        </w:trPr>
        <w:tc>
          <w:tcPr>
            <w:tcW w:w="1328" w:type="dxa"/>
            <w:tcBorders>
              <w:top w:val="single" w:color="auto" w:sz="6" w:space="0"/>
              <w:left w:val="single" w:color="auto" w:sz="6" w:space="0"/>
              <w:bottom w:val="nil"/>
              <w:right w:val="single" w:color="auto" w:sz="6" w:space="0"/>
            </w:tcBorders>
            <w:shd w:val="clear" w:color="auto" w:fill="auto"/>
            <w:vAlign w:val="center"/>
            <w:hideMark/>
          </w:tcPr>
          <w:p w:rsidRPr="002B69D8" w:rsidR="002B69D8" w:rsidP="002B69D8" w:rsidRDefault="002B69D8">
            <w:pPr>
              <w:keepNext/>
              <w:keepLines/>
              <w:suppressAutoHyphens/>
              <w:autoSpaceDE w:val="0"/>
              <w:autoSpaceDN w:val="0"/>
              <w:spacing w:after="240" w:line="260" w:lineRule="exact"/>
              <w:ind w:left="144" w:right="144"/>
              <w:rPr>
                <w:rFonts w:ascii="Source Sans Pro" w:hAnsi="Source Sans Pro" w:eastAsia="Source Sans Pro" w:cs="Source Sans Pro"/>
                <w:snapToGrid/>
                <w:sz w:val="20"/>
                <w:lang w:bidi="en-US"/>
              </w:rPr>
            </w:pPr>
            <w:r w:rsidRPr="002B69D8">
              <w:rPr>
                <w:rFonts w:ascii="Source Sans Pro" w:hAnsi="Source Sans Pro" w:eastAsia="Source Sans Pro" w:cs="Source Sans Pro"/>
                <w:snapToGrid/>
                <w:sz w:val="20"/>
                <w:lang w:bidi="en-US"/>
              </w:rPr>
              <w:t>Clerical</w:t>
            </w:r>
          </w:p>
        </w:tc>
        <w:tc>
          <w:tcPr>
            <w:tcW w:w="1531" w:type="dxa"/>
            <w:tcBorders>
              <w:top w:val="single" w:color="auto" w:sz="6" w:space="0"/>
              <w:left w:val="single" w:color="auto" w:sz="6" w:space="0"/>
              <w:bottom w:val="nil"/>
              <w:right w:val="single" w:color="auto" w:sz="4" w:space="0"/>
            </w:tcBorders>
            <w:shd w:val="clear" w:color="auto" w:fill="auto"/>
            <w:vAlign w:val="center"/>
            <w:hideMark/>
          </w:tcPr>
          <w:p w:rsidRPr="002B69D8" w:rsidR="002B69D8" w:rsidP="002B69D8" w:rsidRDefault="002B69D8">
            <w:pPr>
              <w:keepNext/>
              <w:keepLines/>
              <w:suppressAutoHyphens/>
              <w:autoSpaceDE w:val="0"/>
              <w:autoSpaceDN w:val="0"/>
              <w:spacing w:after="240" w:line="260" w:lineRule="exact"/>
              <w:ind w:left="144" w:right="144"/>
              <w:jc w:val="center"/>
              <w:rPr>
                <w:rFonts w:ascii="Source Sans Pro" w:hAnsi="Source Sans Pro" w:eastAsia="Source Sans Pro" w:cs="Source Sans Pro"/>
                <w:snapToGrid/>
                <w:sz w:val="20"/>
                <w:lang w:bidi="en-US"/>
              </w:rPr>
            </w:pPr>
            <w:r w:rsidRPr="002B69D8">
              <w:rPr>
                <w:rFonts w:ascii="Source Sans Pro" w:hAnsi="Source Sans Pro" w:eastAsia="Source Sans Pro" w:cs="Calibri"/>
                <w:snapToGrid/>
                <w:color w:val="000000"/>
                <w:sz w:val="20"/>
                <w:lang w:bidi="en-US"/>
              </w:rPr>
              <w:t>$35.62</w:t>
            </w:r>
          </w:p>
        </w:tc>
        <w:tc>
          <w:tcPr>
            <w:tcW w:w="1543" w:type="dxa"/>
            <w:tcBorders>
              <w:top w:val="single" w:color="auto" w:sz="6" w:space="0"/>
              <w:left w:val="single" w:color="auto" w:sz="4" w:space="0"/>
              <w:bottom w:val="single" w:color="auto" w:sz="6" w:space="0"/>
              <w:right w:val="single" w:color="auto" w:sz="6" w:space="0"/>
            </w:tcBorders>
            <w:shd w:val="clear" w:color="auto" w:fill="auto"/>
            <w:vAlign w:val="center"/>
          </w:tcPr>
          <w:p w:rsidRPr="002B69D8" w:rsidR="002B69D8" w:rsidP="002B69D8" w:rsidRDefault="002B69D8">
            <w:pPr>
              <w:keepNext/>
              <w:keepLines/>
              <w:suppressAutoHyphens/>
              <w:autoSpaceDE w:val="0"/>
              <w:autoSpaceDN w:val="0"/>
              <w:spacing w:after="240" w:line="260" w:lineRule="exact"/>
              <w:ind w:left="144" w:right="144"/>
              <w:jc w:val="center"/>
              <w:rPr>
                <w:rFonts w:ascii="Source Sans Pro" w:hAnsi="Source Sans Pro" w:eastAsia="Source Sans Pro" w:cs="Source Sans Pro"/>
                <w:snapToGrid/>
                <w:sz w:val="20"/>
                <w:lang w:bidi="en-US"/>
              </w:rPr>
            </w:pPr>
            <w:r w:rsidRPr="002B69D8">
              <w:rPr>
                <w:rFonts w:ascii="Source Sans Pro" w:hAnsi="Source Sans Pro" w:eastAsia="Source Sans Pro" w:cs="Source Sans Pro"/>
                <w:snapToGrid/>
                <w:sz w:val="20"/>
                <w:lang w:bidi="en-US"/>
              </w:rPr>
              <w:t>0%</w:t>
            </w:r>
          </w:p>
        </w:tc>
        <w:tc>
          <w:tcPr>
            <w:tcW w:w="1710" w:type="dxa"/>
            <w:tcBorders>
              <w:top w:val="single" w:color="auto" w:sz="6" w:space="0"/>
              <w:left w:val="single" w:color="auto" w:sz="6" w:space="0"/>
              <w:bottom w:val="single" w:color="auto" w:sz="6" w:space="0"/>
              <w:right w:val="single" w:color="auto" w:sz="4" w:space="0"/>
            </w:tcBorders>
            <w:shd w:val="clear" w:color="auto" w:fill="auto"/>
            <w:vAlign w:val="center"/>
          </w:tcPr>
          <w:p w:rsidRPr="002B69D8" w:rsidR="002B69D8" w:rsidP="002B69D8" w:rsidRDefault="002B69D8">
            <w:pPr>
              <w:keepNext/>
              <w:keepLines/>
              <w:suppressAutoHyphens/>
              <w:autoSpaceDE w:val="0"/>
              <w:autoSpaceDN w:val="0"/>
              <w:spacing w:after="240" w:line="260" w:lineRule="exact"/>
              <w:ind w:left="144" w:right="144"/>
              <w:jc w:val="center"/>
              <w:rPr>
                <w:rFonts w:ascii="Source Sans Pro" w:hAnsi="Source Sans Pro" w:eastAsia="Source Sans Pro" w:cs="Source Sans Pro"/>
                <w:snapToGrid/>
                <w:sz w:val="20"/>
                <w:lang w:bidi="en-US"/>
              </w:rPr>
            </w:pPr>
            <w:r w:rsidRPr="002B69D8">
              <w:rPr>
                <w:rFonts w:ascii="Source Sans Pro" w:hAnsi="Source Sans Pro" w:eastAsia="Source Sans Pro" w:cs="Source Sans Pro"/>
                <w:snapToGrid/>
                <w:sz w:val="20"/>
                <w:lang w:bidi="en-US"/>
              </w:rPr>
              <w:t>$0.00</w:t>
            </w:r>
          </w:p>
        </w:tc>
        <w:tc>
          <w:tcPr>
            <w:tcW w:w="1710" w:type="dxa"/>
            <w:tcBorders>
              <w:top w:val="nil"/>
              <w:left w:val="single" w:color="auto" w:sz="4" w:space="0"/>
              <w:bottom w:val="single" w:color="auto" w:sz="6" w:space="0"/>
              <w:right w:val="single" w:color="auto" w:sz="6" w:space="0"/>
            </w:tcBorders>
            <w:vAlign w:val="center"/>
          </w:tcPr>
          <w:p w:rsidRPr="002B69D8" w:rsidR="002B69D8" w:rsidP="002B69D8" w:rsidRDefault="002B69D8">
            <w:pPr>
              <w:keepNext/>
              <w:keepLines/>
              <w:suppressAutoHyphens/>
              <w:autoSpaceDE w:val="0"/>
              <w:autoSpaceDN w:val="0"/>
              <w:spacing w:after="240" w:line="260" w:lineRule="exact"/>
              <w:ind w:left="144" w:right="144"/>
              <w:jc w:val="center"/>
              <w:rPr>
                <w:rFonts w:ascii="Source Sans Pro" w:hAnsi="Source Sans Pro" w:eastAsia="Source Sans Pro" w:cs="Source Sans Pro"/>
                <w:snapToGrid/>
                <w:sz w:val="20"/>
                <w:lang w:bidi="en-US"/>
              </w:rPr>
            </w:pPr>
            <w:r w:rsidRPr="002B69D8">
              <w:rPr>
                <w:rFonts w:ascii="Source Sans Pro" w:hAnsi="Source Sans Pro" w:eastAsia="Source Sans Pro" w:cs="Source Sans Pro"/>
                <w:snapToGrid/>
                <w:sz w:val="20"/>
                <w:lang w:bidi="en-US"/>
              </w:rPr>
              <w:t>0%</w:t>
            </w:r>
          </w:p>
        </w:tc>
        <w:tc>
          <w:tcPr>
            <w:tcW w:w="1723" w:type="dxa"/>
            <w:tcBorders>
              <w:top w:val="nil"/>
              <w:left w:val="single" w:color="auto" w:sz="6" w:space="0"/>
              <w:bottom w:val="single" w:color="auto" w:sz="6" w:space="0"/>
              <w:right w:val="single" w:color="auto" w:sz="6" w:space="0"/>
            </w:tcBorders>
            <w:vAlign w:val="center"/>
          </w:tcPr>
          <w:p w:rsidRPr="002B69D8" w:rsidR="002B69D8" w:rsidP="002B69D8" w:rsidRDefault="002B69D8">
            <w:pPr>
              <w:keepNext/>
              <w:keepLines/>
              <w:suppressAutoHyphens/>
              <w:autoSpaceDE w:val="0"/>
              <w:autoSpaceDN w:val="0"/>
              <w:spacing w:after="240" w:line="260" w:lineRule="exact"/>
              <w:ind w:left="144" w:right="144"/>
              <w:jc w:val="center"/>
              <w:rPr>
                <w:rFonts w:ascii="Source Sans Pro" w:hAnsi="Source Sans Pro" w:eastAsia="Source Sans Pro" w:cs="Source Sans Pro"/>
                <w:snapToGrid/>
                <w:sz w:val="20"/>
                <w:lang w:bidi="en-US"/>
              </w:rPr>
            </w:pPr>
            <w:r w:rsidRPr="002B69D8">
              <w:rPr>
                <w:rFonts w:ascii="Source Sans Pro" w:hAnsi="Source Sans Pro" w:eastAsia="Source Sans Pro" w:cs="Source Sans Pro"/>
                <w:snapToGrid/>
                <w:sz w:val="20"/>
                <w:lang w:bidi="en-US"/>
              </w:rPr>
              <w:t xml:space="preserve">$0.00 </w:t>
            </w:r>
          </w:p>
        </w:tc>
      </w:tr>
      <w:tr w:rsidRPr="002B69D8" w:rsidR="002B69D8" w:rsidTr="00F43A6D">
        <w:trPr>
          <w:trHeight w:val="53"/>
        </w:trPr>
        <w:tc>
          <w:tcPr>
            <w:tcW w:w="2859" w:type="dxa"/>
            <w:gridSpan w:val="2"/>
            <w:tcBorders>
              <w:top w:val="single" w:color="auto" w:sz="6" w:space="0"/>
              <w:left w:val="single" w:color="auto" w:sz="6" w:space="0"/>
              <w:bottom w:val="single" w:color="auto" w:sz="6" w:space="0"/>
              <w:right w:val="single" w:color="auto" w:sz="4" w:space="0"/>
            </w:tcBorders>
            <w:shd w:val="clear" w:color="auto" w:fill="auto"/>
            <w:vAlign w:val="bottom"/>
            <w:hideMark/>
          </w:tcPr>
          <w:p w:rsidRPr="002B69D8" w:rsidR="002B69D8" w:rsidP="002B69D8" w:rsidRDefault="002B69D8">
            <w:pPr>
              <w:keepNext/>
              <w:keepLines/>
              <w:suppressAutoHyphens/>
              <w:autoSpaceDE w:val="0"/>
              <w:autoSpaceDN w:val="0"/>
              <w:ind w:left="144" w:right="144"/>
              <w:rPr>
                <w:rFonts w:ascii="Source Sans Pro" w:hAnsi="Source Sans Pro" w:eastAsia="Source Sans Pro" w:cs="Source Sans Pro"/>
                <w:snapToGrid/>
                <w:sz w:val="20"/>
                <w:lang w:bidi="en-US"/>
              </w:rPr>
            </w:pPr>
          </w:p>
          <w:p w:rsidRPr="002B69D8" w:rsidR="002B69D8" w:rsidP="002B69D8" w:rsidRDefault="002B69D8">
            <w:pPr>
              <w:keepNext/>
              <w:keepLines/>
              <w:suppressAutoHyphens/>
              <w:autoSpaceDE w:val="0"/>
              <w:autoSpaceDN w:val="0"/>
              <w:ind w:left="144" w:right="144"/>
              <w:rPr>
                <w:rFonts w:ascii="Source Sans Pro" w:hAnsi="Source Sans Pro" w:eastAsia="Source Sans Pro" w:cs="Source Sans Pro"/>
                <w:snapToGrid/>
                <w:sz w:val="20"/>
                <w:lang w:bidi="en-US"/>
              </w:rPr>
            </w:pPr>
            <w:r w:rsidRPr="002B69D8">
              <w:rPr>
                <w:rFonts w:ascii="Source Sans Pro" w:hAnsi="Source Sans Pro" w:eastAsia="Source Sans Pro" w:cs="Source Sans Pro"/>
                <w:snapToGrid/>
                <w:sz w:val="20"/>
                <w:lang w:bidi="en-US"/>
              </w:rPr>
              <w:t>Total Estimated Weighted Average Hourly Compensation Rate </w:t>
            </w:r>
          </w:p>
        </w:tc>
        <w:tc>
          <w:tcPr>
            <w:tcW w:w="1543" w:type="dxa"/>
            <w:tcBorders>
              <w:top w:val="single" w:color="auto" w:sz="6" w:space="0"/>
              <w:left w:val="single" w:color="auto" w:sz="4" w:space="0"/>
              <w:bottom w:val="single" w:color="auto" w:sz="6" w:space="0"/>
              <w:right w:val="single" w:color="auto" w:sz="6" w:space="0"/>
            </w:tcBorders>
            <w:shd w:val="clear" w:color="auto" w:fill="auto"/>
            <w:vAlign w:val="bottom"/>
            <w:hideMark/>
          </w:tcPr>
          <w:p w:rsidRPr="002B69D8" w:rsidR="002B69D8" w:rsidP="002B69D8" w:rsidRDefault="002B69D8">
            <w:pPr>
              <w:keepNext/>
              <w:keepLines/>
              <w:suppressAutoHyphens/>
              <w:autoSpaceDE w:val="0"/>
              <w:autoSpaceDN w:val="0"/>
              <w:ind w:left="144" w:right="144"/>
              <w:rPr>
                <w:rFonts w:ascii="Source Sans Pro" w:hAnsi="Source Sans Pro" w:eastAsia="Source Sans Pro" w:cs="Source Sans Pro"/>
                <w:snapToGrid/>
                <w:sz w:val="20"/>
                <w:lang w:bidi="en-US"/>
              </w:rPr>
            </w:pPr>
          </w:p>
        </w:tc>
        <w:tc>
          <w:tcPr>
            <w:tcW w:w="1710" w:type="dxa"/>
            <w:tcBorders>
              <w:top w:val="single" w:color="auto" w:sz="6" w:space="0"/>
              <w:left w:val="single" w:color="auto" w:sz="6" w:space="0"/>
              <w:bottom w:val="single" w:color="auto" w:sz="6" w:space="0"/>
              <w:right w:val="single" w:color="auto" w:sz="4" w:space="0"/>
            </w:tcBorders>
            <w:shd w:val="clear" w:color="auto" w:fill="auto"/>
            <w:vAlign w:val="bottom"/>
            <w:hideMark/>
          </w:tcPr>
          <w:p w:rsidRPr="002B69D8" w:rsidR="002B69D8" w:rsidP="002B69D8" w:rsidRDefault="002B69D8">
            <w:pPr>
              <w:keepNext/>
              <w:keepLines/>
              <w:suppressAutoHyphens/>
              <w:autoSpaceDE w:val="0"/>
              <w:autoSpaceDN w:val="0"/>
              <w:ind w:left="144" w:right="144"/>
              <w:jc w:val="center"/>
              <w:rPr>
                <w:rFonts w:ascii="Source Sans Pro" w:hAnsi="Source Sans Pro" w:eastAsia="Source Sans Pro" w:cs="Source Sans Pro"/>
                <w:snapToGrid/>
                <w:sz w:val="20"/>
                <w:lang w:bidi="en-US"/>
              </w:rPr>
            </w:pPr>
            <w:r w:rsidRPr="002B69D8">
              <w:rPr>
                <w:rFonts w:ascii="Source Sans Pro" w:hAnsi="Source Sans Pro" w:eastAsia="Source Sans Pro" w:cs="Calibri"/>
                <w:snapToGrid/>
                <w:color w:val="000000"/>
                <w:sz w:val="20"/>
                <w:lang w:bidi="en-US"/>
              </w:rPr>
              <w:t>$99.68</w:t>
            </w:r>
          </w:p>
        </w:tc>
        <w:tc>
          <w:tcPr>
            <w:tcW w:w="1710" w:type="dxa"/>
            <w:tcBorders>
              <w:top w:val="single" w:color="auto" w:sz="6" w:space="0"/>
              <w:left w:val="single" w:color="auto" w:sz="4" w:space="0"/>
              <w:bottom w:val="single" w:color="auto" w:sz="6" w:space="0"/>
              <w:right w:val="single" w:color="auto" w:sz="6" w:space="0"/>
            </w:tcBorders>
            <w:vAlign w:val="bottom"/>
          </w:tcPr>
          <w:p w:rsidRPr="002B69D8" w:rsidR="002B69D8" w:rsidP="002B69D8" w:rsidRDefault="002B69D8">
            <w:pPr>
              <w:keepNext/>
              <w:keepLines/>
              <w:suppressAutoHyphens/>
              <w:autoSpaceDE w:val="0"/>
              <w:autoSpaceDN w:val="0"/>
              <w:ind w:left="144" w:right="144"/>
              <w:jc w:val="center"/>
              <w:rPr>
                <w:rFonts w:ascii="Source Sans Pro" w:hAnsi="Source Sans Pro" w:eastAsia="Source Sans Pro" w:cs="Source Sans Pro"/>
                <w:snapToGrid/>
                <w:sz w:val="20"/>
                <w:lang w:bidi="en-US"/>
              </w:rPr>
            </w:pPr>
          </w:p>
        </w:tc>
        <w:tc>
          <w:tcPr>
            <w:tcW w:w="1723" w:type="dxa"/>
            <w:tcBorders>
              <w:top w:val="single" w:color="auto" w:sz="6" w:space="0"/>
              <w:left w:val="single" w:color="auto" w:sz="6" w:space="0"/>
              <w:bottom w:val="single" w:color="auto" w:sz="6" w:space="0"/>
              <w:right w:val="single" w:color="auto" w:sz="6" w:space="0"/>
            </w:tcBorders>
            <w:vAlign w:val="bottom"/>
          </w:tcPr>
          <w:p w:rsidRPr="002B69D8" w:rsidR="002B69D8" w:rsidP="002B69D8" w:rsidRDefault="002B69D8">
            <w:pPr>
              <w:keepNext/>
              <w:keepLines/>
              <w:suppressAutoHyphens/>
              <w:autoSpaceDE w:val="0"/>
              <w:autoSpaceDN w:val="0"/>
              <w:ind w:left="144" w:right="144"/>
              <w:jc w:val="center"/>
              <w:rPr>
                <w:rFonts w:ascii="Source Sans Pro" w:hAnsi="Source Sans Pro" w:eastAsia="Source Sans Pro" w:cs="Source Sans Pro"/>
                <w:snapToGrid/>
                <w:sz w:val="20"/>
                <w:lang w:bidi="en-US"/>
              </w:rPr>
            </w:pPr>
            <w:r w:rsidRPr="002B69D8">
              <w:rPr>
                <w:rFonts w:ascii="Source Sans Pro" w:hAnsi="Source Sans Pro" w:eastAsia="Source Sans Pro" w:cs="Calibri"/>
                <w:snapToGrid/>
                <w:color w:val="000000"/>
                <w:sz w:val="20"/>
                <w:lang w:bidi="en-US"/>
              </w:rPr>
              <w:t>$87.96</w:t>
            </w:r>
          </w:p>
        </w:tc>
      </w:tr>
    </w:tbl>
    <w:p w:rsidR="000F36F0" w:rsidP="00EC31FD" w:rsidRDefault="000F36F0">
      <w:pPr>
        <w:widowControl/>
        <w:rPr>
          <w:rFonts w:ascii="Times New Roman" w:hAnsi="Times New Roman"/>
        </w:rPr>
      </w:pPr>
    </w:p>
    <w:p w:rsidR="00820109" w:rsidRDefault="00820109">
      <w:pPr>
        <w:widowControl/>
        <w:ind w:left="1152" w:firstLine="288"/>
        <w:rPr>
          <w:rFonts w:ascii="Times New Roman" w:hAnsi="Times New Roman"/>
        </w:rPr>
      </w:pPr>
    </w:p>
    <w:p w:rsidRPr="002423D4" w:rsidR="00F146F1" w:rsidP="002423D4" w:rsidRDefault="002423D4">
      <w:pPr>
        <w:numPr>
          <w:ilvl w:val="0"/>
          <w:numId w:val="4"/>
        </w:numPr>
        <w:tabs>
          <w:tab w:val="left" w:pos="480"/>
          <w:tab w:val="left" w:pos="1080"/>
        </w:tabs>
        <w:suppressAutoHyphens/>
        <w:rPr>
          <w:rFonts w:ascii="Times New Roman" w:hAnsi="Times New Roman"/>
        </w:rPr>
      </w:pPr>
      <w:r w:rsidRPr="00366534">
        <w:rPr>
          <w:rFonts w:ascii="Times New Roman" w:hAnsi="Times New Roman"/>
          <w:u w:val="single"/>
        </w:rPr>
        <w:t>Estimate of start-up cost to respondents:</w:t>
      </w:r>
    </w:p>
    <w:p w:rsidR="00F146F1" w:rsidRDefault="00F146F1">
      <w:pPr>
        <w:widowControl/>
        <w:rPr>
          <w:rFonts w:ascii="Times New Roman" w:hAnsi="Times New Roman"/>
        </w:rPr>
      </w:pPr>
    </w:p>
    <w:p w:rsidR="00F146F1" w:rsidRDefault="002423D4">
      <w:pPr>
        <w:widowControl/>
        <w:ind w:left="720" w:firstLine="720"/>
        <w:rPr>
          <w:rFonts w:ascii="Times New Roman" w:hAnsi="Times New Roman"/>
        </w:rPr>
      </w:pPr>
      <w:r w:rsidRPr="00366534">
        <w:rPr>
          <w:rFonts w:ascii="Times New Roman" w:hAnsi="Times New Roman"/>
        </w:rPr>
        <w:t>There are no anticipated capital, start-up, or operating costs.</w:t>
      </w:r>
    </w:p>
    <w:p w:rsidR="00F146F1" w:rsidRDefault="00F146F1">
      <w:pPr>
        <w:widowControl/>
        <w:rPr>
          <w:rFonts w:ascii="Times New Roman" w:hAnsi="Times New Roman"/>
        </w:rPr>
      </w:pPr>
    </w:p>
    <w:p w:rsidR="00F146F1" w:rsidP="00F175D5" w:rsidRDefault="002423D4">
      <w:pPr>
        <w:widowControl/>
        <w:numPr>
          <w:ilvl w:val="0"/>
          <w:numId w:val="4"/>
        </w:numPr>
        <w:rPr>
          <w:rFonts w:ascii="Times New Roman" w:hAnsi="Times New Roman"/>
        </w:rPr>
      </w:pPr>
      <w:r w:rsidRPr="00243153">
        <w:rPr>
          <w:rFonts w:ascii="Times New Roman" w:hAnsi="Times New Roman"/>
          <w:color w:val="000000"/>
          <w:u w:val="single"/>
        </w:rPr>
        <w:lastRenderedPageBreak/>
        <w:t xml:space="preserve">Estimates of </w:t>
      </w:r>
      <w:r>
        <w:rPr>
          <w:rFonts w:ascii="Times New Roman" w:hAnsi="Times New Roman"/>
          <w:color w:val="000000"/>
          <w:u w:val="single"/>
        </w:rPr>
        <w:t>a</w:t>
      </w:r>
      <w:r w:rsidRPr="00243153">
        <w:rPr>
          <w:rFonts w:ascii="Times New Roman" w:hAnsi="Times New Roman"/>
          <w:color w:val="000000"/>
          <w:u w:val="single"/>
        </w:rPr>
        <w:t xml:space="preserve">nnualized </w:t>
      </w:r>
      <w:r>
        <w:rPr>
          <w:rFonts w:ascii="Times New Roman" w:hAnsi="Times New Roman"/>
          <w:color w:val="000000"/>
          <w:u w:val="single"/>
        </w:rPr>
        <w:t>c</w:t>
      </w:r>
      <w:r w:rsidRPr="00243153">
        <w:rPr>
          <w:rFonts w:ascii="Times New Roman" w:hAnsi="Times New Roman"/>
          <w:color w:val="000000"/>
          <w:u w:val="single"/>
        </w:rPr>
        <w:t xml:space="preserve">ost to the </w:t>
      </w:r>
      <w:r>
        <w:rPr>
          <w:rFonts w:ascii="Times New Roman" w:hAnsi="Times New Roman"/>
          <w:color w:val="000000"/>
          <w:u w:val="single"/>
        </w:rPr>
        <w:t>f</w:t>
      </w:r>
      <w:r w:rsidRPr="00243153">
        <w:rPr>
          <w:rFonts w:ascii="Times New Roman" w:hAnsi="Times New Roman"/>
          <w:color w:val="000000"/>
          <w:u w:val="single"/>
        </w:rPr>
        <w:t xml:space="preserve">ederal </w:t>
      </w:r>
      <w:r w:rsidRPr="00366534">
        <w:rPr>
          <w:rFonts w:ascii="Times New Roman" w:hAnsi="Times New Roman"/>
          <w:color w:val="000000"/>
          <w:u w:val="single"/>
        </w:rPr>
        <w:t>government:</w:t>
      </w:r>
    </w:p>
    <w:p w:rsidR="00F146F1" w:rsidRDefault="00F146F1">
      <w:pPr>
        <w:widowControl/>
        <w:rPr>
          <w:rFonts w:ascii="Times New Roman" w:hAnsi="Times New Roman"/>
        </w:rPr>
      </w:pPr>
    </w:p>
    <w:p w:rsidR="00F146F1" w:rsidRDefault="00F146F1">
      <w:pPr>
        <w:widowControl/>
        <w:ind w:left="1440"/>
        <w:rPr>
          <w:rFonts w:ascii="Times New Roman" w:hAnsi="Times New Roman"/>
        </w:rPr>
      </w:pPr>
      <w:r>
        <w:rPr>
          <w:rFonts w:ascii="Times New Roman" w:hAnsi="Times New Roman"/>
        </w:rPr>
        <w:t xml:space="preserve">None. </w:t>
      </w:r>
    </w:p>
    <w:p w:rsidR="00F146F1" w:rsidRDefault="00F146F1">
      <w:pPr>
        <w:widowControl/>
        <w:ind w:left="1440"/>
        <w:rPr>
          <w:rFonts w:ascii="Times New Roman" w:hAnsi="Times New Roman"/>
        </w:rPr>
      </w:pPr>
    </w:p>
    <w:p w:rsidRPr="009234BE" w:rsidR="00F146F1" w:rsidP="002423D4" w:rsidRDefault="002423D4">
      <w:pPr>
        <w:numPr>
          <w:ilvl w:val="0"/>
          <w:numId w:val="4"/>
        </w:numPr>
        <w:tabs>
          <w:tab w:val="left" w:pos="480"/>
          <w:tab w:val="left" w:pos="1080"/>
          <w:tab w:val="left" w:pos="1680"/>
        </w:tabs>
        <w:suppressAutoHyphens/>
        <w:rPr>
          <w:rFonts w:ascii="Times New Roman" w:hAnsi="Times New Roman"/>
        </w:rPr>
      </w:pPr>
      <w:r w:rsidRPr="009234BE">
        <w:rPr>
          <w:rFonts w:ascii="Times New Roman" w:hAnsi="Times New Roman"/>
          <w:u w:val="single"/>
        </w:rPr>
        <w:t>Analysis of change in burden:</w:t>
      </w:r>
    </w:p>
    <w:p w:rsidR="00F146F1" w:rsidRDefault="00F146F1">
      <w:pPr>
        <w:widowControl/>
        <w:rPr>
          <w:rFonts w:ascii="Times New Roman" w:hAnsi="Times New Roman"/>
        </w:rPr>
      </w:pPr>
    </w:p>
    <w:p w:rsidRPr="00821720" w:rsidR="00821720" w:rsidP="00821720" w:rsidRDefault="001F2335">
      <w:pPr>
        <w:tabs>
          <w:tab w:val="left" w:pos="-1440"/>
        </w:tabs>
        <w:ind w:left="1440"/>
        <w:rPr>
          <w:rFonts w:ascii="Times New Roman" w:hAnsi="Times New Roman"/>
          <w:spacing w:val="-3"/>
        </w:rPr>
      </w:pPr>
      <w:r w:rsidRPr="001F2335">
        <w:rPr>
          <w:rFonts w:ascii="Times New Roman" w:hAnsi="Times New Roman"/>
          <w:spacing w:val="-3"/>
        </w:rPr>
        <w:t xml:space="preserve">There is no change in the method or substance of the collection.  The overall </w:t>
      </w:r>
      <w:r w:rsidR="00692F7B">
        <w:rPr>
          <w:rFonts w:ascii="Times New Roman" w:hAnsi="Times New Roman"/>
          <w:spacing w:val="-3"/>
        </w:rPr>
        <w:t>increase</w:t>
      </w:r>
      <w:r w:rsidRPr="001F2335">
        <w:rPr>
          <w:rFonts w:ascii="Times New Roman" w:hAnsi="Times New Roman"/>
          <w:spacing w:val="-3"/>
        </w:rPr>
        <w:t xml:space="preserve"> in burden hours (from </w:t>
      </w:r>
      <w:r w:rsidR="00692F7B">
        <w:rPr>
          <w:rFonts w:ascii="Times New Roman" w:hAnsi="Times New Roman"/>
          <w:spacing w:val="-3"/>
        </w:rPr>
        <w:t>157,807</w:t>
      </w:r>
      <w:r w:rsidRPr="001F2335">
        <w:rPr>
          <w:rFonts w:ascii="Times New Roman" w:hAnsi="Times New Roman"/>
          <w:spacing w:val="-3"/>
        </w:rPr>
        <w:t xml:space="preserve"> hours to </w:t>
      </w:r>
      <w:r w:rsidR="00692F7B">
        <w:rPr>
          <w:rFonts w:ascii="Times New Roman" w:hAnsi="Times New Roman"/>
          <w:spacing w:val="-3"/>
        </w:rPr>
        <w:t>158,821</w:t>
      </w:r>
      <w:r w:rsidRPr="001F2335">
        <w:rPr>
          <w:rFonts w:ascii="Times New Roman" w:hAnsi="Times New Roman"/>
          <w:spacing w:val="-3"/>
        </w:rPr>
        <w:t xml:space="preserve"> hours) is the result of economic fluctuation.  </w:t>
      </w:r>
      <w:r w:rsidRPr="00821720" w:rsidR="00821720">
        <w:rPr>
          <w:rFonts w:ascii="Times New Roman" w:hAnsi="Times New Roman"/>
          <w:spacing w:val="-3"/>
        </w:rPr>
        <w:t>In particular</w:t>
      </w:r>
      <w:r w:rsidR="00692F7B">
        <w:rPr>
          <w:rFonts w:ascii="Times New Roman" w:hAnsi="Times New Roman"/>
          <w:spacing w:val="-3"/>
        </w:rPr>
        <w:t xml:space="preserve">, the number of respondents decreased and the number of responses increased (for third party disclosure) while the hours per response </w:t>
      </w:r>
      <w:r w:rsidRPr="00821720" w:rsidR="00821720">
        <w:rPr>
          <w:rFonts w:ascii="Times New Roman" w:hAnsi="Times New Roman"/>
          <w:spacing w:val="-3"/>
        </w:rPr>
        <w:t xml:space="preserve">remained the same.  </w:t>
      </w:r>
    </w:p>
    <w:p w:rsidR="00D5774D" w:rsidP="003548EB" w:rsidRDefault="00D5774D">
      <w:pPr>
        <w:widowControl/>
        <w:ind w:left="1440"/>
        <w:rPr>
          <w:rFonts w:ascii="Times New Roman" w:hAnsi="Times New Roman"/>
        </w:rPr>
      </w:pPr>
    </w:p>
    <w:p w:rsidR="00F146F1" w:rsidP="00F175D5" w:rsidRDefault="002423D4">
      <w:pPr>
        <w:widowControl/>
        <w:numPr>
          <w:ilvl w:val="0"/>
          <w:numId w:val="4"/>
        </w:numPr>
        <w:rPr>
          <w:rFonts w:ascii="Times New Roman" w:hAnsi="Times New Roman"/>
        </w:rPr>
      </w:pPr>
      <w:r w:rsidRPr="00366534">
        <w:rPr>
          <w:rFonts w:ascii="Times New Roman" w:hAnsi="Times New Roman"/>
          <w:u w:val="single"/>
        </w:rPr>
        <w:t>Information regarding collections whose results are planned to be published for statistical use:</w:t>
      </w:r>
    </w:p>
    <w:p w:rsidR="00F146F1" w:rsidRDefault="00F146F1">
      <w:pPr>
        <w:widowControl/>
        <w:rPr>
          <w:rFonts w:ascii="Times New Roman" w:hAnsi="Times New Roman"/>
        </w:rPr>
      </w:pPr>
    </w:p>
    <w:p w:rsidR="00820109" w:rsidP="00573F81" w:rsidRDefault="00573F81">
      <w:pPr>
        <w:widowControl/>
        <w:ind w:left="1296" w:firstLine="144"/>
        <w:rPr>
          <w:rFonts w:ascii="Times New Roman" w:hAnsi="Times New Roman"/>
        </w:rPr>
      </w:pPr>
      <w:r w:rsidRPr="00573F81">
        <w:rPr>
          <w:rFonts w:ascii="Times New Roman" w:hAnsi="Times New Roman"/>
        </w:rPr>
        <w:t>Th</w:t>
      </w:r>
      <w:r w:rsidR="00EC31FD">
        <w:rPr>
          <w:rFonts w:ascii="Times New Roman" w:hAnsi="Times New Roman"/>
        </w:rPr>
        <w:t>e</w:t>
      </w:r>
      <w:r w:rsidRPr="00573F81">
        <w:rPr>
          <w:rFonts w:ascii="Times New Roman" w:hAnsi="Times New Roman"/>
        </w:rPr>
        <w:t xml:space="preserve"> information contained in this collection is not published</w:t>
      </w:r>
      <w:r w:rsidR="00C856F6">
        <w:rPr>
          <w:rFonts w:ascii="Times New Roman" w:hAnsi="Times New Roman"/>
        </w:rPr>
        <w:t>.</w:t>
      </w:r>
    </w:p>
    <w:p w:rsidR="00820109" w:rsidRDefault="00820109">
      <w:pPr>
        <w:widowControl/>
        <w:rPr>
          <w:rFonts w:ascii="Times New Roman" w:hAnsi="Times New Roman"/>
        </w:rPr>
      </w:pPr>
    </w:p>
    <w:p w:rsidR="00F146F1" w:rsidP="00F175D5" w:rsidRDefault="00C856F6">
      <w:pPr>
        <w:widowControl/>
        <w:numPr>
          <w:ilvl w:val="0"/>
          <w:numId w:val="4"/>
        </w:numPr>
        <w:rPr>
          <w:rFonts w:ascii="Times New Roman" w:hAnsi="Times New Roman"/>
        </w:rPr>
      </w:pPr>
      <w:r w:rsidRPr="00366534">
        <w:rPr>
          <w:rFonts w:ascii="Times New Roman" w:hAnsi="Times New Roman"/>
          <w:u w:val="single"/>
        </w:rPr>
        <w:t>Exceptions to expiration date display</w:t>
      </w:r>
      <w:r>
        <w:rPr>
          <w:rFonts w:ascii="Times New Roman" w:hAnsi="Times New Roman"/>
          <w:u w:val="single"/>
        </w:rPr>
        <w:t>:</w:t>
      </w:r>
    </w:p>
    <w:p w:rsidR="00F146F1" w:rsidRDefault="00F146F1">
      <w:pPr>
        <w:widowControl/>
        <w:rPr>
          <w:rFonts w:ascii="Times New Roman" w:hAnsi="Times New Roman"/>
        </w:rPr>
      </w:pPr>
    </w:p>
    <w:p w:rsidRPr="008F47F2" w:rsidR="008F47F2" w:rsidP="008F47F2" w:rsidRDefault="008F47F2">
      <w:pPr>
        <w:widowControl/>
        <w:ind w:left="1296" w:firstLine="144"/>
        <w:rPr>
          <w:rFonts w:ascii="Times New Roman" w:hAnsi="Times New Roman"/>
        </w:rPr>
      </w:pPr>
      <w:r w:rsidRPr="008F47F2">
        <w:rPr>
          <w:rFonts w:ascii="Times New Roman" w:hAnsi="Times New Roman"/>
        </w:rPr>
        <w:t>This information collection is contained in a regulation.</w:t>
      </w:r>
    </w:p>
    <w:p w:rsidR="00EC31FD" w:rsidP="00820109" w:rsidRDefault="00EC31FD">
      <w:pPr>
        <w:widowControl/>
        <w:ind w:left="1296" w:firstLine="144"/>
        <w:rPr>
          <w:rFonts w:ascii="Times New Roman" w:hAnsi="Times New Roman"/>
        </w:rPr>
      </w:pPr>
    </w:p>
    <w:p w:rsidR="00F146F1" w:rsidP="00F175D5" w:rsidRDefault="00C856F6">
      <w:pPr>
        <w:widowControl/>
        <w:numPr>
          <w:ilvl w:val="0"/>
          <w:numId w:val="4"/>
        </w:numPr>
        <w:rPr>
          <w:rFonts w:ascii="Times New Roman" w:hAnsi="Times New Roman"/>
        </w:rPr>
      </w:pPr>
      <w:r>
        <w:rPr>
          <w:rFonts w:ascii="Times New Roman" w:hAnsi="Times New Roman"/>
          <w:u w:val="single"/>
        </w:rPr>
        <w:t>Exceptions to c</w:t>
      </w:r>
      <w:r w:rsidRPr="00366534">
        <w:rPr>
          <w:rFonts w:ascii="Times New Roman" w:hAnsi="Times New Roman"/>
          <w:u w:val="single"/>
        </w:rPr>
        <w:t>ertification</w:t>
      </w:r>
      <w:r>
        <w:rPr>
          <w:rFonts w:ascii="Times New Roman" w:hAnsi="Times New Roman"/>
          <w:u w:val="single"/>
        </w:rPr>
        <w:t>:</w:t>
      </w:r>
    </w:p>
    <w:p w:rsidR="00F146F1" w:rsidRDefault="00F146F1">
      <w:pPr>
        <w:widowControl/>
        <w:rPr>
          <w:rFonts w:ascii="Times New Roman" w:hAnsi="Times New Roman"/>
        </w:rPr>
      </w:pPr>
    </w:p>
    <w:p w:rsidR="00F146F1" w:rsidRDefault="00F146F1">
      <w:pPr>
        <w:widowControl/>
        <w:ind w:left="1296" w:firstLine="144"/>
        <w:rPr>
          <w:rFonts w:ascii="Times New Roman" w:hAnsi="Times New Roman"/>
        </w:rPr>
      </w:pPr>
      <w:r>
        <w:rPr>
          <w:rFonts w:ascii="Times New Roman" w:hAnsi="Times New Roman"/>
        </w:rPr>
        <w:t xml:space="preserve">None. </w:t>
      </w:r>
    </w:p>
    <w:p w:rsidR="00F146F1" w:rsidRDefault="00F146F1">
      <w:pPr>
        <w:pStyle w:val="Footer"/>
        <w:widowControl/>
        <w:tabs>
          <w:tab w:val="clear" w:pos="4320"/>
          <w:tab w:val="clear" w:pos="8640"/>
        </w:tabs>
        <w:rPr>
          <w:rFonts w:ascii="Times New Roman" w:hAnsi="Times New Roman"/>
        </w:rPr>
      </w:pPr>
    </w:p>
    <w:p w:rsidR="00F146F1" w:rsidP="0024672A" w:rsidRDefault="00F146F1">
      <w:pPr>
        <w:widowControl/>
        <w:numPr>
          <w:ilvl w:val="0"/>
          <w:numId w:val="2"/>
        </w:numPr>
        <w:rPr>
          <w:rFonts w:ascii="Times New Roman" w:hAnsi="Times New Roman"/>
        </w:rPr>
      </w:pPr>
      <w:r>
        <w:rPr>
          <w:rFonts w:ascii="Times New Roman" w:hAnsi="Times New Roman"/>
          <w:u w:val="single"/>
        </w:rPr>
        <w:t>STATISTICAL METHODS</w:t>
      </w:r>
    </w:p>
    <w:p w:rsidR="00F146F1" w:rsidRDefault="00F146F1">
      <w:pPr>
        <w:widowControl/>
        <w:rPr>
          <w:rFonts w:ascii="Times New Roman" w:hAnsi="Times New Roman"/>
        </w:rPr>
      </w:pPr>
    </w:p>
    <w:p w:rsidR="00F146F1" w:rsidRDefault="00C856F6">
      <w:pPr>
        <w:ind w:firstLine="720"/>
      </w:pPr>
      <w:r>
        <w:rPr>
          <w:rFonts w:ascii="Times New Roman" w:hAnsi="Times New Roman"/>
        </w:rPr>
        <w:t>Statistical methods are not employed in this collection.</w:t>
      </w:r>
    </w:p>
    <w:sectPr w:rsidR="00F146F1" w:rsidSect="00B91D2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A6D" w:rsidRDefault="00F43A6D" w:rsidP="00FE0498">
      <w:r>
        <w:separator/>
      </w:r>
    </w:p>
  </w:endnote>
  <w:endnote w:type="continuationSeparator" w:id="0">
    <w:p w:rsidR="00F43A6D" w:rsidRDefault="00F43A6D" w:rsidP="00FE0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3FB" w:rsidRDefault="00D46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B6E" w:rsidRPr="00AB4B6E" w:rsidRDefault="00AB4B6E">
    <w:pPr>
      <w:pStyle w:val="Footer"/>
      <w:jc w:val="center"/>
      <w:rPr>
        <w:rFonts w:ascii="Times New Roman" w:hAnsi="Times New Roman"/>
      </w:rPr>
    </w:pPr>
    <w:r w:rsidRPr="00AB4B6E">
      <w:rPr>
        <w:rFonts w:ascii="Times New Roman" w:hAnsi="Times New Roman"/>
      </w:rPr>
      <w:fldChar w:fldCharType="begin"/>
    </w:r>
    <w:r w:rsidRPr="00AB4B6E">
      <w:rPr>
        <w:rFonts w:ascii="Times New Roman" w:hAnsi="Times New Roman"/>
      </w:rPr>
      <w:instrText xml:space="preserve"> PAGE   \* MERGEFORMAT </w:instrText>
    </w:r>
    <w:r w:rsidRPr="00AB4B6E">
      <w:rPr>
        <w:rFonts w:ascii="Times New Roman" w:hAnsi="Times New Roman"/>
      </w:rPr>
      <w:fldChar w:fldCharType="separate"/>
    </w:r>
    <w:r w:rsidR="00F33E37">
      <w:rPr>
        <w:rFonts w:ascii="Times New Roman" w:hAnsi="Times New Roman"/>
        <w:noProof/>
      </w:rPr>
      <w:t>5</w:t>
    </w:r>
    <w:r w:rsidRPr="00AB4B6E">
      <w:rPr>
        <w:rFonts w:ascii="Times New Roman" w:hAnsi="Times New Roman"/>
        <w:noProof/>
      </w:rPr>
      <w:fldChar w:fldCharType="end"/>
    </w:r>
  </w:p>
  <w:p w:rsidR="00AB4B6E" w:rsidRDefault="00AB4B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3FB" w:rsidRDefault="00D46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A6D" w:rsidRDefault="00F43A6D" w:rsidP="00FE0498">
      <w:r>
        <w:separator/>
      </w:r>
    </w:p>
  </w:footnote>
  <w:footnote w:type="continuationSeparator" w:id="0">
    <w:p w:rsidR="00F43A6D" w:rsidRDefault="00F43A6D" w:rsidP="00FE0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3FB" w:rsidRDefault="00D46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3FB" w:rsidRDefault="00D463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3FB" w:rsidRDefault="00D46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523C"/>
    <w:multiLevelType w:val="hybridMultilevel"/>
    <w:tmpl w:val="6ED445DA"/>
    <w:lvl w:ilvl="0" w:tplc="AD0EA860">
      <w:start w:val="1"/>
      <w:numFmt w:val="decimal"/>
      <w:lvlText w:val="%1."/>
      <w:lvlJc w:val="left"/>
      <w:pPr>
        <w:ind w:left="1440" w:hanging="864"/>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15:restartNumberingAfterBreak="0">
    <w:nsid w:val="07EA3C54"/>
    <w:multiLevelType w:val="singleLevel"/>
    <w:tmpl w:val="4F782F56"/>
    <w:lvl w:ilvl="0">
      <w:start w:val="13"/>
      <w:numFmt w:val="decimal"/>
      <w:lvlText w:val="%1."/>
      <w:lvlJc w:val="left"/>
      <w:pPr>
        <w:tabs>
          <w:tab w:val="num" w:pos="1080"/>
        </w:tabs>
        <w:ind w:left="1080" w:hanging="600"/>
      </w:pPr>
      <w:rPr>
        <w:rFonts w:hint="default"/>
      </w:rPr>
    </w:lvl>
  </w:abstractNum>
  <w:abstractNum w:abstractNumId="2" w15:restartNumberingAfterBreak="0">
    <w:nsid w:val="24411919"/>
    <w:multiLevelType w:val="hybridMultilevel"/>
    <w:tmpl w:val="6E22AAEC"/>
    <w:lvl w:ilvl="0" w:tplc="AD0EA8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446CD4"/>
    <w:multiLevelType w:val="hybridMultilevel"/>
    <w:tmpl w:val="BA4A5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7436B8"/>
    <w:multiLevelType w:val="hybridMultilevel"/>
    <w:tmpl w:val="FD229DEA"/>
    <w:lvl w:ilvl="0" w:tplc="AA9485A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93A"/>
    <w:rsid w:val="000014B9"/>
    <w:rsid w:val="000305E9"/>
    <w:rsid w:val="00041792"/>
    <w:rsid w:val="000467FC"/>
    <w:rsid w:val="00091BEA"/>
    <w:rsid w:val="000B2466"/>
    <w:rsid w:val="000E621B"/>
    <w:rsid w:val="000F36F0"/>
    <w:rsid w:val="000F78A5"/>
    <w:rsid w:val="00133277"/>
    <w:rsid w:val="00145F58"/>
    <w:rsid w:val="0019296B"/>
    <w:rsid w:val="001B6E46"/>
    <w:rsid w:val="001C1315"/>
    <w:rsid w:val="001F2335"/>
    <w:rsid w:val="002259F8"/>
    <w:rsid w:val="002423D4"/>
    <w:rsid w:val="00244DE1"/>
    <w:rsid w:val="0024672A"/>
    <w:rsid w:val="00257FD9"/>
    <w:rsid w:val="00263676"/>
    <w:rsid w:val="00275749"/>
    <w:rsid w:val="002761FD"/>
    <w:rsid w:val="00280958"/>
    <w:rsid w:val="00293E01"/>
    <w:rsid w:val="002B69D8"/>
    <w:rsid w:val="002D08FA"/>
    <w:rsid w:val="002E7411"/>
    <w:rsid w:val="0030358E"/>
    <w:rsid w:val="003548EB"/>
    <w:rsid w:val="00360271"/>
    <w:rsid w:val="00397D8A"/>
    <w:rsid w:val="003B6611"/>
    <w:rsid w:val="00403156"/>
    <w:rsid w:val="004236C6"/>
    <w:rsid w:val="00440BFE"/>
    <w:rsid w:val="00450EA2"/>
    <w:rsid w:val="004610F8"/>
    <w:rsid w:val="004A1DB1"/>
    <w:rsid w:val="004A239A"/>
    <w:rsid w:val="004A735C"/>
    <w:rsid w:val="004A75C2"/>
    <w:rsid w:val="004D178A"/>
    <w:rsid w:val="004D39FB"/>
    <w:rsid w:val="00573F81"/>
    <w:rsid w:val="00577D56"/>
    <w:rsid w:val="00583579"/>
    <w:rsid w:val="005C3A95"/>
    <w:rsid w:val="005D7D11"/>
    <w:rsid w:val="00621A3B"/>
    <w:rsid w:val="00665011"/>
    <w:rsid w:val="00685D84"/>
    <w:rsid w:val="00692F7B"/>
    <w:rsid w:val="006C40EC"/>
    <w:rsid w:val="006D363B"/>
    <w:rsid w:val="006E7CE7"/>
    <w:rsid w:val="00712BA4"/>
    <w:rsid w:val="007A5DB9"/>
    <w:rsid w:val="007C18CB"/>
    <w:rsid w:val="007C7C88"/>
    <w:rsid w:val="007E19E5"/>
    <w:rsid w:val="00820109"/>
    <w:rsid w:val="00821720"/>
    <w:rsid w:val="0086148F"/>
    <w:rsid w:val="00864737"/>
    <w:rsid w:val="008D5746"/>
    <w:rsid w:val="008F47F2"/>
    <w:rsid w:val="00915517"/>
    <w:rsid w:val="009234BE"/>
    <w:rsid w:val="00940034"/>
    <w:rsid w:val="009533E6"/>
    <w:rsid w:val="00966D55"/>
    <w:rsid w:val="009A2D61"/>
    <w:rsid w:val="009B06DB"/>
    <w:rsid w:val="009D2562"/>
    <w:rsid w:val="00A07FF0"/>
    <w:rsid w:val="00A352C5"/>
    <w:rsid w:val="00A55F32"/>
    <w:rsid w:val="00A9693A"/>
    <w:rsid w:val="00AB4B6E"/>
    <w:rsid w:val="00AC65F4"/>
    <w:rsid w:val="00AC6C23"/>
    <w:rsid w:val="00AF457E"/>
    <w:rsid w:val="00B10980"/>
    <w:rsid w:val="00B37694"/>
    <w:rsid w:val="00B84F00"/>
    <w:rsid w:val="00B91D2F"/>
    <w:rsid w:val="00BD100A"/>
    <w:rsid w:val="00BE42C9"/>
    <w:rsid w:val="00BE7264"/>
    <w:rsid w:val="00C2127E"/>
    <w:rsid w:val="00C378BA"/>
    <w:rsid w:val="00C40A1A"/>
    <w:rsid w:val="00C47693"/>
    <w:rsid w:val="00C85089"/>
    <w:rsid w:val="00C856F6"/>
    <w:rsid w:val="00CC631A"/>
    <w:rsid w:val="00D07D24"/>
    <w:rsid w:val="00D463FB"/>
    <w:rsid w:val="00D5774D"/>
    <w:rsid w:val="00D61C76"/>
    <w:rsid w:val="00DB3B4B"/>
    <w:rsid w:val="00DE7B91"/>
    <w:rsid w:val="00DF6607"/>
    <w:rsid w:val="00E007AE"/>
    <w:rsid w:val="00E25D2F"/>
    <w:rsid w:val="00E57520"/>
    <w:rsid w:val="00E57EA2"/>
    <w:rsid w:val="00EC31FD"/>
    <w:rsid w:val="00ED4700"/>
    <w:rsid w:val="00EE7AE6"/>
    <w:rsid w:val="00EF4F6D"/>
    <w:rsid w:val="00F146F1"/>
    <w:rsid w:val="00F175D5"/>
    <w:rsid w:val="00F33E37"/>
    <w:rsid w:val="00F43A6D"/>
    <w:rsid w:val="00F611B1"/>
    <w:rsid w:val="00F64A3B"/>
    <w:rsid w:val="00F85608"/>
    <w:rsid w:val="00FA0B60"/>
    <w:rsid w:val="00FA4D5D"/>
    <w:rsid w:val="00FA5B95"/>
    <w:rsid w:val="00FD54B0"/>
    <w:rsid w:val="00FE0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320"/>
        <w:tab w:val="right" w:pos="8640"/>
      </w:tabs>
    </w:pPr>
  </w:style>
  <w:style w:type="character" w:styleId="Hyperlink">
    <w:name w:val="Hyperlink"/>
    <w:uiPriority w:val="99"/>
    <w:unhideWhenUsed/>
    <w:rsid w:val="00FE0498"/>
    <w:rPr>
      <w:color w:val="0000FF"/>
      <w:u w:val="single"/>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link w:val="FootnoteText"/>
    <w:uiPriority w:val="99"/>
    <w:locked/>
    <w:rsid w:val="00FE0498"/>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t,ALTS FOOTNOTE,Style 15"/>
    <w:basedOn w:val="Normal"/>
    <w:link w:val="FootnoteTextChar"/>
    <w:uiPriority w:val="99"/>
    <w:unhideWhenUsed/>
    <w:qFormat/>
    <w:rsid w:val="00FE0498"/>
    <w:pPr>
      <w:widowControl/>
    </w:pPr>
    <w:rPr>
      <w:rFonts w:ascii="Times New Roman" w:hAnsi="Times New Roman"/>
      <w:snapToGrid/>
      <w:sz w:val="20"/>
    </w:rPr>
  </w:style>
  <w:style w:type="character" w:customStyle="1" w:styleId="FootnoteTextChar1">
    <w:name w:val="Footnote Text Char1"/>
    <w:rsid w:val="00FE0498"/>
    <w:rPr>
      <w:rFonts w:ascii="Courier" w:hAnsi="Courier"/>
      <w:snapToGrid w:val="0"/>
    </w:rPr>
  </w:style>
  <w:style w:type="paragraph" w:customStyle="1" w:styleId="Default">
    <w:name w:val="Default"/>
    <w:rsid w:val="00FE0498"/>
    <w:pPr>
      <w:autoSpaceDE w:val="0"/>
      <w:autoSpaceDN w:val="0"/>
      <w:adjustRightInd w:val="0"/>
    </w:pPr>
    <w:rPr>
      <w:color w:val="000000"/>
      <w:sz w:val="24"/>
      <w:szCs w:val="24"/>
    </w:rPr>
  </w:style>
  <w:style w:type="character" w:styleId="FootnoteReference">
    <w:name w:val="footnote reference"/>
    <w:aliases w:val="fr,Style 19,Style 16,Style 39,Style 14,Style 35,12,Style 6,Footnote Reference Superscript,SUPERS,BVI fnr,Footnote symbol,Footnote,(Footnote Reference),Footnote reference number,note TESI,EN Footnote Reference,Voetnootverwijzing,Nota"/>
    <w:uiPriority w:val="99"/>
    <w:unhideWhenUsed/>
    <w:qFormat/>
    <w:rsid w:val="00FE0498"/>
    <w:rPr>
      <w:vertAlign w:val="superscript"/>
    </w:rPr>
  </w:style>
  <w:style w:type="character" w:styleId="FollowedHyperlink">
    <w:name w:val="FollowedHyperlink"/>
    <w:rsid w:val="000305E9"/>
    <w:rPr>
      <w:color w:val="800080"/>
      <w:u w:val="single"/>
    </w:rPr>
  </w:style>
  <w:style w:type="paragraph" w:styleId="BalloonText">
    <w:name w:val="Balloon Text"/>
    <w:basedOn w:val="Normal"/>
    <w:link w:val="BalloonTextChar"/>
    <w:rsid w:val="009533E6"/>
    <w:rPr>
      <w:rFonts w:ascii="Tahoma" w:hAnsi="Tahoma" w:cs="Tahoma"/>
      <w:sz w:val="16"/>
      <w:szCs w:val="16"/>
    </w:rPr>
  </w:style>
  <w:style w:type="character" w:customStyle="1" w:styleId="BalloonTextChar">
    <w:name w:val="Balloon Text Char"/>
    <w:link w:val="BalloonText"/>
    <w:rsid w:val="009533E6"/>
    <w:rPr>
      <w:rFonts w:ascii="Tahoma" w:hAnsi="Tahoma" w:cs="Tahoma"/>
      <w:snapToGrid w:val="0"/>
      <w:sz w:val="16"/>
      <w:szCs w:val="16"/>
    </w:rPr>
  </w:style>
  <w:style w:type="paragraph" w:styleId="Header">
    <w:name w:val="header"/>
    <w:basedOn w:val="Normal"/>
    <w:link w:val="HeaderChar"/>
    <w:rsid w:val="00AB4B6E"/>
    <w:pPr>
      <w:tabs>
        <w:tab w:val="center" w:pos="4680"/>
        <w:tab w:val="right" w:pos="9360"/>
      </w:tabs>
    </w:pPr>
  </w:style>
  <w:style w:type="character" w:customStyle="1" w:styleId="HeaderChar">
    <w:name w:val="Header Char"/>
    <w:link w:val="Header"/>
    <w:rsid w:val="00AB4B6E"/>
    <w:rPr>
      <w:rFonts w:ascii="Courier" w:hAnsi="Courier"/>
      <w:snapToGrid w:val="0"/>
      <w:sz w:val="24"/>
    </w:rPr>
  </w:style>
  <w:style w:type="character" w:customStyle="1" w:styleId="FooterChar">
    <w:name w:val="Footer Char"/>
    <w:link w:val="Footer"/>
    <w:uiPriority w:val="99"/>
    <w:rsid w:val="00AB4B6E"/>
    <w:rPr>
      <w:rFonts w:ascii="Courier" w:hAnsi="Courier"/>
      <w:snapToGrid w:val="0"/>
      <w:sz w:val="24"/>
    </w:rPr>
  </w:style>
  <w:style w:type="character" w:customStyle="1" w:styleId="normaltextrun">
    <w:name w:val="normaltextrun"/>
    <w:rsid w:val="009234BE"/>
  </w:style>
  <w:style w:type="character" w:customStyle="1" w:styleId="eop">
    <w:name w:val="eop"/>
    <w:rsid w:val="009234BE"/>
  </w:style>
  <w:style w:type="table" w:styleId="TableGrid">
    <w:name w:val="Table Grid"/>
    <w:basedOn w:val="TableNormal"/>
    <w:uiPriority w:val="39"/>
    <w:rsid w:val="00820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A4D5D"/>
  </w:style>
  <w:style w:type="table" w:customStyle="1" w:styleId="TableGrid1">
    <w:name w:val="Table Grid1"/>
    <w:basedOn w:val="TableNormal"/>
    <w:next w:val="TableGrid"/>
    <w:uiPriority w:val="39"/>
    <w:rsid w:val="007C18CB"/>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A75C2"/>
    <w:rPr>
      <w:sz w:val="16"/>
      <w:szCs w:val="16"/>
    </w:rPr>
  </w:style>
  <w:style w:type="paragraph" w:styleId="CommentText">
    <w:name w:val="annotation text"/>
    <w:basedOn w:val="Normal"/>
    <w:link w:val="CommentTextChar"/>
    <w:rsid w:val="004A75C2"/>
    <w:rPr>
      <w:sz w:val="20"/>
    </w:rPr>
  </w:style>
  <w:style w:type="character" w:customStyle="1" w:styleId="CommentTextChar">
    <w:name w:val="Comment Text Char"/>
    <w:link w:val="CommentText"/>
    <w:rsid w:val="004A75C2"/>
    <w:rPr>
      <w:rFonts w:ascii="Courier" w:hAnsi="Courier"/>
      <w:snapToGrid w:val="0"/>
    </w:rPr>
  </w:style>
  <w:style w:type="paragraph" w:styleId="CommentSubject">
    <w:name w:val="annotation subject"/>
    <w:basedOn w:val="CommentText"/>
    <w:next w:val="CommentText"/>
    <w:link w:val="CommentSubjectChar"/>
    <w:rsid w:val="004A75C2"/>
    <w:rPr>
      <w:b/>
      <w:bCs/>
    </w:rPr>
  </w:style>
  <w:style w:type="character" w:customStyle="1" w:styleId="CommentSubjectChar">
    <w:name w:val="Comment Subject Char"/>
    <w:link w:val="CommentSubject"/>
    <w:rsid w:val="004A75C2"/>
    <w:rPr>
      <w:rFonts w:ascii="Courier" w:hAnsi="Courier"/>
      <w:b/>
      <w:bCs/>
      <w:snapToGrid w:val="0"/>
    </w:rPr>
  </w:style>
  <w:style w:type="paragraph" w:styleId="Revision">
    <w:name w:val="Revision"/>
    <w:hidden/>
    <w:uiPriority w:val="99"/>
    <w:semiHidden/>
    <w:rsid w:val="004A75C2"/>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58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B3587-F229-4E6C-8EB0-9AC6C2272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2022-03-21T14:27:00Z</dcterms:created>
  <dcterms:modified xsi:type="dcterms:W3CDTF">2022-03-21T14:27:00Z</dcterms:modified>
</cp:coreProperties>
</file>