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238F" w:rsidR="00324E0A" w:rsidP="00324E0A" w:rsidRDefault="00324E0A" w14:paraId="6779CBE8" w14:textId="77777777">
      <w:pPr>
        <w:ind w:left="-360" w:right="-360"/>
        <w:jc w:val="center"/>
        <w:rPr>
          <w:bCs/>
        </w:rPr>
      </w:pPr>
      <w:r w:rsidRPr="003F238F">
        <w:rPr>
          <w:bCs/>
        </w:rPr>
        <w:t>National Credit Union Administration</w:t>
      </w:r>
    </w:p>
    <w:p w:rsidRPr="003F238F" w:rsidR="00324E0A" w:rsidP="00324E0A" w:rsidRDefault="00324E0A" w14:paraId="46907E50" w14:textId="77777777">
      <w:pPr>
        <w:ind w:left="-360" w:right="-360"/>
        <w:jc w:val="center"/>
        <w:rPr>
          <w:b/>
          <w:bCs/>
        </w:rPr>
      </w:pPr>
      <w:r w:rsidRPr="003F238F">
        <w:rPr>
          <w:b/>
          <w:bCs/>
        </w:rPr>
        <w:t>SUPPORTING STATEMENT</w:t>
      </w:r>
    </w:p>
    <w:p w:rsidRPr="003F238F" w:rsidR="00324E0A" w:rsidP="00324E0A" w:rsidRDefault="00324E0A" w14:paraId="1D837BCB" w14:textId="77777777">
      <w:pPr>
        <w:ind w:left="-360" w:right="-360"/>
        <w:jc w:val="center"/>
        <w:rPr>
          <w:b/>
          <w:bCs/>
        </w:rPr>
      </w:pPr>
    </w:p>
    <w:p w:rsidRPr="003F238F" w:rsidR="00324E0A" w:rsidP="00324E0A" w:rsidRDefault="0046080D" w14:paraId="155E89C9" w14:textId="3847C436">
      <w:pPr>
        <w:ind w:left="720" w:hanging="720"/>
        <w:jc w:val="center"/>
        <w:rPr>
          <w:bCs/>
        </w:rPr>
      </w:pPr>
      <w:r w:rsidRPr="003F238F">
        <w:rPr>
          <w:bCs/>
        </w:rPr>
        <w:t>Succession Planning, 12 CFR 701.4(e)</w:t>
      </w:r>
    </w:p>
    <w:p w:rsidRPr="003F238F" w:rsidR="003A0D60" w:rsidP="00DF3017" w:rsidRDefault="008D5990" w14:paraId="40A732D3" w14:textId="5B9C13D0">
      <w:pPr>
        <w:pStyle w:val="ListParagraph"/>
        <w:tabs>
          <w:tab w:val="num" w:pos="450"/>
        </w:tabs>
        <w:ind w:hanging="720"/>
        <w:jc w:val="center"/>
        <w:rPr>
          <w:bCs/>
        </w:rPr>
      </w:pPr>
      <w:r w:rsidRPr="003F238F">
        <w:rPr>
          <w:bCs/>
        </w:rPr>
        <w:t>OMB No. 3133-</w:t>
      </w:r>
      <w:r w:rsidRPr="003F238F" w:rsidR="0046080D">
        <w:rPr>
          <w:bCs/>
        </w:rPr>
        <w:t>NEW</w:t>
      </w:r>
    </w:p>
    <w:p w:rsidR="005E0C71" w:rsidP="00DF3017" w:rsidRDefault="005E0C71" w14:paraId="4A552EC2" w14:textId="3CAA5D68">
      <w:pPr>
        <w:pStyle w:val="ListParagraph"/>
        <w:ind w:hanging="720"/>
        <w:rPr>
          <w:bCs/>
        </w:rPr>
      </w:pPr>
    </w:p>
    <w:p w:rsidRPr="003F238F" w:rsidR="0038426C" w:rsidP="00DF3017" w:rsidRDefault="0038426C" w14:paraId="6ECE455B" w14:textId="77777777">
      <w:pPr>
        <w:pStyle w:val="ListParagraph"/>
        <w:ind w:hanging="720"/>
        <w:rPr>
          <w:bCs/>
        </w:rPr>
      </w:pPr>
    </w:p>
    <w:p w:rsidRPr="003F238F" w:rsidR="00F25B8F" w:rsidP="00F34CE7" w:rsidRDefault="00F25B8F" w14:paraId="06D7BC2F" w14:textId="28982186">
      <w:pPr>
        <w:autoSpaceDE w:val="0"/>
        <w:autoSpaceDN w:val="0"/>
        <w:adjustRightInd w:val="0"/>
      </w:pPr>
      <w:r w:rsidRPr="003F238F">
        <w:rPr>
          <w:i/>
          <w:u w:val="single"/>
        </w:rPr>
        <w:t xml:space="preserve">Summary of </w:t>
      </w:r>
      <w:r w:rsidRPr="003F238F" w:rsidR="007F16F7">
        <w:rPr>
          <w:i/>
          <w:u w:val="single"/>
        </w:rPr>
        <w:t xml:space="preserve">Proposed Rule </w:t>
      </w:r>
      <w:r w:rsidRPr="003F238F">
        <w:rPr>
          <w:i/>
          <w:u w:val="single"/>
        </w:rPr>
        <w:t>Action</w:t>
      </w:r>
      <w:r w:rsidRPr="003F238F">
        <w:t>:</w:t>
      </w:r>
    </w:p>
    <w:p w:rsidRPr="003F238F" w:rsidR="00E35985" w:rsidP="00F34CE7" w:rsidRDefault="00F34CE7" w14:paraId="570F3537" w14:textId="70209F6C">
      <w:pPr>
        <w:rPr>
          <w:bCs/>
        </w:rPr>
      </w:pPr>
      <w:r w:rsidRPr="003F238F">
        <w:rPr>
          <w:bCs/>
        </w:rPr>
        <w:t>T</w:t>
      </w:r>
      <w:r w:rsidRPr="003F238F" w:rsidR="00E35985">
        <w:rPr>
          <w:bCs/>
        </w:rPr>
        <w:t xml:space="preserve">he NCUA </w:t>
      </w:r>
      <w:r w:rsidRPr="003F238F">
        <w:rPr>
          <w:bCs/>
        </w:rPr>
        <w:t xml:space="preserve">proposes </w:t>
      </w:r>
      <w:r w:rsidRPr="003F238F" w:rsidR="00E35985">
        <w:rPr>
          <w:bCs/>
        </w:rPr>
        <w:t xml:space="preserve">that Federal Credit Union (FCU) boards of directors establish and adhere to processes for succession planning. The succession plans will help to ensure that the credit union has plans to fill key positions, such as officers of the board, management officials, executive committee members, </w:t>
      </w:r>
      <w:bookmarkStart w:name="_Hlk92899049" w:id="0"/>
      <w:r w:rsidRPr="003F238F" w:rsidR="00E35985">
        <w:rPr>
          <w:bCs/>
        </w:rPr>
        <w:t xml:space="preserve">supervisory committee members, and (where provided for in the bylaws) the members of the credit committee </w:t>
      </w:r>
      <w:bookmarkEnd w:id="0"/>
      <w:r w:rsidRPr="003F238F" w:rsidR="00E35985">
        <w:rPr>
          <w:bCs/>
        </w:rPr>
        <w:t>to provide continuity of operations. In addition, the proposed rule would require directors to be knowledgeable about the FCU’s succession plan.</w:t>
      </w:r>
      <w:r w:rsidRPr="003F238F" w:rsidR="00E35985">
        <w:t xml:space="preserve"> </w:t>
      </w:r>
      <w:r w:rsidRPr="003F238F" w:rsidR="00E35985">
        <w:rPr>
          <w:bCs/>
        </w:rPr>
        <w:t>Although the proposed rule would apply only to FCUs, the Board’s purpose is to encourage and strengthen succession planning for all credit unions. The proposed rule would provide FCUs with broad discretion in implementing the proposed regulatory requirements to minimize any burden.</w:t>
      </w:r>
    </w:p>
    <w:p w:rsidRPr="003F238F" w:rsidR="00F25B8F" w:rsidP="00DF3017" w:rsidRDefault="00F25B8F" w14:paraId="30888B1A" w14:textId="77777777">
      <w:pPr>
        <w:pStyle w:val="ListParagraph"/>
        <w:ind w:hanging="720"/>
        <w:rPr>
          <w:bCs/>
        </w:rPr>
      </w:pPr>
    </w:p>
    <w:p w:rsidRPr="003F238F" w:rsidR="00F25B8F" w:rsidP="00F34CE7" w:rsidRDefault="00F25B8F" w14:paraId="014D202B" w14:textId="77777777">
      <w:pPr>
        <w:pStyle w:val="ListParagraph"/>
        <w:ind w:hanging="720"/>
        <w:rPr>
          <w:bCs/>
        </w:rPr>
      </w:pPr>
    </w:p>
    <w:p w:rsidRPr="003F238F" w:rsidR="003A0D60" w:rsidP="00F34CE7" w:rsidRDefault="003A0D60" w14:paraId="135EE36F" w14:textId="77777777">
      <w:pPr>
        <w:pStyle w:val="ListParagraph"/>
        <w:numPr>
          <w:ilvl w:val="0"/>
          <w:numId w:val="2"/>
        </w:numPr>
        <w:ind w:left="720" w:hanging="720"/>
        <w:rPr>
          <w:b/>
        </w:rPr>
      </w:pPr>
      <w:r w:rsidRPr="003F238F">
        <w:rPr>
          <w:b/>
        </w:rPr>
        <w:t>JUSTIFICATION</w:t>
      </w:r>
    </w:p>
    <w:p w:rsidRPr="003F238F" w:rsidR="003A0D60" w:rsidP="00F34CE7" w:rsidRDefault="003A0D60" w14:paraId="3A47D664" w14:textId="77777777">
      <w:pPr>
        <w:pStyle w:val="ListParagraph"/>
        <w:ind w:hanging="720"/>
        <w:rPr>
          <w:b/>
        </w:rPr>
      </w:pPr>
    </w:p>
    <w:p w:rsidRPr="003F238F" w:rsidR="005E0C71" w:rsidP="00F34CE7" w:rsidRDefault="005E0C71" w14:paraId="5CA2534E" w14:textId="66229E0A">
      <w:pPr>
        <w:pStyle w:val="ListParagraph"/>
        <w:numPr>
          <w:ilvl w:val="0"/>
          <w:numId w:val="3"/>
        </w:numPr>
        <w:ind w:left="720" w:hanging="720"/>
        <w:rPr>
          <w:b/>
        </w:rPr>
      </w:pPr>
      <w:r w:rsidRPr="003F238F">
        <w:rPr>
          <w:b/>
        </w:rPr>
        <w:t>Circumstances that make the collection of information necessary</w:t>
      </w:r>
      <w:r w:rsidRPr="003F238F" w:rsidR="00B72217">
        <w:rPr>
          <w:b/>
        </w:rPr>
        <w:t>.</w:t>
      </w:r>
    </w:p>
    <w:p w:rsidRPr="003F238F" w:rsidR="007F16F7" w:rsidP="00F34CE7" w:rsidRDefault="007F16F7" w14:paraId="67E2BFCA" w14:textId="77777777">
      <w:pPr>
        <w:ind w:left="720"/>
        <w:rPr>
          <w:color w:val="000000"/>
          <w:lang w:val="en"/>
        </w:rPr>
      </w:pPr>
    </w:p>
    <w:p w:rsidRPr="003F238F" w:rsidR="0046080D" w:rsidP="00F34CE7" w:rsidRDefault="0046080D" w14:paraId="6460FCF0" w14:textId="31B1A468">
      <w:pPr>
        <w:ind w:left="720"/>
      </w:pPr>
      <w:r w:rsidRPr="003F238F">
        <w:rPr>
          <w:color w:val="000000"/>
          <w:lang w:val="en"/>
        </w:rPr>
        <w:t>Board members play a key role in a credit union’s</w:t>
      </w:r>
      <w:r w:rsidRPr="003F238F">
        <w:t xml:space="preserve"> </w:t>
      </w:r>
      <w:r w:rsidRPr="003F238F">
        <w:rPr>
          <w:color w:val="000000"/>
          <w:lang w:val="en"/>
        </w:rPr>
        <w:t xml:space="preserve">success. </w:t>
      </w:r>
      <w:r w:rsidRPr="003F238F">
        <w:t>The Federal Credit Union Act (FCU Act) vests the general direction and control of an FCU to its board.</w:t>
      </w:r>
      <w:r w:rsidRPr="003F238F">
        <w:rPr>
          <w:vertAlign w:val="superscript"/>
        </w:rPr>
        <w:footnoteReference w:id="1"/>
      </w:r>
      <w:r w:rsidRPr="003F238F">
        <w:t xml:space="preserve"> Credit union boards are faced with a multitude of complicated challenges, such as meeting evolving member needs, fostering employee loyalty and trust, retaining and developing necessary skills, and keeping pace with technological and industry changes. Among this list of issues, succession planning is one of the most critical.  </w:t>
      </w:r>
    </w:p>
    <w:p w:rsidRPr="003F238F" w:rsidR="0046080D" w:rsidP="00F34CE7" w:rsidRDefault="0046080D" w14:paraId="77D463D8" w14:textId="77777777">
      <w:pPr>
        <w:ind w:left="720"/>
      </w:pPr>
    </w:p>
    <w:p w:rsidRPr="003F238F" w:rsidR="0046080D" w:rsidP="00F34CE7" w:rsidRDefault="0046080D" w14:paraId="2A073B73" w14:textId="77777777">
      <w:pPr>
        <w:ind w:left="720"/>
      </w:pPr>
      <w:r w:rsidRPr="003F238F">
        <w:t xml:space="preserve">Succession planning is the process through which an organization helps identify, develop, and retain key personnel to ensure its viability and continued effective performance. It also allows an organization to prepare for the unexpected, including the sudden departure of key staff. Succession planning is recognized as vital to the success of any institution, including credit unions. One of the variables over which a credit union board has control is the hiring of the organization’s senior management. A board’s failure to plan for the transition of its management could potentially come with high costs, including the potential for the unplanned merger of the credit union upon the departure of key personnel. </w:t>
      </w:r>
    </w:p>
    <w:p w:rsidRPr="003F238F" w:rsidR="0046080D" w:rsidP="00F34CE7" w:rsidRDefault="0046080D" w14:paraId="7280667E" w14:textId="77777777">
      <w:pPr>
        <w:ind w:left="720"/>
      </w:pPr>
    </w:p>
    <w:p w:rsidRPr="003F238F" w:rsidR="0046080D" w:rsidP="00F34CE7" w:rsidRDefault="0046080D" w14:paraId="5B75ABC3" w14:textId="77777777">
      <w:pPr>
        <w:ind w:left="720"/>
      </w:pPr>
      <w:r w:rsidRPr="003F238F">
        <w:t xml:space="preserve">Succession planning is a critical component of a credit union’s overall strategic plan. It ensures that the appropriate personnel are available to execute the credit union’s strategic plan and mission. As noted, the goal of succession planning is to build and/or identify a pool of qualified individuals who can be recruited or selected to fill a vacancy in a key </w:t>
      </w:r>
      <w:r w:rsidRPr="003F238F">
        <w:lastRenderedPageBreak/>
        <w:t>position. To be successful, succession planning should be an ongoing and iterative process, not a one-time event.</w:t>
      </w:r>
    </w:p>
    <w:p w:rsidRPr="003F238F" w:rsidR="003808EA" w:rsidP="00F34CE7" w:rsidRDefault="003808EA" w14:paraId="0E477FC9" w14:textId="77777777">
      <w:pPr>
        <w:ind w:left="720"/>
      </w:pPr>
    </w:p>
    <w:p w:rsidRPr="003F238F" w:rsidR="0046080D" w:rsidP="00F34CE7" w:rsidRDefault="0046080D" w14:paraId="2ECC5343" w14:textId="67E7C7F1">
      <w:pPr>
        <w:ind w:left="720"/>
      </w:pPr>
      <w:r w:rsidRPr="003F238F">
        <w:t>Section 113 of the FCU Act provides that the board of directors shall have the general direction and control of the affairs of the FCU.</w:t>
      </w:r>
      <w:r w:rsidRPr="003F238F">
        <w:rPr>
          <w:rStyle w:val="FootnoteReference"/>
        </w:rPr>
        <w:footnoteReference w:id="2"/>
      </w:r>
      <w:r w:rsidRPr="003F238F">
        <w:t xml:space="preserve"> The board of directors must oversee the credit union’s operations to ensure the credit union operates in a safe and sound manner. For example, the board must be kept informed about the credit union’s operating environment, hire and retain competent management, and ensure that the credit union has a risk management structure and process suitable for the credit union’s size and activities. </w:t>
      </w:r>
    </w:p>
    <w:p w:rsidRPr="003F238F" w:rsidR="000A1985" w:rsidP="00DF3017" w:rsidRDefault="000A1985" w14:paraId="44B67ED3" w14:textId="52B154EA">
      <w:pPr>
        <w:pStyle w:val="ListParagraph"/>
        <w:suppressAutoHyphens/>
        <w:ind w:hanging="720"/>
      </w:pPr>
    </w:p>
    <w:p w:rsidRPr="003F238F" w:rsidR="00055FE5" w:rsidP="009371DF" w:rsidRDefault="00D214DB" w14:paraId="0FEAAEEB" w14:textId="5207BFBE">
      <w:pPr>
        <w:pStyle w:val="BodyTextIndent2"/>
        <w:spacing w:after="0" w:line="240" w:lineRule="auto"/>
        <w:ind w:left="0"/>
        <w:rPr>
          <w:b/>
        </w:rPr>
      </w:pPr>
      <w:r w:rsidRPr="003F238F">
        <w:rPr>
          <w:b/>
        </w:rPr>
        <w:t>2.</w:t>
      </w:r>
      <w:r w:rsidRPr="003F238F">
        <w:rPr>
          <w:b/>
        </w:rPr>
        <w:tab/>
      </w:r>
      <w:r w:rsidRPr="003F238F" w:rsidR="004C4F14">
        <w:rPr>
          <w:b/>
        </w:rPr>
        <w:t>Purpose and use of the information c</w:t>
      </w:r>
      <w:r w:rsidRPr="003F238F" w:rsidR="000A1328">
        <w:rPr>
          <w:b/>
        </w:rPr>
        <w:t>ollected</w:t>
      </w:r>
      <w:r w:rsidRPr="003F238F" w:rsidR="00625090">
        <w:rPr>
          <w:b/>
        </w:rPr>
        <w:t>.</w:t>
      </w:r>
    </w:p>
    <w:p w:rsidRPr="003F238F" w:rsidR="00D214DB" w:rsidP="000035A4" w:rsidRDefault="00D214DB" w14:paraId="0B00C85A" w14:textId="6D7C2EB6">
      <w:pPr>
        <w:ind w:left="720"/>
      </w:pPr>
    </w:p>
    <w:p w:rsidRPr="003F238F" w:rsidR="00AA329C" w:rsidP="000035A4" w:rsidRDefault="00CA1967" w14:paraId="5F5509B9" w14:textId="184CC69B">
      <w:pPr>
        <w:ind w:left="720"/>
        <w:rPr>
          <w:rFonts w:eastAsia="Calibri"/>
          <w:bCs/>
        </w:rPr>
      </w:pPr>
      <w:r w:rsidRPr="003F238F">
        <w:t xml:space="preserve">The proposed rule applies to all FCUs, irrespective of asset size. </w:t>
      </w:r>
      <w:r w:rsidRPr="003F238F" w:rsidR="000035A4">
        <w:t xml:space="preserve"> </w:t>
      </w:r>
      <w:r w:rsidRPr="003F238F">
        <w:t xml:space="preserve">The proposed rule would amend § 701.4, which sets forth the general duties and responsibilities of FCU directors. </w:t>
      </w:r>
      <w:r w:rsidRPr="003F238F" w:rsidR="000035A4">
        <w:t xml:space="preserve"> </w:t>
      </w:r>
      <w:r w:rsidRPr="003F238F">
        <w:t xml:space="preserve">The proposal would add a new paragraph (e) requiring that FCU directors must </w:t>
      </w:r>
      <w:r w:rsidRPr="003F238F">
        <w:rPr>
          <w:rFonts w:eastAsia="Calibri"/>
        </w:rPr>
        <w:t>establish and adhere to processes for succession planning for key positions</w:t>
      </w:r>
      <w:r w:rsidRPr="003F238F">
        <w:rPr>
          <w:rFonts w:eastAsia="Calibri"/>
          <w:bCs/>
        </w:rPr>
        <w:t xml:space="preserve">. </w:t>
      </w:r>
    </w:p>
    <w:p w:rsidRPr="003F238F" w:rsidR="00AA329C" w:rsidP="000035A4" w:rsidRDefault="00AA329C" w14:paraId="5ACCEA94" w14:textId="77777777">
      <w:pPr>
        <w:ind w:left="720"/>
        <w:rPr>
          <w:rFonts w:eastAsia="Calibri"/>
          <w:bCs/>
        </w:rPr>
      </w:pPr>
    </w:p>
    <w:p w:rsidRPr="003F238F" w:rsidR="00CA1967" w:rsidP="000035A4" w:rsidRDefault="00CA1967" w14:paraId="2FFF4F27" w14:textId="5C62F138">
      <w:pPr>
        <w:ind w:left="720"/>
        <w:rPr>
          <w:rFonts w:eastAsia="Calibri"/>
          <w:bCs/>
        </w:rPr>
      </w:pPr>
      <w:r w:rsidRPr="003F238F">
        <w:rPr>
          <w:rFonts w:eastAsia="Calibri"/>
          <w:bCs/>
        </w:rPr>
        <w:t>In specifying the officials covered by the succession plan, the Board has relied on the language of the FCU Act, which provides that “[t]he management of a Federal credit union shall be by a board of directors, a supervisory committee, and where the bylaws so provide, a credit committee.”</w:t>
      </w:r>
      <w:r w:rsidRPr="003F238F">
        <w:rPr>
          <w:rStyle w:val="FootnoteReference"/>
          <w:rFonts w:eastAsia="Calibri"/>
          <w:bCs/>
        </w:rPr>
        <w:footnoteReference w:id="3"/>
      </w:r>
      <w:r w:rsidRPr="003F238F">
        <w:rPr>
          <w:rFonts w:eastAsia="Calibri"/>
          <w:bCs/>
        </w:rPr>
        <w:t xml:space="preserve"> The FCU bylaws codified in Appendix A of 12 CFR part 701 expand the list of senior FCU executives to include the members of an executive committee and management officials.  </w:t>
      </w:r>
    </w:p>
    <w:p w:rsidRPr="003F238F" w:rsidR="00CA1967" w:rsidP="000035A4" w:rsidRDefault="00CA1967" w14:paraId="708C5AAA" w14:textId="77777777">
      <w:pPr>
        <w:ind w:left="720"/>
        <w:rPr>
          <w:rFonts w:eastAsia="Calibri"/>
          <w:bCs/>
        </w:rPr>
      </w:pPr>
    </w:p>
    <w:p w:rsidRPr="003F238F" w:rsidR="00CA1967" w:rsidP="000035A4" w:rsidRDefault="00CA1967" w14:paraId="537F213F" w14:textId="77777777">
      <w:pPr>
        <w:ind w:left="720"/>
        <w:rPr>
          <w:rFonts w:eastAsia="Calibri"/>
        </w:rPr>
      </w:pPr>
      <w:r w:rsidRPr="003F238F">
        <w:rPr>
          <w:rFonts w:eastAsia="Calibri"/>
        </w:rPr>
        <w:t xml:space="preserve">The board of directors or an appropriate committee of the board would be required to review and approve a written succession plan regarding the specified FCU executives and officials. </w:t>
      </w:r>
      <w:r w:rsidRPr="003F238F">
        <w:t>The succession plan must, at a minimum, identify the credit union’s key positions, necessary competencies and skill sets for those positions, and strategies to identify alternatives to fill vacancies. The board of directors must review the succession plan in accordance with a schedule established by the board, but no less than annually.</w:t>
      </w:r>
      <w:r w:rsidRPr="003F238F">
        <w:rPr>
          <w:rFonts w:eastAsia="Calibri"/>
        </w:rPr>
        <w:t xml:space="preserve"> </w:t>
      </w:r>
    </w:p>
    <w:p w:rsidRPr="003F238F" w:rsidR="00CA1967" w:rsidP="00CA1967" w:rsidRDefault="00CA1967" w14:paraId="4F2B4088" w14:textId="77777777">
      <w:pPr>
        <w:rPr>
          <w:rFonts w:eastAsia="Calibri"/>
        </w:rPr>
      </w:pPr>
    </w:p>
    <w:p w:rsidRPr="003F238F" w:rsidR="003A0D60" w:rsidP="009371DF" w:rsidRDefault="009371DF" w14:paraId="13FE8AE7" w14:textId="7F5786DE">
      <w:pPr>
        <w:rPr>
          <w:b/>
        </w:rPr>
      </w:pPr>
      <w:r w:rsidRPr="003F238F">
        <w:rPr>
          <w:b/>
        </w:rPr>
        <w:t>3.</w:t>
      </w:r>
      <w:r w:rsidRPr="003F238F">
        <w:rPr>
          <w:b/>
        </w:rPr>
        <w:tab/>
      </w:r>
      <w:r w:rsidRPr="003F238F" w:rsidR="00822F5E">
        <w:rPr>
          <w:b/>
        </w:rPr>
        <w:t>Use of</w:t>
      </w:r>
      <w:r w:rsidRPr="003F238F" w:rsidR="004C4F14">
        <w:rPr>
          <w:b/>
        </w:rPr>
        <w:t xml:space="preserve"> information t</w:t>
      </w:r>
      <w:r w:rsidRPr="003F238F" w:rsidR="003A0D60">
        <w:rPr>
          <w:b/>
        </w:rPr>
        <w:t>echnology</w:t>
      </w:r>
      <w:r w:rsidRPr="003F238F" w:rsidR="00B72217">
        <w:rPr>
          <w:b/>
        </w:rPr>
        <w:t>.</w:t>
      </w:r>
    </w:p>
    <w:p w:rsidRPr="003F238F" w:rsidR="009371DF" w:rsidP="009371DF" w:rsidRDefault="009371DF" w14:paraId="532C37EE" w14:textId="77777777">
      <w:pPr>
        <w:rPr>
          <w:b/>
        </w:rPr>
      </w:pPr>
    </w:p>
    <w:p w:rsidRPr="003F238F" w:rsidR="00F100ED" w:rsidP="00DF3017" w:rsidRDefault="00DF3017" w14:paraId="533545F7" w14:textId="782508EF">
      <w:pPr>
        <w:pStyle w:val="BodyText"/>
        <w:ind w:left="720" w:hanging="720"/>
        <w:rPr>
          <w:rFonts w:ascii="Times New Roman" w:hAnsi="Times New Roman"/>
        </w:rPr>
      </w:pPr>
      <w:r w:rsidRPr="003F238F">
        <w:rPr>
          <w:rFonts w:ascii="Times New Roman" w:hAnsi="Times New Roman"/>
        </w:rPr>
        <w:tab/>
      </w:r>
      <w:r w:rsidRPr="003F238F" w:rsidR="004857DD">
        <w:rPr>
          <w:rFonts w:ascii="Times New Roman" w:hAnsi="Times New Roman"/>
        </w:rPr>
        <w:t xml:space="preserve">This is a recordkeeping requirement. </w:t>
      </w:r>
      <w:r w:rsidRPr="003F238F" w:rsidR="001D0BD0">
        <w:rPr>
          <w:rFonts w:ascii="Times New Roman" w:hAnsi="Times New Roman"/>
        </w:rPr>
        <w:t>Federal credit Unions</w:t>
      </w:r>
      <w:r w:rsidRPr="003F238F" w:rsidR="00F100ED">
        <w:rPr>
          <w:rFonts w:ascii="Times New Roman" w:hAnsi="Times New Roman"/>
        </w:rPr>
        <w:t xml:space="preserve"> may use any available information technology to satisfy the information collection requirements.  NCUA encourages the use of electronic information as it simplifies the data collection process and improves the accuracy and timeliness of the data.</w:t>
      </w:r>
    </w:p>
    <w:p w:rsidRPr="003F238F" w:rsidR="003A0D60" w:rsidP="00DF3017" w:rsidRDefault="003A0D60" w14:paraId="15DDDD91" w14:textId="77777777">
      <w:pPr>
        <w:ind w:left="720" w:hanging="720"/>
      </w:pPr>
    </w:p>
    <w:p w:rsidRPr="003F238F" w:rsidR="003A0D60" w:rsidP="009371DF" w:rsidRDefault="009371DF" w14:paraId="7B89B008" w14:textId="2D33393C">
      <w:pPr>
        <w:rPr>
          <w:b/>
        </w:rPr>
      </w:pPr>
      <w:r w:rsidRPr="003F238F">
        <w:rPr>
          <w:b/>
        </w:rPr>
        <w:t>4.</w:t>
      </w:r>
      <w:r w:rsidRPr="003F238F">
        <w:rPr>
          <w:b/>
        </w:rPr>
        <w:tab/>
      </w:r>
      <w:r w:rsidRPr="003F238F" w:rsidR="003A0D60">
        <w:rPr>
          <w:b/>
        </w:rPr>
        <w:t xml:space="preserve">Duplication </w:t>
      </w:r>
      <w:r w:rsidRPr="003F238F" w:rsidR="004C4F14">
        <w:rPr>
          <w:b/>
        </w:rPr>
        <w:t>of i</w:t>
      </w:r>
      <w:r w:rsidRPr="003F238F" w:rsidR="00822F5E">
        <w:rPr>
          <w:b/>
        </w:rPr>
        <w:t>nformation</w:t>
      </w:r>
      <w:r w:rsidRPr="003F238F" w:rsidR="00B72217">
        <w:rPr>
          <w:b/>
        </w:rPr>
        <w:t>.</w:t>
      </w:r>
    </w:p>
    <w:p w:rsidRPr="003F238F" w:rsidR="009371DF" w:rsidP="009371DF" w:rsidRDefault="009371DF" w14:paraId="65DCFB0A" w14:textId="77777777">
      <w:pPr>
        <w:rPr>
          <w:b/>
        </w:rPr>
      </w:pPr>
    </w:p>
    <w:p w:rsidRPr="003F238F" w:rsidR="008D5990" w:rsidP="00B72217" w:rsidRDefault="00DF3017" w14:paraId="6C331120" w14:textId="2E6EBFEB">
      <w:pPr>
        <w:ind w:left="720" w:hanging="720"/>
      </w:pPr>
      <w:r w:rsidRPr="003F238F">
        <w:tab/>
      </w:r>
      <w:r w:rsidRPr="003F238F" w:rsidR="008D5990">
        <w:t>This collection of information is unique to each F</w:t>
      </w:r>
      <w:r w:rsidRPr="003F238F" w:rsidR="00F07D1D">
        <w:t>I</w:t>
      </w:r>
      <w:r w:rsidRPr="003F238F" w:rsidR="008D5990">
        <w:t xml:space="preserve">CU and is not duplicated.  </w:t>
      </w:r>
    </w:p>
    <w:p w:rsidRPr="003F238F" w:rsidR="003A0D60" w:rsidP="00DF3017" w:rsidRDefault="003A0D60" w14:paraId="7E24D9F4" w14:textId="77777777">
      <w:pPr>
        <w:pStyle w:val="ListParagraph"/>
        <w:tabs>
          <w:tab w:val="left" w:pos="-720"/>
          <w:tab w:val="left" w:pos="286"/>
          <w:tab w:val="left" w:pos="403"/>
        </w:tabs>
        <w:suppressAutoHyphens/>
        <w:ind w:hanging="720"/>
      </w:pPr>
    </w:p>
    <w:p w:rsidR="0038426C" w:rsidRDefault="0038426C" w14:paraId="29EFB621" w14:textId="77777777">
      <w:pPr>
        <w:spacing w:after="200" w:line="276" w:lineRule="auto"/>
        <w:rPr>
          <w:b/>
        </w:rPr>
      </w:pPr>
      <w:r>
        <w:rPr>
          <w:b/>
        </w:rPr>
        <w:br w:type="page"/>
      </w:r>
    </w:p>
    <w:p w:rsidRPr="003F238F" w:rsidR="003A0D60" w:rsidP="00625090" w:rsidRDefault="00625090" w14:paraId="66CA640B" w14:textId="7A47A772">
      <w:pPr>
        <w:rPr>
          <w:b/>
        </w:rPr>
      </w:pPr>
      <w:r w:rsidRPr="003F238F">
        <w:rPr>
          <w:b/>
        </w:rPr>
        <w:lastRenderedPageBreak/>
        <w:t>5.</w:t>
      </w:r>
      <w:r w:rsidRPr="003F238F">
        <w:rPr>
          <w:b/>
        </w:rPr>
        <w:tab/>
      </w:r>
      <w:r w:rsidRPr="003F238F" w:rsidR="003A0D60">
        <w:rPr>
          <w:b/>
        </w:rPr>
        <w:t>Eff</w:t>
      </w:r>
      <w:r w:rsidRPr="003F238F" w:rsidR="004C4F14">
        <w:rPr>
          <w:b/>
        </w:rPr>
        <w:t>orts to reduce b</w:t>
      </w:r>
      <w:r w:rsidRPr="003F238F" w:rsidR="00822F5E">
        <w:rPr>
          <w:b/>
        </w:rPr>
        <w:t>ur</w:t>
      </w:r>
      <w:r w:rsidRPr="003F238F">
        <w:rPr>
          <w:b/>
        </w:rPr>
        <w:t xml:space="preserve">den </w:t>
      </w:r>
      <w:r w:rsidRPr="003F238F" w:rsidR="004C4F14">
        <w:rPr>
          <w:b/>
        </w:rPr>
        <w:t>on small e</w:t>
      </w:r>
      <w:r w:rsidRPr="003F238F" w:rsidR="003A0D60">
        <w:rPr>
          <w:b/>
        </w:rPr>
        <w:t>ntities</w:t>
      </w:r>
      <w:r w:rsidRPr="003F238F" w:rsidR="00B72217">
        <w:rPr>
          <w:b/>
        </w:rPr>
        <w:t>.</w:t>
      </w:r>
    </w:p>
    <w:p w:rsidRPr="003F238F" w:rsidR="00625090" w:rsidP="00625090" w:rsidRDefault="00625090" w14:paraId="3EF2613E" w14:textId="77777777">
      <w:pPr>
        <w:rPr>
          <w:b/>
        </w:rPr>
      </w:pPr>
    </w:p>
    <w:p w:rsidRPr="003F238F" w:rsidR="008D5990" w:rsidP="00DF3017" w:rsidRDefault="00DF3017" w14:paraId="7D6CE451" w14:textId="0861583E">
      <w:pPr>
        <w:pStyle w:val="BodyText"/>
        <w:ind w:left="720" w:hanging="720"/>
        <w:rPr>
          <w:rFonts w:ascii="Times New Roman" w:hAnsi="Times New Roman"/>
        </w:rPr>
      </w:pPr>
      <w:r w:rsidRPr="003F238F">
        <w:rPr>
          <w:rFonts w:ascii="Times New Roman" w:hAnsi="Times New Roman"/>
        </w:rPr>
        <w:tab/>
      </w:r>
      <w:r w:rsidRPr="003F238F" w:rsidR="000035A4">
        <w:rPr>
          <w:rFonts w:ascii="Times New Roman" w:hAnsi="Times New Roman"/>
        </w:rPr>
        <w:t xml:space="preserve">The </w:t>
      </w:r>
      <w:r w:rsidRPr="003F238F" w:rsidR="004B0289">
        <w:rPr>
          <w:rFonts w:ascii="Times New Roman" w:hAnsi="Times New Roman"/>
        </w:rPr>
        <w:t>recordkeeping requirements</w:t>
      </w:r>
      <w:r w:rsidRPr="003F238F" w:rsidR="000035A4">
        <w:rPr>
          <w:rFonts w:ascii="Times New Roman" w:hAnsi="Times New Roman"/>
        </w:rPr>
        <w:t xml:space="preserve"> applies to all FCUs, irrespective of asset size. </w:t>
      </w:r>
      <w:r w:rsidRPr="003F238F" w:rsidR="004B0289">
        <w:rPr>
          <w:rFonts w:ascii="Times New Roman" w:hAnsi="Times New Roman"/>
        </w:rPr>
        <w:t xml:space="preserve"> </w:t>
      </w:r>
    </w:p>
    <w:p w:rsidRPr="003F238F" w:rsidR="003A0D60" w:rsidP="00DF3017" w:rsidRDefault="003A0D60"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3F238F" w:rsidR="003A0D60" w:rsidP="00625090" w:rsidRDefault="00625090" w14:paraId="27D8DDFF" w14:textId="5342B25D">
      <w:pPr>
        <w:rPr>
          <w:b/>
        </w:rPr>
      </w:pPr>
      <w:r w:rsidRPr="003F238F">
        <w:rPr>
          <w:b/>
        </w:rPr>
        <w:t>6.</w:t>
      </w:r>
      <w:r w:rsidRPr="003F238F">
        <w:rPr>
          <w:b/>
        </w:rPr>
        <w:tab/>
      </w:r>
      <w:r w:rsidRPr="003F238F" w:rsidR="004C4F14">
        <w:rPr>
          <w:b/>
        </w:rPr>
        <w:t xml:space="preserve">Consequences of not conducting </w:t>
      </w:r>
      <w:r w:rsidRPr="003F238F" w:rsidR="00C672C9">
        <w:rPr>
          <w:b/>
        </w:rPr>
        <w:t xml:space="preserve">the </w:t>
      </w:r>
      <w:r w:rsidRPr="003F238F" w:rsidR="004C4F14">
        <w:rPr>
          <w:b/>
        </w:rPr>
        <w:t>c</w:t>
      </w:r>
      <w:r w:rsidRPr="003F238F" w:rsidR="003A0D60">
        <w:rPr>
          <w:b/>
        </w:rPr>
        <w:t>ollection</w:t>
      </w:r>
      <w:r w:rsidRPr="003F238F" w:rsidR="00B72217">
        <w:rPr>
          <w:b/>
        </w:rPr>
        <w:t>.</w:t>
      </w:r>
      <w:r w:rsidRPr="003F238F" w:rsidR="003A0D60">
        <w:rPr>
          <w:b/>
        </w:rPr>
        <w:t xml:space="preserve"> </w:t>
      </w:r>
    </w:p>
    <w:p w:rsidRPr="003F238F" w:rsidR="00625090" w:rsidP="00625090" w:rsidRDefault="00625090" w14:paraId="14C4F58E" w14:textId="487B8D52">
      <w:pPr>
        <w:rPr>
          <w:bCs/>
        </w:rPr>
      </w:pPr>
    </w:p>
    <w:p w:rsidRPr="003F238F" w:rsidR="00367CF4" w:rsidP="00367CF4" w:rsidRDefault="00367CF4" w14:paraId="1D64DE11" w14:textId="19830AD5">
      <w:pPr>
        <w:ind w:left="720"/>
      </w:pPr>
      <w:r w:rsidRPr="003F238F">
        <w:t xml:space="preserve">Succession planning is recognized as vital to the success of any institution, including credit unions. One of the variables over which a credit union board has control is the hiring of the organization’s senior management. </w:t>
      </w:r>
      <w:r w:rsidRPr="003F238F" w:rsidR="004B0289">
        <w:t xml:space="preserve"> </w:t>
      </w:r>
      <w:r w:rsidRPr="003F238F">
        <w:t xml:space="preserve">A board’s failure to plan for the transition of its management could potentially come with high costs, including the potential for the unplanned merger of the credit union upon the departure of key personnel. </w:t>
      </w:r>
    </w:p>
    <w:p w:rsidRPr="003F238F" w:rsidR="003A0D60" w:rsidP="00DF3017" w:rsidRDefault="003A0D60" w14:paraId="53EE435E" w14:textId="77777777">
      <w:pPr>
        <w:ind w:left="720" w:hanging="720"/>
      </w:pPr>
    </w:p>
    <w:p w:rsidRPr="003F238F" w:rsidR="003A0D60" w:rsidP="00625090" w:rsidRDefault="00625090" w14:paraId="769B59F1" w14:textId="28F56343">
      <w:pPr>
        <w:rPr>
          <w:b/>
        </w:rPr>
      </w:pPr>
      <w:r w:rsidRPr="003F238F">
        <w:rPr>
          <w:b/>
        </w:rPr>
        <w:t>7.</w:t>
      </w:r>
      <w:r w:rsidRPr="003F238F">
        <w:rPr>
          <w:b/>
        </w:rPr>
        <w:tab/>
      </w:r>
      <w:r w:rsidRPr="003F238F" w:rsidR="004C4F14">
        <w:rPr>
          <w:b/>
        </w:rPr>
        <w:t>Inconsistencies with g</w:t>
      </w:r>
      <w:r w:rsidRPr="003F238F" w:rsidR="003A0D60">
        <w:rPr>
          <w:b/>
        </w:rPr>
        <w:t>uidelines in 5 CFR 1320.5(d)(2)</w:t>
      </w:r>
      <w:r w:rsidRPr="003F238F" w:rsidR="004C4F14">
        <w:rPr>
          <w:b/>
        </w:rPr>
        <w:t>.</w:t>
      </w:r>
    </w:p>
    <w:p w:rsidRPr="003F238F" w:rsidR="00625090" w:rsidP="00625090" w:rsidRDefault="00625090" w14:paraId="326A123C" w14:textId="77777777">
      <w:pPr>
        <w:rPr>
          <w:bCs/>
        </w:rPr>
      </w:pPr>
    </w:p>
    <w:p w:rsidRPr="003F238F" w:rsidR="003A0D60" w:rsidP="00DF3017" w:rsidRDefault="00DF3017" w14:paraId="40D668DD" w14:textId="66ED657E">
      <w:pPr>
        <w:pStyle w:val="ListParagraph"/>
        <w:ind w:hanging="720"/>
      </w:pPr>
      <w:r w:rsidRPr="003F238F">
        <w:tab/>
      </w:r>
      <w:r w:rsidRPr="003F238F" w:rsidR="003A0D60">
        <w:t xml:space="preserve">There are no special circumstances. </w:t>
      </w:r>
      <w:r w:rsidRPr="003F238F" w:rsidR="001C7BEE">
        <w:t xml:space="preserve"> </w:t>
      </w:r>
      <w:r w:rsidRPr="003F238F" w:rsidR="003A0D60">
        <w:t xml:space="preserve">This collection is consistent with the guidelines in 5 CFR </w:t>
      </w:r>
      <w:r w:rsidRPr="003F238F" w:rsidR="008D5990">
        <w:t>1320.5(d)(2).</w:t>
      </w:r>
    </w:p>
    <w:p w:rsidRPr="003F238F" w:rsidR="003A0D60" w:rsidP="00DF3017" w:rsidRDefault="003A0D60" w14:paraId="7C81B8ED" w14:textId="77777777">
      <w:pPr>
        <w:ind w:left="720" w:hanging="720"/>
      </w:pPr>
    </w:p>
    <w:p w:rsidRPr="003F238F" w:rsidR="003A0D60" w:rsidP="00625090" w:rsidRDefault="00625090" w14:paraId="17A069B7" w14:textId="4E74CE61">
      <w:pPr>
        <w:rPr>
          <w:b/>
        </w:rPr>
      </w:pPr>
      <w:r w:rsidRPr="003F238F">
        <w:rPr>
          <w:b/>
        </w:rPr>
        <w:t>8.</w:t>
      </w:r>
      <w:r w:rsidRPr="003F238F">
        <w:rPr>
          <w:b/>
        </w:rPr>
        <w:tab/>
      </w:r>
      <w:bookmarkStart w:name="_Hlk80713024" w:id="1"/>
      <w:r w:rsidRPr="003F238F" w:rsidR="004C4F14">
        <w:rPr>
          <w:b/>
        </w:rPr>
        <w:t>Efforts to c</w:t>
      </w:r>
      <w:r w:rsidRPr="003F238F" w:rsidR="00DD04A3">
        <w:rPr>
          <w:b/>
        </w:rPr>
        <w:t>onsult</w:t>
      </w:r>
      <w:r w:rsidRPr="003F238F" w:rsidR="003A0D60">
        <w:rPr>
          <w:b/>
        </w:rPr>
        <w:t xml:space="preserve"> </w:t>
      </w:r>
      <w:r w:rsidRPr="003F238F" w:rsidR="004C4F14">
        <w:rPr>
          <w:b/>
        </w:rPr>
        <w:t>with p</w:t>
      </w:r>
      <w:r w:rsidRPr="003F238F" w:rsidR="00822F5E">
        <w:rPr>
          <w:b/>
        </w:rPr>
        <w:t xml:space="preserve">ersons </w:t>
      </w:r>
      <w:r w:rsidRPr="003F238F" w:rsidR="004C4F14">
        <w:rPr>
          <w:b/>
        </w:rPr>
        <w:t>outside the a</w:t>
      </w:r>
      <w:r w:rsidRPr="003F238F" w:rsidR="003A0D60">
        <w:rPr>
          <w:b/>
        </w:rPr>
        <w:t>gency</w:t>
      </w:r>
      <w:r w:rsidRPr="003F238F" w:rsidR="004C4F14">
        <w:rPr>
          <w:b/>
        </w:rPr>
        <w:t>.</w:t>
      </w:r>
      <w:bookmarkEnd w:id="1"/>
    </w:p>
    <w:p w:rsidRPr="003F238F" w:rsidR="003216BC" w:rsidP="00DF3017" w:rsidRDefault="003216BC" w14:paraId="0AB3F07C" w14:textId="77777777">
      <w:pPr>
        <w:ind w:left="720" w:hanging="720"/>
      </w:pPr>
    </w:p>
    <w:p w:rsidRPr="003F238F" w:rsidR="00042EC6" w:rsidP="00297A2B" w:rsidRDefault="00042EC6" w14:paraId="70EBE8E4" w14:textId="2D79454C">
      <w:pPr>
        <w:ind w:left="720" w:hanging="720"/>
      </w:pPr>
      <w:r w:rsidRPr="003F238F">
        <w:tab/>
      </w:r>
      <w:bookmarkStart w:name="_Hlk57907486" w:id="2"/>
      <w:r w:rsidRPr="00107E24" w:rsidR="00297A2B">
        <w:t xml:space="preserve">The NCUA published the proposed rule at </w:t>
      </w:r>
      <w:r w:rsidRPr="00107E24" w:rsidR="00107E24">
        <w:t>87 FR 6078,</w:t>
      </w:r>
      <w:r w:rsidRPr="00107E24" w:rsidR="00297A2B">
        <w:t xml:space="preserve"> on </w:t>
      </w:r>
      <w:r w:rsidRPr="00107E24" w:rsidR="00107E24">
        <w:t>February 3, 2022</w:t>
      </w:r>
      <w:r w:rsidRPr="00107E24" w:rsidR="00297A2B">
        <w:t xml:space="preserve"> (FR Doc. </w:t>
      </w:r>
      <w:r w:rsidRPr="00107E24" w:rsidR="00107E24">
        <w:t>2022-02038</w:t>
      </w:r>
      <w:r w:rsidRPr="00107E24" w:rsidR="00297A2B">
        <w:t xml:space="preserve">.  </w:t>
      </w:r>
      <w:r w:rsidRPr="003F238F">
        <w:t xml:space="preserve">A Paperwork Reduction Act (PRA) notice was published </w:t>
      </w:r>
      <w:r w:rsidRPr="003F238F" w:rsidR="00297A2B">
        <w:t>was published separately on</w:t>
      </w:r>
      <w:r w:rsidR="00AD4DA0">
        <w:t xml:space="preserve"> February 9, 2022</w:t>
      </w:r>
      <w:r w:rsidRPr="003F238F">
        <w:t xml:space="preserve">, at </w:t>
      </w:r>
      <w:r w:rsidR="00AD4DA0">
        <w:t>87 FR 7502</w:t>
      </w:r>
      <w:bookmarkStart w:name="_GoBack" w:id="3"/>
      <w:bookmarkEnd w:id="3"/>
      <w:r w:rsidRPr="003F238F">
        <w:t>, providing an opportunity for the public to comment on the information collection requirements prescribed by this rule.  Comments will be summarized and addressed in the PRA submission associated with the final rulemaking.</w:t>
      </w:r>
      <w:bookmarkEnd w:id="2"/>
    </w:p>
    <w:p w:rsidRPr="003F238F" w:rsidR="00297A2B" w:rsidP="00042EC6" w:rsidRDefault="00297A2B" w14:paraId="6EAB0DD4" w14:textId="77777777">
      <w:pPr>
        <w:ind w:left="720" w:hanging="720"/>
      </w:pPr>
    </w:p>
    <w:p w:rsidRPr="003F238F" w:rsidR="003A0D60" w:rsidP="00625090" w:rsidRDefault="00625090" w14:paraId="6ECB192E" w14:textId="6C24A93D">
      <w:pPr>
        <w:rPr>
          <w:b/>
        </w:rPr>
      </w:pPr>
      <w:r w:rsidRPr="003F238F">
        <w:rPr>
          <w:b/>
        </w:rPr>
        <w:t>9.</w:t>
      </w:r>
      <w:r w:rsidRPr="003F238F">
        <w:rPr>
          <w:b/>
        </w:rPr>
        <w:tab/>
      </w:r>
      <w:bookmarkStart w:name="_Hlk80713063" w:id="4"/>
      <w:r w:rsidRPr="003F238F" w:rsidR="004C4F14">
        <w:rPr>
          <w:b/>
        </w:rPr>
        <w:t>Payment or g</w:t>
      </w:r>
      <w:r w:rsidRPr="003F238F" w:rsidR="003A0D60">
        <w:rPr>
          <w:b/>
        </w:rPr>
        <w:t>ift</w:t>
      </w:r>
      <w:r w:rsidRPr="003F238F" w:rsidR="0068366C">
        <w:rPr>
          <w:b/>
        </w:rPr>
        <w:t xml:space="preserve">s to </w:t>
      </w:r>
      <w:r w:rsidRPr="003F238F" w:rsidR="004C4F14">
        <w:rPr>
          <w:b/>
        </w:rPr>
        <w:t>r</w:t>
      </w:r>
      <w:r w:rsidRPr="003F238F" w:rsidR="0068366C">
        <w:rPr>
          <w:b/>
        </w:rPr>
        <w:t>espondents</w:t>
      </w:r>
      <w:r w:rsidRPr="003F238F" w:rsidR="004C4F14">
        <w:rPr>
          <w:b/>
        </w:rPr>
        <w:t>.</w:t>
      </w:r>
      <w:bookmarkEnd w:id="4"/>
    </w:p>
    <w:p w:rsidRPr="003F238F" w:rsidR="00F94991" w:rsidP="00DF3017" w:rsidRDefault="00F94991" w14:paraId="5814E075" w14:textId="77777777">
      <w:pPr>
        <w:suppressAutoHyphens/>
        <w:ind w:left="720" w:hanging="720"/>
      </w:pPr>
    </w:p>
    <w:p w:rsidRPr="003F238F" w:rsidR="006923ED" w:rsidP="00DF3017" w:rsidRDefault="00DF3017" w14:paraId="0091E9E2" w14:textId="1646BB80">
      <w:pPr>
        <w:suppressAutoHyphens/>
        <w:ind w:left="720" w:hanging="720"/>
      </w:pPr>
      <w:r w:rsidRPr="003F238F">
        <w:tab/>
      </w:r>
      <w:r w:rsidRPr="003F238F" w:rsidR="006923ED">
        <w:t>There is no intent by NCUA to provide payment or g</w:t>
      </w:r>
      <w:r w:rsidRPr="003F238F" w:rsidR="008D5990">
        <w:t>ifts for information collected.</w:t>
      </w:r>
      <w:r w:rsidRPr="003F238F" w:rsidR="006923ED">
        <w:t xml:space="preserve"> </w:t>
      </w:r>
      <w:r w:rsidRPr="003F238F" w:rsidR="004D0FCD">
        <w:t xml:space="preserve"> </w:t>
      </w:r>
    </w:p>
    <w:p w:rsidRPr="003F238F" w:rsidR="003A0D60" w:rsidP="00DF3017" w:rsidRDefault="003A0D60" w14:paraId="78C6336D" w14:textId="77777777">
      <w:pPr>
        <w:ind w:left="720" w:hanging="720"/>
      </w:pPr>
    </w:p>
    <w:p w:rsidRPr="003F238F" w:rsidR="003A0D60" w:rsidP="00625090" w:rsidRDefault="00625090" w14:paraId="66AFE2DE" w14:textId="76485F9B">
      <w:pPr>
        <w:rPr>
          <w:b/>
        </w:rPr>
      </w:pPr>
      <w:r w:rsidRPr="003F238F">
        <w:rPr>
          <w:b/>
        </w:rPr>
        <w:t>10.</w:t>
      </w:r>
      <w:r w:rsidRPr="003F238F">
        <w:rPr>
          <w:b/>
        </w:rPr>
        <w:tab/>
      </w:r>
      <w:r w:rsidRPr="003F238F" w:rsidR="0068366C">
        <w:rPr>
          <w:b/>
        </w:rPr>
        <w:t xml:space="preserve">Assurance of </w:t>
      </w:r>
      <w:r w:rsidRPr="003F238F" w:rsidR="004C4F14">
        <w:rPr>
          <w:b/>
        </w:rPr>
        <w:t>confidentiality.</w:t>
      </w:r>
    </w:p>
    <w:p w:rsidRPr="003F238F" w:rsidR="00625090" w:rsidP="00625090" w:rsidRDefault="00625090" w14:paraId="5E3D95AA" w14:textId="77777777">
      <w:pPr>
        <w:rPr>
          <w:b/>
        </w:rPr>
      </w:pPr>
    </w:p>
    <w:p w:rsidRPr="003F238F" w:rsidR="001F0A14" w:rsidP="00DF3017" w:rsidRDefault="00DF3017" w14:paraId="0244C2A4" w14:textId="14EC4793">
      <w:pPr>
        <w:suppressAutoHyphens/>
        <w:ind w:left="720" w:hanging="720"/>
      </w:pPr>
      <w:r w:rsidRPr="003F238F">
        <w:tab/>
      </w:r>
      <w:r w:rsidRPr="003F238F" w:rsidR="001F0A14">
        <w:t>There is no assurance of confidentiality other than that provided by law.</w:t>
      </w:r>
      <w:r w:rsidRPr="003F238F" w:rsidR="00042EC6">
        <w:t xml:space="preserve">  </w:t>
      </w:r>
    </w:p>
    <w:p w:rsidRPr="003F238F" w:rsidR="003A0D60" w:rsidP="00DF3017" w:rsidRDefault="003A0D60" w14:paraId="6FE1700E" w14:textId="77777777">
      <w:pPr>
        <w:tabs>
          <w:tab w:val="left" w:pos="6187"/>
        </w:tabs>
        <w:ind w:left="720" w:hanging="720"/>
      </w:pPr>
      <w:r w:rsidRPr="003F238F">
        <w:tab/>
      </w:r>
    </w:p>
    <w:p w:rsidRPr="003F238F" w:rsidR="006923ED" w:rsidP="00625090" w:rsidRDefault="00625090" w14:paraId="3694C731" w14:textId="465BD383">
      <w:pPr>
        <w:rPr>
          <w:b/>
        </w:rPr>
      </w:pPr>
      <w:r w:rsidRPr="003F238F">
        <w:rPr>
          <w:b/>
        </w:rPr>
        <w:t>11.</w:t>
      </w:r>
      <w:r w:rsidRPr="003F238F">
        <w:rPr>
          <w:b/>
        </w:rPr>
        <w:tab/>
      </w:r>
      <w:r w:rsidRPr="003F238F" w:rsidR="0068366C">
        <w:rPr>
          <w:b/>
        </w:rPr>
        <w:t xml:space="preserve">Questions of a </w:t>
      </w:r>
      <w:r w:rsidRPr="003F238F" w:rsidR="004C4F14">
        <w:rPr>
          <w:b/>
        </w:rPr>
        <w:t>sensitive n</w:t>
      </w:r>
      <w:r w:rsidRPr="003F238F" w:rsidR="0068366C">
        <w:rPr>
          <w:b/>
        </w:rPr>
        <w:t>ature</w:t>
      </w:r>
      <w:r w:rsidRPr="003F238F" w:rsidR="004C4F14">
        <w:rPr>
          <w:b/>
        </w:rPr>
        <w:t>.</w:t>
      </w:r>
    </w:p>
    <w:p w:rsidRPr="003F238F" w:rsidR="00625090" w:rsidP="00625090" w:rsidRDefault="00625090" w14:paraId="489125C4" w14:textId="77777777">
      <w:pPr>
        <w:rPr>
          <w:b/>
        </w:rPr>
      </w:pPr>
    </w:p>
    <w:p w:rsidRPr="003F238F" w:rsidR="003A0D60" w:rsidP="00DF3017" w:rsidRDefault="00DF3017" w14:paraId="04AA7141" w14:textId="7A6CFA65">
      <w:pPr>
        <w:ind w:left="720" w:hanging="720"/>
      </w:pPr>
      <w:r w:rsidRPr="003F238F">
        <w:rPr>
          <w:spacing w:val="-3"/>
        </w:rPr>
        <w:tab/>
      </w:r>
      <w:r w:rsidRPr="003F238F" w:rsidR="003A0D60">
        <w:rPr>
          <w:spacing w:val="-3"/>
        </w:rPr>
        <w:t xml:space="preserve">No questions of a sensitive nature are asked.  </w:t>
      </w:r>
      <w:proofErr w:type="gramStart"/>
      <w:r w:rsidRPr="003F238F" w:rsidR="003A0D60">
        <w:t>Personally</w:t>
      </w:r>
      <w:proofErr w:type="gramEnd"/>
      <w:r w:rsidRPr="003F238F" w:rsidR="003A0D60">
        <w:t xml:space="preserve"> </w:t>
      </w:r>
      <w:r w:rsidRPr="003F238F" w:rsidR="008D5990">
        <w:t>Identifiable Information (PII)</w:t>
      </w:r>
      <w:r w:rsidRPr="003F238F" w:rsidR="00A331C5">
        <w:t xml:space="preserve"> is not collected</w:t>
      </w:r>
      <w:r w:rsidRPr="003F238F" w:rsidR="008D5990">
        <w:t>.</w:t>
      </w:r>
    </w:p>
    <w:p w:rsidRPr="003F238F" w:rsidR="003A0D60" w:rsidP="00DF3017" w:rsidRDefault="003A0D60" w14:paraId="19C784E9" w14:textId="77777777">
      <w:pPr>
        <w:ind w:left="720" w:hanging="720"/>
        <w:rPr>
          <w:iCs/>
        </w:rPr>
      </w:pPr>
    </w:p>
    <w:p w:rsidR="0038426C" w:rsidRDefault="0038426C" w14:paraId="41AA661B" w14:textId="77777777">
      <w:pPr>
        <w:spacing w:after="200" w:line="276" w:lineRule="auto"/>
        <w:rPr>
          <w:b/>
        </w:rPr>
      </w:pPr>
      <w:r>
        <w:rPr>
          <w:b/>
        </w:rPr>
        <w:br w:type="page"/>
      </w:r>
    </w:p>
    <w:p w:rsidRPr="003F238F" w:rsidR="003A0D60" w:rsidP="00F94991" w:rsidRDefault="00F94991" w14:paraId="16429E43" w14:textId="6C2AD140">
      <w:pPr>
        <w:rPr>
          <w:b/>
        </w:rPr>
      </w:pPr>
      <w:r w:rsidRPr="003F238F">
        <w:rPr>
          <w:b/>
        </w:rPr>
        <w:lastRenderedPageBreak/>
        <w:t>12.</w:t>
      </w:r>
      <w:r w:rsidRPr="003F238F">
        <w:rPr>
          <w:b/>
        </w:rPr>
        <w:tab/>
      </w:r>
      <w:r w:rsidRPr="003F238F" w:rsidR="00BB6E2F">
        <w:rPr>
          <w:b/>
        </w:rPr>
        <w:t>Estimate of b</w:t>
      </w:r>
      <w:r w:rsidRPr="003F238F" w:rsidR="004C4F14">
        <w:rPr>
          <w:b/>
        </w:rPr>
        <w:t xml:space="preserve">urden of </w:t>
      </w:r>
      <w:r w:rsidRPr="003F238F" w:rsidR="001E148B">
        <w:rPr>
          <w:b/>
        </w:rPr>
        <w:t xml:space="preserve">the </w:t>
      </w:r>
      <w:r w:rsidRPr="003F238F" w:rsidR="004C4F14">
        <w:rPr>
          <w:b/>
        </w:rPr>
        <w:t>information c</w:t>
      </w:r>
      <w:r w:rsidRPr="003F238F" w:rsidR="003A0D60">
        <w:rPr>
          <w:b/>
        </w:rPr>
        <w:t>ollection</w:t>
      </w:r>
      <w:r w:rsidRPr="003F238F" w:rsidR="004C4F14">
        <w:rPr>
          <w:b/>
        </w:rPr>
        <w:t>.</w:t>
      </w:r>
    </w:p>
    <w:p w:rsidRPr="003F238F" w:rsidR="00F94991" w:rsidP="00F94991" w:rsidRDefault="00F94991" w14:paraId="1B024D82" w14:textId="77777777">
      <w:pPr>
        <w:rPr>
          <w:b/>
        </w:rPr>
      </w:pPr>
    </w:p>
    <w:p w:rsidR="003F238F" w:rsidP="004B0289" w:rsidRDefault="00367CF4" w14:paraId="7C2720E5" w14:textId="69AC69F9">
      <w:pPr>
        <w:pStyle w:val="ListParagraph"/>
        <w:numPr>
          <w:ilvl w:val="0"/>
          <w:numId w:val="21"/>
        </w:numPr>
        <w:ind w:left="1260" w:hanging="540"/>
      </w:pPr>
      <w:r w:rsidRPr="003F238F">
        <w:t>There is an estimated one-time burden* required for all FCU (3,122) to establish a succession plan.</w:t>
      </w:r>
      <w:r w:rsidRPr="003F238F" w:rsidR="004B0289">
        <w:t xml:space="preserve">  </w:t>
      </w:r>
      <w:r w:rsidRPr="003F238F">
        <w:t>To establish one-time burden, NCUA calculates the total number or respondents divided by the length of OMB approval (3 years) for the initial recordkeeping requirement to establish this plan.</w:t>
      </w:r>
      <w:r w:rsidRPr="003F238F" w:rsidR="004B0289">
        <w:t xml:space="preserve">  </w:t>
      </w:r>
      <w:r w:rsidRPr="003F238F">
        <w:t xml:space="preserve">This line </w:t>
      </w:r>
      <w:r w:rsidRPr="003F238F" w:rsidR="004B0289">
        <w:t xml:space="preserve">item </w:t>
      </w:r>
      <w:r w:rsidRPr="003F238F">
        <w:t>will be removed upon renewal of the information collection.</w:t>
      </w:r>
      <w:r w:rsidRPr="003F238F" w:rsidR="004B0289">
        <w:t xml:space="preserve">  </w:t>
      </w:r>
      <w:r w:rsidRPr="003F238F">
        <w:t>NCUA estimates that it will take 30 minutes of recordkeeping burden per respondent to retain this initial record.</w:t>
      </w:r>
    </w:p>
    <w:p w:rsidR="0038426C" w:rsidP="0038426C" w:rsidRDefault="0038426C" w14:paraId="166A6388" w14:textId="77777777">
      <w:pPr>
        <w:pStyle w:val="ListParagraph"/>
        <w:ind w:left="1260"/>
      </w:pPr>
    </w:p>
    <w:p w:rsidRPr="00367CF4" w:rsidR="00367CF4" w:rsidP="00367CF4" w:rsidRDefault="00367CF4" w14:paraId="3B016B99" w14:textId="628DAC7E">
      <w:pPr>
        <w:pStyle w:val="ListParagraph"/>
        <w:numPr>
          <w:ilvl w:val="0"/>
          <w:numId w:val="21"/>
        </w:numPr>
        <w:ind w:left="1260" w:hanging="540"/>
      </w:pPr>
      <w:r w:rsidRPr="00367CF4">
        <w:t>NCUA estimates three new FCUs annually that will be required to establish a succession plan/policy</w:t>
      </w:r>
      <w:r w:rsidR="004B0289">
        <w:t>.</w:t>
      </w:r>
    </w:p>
    <w:p w:rsidRPr="00367CF4" w:rsidR="00367CF4" w:rsidP="00367CF4" w:rsidRDefault="00367CF4" w14:paraId="4089ADB0" w14:textId="77777777">
      <w:pPr>
        <w:pStyle w:val="ListParagraph"/>
        <w:ind w:left="1260" w:hanging="540"/>
      </w:pPr>
    </w:p>
    <w:p w:rsidRPr="00367CF4" w:rsidR="00367CF4" w:rsidP="00367CF4" w:rsidRDefault="00367CF4" w14:paraId="7CD9225C" w14:textId="77777777">
      <w:pPr>
        <w:pStyle w:val="ListParagraph"/>
        <w:numPr>
          <w:ilvl w:val="0"/>
          <w:numId w:val="21"/>
        </w:numPr>
        <w:ind w:left="1260" w:hanging="540"/>
      </w:pPr>
      <w:r w:rsidRPr="00367CF4">
        <w:t>Section 701.4(e)(2)(ii) requires all FCUs to review and update their plan annually at an estimated 15 minutes per respondent.</w:t>
      </w:r>
    </w:p>
    <w:p w:rsidR="00367CF4" w:rsidP="00367CF4" w:rsidRDefault="00367CF4" w14:paraId="31081311" w14:textId="77777777"/>
    <w:tbl>
      <w:tblPr>
        <w:tblW w:w="9571" w:type="dxa"/>
        <w:tblInd w:w="185" w:type="dxa"/>
        <w:tblCellMar>
          <w:left w:w="0" w:type="dxa"/>
          <w:right w:w="0" w:type="dxa"/>
        </w:tblCellMar>
        <w:tblLook w:val="04A0" w:firstRow="1" w:lastRow="0" w:firstColumn="1" w:lastColumn="0" w:noHBand="0" w:noVBand="1"/>
      </w:tblPr>
      <w:tblGrid>
        <w:gridCol w:w="365"/>
        <w:gridCol w:w="1367"/>
        <w:gridCol w:w="2408"/>
        <w:gridCol w:w="1246"/>
        <w:gridCol w:w="1161"/>
        <w:gridCol w:w="1078"/>
        <w:gridCol w:w="999"/>
        <w:gridCol w:w="947"/>
      </w:tblGrid>
      <w:tr w:rsidR="00367CF4" w:rsidTr="00367CF4" w14:paraId="76284894" w14:textId="77777777">
        <w:tc>
          <w:tcPr>
            <w:tcW w:w="365" w:type="dxa"/>
            <w:tcBorders>
              <w:top w:val="nil"/>
              <w:left w:val="nil"/>
              <w:bottom w:val="single" w:color="auto" w:sz="8" w:space="0"/>
              <w:right w:val="single" w:color="auto" w:sz="8" w:space="0"/>
            </w:tcBorders>
            <w:tcMar>
              <w:top w:w="0" w:type="dxa"/>
              <w:left w:w="108" w:type="dxa"/>
              <w:bottom w:w="0" w:type="dxa"/>
              <w:right w:w="108" w:type="dxa"/>
            </w:tcMar>
          </w:tcPr>
          <w:p w:rsidR="00367CF4" w:rsidRDefault="00367CF4" w14:paraId="1DD03F88" w14:textId="77777777">
            <w:pPr>
              <w:jc w:val="center"/>
              <w:rPr>
                <w:sz w:val="20"/>
                <w:szCs w:val="20"/>
              </w:rPr>
            </w:pPr>
          </w:p>
        </w:tc>
        <w:tc>
          <w:tcPr>
            <w:tcW w:w="13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5921FB67" w14:textId="77777777">
            <w:pPr>
              <w:jc w:val="center"/>
              <w:rPr>
                <w:sz w:val="16"/>
                <w:szCs w:val="16"/>
              </w:rPr>
            </w:pPr>
            <w:r>
              <w:rPr>
                <w:sz w:val="16"/>
                <w:szCs w:val="16"/>
              </w:rPr>
              <w:t>CFR citation</w:t>
            </w:r>
          </w:p>
        </w:tc>
        <w:tc>
          <w:tcPr>
            <w:tcW w:w="24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07B684B3" w14:textId="77777777">
            <w:pPr>
              <w:jc w:val="center"/>
              <w:rPr>
                <w:sz w:val="16"/>
                <w:szCs w:val="16"/>
              </w:rPr>
            </w:pPr>
            <w:r>
              <w:rPr>
                <w:sz w:val="16"/>
                <w:szCs w:val="16"/>
              </w:rPr>
              <w:t>Information Collection</w:t>
            </w:r>
          </w:p>
        </w:tc>
        <w:tc>
          <w:tcPr>
            <w:tcW w:w="12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000D782F" w14:textId="77777777">
            <w:pPr>
              <w:jc w:val="center"/>
              <w:rPr>
                <w:sz w:val="16"/>
                <w:szCs w:val="16"/>
              </w:rPr>
            </w:pPr>
            <w:r>
              <w:rPr>
                <w:sz w:val="16"/>
                <w:szCs w:val="16"/>
              </w:rPr>
              <w:t>No. of Respondents</w:t>
            </w:r>
          </w:p>
        </w:tc>
        <w:tc>
          <w:tcPr>
            <w:tcW w:w="11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1FC85C8C" w14:textId="77777777">
            <w:pPr>
              <w:jc w:val="center"/>
              <w:rPr>
                <w:sz w:val="16"/>
                <w:szCs w:val="16"/>
              </w:rPr>
            </w:pPr>
            <w:r>
              <w:rPr>
                <w:sz w:val="16"/>
                <w:szCs w:val="16"/>
              </w:rPr>
              <w:t>No. Responses per Respondent</w:t>
            </w:r>
          </w:p>
        </w:tc>
        <w:tc>
          <w:tcPr>
            <w:tcW w:w="1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6493268C" w14:textId="77777777">
            <w:pPr>
              <w:jc w:val="center"/>
              <w:rPr>
                <w:sz w:val="16"/>
                <w:szCs w:val="16"/>
              </w:rPr>
            </w:pPr>
            <w:r>
              <w:rPr>
                <w:sz w:val="16"/>
                <w:szCs w:val="16"/>
              </w:rPr>
              <w:t>Total Annual Responses</w:t>
            </w:r>
          </w:p>
        </w:tc>
        <w:tc>
          <w:tcPr>
            <w:tcW w:w="9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7C3ABF78" w14:textId="77777777">
            <w:pPr>
              <w:jc w:val="center"/>
              <w:rPr>
                <w:sz w:val="16"/>
                <w:szCs w:val="16"/>
              </w:rPr>
            </w:pPr>
            <w:r>
              <w:rPr>
                <w:sz w:val="16"/>
                <w:szCs w:val="16"/>
              </w:rPr>
              <w:t>Burden per Response</w:t>
            </w:r>
          </w:p>
        </w:tc>
        <w:tc>
          <w:tcPr>
            <w:tcW w:w="9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74D04D09" w14:textId="77777777">
            <w:pPr>
              <w:jc w:val="center"/>
              <w:rPr>
                <w:sz w:val="16"/>
                <w:szCs w:val="16"/>
              </w:rPr>
            </w:pPr>
            <w:r>
              <w:rPr>
                <w:sz w:val="16"/>
                <w:szCs w:val="16"/>
              </w:rPr>
              <w:t>Total Annual Burden</w:t>
            </w:r>
          </w:p>
        </w:tc>
      </w:tr>
      <w:tr w:rsidR="00367CF4" w:rsidTr="00367CF4" w14:paraId="6072D200" w14:textId="77777777">
        <w:tc>
          <w:tcPr>
            <w:tcW w:w="3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67CF4" w:rsidRDefault="00367CF4" w14:paraId="02754EC7" w14:textId="77777777">
            <w:pPr>
              <w:rPr>
                <w:rFonts w:ascii="Arial Narrow" w:hAnsi="Arial Narrow" w:cs="Calibri"/>
                <w:sz w:val="16"/>
                <w:szCs w:val="16"/>
              </w:rPr>
            </w:pPr>
            <w:r>
              <w:rPr>
                <w:rFonts w:ascii="Arial Narrow" w:hAnsi="Arial Narrow"/>
                <w:sz w:val="16"/>
                <w:szCs w:val="16"/>
              </w:rPr>
              <w:t>1</w:t>
            </w:r>
          </w:p>
        </w:tc>
        <w:tc>
          <w:tcPr>
            <w:tcW w:w="1367" w:type="dxa"/>
            <w:vMerge w:val="restart"/>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695BE941" w14:textId="77777777">
            <w:pPr>
              <w:rPr>
                <w:sz w:val="20"/>
                <w:szCs w:val="20"/>
              </w:rPr>
            </w:pPr>
            <w:r>
              <w:rPr>
                <w:sz w:val="20"/>
                <w:szCs w:val="20"/>
              </w:rPr>
              <w:t>701.4(e)(1)</w:t>
            </w:r>
          </w:p>
        </w:tc>
        <w:tc>
          <w:tcPr>
            <w:tcW w:w="2408"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06104EF7" w14:textId="77777777">
            <w:pPr>
              <w:rPr>
                <w:sz w:val="20"/>
                <w:szCs w:val="20"/>
              </w:rPr>
            </w:pPr>
            <w:r>
              <w:rPr>
                <w:i/>
                <w:iCs/>
                <w:sz w:val="20"/>
                <w:szCs w:val="20"/>
              </w:rPr>
              <w:t>*One-time burden:</w:t>
            </w:r>
            <w:r>
              <w:rPr>
                <w:sz w:val="20"/>
                <w:szCs w:val="20"/>
              </w:rPr>
              <w:t xml:space="preserve"> Establish a succession plan</w:t>
            </w:r>
          </w:p>
        </w:tc>
        <w:tc>
          <w:tcPr>
            <w:tcW w:w="1246"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3AB216DF" w14:textId="77777777">
            <w:pPr>
              <w:jc w:val="right"/>
              <w:rPr>
                <w:sz w:val="20"/>
                <w:szCs w:val="20"/>
              </w:rPr>
            </w:pPr>
            <w:r>
              <w:rPr>
                <w:sz w:val="20"/>
                <w:szCs w:val="20"/>
              </w:rPr>
              <w:t>1,041</w:t>
            </w:r>
          </w:p>
        </w:tc>
        <w:tc>
          <w:tcPr>
            <w:tcW w:w="1161"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5D244B3E" w14:textId="77777777">
            <w:pPr>
              <w:jc w:val="right"/>
              <w:rPr>
                <w:sz w:val="20"/>
                <w:szCs w:val="20"/>
              </w:rPr>
            </w:pPr>
            <w:r>
              <w:rPr>
                <w:sz w:val="20"/>
                <w:szCs w:val="20"/>
              </w:rPr>
              <w:t>1</w:t>
            </w:r>
          </w:p>
        </w:tc>
        <w:tc>
          <w:tcPr>
            <w:tcW w:w="1078"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54676862" w14:textId="77777777">
            <w:pPr>
              <w:jc w:val="right"/>
              <w:rPr>
                <w:sz w:val="20"/>
                <w:szCs w:val="20"/>
              </w:rPr>
            </w:pPr>
            <w:r>
              <w:rPr>
                <w:sz w:val="20"/>
                <w:szCs w:val="20"/>
              </w:rPr>
              <w:t>1,041</w:t>
            </w:r>
          </w:p>
        </w:tc>
        <w:tc>
          <w:tcPr>
            <w:tcW w:w="999"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1E1C4FCB" w14:textId="77777777">
            <w:pPr>
              <w:jc w:val="right"/>
              <w:rPr>
                <w:sz w:val="20"/>
                <w:szCs w:val="20"/>
              </w:rPr>
            </w:pPr>
            <w:r>
              <w:rPr>
                <w:sz w:val="20"/>
                <w:szCs w:val="20"/>
              </w:rPr>
              <w:t>.50</w:t>
            </w:r>
          </w:p>
        </w:tc>
        <w:tc>
          <w:tcPr>
            <w:tcW w:w="947"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3F2DF091" w14:textId="77777777">
            <w:pPr>
              <w:jc w:val="right"/>
              <w:rPr>
                <w:sz w:val="20"/>
                <w:szCs w:val="20"/>
              </w:rPr>
            </w:pPr>
            <w:r>
              <w:rPr>
                <w:sz w:val="20"/>
                <w:szCs w:val="20"/>
              </w:rPr>
              <w:t>520.50</w:t>
            </w:r>
          </w:p>
        </w:tc>
      </w:tr>
      <w:tr w:rsidR="00367CF4" w:rsidTr="00367CF4" w14:paraId="4854D898" w14:textId="77777777">
        <w:tc>
          <w:tcPr>
            <w:tcW w:w="3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67CF4" w:rsidRDefault="00367CF4" w14:paraId="2FEF3659" w14:textId="77777777">
            <w:pPr>
              <w:rPr>
                <w:rFonts w:ascii="Arial Narrow" w:hAnsi="Arial Narrow" w:cs="Calibri"/>
                <w:sz w:val="16"/>
                <w:szCs w:val="16"/>
              </w:rPr>
            </w:pPr>
            <w:r>
              <w:rPr>
                <w:rFonts w:ascii="Arial Narrow" w:hAnsi="Arial Narrow"/>
                <w:sz w:val="16"/>
                <w:szCs w:val="16"/>
              </w:rPr>
              <w:t>2</w:t>
            </w:r>
          </w:p>
        </w:tc>
        <w:tc>
          <w:tcPr>
            <w:tcW w:w="0" w:type="auto"/>
            <w:vMerge/>
            <w:tcBorders>
              <w:top w:val="nil"/>
              <w:left w:val="nil"/>
              <w:bottom w:val="single" w:color="auto" w:sz="8" w:space="0"/>
              <w:right w:val="single" w:color="auto" w:sz="8" w:space="0"/>
            </w:tcBorders>
            <w:vAlign w:val="center"/>
            <w:hideMark/>
          </w:tcPr>
          <w:p w:rsidR="00367CF4" w:rsidRDefault="00367CF4" w14:paraId="0704C0D6" w14:textId="77777777">
            <w:pPr>
              <w:rPr>
                <w:rFonts w:eastAsiaTheme="minorHAnsi"/>
                <w:sz w:val="20"/>
                <w:szCs w:val="20"/>
              </w:rPr>
            </w:pPr>
          </w:p>
        </w:tc>
        <w:tc>
          <w:tcPr>
            <w:tcW w:w="2408"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5C6696AD" w14:textId="77777777">
            <w:pPr>
              <w:rPr>
                <w:sz w:val="20"/>
                <w:szCs w:val="20"/>
              </w:rPr>
            </w:pPr>
            <w:r>
              <w:rPr>
                <w:sz w:val="20"/>
                <w:szCs w:val="20"/>
              </w:rPr>
              <w:t>New FCU to establish a plan</w:t>
            </w:r>
          </w:p>
        </w:tc>
        <w:tc>
          <w:tcPr>
            <w:tcW w:w="1246"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66AF48E1" w14:textId="77777777">
            <w:pPr>
              <w:jc w:val="right"/>
              <w:rPr>
                <w:sz w:val="20"/>
                <w:szCs w:val="20"/>
              </w:rPr>
            </w:pPr>
            <w:r>
              <w:rPr>
                <w:sz w:val="20"/>
                <w:szCs w:val="20"/>
              </w:rPr>
              <w:t>3</w:t>
            </w:r>
          </w:p>
        </w:tc>
        <w:tc>
          <w:tcPr>
            <w:tcW w:w="1161"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6D8BDE5D" w14:textId="77777777">
            <w:pPr>
              <w:jc w:val="right"/>
              <w:rPr>
                <w:sz w:val="20"/>
                <w:szCs w:val="20"/>
              </w:rPr>
            </w:pPr>
            <w:r>
              <w:rPr>
                <w:sz w:val="20"/>
                <w:szCs w:val="20"/>
              </w:rPr>
              <w:t>1</w:t>
            </w:r>
          </w:p>
        </w:tc>
        <w:tc>
          <w:tcPr>
            <w:tcW w:w="1078"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29DE94F1" w14:textId="77777777">
            <w:pPr>
              <w:jc w:val="right"/>
              <w:rPr>
                <w:sz w:val="20"/>
                <w:szCs w:val="20"/>
              </w:rPr>
            </w:pPr>
            <w:r>
              <w:rPr>
                <w:sz w:val="20"/>
                <w:szCs w:val="20"/>
              </w:rPr>
              <w:t>3</w:t>
            </w:r>
          </w:p>
        </w:tc>
        <w:tc>
          <w:tcPr>
            <w:tcW w:w="999"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5B049E77" w14:textId="77777777">
            <w:pPr>
              <w:jc w:val="right"/>
              <w:rPr>
                <w:sz w:val="20"/>
                <w:szCs w:val="20"/>
              </w:rPr>
            </w:pPr>
            <w:r>
              <w:rPr>
                <w:sz w:val="20"/>
                <w:szCs w:val="20"/>
              </w:rPr>
              <w:t>.50</w:t>
            </w:r>
          </w:p>
        </w:tc>
        <w:tc>
          <w:tcPr>
            <w:tcW w:w="947" w:type="dxa"/>
            <w:tcBorders>
              <w:top w:val="nil"/>
              <w:left w:val="nil"/>
              <w:bottom w:val="single" w:color="auto" w:sz="8" w:space="0"/>
              <w:right w:val="single" w:color="auto" w:sz="8" w:space="0"/>
            </w:tcBorders>
            <w:tcMar>
              <w:top w:w="0" w:type="dxa"/>
              <w:left w:w="108" w:type="dxa"/>
              <w:bottom w:w="0" w:type="dxa"/>
              <w:right w:w="108" w:type="dxa"/>
            </w:tcMar>
            <w:hideMark/>
          </w:tcPr>
          <w:p w:rsidR="00367CF4" w:rsidRDefault="00367CF4" w14:paraId="5B402EEB" w14:textId="77777777">
            <w:pPr>
              <w:jc w:val="right"/>
              <w:rPr>
                <w:sz w:val="20"/>
                <w:szCs w:val="20"/>
              </w:rPr>
            </w:pPr>
            <w:r>
              <w:rPr>
                <w:sz w:val="20"/>
                <w:szCs w:val="20"/>
              </w:rPr>
              <w:t>1.50</w:t>
            </w:r>
          </w:p>
        </w:tc>
      </w:tr>
      <w:tr w:rsidR="00367CF4" w:rsidTr="00367CF4" w14:paraId="4DE3B87E" w14:textId="77777777">
        <w:trPr>
          <w:trHeight w:val="260"/>
        </w:trPr>
        <w:tc>
          <w:tcPr>
            <w:tcW w:w="365" w:type="dxa"/>
            <w:tcBorders>
              <w:top w:val="nil"/>
              <w:left w:val="single" w:color="auto" w:sz="8" w:space="0"/>
              <w:bottom w:val="single" w:color="auto" w:sz="12" w:space="0"/>
              <w:right w:val="single" w:color="auto" w:sz="8" w:space="0"/>
            </w:tcBorders>
            <w:tcMar>
              <w:top w:w="0" w:type="dxa"/>
              <w:left w:w="108" w:type="dxa"/>
              <w:bottom w:w="0" w:type="dxa"/>
              <w:right w:w="108" w:type="dxa"/>
            </w:tcMar>
            <w:hideMark/>
          </w:tcPr>
          <w:p w:rsidR="00367CF4" w:rsidRDefault="00367CF4" w14:paraId="7A061648" w14:textId="77777777">
            <w:pPr>
              <w:rPr>
                <w:rFonts w:ascii="Arial Narrow" w:hAnsi="Arial Narrow" w:cs="Calibri"/>
                <w:sz w:val="16"/>
                <w:szCs w:val="16"/>
              </w:rPr>
            </w:pPr>
            <w:r>
              <w:rPr>
                <w:rFonts w:ascii="Arial Narrow" w:hAnsi="Arial Narrow"/>
                <w:sz w:val="16"/>
                <w:szCs w:val="16"/>
              </w:rPr>
              <w:t>3</w:t>
            </w:r>
          </w:p>
        </w:tc>
        <w:tc>
          <w:tcPr>
            <w:tcW w:w="1367" w:type="dxa"/>
            <w:tcBorders>
              <w:top w:val="nil"/>
              <w:left w:val="nil"/>
              <w:bottom w:val="single" w:color="auto" w:sz="12" w:space="0"/>
              <w:right w:val="single" w:color="auto" w:sz="8" w:space="0"/>
            </w:tcBorders>
            <w:tcMar>
              <w:top w:w="0" w:type="dxa"/>
              <w:left w:w="108" w:type="dxa"/>
              <w:bottom w:w="0" w:type="dxa"/>
              <w:right w:w="108" w:type="dxa"/>
            </w:tcMar>
            <w:hideMark/>
          </w:tcPr>
          <w:p w:rsidR="00367CF4" w:rsidRDefault="00367CF4" w14:paraId="5691CAE8" w14:textId="77777777">
            <w:pPr>
              <w:rPr>
                <w:sz w:val="20"/>
                <w:szCs w:val="20"/>
              </w:rPr>
            </w:pPr>
            <w:r>
              <w:rPr>
                <w:sz w:val="20"/>
                <w:szCs w:val="20"/>
              </w:rPr>
              <w:t>701.4(e)(2)(ii)</w:t>
            </w:r>
          </w:p>
        </w:tc>
        <w:tc>
          <w:tcPr>
            <w:tcW w:w="2408" w:type="dxa"/>
            <w:tcBorders>
              <w:top w:val="nil"/>
              <w:left w:val="nil"/>
              <w:bottom w:val="single" w:color="auto" w:sz="12" w:space="0"/>
              <w:right w:val="single" w:color="auto" w:sz="8" w:space="0"/>
            </w:tcBorders>
            <w:tcMar>
              <w:top w:w="0" w:type="dxa"/>
              <w:left w:w="108" w:type="dxa"/>
              <w:bottom w:w="0" w:type="dxa"/>
              <w:right w:w="108" w:type="dxa"/>
            </w:tcMar>
            <w:hideMark/>
          </w:tcPr>
          <w:p w:rsidR="00367CF4" w:rsidRDefault="00367CF4" w14:paraId="3221FEC6" w14:textId="77777777">
            <w:pPr>
              <w:rPr>
                <w:sz w:val="20"/>
                <w:szCs w:val="20"/>
              </w:rPr>
            </w:pPr>
            <w:r>
              <w:rPr>
                <w:sz w:val="20"/>
                <w:szCs w:val="20"/>
              </w:rPr>
              <w:t>Update annually</w:t>
            </w:r>
          </w:p>
        </w:tc>
        <w:tc>
          <w:tcPr>
            <w:tcW w:w="1246" w:type="dxa"/>
            <w:tcBorders>
              <w:top w:val="nil"/>
              <w:left w:val="nil"/>
              <w:bottom w:val="single" w:color="auto" w:sz="12" w:space="0"/>
              <w:right w:val="single" w:color="auto" w:sz="8" w:space="0"/>
            </w:tcBorders>
            <w:tcMar>
              <w:top w:w="0" w:type="dxa"/>
              <w:left w:w="108" w:type="dxa"/>
              <w:bottom w:w="0" w:type="dxa"/>
              <w:right w:w="108" w:type="dxa"/>
            </w:tcMar>
            <w:hideMark/>
          </w:tcPr>
          <w:p w:rsidR="00367CF4" w:rsidRDefault="00367CF4" w14:paraId="5D37B943" w14:textId="77777777">
            <w:pPr>
              <w:jc w:val="right"/>
              <w:rPr>
                <w:sz w:val="20"/>
                <w:szCs w:val="20"/>
              </w:rPr>
            </w:pPr>
            <w:r>
              <w:rPr>
                <w:sz w:val="20"/>
                <w:szCs w:val="20"/>
              </w:rPr>
              <w:t>3,122</w:t>
            </w:r>
          </w:p>
        </w:tc>
        <w:tc>
          <w:tcPr>
            <w:tcW w:w="1161" w:type="dxa"/>
            <w:tcBorders>
              <w:top w:val="nil"/>
              <w:left w:val="nil"/>
              <w:bottom w:val="single" w:color="auto" w:sz="12" w:space="0"/>
              <w:right w:val="single" w:color="auto" w:sz="8" w:space="0"/>
            </w:tcBorders>
            <w:tcMar>
              <w:top w:w="0" w:type="dxa"/>
              <w:left w:w="108" w:type="dxa"/>
              <w:bottom w:w="0" w:type="dxa"/>
              <w:right w:w="108" w:type="dxa"/>
            </w:tcMar>
            <w:hideMark/>
          </w:tcPr>
          <w:p w:rsidR="00367CF4" w:rsidRDefault="00367CF4" w14:paraId="3DCB162F" w14:textId="77777777">
            <w:pPr>
              <w:jc w:val="right"/>
              <w:rPr>
                <w:sz w:val="20"/>
                <w:szCs w:val="20"/>
              </w:rPr>
            </w:pPr>
            <w:r>
              <w:rPr>
                <w:sz w:val="20"/>
                <w:szCs w:val="20"/>
              </w:rPr>
              <w:t>1</w:t>
            </w:r>
          </w:p>
        </w:tc>
        <w:tc>
          <w:tcPr>
            <w:tcW w:w="1078" w:type="dxa"/>
            <w:tcBorders>
              <w:top w:val="nil"/>
              <w:left w:val="nil"/>
              <w:bottom w:val="single" w:color="auto" w:sz="12" w:space="0"/>
              <w:right w:val="single" w:color="auto" w:sz="8" w:space="0"/>
            </w:tcBorders>
            <w:tcMar>
              <w:top w:w="0" w:type="dxa"/>
              <w:left w:w="108" w:type="dxa"/>
              <w:bottom w:w="0" w:type="dxa"/>
              <w:right w:w="108" w:type="dxa"/>
            </w:tcMar>
            <w:hideMark/>
          </w:tcPr>
          <w:p w:rsidR="00367CF4" w:rsidRDefault="00367CF4" w14:paraId="331ED08F" w14:textId="77777777">
            <w:pPr>
              <w:jc w:val="right"/>
              <w:rPr>
                <w:sz w:val="20"/>
                <w:szCs w:val="20"/>
              </w:rPr>
            </w:pPr>
            <w:r>
              <w:rPr>
                <w:sz w:val="20"/>
                <w:szCs w:val="20"/>
              </w:rPr>
              <w:t>3,122</w:t>
            </w:r>
          </w:p>
        </w:tc>
        <w:tc>
          <w:tcPr>
            <w:tcW w:w="999" w:type="dxa"/>
            <w:tcBorders>
              <w:top w:val="nil"/>
              <w:left w:val="nil"/>
              <w:bottom w:val="single" w:color="auto" w:sz="12" w:space="0"/>
              <w:right w:val="single" w:color="auto" w:sz="8" w:space="0"/>
            </w:tcBorders>
            <w:tcMar>
              <w:top w:w="0" w:type="dxa"/>
              <w:left w:w="108" w:type="dxa"/>
              <w:bottom w:w="0" w:type="dxa"/>
              <w:right w:w="108" w:type="dxa"/>
            </w:tcMar>
            <w:hideMark/>
          </w:tcPr>
          <w:p w:rsidR="00367CF4" w:rsidRDefault="00367CF4" w14:paraId="4033BC5D" w14:textId="77777777">
            <w:pPr>
              <w:jc w:val="right"/>
              <w:rPr>
                <w:sz w:val="20"/>
                <w:szCs w:val="20"/>
              </w:rPr>
            </w:pPr>
            <w:r>
              <w:rPr>
                <w:sz w:val="20"/>
                <w:szCs w:val="20"/>
              </w:rPr>
              <w:t>.25</w:t>
            </w:r>
          </w:p>
        </w:tc>
        <w:tc>
          <w:tcPr>
            <w:tcW w:w="947" w:type="dxa"/>
            <w:tcBorders>
              <w:top w:val="nil"/>
              <w:left w:val="nil"/>
              <w:bottom w:val="single" w:color="auto" w:sz="12" w:space="0"/>
              <w:right w:val="single" w:color="auto" w:sz="8" w:space="0"/>
            </w:tcBorders>
            <w:tcMar>
              <w:top w:w="0" w:type="dxa"/>
              <w:left w:w="108" w:type="dxa"/>
              <w:bottom w:w="0" w:type="dxa"/>
              <w:right w:w="108" w:type="dxa"/>
            </w:tcMar>
            <w:hideMark/>
          </w:tcPr>
          <w:p w:rsidR="00367CF4" w:rsidRDefault="00367CF4" w14:paraId="1BCE2164" w14:textId="77777777">
            <w:pPr>
              <w:jc w:val="right"/>
              <w:rPr>
                <w:sz w:val="20"/>
                <w:szCs w:val="20"/>
              </w:rPr>
            </w:pPr>
            <w:r>
              <w:rPr>
                <w:sz w:val="20"/>
                <w:szCs w:val="20"/>
              </w:rPr>
              <w:t>780.50</w:t>
            </w:r>
          </w:p>
        </w:tc>
      </w:tr>
      <w:tr w:rsidR="00367CF4" w:rsidTr="00367CF4" w14:paraId="227E4C4F" w14:textId="77777777">
        <w:trPr>
          <w:trHeight w:val="467"/>
        </w:trPr>
        <w:tc>
          <w:tcPr>
            <w:tcW w:w="414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367CF4" w:rsidRDefault="00367CF4" w14:paraId="34299856" w14:textId="77777777">
            <w:pPr>
              <w:jc w:val="right"/>
              <w:rPr>
                <w:sz w:val="20"/>
                <w:szCs w:val="20"/>
              </w:rPr>
            </w:pPr>
            <w:r>
              <w:rPr>
                <w:sz w:val="20"/>
                <w:szCs w:val="20"/>
              </w:rPr>
              <w:t>TOTALS</w:t>
            </w:r>
          </w:p>
        </w:tc>
        <w:tc>
          <w:tcPr>
            <w:tcW w:w="12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3AC5D78F" w14:textId="787FF563">
            <w:pPr>
              <w:jc w:val="right"/>
              <w:rPr>
                <w:sz w:val="20"/>
                <w:szCs w:val="20"/>
              </w:rPr>
            </w:pPr>
            <w:r>
              <w:rPr>
                <w:sz w:val="20"/>
                <w:szCs w:val="20"/>
              </w:rPr>
              <w:t>3,12</w:t>
            </w:r>
            <w:r w:rsidR="004B0289">
              <w:rPr>
                <w:sz w:val="20"/>
                <w:szCs w:val="20"/>
              </w:rPr>
              <w:t>5</w:t>
            </w:r>
          </w:p>
        </w:tc>
        <w:tc>
          <w:tcPr>
            <w:tcW w:w="1161" w:type="dxa"/>
            <w:tcBorders>
              <w:top w:val="nil"/>
              <w:left w:val="nil"/>
              <w:bottom w:val="single" w:color="auto" w:sz="8" w:space="0"/>
              <w:right w:val="single" w:color="auto" w:sz="8" w:space="0"/>
            </w:tcBorders>
            <w:shd w:val="clear" w:color="auto" w:fill="BFBFBF"/>
            <w:tcMar>
              <w:top w:w="0" w:type="dxa"/>
              <w:left w:w="108" w:type="dxa"/>
              <w:bottom w:w="0" w:type="dxa"/>
              <w:right w:w="108" w:type="dxa"/>
            </w:tcMar>
            <w:vAlign w:val="center"/>
            <w:hideMark/>
          </w:tcPr>
          <w:p w:rsidR="00367CF4" w:rsidRDefault="00367CF4" w14:paraId="52EB6B41" w14:textId="053111AA">
            <w:pPr>
              <w:jc w:val="right"/>
              <w:rPr>
                <w:sz w:val="20"/>
                <w:szCs w:val="20"/>
              </w:rPr>
            </w:pPr>
            <w:r>
              <w:rPr>
                <w:color w:val="000000"/>
                <w:sz w:val="20"/>
                <w:szCs w:val="20"/>
              </w:rPr>
              <w:t>1.33</w:t>
            </w:r>
            <w:r w:rsidR="004B0289">
              <w:rPr>
                <w:color w:val="000000"/>
                <w:sz w:val="20"/>
                <w:szCs w:val="20"/>
              </w:rPr>
              <w:t>312</w:t>
            </w:r>
          </w:p>
        </w:tc>
        <w:tc>
          <w:tcPr>
            <w:tcW w:w="107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2C7E8271" w14:textId="77777777">
            <w:pPr>
              <w:jc w:val="right"/>
              <w:rPr>
                <w:sz w:val="20"/>
                <w:szCs w:val="20"/>
              </w:rPr>
            </w:pPr>
            <w:r>
              <w:rPr>
                <w:sz w:val="20"/>
                <w:szCs w:val="20"/>
              </w:rPr>
              <w:t>4,166</w:t>
            </w:r>
          </w:p>
        </w:tc>
        <w:tc>
          <w:tcPr>
            <w:tcW w:w="999" w:type="dxa"/>
            <w:tcBorders>
              <w:top w:val="nil"/>
              <w:left w:val="nil"/>
              <w:bottom w:val="single" w:color="auto" w:sz="8" w:space="0"/>
              <w:right w:val="single" w:color="auto" w:sz="8" w:space="0"/>
            </w:tcBorders>
            <w:shd w:val="clear" w:color="auto" w:fill="BFBFBF"/>
            <w:tcMar>
              <w:top w:w="0" w:type="dxa"/>
              <w:left w:w="108" w:type="dxa"/>
              <w:bottom w:w="0" w:type="dxa"/>
              <w:right w:w="108" w:type="dxa"/>
            </w:tcMar>
            <w:vAlign w:val="center"/>
            <w:hideMark/>
          </w:tcPr>
          <w:p w:rsidR="00367CF4" w:rsidRDefault="00367CF4" w14:paraId="0C5EFD20" w14:textId="77777777">
            <w:pPr>
              <w:jc w:val="right"/>
              <w:rPr>
                <w:sz w:val="20"/>
                <w:szCs w:val="20"/>
              </w:rPr>
            </w:pPr>
            <w:r>
              <w:rPr>
                <w:color w:val="000000"/>
                <w:sz w:val="20"/>
                <w:szCs w:val="20"/>
              </w:rPr>
              <w:t>0.31265</w:t>
            </w:r>
          </w:p>
        </w:tc>
        <w:tc>
          <w:tcPr>
            <w:tcW w:w="94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67CF4" w:rsidRDefault="00367CF4" w14:paraId="33216076" w14:textId="77777777">
            <w:pPr>
              <w:jc w:val="right"/>
              <w:rPr>
                <w:sz w:val="20"/>
                <w:szCs w:val="20"/>
              </w:rPr>
            </w:pPr>
            <w:r>
              <w:rPr>
                <w:sz w:val="20"/>
                <w:szCs w:val="20"/>
              </w:rPr>
              <w:t>1,302.50</w:t>
            </w:r>
          </w:p>
        </w:tc>
      </w:tr>
    </w:tbl>
    <w:p w:rsidR="00071141" w:rsidP="00071141" w:rsidRDefault="00071141" w14:paraId="2C21D721" w14:textId="6C6E2338">
      <w:pPr>
        <w:ind w:left="720"/>
      </w:pPr>
      <w:r>
        <w:t xml:space="preserve">Based on the labor rate of $35 per hour, the total cost to respondents </w:t>
      </w:r>
      <w:r w:rsidRPr="004B0289">
        <w:t>is $</w:t>
      </w:r>
      <w:r w:rsidRPr="004B0289" w:rsidR="004B0289">
        <w:t>45,587.50</w:t>
      </w:r>
      <w:bookmarkStart w:name="_Hlk75847371" w:id="5"/>
      <w:r w:rsidRPr="004B0289" w:rsidR="004B0289">
        <w:t>.</w:t>
      </w:r>
    </w:p>
    <w:bookmarkEnd w:id="5"/>
    <w:p w:rsidRPr="00E44F63" w:rsidR="00071141" w:rsidP="00071141" w:rsidRDefault="00071141" w14:paraId="7378E6D1" w14:textId="77777777"/>
    <w:p w:rsidR="003A0D60" w:rsidP="00F94991" w:rsidRDefault="00F94991" w14:paraId="1A5664D0" w14:textId="557AA20A">
      <w:pPr>
        <w:rPr>
          <w:b/>
        </w:rPr>
      </w:pPr>
      <w:r>
        <w:rPr>
          <w:b/>
        </w:rPr>
        <w:t>13.</w:t>
      </w:r>
      <w:r>
        <w:rPr>
          <w:b/>
        </w:rPr>
        <w:tab/>
      </w:r>
      <w:r w:rsidR="004C4F14">
        <w:rPr>
          <w:b/>
        </w:rPr>
        <w:t>Capital start-up or on-going operation and maintenance c</w:t>
      </w:r>
      <w:r w:rsidRPr="00F94991" w:rsidR="0068366C">
        <w:rPr>
          <w:b/>
        </w:rPr>
        <w:t>osts</w:t>
      </w:r>
      <w:r w:rsidR="004C4F14">
        <w:rPr>
          <w:b/>
        </w:rPr>
        <w:t>.</w:t>
      </w:r>
    </w:p>
    <w:p w:rsidR="00916234" w:rsidP="00F94991" w:rsidRDefault="00916234" w14:paraId="793274D6" w14:textId="77777777"/>
    <w:p w:rsidR="00916234" w:rsidP="00916234" w:rsidRDefault="00916234" w14:paraId="2317F7B6" w14:textId="77777777">
      <w:pPr>
        <w:tabs>
          <w:tab w:val="left" w:pos="720"/>
        </w:tabs>
        <w:ind w:left="720"/>
      </w:pPr>
      <w:r>
        <w:t>There are no capital start-up or maintenance costs.</w:t>
      </w:r>
    </w:p>
    <w:p w:rsidRPr="00FA3B10" w:rsidR="00FA3B10" w:rsidP="00DF3017" w:rsidRDefault="00FA3B10" w14:paraId="1222BFF0" w14:textId="77777777">
      <w:pPr>
        <w:pStyle w:val="ListParagraph"/>
        <w:ind w:hanging="720"/>
      </w:pPr>
    </w:p>
    <w:p w:rsidRPr="00F94991" w:rsidR="003A0D60" w:rsidP="00F94991" w:rsidRDefault="00F94991" w14:paraId="153E3653" w14:textId="24864997">
      <w:pPr>
        <w:rPr>
          <w:b/>
        </w:rPr>
      </w:pPr>
      <w:r>
        <w:rPr>
          <w:b/>
        </w:rPr>
        <w:t>14.</w:t>
      </w:r>
      <w:r>
        <w:rPr>
          <w:b/>
        </w:rPr>
        <w:tab/>
      </w:r>
      <w:r w:rsidR="00ED172F">
        <w:rPr>
          <w:b/>
        </w:rPr>
        <w:t xml:space="preserve">Annualized </w:t>
      </w:r>
      <w:r w:rsidR="004C4F14">
        <w:rPr>
          <w:b/>
        </w:rPr>
        <w:t xml:space="preserve">costs to </w:t>
      </w:r>
      <w:r w:rsidR="00221AEC">
        <w:rPr>
          <w:b/>
        </w:rPr>
        <w:t xml:space="preserve">the </w:t>
      </w:r>
      <w:r w:rsidR="004C4F14">
        <w:rPr>
          <w:b/>
        </w:rPr>
        <w:t>Federal g</w:t>
      </w:r>
      <w:r w:rsidRPr="00F94991" w:rsidR="003A0D60">
        <w:rPr>
          <w:b/>
        </w:rPr>
        <w:t>overnment</w:t>
      </w:r>
      <w:r w:rsidR="004C4F14">
        <w:rPr>
          <w:b/>
        </w:rPr>
        <w:t>.</w:t>
      </w:r>
    </w:p>
    <w:p w:rsidR="00186259" w:rsidP="00186259" w:rsidRDefault="00186259" w14:paraId="67F0D58B" w14:textId="77777777">
      <w:pPr>
        <w:ind w:left="720" w:hanging="720"/>
      </w:pPr>
    </w:p>
    <w:p w:rsidRPr="007F636E" w:rsidR="00186259" w:rsidP="00186259" w:rsidRDefault="00186259" w14:paraId="729DFA89" w14:textId="77777777">
      <w:pPr>
        <w:suppressAutoHyphens/>
        <w:ind w:left="720"/>
      </w:pPr>
      <w:r>
        <w:t>This is a recordkeeping requirement; therefore, there is no cost to the Federal government</w:t>
      </w:r>
      <w:r w:rsidRPr="007F636E">
        <w:t xml:space="preserve">. </w:t>
      </w:r>
    </w:p>
    <w:p w:rsidRPr="008D5990" w:rsidR="00186259" w:rsidP="00DF3017" w:rsidRDefault="00186259" w14:paraId="637DFBD5" w14:textId="77777777">
      <w:pPr>
        <w:ind w:left="720" w:hanging="720"/>
      </w:pPr>
    </w:p>
    <w:p w:rsidRPr="00F94991" w:rsidR="003A0D60" w:rsidP="00F94991" w:rsidRDefault="00F94991" w14:paraId="79C75DB7" w14:textId="3548A1EA">
      <w:pPr>
        <w:rPr>
          <w:b/>
        </w:rPr>
      </w:pPr>
      <w:r>
        <w:rPr>
          <w:b/>
        </w:rPr>
        <w:t>15.</w:t>
      </w:r>
      <w:r>
        <w:rPr>
          <w:b/>
        </w:rPr>
        <w:tab/>
      </w:r>
      <w:r w:rsidR="004C4F14">
        <w:rPr>
          <w:b/>
        </w:rPr>
        <w:t>Changes in b</w:t>
      </w:r>
      <w:r w:rsidRPr="00F94991" w:rsidR="003A0D60">
        <w:rPr>
          <w:b/>
        </w:rPr>
        <w:t>urden</w:t>
      </w:r>
      <w:r w:rsidR="004C4F14">
        <w:rPr>
          <w:b/>
        </w:rPr>
        <w:t>.</w:t>
      </w:r>
    </w:p>
    <w:p w:rsidR="00186259" w:rsidP="00186259" w:rsidRDefault="00186259" w14:paraId="21EF366B" w14:textId="52E2D07F">
      <w:pPr>
        <w:ind w:left="720"/>
      </w:pPr>
    </w:p>
    <w:p w:rsidR="00367CF4" w:rsidP="00186259" w:rsidRDefault="00367CF4" w14:paraId="62658AED" w14:textId="1C3D4713">
      <w:pPr>
        <w:ind w:left="720"/>
      </w:pPr>
      <w:r>
        <w:t>This is a new collection.</w:t>
      </w:r>
    </w:p>
    <w:p w:rsidRPr="008D5990" w:rsidR="008D5990" w:rsidP="00DF3017" w:rsidRDefault="008D5990" w14:paraId="706339A7" w14:textId="1340F481">
      <w:pPr>
        <w:ind w:left="720" w:hanging="720"/>
      </w:pPr>
    </w:p>
    <w:p w:rsidRPr="00F94991" w:rsidR="003A0D60" w:rsidP="00F94991" w:rsidRDefault="00F94991" w14:paraId="1F80D28F" w14:textId="74CA8CCE">
      <w:pPr>
        <w:rPr>
          <w:b/>
        </w:rPr>
      </w:pPr>
      <w:r>
        <w:rPr>
          <w:b/>
        </w:rPr>
        <w:t>16.</w:t>
      </w:r>
      <w:r>
        <w:rPr>
          <w:b/>
        </w:rPr>
        <w:tab/>
      </w:r>
      <w:bookmarkStart w:name="_Hlk75847827" w:id="6"/>
      <w:r w:rsidR="004C4F14">
        <w:rPr>
          <w:b/>
        </w:rPr>
        <w:t>Information collection planned for statistical p</w:t>
      </w:r>
      <w:r w:rsidRPr="00F94991" w:rsidR="003A0D60">
        <w:rPr>
          <w:b/>
        </w:rPr>
        <w:t>urposes</w:t>
      </w:r>
      <w:r w:rsidR="004C4F14">
        <w:rPr>
          <w:b/>
        </w:rPr>
        <w:t>.</w:t>
      </w:r>
      <w:bookmarkEnd w:id="6"/>
    </w:p>
    <w:p w:rsidR="00367CF4" w:rsidP="00521D83" w:rsidRDefault="00367CF4" w14:paraId="6758E229" w14:textId="77777777">
      <w:pPr>
        <w:suppressAutoHyphens/>
        <w:ind w:left="720" w:hanging="720"/>
      </w:pPr>
    </w:p>
    <w:p w:rsidR="003A0D60" w:rsidP="00521D83" w:rsidRDefault="00367CF4" w14:paraId="2C1A7AA3" w14:textId="28A8E882">
      <w:pPr>
        <w:suppressAutoHyphens/>
        <w:ind w:left="720" w:hanging="720"/>
      </w:pPr>
      <w:r>
        <w:tab/>
      </w:r>
      <w:r w:rsidR="00071141">
        <w:t>The information is not planned for publication.</w:t>
      </w:r>
    </w:p>
    <w:p w:rsidRPr="00631257" w:rsidR="00F94991" w:rsidP="00F94991" w:rsidRDefault="00F94991" w14:paraId="4E44BDFE" w14:textId="77777777"/>
    <w:p w:rsidR="0038426C" w:rsidRDefault="0038426C" w14:paraId="4F01305F" w14:textId="77777777">
      <w:pPr>
        <w:spacing w:after="200" w:line="276" w:lineRule="auto"/>
        <w:rPr>
          <w:b/>
        </w:rPr>
      </w:pPr>
      <w:r>
        <w:rPr>
          <w:b/>
        </w:rPr>
        <w:br w:type="page"/>
      </w:r>
    </w:p>
    <w:p w:rsidRPr="00F94991" w:rsidR="003A0D60" w:rsidP="00F94991" w:rsidRDefault="00F94991" w14:paraId="310B5643" w14:textId="3D85BF1A">
      <w:pPr>
        <w:rPr>
          <w:b/>
        </w:rPr>
      </w:pPr>
      <w:r>
        <w:rPr>
          <w:b/>
        </w:rPr>
        <w:lastRenderedPageBreak/>
        <w:t>17.</w:t>
      </w:r>
      <w:r>
        <w:rPr>
          <w:b/>
        </w:rPr>
        <w:tab/>
      </w:r>
      <w:r w:rsidRPr="00F94991" w:rsidR="0068366C">
        <w:rPr>
          <w:b/>
        </w:rPr>
        <w:t>Request</w:t>
      </w:r>
      <w:r w:rsidR="004C4F14">
        <w:rPr>
          <w:b/>
        </w:rPr>
        <w:t xml:space="preserve"> n</w:t>
      </w:r>
      <w:r>
        <w:rPr>
          <w:b/>
        </w:rPr>
        <w:t>on-</w:t>
      </w:r>
      <w:r w:rsidRPr="00F94991" w:rsidR="00521D83">
        <w:rPr>
          <w:b/>
        </w:rPr>
        <w:t>display the</w:t>
      </w:r>
      <w:r w:rsidRPr="00F94991" w:rsidR="003A0D60">
        <w:rPr>
          <w:b/>
        </w:rPr>
        <w:t xml:space="preserve"> </w:t>
      </w:r>
      <w:r w:rsidR="004C4F14">
        <w:rPr>
          <w:b/>
        </w:rPr>
        <w:t>expiration d</w:t>
      </w:r>
      <w:r>
        <w:rPr>
          <w:b/>
        </w:rPr>
        <w:t xml:space="preserve">ate of the </w:t>
      </w:r>
      <w:r w:rsidRPr="00F94991" w:rsidR="003A0D60">
        <w:rPr>
          <w:b/>
        </w:rPr>
        <w:t xml:space="preserve">OMB </w:t>
      </w:r>
      <w:r w:rsidR="004C4F14">
        <w:rPr>
          <w:b/>
        </w:rPr>
        <w:t>control n</w:t>
      </w:r>
      <w:r>
        <w:rPr>
          <w:b/>
        </w:rPr>
        <w:t>umber</w:t>
      </w:r>
      <w:r w:rsidR="004C4F14">
        <w:rPr>
          <w:b/>
        </w:rPr>
        <w:t>.</w:t>
      </w:r>
    </w:p>
    <w:p w:rsidR="00367CF4" w:rsidP="00DC5D80" w:rsidRDefault="00367CF4" w14:paraId="5264733F" w14:textId="77777777">
      <w:pPr>
        <w:ind w:left="720"/>
      </w:pPr>
    </w:p>
    <w:p w:rsidR="00DC5D80" w:rsidP="00DC5D80" w:rsidRDefault="00297A2B" w14:paraId="34DDC216" w14:textId="698B5F95">
      <w:pPr>
        <w:ind w:left="720"/>
      </w:pPr>
      <w:r>
        <w:t>This is a recordkeeping</w:t>
      </w:r>
      <w:r w:rsidR="005F752B">
        <w:t xml:space="preserve"> requirement.  The OMB control number and expiration date associated with this PRA submission will be displayed on the Federal Government’s</w:t>
      </w:r>
      <w:r w:rsidR="00DC5D80">
        <w:t xml:space="preserve"> electronic PRA docket website at </w:t>
      </w:r>
      <w:hyperlink w:history="1" r:id="rId8">
        <w:r w:rsidRPr="007F1BFB" w:rsidR="00DC5D80">
          <w:rPr>
            <w:rStyle w:val="Hyperlink"/>
          </w:rPr>
          <w:t>www.reginfo.gov</w:t>
        </w:r>
      </w:hyperlink>
      <w:r w:rsidR="00DC5D80">
        <w:t>.</w:t>
      </w:r>
    </w:p>
    <w:p w:rsidRPr="00E44F63" w:rsidR="003A0D60" w:rsidP="00F94991" w:rsidRDefault="003A0D60" w14:paraId="60C9A597" w14:textId="77777777"/>
    <w:p w:rsidRPr="001E564B" w:rsidR="003A0D60" w:rsidP="00F94991" w:rsidRDefault="00F94991" w14:paraId="32E282EC" w14:textId="44314A41">
      <w:pPr>
        <w:rPr>
          <w:b/>
        </w:rPr>
      </w:pPr>
      <w:r>
        <w:rPr>
          <w:b/>
        </w:rPr>
        <w:t>18.</w:t>
      </w:r>
      <w:r>
        <w:rPr>
          <w:b/>
        </w:rPr>
        <w:tab/>
      </w:r>
      <w:r w:rsidRPr="00E44F63" w:rsidR="003A0D60">
        <w:rPr>
          <w:b/>
        </w:rPr>
        <w:t xml:space="preserve">Exceptions to </w:t>
      </w:r>
      <w:r w:rsidR="00697925">
        <w:rPr>
          <w:b/>
        </w:rPr>
        <w:t xml:space="preserve">the </w:t>
      </w:r>
      <w:r w:rsidRPr="00E44F63" w:rsidR="003A0D60">
        <w:rPr>
          <w:b/>
        </w:rPr>
        <w:t>Certification for Pap</w:t>
      </w:r>
      <w:r w:rsidR="00697925">
        <w:rPr>
          <w:b/>
        </w:rPr>
        <w:t>erwork Reduction Act Submission.</w:t>
      </w:r>
    </w:p>
    <w:p w:rsidR="00F94991" w:rsidP="00F94991" w:rsidRDefault="00F94991" w14:paraId="4406AF22" w14:textId="77777777"/>
    <w:p w:rsidR="003A0D60" w:rsidP="00F94991" w:rsidRDefault="00F94991" w14:paraId="36C5753F" w14:textId="03668048">
      <w:pPr>
        <w:ind w:left="720"/>
      </w:pPr>
      <w:r>
        <w:t>There are no exceptions to the certification statement.</w:t>
      </w:r>
    </w:p>
    <w:p w:rsidR="003A0D60" w:rsidP="00255577" w:rsidRDefault="003A0D60" w14:paraId="52DB84EF" w14:textId="7BA983E0">
      <w:pPr>
        <w:suppressAutoHyphens/>
        <w:ind w:left="720" w:hanging="720"/>
        <w:rPr>
          <w:caps/>
        </w:rPr>
      </w:pPr>
    </w:p>
    <w:p w:rsidR="0038426C" w:rsidP="00255577" w:rsidRDefault="0038426C" w14:paraId="313520A3" w14:textId="5E31D538">
      <w:pPr>
        <w:suppressAutoHyphens/>
        <w:ind w:left="720" w:hanging="720"/>
        <w:rPr>
          <w:caps/>
        </w:rPr>
      </w:pPr>
    </w:p>
    <w:p w:rsidRPr="004C0136" w:rsidR="0038426C" w:rsidP="00255577" w:rsidRDefault="0038426C" w14:paraId="38CDB48A" w14:textId="77777777">
      <w:pPr>
        <w:suppressAutoHyphens/>
        <w:ind w:left="720" w:hanging="720"/>
        <w:rPr>
          <w:caps/>
        </w:rPr>
      </w:pPr>
    </w:p>
    <w:p w:rsidRPr="001E564B" w:rsidR="003A0D60" w:rsidP="00255577" w:rsidRDefault="003A0D60" w14:paraId="4A87A568" w14:textId="77777777">
      <w:pPr>
        <w:pStyle w:val="ListParagraph"/>
        <w:numPr>
          <w:ilvl w:val="0"/>
          <w:numId w:val="2"/>
        </w:numPr>
        <w:suppressAutoHyphens/>
        <w:ind w:left="720" w:hanging="720"/>
        <w:rPr>
          <w:b/>
          <w:caps/>
        </w:rPr>
      </w:pPr>
      <w:r w:rsidRPr="004C0136">
        <w:rPr>
          <w:b/>
          <w:caps/>
        </w:rPr>
        <w:t>Collections of Information Employing Statistical Methods</w:t>
      </w:r>
    </w:p>
    <w:p w:rsidR="003A0D60" w:rsidP="00255577" w:rsidRDefault="003A0D60" w14:paraId="50E165CA" w14:textId="77777777">
      <w:pPr>
        <w:suppressAutoHyphens/>
        <w:ind w:left="720" w:hanging="720"/>
      </w:pPr>
    </w:p>
    <w:p w:rsidR="00221200" w:rsidP="003F238F" w:rsidRDefault="001E564B" w14:paraId="6AF3F5B5" w14:textId="566A6718">
      <w:pPr>
        <w:suppressAutoHyphens/>
        <w:ind w:left="720" w:hanging="720"/>
      </w:pPr>
      <w:r>
        <w:tab/>
      </w:r>
      <w:r w:rsidR="003A0D60">
        <w:t>This collection does no</w:t>
      </w:r>
      <w:r>
        <w:t>t involve statistical methods.</w:t>
      </w:r>
      <w:r w:rsidR="003A0D60">
        <w:t xml:space="preserve"> </w:t>
      </w:r>
    </w:p>
    <w:sectPr w:rsidR="002212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434AF" w14:textId="77777777" w:rsidR="00535F87" w:rsidRDefault="00535F87" w:rsidP="00521D83">
      <w:r>
        <w:separator/>
      </w:r>
    </w:p>
  </w:endnote>
  <w:endnote w:type="continuationSeparator" w:id="0">
    <w:p w14:paraId="152A027E" w14:textId="77777777" w:rsidR="00535F87" w:rsidRDefault="00535F87"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807954"/>
      <w:docPartObj>
        <w:docPartGallery w:val="Page Numbers (Bottom of Page)"/>
        <w:docPartUnique/>
      </w:docPartObj>
    </w:sdtPr>
    <w:sdtEndPr>
      <w:rPr>
        <w:noProof/>
      </w:rPr>
    </w:sdtEndPr>
    <w:sdtContent>
      <w:p w14:paraId="2BE56D16" w14:textId="5F218DC3" w:rsidR="00324E0A" w:rsidRDefault="00367CF4" w:rsidP="00324E0A">
        <w:pPr>
          <w:pStyle w:val="Footer"/>
        </w:pPr>
        <w:r w:rsidRPr="00367CF4">
          <w:rPr>
            <w:i/>
            <w:iCs/>
            <w:sz w:val="20"/>
            <w:szCs w:val="20"/>
          </w:rPr>
          <w:t xml:space="preserve">NPRM; </w:t>
        </w:r>
        <w:r w:rsidR="00324E0A" w:rsidRPr="00367CF4">
          <w:rPr>
            <w:i/>
            <w:iCs/>
            <w:sz w:val="20"/>
            <w:szCs w:val="20"/>
          </w:rPr>
          <w:t>OMB #3133-</w:t>
        </w:r>
        <w:r w:rsidRPr="00367CF4">
          <w:rPr>
            <w:i/>
            <w:iCs/>
            <w:sz w:val="20"/>
            <w:szCs w:val="20"/>
          </w:rPr>
          <w:t>NEW</w:t>
        </w:r>
        <w:r w:rsidR="00324E0A" w:rsidRPr="00367CF4">
          <w:rPr>
            <w:i/>
            <w:iCs/>
            <w:sz w:val="20"/>
            <w:szCs w:val="20"/>
          </w:rPr>
          <w:t xml:space="preserve">; </w:t>
        </w:r>
        <w:r w:rsidR="00AD4DA0">
          <w:rPr>
            <w:i/>
            <w:iCs/>
            <w:sz w:val="20"/>
            <w:szCs w:val="20"/>
          </w:rPr>
          <w:t>February 2022</w:t>
        </w:r>
        <w:r w:rsidR="00324E0A">
          <w:tab/>
        </w:r>
        <w:r w:rsidR="00324E0A">
          <w:tab/>
        </w:r>
        <w:r w:rsidR="00324E0A">
          <w:fldChar w:fldCharType="begin"/>
        </w:r>
        <w:r w:rsidR="00324E0A">
          <w:instrText xml:space="preserve"> PAGE   \* MERGEFORMAT </w:instrText>
        </w:r>
        <w:r w:rsidR="00324E0A">
          <w:fldChar w:fldCharType="separate"/>
        </w:r>
        <w:r w:rsidR="009912EF">
          <w:rPr>
            <w:noProof/>
          </w:rPr>
          <w:t>9</w:t>
        </w:r>
        <w:r w:rsidR="00324E0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CB9A" w14:textId="77777777" w:rsidR="00535F87" w:rsidRDefault="00535F87" w:rsidP="00521D83">
      <w:r>
        <w:separator/>
      </w:r>
    </w:p>
  </w:footnote>
  <w:footnote w:type="continuationSeparator" w:id="0">
    <w:p w14:paraId="16D07A50" w14:textId="77777777" w:rsidR="00535F87" w:rsidRDefault="00535F87" w:rsidP="00521D83">
      <w:r>
        <w:continuationSeparator/>
      </w:r>
    </w:p>
  </w:footnote>
  <w:footnote w:id="1">
    <w:p w14:paraId="38C82DC9" w14:textId="77777777" w:rsidR="0046080D" w:rsidRDefault="0046080D" w:rsidP="0046080D">
      <w:pPr>
        <w:pStyle w:val="FootnoteText"/>
      </w:pPr>
      <w:r>
        <w:rPr>
          <w:rStyle w:val="FootnoteReference"/>
        </w:rPr>
        <w:footnoteRef/>
      </w:r>
      <w:r>
        <w:t xml:space="preserve"> 12 U.S.C. 1761b; 12 CFR 701.4, and Article VI, section 6 of the Federal Credit Union Bylaws codified in Appendix A of 12 CFR part 701.</w:t>
      </w:r>
    </w:p>
  </w:footnote>
  <w:footnote w:id="2">
    <w:p w14:paraId="19FE9153" w14:textId="77777777" w:rsidR="0046080D" w:rsidRDefault="0046080D" w:rsidP="0046080D">
      <w:pPr>
        <w:pStyle w:val="FootnoteText"/>
      </w:pPr>
      <w:r>
        <w:rPr>
          <w:rStyle w:val="FootnoteReference"/>
        </w:rPr>
        <w:footnoteRef/>
      </w:r>
      <w:r>
        <w:t xml:space="preserve"> 12 U.S.C. 1716b.</w:t>
      </w:r>
    </w:p>
  </w:footnote>
  <w:footnote w:id="3">
    <w:p w14:paraId="07C03C65" w14:textId="77777777" w:rsidR="00CA1967" w:rsidRDefault="00CA1967" w:rsidP="00CA1967">
      <w:pPr>
        <w:pStyle w:val="FootnoteText"/>
      </w:pPr>
      <w:r>
        <w:rPr>
          <w:rStyle w:val="FootnoteReference"/>
        </w:rPr>
        <w:footnoteRef/>
      </w:r>
      <w:r>
        <w:t xml:space="preserve"> 12 U.S.C. 1761.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275ED"/>
    <w:multiLevelType w:val="hybridMultilevel"/>
    <w:tmpl w:val="3A64666C"/>
    <w:lvl w:ilvl="0" w:tplc="5D445FD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0B380C"/>
    <w:multiLevelType w:val="hybridMultilevel"/>
    <w:tmpl w:val="AA4CD5D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A1636C"/>
    <w:multiLevelType w:val="hybridMultilevel"/>
    <w:tmpl w:val="6DA4BC96"/>
    <w:lvl w:ilvl="0" w:tplc="0C20AB9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11"/>
  </w:num>
  <w:num w:numId="3">
    <w:abstractNumId w:val="16"/>
  </w:num>
  <w:num w:numId="4">
    <w:abstractNumId w:val="6"/>
  </w:num>
  <w:num w:numId="5">
    <w:abstractNumId w:val="2"/>
  </w:num>
  <w:num w:numId="6">
    <w:abstractNumId w:val="10"/>
  </w:num>
  <w:num w:numId="7">
    <w:abstractNumId w:val="7"/>
  </w:num>
  <w:num w:numId="8">
    <w:abstractNumId w:val="5"/>
  </w:num>
  <w:num w:numId="9">
    <w:abstractNumId w:val="12"/>
  </w:num>
  <w:num w:numId="10">
    <w:abstractNumId w:val="15"/>
  </w:num>
  <w:num w:numId="11">
    <w:abstractNumId w:val="13"/>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0"/>
  </w:num>
  <w:num w:numId="14">
    <w:abstractNumId w:val="19"/>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8"/>
  </w:num>
  <w:num w:numId="18">
    <w:abstractNumId w:val="3"/>
  </w:num>
  <w:num w:numId="19">
    <w:abstractNumId w:val="17"/>
  </w:num>
  <w:num w:numId="20">
    <w:abstractNumId w:val="9"/>
  </w:num>
  <w:num w:numId="21">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35A4"/>
    <w:rsid w:val="0001447D"/>
    <w:rsid w:val="000217E0"/>
    <w:rsid w:val="000419B9"/>
    <w:rsid w:val="00042EC6"/>
    <w:rsid w:val="00055FE5"/>
    <w:rsid w:val="000612D6"/>
    <w:rsid w:val="0006260E"/>
    <w:rsid w:val="00071141"/>
    <w:rsid w:val="00073625"/>
    <w:rsid w:val="000A1328"/>
    <w:rsid w:val="000A1985"/>
    <w:rsid w:val="000B30C5"/>
    <w:rsid w:val="000F28ED"/>
    <w:rsid w:val="00107E24"/>
    <w:rsid w:val="00133660"/>
    <w:rsid w:val="00137230"/>
    <w:rsid w:val="00151D71"/>
    <w:rsid w:val="00161420"/>
    <w:rsid w:val="00186259"/>
    <w:rsid w:val="00197FC4"/>
    <w:rsid w:val="001A34C9"/>
    <w:rsid w:val="001A4295"/>
    <w:rsid w:val="001A7A1D"/>
    <w:rsid w:val="001C7BEE"/>
    <w:rsid w:val="001D0BD0"/>
    <w:rsid w:val="001E148B"/>
    <w:rsid w:val="001E564B"/>
    <w:rsid w:val="001F0A14"/>
    <w:rsid w:val="002005D8"/>
    <w:rsid w:val="0021428F"/>
    <w:rsid w:val="00221200"/>
    <w:rsid w:val="00221AEC"/>
    <w:rsid w:val="00240D96"/>
    <w:rsid w:val="0024652C"/>
    <w:rsid w:val="0025233B"/>
    <w:rsid w:val="00255577"/>
    <w:rsid w:val="0025598B"/>
    <w:rsid w:val="002811B7"/>
    <w:rsid w:val="00297A2B"/>
    <w:rsid w:val="002C3934"/>
    <w:rsid w:val="002C686F"/>
    <w:rsid w:val="002D5991"/>
    <w:rsid w:val="003216BC"/>
    <w:rsid w:val="00321A5E"/>
    <w:rsid w:val="003234FD"/>
    <w:rsid w:val="00324E0A"/>
    <w:rsid w:val="00367CF4"/>
    <w:rsid w:val="003808EA"/>
    <w:rsid w:val="00381567"/>
    <w:rsid w:val="0038426C"/>
    <w:rsid w:val="003A0D60"/>
    <w:rsid w:val="003B4CD4"/>
    <w:rsid w:val="003D5979"/>
    <w:rsid w:val="003F238F"/>
    <w:rsid w:val="00447E6D"/>
    <w:rsid w:val="0046080D"/>
    <w:rsid w:val="0048370E"/>
    <w:rsid w:val="004857DD"/>
    <w:rsid w:val="00492DDD"/>
    <w:rsid w:val="004976E5"/>
    <w:rsid w:val="004B0289"/>
    <w:rsid w:val="004B06B3"/>
    <w:rsid w:val="004B0C06"/>
    <w:rsid w:val="004B5821"/>
    <w:rsid w:val="004C4F14"/>
    <w:rsid w:val="004D0FCD"/>
    <w:rsid w:val="004D5CDC"/>
    <w:rsid w:val="004E2EB4"/>
    <w:rsid w:val="004E6F9A"/>
    <w:rsid w:val="00505A35"/>
    <w:rsid w:val="00512690"/>
    <w:rsid w:val="00521D83"/>
    <w:rsid w:val="00533EFB"/>
    <w:rsid w:val="00535F87"/>
    <w:rsid w:val="00542B6E"/>
    <w:rsid w:val="00550D18"/>
    <w:rsid w:val="00554C4E"/>
    <w:rsid w:val="00587712"/>
    <w:rsid w:val="005923AA"/>
    <w:rsid w:val="005A2C2C"/>
    <w:rsid w:val="005B1AF1"/>
    <w:rsid w:val="005D0290"/>
    <w:rsid w:val="005E0C71"/>
    <w:rsid w:val="005F752B"/>
    <w:rsid w:val="00604814"/>
    <w:rsid w:val="00607AE6"/>
    <w:rsid w:val="00624B2D"/>
    <w:rsid w:val="00625090"/>
    <w:rsid w:val="0068366C"/>
    <w:rsid w:val="006923ED"/>
    <w:rsid w:val="00697925"/>
    <w:rsid w:val="006D1991"/>
    <w:rsid w:val="006F6B91"/>
    <w:rsid w:val="006F7393"/>
    <w:rsid w:val="00712796"/>
    <w:rsid w:val="00715923"/>
    <w:rsid w:val="00786E43"/>
    <w:rsid w:val="00797512"/>
    <w:rsid w:val="00797D37"/>
    <w:rsid w:val="007F16F7"/>
    <w:rsid w:val="007F67C5"/>
    <w:rsid w:val="00822F5E"/>
    <w:rsid w:val="00823BCF"/>
    <w:rsid w:val="00852482"/>
    <w:rsid w:val="00880B09"/>
    <w:rsid w:val="0089657C"/>
    <w:rsid w:val="008967D1"/>
    <w:rsid w:val="008A129B"/>
    <w:rsid w:val="008D5990"/>
    <w:rsid w:val="00905FAC"/>
    <w:rsid w:val="00916234"/>
    <w:rsid w:val="0093618B"/>
    <w:rsid w:val="009371DF"/>
    <w:rsid w:val="00963FAF"/>
    <w:rsid w:val="009912EF"/>
    <w:rsid w:val="009A075D"/>
    <w:rsid w:val="009F0805"/>
    <w:rsid w:val="00A0767D"/>
    <w:rsid w:val="00A331C5"/>
    <w:rsid w:val="00A353CD"/>
    <w:rsid w:val="00A95FE2"/>
    <w:rsid w:val="00AA329C"/>
    <w:rsid w:val="00AB1529"/>
    <w:rsid w:val="00AC3A32"/>
    <w:rsid w:val="00AD4DA0"/>
    <w:rsid w:val="00AE3129"/>
    <w:rsid w:val="00AE3C51"/>
    <w:rsid w:val="00B24692"/>
    <w:rsid w:val="00B36531"/>
    <w:rsid w:val="00B64969"/>
    <w:rsid w:val="00B72217"/>
    <w:rsid w:val="00BB1077"/>
    <w:rsid w:val="00BB6E2F"/>
    <w:rsid w:val="00BE1C8F"/>
    <w:rsid w:val="00C30AEA"/>
    <w:rsid w:val="00C371A1"/>
    <w:rsid w:val="00C42AB0"/>
    <w:rsid w:val="00C500BE"/>
    <w:rsid w:val="00C672C9"/>
    <w:rsid w:val="00C82F04"/>
    <w:rsid w:val="00CA1967"/>
    <w:rsid w:val="00CA4FFC"/>
    <w:rsid w:val="00CD029C"/>
    <w:rsid w:val="00CD251E"/>
    <w:rsid w:val="00CD5200"/>
    <w:rsid w:val="00CF1361"/>
    <w:rsid w:val="00D01916"/>
    <w:rsid w:val="00D12A59"/>
    <w:rsid w:val="00D14AFA"/>
    <w:rsid w:val="00D214DB"/>
    <w:rsid w:val="00D960E1"/>
    <w:rsid w:val="00DA68A6"/>
    <w:rsid w:val="00DA77DF"/>
    <w:rsid w:val="00DB6AB7"/>
    <w:rsid w:val="00DC5D80"/>
    <w:rsid w:val="00DD04A3"/>
    <w:rsid w:val="00DE2BDE"/>
    <w:rsid w:val="00DE341E"/>
    <w:rsid w:val="00DF3017"/>
    <w:rsid w:val="00E34549"/>
    <w:rsid w:val="00E34E91"/>
    <w:rsid w:val="00E35985"/>
    <w:rsid w:val="00E43C79"/>
    <w:rsid w:val="00E7120A"/>
    <w:rsid w:val="00E83C66"/>
    <w:rsid w:val="00E83F46"/>
    <w:rsid w:val="00EA31EC"/>
    <w:rsid w:val="00EB02BA"/>
    <w:rsid w:val="00ED172F"/>
    <w:rsid w:val="00ED5EDF"/>
    <w:rsid w:val="00EE32F8"/>
    <w:rsid w:val="00EF7361"/>
    <w:rsid w:val="00F07D1D"/>
    <w:rsid w:val="00F100ED"/>
    <w:rsid w:val="00F17420"/>
    <w:rsid w:val="00F25B8F"/>
    <w:rsid w:val="00F2773B"/>
    <w:rsid w:val="00F304DA"/>
    <w:rsid w:val="00F34CE7"/>
    <w:rsid w:val="00F45D90"/>
    <w:rsid w:val="00F83316"/>
    <w:rsid w:val="00F86061"/>
    <w:rsid w:val="00F94991"/>
    <w:rsid w:val="00FA3B10"/>
    <w:rsid w:val="00FB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unhideWhenUsed/>
    <w:qFormat/>
    <w:rsid w:val="00521D83"/>
    <w:rPr>
      <w:sz w:val="20"/>
      <w:szCs w:val="20"/>
    </w:rPr>
  </w:style>
  <w:style w:type="character" w:customStyle="1" w:styleId="FootnoteTextChar">
    <w:name w:val="Footnote Text Char"/>
    <w:aliases w:val="ALTS FOOTNOTE Char,Car Char,Char Char,Footnote Text Char Char Char,Footnote Text Char Char Char Char Char Char Char Char Char Char Char Char Char Char Char Char Char Char,Footnote Text Char1 Char Char Char,ORP Footnote Char,fn Char"/>
    <w:basedOn w:val="DefaultParagraphFont"/>
    <w:link w:val="FootnoteText"/>
    <w:uiPriority w:val="99"/>
    <w:rsid w:val="00521D83"/>
    <w:rPr>
      <w:rFonts w:ascii="Times New Roman" w:eastAsia="Times New Roman" w:hAnsi="Times New Roman" w:cs="Times New Roman"/>
      <w:sz w:val="20"/>
      <w:szCs w:val="20"/>
    </w:rPr>
  </w:style>
  <w:style w:type="character" w:styleId="FootnoteReference">
    <w:name w:val="footnote reference"/>
    <w:aliases w:val="fr,12,Style 19,Style 16,Style 35,Footnote Reference Superscript,SUPERS,BVI fnr,Footnote symbol,Footnote,(Footnote Reference),Footnote reference number,note TESI,EN Footnote Reference,Voetnootverwijzing,Times 10 Point,Exposant 3 Point"/>
    <w:basedOn w:val="DefaultParagraphFont"/>
    <w:uiPriority w:val="99"/>
    <w:unhideWhenUsed/>
    <w:qFormat/>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243">
      <w:bodyDiv w:val="1"/>
      <w:marLeft w:val="0"/>
      <w:marRight w:val="0"/>
      <w:marTop w:val="0"/>
      <w:marBottom w:val="0"/>
      <w:divBdr>
        <w:top w:val="none" w:sz="0" w:space="0" w:color="auto"/>
        <w:left w:val="none" w:sz="0" w:space="0" w:color="auto"/>
        <w:bottom w:val="none" w:sz="0" w:space="0" w:color="auto"/>
        <w:right w:val="none" w:sz="0" w:space="0" w:color="auto"/>
      </w:divBdr>
    </w:div>
    <w:div w:id="124087936">
      <w:bodyDiv w:val="1"/>
      <w:marLeft w:val="0"/>
      <w:marRight w:val="0"/>
      <w:marTop w:val="0"/>
      <w:marBottom w:val="0"/>
      <w:divBdr>
        <w:top w:val="none" w:sz="0" w:space="0" w:color="auto"/>
        <w:left w:val="none" w:sz="0" w:space="0" w:color="auto"/>
        <w:bottom w:val="none" w:sz="0" w:space="0" w:color="auto"/>
        <w:right w:val="none" w:sz="0" w:space="0" w:color="auto"/>
      </w:divBdr>
    </w:div>
    <w:div w:id="578902668">
      <w:bodyDiv w:val="1"/>
      <w:marLeft w:val="0"/>
      <w:marRight w:val="0"/>
      <w:marTop w:val="0"/>
      <w:marBottom w:val="0"/>
      <w:divBdr>
        <w:top w:val="none" w:sz="0" w:space="0" w:color="auto"/>
        <w:left w:val="none" w:sz="0" w:space="0" w:color="auto"/>
        <w:bottom w:val="none" w:sz="0" w:space="0" w:color="auto"/>
        <w:right w:val="none" w:sz="0" w:space="0" w:color="auto"/>
      </w:divBdr>
    </w:div>
    <w:div w:id="758062646">
      <w:bodyDiv w:val="1"/>
      <w:marLeft w:val="0"/>
      <w:marRight w:val="0"/>
      <w:marTop w:val="0"/>
      <w:marBottom w:val="0"/>
      <w:divBdr>
        <w:top w:val="none" w:sz="0" w:space="0" w:color="auto"/>
        <w:left w:val="none" w:sz="0" w:space="0" w:color="auto"/>
        <w:bottom w:val="none" w:sz="0" w:space="0" w:color="auto"/>
        <w:right w:val="none" w:sz="0" w:space="0" w:color="auto"/>
      </w:divBdr>
    </w:div>
    <w:div w:id="899898164">
      <w:bodyDiv w:val="1"/>
      <w:marLeft w:val="0"/>
      <w:marRight w:val="0"/>
      <w:marTop w:val="0"/>
      <w:marBottom w:val="0"/>
      <w:divBdr>
        <w:top w:val="none" w:sz="0" w:space="0" w:color="auto"/>
        <w:left w:val="none" w:sz="0" w:space="0" w:color="auto"/>
        <w:bottom w:val="none" w:sz="0" w:space="0" w:color="auto"/>
        <w:right w:val="none" w:sz="0" w:space="0" w:color="auto"/>
      </w:divBdr>
    </w:div>
    <w:div w:id="1057164282">
      <w:bodyDiv w:val="1"/>
      <w:marLeft w:val="0"/>
      <w:marRight w:val="0"/>
      <w:marTop w:val="0"/>
      <w:marBottom w:val="0"/>
      <w:divBdr>
        <w:top w:val="none" w:sz="0" w:space="0" w:color="auto"/>
        <w:left w:val="none" w:sz="0" w:space="0" w:color="auto"/>
        <w:bottom w:val="none" w:sz="0" w:space="0" w:color="auto"/>
        <w:right w:val="none" w:sz="0" w:space="0" w:color="auto"/>
      </w:divBdr>
    </w:div>
    <w:div w:id="1067459537">
      <w:bodyDiv w:val="1"/>
      <w:marLeft w:val="0"/>
      <w:marRight w:val="0"/>
      <w:marTop w:val="0"/>
      <w:marBottom w:val="0"/>
      <w:divBdr>
        <w:top w:val="none" w:sz="0" w:space="0" w:color="auto"/>
        <w:left w:val="none" w:sz="0" w:space="0" w:color="auto"/>
        <w:bottom w:val="none" w:sz="0" w:space="0" w:color="auto"/>
        <w:right w:val="none" w:sz="0" w:space="0" w:color="auto"/>
      </w:divBdr>
    </w:div>
    <w:div w:id="1248348326">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635526285">
      <w:bodyDiv w:val="1"/>
      <w:marLeft w:val="0"/>
      <w:marRight w:val="0"/>
      <w:marTop w:val="0"/>
      <w:marBottom w:val="0"/>
      <w:divBdr>
        <w:top w:val="none" w:sz="0" w:space="0" w:color="auto"/>
        <w:left w:val="none" w:sz="0" w:space="0" w:color="auto"/>
        <w:bottom w:val="none" w:sz="0" w:space="0" w:color="auto"/>
        <w:right w:val="none" w:sz="0" w:space="0" w:color="auto"/>
      </w:divBdr>
    </w:div>
    <w:div w:id="1851412223">
      <w:bodyDiv w:val="1"/>
      <w:marLeft w:val="0"/>
      <w:marRight w:val="0"/>
      <w:marTop w:val="0"/>
      <w:marBottom w:val="0"/>
      <w:divBdr>
        <w:top w:val="none" w:sz="0" w:space="0" w:color="auto"/>
        <w:left w:val="none" w:sz="0" w:space="0" w:color="auto"/>
        <w:bottom w:val="none" w:sz="0" w:space="0" w:color="auto"/>
        <w:right w:val="none" w:sz="0" w:space="0" w:color="auto"/>
      </w:divBdr>
    </w:div>
    <w:div w:id="19879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CFED-52B6-4538-87AF-F6DCAD87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2</cp:revision>
  <cp:lastPrinted>2015-01-14T13:05:00Z</cp:lastPrinted>
  <dcterms:created xsi:type="dcterms:W3CDTF">2022-02-11T14:01:00Z</dcterms:created>
  <dcterms:modified xsi:type="dcterms:W3CDTF">2022-02-11T14:01:00Z</dcterms:modified>
</cp:coreProperties>
</file>