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A4C48" w:rsidR="00BB4A35" w:rsidP="00BB4A35" w:rsidRDefault="00E95448" w14:paraId="5A579C0A" w14:textId="007DB65D">
      <w:pPr>
        <w:pStyle w:val="Hdng1Report-IPR"/>
        <w:rPr>
          <w:rFonts w:asciiTheme="minorHAnsi" w:hAnsiTheme="minorHAnsi" w:cstheme="minorHAnsi"/>
        </w:rPr>
      </w:pPr>
      <w:bookmarkStart w:name="_Toc416426640" w:id="0"/>
      <w:r w:rsidRPr="005A4C48">
        <w:rPr>
          <w:rFonts w:asciiTheme="minorHAnsi" w:hAnsiTheme="minorHAnsi" w:cstheme="minorHAnsi"/>
        </w:rPr>
        <w:t xml:space="preserve">Supporting statement </w:t>
      </w:r>
      <w:r w:rsidRPr="005A4C48" w:rsidR="00BB4A35">
        <w:rPr>
          <w:rFonts w:asciiTheme="minorHAnsi" w:hAnsiTheme="minorHAnsi" w:cstheme="minorHAnsi"/>
        </w:rPr>
        <w:t>PART b: Collection of Information Employing Statistical Methods</w:t>
      </w:r>
      <w:bookmarkEnd w:id="0"/>
    </w:p>
    <w:p w:rsidRPr="005A4C48" w:rsidR="00BB4A35" w:rsidP="00BB4A35" w:rsidRDefault="00BB4A35" w14:paraId="6E0A1953" w14:textId="77777777">
      <w:pPr>
        <w:pStyle w:val="Hdng2-IPR"/>
        <w:rPr>
          <w:rFonts w:asciiTheme="minorHAnsi" w:hAnsiTheme="minorHAnsi" w:cstheme="minorHAnsi"/>
        </w:rPr>
      </w:pPr>
      <w:bookmarkStart w:name="_Toc416426641" w:id="1"/>
      <w:r w:rsidRPr="005A4C48">
        <w:rPr>
          <w:rFonts w:asciiTheme="minorHAnsi" w:hAnsiTheme="minorHAnsi" w:cstheme="minorHAnsi"/>
        </w:rPr>
        <w:t>B.1.</w:t>
      </w:r>
      <w:r w:rsidRPr="005A4C48">
        <w:rPr>
          <w:rFonts w:asciiTheme="minorHAnsi" w:hAnsiTheme="minorHAnsi" w:cstheme="minorHAnsi"/>
        </w:rPr>
        <w:tab/>
        <w:t>Respondent Universe and Selection Methods</w:t>
      </w:r>
      <w:bookmarkEnd w:id="1"/>
    </w:p>
    <w:p w:rsidRPr="005A4C48" w:rsidR="00BB4A35" w:rsidP="00BB4A35" w:rsidRDefault="00BB4A35" w14:paraId="147A825C" w14:textId="77777777">
      <w:pPr>
        <w:pStyle w:val="OMBRequirementCalibri"/>
        <w:rPr>
          <w:rFonts w:cstheme="minorHAnsi"/>
        </w:rPr>
      </w:pPr>
      <w:r w:rsidRPr="005A4C48">
        <w:rPr>
          <w:rFonts w:cstheme="minorHAnsi"/>
        </w:rPr>
        <w:t>Describe (including a numerical estimate) the potential respondent universe and any sampling or other respondent selection method to be used. Data on the number of entities (e.g., establishments, State and local government units, households, or persons) in the universe covered by the collection and in the corresponding sample are to be provided in tabular form for the universe as a whole and for each of the strata in the proposed sample. Indicate expected response rates for the collection as a whole. If the collection had been conducted previously, include the actual response rate achieved during the last collection.</w:t>
      </w:r>
    </w:p>
    <w:p w:rsidRPr="00A97107" w:rsidR="00085E9D" w:rsidP="00085E9D" w:rsidRDefault="00085E9D" w14:paraId="35399046" w14:textId="29CC49A3">
      <w:pPr>
        <w:pStyle w:val="Body12ptCalibri-IPR"/>
        <w:ind w:firstLine="0"/>
        <w:rPr>
          <w:rFonts w:cstheme="minorHAnsi"/>
          <w:b/>
          <w:bCs/>
          <w:u w:val="single"/>
        </w:rPr>
      </w:pPr>
      <w:r w:rsidRPr="00A97107">
        <w:rPr>
          <w:rFonts w:cstheme="minorHAnsi"/>
          <w:b/>
          <w:bCs/>
          <w:u w:val="single"/>
        </w:rPr>
        <w:t>Overview:</w:t>
      </w:r>
    </w:p>
    <w:p w:rsidRPr="00150990" w:rsidR="000C268E" w:rsidP="00FB2B2D" w:rsidRDefault="00140DE8" w14:paraId="26033F00" w14:textId="2F80EB36">
      <w:pPr>
        <w:pStyle w:val="Body12ptCalibri-IPR"/>
        <w:rPr>
          <w:rFonts w:cstheme="minorHAnsi"/>
        </w:rPr>
      </w:pPr>
      <w:r w:rsidRPr="0064333D">
        <w:rPr>
          <w:rFonts w:cstheme="minorHAnsi"/>
        </w:rPr>
        <w:t xml:space="preserve">On behalf of the </w:t>
      </w:r>
      <w:r w:rsidRPr="0064333D">
        <w:rPr>
          <w:rFonts w:eastAsia="Times New Roman" w:cs="Arial"/>
          <w:color w:val="000000" w:themeColor="text1"/>
          <w:szCs w:val="24"/>
        </w:rPr>
        <w:t xml:space="preserve">Directorate of Computer and Information Science and Engineering (CISE) of the </w:t>
      </w:r>
      <w:r w:rsidRPr="0064333D">
        <w:rPr>
          <w:rFonts w:cstheme="minorHAnsi"/>
        </w:rPr>
        <w:t xml:space="preserve">National Science Foundation (NSF), the Computing Research Association’s (CRA) Center for Evaluating the Research Pipeline (CERP) </w:t>
      </w:r>
      <w:r w:rsidRPr="0064333D" w:rsidR="000C268E">
        <w:rPr>
          <w:rFonts w:cstheme="minorHAnsi"/>
        </w:rPr>
        <w:t xml:space="preserve">will be </w:t>
      </w:r>
      <w:r w:rsidRPr="0064333D" w:rsidR="00085E9D">
        <w:rPr>
          <w:rFonts w:cstheme="minorHAnsi"/>
        </w:rPr>
        <w:t xml:space="preserve">conducting the </w:t>
      </w:r>
      <w:r w:rsidRPr="000439DB" w:rsidR="000439DB">
        <w:rPr>
          <w:rFonts w:cstheme="minorHAnsi"/>
          <w:b/>
          <w:bCs/>
        </w:rPr>
        <w:t>NSF</w:t>
      </w:r>
      <w:r w:rsidR="000439DB">
        <w:rPr>
          <w:rFonts w:cstheme="minorHAnsi"/>
        </w:rPr>
        <w:t xml:space="preserve"> </w:t>
      </w:r>
      <w:r w:rsidRPr="0064333D" w:rsidR="00085E9D">
        <w:rPr>
          <w:rFonts w:eastAsia="Courier New" w:cs="Arial"/>
          <w:b/>
          <w:bCs/>
          <w:color w:val="000000" w:themeColor="text1"/>
          <w:szCs w:val="24"/>
        </w:rPr>
        <w:t xml:space="preserve">CISE REU </w:t>
      </w:r>
      <w:r w:rsidRPr="0064333D" w:rsidR="00217A88">
        <w:rPr>
          <w:rFonts w:eastAsia="Courier New" w:cs="Arial"/>
          <w:b/>
          <w:bCs/>
          <w:color w:val="000000" w:themeColor="text1"/>
          <w:szCs w:val="24"/>
        </w:rPr>
        <w:t>Sites and Supplements Evaluation</w:t>
      </w:r>
      <w:r w:rsidRPr="0064333D" w:rsidR="00085E9D">
        <w:rPr>
          <w:rFonts w:eastAsia="Courier New" w:cs="Arial"/>
          <w:b/>
          <w:bCs/>
          <w:color w:val="000000" w:themeColor="text1"/>
          <w:szCs w:val="24"/>
        </w:rPr>
        <w:t xml:space="preserve"> </w:t>
      </w:r>
      <w:r w:rsidRPr="0064333D" w:rsidR="00085E9D">
        <w:rPr>
          <w:rFonts w:eastAsia="Courier New" w:cs="Arial"/>
          <w:color w:val="000000" w:themeColor="text1"/>
          <w:szCs w:val="24"/>
        </w:rPr>
        <w:t xml:space="preserve">project. The project is designed to evaluate the </w:t>
      </w:r>
      <w:r w:rsidRPr="0064333D" w:rsidR="0064333D">
        <w:rPr>
          <w:rFonts w:eastAsia="Courier New" w:cs="Arial"/>
          <w:color w:val="000000" w:themeColor="text1"/>
          <w:szCs w:val="24"/>
        </w:rPr>
        <w:t>impact</w:t>
      </w:r>
      <w:r w:rsidRPr="0064333D" w:rsidR="00085E9D">
        <w:rPr>
          <w:rFonts w:eastAsia="Courier New" w:cs="Arial"/>
          <w:color w:val="000000" w:themeColor="text1"/>
          <w:szCs w:val="24"/>
        </w:rPr>
        <w:t xml:space="preserve"> of </w:t>
      </w:r>
      <w:r w:rsidRPr="0064333D" w:rsidR="0064333D">
        <w:rPr>
          <w:rFonts w:eastAsia="Courier New" w:cs="Arial"/>
          <w:color w:val="000000" w:themeColor="text1"/>
          <w:szCs w:val="24"/>
        </w:rPr>
        <w:t xml:space="preserve">the NSF CISE </w:t>
      </w:r>
      <w:r w:rsidR="00C104A5">
        <w:rPr>
          <w:rFonts w:eastAsia="Courier New" w:cs="Arial"/>
          <w:color w:val="000000" w:themeColor="text1"/>
          <w:szCs w:val="24"/>
        </w:rPr>
        <w:t>R</w:t>
      </w:r>
      <w:r w:rsidRPr="0064333D" w:rsidR="00085E9D">
        <w:rPr>
          <w:rFonts w:eastAsia="Courier New" w:cs="Arial"/>
          <w:color w:val="000000" w:themeColor="text1"/>
          <w:szCs w:val="24"/>
        </w:rPr>
        <w:t xml:space="preserve">esearch </w:t>
      </w:r>
      <w:r w:rsidR="00C104A5">
        <w:rPr>
          <w:rFonts w:eastAsia="Courier New" w:cs="Arial"/>
          <w:color w:val="000000" w:themeColor="text1"/>
          <w:szCs w:val="24"/>
        </w:rPr>
        <w:t>E</w:t>
      </w:r>
      <w:r w:rsidRPr="0064333D" w:rsidR="00085E9D">
        <w:rPr>
          <w:rFonts w:eastAsia="Courier New" w:cs="Arial"/>
          <w:color w:val="000000" w:themeColor="text1"/>
          <w:szCs w:val="24"/>
        </w:rPr>
        <w:t xml:space="preserve">xperiences for </w:t>
      </w:r>
      <w:r w:rsidR="00C104A5">
        <w:rPr>
          <w:rFonts w:eastAsia="Courier New" w:cs="Arial"/>
          <w:color w:val="000000" w:themeColor="text1"/>
          <w:szCs w:val="24"/>
        </w:rPr>
        <w:t>U</w:t>
      </w:r>
      <w:r w:rsidRPr="0064333D" w:rsidR="00085E9D">
        <w:rPr>
          <w:rFonts w:eastAsia="Courier New" w:cs="Arial"/>
          <w:color w:val="000000" w:themeColor="text1"/>
          <w:szCs w:val="24"/>
        </w:rPr>
        <w:t xml:space="preserve">ndergraduates (REU) </w:t>
      </w:r>
      <w:r w:rsidRPr="0064333D" w:rsidR="0064333D">
        <w:rPr>
          <w:rFonts w:eastAsia="Courier New" w:cs="Arial"/>
          <w:color w:val="000000" w:themeColor="text1"/>
          <w:szCs w:val="24"/>
        </w:rPr>
        <w:t xml:space="preserve">program. The project will </w:t>
      </w:r>
      <w:r w:rsidRPr="0064333D" w:rsidR="00085E9D">
        <w:rPr>
          <w:rFonts w:eastAsia="Courier New" w:cs="Arial"/>
          <w:color w:val="000000" w:themeColor="text1"/>
          <w:szCs w:val="24"/>
        </w:rPr>
        <w:t>coll</w:t>
      </w:r>
      <w:r w:rsidRPr="0064333D" w:rsidR="0064333D">
        <w:rPr>
          <w:rFonts w:eastAsia="Courier New" w:cs="Arial"/>
          <w:color w:val="000000" w:themeColor="text1"/>
          <w:szCs w:val="24"/>
        </w:rPr>
        <w:t>ect</w:t>
      </w:r>
      <w:r w:rsidRPr="0064333D" w:rsidR="000C268E">
        <w:rPr>
          <w:rFonts w:cstheme="minorHAnsi"/>
        </w:rPr>
        <w:t xml:space="preserve"> data from </w:t>
      </w:r>
      <w:r w:rsidRPr="000439DB" w:rsidR="00524EAB">
        <w:rPr>
          <w:rFonts w:cstheme="minorHAnsi"/>
        </w:rPr>
        <w:t xml:space="preserve">three groups of </w:t>
      </w:r>
      <w:r w:rsidRPr="00E66088" w:rsidR="000439DB">
        <w:rPr>
          <w:rFonts w:cstheme="minorHAnsi"/>
          <w:b/>
          <w:bCs/>
        </w:rPr>
        <w:t xml:space="preserve">student </w:t>
      </w:r>
      <w:r w:rsidRPr="00E66088" w:rsidR="00524EAB">
        <w:rPr>
          <w:rFonts w:cstheme="minorHAnsi"/>
          <w:b/>
          <w:bCs/>
        </w:rPr>
        <w:t>survey respondents</w:t>
      </w:r>
      <w:r w:rsidRPr="000439DB" w:rsidR="000C268E">
        <w:rPr>
          <w:rFonts w:cstheme="minorHAnsi"/>
        </w:rPr>
        <w:t xml:space="preserve">: </w:t>
      </w:r>
      <w:r w:rsidRPr="000439DB" w:rsidR="00524EAB">
        <w:rPr>
          <w:rFonts w:cstheme="minorHAnsi"/>
        </w:rPr>
        <w:t>(</w:t>
      </w:r>
      <w:r w:rsidRPr="000439DB" w:rsidR="000C268E">
        <w:rPr>
          <w:rFonts w:cstheme="minorHAnsi"/>
        </w:rPr>
        <w:t xml:space="preserve">1) </w:t>
      </w:r>
      <w:r w:rsidRPr="000439DB" w:rsidR="00524EAB">
        <w:rPr>
          <w:rFonts w:cstheme="minorHAnsi"/>
        </w:rPr>
        <w:t xml:space="preserve">NSF </w:t>
      </w:r>
      <w:r w:rsidRPr="000439DB" w:rsidR="005E5BF1">
        <w:rPr>
          <w:rFonts w:cstheme="minorHAnsi"/>
        </w:rPr>
        <w:t xml:space="preserve">CISE </w:t>
      </w:r>
      <w:r w:rsidRPr="000439DB" w:rsidR="0064333D">
        <w:rPr>
          <w:rFonts w:cstheme="minorHAnsi"/>
        </w:rPr>
        <w:t xml:space="preserve">Site or Supplement </w:t>
      </w:r>
      <w:r w:rsidRPr="000439DB" w:rsidR="00524EAB">
        <w:rPr>
          <w:rFonts w:cstheme="minorHAnsi"/>
        </w:rPr>
        <w:t xml:space="preserve">REU participants, </w:t>
      </w:r>
      <w:r w:rsidRPr="000439DB" w:rsidR="000C268E">
        <w:rPr>
          <w:rFonts w:cstheme="minorHAnsi"/>
        </w:rPr>
        <w:t>(2)</w:t>
      </w:r>
      <w:r w:rsidRPr="000439DB" w:rsidR="0064333D">
        <w:rPr>
          <w:rFonts w:cstheme="minorHAnsi"/>
        </w:rPr>
        <w:t xml:space="preserve"> undergraduate students who participate</w:t>
      </w:r>
      <w:r w:rsidRPr="000439DB" w:rsidR="00524EAB">
        <w:rPr>
          <w:rFonts w:cstheme="minorHAnsi"/>
        </w:rPr>
        <w:t xml:space="preserve"> in other</w:t>
      </w:r>
      <w:r w:rsidRPr="000439DB" w:rsidR="0064333D">
        <w:rPr>
          <w:rFonts w:cstheme="minorHAnsi"/>
        </w:rPr>
        <w:t xml:space="preserve">, non-NSF </w:t>
      </w:r>
      <w:r w:rsidRPr="000439DB" w:rsidR="00524EAB">
        <w:rPr>
          <w:rFonts w:cstheme="minorHAnsi"/>
        </w:rPr>
        <w:t>research experiences</w:t>
      </w:r>
      <w:r w:rsidRPr="000439DB" w:rsidR="0064333D">
        <w:rPr>
          <w:rFonts w:cstheme="minorHAnsi"/>
        </w:rPr>
        <w:t>, and (3) undergraduate students who do not participate in research</w:t>
      </w:r>
      <w:r w:rsidRPr="000439DB" w:rsidR="000C268E">
        <w:rPr>
          <w:rFonts w:cstheme="minorHAnsi"/>
        </w:rPr>
        <w:t>.</w:t>
      </w:r>
      <w:r w:rsidR="000439DB">
        <w:rPr>
          <w:rFonts w:cstheme="minorHAnsi"/>
        </w:rPr>
        <w:t xml:space="preserve"> The project will also collect information from </w:t>
      </w:r>
      <w:r w:rsidRPr="00E66088" w:rsidR="000439DB">
        <w:rPr>
          <w:rFonts w:cstheme="minorHAnsi"/>
          <w:b/>
          <w:bCs/>
        </w:rPr>
        <w:t xml:space="preserve">NSF CISE </w:t>
      </w:r>
      <w:r w:rsidR="00850F09">
        <w:rPr>
          <w:rFonts w:cstheme="minorHAnsi"/>
          <w:b/>
          <w:bCs/>
        </w:rPr>
        <w:t xml:space="preserve">REU </w:t>
      </w:r>
      <w:r w:rsidRPr="00E66088" w:rsidR="000439DB">
        <w:rPr>
          <w:rFonts w:cstheme="minorHAnsi"/>
          <w:b/>
          <w:bCs/>
        </w:rPr>
        <w:t>PIs</w:t>
      </w:r>
      <w:r w:rsidR="000439DB">
        <w:rPr>
          <w:rFonts w:cstheme="minorHAnsi"/>
        </w:rPr>
        <w:t xml:space="preserve"> who sign up to participate in the NSF-sponsored </w:t>
      </w:r>
      <w:r w:rsidR="00CC0F20">
        <w:rPr>
          <w:rFonts w:cstheme="minorHAnsi"/>
        </w:rPr>
        <w:t xml:space="preserve">REU </w:t>
      </w:r>
      <w:r w:rsidR="000439DB">
        <w:rPr>
          <w:rFonts w:cstheme="minorHAnsi"/>
        </w:rPr>
        <w:t>program evaluation.</w:t>
      </w:r>
    </w:p>
    <w:p w:rsidRPr="00A97107" w:rsidR="000C268E" w:rsidP="000C268E" w:rsidRDefault="000C268E" w14:paraId="7383A8B9" w14:textId="76570750">
      <w:pPr>
        <w:pStyle w:val="Body12ptCalibri-IPR"/>
        <w:ind w:firstLine="0"/>
        <w:rPr>
          <w:rFonts w:cstheme="minorHAnsi"/>
          <w:b/>
          <w:bCs/>
          <w:u w:val="single"/>
        </w:rPr>
      </w:pPr>
      <w:r w:rsidRPr="00A97107">
        <w:rPr>
          <w:rFonts w:cstheme="minorHAnsi"/>
          <w:b/>
          <w:bCs/>
          <w:u w:val="single"/>
        </w:rPr>
        <w:t>Description and Numerical Estimates:</w:t>
      </w:r>
    </w:p>
    <w:p w:rsidRPr="00FB4DD3" w:rsidR="00FB4DD3" w:rsidP="00094980" w:rsidRDefault="000C268E" w14:paraId="5707E9DE" w14:textId="77777777">
      <w:pPr>
        <w:pStyle w:val="Body12ptCalibri-IPR"/>
        <w:numPr>
          <w:ilvl w:val="0"/>
          <w:numId w:val="11"/>
        </w:numPr>
        <w:ind w:left="450" w:hanging="450"/>
        <w:rPr>
          <w:rFonts w:cstheme="minorHAnsi"/>
          <w:b/>
          <w:bCs/>
        </w:rPr>
      </w:pPr>
      <w:r w:rsidRPr="00FB4DD3">
        <w:rPr>
          <w:rFonts w:cstheme="minorHAnsi"/>
          <w:b/>
          <w:bCs/>
        </w:rPr>
        <w:t xml:space="preserve">NSF </w:t>
      </w:r>
      <w:r w:rsidRPr="00FB4DD3" w:rsidR="0064333D">
        <w:rPr>
          <w:rFonts w:cstheme="minorHAnsi"/>
          <w:b/>
          <w:bCs/>
        </w:rPr>
        <w:t xml:space="preserve">CISE </w:t>
      </w:r>
      <w:r w:rsidRPr="00FB4DD3" w:rsidR="00686676">
        <w:rPr>
          <w:rFonts w:cstheme="minorHAnsi"/>
          <w:b/>
          <w:bCs/>
        </w:rPr>
        <w:t xml:space="preserve">REU </w:t>
      </w:r>
      <w:r w:rsidRPr="00FB4DD3" w:rsidR="00150990">
        <w:rPr>
          <w:rFonts w:cstheme="minorHAnsi"/>
          <w:b/>
          <w:bCs/>
        </w:rPr>
        <w:t xml:space="preserve">Site and Supplement </w:t>
      </w:r>
      <w:r w:rsidRPr="00FB4DD3">
        <w:rPr>
          <w:rFonts w:cstheme="minorHAnsi"/>
          <w:b/>
          <w:bCs/>
        </w:rPr>
        <w:t>participants</w:t>
      </w:r>
    </w:p>
    <w:p w:rsidRPr="00FB60F2" w:rsidR="000C268E" w:rsidP="00FB4DD3" w:rsidRDefault="00DC7937" w14:paraId="159423B3" w14:textId="2CF97D1D">
      <w:pPr>
        <w:pStyle w:val="Body12ptCalibri-IPR"/>
        <w:ind w:left="360" w:firstLine="360"/>
        <w:rPr>
          <w:rFonts w:cstheme="minorHAnsi"/>
        </w:rPr>
      </w:pPr>
      <w:r w:rsidRPr="00FB60F2">
        <w:rPr>
          <w:rFonts w:cstheme="minorHAnsi"/>
          <w:iCs/>
        </w:rPr>
        <w:t>NSF CISE REU participants will include undergraduate students who participate in REU projects in which the project’s Principal Investigator (PI) chooses to use NSF-sponsored program evaluation services.</w:t>
      </w:r>
      <w:r w:rsidR="0024621F">
        <w:rPr>
          <w:rFonts w:cstheme="minorHAnsi"/>
          <w:iCs/>
        </w:rPr>
        <w:t xml:space="preserve"> </w:t>
      </w:r>
      <w:r w:rsidRPr="00FB60F2" w:rsidR="00A153E8">
        <w:rPr>
          <w:rFonts w:cstheme="minorHAnsi"/>
        </w:rPr>
        <w:t xml:space="preserve">The evaluation data collection period </w:t>
      </w:r>
      <w:r w:rsidRPr="00FB60F2">
        <w:rPr>
          <w:rFonts w:cstheme="minorHAnsi"/>
          <w:iCs/>
        </w:rPr>
        <w:t xml:space="preserve">will occur over a span of </w:t>
      </w:r>
      <w:r w:rsidRPr="00FB60F2">
        <w:rPr>
          <w:rFonts w:cstheme="minorHAnsi"/>
          <w:iCs/>
        </w:rPr>
        <w:lastRenderedPageBreak/>
        <w:t>2 1/3 years</w:t>
      </w:r>
      <w:r w:rsidRPr="00FB60F2">
        <w:rPr>
          <w:rFonts w:cstheme="minorHAnsi"/>
        </w:rPr>
        <w:t xml:space="preserve">; it </w:t>
      </w:r>
      <w:r w:rsidRPr="00FB60F2" w:rsidR="00A153E8">
        <w:rPr>
          <w:rFonts w:cstheme="minorHAnsi"/>
        </w:rPr>
        <w:t xml:space="preserve">will begin with projects running in </w:t>
      </w:r>
      <w:r w:rsidRPr="00FB60F2" w:rsidR="00150990">
        <w:rPr>
          <w:rFonts w:cstheme="minorHAnsi"/>
        </w:rPr>
        <w:t xml:space="preserve">Summer 2022 and </w:t>
      </w:r>
      <w:r w:rsidRPr="00FB60F2" w:rsidR="00AD529F">
        <w:rPr>
          <w:rFonts w:cstheme="minorHAnsi"/>
        </w:rPr>
        <w:t>will continue through the Summer 2024 term</w:t>
      </w:r>
      <w:r w:rsidRPr="00FB60F2" w:rsidR="00150990">
        <w:rPr>
          <w:rFonts w:cstheme="minorHAnsi"/>
        </w:rPr>
        <w:t xml:space="preserve">. </w:t>
      </w:r>
      <w:r w:rsidRPr="00FB60F2" w:rsidR="00A00C5B">
        <w:rPr>
          <w:rFonts w:cstheme="minorHAnsi"/>
        </w:rPr>
        <w:t xml:space="preserve"> </w:t>
      </w:r>
      <w:r w:rsidRPr="00FB60F2" w:rsidR="00465E52">
        <w:rPr>
          <w:rFonts w:cstheme="minorHAnsi"/>
        </w:rPr>
        <w:t xml:space="preserve">NSF records indicate that </w:t>
      </w:r>
      <w:r w:rsidRPr="00FB60F2" w:rsidR="000B0E84">
        <w:rPr>
          <w:rFonts w:cstheme="minorHAnsi"/>
        </w:rPr>
        <w:t>between 2018 and 2020</w:t>
      </w:r>
      <w:r w:rsidRPr="00FB60F2" w:rsidR="00EE1F2D">
        <w:rPr>
          <w:rFonts w:cstheme="minorHAnsi"/>
        </w:rPr>
        <w:t xml:space="preserve">, the number of REU participants has </w:t>
      </w:r>
      <w:r w:rsidRPr="00FB60F2" w:rsidR="000B0E84">
        <w:rPr>
          <w:rFonts w:cstheme="minorHAnsi"/>
        </w:rPr>
        <w:t xml:space="preserve">had a yearly </w:t>
      </w:r>
      <w:r w:rsidRPr="00FB60F2" w:rsidR="00EE1F2D">
        <w:rPr>
          <w:rFonts w:cstheme="minorHAnsi"/>
        </w:rPr>
        <w:t xml:space="preserve">average of </w:t>
      </w:r>
      <w:r w:rsidRPr="00FB60F2" w:rsidR="000B0E84">
        <w:rPr>
          <w:rFonts w:cstheme="minorHAnsi"/>
        </w:rPr>
        <w:t>almost 2,900</w:t>
      </w:r>
      <w:r w:rsidRPr="00FB60F2" w:rsidR="00EE1F2D">
        <w:rPr>
          <w:rFonts w:cstheme="minorHAnsi"/>
        </w:rPr>
        <w:t xml:space="preserve"> </w:t>
      </w:r>
      <w:r w:rsidRPr="00FB60F2" w:rsidR="000B0E84">
        <w:rPr>
          <w:rFonts w:cstheme="minorHAnsi"/>
        </w:rPr>
        <w:t xml:space="preserve">Site and Supplement CISE REU </w:t>
      </w:r>
      <w:r w:rsidRPr="00FB60F2" w:rsidR="00EE1F2D">
        <w:rPr>
          <w:rFonts w:cstheme="minorHAnsi"/>
        </w:rPr>
        <w:t>participants</w:t>
      </w:r>
      <w:r w:rsidR="005C114E">
        <w:rPr>
          <w:rStyle w:val="FootnoteReference"/>
          <w:rFonts w:cstheme="minorHAnsi"/>
        </w:rPr>
        <w:footnoteReference w:id="1"/>
      </w:r>
      <w:r w:rsidRPr="00FB60F2" w:rsidR="00EE1F2D">
        <w:rPr>
          <w:rFonts w:cstheme="minorHAnsi"/>
        </w:rPr>
        <w:t xml:space="preserve">. </w:t>
      </w:r>
      <w:r w:rsidRPr="00FB60F2" w:rsidR="000B0E84">
        <w:rPr>
          <w:rFonts w:cstheme="minorHAnsi"/>
        </w:rPr>
        <w:t xml:space="preserve">Estimating that slightly more than </w:t>
      </w:r>
      <w:r w:rsidR="00687730">
        <w:rPr>
          <w:rFonts w:cstheme="minorHAnsi"/>
        </w:rPr>
        <w:t>one third</w:t>
      </w:r>
      <w:r w:rsidRPr="00FB60F2" w:rsidR="00687730">
        <w:rPr>
          <w:rFonts w:cstheme="minorHAnsi"/>
        </w:rPr>
        <w:t xml:space="preserve"> </w:t>
      </w:r>
      <w:r w:rsidRPr="00FB60F2" w:rsidR="000B0E84">
        <w:rPr>
          <w:rFonts w:cstheme="minorHAnsi"/>
        </w:rPr>
        <w:t>of the</w:t>
      </w:r>
      <w:r w:rsidR="00D06273">
        <w:rPr>
          <w:rFonts w:cstheme="minorHAnsi"/>
        </w:rPr>
        <w:t>se participants will be in REUs in which the</w:t>
      </w:r>
      <w:r w:rsidRPr="00FB60F2" w:rsidR="000B0E84">
        <w:rPr>
          <w:rFonts w:cstheme="minorHAnsi"/>
        </w:rPr>
        <w:t xml:space="preserve"> PIs will choose to be included in the </w:t>
      </w:r>
      <w:r w:rsidR="00D06273">
        <w:rPr>
          <w:rFonts w:cstheme="minorHAnsi"/>
        </w:rPr>
        <w:t xml:space="preserve">NSF-funded </w:t>
      </w:r>
      <w:r w:rsidRPr="00FB60F2" w:rsidR="000B0E84">
        <w:rPr>
          <w:rFonts w:cstheme="minorHAnsi"/>
        </w:rPr>
        <w:t>evaluation would result in a yearly total of approximately 1,</w:t>
      </w:r>
      <w:r w:rsidR="00687730">
        <w:rPr>
          <w:rFonts w:cstheme="minorHAnsi"/>
        </w:rPr>
        <w:t>0</w:t>
      </w:r>
      <w:r w:rsidRPr="00FB60F2" w:rsidR="000B0E84">
        <w:rPr>
          <w:rFonts w:cstheme="minorHAnsi"/>
        </w:rPr>
        <w:t>00 REU participants for each of the first two years of data collection</w:t>
      </w:r>
      <w:r w:rsidR="0083091F">
        <w:rPr>
          <w:rStyle w:val="FootnoteReference"/>
          <w:rFonts w:cstheme="minorHAnsi"/>
        </w:rPr>
        <w:footnoteReference w:id="2"/>
      </w:r>
      <w:r w:rsidRPr="00FB60F2" w:rsidR="000B0E84">
        <w:rPr>
          <w:rFonts w:cstheme="minorHAnsi"/>
        </w:rPr>
        <w:t xml:space="preserve">, and </w:t>
      </w:r>
      <w:r w:rsidR="00687730">
        <w:rPr>
          <w:rFonts w:cstheme="minorHAnsi"/>
        </w:rPr>
        <w:t>333</w:t>
      </w:r>
      <w:r w:rsidRPr="00FB60F2" w:rsidR="00687730">
        <w:rPr>
          <w:rFonts w:cstheme="minorHAnsi"/>
        </w:rPr>
        <w:t xml:space="preserve"> </w:t>
      </w:r>
      <w:r w:rsidRPr="00FB60F2" w:rsidR="000B0E84">
        <w:rPr>
          <w:rFonts w:cstheme="minorHAnsi"/>
        </w:rPr>
        <w:t>participants in the third (partial) year.</w:t>
      </w:r>
      <w:r w:rsidRPr="00FB60F2" w:rsidR="00EE1F2D">
        <w:rPr>
          <w:rFonts w:cstheme="minorHAnsi"/>
        </w:rPr>
        <w:t xml:space="preserve"> </w:t>
      </w:r>
      <w:r w:rsidRPr="00FB60F2" w:rsidR="000B0E84">
        <w:rPr>
          <w:rFonts w:cstheme="minorHAnsi"/>
        </w:rPr>
        <w:t xml:space="preserve">In total, </w:t>
      </w:r>
      <w:r w:rsidRPr="00FB60F2" w:rsidR="00465E52">
        <w:rPr>
          <w:rFonts w:cstheme="minorHAnsi"/>
        </w:rPr>
        <w:t xml:space="preserve">there </w:t>
      </w:r>
      <w:r w:rsidRPr="00FB60F2" w:rsidR="00FB60F2">
        <w:rPr>
          <w:rFonts w:cstheme="minorHAnsi"/>
        </w:rPr>
        <w:t>would be</w:t>
      </w:r>
      <w:r w:rsidRPr="00FB60F2" w:rsidR="00465E52">
        <w:rPr>
          <w:rFonts w:cstheme="minorHAnsi"/>
        </w:rPr>
        <w:t xml:space="preserve"> approximately </w:t>
      </w:r>
      <w:r w:rsidR="00687730">
        <w:rPr>
          <w:rFonts w:cstheme="minorHAnsi"/>
        </w:rPr>
        <w:t>2,333</w:t>
      </w:r>
      <w:r w:rsidRPr="00FB60F2" w:rsidR="00A00C5B">
        <w:rPr>
          <w:rFonts w:cstheme="minorHAnsi"/>
        </w:rPr>
        <w:t xml:space="preserve"> </w:t>
      </w:r>
      <w:r w:rsidRPr="00FB60F2" w:rsidR="00465E52">
        <w:rPr>
          <w:rFonts w:cstheme="minorHAnsi"/>
        </w:rPr>
        <w:t xml:space="preserve"> </w:t>
      </w:r>
      <w:r w:rsidRPr="00FB60F2" w:rsidR="00FB60F2">
        <w:rPr>
          <w:rFonts w:cstheme="minorHAnsi"/>
        </w:rPr>
        <w:t>REU participants</w:t>
      </w:r>
      <w:r w:rsidRPr="00FB60F2" w:rsidR="00465E52">
        <w:rPr>
          <w:rFonts w:cstheme="minorHAnsi"/>
        </w:rPr>
        <w:t xml:space="preserve"> who will be </w:t>
      </w:r>
      <w:r w:rsidRPr="00FB60F2" w:rsidR="00FB60F2">
        <w:rPr>
          <w:rFonts w:cstheme="minorHAnsi"/>
        </w:rPr>
        <w:t>recruited</w:t>
      </w:r>
      <w:r w:rsidRPr="00FB60F2" w:rsidR="00465E52">
        <w:rPr>
          <w:rFonts w:cstheme="minorHAnsi"/>
        </w:rPr>
        <w:t xml:space="preserve"> for the </w:t>
      </w:r>
      <w:r w:rsidRPr="00FB60F2" w:rsidR="00FB60F2">
        <w:rPr>
          <w:rFonts w:cstheme="minorHAnsi"/>
        </w:rPr>
        <w:t>evaluation</w:t>
      </w:r>
      <w:r w:rsidRPr="00FB60F2" w:rsidR="00465E52">
        <w:rPr>
          <w:rFonts w:cstheme="minorHAnsi"/>
        </w:rPr>
        <w:t xml:space="preserve">. Samples will not be used; all </w:t>
      </w:r>
      <w:r w:rsidRPr="00FB60F2" w:rsidR="00FB60F2">
        <w:rPr>
          <w:rFonts w:cstheme="minorHAnsi"/>
        </w:rPr>
        <w:t xml:space="preserve">of these </w:t>
      </w:r>
      <w:r w:rsidRPr="00FB60F2" w:rsidR="00465E52">
        <w:rPr>
          <w:rFonts w:cstheme="minorHAnsi"/>
        </w:rPr>
        <w:t>participants will be invited to participate.</w:t>
      </w:r>
    </w:p>
    <w:p w:rsidRPr="00FB4DD3" w:rsidR="00FB4DD3" w:rsidP="00094980" w:rsidRDefault="000C268E" w14:paraId="2FC777CC" w14:textId="329CF143">
      <w:pPr>
        <w:pStyle w:val="Body12ptCalibri-IPR"/>
        <w:numPr>
          <w:ilvl w:val="0"/>
          <w:numId w:val="11"/>
        </w:numPr>
        <w:ind w:left="360"/>
        <w:rPr>
          <w:rFonts w:cstheme="minorHAnsi"/>
          <w:b/>
          <w:bCs/>
        </w:rPr>
      </w:pPr>
      <w:r w:rsidRPr="00FB4DD3">
        <w:rPr>
          <w:rFonts w:cstheme="minorHAnsi"/>
          <w:b/>
          <w:bCs/>
        </w:rPr>
        <w:t xml:space="preserve">Comparison </w:t>
      </w:r>
      <w:r w:rsidRPr="00FB4DD3" w:rsidR="00686676">
        <w:rPr>
          <w:rFonts w:cstheme="minorHAnsi"/>
          <w:b/>
          <w:bCs/>
        </w:rPr>
        <w:t xml:space="preserve">group </w:t>
      </w:r>
      <w:r w:rsidRPr="00FB4DD3">
        <w:rPr>
          <w:rFonts w:cstheme="minorHAnsi"/>
          <w:b/>
          <w:bCs/>
        </w:rPr>
        <w:t xml:space="preserve">participants who have had </w:t>
      </w:r>
      <w:r w:rsidRPr="00FB4DD3" w:rsidR="00686676">
        <w:rPr>
          <w:rFonts w:cstheme="minorHAnsi"/>
          <w:b/>
          <w:bCs/>
        </w:rPr>
        <w:t xml:space="preserve">no </w:t>
      </w:r>
      <w:r w:rsidR="00FB4DD3">
        <w:rPr>
          <w:rFonts w:cstheme="minorHAnsi"/>
          <w:b/>
          <w:bCs/>
        </w:rPr>
        <w:t xml:space="preserve">research experience </w:t>
      </w:r>
      <w:r w:rsidRPr="00FB4DD3" w:rsidR="00686676">
        <w:rPr>
          <w:rFonts w:cstheme="minorHAnsi"/>
          <w:b/>
          <w:bCs/>
        </w:rPr>
        <w:t xml:space="preserve">or </w:t>
      </w:r>
      <w:r w:rsidR="00DC77D9">
        <w:rPr>
          <w:rFonts w:cstheme="minorHAnsi"/>
          <w:b/>
          <w:bCs/>
        </w:rPr>
        <w:t xml:space="preserve">who have </w:t>
      </w:r>
      <w:r w:rsidRPr="00FB4DD3" w:rsidR="00686676">
        <w:rPr>
          <w:rFonts w:cstheme="minorHAnsi"/>
          <w:b/>
          <w:bCs/>
        </w:rPr>
        <w:t>non-NSF</w:t>
      </w:r>
      <w:r w:rsidRPr="00FB4DD3">
        <w:rPr>
          <w:rFonts w:cstheme="minorHAnsi"/>
          <w:b/>
          <w:bCs/>
        </w:rPr>
        <w:t xml:space="preserve"> </w:t>
      </w:r>
      <w:r w:rsidR="00E66088">
        <w:rPr>
          <w:rFonts w:cstheme="minorHAnsi"/>
          <w:b/>
          <w:bCs/>
        </w:rPr>
        <w:t xml:space="preserve">REU </w:t>
      </w:r>
      <w:r w:rsidRPr="00FB4DD3">
        <w:rPr>
          <w:rFonts w:cstheme="minorHAnsi"/>
          <w:b/>
          <w:bCs/>
        </w:rPr>
        <w:t>undergraduate research experiences</w:t>
      </w:r>
    </w:p>
    <w:p w:rsidR="00103DA6" w:rsidP="00FB4DD3" w:rsidRDefault="00686676" w14:paraId="40BE1386" w14:textId="24BE336C">
      <w:pPr>
        <w:pStyle w:val="Body12ptCalibri-IPR"/>
        <w:ind w:left="360" w:firstLine="360"/>
        <w:rPr>
          <w:rFonts w:cstheme="minorHAnsi"/>
        </w:rPr>
      </w:pPr>
      <w:r>
        <w:rPr>
          <w:rFonts w:cstheme="minorHAnsi"/>
        </w:rPr>
        <w:t xml:space="preserve">The NSF REU Sites and Supplements </w:t>
      </w:r>
      <w:r w:rsidR="00103DA6">
        <w:rPr>
          <w:rFonts w:cstheme="minorHAnsi"/>
        </w:rPr>
        <w:t xml:space="preserve">Evaluation </w:t>
      </w:r>
      <w:r>
        <w:rPr>
          <w:rFonts w:cstheme="minorHAnsi"/>
        </w:rPr>
        <w:t xml:space="preserve">Project will employ two comparison groups. One will be students who do not participate in undergraduate research. The other will be students who have a non-NSF undergraduate research experience. </w:t>
      </w:r>
    </w:p>
    <w:p w:rsidR="00103DA6" w:rsidP="00FB4DD3" w:rsidRDefault="00686676" w14:paraId="4A24E2C2" w14:textId="05994E65">
      <w:pPr>
        <w:pStyle w:val="Body12ptCalibri-IPR"/>
        <w:ind w:left="360" w:firstLine="360"/>
        <w:rPr>
          <w:rFonts w:cstheme="minorHAnsi"/>
        </w:rPr>
      </w:pPr>
      <w:r>
        <w:rPr>
          <w:rFonts w:cstheme="minorHAnsi"/>
        </w:rPr>
        <w:t xml:space="preserve">For both groups, </w:t>
      </w:r>
      <w:r w:rsidRPr="00223D47" w:rsidR="00140DE8">
        <w:rPr>
          <w:rFonts w:cstheme="minorHAnsi"/>
        </w:rPr>
        <w:t>CERP</w:t>
      </w:r>
      <w:r w:rsidRPr="00223D47" w:rsidR="000C268E">
        <w:rPr>
          <w:rFonts w:cstheme="minorHAnsi"/>
        </w:rPr>
        <w:t xml:space="preserve"> </w:t>
      </w:r>
      <w:r w:rsidRPr="00223D47" w:rsidR="00465E52">
        <w:rPr>
          <w:rFonts w:cstheme="minorHAnsi"/>
        </w:rPr>
        <w:t xml:space="preserve">will </w:t>
      </w:r>
      <w:r w:rsidR="00FB4DD3">
        <w:rPr>
          <w:rFonts w:cstheme="minorHAnsi"/>
        </w:rPr>
        <w:t>prepare</w:t>
      </w:r>
      <w:r w:rsidRPr="00223D47" w:rsidR="00465E52">
        <w:rPr>
          <w:rFonts w:cstheme="minorHAnsi"/>
        </w:rPr>
        <w:t xml:space="preserve"> a </w:t>
      </w:r>
      <w:r w:rsidR="00F70CB2">
        <w:rPr>
          <w:rFonts w:cstheme="minorHAnsi"/>
        </w:rPr>
        <w:t xml:space="preserve">single </w:t>
      </w:r>
      <w:r w:rsidRPr="00223D47" w:rsidR="00465E52">
        <w:rPr>
          <w:rFonts w:cstheme="minorHAnsi"/>
        </w:rPr>
        <w:t xml:space="preserve">list of potential comparison </w:t>
      </w:r>
      <w:r w:rsidR="0046592D">
        <w:rPr>
          <w:rFonts w:cstheme="minorHAnsi"/>
        </w:rPr>
        <w:t>students</w:t>
      </w:r>
      <w:r w:rsidRPr="00223D47" w:rsidR="00FB4DD3">
        <w:rPr>
          <w:rFonts w:cstheme="minorHAnsi"/>
        </w:rPr>
        <w:t xml:space="preserve"> </w:t>
      </w:r>
      <w:r w:rsidR="00FB4DD3">
        <w:rPr>
          <w:rFonts w:cstheme="minorHAnsi"/>
        </w:rPr>
        <w:t>using</w:t>
      </w:r>
      <w:r w:rsidR="0046592D">
        <w:rPr>
          <w:rFonts w:cstheme="minorHAnsi"/>
        </w:rPr>
        <w:t xml:space="preserve"> </w:t>
      </w:r>
      <w:r w:rsidR="00FB4DD3">
        <w:rPr>
          <w:rFonts w:cstheme="minorHAnsi"/>
        </w:rPr>
        <w:t xml:space="preserve"> </w:t>
      </w:r>
      <w:r w:rsidRPr="00223D47" w:rsidR="0046592D">
        <w:rPr>
          <w:rFonts w:cstheme="minorHAnsi"/>
        </w:rPr>
        <w:t xml:space="preserve">respondents </w:t>
      </w:r>
      <w:r w:rsidR="0046592D">
        <w:rPr>
          <w:rFonts w:cstheme="minorHAnsi"/>
        </w:rPr>
        <w:t>to</w:t>
      </w:r>
      <w:r w:rsidRPr="00223D47" w:rsidR="00465E52">
        <w:rPr>
          <w:rFonts w:cstheme="minorHAnsi"/>
        </w:rPr>
        <w:t xml:space="preserve"> </w:t>
      </w:r>
      <w:r w:rsidR="00FB4DD3">
        <w:rPr>
          <w:rFonts w:cstheme="minorHAnsi"/>
        </w:rPr>
        <w:t>a previously administered</w:t>
      </w:r>
      <w:r w:rsidRPr="00223D47" w:rsidR="00223D47">
        <w:rPr>
          <w:rFonts w:cstheme="minorHAnsi"/>
        </w:rPr>
        <w:t xml:space="preserve"> </w:t>
      </w:r>
      <w:r w:rsidR="00C06DA3">
        <w:rPr>
          <w:rFonts w:cstheme="minorHAnsi"/>
        </w:rPr>
        <w:t>CERP</w:t>
      </w:r>
      <w:r w:rsidR="00FB4DD3">
        <w:rPr>
          <w:rFonts w:cstheme="minorHAnsi"/>
        </w:rPr>
        <w:t xml:space="preserve"> survey. This </w:t>
      </w:r>
      <w:r>
        <w:rPr>
          <w:rFonts w:cstheme="minorHAnsi"/>
        </w:rPr>
        <w:t xml:space="preserve">survey, called </w:t>
      </w:r>
      <w:r w:rsidRPr="00223D47" w:rsidR="000C268E">
        <w:rPr>
          <w:rFonts w:cstheme="minorHAnsi"/>
        </w:rPr>
        <w:t xml:space="preserve">the </w:t>
      </w:r>
      <w:r w:rsidRPr="00223D47" w:rsidR="000C268E">
        <w:rPr>
          <w:rFonts w:cstheme="minorHAnsi"/>
          <w:b/>
          <w:bCs/>
        </w:rPr>
        <w:t>Data Buddies Survey (DBS)</w:t>
      </w:r>
      <w:r>
        <w:rPr>
          <w:rFonts w:cstheme="minorHAnsi"/>
        </w:rPr>
        <w:t xml:space="preserve">, </w:t>
      </w:r>
      <w:r w:rsidR="00FB4DD3">
        <w:rPr>
          <w:rFonts w:cstheme="minorHAnsi"/>
        </w:rPr>
        <w:t xml:space="preserve">is administered annually to students in computing, and it collects a range of information about </w:t>
      </w:r>
      <w:r>
        <w:rPr>
          <w:rFonts w:cstheme="minorHAnsi"/>
        </w:rPr>
        <w:t>r</w:t>
      </w:r>
      <w:r w:rsidRPr="00223D47" w:rsidR="000C268E">
        <w:rPr>
          <w:rFonts w:cstheme="minorHAnsi"/>
        </w:rPr>
        <w:t>espondents</w:t>
      </w:r>
      <w:r w:rsidR="0046592D">
        <w:rPr>
          <w:rFonts w:cstheme="minorHAnsi"/>
        </w:rPr>
        <w:t xml:space="preserve">, including their backgrounds, research experience, and intentions to engage in research as an undergraduate. Potential comparison respondents will </w:t>
      </w:r>
      <w:r w:rsidR="0046592D">
        <w:rPr>
          <w:rFonts w:cstheme="minorHAnsi"/>
        </w:rPr>
        <w:lastRenderedPageBreak/>
        <w:t>be identified if they meet the following criteria: (1) they gave</w:t>
      </w:r>
      <w:r>
        <w:rPr>
          <w:rFonts w:cstheme="minorHAnsi"/>
        </w:rPr>
        <w:t xml:space="preserve"> CERP permission to contact them for future studies</w:t>
      </w:r>
      <w:r w:rsidR="0046592D">
        <w:rPr>
          <w:rFonts w:cstheme="minorHAnsi"/>
        </w:rPr>
        <w:t>;</w:t>
      </w:r>
      <w:r>
        <w:rPr>
          <w:rFonts w:cstheme="minorHAnsi"/>
        </w:rPr>
        <w:t xml:space="preserve"> </w:t>
      </w:r>
      <w:r w:rsidR="0046592D">
        <w:rPr>
          <w:rFonts w:cstheme="minorHAnsi"/>
        </w:rPr>
        <w:t xml:space="preserve">(2) </w:t>
      </w:r>
      <w:r w:rsidR="0049738B">
        <w:rPr>
          <w:rFonts w:cstheme="minorHAnsi"/>
        </w:rPr>
        <w:t>they are current undergraduates</w:t>
      </w:r>
      <w:r w:rsidR="0046592D">
        <w:rPr>
          <w:rFonts w:cstheme="minorHAnsi"/>
        </w:rPr>
        <w:t xml:space="preserve">; </w:t>
      </w:r>
      <w:r w:rsidR="0049738B">
        <w:rPr>
          <w:rFonts w:cstheme="minorHAnsi"/>
        </w:rPr>
        <w:t xml:space="preserve">and </w:t>
      </w:r>
      <w:r w:rsidR="0046592D">
        <w:rPr>
          <w:rFonts w:cstheme="minorHAnsi"/>
        </w:rPr>
        <w:t xml:space="preserve">(3) </w:t>
      </w:r>
      <w:r w:rsidR="0049738B">
        <w:rPr>
          <w:rFonts w:cstheme="minorHAnsi"/>
        </w:rPr>
        <w:t>they had not engaged in any formal REUs at the time that they completed the DBS.</w:t>
      </w:r>
    </w:p>
    <w:p w:rsidR="00A501EA" w:rsidP="00FB4DD3" w:rsidRDefault="00A73E0B" w14:paraId="251E10C8" w14:textId="70C59CBE">
      <w:pPr>
        <w:pStyle w:val="Body12ptCalibri-IPR"/>
        <w:ind w:left="360" w:firstLine="360"/>
        <w:rPr>
          <w:rFonts w:cstheme="minorHAnsi"/>
        </w:rPr>
      </w:pPr>
      <w:r>
        <w:rPr>
          <w:rFonts w:cstheme="minorHAnsi"/>
        </w:rPr>
        <w:t>Using data from the most</w:t>
      </w:r>
      <w:r w:rsidR="00CC0F20">
        <w:rPr>
          <w:rFonts w:cstheme="minorHAnsi"/>
        </w:rPr>
        <w:t xml:space="preserve"> recently available</w:t>
      </w:r>
      <w:r>
        <w:rPr>
          <w:rFonts w:cstheme="minorHAnsi"/>
        </w:rPr>
        <w:t xml:space="preserve"> DBS collection, approximately 1,200 undergraduate students who were recruited from this ongoing cohort completed surveys in 2020. Of this number, approximately 20% had already engaged in formal research. Thus, there were slightly more than 1,000 undergraduates students in the cohort who </w:t>
      </w:r>
      <w:r w:rsidR="00EA6F50">
        <w:rPr>
          <w:rFonts w:cstheme="minorHAnsi"/>
        </w:rPr>
        <w:t xml:space="preserve">had </w:t>
      </w:r>
      <w:r w:rsidRPr="003F6ABF" w:rsidR="00EA6F50">
        <w:rPr>
          <w:rFonts w:cstheme="minorHAnsi"/>
          <w:u w:val="single"/>
        </w:rPr>
        <w:t>not</w:t>
      </w:r>
      <w:r w:rsidR="00EA6F50">
        <w:rPr>
          <w:rFonts w:cstheme="minorHAnsi"/>
        </w:rPr>
        <w:t xml:space="preserve"> already engaged in formal research and </w:t>
      </w:r>
      <w:r>
        <w:rPr>
          <w:rFonts w:cstheme="minorHAnsi"/>
        </w:rPr>
        <w:t xml:space="preserve">would </w:t>
      </w:r>
      <w:r w:rsidR="00EA6F50">
        <w:rPr>
          <w:rFonts w:cstheme="minorHAnsi"/>
        </w:rPr>
        <w:t xml:space="preserve">thus </w:t>
      </w:r>
      <w:r>
        <w:rPr>
          <w:rFonts w:cstheme="minorHAnsi"/>
        </w:rPr>
        <w:t xml:space="preserve">qualify to be comparison group respondents for the current study. We expect similar numbers for the </w:t>
      </w:r>
      <w:r w:rsidR="00A501EA">
        <w:rPr>
          <w:rFonts w:cstheme="minorHAnsi"/>
        </w:rPr>
        <w:t>2021 and (future) 2022 DBS cohorts, which will be used to pull comparison group participants for the current study.</w:t>
      </w:r>
    </w:p>
    <w:p w:rsidR="006E3B76" w:rsidP="00FB4DD3" w:rsidRDefault="00A501EA" w14:paraId="084FCE20" w14:textId="3F87E332">
      <w:pPr>
        <w:pStyle w:val="Body12ptCalibri-IPR"/>
        <w:ind w:left="360" w:firstLine="360"/>
        <w:rPr>
          <w:rFonts w:cstheme="minorHAnsi"/>
        </w:rPr>
      </w:pPr>
      <w:r>
        <w:rPr>
          <w:rFonts w:cstheme="minorHAnsi"/>
        </w:rPr>
        <w:t>Thus, a</w:t>
      </w:r>
      <w:r w:rsidR="00A73E0B">
        <w:rPr>
          <w:rFonts w:cstheme="minorHAnsi"/>
        </w:rPr>
        <w:t>cross the two cohorts of comparison group data collection, t</w:t>
      </w:r>
      <w:r w:rsidR="00A720EB">
        <w:rPr>
          <w:rFonts w:cstheme="minorHAnsi"/>
        </w:rPr>
        <w:t xml:space="preserve">he number of undergraduate DBS respondents who are expected to agree to participate in the new study is estimated to be approximately </w:t>
      </w:r>
      <w:r w:rsidR="00E34043">
        <w:rPr>
          <w:rFonts w:cstheme="minorHAnsi"/>
        </w:rPr>
        <w:t>2</w:t>
      </w:r>
      <w:r w:rsidR="00A720EB">
        <w:rPr>
          <w:rFonts w:cstheme="minorHAnsi"/>
        </w:rPr>
        <w:t>,000 students</w:t>
      </w:r>
      <w:r w:rsidR="006E3B76">
        <w:rPr>
          <w:rFonts w:cstheme="minorHAnsi"/>
        </w:rPr>
        <w:t xml:space="preserve"> (</w:t>
      </w:r>
      <w:r w:rsidR="00E34043">
        <w:rPr>
          <w:rFonts w:cstheme="minorHAnsi"/>
        </w:rPr>
        <w:t>1</w:t>
      </w:r>
      <w:r w:rsidR="006E3B76">
        <w:rPr>
          <w:rFonts w:cstheme="minorHAnsi"/>
        </w:rPr>
        <w:t>,000 in each of two years)</w:t>
      </w:r>
      <w:r w:rsidR="00A720EB">
        <w:rPr>
          <w:rFonts w:cstheme="minorHAnsi"/>
        </w:rPr>
        <w:t>.</w:t>
      </w:r>
      <w:r w:rsidR="0046592D">
        <w:rPr>
          <w:rFonts w:cstheme="minorHAnsi"/>
        </w:rPr>
        <w:t xml:space="preserve"> The respondents will be </w:t>
      </w:r>
      <w:r w:rsidR="00E66088">
        <w:rPr>
          <w:rFonts w:cstheme="minorHAnsi"/>
        </w:rPr>
        <w:t>assigned to</w:t>
      </w:r>
      <w:r w:rsidR="0046592D">
        <w:rPr>
          <w:rFonts w:cstheme="minorHAnsi"/>
        </w:rPr>
        <w:t xml:space="preserve"> the appropriate comparison group (no research experience or non-NSF REU research experience</w:t>
      </w:r>
      <w:r w:rsidR="00D06273">
        <w:rPr>
          <w:rFonts w:cstheme="minorHAnsi"/>
        </w:rPr>
        <w:t xml:space="preserve">) based on their responses on their </w:t>
      </w:r>
      <w:r w:rsidRPr="002A40A7" w:rsidR="00D06273">
        <w:rPr>
          <w:rFonts w:cstheme="minorHAnsi"/>
          <w:u w:val="single"/>
        </w:rPr>
        <w:t>follow-up</w:t>
      </w:r>
      <w:r w:rsidR="00D06273">
        <w:rPr>
          <w:rFonts w:cstheme="minorHAnsi"/>
        </w:rPr>
        <w:t xml:space="preserve"> surveys, which will be administered s</w:t>
      </w:r>
      <w:r w:rsidR="0046592D">
        <w:rPr>
          <w:rFonts w:cstheme="minorHAnsi"/>
        </w:rPr>
        <w:t xml:space="preserve">lightly more than one year </w:t>
      </w:r>
      <w:r w:rsidR="00D06273">
        <w:rPr>
          <w:rFonts w:cstheme="minorHAnsi"/>
        </w:rPr>
        <w:t>after their pre-surveys</w:t>
      </w:r>
      <w:r w:rsidR="00E43952">
        <w:rPr>
          <w:rFonts w:cstheme="minorHAnsi"/>
        </w:rPr>
        <w:t>. (Any respondents who have gone on to participate in an NSF REU will not be included in a comparison group.)</w:t>
      </w:r>
      <w:r w:rsidR="006E3B76">
        <w:rPr>
          <w:rFonts w:cstheme="minorHAnsi"/>
        </w:rPr>
        <w:t xml:space="preserve"> </w:t>
      </w:r>
    </w:p>
    <w:p w:rsidR="005E27A4" w:rsidP="00FB4DD3" w:rsidRDefault="006E3B76" w14:paraId="2D005404" w14:textId="0DF74C0C">
      <w:pPr>
        <w:pStyle w:val="Body12ptCalibri-IPR"/>
        <w:ind w:left="360" w:firstLine="360"/>
      </w:pPr>
      <w:r>
        <w:t xml:space="preserve">Previous years of DBS data suggest that </w:t>
      </w:r>
      <w:r w:rsidR="00CA4D44">
        <w:t>5</w:t>
      </w:r>
      <w:r>
        <w:t xml:space="preserve">0 – </w:t>
      </w:r>
      <w:r w:rsidR="00CA4D44">
        <w:t>6</w:t>
      </w:r>
      <w:r>
        <w:t xml:space="preserve">0% of undergraduates who have not had an undergraduate research experience plan to do so during their college career; thus, with a recruitment target of </w:t>
      </w:r>
      <w:r w:rsidR="00E34043">
        <w:t>2</w:t>
      </w:r>
      <w:r>
        <w:t xml:space="preserve">,000 comparison participants for the pre-survey and an expected </w:t>
      </w:r>
      <w:r w:rsidR="00CA4D44">
        <w:t>follow-up survey completion rate of 50%</w:t>
      </w:r>
      <w:r>
        <w:t xml:space="preserve">, we expect that there will be </w:t>
      </w:r>
      <w:r w:rsidRPr="003F6ABF" w:rsidR="00E34043">
        <w:rPr>
          <w:u w:val="single"/>
        </w:rPr>
        <w:t>1</w:t>
      </w:r>
      <w:r w:rsidRPr="003F6ABF" w:rsidR="00CA4D44">
        <w:rPr>
          <w:u w:val="single"/>
        </w:rPr>
        <w:t>,000 complete sets</w:t>
      </w:r>
      <w:r w:rsidR="00CA4D44">
        <w:t xml:space="preserve"> of </w:t>
      </w:r>
      <w:r w:rsidR="00CA4D44">
        <w:lastRenderedPageBreak/>
        <w:t>comparison participant pre</w:t>
      </w:r>
      <w:r w:rsidR="00E66088">
        <w:t>-</w:t>
      </w:r>
      <w:r w:rsidR="00CA4D44">
        <w:t xml:space="preserve"> and follow-up surveys. </w:t>
      </w:r>
      <w:r w:rsidR="00CC0F20">
        <w:t>If 50-60% of these respondents go on to have a formal research experience, t</w:t>
      </w:r>
      <w:r w:rsidR="00CA4D44">
        <w:t xml:space="preserve">his </w:t>
      </w:r>
      <w:r w:rsidR="00CC0F20">
        <w:t xml:space="preserve">would result in 500 – 600 comparison participants with a (non-NSF) REU research experience and </w:t>
      </w:r>
      <w:r w:rsidR="00E34043">
        <w:t>4</w:t>
      </w:r>
      <w:r w:rsidR="00CA4D44">
        <w:t xml:space="preserve">00 – </w:t>
      </w:r>
      <w:r w:rsidR="00E34043">
        <w:t>5</w:t>
      </w:r>
      <w:r w:rsidR="00CA4D44">
        <w:t>00 comparison participants without any research experience.</w:t>
      </w:r>
      <w:r>
        <w:t xml:space="preserve">  </w:t>
      </w:r>
    </w:p>
    <w:p w:rsidRPr="00FB4DD3" w:rsidR="000439DB" w:rsidP="00094980" w:rsidRDefault="000439DB" w14:paraId="261226F9" w14:textId="34120180">
      <w:pPr>
        <w:pStyle w:val="Body12ptCalibri-IPR"/>
        <w:numPr>
          <w:ilvl w:val="0"/>
          <w:numId w:val="11"/>
        </w:numPr>
        <w:ind w:left="360"/>
        <w:rPr>
          <w:rFonts w:cstheme="minorHAnsi"/>
          <w:b/>
          <w:bCs/>
        </w:rPr>
      </w:pPr>
      <w:r w:rsidRPr="00FB4DD3">
        <w:rPr>
          <w:rFonts w:cstheme="minorHAnsi"/>
          <w:b/>
          <w:bCs/>
        </w:rPr>
        <w:t xml:space="preserve">NSF CISE REU Site and Supplement </w:t>
      </w:r>
      <w:r>
        <w:rPr>
          <w:rFonts w:cstheme="minorHAnsi"/>
          <w:b/>
          <w:bCs/>
        </w:rPr>
        <w:t>Principal Investigators (PIs)</w:t>
      </w:r>
    </w:p>
    <w:p w:rsidR="000439DB" w:rsidP="000439DB" w:rsidRDefault="000439DB" w14:paraId="1170311D" w14:textId="1FFE1C7F">
      <w:pPr>
        <w:pStyle w:val="Body12ptCalibri-IPR"/>
        <w:ind w:left="360" w:firstLine="360"/>
        <w:rPr>
          <w:rFonts w:cstheme="minorHAnsi"/>
        </w:rPr>
      </w:pPr>
      <w:r w:rsidRPr="00FB60F2">
        <w:rPr>
          <w:rFonts w:cstheme="minorHAnsi"/>
          <w:iCs/>
        </w:rPr>
        <w:t xml:space="preserve">NSF CISE REU </w:t>
      </w:r>
      <w:r>
        <w:rPr>
          <w:rFonts w:cstheme="minorHAnsi"/>
          <w:iCs/>
        </w:rPr>
        <w:t>PIs who c</w:t>
      </w:r>
      <w:r w:rsidRPr="00FB60F2">
        <w:rPr>
          <w:rFonts w:cstheme="minorHAnsi"/>
          <w:iCs/>
        </w:rPr>
        <w:t>hoose to use NSF-sponsored program evaluation services</w:t>
      </w:r>
      <w:r>
        <w:rPr>
          <w:rFonts w:cstheme="minorHAnsi"/>
          <w:iCs/>
        </w:rPr>
        <w:t xml:space="preserve"> will be asked to complete two short forms about their REU</w:t>
      </w:r>
      <w:r w:rsidR="00E66088">
        <w:rPr>
          <w:rFonts w:cstheme="minorHAnsi"/>
          <w:iCs/>
        </w:rPr>
        <w:t xml:space="preserve"> and participating students</w:t>
      </w:r>
      <w:r w:rsidRPr="00FB60F2">
        <w:rPr>
          <w:rFonts w:cstheme="minorHAnsi"/>
          <w:iCs/>
        </w:rPr>
        <w:t>.</w:t>
      </w:r>
      <w:r>
        <w:rPr>
          <w:rFonts w:cstheme="minorHAnsi"/>
          <w:iCs/>
        </w:rPr>
        <w:t xml:space="preserve"> </w:t>
      </w:r>
      <w:r>
        <w:rPr>
          <w:rFonts w:cstheme="minorHAnsi"/>
        </w:rPr>
        <w:t xml:space="preserve">Based on past NSF records and PI interest expressed so far in using NSF/CERP for evaluation, we expect that approximately 100 PI’s will participate in evaluations of their REUs </w:t>
      </w:r>
      <w:r w:rsidRPr="00FB60F2">
        <w:rPr>
          <w:rFonts w:cstheme="minorHAnsi"/>
        </w:rPr>
        <w:t xml:space="preserve">for each of the first two years of data collection, and </w:t>
      </w:r>
      <w:r>
        <w:rPr>
          <w:rFonts w:cstheme="minorHAnsi"/>
        </w:rPr>
        <w:t>33</w:t>
      </w:r>
      <w:r w:rsidRPr="00FB60F2">
        <w:rPr>
          <w:rFonts w:cstheme="minorHAnsi"/>
        </w:rPr>
        <w:t xml:space="preserve"> </w:t>
      </w:r>
      <w:r>
        <w:rPr>
          <w:rFonts w:cstheme="minorHAnsi"/>
        </w:rPr>
        <w:t>PIs</w:t>
      </w:r>
      <w:r w:rsidRPr="00FB60F2">
        <w:rPr>
          <w:rFonts w:cstheme="minorHAnsi"/>
        </w:rPr>
        <w:t xml:space="preserve"> in the third (partial) year. In total, there would be approximately </w:t>
      </w:r>
      <w:proofErr w:type="gramStart"/>
      <w:r>
        <w:rPr>
          <w:rFonts w:cstheme="minorHAnsi"/>
        </w:rPr>
        <w:t>233</w:t>
      </w:r>
      <w:r w:rsidRPr="00FB60F2">
        <w:rPr>
          <w:rFonts w:cstheme="minorHAnsi"/>
        </w:rPr>
        <w:t xml:space="preserve">  REU</w:t>
      </w:r>
      <w:proofErr w:type="gramEnd"/>
      <w:r w:rsidRPr="00FB60F2">
        <w:rPr>
          <w:rFonts w:cstheme="minorHAnsi"/>
        </w:rPr>
        <w:t xml:space="preserve"> </w:t>
      </w:r>
      <w:r>
        <w:rPr>
          <w:rFonts w:cstheme="minorHAnsi"/>
        </w:rPr>
        <w:t>PIs</w:t>
      </w:r>
      <w:r w:rsidRPr="00FB60F2">
        <w:rPr>
          <w:rFonts w:cstheme="minorHAnsi"/>
        </w:rPr>
        <w:t xml:space="preserve"> who will be </w:t>
      </w:r>
      <w:r>
        <w:rPr>
          <w:rFonts w:cstheme="minorHAnsi"/>
        </w:rPr>
        <w:t>sign up to participate in</w:t>
      </w:r>
      <w:r w:rsidRPr="00FB60F2">
        <w:rPr>
          <w:rFonts w:cstheme="minorHAnsi"/>
        </w:rPr>
        <w:t xml:space="preserve"> the evaluation</w:t>
      </w:r>
      <w:r>
        <w:rPr>
          <w:rFonts w:cstheme="minorHAnsi"/>
        </w:rPr>
        <w:t>, and all will be asked to provide information about their REU(s)</w:t>
      </w:r>
      <w:r w:rsidRPr="00FB60F2">
        <w:rPr>
          <w:rFonts w:cstheme="minorHAnsi"/>
        </w:rPr>
        <w:t>.</w:t>
      </w:r>
    </w:p>
    <w:p w:rsidRPr="00E66088" w:rsidR="00683FBA" w:rsidP="00683FBA" w:rsidRDefault="00683FBA" w14:paraId="6E0F6E60" w14:textId="7C02BC53">
      <w:pPr>
        <w:pStyle w:val="Body12ptCalibri-IPR"/>
        <w:ind w:firstLine="0"/>
        <w:rPr>
          <w:rFonts w:cstheme="minorHAnsi"/>
          <w:b/>
          <w:bCs/>
          <w:u w:val="single"/>
        </w:rPr>
      </w:pPr>
      <w:r w:rsidRPr="00C2634B">
        <w:rPr>
          <w:rFonts w:cstheme="minorHAnsi"/>
          <w:b/>
          <w:bCs/>
          <w:u w:val="single"/>
        </w:rPr>
        <w:t>Expected Response Rates</w:t>
      </w:r>
    </w:p>
    <w:p w:rsidR="000439DB" w:rsidP="00E66088" w:rsidRDefault="00DC77D9" w14:paraId="40F72640" w14:textId="056B9D30">
      <w:pPr>
        <w:pStyle w:val="Body12ptCalibri-IPR"/>
        <w:numPr>
          <w:ilvl w:val="0"/>
          <w:numId w:val="21"/>
        </w:numPr>
        <w:ind w:left="360"/>
        <w:rPr>
          <w:rFonts w:cstheme="minorHAnsi"/>
          <w:b/>
          <w:bCs/>
        </w:rPr>
      </w:pPr>
      <w:r>
        <w:rPr>
          <w:rFonts w:cstheme="minorHAnsi"/>
          <w:b/>
          <w:bCs/>
        </w:rPr>
        <w:t>REU p</w:t>
      </w:r>
      <w:r w:rsidR="000439DB">
        <w:rPr>
          <w:rFonts w:cstheme="minorHAnsi"/>
          <w:b/>
          <w:bCs/>
        </w:rPr>
        <w:t>articipant respondents</w:t>
      </w:r>
    </w:p>
    <w:p w:rsidRPr="00E66088" w:rsidR="00EA01E6" w:rsidP="00FB2B2D" w:rsidRDefault="00C2634B" w14:paraId="2B33B205" w14:textId="6CA174E6">
      <w:pPr>
        <w:pStyle w:val="Body12ptCalibri-IPR"/>
        <w:rPr>
          <w:rFonts w:cstheme="minorHAnsi"/>
          <w:b/>
          <w:bCs/>
        </w:rPr>
      </w:pPr>
      <w:r>
        <w:rPr>
          <w:rFonts w:cstheme="minorHAnsi"/>
          <w:b/>
          <w:bCs/>
        </w:rPr>
        <w:t>Initial</w:t>
      </w:r>
      <w:r w:rsidRPr="00E66088" w:rsidR="00EA01E6">
        <w:rPr>
          <w:rFonts w:cstheme="minorHAnsi"/>
          <w:b/>
          <w:bCs/>
        </w:rPr>
        <w:t xml:space="preserve"> Survey</w:t>
      </w:r>
      <w:r w:rsidR="00F21F6A">
        <w:rPr>
          <w:rFonts w:cstheme="minorHAnsi"/>
          <w:b/>
          <w:bCs/>
        </w:rPr>
        <w:t xml:space="preserve"> and REU Post-Program Survey</w:t>
      </w:r>
      <w:r w:rsidRPr="00E66088" w:rsidR="00EA01E6">
        <w:rPr>
          <w:rFonts w:cstheme="minorHAnsi"/>
          <w:b/>
          <w:bCs/>
        </w:rPr>
        <w:t xml:space="preserve"> </w:t>
      </w:r>
    </w:p>
    <w:p w:rsidR="00EA01E6" w:rsidP="00FB2B2D" w:rsidRDefault="00140DE8" w14:paraId="7EBBB942" w14:textId="73BF8BD5">
      <w:pPr>
        <w:pStyle w:val="Body12ptCalibri-IPR"/>
        <w:rPr>
          <w:rFonts w:cstheme="minorHAnsi"/>
        </w:rPr>
      </w:pPr>
      <w:r w:rsidRPr="00C22BA8">
        <w:rPr>
          <w:rFonts w:cstheme="minorHAnsi"/>
        </w:rPr>
        <w:t>CERP</w:t>
      </w:r>
      <w:r w:rsidRPr="00C22BA8" w:rsidR="00A40C43">
        <w:rPr>
          <w:rFonts w:cstheme="minorHAnsi"/>
        </w:rPr>
        <w:t xml:space="preserve"> believe</w:t>
      </w:r>
      <w:r w:rsidRPr="00C22BA8">
        <w:rPr>
          <w:rFonts w:cstheme="minorHAnsi"/>
        </w:rPr>
        <w:t>s</w:t>
      </w:r>
      <w:r w:rsidRPr="00C22BA8" w:rsidR="00A40C43">
        <w:rPr>
          <w:rFonts w:cstheme="minorHAnsi"/>
        </w:rPr>
        <w:t xml:space="preserve"> that </w:t>
      </w:r>
      <w:r w:rsidR="00CC0F20">
        <w:rPr>
          <w:rFonts w:cstheme="minorHAnsi"/>
        </w:rPr>
        <w:t>REU participant</w:t>
      </w:r>
      <w:r w:rsidRPr="00C22BA8">
        <w:rPr>
          <w:rFonts w:cstheme="minorHAnsi"/>
        </w:rPr>
        <w:t xml:space="preserve"> respondents’</w:t>
      </w:r>
      <w:r w:rsidRPr="00C22BA8" w:rsidR="00A40C43">
        <w:rPr>
          <w:rFonts w:cstheme="minorHAnsi"/>
        </w:rPr>
        <w:t xml:space="preserve"> </w:t>
      </w:r>
      <w:r w:rsidR="00E44EE1">
        <w:rPr>
          <w:rFonts w:cstheme="minorHAnsi"/>
        </w:rPr>
        <w:t>response rates for their</w:t>
      </w:r>
      <w:r w:rsidRPr="00C22BA8" w:rsidR="00C22BA8">
        <w:rPr>
          <w:rFonts w:cstheme="minorHAnsi"/>
        </w:rPr>
        <w:t xml:space="preserve"> initial </w:t>
      </w:r>
      <w:r w:rsidR="00E44EE1">
        <w:rPr>
          <w:rFonts w:cstheme="minorHAnsi"/>
        </w:rPr>
        <w:t>s</w:t>
      </w:r>
      <w:r w:rsidRPr="00C22BA8" w:rsidR="00C22BA8">
        <w:rPr>
          <w:rFonts w:cstheme="minorHAnsi"/>
        </w:rPr>
        <w:t xml:space="preserve">urveys, </w:t>
      </w:r>
      <w:r w:rsidRPr="00C22BA8" w:rsidR="00A40C43">
        <w:rPr>
          <w:rFonts w:cstheme="minorHAnsi"/>
        </w:rPr>
        <w:t xml:space="preserve">will, on average, be </w:t>
      </w:r>
      <w:r w:rsidR="00CC0F20">
        <w:rPr>
          <w:rFonts w:cstheme="minorHAnsi"/>
        </w:rPr>
        <w:t xml:space="preserve">very high. This is because </w:t>
      </w:r>
      <w:r w:rsidR="00E44EE1">
        <w:rPr>
          <w:rFonts w:cstheme="minorHAnsi"/>
        </w:rPr>
        <w:t xml:space="preserve">the request </w:t>
      </w:r>
      <w:r w:rsidR="00C2634B">
        <w:rPr>
          <w:rFonts w:cstheme="minorHAnsi"/>
        </w:rPr>
        <w:t xml:space="preserve">to participate </w:t>
      </w:r>
      <w:r w:rsidR="00E44EE1">
        <w:rPr>
          <w:rFonts w:cstheme="minorHAnsi"/>
        </w:rPr>
        <w:t>will come from their REU advisor</w:t>
      </w:r>
      <w:r w:rsidR="00CC0F20">
        <w:rPr>
          <w:rFonts w:cstheme="minorHAnsi"/>
        </w:rPr>
        <w:t xml:space="preserve"> at the beginning of their REU experience, when motivation to participate in all REU activities is especially strong</w:t>
      </w:r>
      <w:r w:rsidR="00E44EE1">
        <w:rPr>
          <w:rFonts w:cstheme="minorHAnsi"/>
        </w:rPr>
        <w:t xml:space="preserve">. </w:t>
      </w:r>
      <w:r w:rsidR="00CC0F20">
        <w:rPr>
          <w:rFonts w:cstheme="minorHAnsi"/>
        </w:rPr>
        <w:t>REU participant</w:t>
      </w:r>
      <w:r w:rsidR="00E44EE1">
        <w:rPr>
          <w:rFonts w:cstheme="minorHAnsi"/>
        </w:rPr>
        <w:t xml:space="preserve"> post-program response rates are also expected to be high (about 70% of those completing an initial survey), again due to the</w:t>
      </w:r>
      <w:r w:rsidRPr="00C22BA8" w:rsidR="00C22BA8">
        <w:rPr>
          <w:rFonts w:cstheme="minorHAnsi"/>
        </w:rPr>
        <w:t xml:space="preserve"> personalized appeals from their project PI to take part in the surveys. </w:t>
      </w:r>
    </w:p>
    <w:p w:rsidRPr="003F6ABF" w:rsidR="00E44EE1" w:rsidP="00FB2B2D" w:rsidRDefault="00E44EE1" w14:paraId="44A97A2B" w14:textId="7D6CDA63">
      <w:pPr>
        <w:pStyle w:val="Body12ptCalibri-IPR"/>
        <w:rPr>
          <w:rFonts w:cstheme="minorHAnsi"/>
          <w:b/>
          <w:bCs/>
        </w:rPr>
      </w:pPr>
      <w:r w:rsidRPr="003F6ABF">
        <w:rPr>
          <w:rFonts w:cstheme="minorHAnsi"/>
          <w:b/>
          <w:bCs/>
        </w:rPr>
        <w:t>Follow-Up Survey</w:t>
      </w:r>
    </w:p>
    <w:p w:rsidR="00E44EE1" w:rsidP="00FB2B2D" w:rsidRDefault="00E44EE1" w14:paraId="17F067F6" w14:textId="09A36EB4">
      <w:pPr>
        <w:pStyle w:val="Body12ptCalibri-IPR"/>
        <w:rPr>
          <w:rFonts w:cstheme="minorHAnsi"/>
        </w:rPr>
      </w:pPr>
      <w:r>
        <w:rPr>
          <w:rFonts w:cstheme="minorHAnsi"/>
        </w:rPr>
        <w:lastRenderedPageBreak/>
        <w:t xml:space="preserve">As follow-up surveys will be conducted after about one year, we expect some </w:t>
      </w:r>
      <w:r w:rsidR="00C2634B">
        <w:rPr>
          <w:rFonts w:cstheme="minorHAnsi"/>
        </w:rPr>
        <w:t>drop-off</w:t>
      </w:r>
      <w:r>
        <w:rPr>
          <w:rFonts w:cstheme="minorHAnsi"/>
        </w:rPr>
        <w:t xml:space="preserve"> in response rates from the initial survey respondents. Specifically, we expect about 50% of those who completed an initial survey to also complete a one-year follow-up.</w:t>
      </w:r>
    </w:p>
    <w:p w:rsidR="00524EAB" w:rsidP="00FB2B2D" w:rsidRDefault="00E44EE1" w14:paraId="5D02ADBE" w14:textId="1F7D8CA5">
      <w:pPr>
        <w:pStyle w:val="Body12ptCalibri-IPR"/>
        <w:rPr>
          <w:rFonts w:cstheme="minorHAnsi"/>
        </w:rPr>
      </w:pPr>
      <w:r>
        <w:rPr>
          <w:rFonts w:cstheme="minorHAnsi"/>
        </w:rPr>
        <w:t xml:space="preserve">For all survey administrations, </w:t>
      </w:r>
      <w:r w:rsidRPr="00C22BA8" w:rsidR="00140DE8">
        <w:rPr>
          <w:rFonts w:cstheme="minorHAnsi"/>
        </w:rPr>
        <w:t xml:space="preserve">CERP’s </w:t>
      </w:r>
      <w:r w:rsidRPr="00C22BA8" w:rsidR="00A40C43">
        <w:rPr>
          <w:rFonts w:cstheme="minorHAnsi"/>
        </w:rPr>
        <w:t>recruitment process will include personalized appeals to participate</w:t>
      </w:r>
      <w:r w:rsidRPr="00C22BA8" w:rsidR="00140DE8">
        <w:rPr>
          <w:rFonts w:cstheme="minorHAnsi"/>
        </w:rPr>
        <w:t xml:space="preserve">, </w:t>
      </w:r>
      <w:r w:rsidRPr="00C22BA8" w:rsidR="00A40C43">
        <w:rPr>
          <w:rFonts w:cstheme="minorHAnsi"/>
        </w:rPr>
        <w:t>an emphasis on the respondents’ ability to contribute to understanding and improving undergraduate research experiences</w:t>
      </w:r>
      <w:r w:rsidRPr="00C22BA8" w:rsidR="00140DE8">
        <w:rPr>
          <w:rFonts w:cstheme="minorHAnsi"/>
        </w:rPr>
        <w:t>, and multiple attempts to elicit participation</w:t>
      </w:r>
      <w:r w:rsidRPr="00C22BA8" w:rsidR="00A40C43">
        <w:rPr>
          <w:rFonts w:cstheme="minorHAnsi"/>
        </w:rPr>
        <w:t>.</w:t>
      </w:r>
      <w:r w:rsidRPr="00C22BA8" w:rsidR="00140DE8">
        <w:rPr>
          <w:rFonts w:cstheme="minorHAnsi"/>
        </w:rPr>
        <w:t xml:space="preserve"> Efforts to maximize participation rates are further described in Section </w:t>
      </w:r>
      <w:r w:rsidRPr="00C22BA8" w:rsidR="00E85FDF">
        <w:rPr>
          <w:rFonts w:cstheme="minorHAnsi"/>
        </w:rPr>
        <w:t>B.3</w:t>
      </w:r>
      <w:r w:rsidRPr="00C22BA8" w:rsidR="00140DE8">
        <w:rPr>
          <w:rFonts w:cstheme="minorHAnsi"/>
        </w:rPr>
        <w:t>.</w:t>
      </w:r>
      <w:r w:rsidR="00EA6F50">
        <w:rPr>
          <w:rFonts w:cstheme="minorHAnsi"/>
        </w:rPr>
        <w:t xml:space="preserve"> Analyses of whether there is any systematic difference in those respondents who do versus do not complete a follow-up survey will also be conducted.</w:t>
      </w:r>
    </w:p>
    <w:p w:rsidR="00CC0F20" w:rsidP="00CC0F20" w:rsidRDefault="007621C0" w14:paraId="5796D2CC" w14:textId="469DFEFD">
      <w:pPr>
        <w:pStyle w:val="Body12ptCalibri-IPR"/>
        <w:numPr>
          <w:ilvl w:val="0"/>
          <w:numId w:val="21"/>
        </w:numPr>
        <w:ind w:left="360"/>
        <w:rPr>
          <w:rFonts w:cstheme="minorHAnsi"/>
          <w:b/>
          <w:bCs/>
        </w:rPr>
      </w:pPr>
      <w:r>
        <w:rPr>
          <w:rFonts w:cstheme="minorHAnsi"/>
          <w:b/>
          <w:bCs/>
        </w:rPr>
        <w:t>Comparison group</w:t>
      </w:r>
      <w:r w:rsidR="00CC0F20">
        <w:rPr>
          <w:rFonts w:cstheme="minorHAnsi"/>
          <w:b/>
          <w:bCs/>
        </w:rPr>
        <w:t xml:space="preserve"> respondents</w:t>
      </w:r>
    </w:p>
    <w:p w:rsidRPr="00E66088" w:rsidR="00CC0F20" w:rsidP="00CC0F20" w:rsidRDefault="00CC0F20" w14:paraId="5021B666" w14:textId="090E8DE6">
      <w:pPr>
        <w:pStyle w:val="Body12ptCalibri-IPR"/>
        <w:rPr>
          <w:rFonts w:cstheme="minorHAnsi"/>
          <w:b/>
          <w:bCs/>
        </w:rPr>
      </w:pPr>
      <w:r>
        <w:rPr>
          <w:rFonts w:cstheme="minorHAnsi"/>
          <w:b/>
          <w:bCs/>
        </w:rPr>
        <w:t>Initial</w:t>
      </w:r>
      <w:r w:rsidRPr="00E66088">
        <w:rPr>
          <w:rFonts w:cstheme="minorHAnsi"/>
          <w:b/>
          <w:bCs/>
        </w:rPr>
        <w:t xml:space="preserve"> Survey</w:t>
      </w:r>
      <w:r>
        <w:rPr>
          <w:rFonts w:cstheme="minorHAnsi"/>
          <w:b/>
          <w:bCs/>
        </w:rPr>
        <w:t xml:space="preserve"> </w:t>
      </w:r>
    </w:p>
    <w:p w:rsidRPr="00C22BA8" w:rsidR="00CC0F20" w:rsidP="00CC0F20" w:rsidRDefault="007621C0" w14:paraId="385F3C2D" w14:textId="042AF07A">
      <w:pPr>
        <w:pStyle w:val="Body12ptCalibri-IPR"/>
        <w:rPr>
          <w:rFonts w:cstheme="minorHAnsi"/>
        </w:rPr>
      </w:pPr>
      <w:r>
        <w:rPr>
          <w:rFonts w:cstheme="minorHAnsi"/>
        </w:rPr>
        <w:t>Pre-survey</w:t>
      </w:r>
      <w:r w:rsidR="00CC0F20">
        <w:rPr>
          <w:rFonts w:cstheme="minorHAnsi"/>
        </w:rPr>
        <w:t xml:space="preserve"> </w:t>
      </w:r>
      <w:r>
        <w:rPr>
          <w:rFonts w:cstheme="minorHAnsi"/>
        </w:rPr>
        <w:t xml:space="preserve">estimates of 1,000 respondents each year for comparison group participants have been </w:t>
      </w:r>
      <w:r w:rsidRPr="003F6ABF" w:rsidR="00CC0F20">
        <w:rPr>
          <w:rFonts w:cstheme="minorHAnsi"/>
        </w:rPr>
        <w:t>estimated based on response rates that CERP has achieved in previous survey research projects</w:t>
      </w:r>
      <w:r>
        <w:rPr>
          <w:rFonts w:cstheme="minorHAnsi"/>
        </w:rPr>
        <w:t>, and it reflects</w:t>
      </w:r>
      <w:r w:rsidRPr="003F6ABF" w:rsidR="00CC0F20">
        <w:rPr>
          <w:rFonts w:cstheme="minorHAnsi"/>
        </w:rPr>
        <w:t xml:space="preserve"> a response rate of approximately 30%</w:t>
      </w:r>
      <w:r>
        <w:rPr>
          <w:rFonts w:cstheme="minorHAnsi"/>
        </w:rPr>
        <w:t xml:space="preserve"> of those eligible</w:t>
      </w:r>
      <w:r w:rsidRPr="003F6ABF" w:rsidR="00CC0F20">
        <w:rPr>
          <w:rFonts w:cstheme="minorHAnsi"/>
        </w:rPr>
        <w:t xml:space="preserve">. </w:t>
      </w:r>
      <w:r w:rsidR="00CC0F20">
        <w:rPr>
          <w:rFonts w:cstheme="minorHAnsi"/>
        </w:rPr>
        <w:t>For this study</w:t>
      </w:r>
      <w:r w:rsidRPr="00C22BA8" w:rsidR="00CC0F20">
        <w:rPr>
          <w:rFonts w:cstheme="minorHAnsi"/>
        </w:rPr>
        <w:t xml:space="preserve">, we expect to see response rates that are </w:t>
      </w:r>
      <w:r w:rsidRPr="00C22BA8" w:rsidR="00CC0F20">
        <w:rPr>
          <w:rFonts w:cstheme="minorHAnsi"/>
          <w:u w:val="single"/>
        </w:rPr>
        <w:t>at least as high</w:t>
      </w:r>
      <w:r w:rsidRPr="00C22BA8" w:rsidR="00CC0F20">
        <w:rPr>
          <w:rFonts w:cstheme="minorHAnsi"/>
        </w:rPr>
        <w:t xml:space="preserve"> as that</w:t>
      </w:r>
      <w:r w:rsidR="00CC0F20">
        <w:rPr>
          <w:rFonts w:cstheme="minorHAnsi"/>
        </w:rPr>
        <w:t>, and perhaps higher, g</w:t>
      </w:r>
      <w:r w:rsidRPr="00C22BA8" w:rsidR="00CC0F20">
        <w:rPr>
          <w:rFonts w:cstheme="minorHAnsi"/>
        </w:rPr>
        <w:t xml:space="preserve">iven that </w:t>
      </w:r>
      <w:r w:rsidR="00CC0F20">
        <w:rPr>
          <w:rFonts w:cstheme="minorHAnsi"/>
        </w:rPr>
        <w:t xml:space="preserve">both </w:t>
      </w:r>
      <w:r w:rsidRPr="00C22BA8" w:rsidR="00CC0F20">
        <w:rPr>
          <w:rFonts w:cstheme="minorHAnsi"/>
        </w:rPr>
        <w:t xml:space="preserve">recruitment efforts and incentives </w:t>
      </w:r>
      <w:r w:rsidR="00CC0F20">
        <w:rPr>
          <w:rFonts w:cstheme="minorHAnsi"/>
        </w:rPr>
        <w:t xml:space="preserve">for this collection </w:t>
      </w:r>
      <w:r w:rsidRPr="00C22BA8" w:rsidR="00CC0F20">
        <w:rPr>
          <w:rFonts w:cstheme="minorHAnsi"/>
        </w:rPr>
        <w:t xml:space="preserve">will be greater than </w:t>
      </w:r>
      <w:r w:rsidR="00CC0F20">
        <w:rPr>
          <w:rFonts w:cstheme="minorHAnsi"/>
        </w:rPr>
        <w:t xml:space="preserve">for </w:t>
      </w:r>
      <w:r w:rsidRPr="00C22BA8" w:rsidR="00CC0F20">
        <w:rPr>
          <w:rFonts w:cstheme="minorHAnsi"/>
        </w:rPr>
        <w:t>previous studies</w:t>
      </w:r>
      <w:r w:rsidR="00CC0F20">
        <w:rPr>
          <w:rFonts w:cstheme="minorHAnsi"/>
        </w:rPr>
        <w:t xml:space="preserve">. </w:t>
      </w:r>
      <w:r w:rsidRPr="00C22BA8" w:rsidR="00CC0F20">
        <w:rPr>
          <w:rFonts w:cstheme="minorHAnsi"/>
        </w:rPr>
        <w:t xml:space="preserve"> </w:t>
      </w:r>
    </w:p>
    <w:p w:rsidRPr="003F6ABF" w:rsidR="00CC0F20" w:rsidP="00CC0F20" w:rsidRDefault="00CC0F20" w14:paraId="2C0E8290" w14:textId="77777777">
      <w:pPr>
        <w:pStyle w:val="Body12ptCalibri-IPR"/>
        <w:rPr>
          <w:rFonts w:cstheme="minorHAnsi"/>
          <w:b/>
          <w:bCs/>
        </w:rPr>
      </w:pPr>
      <w:r w:rsidRPr="003F6ABF">
        <w:rPr>
          <w:rFonts w:cstheme="minorHAnsi"/>
          <w:b/>
          <w:bCs/>
        </w:rPr>
        <w:t>Follow-Up Survey</w:t>
      </w:r>
    </w:p>
    <w:p w:rsidR="00CC0F20" w:rsidP="00CC0F20" w:rsidRDefault="007621C0" w14:paraId="43B3AB4C" w14:textId="24A89482">
      <w:pPr>
        <w:pStyle w:val="Body12ptCalibri-IPR"/>
        <w:rPr>
          <w:rFonts w:cstheme="minorHAnsi"/>
        </w:rPr>
      </w:pPr>
      <w:r>
        <w:rPr>
          <w:rFonts w:cstheme="minorHAnsi"/>
        </w:rPr>
        <w:t>Similar to expected response rates for REU participants, a</w:t>
      </w:r>
      <w:r w:rsidR="00CC0F20">
        <w:rPr>
          <w:rFonts w:cstheme="minorHAnsi"/>
        </w:rPr>
        <w:t>s follow-up surveys will be conducted after about one year, we expect some drop-off in response rates from the initial survey respondents. Specifically, we expect about 50% of those who completed an initial survey to also complete a one-year follow-up.</w:t>
      </w:r>
    </w:p>
    <w:p w:rsidR="00CC0F20" w:rsidP="00CC0F20" w:rsidRDefault="007621C0" w14:paraId="1622FED4" w14:textId="4AC0067D">
      <w:pPr>
        <w:pStyle w:val="Body12ptCalibri-IPR"/>
        <w:rPr>
          <w:rFonts w:cstheme="minorHAnsi"/>
        </w:rPr>
      </w:pPr>
      <w:r>
        <w:rPr>
          <w:rFonts w:cstheme="minorHAnsi"/>
        </w:rPr>
        <w:lastRenderedPageBreak/>
        <w:t xml:space="preserve">As with REU participant respondents, </w:t>
      </w:r>
      <w:r w:rsidRPr="00C22BA8" w:rsidR="00CC0F20">
        <w:rPr>
          <w:rFonts w:cstheme="minorHAnsi"/>
        </w:rPr>
        <w:t>CERP’s recruitment process will include personalized appeals to participate, an emphasis on the respondents’ ability to contribute to understanding and improving undergraduate research experiences, and multiple attempts to elicit participation. Efforts to maximize participation rates are further described in Section B.3.</w:t>
      </w:r>
      <w:r w:rsidR="00CC0F20">
        <w:rPr>
          <w:rFonts w:cstheme="minorHAnsi"/>
        </w:rPr>
        <w:t xml:space="preserve"> Analyses of whether there is any systematic difference in those respondents who do versus do not complete a follow-up survey will also be conducted.</w:t>
      </w:r>
    </w:p>
    <w:p w:rsidRPr="00FB4DD3" w:rsidR="000439DB" w:rsidP="00E66088" w:rsidRDefault="000439DB" w14:paraId="0AA35D77" w14:textId="3BD18418">
      <w:pPr>
        <w:pStyle w:val="Body12ptCalibri-IPR"/>
        <w:numPr>
          <w:ilvl w:val="0"/>
          <w:numId w:val="21"/>
        </w:numPr>
        <w:ind w:left="450" w:hanging="450"/>
        <w:rPr>
          <w:rFonts w:cstheme="minorHAnsi"/>
          <w:b/>
          <w:bCs/>
        </w:rPr>
      </w:pPr>
      <w:r w:rsidRPr="00FB4DD3">
        <w:rPr>
          <w:rFonts w:cstheme="minorHAnsi"/>
          <w:b/>
          <w:bCs/>
        </w:rPr>
        <w:t xml:space="preserve">NSF CISE REU Site and Supplement </w:t>
      </w:r>
      <w:r>
        <w:rPr>
          <w:rFonts w:cstheme="minorHAnsi"/>
          <w:b/>
          <w:bCs/>
        </w:rPr>
        <w:t>PI respondents</w:t>
      </w:r>
    </w:p>
    <w:p w:rsidRPr="00C22BA8" w:rsidR="000439DB" w:rsidP="00DC77D9" w:rsidRDefault="00DC77D9" w14:paraId="7D706A85" w14:textId="32BDD7A3">
      <w:pPr>
        <w:pStyle w:val="Body12ptCalibri-IPR"/>
        <w:rPr>
          <w:rFonts w:cstheme="minorHAnsi"/>
        </w:rPr>
      </w:pPr>
      <w:r>
        <w:rPr>
          <w:rFonts w:cstheme="minorHAnsi"/>
        </w:rPr>
        <w:t>All PIs in this study will be choosing to participate in the REU evaluation</w:t>
      </w:r>
      <w:r w:rsidR="00EA6F50">
        <w:rPr>
          <w:rFonts w:cstheme="minorHAnsi"/>
        </w:rPr>
        <w:t xml:space="preserve"> and will be motivated to provide basic REU information to allow for accurate documentation of their REU and its participating students</w:t>
      </w:r>
      <w:r>
        <w:rPr>
          <w:rFonts w:cstheme="minorHAnsi"/>
        </w:rPr>
        <w:t>. As such, we expect all of them to complete the basic REU information included in the brief T</w:t>
      </w:r>
      <w:r w:rsidR="004752CA">
        <w:rPr>
          <w:rFonts w:cstheme="minorHAnsi"/>
        </w:rPr>
        <w:t xml:space="preserve">ime </w:t>
      </w:r>
      <w:r>
        <w:rPr>
          <w:rFonts w:cstheme="minorHAnsi"/>
        </w:rPr>
        <w:t xml:space="preserve">1 PI </w:t>
      </w:r>
      <w:r w:rsidR="00831013">
        <w:rPr>
          <w:rFonts w:cstheme="minorHAnsi"/>
        </w:rPr>
        <w:t xml:space="preserve">REU </w:t>
      </w:r>
      <w:r>
        <w:rPr>
          <w:rFonts w:cstheme="minorHAnsi"/>
        </w:rPr>
        <w:t>Information Form</w:t>
      </w:r>
      <w:r w:rsidR="00EA6F50">
        <w:rPr>
          <w:rFonts w:cstheme="minorHAnsi"/>
        </w:rPr>
        <w:t xml:space="preserve">. Given </w:t>
      </w:r>
      <w:r w:rsidR="00767918">
        <w:rPr>
          <w:rFonts w:cstheme="minorHAnsi"/>
        </w:rPr>
        <w:t xml:space="preserve">the same factors – that PIs are selecting into the evaluation voluntarily and they will be </w:t>
      </w:r>
      <w:r w:rsidR="00EA6F50">
        <w:rPr>
          <w:rFonts w:cstheme="minorHAnsi"/>
        </w:rPr>
        <w:t>motivat</w:t>
      </w:r>
      <w:r w:rsidR="00767918">
        <w:rPr>
          <w:rFonts w:cstheme="minorHAnsi"/>
        </w:rPr>
        <w:t>ed</w:t>
      </w:r>
      <w:r w:rsidR="00EA6F50">
        <w:rPr>
          <w:rFonts w:cstheme="minorHAnsi"/>
        </w:rPr>
        <w:t xml:space="preserve"> to </w:t>
      </w:r>
      <w:r w:rsidR="00767918">
        <w:rPr>
          <w:rFonts w:cstheme="minorHAnsi"/>
        </w:rPr>
        <w:t>provide</w:t>
      </w:r>
      <w:r w:rsidR="00EA6F50">
        <w:rPr>
          <w:rFonts w:cstheme="minorHAnsi"/>
        </w:rPr>
        <w:t xml:space="preserve"> accurate data for their REU evaluations</w:t>
      </w:r>
      <w:r w:rsidR="00767918">
        <w:rPr>
          <w:rFonts w:cstheme="minorHAnsi"/>
        </w:rPr>
        <w:t xml:space="preserve"> – along with</w:t>
      </w:r>
      <w:r w:rsidR="00EA6F50">
        <w:rPr>
          <w:rFonts w:cstheme="minorHAnsi"/>
        </w:rPr>
        <w:t xml:space="preserve"> the very </w:t>
      </w:r>
      <w:proofErr w:type="gramStart"/>
      <w:r w:rsidR="00EA6F50">
        <w:rPr>
          <w:rFonts w:cstheme="minorHAnsi"/>
        </w:rPr>
        <w:t>small time</w:t>
      </w:r>
      <w:proofErr w:type="gramEnd"/>
      <w:r w:rsidR="00EA6F50">
        <w:rPr>
          <w:rFonts w:cstheme="minorHAnsi"/>
        </w:rPr>
        <w:t xml:space="preserve"> burden of the </w:t>
      </w:r>
      <w:r w:rsidR="00767918">
        <w:rPr>
          <w:rFonts w:cstheme="minorHAnsi"/>
        </w:rPr>
        <w:t>T</w:t>
      </w:r>
      <w:r w:rsidR="004752CA">
        <w:rPr>
          <w:rFonts w:cstheme="minorHAnsi"/>
        </w:rPr>
        <w:t xml:space="preserve">ime </w:t>
      </w:r>
      <w:r w:rsidR="00767918">
        <w:rPr>
          <w:rFonts w:cstheme="minorHAnsi"/>
        </w:rPr>
        <w:t xml:space="preserve">2 </w:t>
      </w:r>
      <w:r w:rsidR="00EA6F50">
        <w:rPr>
          <w:rFonts w:cstheme="minorHAnsi"/>
        </w:rPr>
        <w:t>form, w</w:t>
      </w:r>
      <w:r>
        <w:rPr>
          <w:rFonts w:cstheme="minorHAnsi"/>
        </w:rPr>
        <w:t xml:space="preserve">e also expect </w:t>
      </w:r>
      <w:r w:rsidR="00767918">
        <w:rPr>
          <w:rFonts w:cstheme="minorHAnsi"/>
        </w:rPr>
        <w:t xml:space="preserve">PI </w:t>
      </w:r>
      <w:r>
        <w:rPr>
          <w:rFonts w:cstheme="minorHAnsi"/>
        </w:rPr>
        <w:t>participation that is close to 100% for the T</w:t>
      </w:r>
      <w:r w:rsidR="004752CA">
        <w:rPr>
          <w:rFonts w:cstheme="minorHAnsi"/>
        </w:rPr>
        <w:t xml:space="preserve">ime </w:t>
      </w:r>
      <w:r>
        <w:rPr>
          <w:rFonts w:cstheme="minorHAnsi"/>
        </w:rPr>
        <w:t xml:space="preserve">2 </w:t>
      </w:r>
      <w:r w:rsidR="00EA6F50">
        <w:rPr>
          <w:rFonts w:cstheme="minorHAnsi"/>
        </w:rPr>
        <w:t xml:space="preserve">PI </w:t>
      </w:r>
      <w:r w:rsidR="00831013">
        <w:rPr>
          <w:rFonts w:cstheme="minorHAnsi"/>
        </w:rPr>
        <w:t xml:space="preserve">REU </w:t>
      </w:r>
      <w:r>
        <w:rPr>
          <w:rFonts w:cstheme="minorHAnsi"/>
        </w:rPr>
        <w:t xml:space="preserve">Information </w:t>
      </w:r>
      <w:r w:rsidR="00EA6F50">
        <w:rPr>
          <w:rFonts w:cstheme="minorHAnsi"/>
        </w:rPr>
        <w:t>Form.</w:t>
      </w:r>
    </w:p>
    <w:p w:rsidRPr="00C2634B" w:rsidR="00F57631" w:rsidP="00F57631" w:rsidRDefault="00F57631" w14:paraId="192AC8CD" w14:textId="77777777">
      <w:pPr>
        <w:pStyle w:val="Hdng2-IPR"/>
        <w:rPr>
          <w:rFonts w:asciiTheme="minorHAnsi" w:hAnsiTheme="minorHAnsi" w:cstheme="minorHAnsi"/>
        </w:rPr>
      </w:pPr>
      <w:bookmarkStart w:name="_Toc416426642" w:id="2"/>
      <w:r w:rsidRPr="00C2634B">
        <w:rPr>
          <w:rFonts w:asciiTheme="minorHAnsi" w:hAnsiTheme="minorHAnsi" w:cstheme="minorHAnsi"/>
        </w:rPr>
        <w:t>B.2.</w:t>
      </w:r>
      <w:r w:rsidRPr="00C2634B">
        <w:rPr>
          <w:rFonts w:asciiTheme="minorHAnsi" w:hAnsiTheme="minorHAnsi" w:cstheme="minorHAnsi"/>
        </w:rPr>
        <w:tab/>
        <w:t>Procedures for the Collection of Information</w:t>
      </w:r>
      <w:bookmarkEnd w:id="2"/>
    </w:p>
    <w:p w:rsidRPr="00C2634B" w:rsidR="00F57631" w:rsidP="00F57631" w:rsidRDefault="00F57631" w14:paraId="19662EB4" w14:textId="77777777">
      <w:pPr>
        <w:pStyle w:val="OMBRequirementCalibri"/>
        <w:rPr>
          <w:rFonts w:cstheme="minorHAnsi"/>
        </w:rPr>
      </w:pPr>
      <w:r w:rsidRPr="00C2634B">
        <w:rPr>
          <w:rFonts w:cstheme="minorHAnsi"/>
        </w:rPr>
        <w:t>Describe the procedures for the collection of information including:</w:t>
      </w:r>
    </w:p>
    <w:p w:rsidRPr="00C2634B" w:rsidR="00F57631" w:rsidP="00F57631" w:rsidRDefault="00F57631" w14:paraId="001A6049" w14:textId="77777777">
      <w:pPr>
        <w:pStyle w:val="Bullets12ptCalibri-IPR"/>
        <w:rPr>
          <w:rFonts w:asciiTheme="minorHAnsi" w:hAnsiTheme="minorHAnsi" w:cstheme="minorHAnsi"/>
          <w:b/>
        </w:rPr>
      </w:pPr>
      <w:r w:rsidRPr="00C2634B">
        <w:rPr>
          <w:rFonts w:asciiTheme="minorHAnsi" w:hAnsiTheme="minorHAnsi" w:cstheme="minorHAnsi"/>
          <w:b/>
        </w:rPr>
        <w:t>Statistical methodology for stratification and sample selection</w:t>
      </w:r>
    </w:p>
    <w:p w:rsidRPr="00C2634B" w:rsidR="00F57631" w:rsidP="00F57631" w:rsidRDefault="00F57631" w14:paraId="0EEC84C9" w14:textId="77777777">
      <w:pPr>
        <w:pStyle w:val="Bullets12ptCalibri-IPR"/>
        <w:rPr>
          <w:rFonts w:asciiTheme="minorHAnsi" w:hAnsiTheme="minorHAnsi" w:cstheme="minorHAnsi"/>
          <w:b/>
        </w:rPr>
      </w:pPr>
      <w:r w:rsidRPr="00C2634B">
        <w:rPr>
          <w:rFonts w:asciiTheme="minorHAnsi" w:hAnsiTheme="minorHAnsi" w:cstheme="minorHAnsi"/>
          <w:b/>
        </w:rPr>
        <w:t>Estimation procedure</w:t>
      </w:r>
    </w:p>
    <w:p w:rsidRPr="00C2634B" w:rsidR="00F57631" w:rsidP="00F57631" w:rsidRDefault="00F57631" w14:paraId="22AECDF4" w14:textId="77777777">
      <w:pPr>
        <w:pStyle w:val="Bullets12ptCalibri-IPR"/>
        <w:rPr>
          <w:rFonts w:asciiTheme="minorHAnsi" w:hAnsiTheme="minorHAnsi" w:cstheme="minorHAnsi"/>
          <w:b/>
        </w:rPr>
      </w:pPr>
      <w:r w:rsidRPr="00C2634B">
        <w:rPr>
          <w:rFonts w:asciiTheme="minorHAnsi" w:hAnsiTheme="minorHAnsi" w:cstheme="minorHAnsi"/>
          <w:b/>
        </w:rPr>
        <w:t>Degree of accuracy needed for the purpose described in the justification</w:t>
      </w:r>
    </w:p>
    <w:p w:rsidRPr="00C2634B" w:rsidR="00F57631" w:rsidP="00F57631" w:rsidRDefault="00F57631" w14:paraId="271FD94F" w14:textId="77777777">
      <w:pPr>
        <w:pStyle w:val="Bullets12ptCalibri-IPR"/>
        <w:rPr>
          <w:rFonts w:asciiTheme="minorHAnsi" w:hAnsiTheme="minorHAnsi" w:cstheme="minorHAnsi"/>
          <w:b/>
        </w:rPr>
      </w:pPr>
      <w:r w:rsidRPr="00C2634B">
        <w:rPr>
          <w:rFonts w:asciiTheme="minorHAnsi" w:hAnsiTheme="minorHAnsi" w:cstheme="minorHAnsi"/>
          <w:b/>
        </w:rPr>
        <w:t>Unusual problems requiring specialized sampling procedures</w:t>
      </w:r>
    </w:p>
    <w:p w:rsidRPr="00C2634B" w:rsidR="00F57631" w:rsidP="00F57631" w:rsidRDefault="00F57631" w14:paraId="0BE080E5" w14:textId="77777777">
      <w:pPr>
        <w:pStyle w:val="Bullets12ptCalibri-IPR"/>
        <w:rPr>
          <w:rFonts w:asciiTheme="minorHAnsi" w:hAnsiTheme="minorHAnsi" w:cstheme="minorHAnsi"/>
          <w:b/>
        </w:rPr>
      </w:pPr>
      <w:r w:rsidRPr="00C2634B">
        <w:rPr>
          <w:rFonts w:asciiTheme="minorHAnsi" w:hAnsiTheme="minorHAnsi" w:cstheme="minorHAnsi"/>
          <w:b/>
        </w:rPr>
        <w:t>Any use of periodic (less frequent than annual) data collection cycles to reduce burden</w:t>
      </w:r>
    </w:p>
    <w:p w:rsidRPr="00F70CB2" w:rsidR="00683FBA" w:rsidP="00683FBA" w:rsidRDefault="00683FBA" w14:paraId="06B698E3" w14:textId="1B3B2A6F">
      <w:pPr>
        <w:pStyle w:val="Body12ptCalibri-IPR"/>
        <w:ind w:firstLine="0"/>
        <w:rPr>
          <w:rFonts w:cstheme="minorHAnsi"/>
          <w:b/>
          <w:bCs/>
          <w:u w:val="single"/>
        </w:rPr>
      </w:pPr>
      <w:r w:rsidRPr="00C2634B">
        <w:rPr>
          <w:rFonts w:cstheme="minorHAnsi"/>
          <w:b/>
          <w:bCs/>
          <w:u w:val="single"/>
        </w:rPr>
        <w:t>Overview</w:t>
      </w:r>
    </w:p>
    <w:p w:rsidRPr="00F70CB2" w:rsidR="00A007BD" w:rsidP="00A007BD" w:rsidRDefault="00683FBA" w14:paraId="7FDFD347" w14:textId="0A8C53A8">
      <w:pPr>
        <w:pStyle w:val="Body12ptCalibri-IPR"/>
        <w:rPr>
          <w:rFonts w:eastAsia="Times New Roman"/>
          <w:color w:val="000000" w:themeColor="text1"/>
          <w:szCs w:val="24"/>
        </w:rPr>
      </w:pPr>
      <w:r w:rsidRPr="00F70CB2">
        <w:lastRenderedPageBreak/>
        <w:t xml:space="preserve">Data collection for this project intends to assess the </w:t>
      </w:r>
      <w:r w:rsidRPr="00F70CB2" w:rsidR="00F70CB2">
        <w:t xml:space="preserve">immediate and short-term (one-year) </w:t>
      </w:r>
      <w:r w:rsidRPr="00F70CB2">
        <w:t>impact</w:t>
      </w:r>
      <w:r w:rsidRPr="00F70CB2" w:rsidR="00F70CB2">
        <w:t xml:space="preserve">s of NSF CISE </w:t>
      </w:r>
      <w:r w:rsidRPr="00F70CB2">
        <w:t xml:space="preserve">REU participation. </w:t>
      </w:r>
      <w:r w:rsidRPr="00F70CB2" w:rsidR="006D7D55">
        <w:rPr>
          <w:rFonts w:eastAsia="Times New Roman"/>
          <w:color w:val="000000" w:themeColor="text1"/>
          <w:szCs w:val="24"/>
        </w:rPr>
        <w:t xml:space="preserve">The specific </w:t>
      </w:r>
      <w:bookmarkStart w:name="Objectives" w:id="3"/>
      <w:bookmarkEnd w:id="3"/>
      <w:r w:rsidRPr="00F70CB2" w:rsidR="00342159">
        <w:rPr>
          <w:rFonts w:eastAsia="Times New Roman"/>
          <w:color w:val="000000" w:themeColor="text1"/>
          <w:szCs w:val="24"/>
        </w:rPr>
        <w:t xml:space="preserve">research and </w:t>
      </w:r>
      <w:r w:rsidRPr="00F70CB2" w:rsidR="006D7D55">
        <w:rPr>
          <w:rFonts w:eastAsia="Times New Roman"/>
          <w:color w:val="000000" w:themeColor="text1"/>
          <w:szCs w:val="24"/>
        </w:rPr>
        <w:t xml:space="preserve">evaluation </w:t>
      </w:r>
      <w:r w:rsidRPr="00F70CB2" w:rsidR="00A007BD">
        <w:rPr>
          <w:rFonts w:eastAsia="Times New Roman"/>
          <w:color w:val="000000" w:themeColor="text1"/>
          <w:szCs w:val="24"/>
        </w:rPr>
        <w:t>questions include the following:</w:t>
      </w:r>
    </w:p>
    <w:p w:rsidRPr="00A007BD" w:rsidR="00A007BD" w:rsidP="00A007BD" w:rsidRDefault="00A007BD" w14:paraId="48B949DF" w14:textId="77777777">
      <w:pPr>
        <w:pStyle w:val="Body12ptCalibri-IPR"/>
        <w:numPr>
          <w:ilvl w:val="0"/>
          <w:numId w:val="19"/>
        </w:numPr>
        <w:rPr>
          <w:rFonts w:eastAsia="Times New Roman"/>
          <w:color w:val="000000" w:themeColor="text1"/>
          <w:szCs w:val="24"/>
        </w:rPr>
      </w:pPr>
      <w:r w:rsidRPr="00A007BD">
        <w:rPr>
          <w:rFonts w:eastAsia="Times New Roman"/>
          <w:color w:val="000000" w:themeColor="text1"/>
          <w:szCs w:val="24"/>
        </w:rPr>
        <w:t xml:space="preserve">Who are the students reached through the NSF REU Program, and how do they compare to students participating in other types of research experiences and to students in the broader CISE community? </w:t>
      </w:r>
    </w:p>
    <w:p w:rsidRPr="00A007BD" w:rsidR="00A007BD" w:rsidP="00A007BD" w:rsidRDefault="00A007BD" w14:paraId="0753CC41" w14:textId="77777777">
      <w:pPr>
        <w:pStyle w:val="Body12ptCalibri-IPR"/>
        <w:numPr>
          <w:ilvl w:val="0"/>
          <w:numId w:val="19"/>
        </w:numPr>
        <w:rPr>
          <w:rFonts w:eastAsia="Times New Roman"/>
          <w:color w:val="000000" w:themeColor="text1"/>
          <w:szCs w:val="24"/>
        </w:rPr>
      </w:pPr>
      <w:r w:rsidRPr="00A007BD">
        <w:rPr>
          <w:rFonts w:eastAsia="Times New Roman"/>
          <w:color w:val="000000" w:themeColor="text1"/>
          <w:szCs w:val="24"/>
        </w:rPr>
        <w:t xml:space="preserve">How do CISE REU Sites and REU Supplements differ from other research experiences (e.g., other REUs, internships, and independent research projects)? </w:t>
      </w:r>
    </w:p>
    <w:p w:rsidRPr="00A007BD" w:rsidR="00A007BD" w:rsidP="00A007BD" w:rsidRDefault="00A007BD" w14:paraId="34CF7DBB" w14:textId="77777777">
      <w:pPr>
        <w:pStyle w:val="Body12ptCalibri-IPR"/>
        <w:numPr>
          <w:ilvl w:val="0"/>
          <w:numId w:val="19"/>
        </w:numPr>
        <w:rPr>
          <w:rFonts w:eastAsia="Times New Roman"/>
          <w:color w:val="000000" w:themeColor="text1"/>
          <w:szCs w:val="24"/>
        </w:rPr>
      </w:pPr>
      <w:r w:rsidRPr="00A007BD">
        <w:rPr>
          <w:rFonts w:eastAsia="Times New Roman"/>
          <w:color w:val="000000" w:themeColor="text1"/>
          <w:szCs w:val="24"/>
        </w:rPr>
        <w:t>To what extent are the goals of the NSF REU Program being met by the individual projects within the program, including recruitment and retention of students in science and engineering fields and increasing diversity in these fields?</w:t>
      </w:r>
    </w:p>
    <w:p w:rsidRPr="00A007BD" w:rsidR="00A007BD" w:rsidP="00A007BD" w:rsidRDefault="00A007BD" w14:paraId="1717378B" w14:textId="77777777">
      <w:pPr>
        <w:pStyle w:val="Body12ptCalibri-IPR"/>
        <w:numPr>
          <w:ilvl w:val="0"/>
          <w:numId w:val="19"/>
        </w:numPr>
        <w:rPr>
          <w:rFonts w:eastAsia="Times New Roman"/>
          <w:color w:val="000000" w:themeColor="text1"/>
          <w:szCs w:val="24"/>
        </w:rPr>
      </w:pPr>
      <w:r w:rsidRPr="00A007BD">
        <w:rPr>
          <w:rFonts w:eastAsia="Times New Roman"/>
          <w:color w:val="000000" w:themeColor="text1"/>
          <w:szCs w:val="24"/>
        </w:rPr>
        <w:t xml:space="preserve">In what ways does participation in REU Sites, REU Supplements, internships, and/or other independent research experiences impact student attitudes and pathways to CISE careers and other research experiences? </w:t>
      </w:r>
    </w:p>
    <w:p w:rsidRPr="00A007BD" w:rsidR="00A007BD" w:rsidP="00A007BD" w:rsidRDefault="00A007BD" w14:paraId="70BA8358" w14:textId="77777777">
      <w:pPr>
        <w:pStyle w:val="Body12ptCalibri-IPR"/>
        <w:numPr>
          <w:ilvl w:val="0"/>
          <w:numId w:val="19"/>
        </w:numPr>
        <w:rPr>
          <w:rFonts w:eastAsia="Times New Roman"/>
          <w:color w:val="000000" w:themeColor="text1"/>
          <w:szCs w:val="24"/>
        </w:rPr>
      </w:pPr>
      <w:r w:rsidRPr="00A007BD">
        <w:rPr>
          <w:rFonts w:eastAsia="Times New Roman"/>
          <w:color w:val="000000" w:themeColor="text1"/>
          <w:szCs w:val="24"/>
        </w:rPr>
        <w:t xml:space="preserve">In what ways does participation in the REU Sites and REU Supplements impact recruitment and retention of students who are underrepresented in computing? </w:t>
      </w:r>
    </w:p>
    <w:p w:rsidRPr="00863BAC" w:rsidR="00683FBA" w:rsidP="007E7B97" w:rsidRDefault="00683FBA" w14:paraId="351B22D1" w14:textId="3E4DBB7C">
      <w:pPr>
        <w:pStyle w:val="Body12ptCalibri-IPR"/>
        <w:ind w:firstLine="0"/>
        <w:rPr>
          <w:rFonts w:cstheme="minorHAnsi"/>
          <w:b/>
          <w:bCs/>
          <w:u w:val="single"/>
        </w:rPr>
      </w:pPr>
      <w:r w:rsidRPr="00863BAC">
        <w:rPr>
          <w:rFonts w:cstheme="minorHAnsi"/>
          <w:b/>
          <w:bCs/>
          <w:u w:val="single"/>
        </w:rPr>
        <w:t>Procedure</w:t>
      </w:r>
    </w:p>
    <w:p w:rsidRPr="00863BAC" w:rsidR="000C268E" w:rsidP="00A96970" w:rsidRDefault="00095980" w14:paraId="524863BC" w14:textId="38066025">
      <w:pPr>
        <w:pStyle w:val="Body12ptCalibri-IPR"/>
        <w:rPr>
          <w:rFonts w:cstheme="minorHAnsi"/>
        </w:rPr>
      </w:pPr>
      <w:r w:rsidRPr="00863BAC">
        <w:rPr>
          <w:rFonts w:cstheme="minorHAnsi"/>
        </w:rPr>
        <w:t>T</w:t>
      </w:r>
      <w:r w:rsidR="00597253">
        <w:rPr>
          <w:rFonts w:cstheme="minorHAnsi"/>
        </w:rPr>
        <w:t>o answer the project’s core research and evaluation questions, t</w:t>
      </w:r>
      <w:r w:rsidRPr="00863BAC" w:rsidR="00683FBA">
        <w:rPr>
          <w:rFonts w:cstheme="minorHAnsi"/>
        </w:rPr>
        <w:t xml:space="preserve">hree types of </w:t>
      </w:r>
      <w:r w:rsidR="009F26D8">
        <w:rPr>
          <w:rFonts w:cstheme="minorHAnsi"/>
        </w:rPr>
        <w:t xml:space="preserve">student </w:t>
      </w:r>
      <w:r w:rsidRPr="00863BAC" w:rsidR="00683FBA">
        <w:rPr>
          <w:rFonts w:cstheme="minorHAnsi"/>
        </w:rPr>
        <w:t>respondents</w:t>
      </w:r>
      <w:r w:rsidRPr="00863BAC">
        <w:rPr>
          <w:rFonts w:cstheme="minorHAnsi"/>
        </w:rPr>
        <w:t xml:space="preserve"> will be recruited for the survey</w:t>
      </w:r>
      <w:r w:rsidRPr="00863BAC" w:rsidR="00683FBA">
        <w:rPr>
          <w:rFonts w:cstheme="minorHAnsi"/>
        </w:rPr>
        <w:t xml:space="preserve">: (1) NSF </w:t>
      </w:r>
      <w:r w:rsidRPr="00863BAC">
        <w:rPr>
          <w:rFonts w:cstheme="minorHAnsi"/>
        </w:rPr>
        <w:t xml:space="preserve">CISE </w:t>
      </w:r>
      <w:r w:rsidRPr="00863BAC" w:rsidR="00683FBA">
        <w:rPr>
          <w:rFonts w:cstheme="minorHAnsi"/>
        </w:rPr>
        <w:t xml:space="preserve">REU participants; (2) </w:t>
      </w:r>
      <w:r w:rsidRPr="00863BAC" w:rsidR="00F70CB2">
        <w:rPr>
          <w:rFonts w:cstheme="minorHAnsi"/>
        </w:rPr>
        <w:t>a comparison group of undergraduates with other, non-NSF REU experiences</w:t>
      </w:r>
      <w:r w:rsidRPr="00863BAC" w:rsidR="00683FBA">
        <w:rPr>
          <w:rFonts w:cstheme="minorHAnsi"/>
        </w:rPr>
        <w:t>; (3</w:t>
      </w:r>
      <w:r w:rsidRPr="00863BAC" w:rsidR="00F70CB2">
        <w:rPr>
          <w:rFonts w:cstheme="minorHAnsi"/>
        </w:rPr>
        <w:t xml:space="preserve">) a comparison group of undergraduates  who do not engage in research </w:t>
      </w:r>
      <w:r w:rsidRPr="00863BAC" w:rsidR="00683FBA">
        <w:rPr>
          <w:rFonts w:cstheme="minorHAnsi"/>
        </w:rPr>
        <w:t xml:space="preserve">experiences. </w:t>
      </w:r>
      <w:r w:rsidR="003B2878">
        <w:rPr>
          <w:rFonts w:cstheme="minorHAnsi"/>
        </w:rPr>
        <w:t xml:space="preserve">Participating REU </w:t>
      </w:r>
      <w:r w:rsidR="009F26D8">
        <w:rPr>
          <w:rFonts w:cstheme="minorHAnsi"/>
        </w:rPr>
        <w:t xml:space="preserve">PIs </w:t>
      </w:r>
      <w:r w:rsidR="003B2878">
        <w:rPr>
          <w:rFonts w:cstheme="minorHAnsi"/>
        </w:rPr>
        <w:t xml:space="preserve">– all of whom </w:t>
      </w:r>
      <w:r w:rsidR="009F26D8">
        <w:rPr>
          <w:rFonts w:cstheme="minorHAnsi"/>
        </w:rPr>
        <w:t xml:space="preserve">have </w:t>
      </w:r>
      <w:r w:rsidR="003B2878">
        <w:rPr>
          <w:rFonts w:cstheme="minorHAnsi"/>
        </w:rPr>
        <w:t>chosen</w:t>
      </w:r>
      <w:r w:rsidR="009F26D8">
        <w:rPr>
          <w:rFonts w:cstheme="minorHAnsi"/>
        </w:rPr>
        <w:t xml:space="preserve"> to </w:t>
      </w:r>
      <w:r w:rsidR="003B2878">
        <w:rPr>
          <w:rFonts w:cstheme="minorHAnsi"/>
        </w:rPr>
        <w:t>receive</w:t>
      </w:r>
      <w:r w:rsidR="009F26D8">
        <w:rPr>
          <w:rFonts w:cstheme="minorHAnsi"/>
        </w:rPr>
        <w:t xml:space="preserve"> evaluation services </w:t>
      </w:r>
      <w:r w:rsidR="003B2878">
        <w:rPr>
          <w:rFonts w:cstheme="minorHAnsi"/>
        </w:rPr>
        <w:t>– w</w:t>
      </w:r>
      <w:r w:rsidR="009F26D8">
        <w:rPr>
          <w:rFonts w:cstheme="minorHAnsi"/>
        </w:rPr>
        <w:t xml:space="preserve">ill also complete two PI REU Information Forms </w:t>
      </w:r>
      <w:r w:rsidR="009F26D8">
        <w:rPr>
          <w:rFonts w:cstheme="minorHAnsi"/>
        </w:rPr>
        <w:lastRenderedPageBreak/>
        <w:t xml:space="preserve">just before and right after their REU program runs to document basic aspects of their program. </w:t>
      </w:r>
      <w:r w:rsidRPr="00863BAC" w:rsidR="00683FBA">
        <w:rPr>
          <w:rFonts w:cstheme="minorHAnsi"/>
        </w:rPr>
        <w:t xml:space="preserve">Procedures for </w:t>
      </w:r>
      <w:r w:rsidR="00091BCF">
        <w:rPr>
          <w:rFonts w:cstheme="minorHAnsi"/>
        </w:rPr>
        <w:t>data collection</w:t>
      </w:r>
      <w:r w:rsidRPr="00863BAC" w:rsidR="009F26D8">
        <w:rPr>
          <w:rFonts w:cstheme="minorHAnsi"/>
        </w:rPr>
        <w:t xml:space="preserve"> </w:t>
      </w:r>
      <w:r w:rsidRPr="00863BAC" w:rsidR="00683FBA">
        <w:rPr>
          <w:rFonts w:cstheme="minorHAnsi"/>
        </w:rPr>
        <w:t>are described below.</w:t>
      </w:r>
      <w:r w:rsidR="00091BCF">
        <w:rPr>
          <w:rFonts w:cstheme="minorHAnsi"/>
        </w:rPr>
        <w:t xml:space="preserve"> In addition, an overview of the data collection instruments and timeline is included in the attached document, </w:t>
      </w:r>
      <w:r w:rsidRPr="00091BCF" w:rsidR="00091BCF">
        <w:rPr>
          <w:rFonts w:cstheme="minorHAnsi"/>
        </w:rPr>
        <w:t>“</w:t>
      </w:r>
      <w:r w:rsidRPr="00A96970" w:rsidR="00A96970">
        <w:rPr>
          <w:rFonts w:cstheme="minorHAnsi"/>
        </w:rPr>
        <w:t>NSF CISE REU Sites and Supplements Evaluation</w:t>
      </w:r>
      <w:r w:rsidR="00A96970">
        <w:rPr>
          <w:rFonts w:cstheme="minorHAnsi"/>
        </w:rPr>
        <w:t xml:space="preserve">: </w:t>
      </w:r>
      <w:r w:rsidRPr="00A96970" w:rsidR="00A96970">
        <w:rPr>
          <w:rFonts w:cstheme="minorHAnsi"/>
        </w:rPr>
        <w:t>Data Collection Overview – Tools and Timing</w:t>
      </w:r>
      <w:r w:rsidRPr="00091BCF" w:rsidR="00091BCF">
        <w:rPr>
          <w:rFonts w:cstheme="minorHAnsi"/>
        </w:rPr>
        <w:t>.”</w:t>
      </w:r>
    </w:p>
    <w:p w:rsidRPr="00D40062" w:rsidR="00D40062" w:rsidP="005D053F" w:rsidRDefault="00683FBA" w14:paraId="719AF090" w14:textId="67A3380E">
      <w:pPr>
        <w:pStyle w:val="Body12ptCalibri-IPR"/>
        <w:rPr>
          <w:rFonts w:cstheme="minorHAnsi"/>
          <w:b/>
          <w:bCs/>
        </w:rPr>
      </w:pPr>
      <w:r w:rsidRPr="00D40062">
        <w:rPr>
          <w:rFonts w:cstheme="minorHAnsi"/>
          <w:b/>
          <w:bCs/>
        </w:rPr>
        <w:t xml:space="preserve">NSF </w:t>
      </w:r>
      <w:r w:rsidRPr="00D40062" w:rsidR="00095980">
        <w:rPr>
          <w:rFonts w:cstheme="minorHAnsi"/>
          <w:b/>
          <w:bCs/>
        </w:rPr>
        <w:t xml:space="preserve">CISE </w:t>
      </w:r>
      <w:r w:rsidRPr="00D40062">
        <w:rPr>
          <w:rFonts w:cstheme="minorHAnsi"/>
          <w:b/>
          <w:bCs/>
        </w:rPr>
        <w:t>REU participants</w:t>
      </w:r>
      <w:r w:rsidR="009F26D8">
        <w:rPr>
          <w:rFonts w:cstheme="minorHAnsi"/>
          <w:b/>
          <w:bCs/>
        </w:rPr>
        <w:t xml:space="preserve"> and PIs</w:t>
      </w:r>
    </w:p>
    <w:p w:rsidR="007C1016" w:rsidP="005D053F" w:rsidRDefault="002870CE" w14:paraId="4752D24F" w14:textId="7BAA53B0">
      <w:pPr>
        <w:pStyle w:val="Body12ptCalibri-IPR"/>
        <w:rPr>
          <w:rFonts w:cstheme="minorHAnsi"/>
          <w:iCs/>
        </w:rPr>
      </w:pPr>
      <w:r w:rsidRPr="00863BAC">
        <w:rPr>
          <w:rFonts w:cstheme="minorHAnsi"/>
        </w:rPr>
        <w:t xml:space="preserve">All </w:t>
      </w:r>
      <w:r w:rsidRPr="00863BAC" w:rsidR="00F70CB2">
        <w:rPr>
          <w:rFonts w:cstheme="minorHAnsi"/>
          <w:iCs/>
        </w:rPr>
        <w:t>NSF</w:t>
      </w:r>
      <w:r w:rsidRPr="00863BAC">
        <w:rPr>
          <w:rFonts w:cstheme="minorHAnsi"/>
          <w:iCs/>
        </w:rPr>
        <w:t>-funded</w:t>
      </w:r>
      <w:r w:rsidRPr="00FB60F2" w:rsidR="00F70CB2">
        <w:rPr>
          <w:rFonts w:cstheme="minorHAnsi"/>
          <w:iCs/>
        </w:rPr>
        <w:t xml:space="preserve"> CISE REU </w:t>
      </w:r>
      <w:r>
        <w:rPr>
          <w:rFonts w:cstheme="minorHAnsi"/>
          <w:iCs/>
        </w:rPr>
        <w:t xml:space="preserve">PIs will be invited to </w:t>
      </w:r>
      <w:r w:rsidRPr="00FB60F2" w:rsidR="00F70CB2">
        <w:rPr>
          <w:rFonts w:cstheme="minorHAnsi"/>
          <w:iCs/>
        </w:rPr>
        <w:t>use NSF-sponsored program evaluation services</w:t>
      </w:r>
      <w:r>
        <w:rPr>
          <w:rFonts w:cstheme="minorHAnsi"/>
          <w:iCs/>
        </w:rPr>
        <w:t xml:space="preserve"> that are the basis for the current study. Although not mandatory, PI participation in the study will eliminate the burden on PIs to design, conduct, and fund their own evaluation of their REU. </w:t>
      </w:r>
      <w:r w:rsidR="005E6325">
        <w:rPr>
          <w:rFonts w:cstheme="minorHAnsi"/>
          <w:iCs/>
        </w:rPr>
        <w:t>Data collection will take place among REUs in which the</w:t>
      </w:r>
      <w:r>
        <w:rPr>
          <w:rFonts w:cstheme="minorHAnsi"/>
          <w:iCs/>
        </w:rPr>
        <w:t xml:space="preserve"> PI has signed up to participate in the evaluation</w:t>
      </w:r>
      <w:r w:rsidR="00C135E5">
        <w:rPr>
          <w:rFonts w:cstheme="minorHAnsi"/>
          <w:iCs/>
        </w:rPr>
        <w:t xml:space="preserve">. </w:t>
      </w:r>
    </w:p>
    <w:p w:rsidR="00597253" w:rsidP="005D053F" w:rsidRDefault="00597253" w14:paraId="0542F991" w14:textId="1FE2291E">
      <w:pPr>
        <w:pStyle w:val="Body12ptCalibri-IPR"/>
        <w:rPr>
          <w:rFonts w:cstheme="minorHAnsi"/>
          <w:iCs/>
        </w:rPr>
      </w:pPr>
      <w:r>
        <w:rPr>
          <w:rFonts w:cstheme="minorHAnsi"/>
          <w:iCs/>
        </w:rPr>
        <w:t xml:space="preserve">Once </w:t>
      </w:r>
      <w:r w:rsidR="005E6325">
        <w:rPr>
          <w:rFonts w:cstheme="minorHAnsi"/>
          <w:iCs/>
        </w:rPr>
        <w:t xml:space="preserve">interested </w:t>
      </w:r>
      <w:r>
        <w:rPr>
          <w:rFonts w:cstheme="minorHAnsi"/>
          <w:iCs/>
        </w:rPr>
        <w:t xml:space="preserve">PIs have officially signed up for the evaluation, CERP will coordinate with </w:t>
      </w:r>
      <w:r w:rsidR="00213F2C">
        <w:rPr>
          <w:rFonts w:cstheme="minorHAnsi"/>
          <w:iCs/>
        </w:rPr>
        <w:t>each project’s</w:t>
      </w:r>
      <w:r>
        <w:rPr>
          <w:rFonts w:cstheme="minorHAnsi"/>
          <w:iCs/>
        </w:rPr>
        <w:t xml:space="preserve"> designated REU contact to </w:t>
      </w:r>
      <w:r w:rsidR="009F26D8">
        <w:rPr>
          <w:rFonts w:cstheme="minorHAnsi"/>
          <w:iCs/>
        </w:rPr>
        <w:t>complete the T</w:t>
      </w:r>
      <w:r w:rsidR="004752CA">
        <w:rPr>
          <w:rFonts w:cstheme="minorHAnsi"/>
          <w:iCs/>
        </w:rPr>
        <w:t xml:space="preserve">ime </w:t>
      </w:r>
      <w:r w:rsidR="009F26D8">
        <w:rPr>
          <w:rFonts w:cstheme="minorHAnsi"/>
          <w:iCs/>
        </w:rPr>
        <w:t>1 and T</w:t>
      </w:r>
      <w:r w:rsidR="004752CA">
        <w:rPr>
          <w:rFonts w:cstheme="minorHAnsi"/>
          <w:iCs/>
        </w:rPr>
        <w:t xml:space="preserve">ime </w:t>
      </w:r>
      <w:r w:rsidR="009F26D8">
        <w:rPr>
          <w:rFonts w:cstheme="minorHAnsi"/>
          <w:iCs/>
        </w:rPr>
        <w:t xml:space="preserve">2 PI REU Information Forms and </w:t>
      </w:r>
      <w:r>
        <w:rPr>
          <w:rFonts w:cstheme="minorHAnsi"/>
          <w:iCs/>
        </w:rPr>
        <w:t xml:space="preserve">administer the participant pre- and post-program surveys at the appropriate times. CERP will provide instructions and timelines to the contact, along with </w:t>
      </w:r>
      <w:r w:rsidR="00632C8C">
        <w:rPr>
          <w:rFonts w:cstheme="minorHAnsi"/>
          <w:iCs/>
        </w:rPr>
        <w:t xml:space="preserve">all </w:t>
      </w:r>
      <w:r>
        <w:rPr>
          <w:rFonts w:cstheme="minorHAnsi"/>
          <w:iCs/>
        </w:rPr>
        <w:t>recruitment scripts and online survey links</w:t>
      </w:r>
      <w:r w:rsidR="009F26D8">
        <w:rPr>
          <w:rFonts w:cstheme="minorHAnsi"/>
          <w:iCs/>
        </w:rPr>
        <w:t xml:space="preserve"> for their own PI forms and the participant surveys. The process for </w:t>
      </w:r>
      <w:r w:rsidR="00632C8C">
        <w:rPr>
          <w:rFonts w:cstheme="minorHAnsi"/>
          <w:iCs/>
        </w:rPr>
        <w:t>data collection</w:t>
      </w:r>
      <w:r w:rsidR="009F26D8">
        <w:rPr>
          <w:rFonts w:cstheme="minorHAnsi"/>
          <w:iCs/>
        </w:rPr>
        <w:t xml:space="preserve"> is</w:t>
      </w:r>
      <w:r>
        <w:rPr>
          <w:rFonts w:cstheme="minorHAnsi"/>
          <w:iCs/>
        </w:rPr>
        <w:t xml:space="preserve"> as follows</w:t>
      </w:r>
      <w:r w:rsidR="00213F2C">
        <w:rPr>
          <w:rFonts w:cstheme="minorHAnsi"/>
          <w:iCs/>
        </w:rPr>
        <w:t>:</w:t>
      </w:r>
    </w:p>
    <w:p w:rsidR="007C1016" w:rsidP="005D053F" w:rsidRDefault="00906229" w14:paraId="6E16EB26" w14:textId="49500064">
      <w:pPr>
        <w:pStyle w:val="Body12ptCalibri-IPR"/>
        <w:rPr>
          <w:rFonts w:cstheme="minorHAnsi"/>
        </w:rPr>
      </w:pPr>
      <w:r>
        <w:rPr>
          <w:rFonts w:cstheme="minorHAnsi"/>
          <w:iCs/>
        </w:rPr>
        <w:t xml:space="preserve">Approximately </w:t>
      </w:r>
      <w:r w:rsidRPr="007C1016">
        <w:rPr>
          <w:rFonts w:cstheme="minorHAnsi"/>
          <w:b/>
          <w:bCs/>
          <w:iCs/>
        </w:rPr>
        <w:t>two weeks p</w:t>
      </w:r>
      <w:r w:rsidRPr="007C1016" w:rsidR="00C135E5">
        <w:rPr>
          <w:rFonts w:cstheme="minorHAnsi"/>
          <w:b/>
          <w:bCs/>
          <w:iCs/>
        </w:rPr>
        <w:t>rior to the REU start date</w:t>
      </w:r>
      <w:r w:rsidR="00C135E5">
        <w:rPr>
          <w:rFonts w:cstheme="minorHAnsi"/>
          <w:iCs/>
        </w:rPr>
        <w:t xml:space="preserve">, </w:t>
      </w:r>
      <w:r w:rsidR="002870CE">
        <w:rPr>
          <w:rFonts w:cstheme="minorHAnsi"/>
          <w:iCs/>
        </w:rPr>
        <w:t xml:space="preserve"> </w:t>
      </w:r>
      <w:r w:rsidR="005E6325">
        <w:rPr>
          <w:rFonts w:cstheme="minorHAnsi"/>
          <w:iCs/>
        </w:rPr>
        <w:t xml:space="preserve">CERP will send </w:t>
      </w:r>
      <w:r w:rsidR="00057A5E">
        <w:rPr>
          <w:rFonts w:cstheme="minorHAnsi"/>
          <w:iCs/>
        </w:rPr>
        <w:t xml:space="preserve">the </w:t>
      </w:r>
      <w:r w:rsidR="00EE7FE9">
        <w:rPr>
          <w:rFonts w:cstheme="minorHAnsi"/>
          <w:iCs/>
        </w:rPr>
        <w:t xml:space="preserve">REU </w:t>
      </w:r>
      <w:r w:rsidR="005E6325">
        <w:rPr>
          <w:rFonts w:cstheme="minorHAnsi"/>
          <w:iCs/>
        </w:rPr>
        <w:t>PI: (1) a Qualtrics link to the Time 1 PI REU Information Form, which they will complete; (2)</w:t>
      </w:r>
      <w:r>
        <w:rPr>
          <w:rFonts w:cstheme="minorHAnsi"/>
          <w:iCs/>
        </w:rPr>
        <w:t xml:space="preserve"> </w:t>
      </w:r>
      <w:r w:rsidR="007E7B97">
        <w:rPr>
          <w:rFonts w:cstheme="minorHAnsi"/>
          <w:iCs/>
        </w:rPr>
        <w:t xml:space="preserve">a standard </w:t>
      </w:r>
      <w:r w:rsidR="005E6325">
        <w:rPr>
          <w:rFonts w:cstheme="minorHAnsi"/>
          <w:iCs/>
        </w:rPr>
        <w:t xml:space="preserve">pre-survey </w:t>
      </w:r>
      <w:r w:rsidR="00192CE4">
        <w:rPr>
          <w:rFonts w:cstheme="minorHAnsi"/>
          <w:iCs/>
        </w:rPr>
        <w:t xml:space="preserve">recruitment </w:t>
      </w:r>
      <w:r>
        <w:rPr>
          <w:rFonts w:cstheme="minorHAnsi"/>
          <w:iCs/>
        </w:rPr>
        <w:t>email</w:t>
      </w:r>
      <w:r w:rsidR="00192CE4">
        <w:rPr>
          <w:rFonts w:cstheme="minorHAnsi"/>
          <w:iCs/>
        </w:rPr>
        <w:t xml:space="preserve"> </w:t>
      </w:r>
      <w:r w:rsidR="005E6325">
        <w:rPr>
          <w:rFonts w:cstheme="minorHAnsi"/>
          <w:iCs/>
        </w:rPr>
        <w:t xml:space="preserve">for </w:t>
      </w:r>
      <w:r w:rsidR="00632C8C">
        <w:rPr>
          <w:rFonts w:cstheme="minorHAnsi"/>
          <w:iCs/>
        </w:rPr>
        <w:t xml:space="preserve">the </w:t>
      </w:r>
      <w:r w:rsidR="005E6325">
        <w:rPr>
          <w:rFonts w:cstheme="minorHAnsi"/>
          <w:iCs/>
        </w:rPr>
        <w:t xml:space="preserve">PI’s to send to </w:t>
      </w:r>
      <w:r w:rsidRPr="00964744" w:rsidR="005E6325">
        <w:rPr>
          <w:rFonts w:cstheme="minorHAnsi"/>
          <w:iCs/>
          <w:u w:val="single"/>
        </w:rPr>
        <w:t>all</w:t>
      </w:r>
      <w:r w:rsidR="005E6325">
        <w:rPr>
          <w:rFonts w:cstheme="minorHAnsi"/>
          <w:iCs/>
        </w:rPr>
        <w:t xml:space="preserve"> of the students who will be participating in </w:t>
      </w:r>
      <w:r w:rsidRPr="00956B49" w:rsidR="005E6325">
        <w:rPr>
          <w:rFonts w:cstheme="minorHAnsi"/>
          <w:iCs/>
        </w:rPr>
        <w:t>the</w:t>
      </w:r>
      <w:r w:rsidR="005E6325">
        <w:rPr>
          <w:rFonts w:cstheme="minorHAnsi"/>
          <w:iCs/>
        </w:rPr>
        <w:t>ir</w:t>
      </w:r>
      <w:r w:rsidRPr="00956B49" w:rsidR="005E6325">
        <w:rPr>
          <w:rFonts w:cstheme="minorHAnsi"/>
          <w:iCs/>
        </w:rPr>
        <w:t xml:space="preserve"> REU</w:t>
      </w:r>
      <w:r w:rsidR="005E6325">
        <w:rPr>
          <w:rFonts w:cstheme="minorHAnsi"/>
          <w:iCs/>
        </w:rPr>
        <w:t xml:space="preserve">; and (3) </w:t>
      </w:r>
      <w:r w:rsidR="00192CE4">
        <w:rPr>
          <w:rFonts w:cstheme="minorHAnsi"/>
          <w:iCs/>
        </w:rPr>
        <w:t>a</w:t>
      </w:r>
      <w:r w:rsidR="00057A5E">
        <w:rPr>
          <w:rFonts w:cstheme="minorHAnsi"/>
          <w:iCs/>
        </w:rPr>
        <w:t xml:space="preserve">n anonymous </w:t>
      </w:r>
      <w:r w:rsidR="005D053F">
        <w:rPr>
          <w:rFonts w:cstheme="minorHAnsi"/>
          <w:iCs/>
        </w:rPr>
        <w:t xml:space="preserve">Qualtrics </w:t>
      </w:r>
      <w:r w:rsidR="00057A5E">
        <w:rPr>
          <w:rFonts w:cstheme="minorHAnsi"/>
          <w:iCs/>
        </w:rPr>
        <w:t xml:space="preserve">survey </w:t>
      </w:r>
      <w:r w:rsidR="00192CE4">
        <w:rPr>
          <w:rFonts w:cstheme="minorHAnsi"/>
          <w:iCs/>
        </w:rPr>
        <w:t xml:space="preserve">link </w:t>
      </w:r>
      <w:r w:rsidR="007C1016">
        <w:rPr>
          <w:rFonts w:cstheme="minorHAnsi"/>
          <w:iCs/>
        </w:rPr>
        <w:t xml:space="preserve">(provided by CERP) </w:t>
      </w:r>
      <w:r w:rsidR="00632C8C">
        <w:rPr>
          <w:rFonts w:cstheme="minorHAnsi"/>
          <w:iCs/>
        </w:rPr>
        <w:t>for</w:t>
      </w:r>
      <w:r w:rsidR="00192CE4">
        <w:rPr>
          <w:rFonts w:cstheme="minorHAnsi"/>
          <w:iCs/>
        </w:rPr>
        <w:t xml:space="preserve"> the</w:t>
      </w:r>
      <w:r>
        <w:rPr>
          <w:rFonts w:cstheme="minorHAnsi"/>
          <w:iCs/>
        </w:rPr>
        <w:t xml:space="preserve"> students </w:t>
      </w:r>
      <w:r w:rsidR="00632C8C">
        <w:rPr>
          <w:rFonts w:cstheme="minorHAnsi"/>
          <w:iCs/>
        </w:rPr>
        <w:t>to complete their pre-survey. (S</w:t>
      </w:r>
      <w:r w:rsidR="00964744">
        <w:rPr>
          <w:rFonts w:cstheme="minorHAnsi"/>
          <w:iCs/>
        </w:rPr>
        <w:t>amples will not be drawn</w:t>
      </w:r>
      <w:r w:rsidR="00632C8C">
        <w:rPr>
          <w:rFonts w:cstheme="minorHAnsi"/>
          <w:iCs/>
        </w:rPr>
        <w:t>)</w:t>
      </w:r>
      <w:r w:rsidRPr="00956B49" w:rsidR="00057A5E">
        <w:rPr>
          <w:rFonts w:cstheme="minorHAnsi"/>
          <w:iCs/>
        </w:rPr>
        <w:t xml:space="preserve">. </w:t>
      </w:r>
      <w:r w:rsidRPr="00956B49">
        <w:rPr>
          <w:rFonts w:cstheme="minorHAnsi"/>
        </w:rPr>
        <w:t xml:space="preserve">The </w:t>
      </w:r>
      <w:r w:rsidR="00632C8C">
        <w:rPr>
          <w:rFonts w:cstheme="minorHAnsi"/>
        </w:rPr>
        <w:t xml:space="preserve">recruitment </w:t>
      </w:r>
      <w:r w:rsidRPr="00956B49">
        <w:rPr>
          <w:rFonts w:cstheme="minorHAnsi"/>
        </w:rPr>
        <w:t>email will include</w:t>
      </w:r>
      <w:r w:rsidR="007C1016">
        <w:rPr>
          <w:rFonts w:cstheme="minorHAnsi"/>
        </w:rPr>
        <w:t>: (1)</w:t>
      </w:r>
      <w:r w:rsidRPr="00956B49">
        <w:rPr>
          <w:rFonts w:cstheme="minorHAnsi"/>
        </w:rPr>
        <w:t xml:space="preserve"> a description of the survey project and its purpose, </w:t>
      </w:r>
      <w:r w:rsidR="007C1016">
        <w:rPr>
          <w:rFonts w:cstheme="minorHAnsi"/>
        </w:rPr>
        <w:t>(2) an emphasis on</w:t>
      </w:r>
      <w:r w:rsidRPr="00956B49">
        <w:rPr>
          <w:rFonts w:cstheme="minorHAnsi"/>
        </w:rPr>
        <w:t xml:space="preserve"> respondents’ ability to </w:t>
      </w:r>
      <w:r w:rsidRPr="00956B49">
        <w:rPr>
          <w:rFonts w:cstheme="minorHAnsi"/>
        </w:rPr>
        <w:lastRenderedPageBreak/>
        <w:t xml:space="preserve">contribute to </w:t>
      </w:r>
      <w:r w:rsidR="00412F94">
        <w:rPr>
          <w:rFonts w:cstheme="minorHAnsi"/>
        </w:rPr>
        <w:t>understan</w:t>
      </w:r>
      <w:r w:rsidR="005D053F">
        <w:rPr>
          <w:rFonts w:cstheme="minorHAnsi"/>
        </w:rPr>
        <w:t>ding how research experiences impact undergraduates</w:t>
      </w:r>
      <w:r w:rsidRPr="00956B49">
        <w:rPr>
          <w:rFonts w:cstheme="minorHAnsi"/>
        </w:rPr>
        <w:t xml:space="preserve">, and </w:t>
      </w:r>
      <w:r w:rsidR="007C1016">
        <w:rPr>
          <w:rFonts w:cstheme="minorHAnsi"/>
        </w:rPr>
        <w:t xml:space="preserve">(3) </w:t>
      </w:r>
      <w:r w:rsidRPr="00956B49">
        <w:rPr>
          <w:rFonts w:cstheme="minorHAnsi"/>
        </w:rPr>
        <w:t>a request to complete three online surveys – the current one, a post-program survey, and a one-year (approximately) follow-up survey. The email will contain contact information for CERP that respondents can use to ask additional questions about the survey or their participation in it.</w:t>
      </w:r>
      <w:r>
        <w:rPr>
          <w:rFonts w:cstheme="minorHAnsi"/>
        </w:rPr>
        <w:t xml:space="preserve"> </w:t>
      </w:r>
    </w:p>
    <w:p w:rsidRPr="005D053F" w:rsidR="005D053F" w:rsidP="005D053F" w:rsidRDefault="005D053F" w14:paraId="42DD6216" w14:textId="7019B76B">
      <w:pPr>
        <w:pStyle w:val="Body12ptCalibri-IPR"/>
        <w:rPr>
          <w:rFonts w:cstheme="minorHAnsi"/>
        </w:rPr>
      </w:pPr>
      <w:r>
        <w:rPr>
          <w:rFonts w:cstheme="minorHAnsi"/>
        </w:rPr>
        <w:t xml:space="preserve">Approximately </w:t>
      </w:r>
      <w:r w:rsidRPr="007C1016">
        <w:rPr>
          <w:rFonts w:cstheme="minorHAnsi"/>
          <w:b/>
          <w:bCs/>
        </w:rPr>
        <w:t>one week prior to the REU start</w:t>
      </w:r>
      <w:r w:rsidR="007C1016">
        <w:rPr>
          <w:rFonts w:cstheme="minorHAnsi"/>
        </w:rPr>
        <w:t xml:space="preserve"> </w:t>
      </w:r>
      <w:r w:rsidRPr="007C1016" w:rsidR="007C1016">
        <w:rPr>
          <w:rFonts w:cstheme="minorHAnsi"/>
          <w:b/>
          <w:bCs/>
        </w:rPr>
        <w:t>date</w:t>
      </w:r>
      <w:r>
        <w:rPr>
          <w:rFonts w:cstheme="minorHAnsi"/>
        </w:rPr>
        <w:t xml:space="preserve">, </w:t>
      </w:r>
      <w:r w:rsidR="00EE7FE9">
        <w:rPr>
          <w:rFonts w:cstheme="minorHAnsi"/>
        </w:rPr>
        <w:t>the</w:t>
      </w:r>
      <w:r>
        <w:rPr>
          <w:rFonts w:cstheme="minorHAnsi"/>
        </w:rPr>
        <w:t xml:space="preserve"> </w:t>
      </w:r>
      <w:r w:rsidR="007E7B97">
        <w:rPr>
          <w:rFonts w:cstheme="minorHAnsi"/>
        </w:rPr>
        <w:t xml:space="preserve">REU </w:t>
      </w:r>
      <w:r w:rsidR="00632C8C">
        <w:rPr>
          <w:rFonts w:cstheme="minorHAnsi"/>
        </w:rPr>
        <w:t>PI</w:t>
      </w:r>
      <w:r>
        <w:rPr>
          <w:rFonts w:cstheme="minorHAnsi"/>
        </w:rPr>
        <w:t xml:space="preserve"> will send a reminder email </w:t>
      </w:r>
      <w:r w:rsidR="007E7B97">
        <w:rPr>
          <w:rFonts w:cstheme="minorHAnsi"/>
        </w:rPr>
        <w:t xml:space="preserve">to their REU participants </w:t>
      </w:r>
      <w:r w:rsidRPr="005D053F">
        <w:rPr>
          <w:rFonts w:cstheme="minorHAnsi"/>
        </w:rPr>
        <w:t>that once again describes the project and its purpose and invites them to participate by completing the online Qualtrics survey. The reminder will again include contact information for CERP for any questions about the survey.</w:t>
      </w:r>
    </w:p>
    <w:p w:rsidR="007C1016" w:rsidP="00F70CB2" w:rsidRDefault="007C1016" w14:paraId="11A692C9" w14:textId="65B1C676">
      <w:pPr>
        <w:pStyle w:val="Body12ptCalibri-IPR"/>
        <w:rPr>
          <w:rFonts w:cstheme="minorHAnsi"/>
          <w:iCs/>
        </w:rPr>
      </w:pPr>
      <w:r w:rsidRPr="007C1016">
        <w:rPr>
          <w:rFonts w:cstheme="minorHAnsi"/>
          <w:b/>
          <w:bCs/>
          <w:iCs/>
        </w:rPr>
        <w:t>Immediately after t</w:t>
      </w:r>
      <w:r w:rsidRPr="007C1016" w:rsidR="00057A5E">
        <w:rPr>
          <w:rFonts w:cstheme="minorHAnsi"/>
          <w:b/>
          <w:bCs/>
          <w:iCs/>
        </w:rPr>
        <w:t>he REU program</w:t>
      </w:r>
      <w:r w:rsidRPr="007C1016">
        <w:rPr>
          <w:rFonts w:cstheme="minorHAnsi"/>
          <w:b/>
          <w:bCs/>
          <w:iCs/>
        </w:rPr>
        <w:t xml:space="preserve"> end date</w:t>
      </w:r>
      <w:r w:rsidR="00057A5E">
        <w:rPr>
          <w:rFonts w:cstheme="minorHAnsi"/>
          <w:iCs/>
        </w:rPr>
        <w:t xml:space="preserve">, </w:t>
      </w:r>
      <w:r w:rsidR="00EE7FE9">
        <w:rPr>
          <w:rFonts w:cstheme="minorHAnsi"/>
          <w:iCs/>
        </w:rPr>
        <w:t xml:space="preserve">the REU </w:t>
      </w:r>
      <w:r w:rsidR="00632C8C">
        <w:rPr>
          <w:rFonts w:cstheme="minorHAnsi"/>
          <w:iCs/>
        </w:rPr>
        <w:t>PI</w:t>
      </w:r>
      <w:r w:rsidR="00EE7FE9">
        <w:rPr>
          <w:rFonts w:cstheme="minorHAnsi"/>
          <w:iCs/>
        </w:rPr>
        <w:t xml:space="preserve"> </w:t>
      </w:r>
      <w:r w:rsidR="00057A5E">
        <w:rPr>
          <w:rFonts w:cstheme="minorHAnsi"/>
          <w:iCs/>
        </w:rPr>
        <w:t xml:space="preserve">will </w:t>
      </w:r>
      <w:r w:rsidR="00632C8C">
        <w:rPr>
          <w:rFonts w:cstheme="minorHAnsi"/>
          <w:iCs/>
        </w:rPr>
        <w:t xml:space="preserve">complete a Time 2 PI REU Information Form and will </w:t>
      </w:r>
      <w:r w:rsidR="00057A5E">
        <w:rPr>
          <w:rFonts w:cstheme="minorHAnsi"/>
          <w:iCs/>
        </w:rPr>
        <w:t xml:space="preserve">distribute a </w:t>
      </w:r>
      <w:r w:rsidR="00632C8C">
        <w:rPr>
          <w:rFonts w:cstheme="minorHAnsi"/>
          <w:iCs/>
        </w:rPr>
        <w:t xml:space="preserve">CERP-provided </w:t>
      </w:r>
      <w:r w:rsidR="00EE7FE9">
        <w:rPr>
          <w:rFonts w:cstheme="minorHAnsi"/>
          <w:iCs/>
        </w:rPr>
        <w:t xml:space="preserve">Qualtrics </w:t>
      </w:r>
      <w:r w:rsidR="00057A5E">
        <w:rPr>
          <w:rFonts w:cstheme="minorHAnsi"/>
          <w:iCs/>
        </w:rPr>
        <w:t>link to a post-program participant survey</w:t>
      </w:r>
      <w:r>
        <w:rPr>
          <w:rFonts w:cstheme="minorHAnsi"/>
          <w:iCs/>
        </w:rPr>
        <w:t xml:space="preserve"> to </w:t>
      </w:r>
      <w:r w:rsidR="009B6A8F">
        <w:rPr>
          <w:rFonts w:cstheme="minorHAnsi"/>
          <w:iCs/>
        </w:rPr>
        <w:t>their REU participants. Again</w:t>
      </w:r>
      <w:r w:rsidR="00213F2C">
        <w:rPr>
          <w:rFonts w:cstheme="minorHAnsi"/>
          <w:iCs/>
        </w:rPr>
        <w:t>,</w:t>
      </w:r>
      <w:r w:rsidR="009B6A8F">
        <w:rPr>
          <w:rFonts w:cstheme="minorHAnsi"/>
          <w:iCs/>
        </w:rPr>
        <w:t xml:space="preserve"> the email with the survey link will contain</w:t>
      </w:r>
      <w:r w:rsidR="005D053F">
        <w:rPr>
          <w:rFonts w:cstheme="minorHAnsi"/>
          <w:iCs/>
        </w:rPr>
        <w:t xml:space="preserve"> all of the relevant study information</w:t>
      </w:r>
      <w:r>
        <w:rPr>
          <w:rFonts w:cstheme="minorHAnsi"/>
          <w:iCs/>
        </w:rPr>
        <w:t xml:space="preserve"> and </w:t>
      </w:r>
      <w:r w:rsidR="009B6A8F">
        <w:rPr>
          <w:rFonts w:cstheme="minorHAnsi"/>
          <w:iCs/>
        </w:rPr>
        <w:t xml:space="preserve">will </w:t>
      </w:r>
      <w:r>
        <w:rPr>
          <w:rFonts w:cstheme="minorHAnsi"/>
          <w:iCs/>
        </w:rPr>
        <w:t xml:space="preserve">remind respondents about </w:t>
      </w:r>
      <w:r w:rsidR="009B6A8F">
        <w:rPr>
          <w:rFonts w:cstheme="minorHAnsi"/>
          <w:iCs/>
        </w:rPr>
        <w:t xml:space="preserve">the importance of </w:t>
      </w:r>
      <w:r>
        <w:rPr>
          <w:rFonts w:cstheme="minorHAnsi"/>
          <w:iCs/>
        </w:rPr>
        <w:t>their participation</w:t>
      </w:r>
      <w:r w:rsidR="00057A5E">
        <w:rPr>
          <w:rFonts w:cstheme="minorHAnsi"/>
          <w:iCs/>
        </w:rPr>
        <w:t>.</w:t>
      </w:r>
      <w:r w:rsidR="00A71D2C">
        <w:rPr>
          <w:rFonts w:cstheme="minorHAnsi"/>
          <w:iCs/>
        </w:rPr>
        <w:t xml:space="preserve"> </w:t>
      </w:r>
      <w:r w:rsidR="005D053F">
        <w:rPr>
          <w:rFonts w:cstheme="minorHAnsi"/>
          <w:iCs/>
        </w:rPr>
        <w:t xml:space="preserve">Two reminder emails will be sent at </w:t>
      </w:r>
      <w:r>
        <w:rPr>
          <w:rFonts w:cstheme="minorHAnsi"/>
          <w:iCs/>
        </w:rPr>
        <w:t xml:space="preserve">subsequent </w:t>
      </w:r>
      <w:r w:rsidR="005D053F">
        <w:rPr>
          <w:rFonts w:cstheme="minorHAnsi"/>
          <w:iCs/>
        </w:rPr>
        <w:t xml:space="preserve">one-week intervals to </w:t>
      </w:r>
      <w:r w:rsidR="009B6A8F">
        <w:rPr>
          <w:rFonts w:cstheme="minorHAnsi"/>
          <w:iCs/>
        </w:rPr>
        <w:t>ensure high response rates</w:t>
      </w:r>
      <w:r w:rsidR="005D053F">
        <w:rPr>
          <w:rFonts w:cstheme="minorHAnsi"/>
          <w:iCs/>
        </w:rPr>
        <w:t xml:space="preserve">. </w:t>
      </w:r>
    </w:p>
    <w:p w:rsidR="002870CE" w:rsidP="00F70CB2" w:rsidRDefault="0097072A" w14:paraId="028A652F" w14:textId="4CF8DF4E">
      <w:pPr>
        <w:pStyle w:val="Body12ptCalibri-IPR"/>
        <w:rPr>
          <w:rFonts w:cstheme="minorHAnsi"/>
          <w:iCs/>
        </w:rPr>
      </w:pPr>
      <w:r w:rsidRPr="007C1016">
        <w:rPr>
          <w:rFonts w:cstheme="minorHAnsi"/>
          <w:b/>
          <w:bCs/>
          <w:iCs/>
        </w:rPr>
        <w:t>Approximately one year later</w:t>
      </w:r>
      <w:r>
        <w:rPr>
          <w:rFonts w:cstheme="minorHAnsi"/>
          <w:iCs/>
        </w:rPr>
        <w:t xml:space="preserve">, in </w:t>
      </w:r>
      <w:r w:rsidR="00222519">
        <w:rPr>
          <w:rFonts w:cstheme="minorHAnsi"/>
          <w:iCs/>
        </w:rPr>
        <w:t>late summer</w:t>
      </w:r>
      <w:r>
        <w:rPr>
          <w:rFonts w:cstheme="minorHAnsi"/>
          <w:iCs/>
        </w:rPr>
        <w:t xml:space="preserve">, </w:t>
      </w:r>
      <w:r w:rsidR="007C1016">
        <w:rPr>
          <w:rFonts w:cstheme="minorHAnsi"/>
          <w:iCs/>
        </w:rPr>
        <w:t xml:space="preserve">all </w:t>
      </w:r>
      <w:r>
        <w:rPr>
          <w:rFonts w:cstheme="minorHAnsi"/>
          <w:iCs/>
        </w:rPr>
        <w:t xml:space="preserve">former REU participants </w:t>
      </w:r>
      <w:r w:rsidR="007C1016">
        <w:rPr>
          <w:rFonts w:cstheme="minorHAnsi"/>
          <w:iCs/>
        </w:rPr>
        <w:t>who completed a pr</w:t>
      </w:r>
      <w:r w:rsidR="009F4196">
        <w:rPr>
          <w:rFonts w:cstheme="minorHAnsi"/>
          <w:iCs/>
        </w:rPr>
        <w:t>e</w:t>
      </w:r>
      <w:r w:rsidR="007C1016">
        <w:rPr>
          <w:rFonts w:cstheme="minorHAnsi"/>
          <w:iCs/>
        </w:rPr>
        <w:t xml:space="preserve">-program survey </w:t>
      </w:r>
      <w:r>
        <w:rPr>
          <w:rFonts w:cstheme="minorHAnsi"/>
          <w:iCs/>
        </w:rPr>
        <w:t>will receive a</w:t>
      </w:r>
      <w:r w:rsidR="005D053F">
        <w:rPr>
          <w:rFonts w:cstheme="minorHAnsi"/>
          <w:iCs/>
        </w:rPr>
        <w:t>n email</w:t>
      </w:r>
      <w:r>
        <w:rPr>
          <w:rFonts w:cstheme="minorHAnsi"/>
          <w:iCs/>
        </w:rPr>
        <w:t xml:space="preserve"> request </w:t>
      </w:r>
      <w:r w:rsidR="007C1016">
        <w:rPr>
          <w:rFonts w:cstheme="minorHAnsi"/>
          <w:iCs/>
        </w:rPr>
        <w:t xml:space="preserve">from CERP </w:t>
      </w:r>
      <w:r>
        <w:rPr>
          <w:rFonts w:cstheme="minorHAnsi"/>
          <w:iCs/>
        </w:rPr>
        <w:t>to complete a follow-up survey.</w:t>
      </w:r>
      <w:r w:rsidR="005D053F">
        <w:rPr>
          <w:rFonts w:cstheme="minorHAnsi"/>
          <w:iCs/>
        </w:rPr>
        <w:t xml:space="preserve"> The email will remind students of their participation in the study, describe the study goals and the importance of their participation, and provide a link to the Qualtrics surve</w:t>
      </w:r>
      <w:r w:rsidR="00D93F4A">
        <w:rPr>
          <w:rFonts w:cstheme="minorHAnsi"/>
          <w:iCs/>
        </w:rPr>
        <w:t>y, along with contact information for CERP for any questions about the study or the survey.</w:t>
      </w:r>
      <w:r w:rsidR="007C1016">
        <w:rPr>
          <w:rFonts w:cstheme="minorHAnsi"/>
          <w:iCs/>
        </w:rPr>
        <w:t xml:space="preserve"> Once again, two reminder emails at one-week intervals will be sent to those who have not yet completed a survey.</w:t>
      </w:r>
    </w:p>
    <w:p w:rsidRPr="00D40062" w:rsidR="00D40062" w:rsidP="00085E9D" w:rsidRDefault="00192CE4" w14:paraId="3C9063F2" w14:textId="0A570732">
      <w:pPr>
        <w:pStyle w:val="Body12ptCalibri-IPR"/>
        <w:rPr>
          <w:rFonts w:cstheme="minorHAnsi"/>
          <w:b/>
          <w:bCs/>
        </w:rPr>
      </w:pPr>
      <w:r w:rsidRPr="00D40062">
        <w:rPr>
          <w:rFonts w:cstheme="minorHAnsi"/>
          <w:b/>
          <w:bCs/>
        </w:rPr>
        <w:t>Comparison</w:t>
      </w:r>
      <w:r w:rsidRPr="00D40062" w:rsidR="00683FBA">
        <w:rPr>
          <w:rFonts w:cstheme="minorHAnsi"/>
          <w:b/>
          <w:bCs/>
        </w:rPr>
        <w:t xml:space="preserve"> participants </w:t>
      </w:r>
      <w:r w:rsidRPr="00D40062">
        <w:rPr>
          <w:rFonts w:cstheme="minorHAnsi"/>
          <w:b/>
          <w:bCs/>
        </w:rPr>
        <w:t>(</w:t>
      </w:r>
      <w:r w:rsidRPr="00D40062" w:rsidR="00683FBA">
        <w:rPr>
          <w:rFonts w:cstheme="minorHAnsi"/>
          <w:b/>
          <w:bCs/>
        </w:rPr>
        <w:t>non-NSF REUs</w:t>
      </w:r>
      <w:r w:rsidRPr="00D40062">
        <w:rPr>
          <w:rFonts w:cstheme="minorHAnsi"/>
          <w:b/>
          <w:bCs/>
        </w:rPr>
        <w:t xml:space="preserve"> and no research experience)</w:t>
      </w:r>
      <w:r w:rsidRPr="00D40062" w:rsidR="00683FBA">
        <w:rPr>
          <w:rFonts w:cstheme="minorHAnsi"/>
          <w:b/>
          <w:bCs/>
        </w:rPr>
        <w:t xml:space="preserve"> </w:t>
      </w:r>
    </w:p>
    <w:p w:rsidRPr="005D053F" w:rsidR="00095980" w:rsidP="00085E9D" w:rsidRDefault="00683FBA" w14:paraId="6FC0FC15" w14:textId="26C696C0">
      <w:pPr>
        <w:pStyle w:val="Body12ptCalibri-IPR"/>
        <w:rPr>
          <w:rFonts w:cstheme="minorHAnsi"/>
        </w:rPr>
      </w:pPr>
      <w:r w:rsidRPr="00964744">
        <w:rPr>
          <w:rFonts w:cstheme="minorHAnsi"/>
        </w:rPr>
        <w:lastRenderedPageBreak/>
        <w:t>As described</w:t>
      </w:r>
      <w:r w:rsidRPr="00964744" w:rsidR="00192CE4">
        <w:rPr>
          <w:rFonts w:cstheme="minorHAnsi"/>
        </w:rPr>
        <w:t xml:space="preserve"> </w:t>
      </w:r>
      <w:r w:rsidRPr="00964744">
        <w:rPr>
          <w:rFonts w:cstheme="minorHAnsi"/>
        </w:rPr>
        <w:t xml:space="preserve">previously, </w:t>
      </w:r>
      <w:r w:rsidRPr="00964744" w:rsidR="00192CE4">
        <w:rPr>
          <w:rFonts w:cstheme="minorHAnsi"/>
        </w:rPr>
        <w:t>there will be</w:t>
      </w:r>
      <w:r w:rsidR="00192CE4">
        <w:rPr>
          <w:rFonts w:cstheme="minorHAnsi"/>
        </w:rPr>
        <w:t xml:space="preserve"> two comparison groups. One will be students who do not participate in undergraduate research. The other will be students who have a non-NSF undergraduate research experience. For both groups, </w:t>
      </w:r>
      <w:r w:rsidRPr="00223D47" w:rsidR="00192CE4">
        <w:rPr>
          <w:rFonts w:cstheme="minorHAnsi"/>
        </w:rPr>
        <w:t xml:space="preserve">CERP will generate a </w:t>
      </w:r>
      <w:r w:rsidR="00192CE4">
        <w:rPr>
          <w:rFonts w:cstheme="minorHAnsi"/>
        </w:rPr>
        <w:t xml:space="preserve">single </w:t>
      </w:r>
      <w:r w:rsidRPr="00223D47" w:rsidR="00192CE4">
        <w:rPr>
          <w:rFonts w:cstheme="minorHAnsi"/>
        </w:rPr>
        <w:t xml:space="preserve">list of potential comparison respondents from the </w:t>
      </w:r>
      <w:r w:rsidRPr="007C1016" w:rsidR="00192CE4">
        <w:rPr>
          <w:rFonts w:cstheme="minorHAnsi"/>
        </w:rPr>
        <w:t>Data Buddies Survey (DBS),</w:t>
      </w:r>
      <w:r w:rsidR="00192CE4">
        <w:rPr>
          <w:rFonts w:cstheme="minorHAnsi"/>
        </w:rPr>
        <w:t xml:space="preserve"> </w:t>
      </w:r>
      <w:r w:rsidR="00213F2C">
        <w:rPr>
          <w:rFonts w:cstheme="minorHAnsi"/>
        </w:rPr>
        <w:t>as described in Section B.1</w:t>
      </w:r>
      <w:r w:rsidRPr="005D053F" w:rsidR="00095980">
        <w:rPr>
          <w:rFonts w:cstheme="minorHAnsi"/>
        </w:rPr>
        <w:t xml:space="preserve">. </w:t>
      </w:r>
      <w:r w:rsidRPr="0049738B" w:rsidR="00095980">
        <w:rPr>
          <w:rFonts w:cstheme="minorHAnsi"/>
        </w:rPr>
        <w:t>Samples will not be drawn.</w:t>
      </w:r>
    </w:p>
    <w:p w:rsidRPr="005D053F" w:rsidR="00683FBA" w:rsidP="00964744" w:rsidRDefault="00964744" w14:paraId="37FBA376" w14:textId="7017840A">
      <w:pPr>
        <w:pStyle w:val="Body12ptCalibri-IPR"/>
        <w:rPr>
          <w:rFonts w:cstheme="minorHAnsi"/>
        </w:rPr>
      </w:pPr>
      <w:r>
        <w:rPr>
          <w:rFonts w:cstheme="minorHAnsi"/>
        </w:rPr>
        <w:t>To coincide with the timing of the pre-test for the first set of REU participants in Summer 2022, the identified comparison</w:t>
      </w:r>
      <w:r w:rsidRPr="005D053F" w:rsidR="00095980">
        <w:rPr>
          <w:rFonts w:cstheme="minorHAnsi"/>
        </w:rPr>
        <w:t xml:space="preserve"> respondents</w:t>
      </w:r>
      <w:r>
        <w:rPr>
          <w:rFonts w:cstheme="minorHAnsi"/>
        </w:rPr>
        <w:t xml:space="preserve"> will be sent an </w:t>
      </w:r>
      <w:r w:rsidRPr="005D053F" w:rsidR="00095980">
        <w:rPr>
          <w:rFonts w:cstheme="minorHAnsi"/>
          <w:b/>
          <w:bCs/>
        </w:rPr>
        <w:t>initial recruitment email</w:t>
      </w:r>
      <w:r w:rsidRPr="005D053F" w:rsidR="00095980">
        <w:rPr>
          <w:rFonts w:cstheme="minorHAnsi"/>
        </w:rPr>
        <w:t xml:space="preserve"> </w:t>
      </w:r>
      <w:r>
        <w:rPr>
          <w:rFonts w:cstheme="minorHAnsi"/>
        </w:rPr>
        <w:t>in late Spring 2022</w:t>
      </w:r>
      <w:r w:rsidR="00CF2F78">
        <w:rPr>
          <w:rStyle w:val="FootnoteReference"/>
          <w:rFonts w:cstheme="minorHAnsi"/>
        </w:rPr>
        <w:footnoteReference w:id="3"/>
      </w:r>
      <w:r>
        <w:rPr>
          <w:rFonts w:cstheme="minorHAnsi"/>
        </w:rPr>
        <w:t xml:space="preserve">. The email </w:t>
      </w:r>
      <w:r w:rsidRPr="005D053F" w:rsidR="00095980">
        <w:rPr>
          <w:rFonts w:cstheme="minorHAnsi"/>
        </w:rPr>
        <w:t xml:space="preserve">will </w:t>
      </w:r>
      <w:r w:rsidRPr="005D053F" w:rsidR="00F03229">
        <w:rPr>
          <w:rFonts w:cstheme="minorHAnsi"/>
        </w:rPr>
        <w:t xml:space="preserve">introduce CERP as the research and evaluation arm of the Computing Research Association (CRA), which has a strong reputation within the computing community. The email will </w:t>
      </w:r>
      <w:r w:rsidRPr="005D053F" w:rsidR="00095980">
        <w:rPr>
          <w:rFonts w:cstheme="minorHAnsi"/>
        </w:rPr>
        <w:t>include a description of CERP</w:t>
      </w:r>
      <w:r w:rsidRPr="005D053F" w:rsidR="0036088C">
        <w:rPr>
          <w:rFonts w:cstheme="minorHAnsi"/>
        </w:rPr>
        <w:t xml:space="preserve"> as the organization conducting </w:t>
      </w:r>
      <w:r>
        <w:rPr>
          <w:rFonts w:cstheme="minorHAnsi"/>
        </w:rPr>
        <w:t>a</w:t>
      </w:r>
      <w:r w:rsidRPr="005D053F" w:rsidR="0036088C">
        <w:rPr>
          <w:rFonts w:cstheme="minorHAnsi"/>
        </w:rPr>
        <w:t xml:space="preserve"> survey on behalf of NSF</w:t>
      </w:r>
      <w:r w:rsidRPr="005D053F" w:rsidR="00095980">
        <w:rPr>
          <w:rFonts w:cstheme="minorHAnsi"/>
        </w:rPr>
        <w:t xml:space="preserve">, </w:t>
      </w:r>
      <w:r w:rsidRPr="005D053F" w:rsidR="00683FBA">
        <w:rPr>
          <w:rFonts w:cstheme="minorHAnsi"/>
        </w:rPr>
        <w:t xml:space="preserve">a description of the </w:t>
      </w:r>
      <w:r w:rsidRPr="005D053F" w:rsidR="00095980">
        <w:rPr>
          <w:rFonts w:cstheme="minorHAnsi"/>
        </w:rPr>
        <w:t xml:space="preserve">survey </w:t>
      </w:r>
      <w:r w:rsidRPr="005D053F" w:rsidR="00683FBA">
        <w:rPr>
          <w:rFonts w:cstheme="minorHAnsi"/>
        </w:rPr>
        <w:t xml:space="preserve">project and its purpose, </w:t>
      </w:r>
      <w:r w:rsidRPr="005D053F" w:rsidR="005D053F">
        <w:rPr>
          <w:rFonts w:cstheme="minorHAnsi"/>
        </w:rPr>
        <w:t>an emphasis on respondents’ ability to contribute to understanding how research experiences impact undergraduates,</w:t>
      </w:r>
      <w:r w:rsidRPr="005D053F" w:rsidR="00140DE8">
        <w:rPr>
          <w:rFonts w:cstheme="minorHAnsi"/>
        </w:rPr>
        <w:t xml:space="preserve"> </w:t>
      </w:r>
      <w:r w:rsidRPr="005D053F" w:rsidR="00095980">
        <w:rPr>
          <w:rFonts w:cstheme="minorHAnsi"/>
        </w:rPr>
        <w:t>and</w:t>
      </w:r>
      <w:r w:rsidRPr="005D053F" w:rsidR="00683FBA">
        <w:rPr>
          <w:rFonts w:cstheme="minorHAnsi"/>
        </w:rPr>
        <w:t xml:space="preserve"> a request to complete </w:t>
      </w:r>
      <w:r w:rsidRPr="005D053F" w:rsidR="00095980">
        <w:rPr>
          <w:rFonts w:cstheme="minorHAnsi"/>
        </w:rPr>
        <w:t xml:space="preserve">the </w:t>
      </w:r>
      <w:r w:rsidRPr="005D053F" w:rsidR="005D053F">
        <w:rPr>
          <w:rFonts w:cstheme="minorHAnsi"/>
        </w:rPr>
        <w:t>current on</w:t>
      </w:r>
      <w:r w:rsidRPr="005D053F" w:rsidR="00683FBA">
        <w:rPr>
          <w:rFonts w:cstheme="minorHAnsi"/>
        </w:rPr>
        <w:t>line survey</w:t>
      </w:r>
      <w:r w:rsidRPr="005D053F" w:rsidR="005D053F">
        <w:rPr>
          <w:rFonts w:cstheme="minorHAnsi"/>
        </w:rPr>
        <w:t xml:space="preserve"> and a one-year (approximately) follow-up survey. </w:t>
      </w:r>
      <w:r w:rsidRPr="005D053F" w:rsidR="00683FBA">
        <w:rPr>
          <w:rFonts w:cstheme="minorHAnsi"/>
        </w:rPr>
        <w:t xml:space="preserve">The email will contain a link to </w:t>
      </w:r>
      <w:r w:rsidRPr="005D053F" w:rsidR="00095980">
        <w:rPr>
          <w:rFonts w:cstheme="minorHAnsi"/>
        </w:rPr>
        <w:t>the</w:t>
      </w:r>
      <w:r w:rsidRPr="005D053F" w:rsidR="00683FBA">
        <w:rPr>
          <w:rFonts w:cstheme="minorHAnsi"/>
        </w:rPr>
        <w:t xml:space="preserve"> survey</w:t>
      </w:r>
      <w:r w:rsidRPr="005D053F" w:rsidR="00095980">
        <w:rPr>
          <w:rFonts w:cstheme="minorHAnsi"/>
        </w:rPr>
        <w:t xml:space="preserve"> in Qualtrics</w:t>
      </w:r>
      <w:r w:rsidRPr="005D053F" w:rsidR="0036088C">
        <w:rPr>
          <w:rFonts w:cstheme="minorHAnsi"/>
        </w:rPr>
        <w:t xml:space="preserve"> as well as contact information for CERP that respondents can use to ask additional questions about the survey or their participation in it</w:t>
      </w:r>
      <w:r w:rsidRPr="005D053F" w:rsidR="00683FBA">
        <w:rPr>
          <w:rFonts w:cstheme="minorHAnsi"/>
        </w:rPr>
        <w:t>.</w:t>
      </w:r>
    </w:p>
    <w:p w:rsidRPr="00964744" w:rsidR="000C268E" w:rsidP="00AB5B7C" w:rsidRDefault="00964744" w14:paraId="795C92CA" w14:textId="5747C920">
      <w:pPr>
        <w:pStyle w:val="Body12ptCalibri-IPR"/>
        <w:rPr>
          <w:rFonts w:cstheme="minorHAnsi"/>
        </w:rPr>
      </w:pPr>
      <w:r w:rsidRPr="00964744">
        <w:rPr>
          <w:rFonts w:cstheme="minorHAnsi"/>
          <w:b/>
          <w:bCs/>
        </w:rPr>
        <w:t>Approximately one week later</w:t>
      </w:r>
      <w:r w:rsidRPr="005D053F" w:rsidR="00683FBA">
        <w:rPr>
          <w:rFonts w:cstheme="minorHAnsi"/>
        </w:rPr>
        <w:t xml:space="preserve">, all respondents who have not yet completed a survey will be sent a </w:t>
      </w:r>
      <w:r w:rsidRPr="00964744" w:rsidR="00683FBA">
        <w:rPr>
          <w:rFonts w:cstheme="minorHAnsi"/>
        </w:rPr>
        <w:t>reminder email</w:t>
      </w:r>
      <w:r w:rsidRPr="005D053F" w:rsidR="00683FBA">
        <w:rPr>
          <w:rFonts w:cstheme="minorHAnsi"/>
        </w:rPr>
        <w:t xml:space="preserve"> that once again describes the project and its purpose and invites them to participate by completing the online </w:t>
      </w:r>
      <w:r w:rsidRPr="005D053F" w:rsidR="00095980">
        <w:rPr>
          <w:rFonts w:cstheme="minorHAnsi"/>
        </w:rPr>
        <w:t xml:space="preserve">Qualtrics </w:t>
      </w:r>
      <w:r w:rsidRPr="005D053F" w:rsidR="00683FBA">
        <w:rPr>
          <w:rFonts w:cstheme="minorHAnsi"/>
        </w:rPr>
        <w:t>survey.</w:t>
      </w:r>
      <w:r w:rsidRPr="005D053F" w:rsidR="0036088C">
        <w:rPr>
          <w:rFonts w:cstheme="minorHAnsi"/>
        </w:rPr>
        <w:t xml:space="preserve"> The reminder will again include contact </w:t>
      </w:r>
      <w:r w:rsidRPr="00964744" w:rsidR="0036088C">
        <w:rPr>
          <w:rFonts w:cstheme="minorHAnsi"/>
        </w:rPr>
        <w:t>information for CERP for any questions about the survey.</w:t>
      </w:r>
    </w:p>
    <w:p w:rsidR="00683FBA" w:rsidP="00AB5B7C" w:rsidRDefault="00683FBA" w14:paraId="4744E740" w14:textId="3B7F5DD4">
      <w:pPr>
        <w:pStyle w:val="Body12ptCalibri-IPR"/>
        <w:rPr>
          <w:rFonts w:cstheme="minorHAnsi"/>
        </w:rPr>
      </w:pPr>
      <w:r w:rsidRPr="00964744">
        <w:rPr>
          <w:rFonts w:cstheme="minorHAnsi"/>
          <w:b/>
          <w:bCs/>
        </w:rPr>
        <w:lastRenderedPageBreak/>
        <w:t>After another week ha</w:t>
      </w:r>
      <w:r w:rsidRPr="00964744" w:rsidR="00964744">
        <w:rPr>
          <w:rFonts w:cstheme="minorHAnsi"/>
          <w:b/>
          <w:bCs/>
        </w:rPr>
        <w:t>s</w:t>
      </w:r>
      <w:r w:rsidRPr="00964744">
        <w:rPr>
          <w:rFonts w:cstheme="minorHAnsi"/>
          <w:b/>
          <w:bCs/>
        </w:rPr>
        <w:t xml:space="preserve"> passed</w:t>
      </w:r>
      <w:r w:rsidRPr="00964744">
        <w:rPr>
          <w:rFonts w:cstheme="minorHAnsi"/>
        </w:rPr>
        <w:t xml:space="preserve">, respondents who still have not completed a survey will be sent a final email with a reminder about the project and a request, with a link, to complete the online </w:t>
      </w:r>
      <w:r w:rsidRPr="00964744" w:rsidR="00095980">
        <w:rPr>
          <w:rFonts w:cstheme="minorHAnsi"/>
        </w:rPr>
        <w:t xml:space="preserve">Qualtrics </w:t>
      </w:r>
      <w:r w:rsidRPr="00964744">
        <w:rPr>
          <w:rFonts w:cstheme="minorHAnsi"/>
        </w:rPr>
        <w:t>survey.</w:t>
      </w:r>
      <w:r w:rsidRPr="00964744" w:rsidR="0036088C">
        <w:rPr>
          <w:rFonts w:cstheme="minorHAnsi"/>
        </w:rPr>
        <w:t xml:space="preserve"> CERP contact information will again be included.</w:t>
      </w:r>
    </w:p>
    <w:p w:rsidRPr="009F4196" w:rsidR="009F4196" w:rsidP="009F4196" w:rsidRDefault="009F4196" w14:paraId="203F66BC" w14:textId="4423FECE">
      <w:pPr>
        <w:pStyle w:val="Body12ptCalibri-IPR"/>
        <w:rPr>
          <w:rFonts w:cstheme="minorHAnsi"/>
          <w:iCs/>
        </w:rPr>
      </w:pPr>
      <w:r w:rsidRPr="007C1016">
        <w:rPr>
          <w:rFonts w:cstheme="minorHAnsi"/>
          <w:b/>
          <w:bCs/>
          <w:iCs/>
        </w:rPr>
        <w:t>Approximately one year later</w:t>
      </w:r>
      <w:r>
        <w:rPr>
          <w:rFonts w:cstheme="minorHAnsi"/>
          <w:iCs/>
        </w:rPr>
        <w:t xml:space="preserve">, in </w:t>
      </w:r>
      <w:r w:rsidR="00222519">
        <w:rPr>
          <w:rFonts w:cstheme="minorHAnsi"/>
          <w:iCs/>
        </w:rPr>
        <w:t>late summer</w:t>
      </w:r>
      <w:r>
        <w:rPr>
          <w:rFonts w:cstheme="minorHAnsi"/>
          <w:iCs/>
        </w:rPr>
        <w:t xml:space="preserve">, all comparison group participants who completed a pre-survey will receive an email request from CERP to complete a follow-up survey. The email will remind students of their participation in the study, describe the study goals and the importance of their participation, and provide a link to the Qualtrics survey, along with contact information for CERP for any questions about the study or the survey. Once again, two reminder emails at one-week intervals will be sent to those who have not yet completed a survey. Participant responses to this follow-up survey will define their inclusion in the comparison group with no research experience versus the comparison group with other, non-NSF REU research </w:t>
      </w:r>
      <w:r w:rsidRPr="009F4196">
        <w:rPr>
          <w:rFonts w:cstheme="minorHAnsi"/>
          <w:iCs/>
        </w:rPr>
        <w:t>experience.</w:t>
      </w:r>
    </w:p>
    <w:p w:rsidRPr="00066FB1" w:rsidR="00106886" w:rsidP="00213F2C" w:rsidRDefault="00106886" w14:paraId="5B67E74E" w14:textId="71742BDD">
      <w:pPr>
        <w:pStyle w:val="Bullets12ptCalibri-IPR"/>
        <w:numPr>
          <w:ilvl w:val="0"/>
          <w:numId w:val="0"/>
        </w:numPr>
        <w:rPr>
          <w:rFonts w:asciiTheme="minorHAnsi" w:hAnsiTheme="minorHAnsi" w:cstheme="minorHAnsi"/>
          <w:b/>
          <w:u w:val="single"/>
        </w:rPr>
      </w:pPr>
      <w:r w:rsidRPr="00066FB1">
        <w:rPr>
          <w:rFonts w:asciiTheme="minorHAnsi" w:hAnsiTheme="minorHAnsi" w:cstheme="minorHAnsi"/>
          <w:b/>
          <w:u w:val="single"/>
        </w:rPr>
        <w:t>Statistical methodology for stratification and sample selection</w:t>
      </w:r>
    </w:p>
    <w:p w:rsidRPr="009F4196" w:rsidR="00106886" w:rsidP="0026341E" w:rsidRDefault="00106886" w14:paraId="10C39E9F" w14:textId="10F7B4F0">
      <w:pPr>
        <w:pStyle w:val="Body12ptCalibri-IPR"/>
      </w:pPr>
      <w:r w:rsidRPr="0026341E">
        <w:t xml:space="preserve">Not applicable. </w:t>
      </w:r>
      <w:r w:rsidRPr="0026341E" w:rsidR="0026341E">
        <w:t>There will be no stratification or sample selection for the NSF REU participants. Every REU participant that takes part in an REU in which the PI has elected to use NSF-sponsored REU evaluation services will be recruited for data collection.</w:t>
      </w:r>
      <w:r w:rsidR="0049738B">
        <w:t xml:space="preserve"> Similarly, every eligible comparison group participant will be recruited for data collection. </w:t>
      </w:r>
    </w:p>
    <w:p w:rsidRPr="00066FB1" w:rsidR="00106886" w:rsidP="00213F2C" w:rsidRDefault="00106886" w14:paraId="3C217613" w14:textId="52A0F0E9">
      <w:pPr>
        <w:pStyle w:val="Bullets12ptCalibri-IPR"/>
        <w:numPr>
          <w:ilvl w:val="0"/>
          <w:numId w:val="0"/>
        </w:numPr>
        <w:rPr>
          <w:rFonts w:asciiTheme="minorHAnsi" w:hAnsiTheme="minorHAnsi" w:cstheme="minorHAnsi"/>
          <w:b/>
          <w:u w:val="single"/>
        </w:rPr>
      </w:pPr>
      <w:r w:rsidRPr="00066FB1">
        <w:rPr>
          <w:rFonts w:asciiTheme="minorHAnsi" w:hAnsiTheme="minorHAnsi" w:cstheme="minorHAnsi"/>
          <w:b/>
          <w:u w:val="single"/>
        </w:rPr>
        <w:t>Estimation procedure</w:t>
      </w:r>
    </w:p>
    <w:p w:rsidRPr="008B2A5A" w:rsidR="008B2A5A" w:rsidP="00066FB1" w:rsidRDefault="008B2A5A" w14:paraId="1952C31D" w14:textId="6A07EB35">
      <w:pPr>
        <w:pStyle w:val="Body12ptCalibri-IPR"/>
      </w:pPr>
      <w:r>
        <w:t>For</w:t>
      </w:r>
      <w:r w:rsidRPr="008B2A5A">
        <w:t xml:space="preserve"> each</w:t>
      </w:r>
      <w:r>
        <w:t xml:space="preserve"> stage of data collection in the study, analyses will be conducted to determine whether </w:t>
      </w:r>
      <w:r w:rsidR="001243F1">
        <w:t>there are systematic differences in the characteristics of those who respond to survey instruments or items</w:t>
      </w:r>
      <w:r w:rsidR="00C537CB">
        <w:t>, as follows</w:t>
      </w:r>
      <w:r w:rsidR="00632C8C">
        <w:t xml:space="preserve"> below</w:t>
      </w:r>
      <w:r w:rsidR="001243F1">
        <w:t>.</w:t>
      </w:r>
    </w:p>
    <w:p w:rsidRPr="00066FB1" w:rsidR="00085E9D" w:rsidP="00066FB1" w:rsidRDefault="00085E9D" w14:paraId="6EE4535A" w14:textId="07065760">
      <w:pPr>
        <w:pStyle w:val="Body12ptCalibri-IPR"/>
        <w:rPr>
          <w:b/>
          <w:bCs/>
        </w:rPr>
      </w:pPr>
      <w:r w:rsidRPr="00066FB1">
        <w:rPr>
          <w:b/>
          <w:bCs/>
        </w:rPr>
        <w:t>Respondent-level non-response analyses</w:t>
      </w:r>
    </w:p>
    <w:p w:rsidRPr="00680F13" w:rsidR="00106886" w:rsidP="001D1328" w:rsidRDefault="00106886" w14:paraId="7CA66B08" w14:textId="55B3A167">
      <w:pPr>
        <w:pStyle w:val="Body12ptCalibri-IPR"/>
      </w:pPr>
      <w:r w:rsidRPr="00680F13">
        <w:lastRenderedPageBreak/>
        <w:t xml:space="preserve">To understand whether there are systematic differences in who responds to the </w:t>
      </w:r>
      <w:r w:rsidRPr="00680F13" w:rsidR="00680F13">
        <w:t xml:space="preserve">project </w:t>
      </w:r>
      <w:r w:rsidRPr="00680F13">
        <w:t>survey</w:t>
      </w:r>
      <w:r w:rsidRPr="00680F13" w:rsidR="00680F13">
        <w:t>s</w:t>
      </w:r>
      <w:r w:rsidRPr="00680F13">
        <w:t>, CERP will conduct a</w:t>
      </w:r>
      <w:r w:rsidRPr="00680F13" w:rsidR="00085E9D">
        <w:t>nd report on</w:t>
      </w:r>
      <w:r w:rsidRPr="00680F13">
        <w:t xml:space="preserve"> </w:t>
      </w:r>
      <w:r w:rsidRPr="00680F13" w:rsidR="00F22F60">
        <w:rPr>
          <w:u w:val="single"/>
        </w:rPr>
        <w:t>respondent-level</w:t>
      </w:r>
      <w:r w:rsidRPr="00680F13" w:rsidR="00F22F60">
        <w:t xml:space="preserve"> </w:t>
      </w:r>
      <w:r w:rsidRPr="00680F13">
        <w:t xml:space="preserve">non-response bias analysis. This </w:t>
      </w:r>
      <w:r w:rsidRPr="00680F13" w:rsidR="00085E9D">
        <w:t xml:space="preserve">analysis </w:t>
      </w:r>
      <w:r w:rsidRPr="00680F13">
        <w:t>will vary depending on the type of respondent.</w:t>
      </w:r>
    </w:p>
    <w:p w:rsidR="00680F13" w:rsidP="001D1328" w:rsidRDefault="00085E9D" w14:paraId="2976E5CD" w14:textId="1E1D91C5">
      <w:pPr>
        <w:pStyle w:val="Body12ptCalibri-IPR"/>
        <w:rPr>
          <w:highlight w:val="yellow"/>
        </w:rPr>
      </w:pPr>
      <w:r w:rsidRPr="00680F13">
        <w:rPr>
          <w:u w:val="single"/>
        </w:rPr>
        <w:t>NSF CISE REU participants</w:t>
      </w:r>
      <w:r w:rsidRPr="00680F13">
        <w:t xml:space="preserve">: </w:t>
      </w:r>
      <w:r w:rsidRPr="00680F13" w:rsidR="00680F13">
        <w:t xml:space="preserve">For REU participant pre-test response rates, CERP expects survey completion rates </w:t>
      </w:r>
      <w:r w:rsidR="00B74561">
        <w:t>to be</w:t>
      </w:r>
      <w:r w:rsidRPr="00680F13" w:rsidR="00680F13">
        <w:t xml:space="preserve"> close to 100%. This estimate is based on data from past studies, in which participants who are just beginning an REU program are highly motivated to comply with requests from project personnel. CERP will be able to </w:t>
      </w:r>
      <w:r w:rsidR="00B74561">
        <w:t>calculate pre-test response rates</w:t>
      </w:r>
      <w:r w:rsidRPr="00680F13" w:rsidR="00680F13">
        <w:t xml:space="preserve"> – at the </w:t>
      </w:r>
      <w:r w:rsidRPr="00B74561" w:rsidR="00680F13">
        <w:t>individual project level and for REUs overall -- with data provided by the REU PIs</w:t>
      </w:r>
      <w:r w:rsidR="00C537CB">
        <w:t xml:space="preserve"> in their T</w:t>
      </w:r>
      <w:r w:rsidR="004752CA">
        <w:t xml:space="preserve">ime </w:t>
      </w:r>
      <w:r w:rsidR="00C537CB">
        <w:t>1 PI REU Information Form</w:t>
      </w:r>
      <w:r w:rsidRPr="00B74561" w:rsidR="00680F13">
        <w:t xml:space="preserve">, </w:t>
      </w:r>
      <w:r w:rsidRPr="00B74561" w:rsidR="00B74561">
        <w:t>which will include t</w:t>
      </w:r>
      <w:r w:rsidRPr="00B74561" w:rsidR="00680F13">
        <w:t xml:space="preserve">he number of </w:t>
      </w:r>
      <w:r w:rsidRPr="00B74561" w:rsidR="00B74561">
        <w:t xml:space="preserve">students </w:t>
      </w:r>
      <w:r w:rsidRPr="00B74561" w:rsidR="00680F13">
        <w:t xml:space="preserve">participating </w:t>
      </w:r>
      <w:r w:rsidRPr="00B74561" w:rsidR="00B74561">
        <w:t xml:space="preserve">in the </w:t>
      </w:r>
      <w:r w:rsidRPr="00B74561" w:rsidR="00680F13">
        <w:t xml:space="preserve">REU. </w:t>
      </w:r>
      <w:r w:rsidRPr="00B74561" w:rsidR="00106886">
        <w:t xml:space="preserve">CERP will </w:t>
      </w:r>
      <w:r w:rsidRPr="00B74561" w:rsidR="00B74561">
        <w:t xml:space="preserve">also </w:t>
      </w:r>
      <w:r w:rsidRPr="00B74561" w:rsidR="00106886">
        <w:t xml:space="preserve">examine whether there are different rates of survey participation as a function of </w:t>
      </w:r>
      <w:r w:rsidRPr="00B74561" w:rsidR="00B74561">
        <w:t>other</w:t>
      </w:r>
      <w:r w:rsidRPr="00B74561" w:rsidR="00680F13">
        <w:t xml:space="preserve"> project-level variables that are provided by PIs, including </w:t>
      </w:r>
      <w:r w:rsidRPr="00B74561" w:rsidR="00106886">
        <w:t xml:space="preserve">CISE division, </w:t>
      </w:r>
      <w:r w:rsidRPr="00B74561" w:rsidR="00680F13">
        <w:t>REU term (Summer, Fall, Spring)</w:t>
      </w:r>
      <w:r w:rsidRPr="00B74561" w:rsidR="00106886">
        <w:t xml:space="preserve">, </w:t>
      </w:r>
      <w:r w:rsidRPr="00B74561" w:rsidR="00680F13">
        <w:t xml:space="preserve">and </w:t>
      </w:r>
      <w:r w:rsidRPr="00B74561" w:rsidR="00106886">
        <w:t>REU type</w:t>
      </w:r>
      <w:r w:rsidRPr="00B74561" w:rsidR="00680F13">
        <w:t xml:space="preserve"> (Site or Supplement). </w:t>
      </w:r>
    </w:p>
    <w:p w:rsidRPr="00C358F9" w:rsidR="00106886" w:rsidP="001D1328" w:rsidRDefault="00B74561" w14:paraId="64184878" w14:textId="7B7EA65C">
      <w:pPr>
        <w:pStyle w:val="Body12ptCalibri-IPR"/>
      </w:pPr>
      <w:r w:rsidRPr="00C358F9">
        <w:t xml:space="preserve">For a subset of REU </w:t>
      </w:r>
      <w:r w:rsidRPr="00C358F9" w:rsidR="00A8713E">
        <w:t xml:space="preserve">Site </w:t>
      </w:r>
      <w:r w:rsidRPr="00C358F9">
        <w:t xml:space="preserve">projects that use NSF’s ETAP system </w:t>
      </w:r>
      <w:r w:rsidRPr="00C358F9" w:rsidR="00066FB1">
        <w:t>to have students apply for their REU</w:t>
      </w:r>
      <w:r w:rsidRPr="00C358F9">
        <w:t xml:space="preserve">, </w:t>
      </w:r>
      <w:r w:rsidRPr="00C358F9" w:rsidR="00680F13">
        <w:t xml:space="preserve">CERP will </w:t>
      </w:r>
      <w:r w:rsidR="00C3011D">
        <w:t xml:space="preserve">also </w:t>
      </w:r>
      <w:r w:rsidRPr="00C358F9" w:rsidR="00680F13">
        <w:t xml:space="preserve">have access to participant-level </w:t>
      </w:r>
      <w:r w:rsidRPr="00C358F9" w:rsidR="00066FB1">
        <w:t xml:space="preserve">data gathered at the REU </w:t>
      </w:r>
      <w:r w:rsidRPr="00C358F9" w:rsidR="00066FB1">
        <w:rPr>
          <w:u w:val="single"/>
        </w:rPr>
        <w:t>application</w:t>
      </w:r>
      <w:r w:rsidRPr="00C358F9" w:rsidR="00066FB1">
        <w:t xml:space="preserve"> phase, along with a record of whether the applicant was accepted into an REU program. </w:t>
      </w:r>
      <w:r w:rsidRPr="00C358F9" w:rsidR="00A8713E">
        <w:t xml:space="preserve">CERP will use this opportunity to (1) match ETAP data for </w:t>
      </w:r>
      <w:r w:rsidRPr="00C358F9" w:rsidR="00066FB1">
        <w:t xml:space="preserve">students who go on to be participants </w:t>
      </w:r>
      <w:r w:rsidRPr="00C358F9" w:rsidR="00A8713E">
        <w:t xml:space="preserve">to the appropriate REU pre-program survey; (2) identify REU participants in ETAP who </w:t>
      </w:r>
      <w:r w:rsidRPr="00C358F9" w:rsidR="00066FB1">
        <w:t>do</w:t>
      </w:r>
      <w:r w:rsidRPr="00C358F9" w:rsidR="00A8713E">
        <w:t xml:space="preserve"> </w:t>
      </w:r>
      <w:r w:rsidRPr="00C358F9" w:rsidR="00A8713E">
        <w:rPr>
          <w:u w:val="single"/>
        </w:rPr>
        <w:t>not</w:t>
      </w:r>
      <w:r w:rsidRPr="00C358F9" w:rsidR="00A8713E">
        <w:t xml:space="preserve"> complete an REU pre-program survey; and (3) compare ETAP data on the demographics and background characteristics </w:t>
      </w:r>
      <w:r w:rsidRPr="00C358F9" w:rsidR="00066FB1">
        <w:t>for</w:t>
      </w:r>
      <w:r w:rsidRPr="00C358F9" w:rsidR="00A8713E">
        <w:t xml:space="preserve"> </w:t>
      </w:r>
      <w:r w:rsidRPr="00C358F9" w:rsidR="00066FB1">
        <w:t>REU participants</w:t>
      </w:r>
      <w:r w:rsidRPr="00C358F9" w:rsidR="00A8713E">
        <w:t xml:space="preserve"> who did versus did not complete an REU pre-test survey</w:t>
      </w:r>
      <w:r w:rsidRPr="00C358F9" w:rsidR="00066FB1">
        <w:t>, to test for non-response bias</w:t>
      </w:r>
      <w:r w:rsidRPr="00C358F9" w:rsidR="00A8713E">
        <w:t>.</w:t>
      </w:r>
    </w:p>
    <w:p w:rsidRPr="00554295" w:rsidR="00554295" w:rsidP="001D1328" w:rsidRDefault="00C358F9" w14:paraId="02152C89" w14:textId="252B930A">
      <w:pPr>
        <w:pStyle w:val="Body12ptCalibri-IPR"/>
      </w:pPr>
      <w:r>
        <w:t>Analyses of respondent-level non-response bias</w:t>
      </w:r>
      <w:r w:rsidRPr="00554295" w:rsidR="00554295">
        <w:t xml:space="preserve"> will </w:t>
      </w:r>
      <w:r>
        <w:t>also</w:t>
      </w:r>
      <w:r w:rsidRPr="00554295" w:rsidR="00554295">
        <w:t xml:space="preserve"> be conducted </w:t>
      </w:r>
      <w:r>
        <w:t>with REU participant post-program surveys</w:t>
      </w:r>
      <w:r w:rsidRPr="00554295" w:rsidR="00554295">
        <w:t xml:space="preserve">. </w:t>
      </w:r>
      <w:r>
        <w:t xml:space="preserve">After matching REU participants’ pre-program surveys to their </w:t>
      </w:r>
      <w:r>
        <w:lastRenderedPageBreak/>
        <w:t>post-program surveys, r</w:t>
      </w:r>
      <w:r w:rsidRPr="00554295" w:rsidR="00554295">
        <w:t xml:space="preserve">espondents </w:t>
      </w:r>
      <w:r>
        <w:t xml:space="preserve">who complete a full set of forms will be compared to those </w:t>
      </w:r>
      <w:r w:rsidRPr="00554295" w:rsidR="00554295">
        <w:t>who complete</w:t>
      </w:r>
      <w:r>
        <w:t xml:space="preserve"> only </w:t>
      </w:r>
      <w:r w:rsidRPr="00554295" w:rsidR="00554295">
        <w:t>a pre-program survey</w:t>
      </w:r>
      <w:r>
        <w:t xml:space="preserve">. The two groups will be compared </w:t>
      </w:r>
      <w:r w:rsidRPr="00554295" w:rsidR="00554295">
        <w:t>on participant-level and project-level characteristics. The same procedure will be used to examine respondent-level non-response bias in the follow-up survey.</w:t>
      </w:r>
    </w:p>
    <w:p w:rsidRPr="00554295" w:rsidR="00106886" w:rsidP="001D1328" w:rsidRDefault="00A8713E" w14:paraId="7DEE2EF3" w14:textId="4191C7C4">
      <w:pPr>
        <w:pStyle w:val="Body12ptCalibri-IPR"/>
      </w:pPr>
      <w:r w:rsidRPr="00554295">
        <w:rPr>
          <w:u w:val="single"/>
        </w:rPr>
        <w:t>Comparison group</w:t>
      </w:r>
      <w:r w:rsidRPr="00554295" w:rsidR="00085E9D">
        <w:rPr>
          <w:u w:val="single"/>
        </w:rPr>
        <w:t xml:space="preserve"> participants:</w:t>
      </w:r>
      <w:r w:rsidRPr="00554295" w:rsidR="00085E9D">
        <w:t xml:space="preserve"> </w:t>
      </w:r>
      <w:r w:rsidR="00157F9A">
        <w:t xml:space="preserve">Because the comparison group participants will be recruited from a set of respondents to a previous CERP survey, there will be a large amount of </w:t>
      </w:r>
      <w:r w:rsidR="00EA434F">
        <w:t>pre-</w:t>
      </w:r>
      <w:r w:rsidR="00157F9A">
        <w:t xml:space="preserve">existing data on these respondents that will allow for comparisons of those who do versus do not agree to complete the pre-survey for this study. </w:t>
      </w:r>
      <w:r w:rsidRPr="00554295" w:rsidR="00106886">
        <w:t xml:space="preserve">Basic </w:t>
      </w:r>
      <w:r w:rsidRPr="00554295" w:rsidR="00F22F60">
        <w:t>respondent</w:t>
      </w:r>
      <w:r w:rsidR="00022783">
        <w:t>-level</w:t>
      </w:r>
      <w:r w:rsidRPr="00554295" w:rsidR="00F22F60">
        <w:t xml:space="preserve"> </w:t>
      </w:r>
      <w:r w:rsidRPr="00554295" w:rsidR="00106886">
        <w:t xml:space="preserve">non-response analyses </w:t>
      </w:r>
      <w:r w:rsidR="00022783">
        <w:t xml:space="preserve">on the pre-test survey </w:t>
      </w:r>
      <w:r w:rsidRPr="00554295" w:rsidR="00554295">
        <w:t>will</w:t>
      </w:r>
      <w:r w:rsidRPr="00554295" w:rsidR="00106886">
        <w:t xml:space="preserve"> be completed </w:t>
      </w:r>
      <w:r w:rsidRPr="00554295" w:rsidR="00554295">
        <w:t xml:space="preserve">by comparing </w:t>
      </w:r>
      <w:r w:rsidRPr="00554295" w:rsidR="00106886">
        <w:t xml:space="preserve">gender, race/ethnicity, and </w:t>
      </w:r>
      <w:r w:rsidRPr="00554295" w:rsidR="00554295">
        <w:t xml:space="preserve">other background characteristics for the recruited respondents who </w:t>
      </w:r>
      <w:r w:rsidRPr="00022783" w:rsidR="00554295">
        <w:rPr>
          <w:u w:val="single"/>
        </w:rPr>
        <w:t>do</w:t>
      </w:r>
      <w:r w:rsidRPr="00554295" w:rsidR="00554295">
        <w:t xml:space="preserve"> versus </w:t>
      </w:r>
      <w:r w:rsidRPr="00022783" w:rsidR="00554295">
        <w:rPr>
          <w:u w:val="single"/>
        </w:rPr>
        <w:t>do not</w:t>
      </w:r>
      <w:r w:rsidRPr="00554295" w:rsidR="00554295">
        <w:t xml:space="preserve"> participate</w:t>
      </w:r>
      <w:r w:rsidRPr="00554295" w:rsidR="00106886">
        <w:t xml:space="preserve">. </w:t>
      </w:r>
      <w:r w:rsidR="00EA434F">
        <w:t>Analysis of the follow-up survey non-response bias will use comparison group pre-survey data to compare the demographic and background profiles of those that do versus do not complete a follow-up survey.</w:t>
      </w:r>
    </w:p>
    <w:p w:rsidRPr="001243F1" w:rsidR="00085E9D" w:rsidP="001243F1" w:rsidRDefault="00085E9D" w14:paraId="561107A4" w14:textId="7EEBCE64">
      <w:pPr>
        <w:pStyle w:val="Body12ptCalibri-IPR"/>
        <w:rPr>
          <w:b/>
          <w:bCs/>
        </w:rPr>
      </w:pPr>
      <w:r w:rsidRPr="001243F1">
        <w:rPr>
          <w:b/>
          <w:bCs/>
        </w:rPr>
        <w:t>Item-level non-response analyses</w:t>
      </w:r>
    </w:p>
    <w:p w:rsidR="00E85FDF" w:rsidP="001D1328" w:rsidRDefault="00E85FDF" w14:paraId="49B890C0" w14:textId="5617B260">
      <w:pPr>
        <w:pStyle w:val="Body12ptCalibri-IPR"/>
      </w:pPr>
      <w:r w:rsidRPr="000A535F">
        <w:t>In addition to respondent-level non-response analyses, concerns have also been raised about non-response bias at the levels of individual survey items.</w:t>
      </w:r>
      <w:r w:rsidRPr="000A535F">
        <w:rPr>
          <w:rStyle w:val="FootnoteReference"/>
        </w:rPr>
        <w:footnoteReference w:id="4"/>
      </w:r>
      <w:r w:rsidRPr="000A535F">
        <w:t xml:space="preserve"> Although non-response bias analyses of all survey items are not feasible, CERP will monitor and report on survey items that are unanswered by a large percentage of respondents overall and within each of the respondent groups. </w:t>
      </w:r>
    </w:p>
    <w:p w:rsidRPr="004C4288" w:rsidR="001243F1" w:rsidP="004C4288" w:rsidRDefault="001243F1" w14:paraId="27A272B0" w14:textId="335278C0">
      <w:pPr>
        <w:pStyle w:val="Body12ptCalibri-IPR"/>
        <w:rPr>
          <w:b/>
          <w:bCs/>
        </w:rPr>
      </w:pPr>
      <w:r w:rsidRPr="004C4288">
        <w:rPr>
          <w:b/>
          <w:bCs/>
        </w:rPr>
        <w:t xml:space="preserve">Reporting of </w:t>
      </w:r>
      <w:r w:rsidRPr="004C4288" w:rsidR="004C4288">
        <w:rPr>
          <w:b/>
          <w:bCs/>
        </w:rPr>
        <w:t>n</w:t>
      </w:r>
      <w:r w:rsidRPr="004C4288">
        <w:rPr>
          <w:b/>
          <w:bCs/>
        </w:rPr>
        <w:t>on-</w:t>
      </w:r>
      <w:r w:rsidR="004C4288">
        <w:rPr>
          <w:b/>
          <w:bCs/>
        </w:rPr>
        <w:t>r</w:t>
      </w:r>
      <w:r w:rsidRPr="004C4288">
        <w:rPr>
          <w:b/>
          <w:bCs/>
        </w:rPr>
        <w:t xml:space="preserve">esponse </w:t>
      </w:r>
      <w:r w:rsidRPr="004C4288" w:rsidR="004C4288">
        <w:rPr>
          <w:b/>
          <w:bCs/>
        </w:rPr>
        <w:t>f</w:t>
      </w:r>
      <w:r w:rsidRPr="004C4288">
        <w:rPr>
          <w:b/>
          <w:bCs/>
        </w:rPr>
        <w:t>indings</w:t>
      </w:r>
    </w:p>
    <w:p w:rsidRPr="00B260E9" w:rsidR="001243F1" w:rsidP="001243F1" w:rsidRDefault="001243F1" w14:paraId="5ABF5AC0" w14:textId="70A87173">
      <w:pPr>
        <w:pStyle w:val="Body12ptCalibri-IPR"/>
        <w:ind w:firstLine="0"/>
      </w:pPr>
      <w:r>
        <w:lastRenderedPageBreak/>
        <w:tab/>
      </w:r>
      <w:r w:rsidR="00E020E6">
        <w:t xml:space="preserve">A description and summary </w:t>
      </w:r>
      <w:r>
        <w:t xml:space="preserve">of all non-response analyses will be </w:t>
      </w:r>
      <w:r w:rsidR="00E020E6">
        <w:t>included</w:t>
      </w:r>
      <w:r>
        <w:t xml:space="preserve"> in project </w:t>
      </w:r>
      <w:r w:rsidRPr="00B260E9">
        <w:t>reports</w:t>
      </w:r>
      <w:r w:rsidRPr="00B260E9" w:rsidR="00E020E6">
        <w:t xml:space="preserve"> to NSF</w:t>
      </w:r>
      <w:r w:rsidRPr="00B260E9">
        <w:t>.</w:t>
      </w:r>
    </w:p>
    <w:p w:rsidRPr="004C4288" w:rsidR="00106886" w:rsidP="004C4288" w:rsidRDefault="00106886" w14:paraId="6ABB8F77" w14:textId="21533E3D">
      <w:pPr>
        <w:pStyle w:val="Bullets12ptCalibri-IPR"/>
        <w:numPr>
          <w:ilvl w:val="0"/>
          <w:numId w:val="0"/>
        </w:numPr>
        <w:rPr>
          <w:rFonts w:asciiTheme="minorHAnsi" w:hAnsiTheme="minorHAnsi" w:cstheme="minorHAnsi"/>
          <w:b/>
          <w:u w:val="single"/>
        </w:rPr>
      </w:pPr>
      <w:r w:rsidRPr="004C4288">
        <w:rPr>
          <w:rFonts w:asciiTheme="minorHAnsi" w:hAnsiTheme="minorHAnsi" w:cstheme="minorHAnsi"/>
          <w:b/>
          <w:u w:val="single"/>
        </w:rPr>
        <w:t>Degree of accuracy needed for the purpose described in the justification</w:t>
      </w:r>
    </w:p>
    <w:p w:rsidRPr="00B260E9" w:rsidR="00B260E9" w:rsidP="001D1328" w:rsidRDefault="00683A9A" w14:paraId="25C1CA07" w14:textId="57C3F06D">
      <w:pPr>
        <w:pStyle w:val="Body12ptCalibri-IPR"/>
      </w:pPr>
      <w:r w:rsidRPr="00B260E9">
        <w:t xml:space="preserve">As noted in Section A.1 and A.2, the current study’s purpose and goals incorporate multiple levels of analysis and reporting. One purpose of the study is to provide individual REU PIs with data about the participants and outcomes of their own REU. A second, broader </w:t>
      </w:r>
      <w:r w:rsidRPr="00B260E9" w:rsidR="00C3011D">
        <w:t xml:space="preserve">purpose and </w:t>
      </w:r>
      <w:r w:rsidRPr="00B260E9">
        <w:t xml:space="preserve">set of goals is to provide NSF and the CISE community with information about REU participants and outcomes as a whole, using an aggregated data set that allows for multiple </w:t>
      </w:r>
      <w:r w:rsidR="007C2709">
        <w:t>types</w:t>
      </w:r>
      <w:r w:rsidRPr="00B260E9">
        <w:t xml:space="preserve"> of comparison</w:t>
      </w:r>
      <w:r w:rsidR="007C2709">
        <w:t>s</w:t>
      </w:r>
      <w:r w:rsidR="00C3011D">
        <w:t xml:space="preserve"> and investigations of the correlates of desired program outcomes</w:t>
      </w:r>
      <w:r w:rsidR="007C2709">
        <w:t>.</w:t>
      </w:r>
    </w:p>
    <w:p w:rsidRPr="00C02C79" w:rsidR="00357E07" w:rsidP="001D1328" w:rsidRDefault="004C4288" w14:paraId="4C902010" w14:textId="77777777">
      <w:pPr>
        <w:pStyle w:val="Body12ptCalibri-IPR"/>
        <w:rPr>
          <w:b/>
          <w:bCs/>
        </w:rPr>
      </w:pPr>
      <w:r w:rsidRPr="00C02C79">
        <w:rPr>
          <w:b/>
          <w:bCs/>
        </w:rPr>
        <w:t>Degree of accuracy needed for individual PI repo</w:t>
      </w:r>
      <w:r w:rsidRPr="00C02C79" w:rsidR="00357E07">
        <w:rPr>
          <w:b/>
          <w:bCs/>
        </w:rPr>
        <w:t>rts</w:t>
      </w:r>
    </w:p>
    <w:p w:rsidRPr="00C02C79" w:rsidR="00357E07" w:rsidP="00357E07" w:rsidRDefault="00357E07" w14:paraId="4F74AAE8" w14:textId="77777777">
      <w:pPr>
        <w:pStyle w:val="Body12ptCalibri-IPR"/>
      </w:pPr>
      <w:r w:rsidRPr="00C02C79">
        <w:t xml:space="preserve">Each participating REU will receive a yearly report  with: (1) a profile of the demographic and background characteristics of students participating in their REU; (2) a summary of pre- to post-program changes among their REU participants; (3) a summary of how their REU participants perceived the REU; and (4) a comparison of their REU own participants versus participants in REUs at similar institutions.  </w:t>
      </w:r>
    </w:p>
    <w:p w:rsidR="00357E07" w:rsidP="00357E07" w:rsidRDefault="00357E07" w14:paraId="683AC7EE" w14:textId="6D03EC44">
      <w:pPr>
        <w:pStyle w:val="Body12ptCalibri-IPR"/>
      </w:pPr>
      <w:r w:rsidRPr="00C02C79">
        <w:t xml:space="preserve">We expect high response rates for both the pre- and post-program surveys from all REU participants, given that </w:t>
      </w:r>
      <w:r w:rsidR="00655F0F">
        <w:t>there will be interpersonal and professional incentives for their participation (</w:t>
      </w:r>
      <w:r w:rsidRPr="00C02C79">
        <w:t>the PI or a senior staff member on their REU will be recruiting the participants to complete the surveys</w:t>
      </w:r>
      <w:r w:rsidR="00655F0F">
        <w:t>), as well as recruitment methods that will enhance participation (compelling participation messages and multiple reminders)</w:t>
      </w:r>
      <w:r w:rsidRPr="00C02C79">
        <w:t>.</w:t>
      </w:r>
      <w:r w:rsidRPr="00C02C79" w:rsidR="00C02C79">
        <w:t xml:space="preserve"> For any response rates that dip below 70%, the reports will include </w:t>
      </w:r>
      <w:r w:rsidR="00C02C79">
        <w:t xml:space="preserve">descriptive </w:t>
      </w:r>
      <w:r w:rsidRPr="00C02C79" w:rsidR="00C02C79">
        <w:t>information on any differences in which participants responded</w:t>
      </w:r>
      <w:r w:rsidR="00C02C79">
        <w:t xml:space="preserve">; for individual REUs, statistical comparisons based on response status </w:t>
      </w:r>
      <w:r w:rsidR="00C02C79">
        <w:lastRenderedPageBreak/>
        <w:t>may not be able to be conducted due to small numbers of students in individual REUs</w:t>
      </w:r>
      <w:r w:rsidRPr="00C02C79" w:rsidR="00C02C79">
        <w:t>.</w:t>
      </w:r>
      <w:r w:rsidR="007F064D">
        <w:t xml:space="preserve"> Thus, we expect that this reporting will reflect a high degree of accuracy regarding pre- to post-program changes in REU participants.</w:t>
      </w:r>
    </w:p>
    <w:p w:rsidRPr="00C02C79" w:rsidR="00C02C79" w:rsidP="00C02C79" w:rsidRDefault="00C02C79" w14:paraId="3C988952" w14:textId="7EC4A7E5">
      <w:pPr>
        <w:pStyle w:val="Body12ptCalibri-IPR"/>
        <w:rPr>
          <w:b/>
          <w:bCs/>
        </w:rPr>
      </w:pPr>
      <w:r w:rsidRPr="00C02C79">
        <w:rPr>
          <w:b/>
          <w:bCs/>
        </w:rPr>
        <w:t xml:space="preserve">Degree of accuracy needed for </w:t>
      </w:r>
      <w:r>
        <w:rPr>
          <w:b/>
          <w:bCs/>
        </w:rPr>
        <w:t>NSF</w:t>
      </w:r>
      <w:r w:rsidRPr="00C02C79">
        <w:rPr>
          <w:b/>
          <w:bCs/>
        </w:rPr>
        <w:t xml:space="preserve"> reports</w:t>
      </w:r>
    </w:p>
    <w:p w:rsidR="00543E01" w:rsidP="00655F0F" w:rsidRDefault="00C02C79" w14:paraId="1511D0CA" w14:textId="16BB67CF">
      <w:pPr>
        <w:pStyle w:val="Body12ptCalibri-IPR"/>
      </w:pPr>
      <w:r>
        <w:t xml:space="preserve">NSF </w:t>
      </w:r>
      <w:r w:rsidRPr="00C02C79">
        <w:t xml:space="preserve">will receive </w:t>
      </w:r>
      <w:r w:rsidR="00655F0F">
        <w:t xml:space="preserve">multiple reports providing the following: (1) </w:t>
      </w:r>
      <w:r w:rsidR="00543E01">
        <w:t>p</w:t>
      </w:r>
      <w:r w:rsidR="00655F0F">
        <w:t>rofiles of the participants in the NSF CISE REU program, along with comparison group students with other, non-NSF REU experiences and students without research experiences</w:t>
      </w:r>
      <w:r w:rsidR="00543E01">
        <w:t xml:space="preserve">; (2) </w:t>
      </w:r>
      <w:r w:rsidR="00655F0F">
        <w:t>description</w:t>
      </w:r>
      <w:r w:rsidR="00543E01">
        <w:t>s</w:t>
      </w:r>
      <w:r w:rsidR="00655F0F">
        <w:t xml:space="preserve"> of the features and components that different REU projects offer to participants, as compared with non-NSF research experiences</w:t>
      </w:r>
      <w:r w:rsidR="00543E01">
        <w:t>; (3)</w:t>
      </w:r>
      <w:r w:rsidR="00655F0F">
        <w:t xml:space="preserve"> analys</w:t>
      </w:r>
      <w:r w:rsidR="00543E01">
        <w:t>e</w:t>
      </w:r>
      <w:r w:rsidR="00655F0F">
        <w:t>s of how successful each individual REU is in achieving key outcomes of the REU program, overall and relative to other NSF CISE REU programs</w:t>
      </w:r>
      <w:r w:rsidR="00543E01">
        <w:t xml:space="preserve">; (4) </w:t>
      </w:r>
      <w:r w:rsidR="00655F0F">
        <w:t>analys</w:t>
      </w:r>
      <w:r w:rsidR="00543E01">
        <w:t>e</w:t>
      </w:r>
      <w:r w:rsidR="00655F0F">
        <w:t xml:space="preserve">s of </w:t>
      </w:r>
      <w:r w:rsidR="00543E01">
        <w:t xml:space="preserve">the correlates </w:t>
      </w:r>
      <w:r w:rsidR="00655F0F">
        <w:t xml:space="preserve">of undergraduate research experiences </w:t>
      </w:r>
      <w:r w:rsidR="00543E01">
        <w:t>that</w:t>
      </w:r>
      <w:r w:rsidR="00655F0F">
        <w:t xml:space="preserve"> are most strongly correlated with sustained (one</w:t>
      </w:r>
      <w:r w:rsidR="00543E01">
        <w:t>-</w:t>
      </w:r>
      <w:r w:rsidR="00655F0F">
        <w:t>year post-program) changes in student</w:t>
      </w:r>
      <w:r w:rsidR="00543E01">
        <w:t>s; and (5) a</w:t>
      </w:r>
      <w:r w:rsidR="00655F0F">
        <w:t>nalys</w:t>
      </w:r>
      <w:r w:rsidR="00543E01">
        <w:t>e</w:t>
      </w:r>
      <w:r w:rsidR="00655F0F">
        <w:t xml:space="preserve">s of the features of NSF REU programs that are most strongly associated with the recruitment and retention of students who are underrepresented in computing. </w:t>
      </w:r>
      <w:r w:rsidRPr="00C02C79">
        <w:t xml:space="preserve"> </w:t>
      </w:r>
    </w:p>
    <w:p w:rsidR="00245C3B" w:rsidP="00655F0F" w:rsidRDefault="00543E01" w14:paraId="5E9C7788" w14:textId="0BF10880">
      <w:pPr>
        <w:pStyle w:val="Body12ptCalibri-IPR"/>
      </w:pPr>
      <w:r>
        <w:t xml:space="preserve">As noted in the accuracy discussion for individual REU PI reports, the pre- and post-program REU </w:t>
      </w:r>
      <w:r w:rsidR="00604B0B">
        <w:t xml:space="preserve">participant </w:t>
      </w:r>
      <w:r>
        <w:t xml:space="preserve">surveys – which contribute </w:t>
      </w:r>
      <w:r w:rsidR="00CD3307">
        <w:t xml:space="preserve">data </w:t>
      </w:r>
      <w:r>
        <w:t xml:space="preserve">to </w:t>
      </w:r>
      <w:r w:rsidR="00CD3307">
        <w:t>answer</w:t>
      </w:r>
      <w:r>
        <w:t xml:space="preserve"> all of the above information needs </w:t>
      </w:r>
      <w:r w:rsidR="00245C3B">
        <w:t>– are expected to have high response rates</w:t>
      </w:r>
      <w:r w:rsidR="00604B0B">
        <w:t>, and when aggregated</w:t>
      </w:r>
      <w:r w:rsidR="00CD3307">
        <w:t xml:space="preserve"> for NSF reporting</w:t>
      </w:r>
      <w:r w:rsidR="00604B0B">
        <w:t xml:space="preserve">, should </w:t>
      </w:r>
      <w:r w:rsidR="00CD3307">
        <w:t>allow for a</w:t>
      </w:r>
      <w:r w:rsidR="00604B0B">
        <w:t xml:space="preserve"> high degree of accuracy in answering questions about REU participants</w:t>
      </w:r>
      <w:r w:rsidR="00CD3307">
        <w:t>, t</w:t>
      </w:r>
      <w:r w:rsidR="00604B0B">
        <w:t>heir experiences, and their immediate post-program changes.</w:t>
      </w:r>
    </w:p>
    <w:p w:rsidR="00CD3307" w:rsidP="00655F0F" w:rsidRDefault="002243CD" w14:paraId="38DFD4D7" w14:textId="425EF4AA">
      <w:pPr>
        <w:pStyle w:val="Body12ptCalibri-IPR"/>
      </w:pPr>
      <w:r>
        <w:t>For the NSF reports, having</w:t>
      </w:r>
      <w:r w:rsidR="00CD3307">
        <w:t xml:space="preserve"> a large number of comparison participants will be needed at both the pre-survey and the follow-up survey</w:t>
      </w:r>
      <w:r w:rsidR="007F064D">
        <w:t xml:space="preserve"> for accurate reporting of comparisons between REU participants and other undergraduates</w:t>
      </w:r>
      <w:r w:rsidR="00CD3307">
        <w:t>.</w:t>
      </w:r>
      <w:r>
        <w:t xml:space="preserve"> The initial single group of comparison participants </w:t>
      </w:r>
      <w:r w:rsidR="00D55F03">
        <w:lastRenderedPageBreak/>
        <w:t xml:space="preserve">recruited for the study </w:t>
      </w:r>
      <w:r>
        <w:t xml:space="preserve">will eventually be sorted into two groups, based on whether these individuals go on to have research experiences between their pre-survey and their follow-up survey. </w:t>
      </w:r>
      <w:r w:rsidR="00D55F03">
        <w:t>P</w:t>
      </w:r>
      <w:r>
        <w:t>revious Data Buddies Survey data</w:t>
      </w:r>
      <w:r w:rsidR="00D55F03">
        <w:t xml:space="preserve"> suggest that</w:t>
      </w:r>
      <w:r>
        <w:t xml:space="preserve"> 40 – 50% of undergraduate</w:t>
      </w:r>
      <w:r w:rsidR="00D55F03">
        <w:t xml:space="preserve">s </w:t>
      </w:r>
      <w:r>
        <w:t xml:space="preserve">who have not had an undergraduate research experience plan to do so during their college career; thus, with a recruitment target of </w:t>
      </w:r>
      <w:r w:rsidR="00D65C55">
        <w:t>2</w:t>
      </w:r>
      <w:r>
        <w:t>,000 comparison participants</w:t>
      </w:r>
      <w:r w:rsidR="00D55F03">
        <w:t xml:space="preserve"> for the pre-survey</w:t>
      </w:r>
      <w:r>
        <w:t xml:space="preserve">, we expect that there will be more than enough </w:t>
      </w:r>
      <w:r w:rsidR="00FB3C39">
        <w:t xml:space="preserve">baseline </w:t>
      </w:r>
      <w:r>
        <w:t xml:space="preserve">comparison participants </w:t>
      </w:r>
      <w:r w:rsidR="00D55F03">
        <w:t>in</w:t>
      </w:r>
      <w:r>
        <w:t xml:space="preserve"> </w:t>
      </w:r>
      <w:r w:rsidRPr="00D55F03" w:rsidR="00D55F03">
        <w:rPr>
          <w:u w:val="single"/>
        </w:rPr>
        <w:t>both</w:t>
      </w:r>
      <w:r w:rsidR="00FB3C39">
        <w:t xml:space="preserve"> the “no research” or “non-NSF REU research</w:t>
      </w:r>
      <w:r w:rsidR="00D55F03">
        <w:t>”</w:t>
      </w:r>
      <w:r w:rsidR="00FB3C39">
        <w:t xml:space="preserve"> groups</w:t>
      </w:r>
      <w:r>
        <w:t xml:space="preserve"> </w:t>
      </w:r>
      <w:r w:rsidR="00FB3C39">
        <w:t>to provide an</w:t>
      </w:r>
      <w:r>
        <w:t xml:space="preserve"> </w:t>
      </w:r>
      <w:r w:rsidR="00FB3C39">
        <w:t>accurate data representation of how these groups compare to REU participants</w:t>
      </w:r>
      <w:r w:rsidR="00D55F03">
        <w:t xml:space="preserve"> in the areas described above.</w:t>
      </w:r>
      <w:r w:rsidR="00FB3C39">
        <w:t xml:space="preserve"> </w:t>
      </w:r>
      <w:r>
        <w:t xml:space="preserve"> </w:t>
      </w:r>
    </w:p>
    <w:p w:rsidR="007F064D" w:rsidP="00CC28DB" w:rsidRDefault="00D55F03" w14:paraId="3EF0C2C5" w14:textId="77777777">
      <w:pPr>
        <w:pStyle w:val="Body12ptCalibri-IPR"/>
      </w:pPr>
      <w:r>
        <w:t>Completion rate</w:t>
      </w:r>
      <w:r w:rsidR="00CC28DB">
        <w:t xml:space="preserve">s </w:t>
      </w:r>
      <w:r>
        <w:t xml:space="preserve">for follow-ups surveys are </w:t>
      </w:r>
      <w:r w:rsidR="00CC28DB">
        <w:t xml:space="preserve">estimated to be </w:t>
      </w:r>
      <w:r>
        <w:t xml:space="preserve">approximately 50% of the original respondents, for both the REU participants and the comparison groups. </w:t>
      </w:r>
      <w:r w:rsidR="009D0470">
        <w:t xml:space="preserve">For both groups, despite the fact that the respondents had already agreed to be in the study, a fairly long period of time will have elapsed since their previous survey completion; thus, we expect some drop-off in interest to occur. However, respondents from both groups will be recruited with similar recruitment messages and reminders, and they will be offered the same incentives for participation. In short, there should be similar response rates across respondent types, and efforts will be made to maximize these rates. </w:t>
      </w:r>
      <w:r w:rsidR="007F064D">
        <w:t xml:space="preserve">Analyses will be conducted and reported to describe any patterns of non-response at the follow-up. </w:t>
      </w:r>
    </w:p>
    <w:p w:rsidRPr="00CC28DB" w:rsidR="001D1328" w:rsidP="00CC28DB" w:rsidRDefault="009D0470" w14:paraId="1187668E" w14:textId="2B61BFB7">
      <w:pPr>
        <w:pStyle w:val="Body12ptCalibri-IPR"/>
      </w:pPr>
      <w:r>
        <w:t xml:space="preserve">In </w:t>
      </w:r>
      <w:r w:rsidR="007F064D">
        <w:t>terms of overall statistical power</w:t>
      </w:r>
      <w:r>
        <w:t xml:space="preserve">, with a 50% response rate at follow-up, </w:t>
      </w:r>
      <w:r w:rsidR="007F064D">
        <w:t>there</w:t>
      </w:r>
      <w:r>
        <w:t xml:space="preserve"> will </w:t>
      </w:r>
      <w:r w:rsidR="007F064D">
        <w:t>be</w:t>
      </w:r>
      <w:r>
        <w:t xml:space="preserve"> adequate numbers of respondents in each group to conduct comparative follow-up analyses. It is expected that these numbers will also allow for aggregate analyses of whether recruitment and retention of underrepresented groups </w:t>
      </w:r>
      <w:r w:rsidR="00CC28DB">
        <w:t xml:space="preserve">as a whole </w:t>
      </w:r>
      <w:r>
        <w:t xml:space="preserve">differ as a function of research experience type; however, the extent to which analyses </w:t>
      </w:r>
      <w:r w:rsidR="00CC28DB">
        <w:t xml:space="preserve">are possible for some </w:t>
      </w:r>
      <w:r w:rsidRPr="00CC28DB">
        <w:t xml:space="preserve">individual categories of </w:t>
      </w:r>
      <w:r w:rsidRPr="00CC28DB">
        <w:lastRenderedPageBreak/>
        <w:t xml:space="preserve">underrepresented </w:t>
      </w:r>
      <w:r w:rsidRPr="00CC28DB" w:rsidR="00CC28DB">
        <w:t>populations will need to be determined when data are collected. E</w:t>
      </w:r>
      <w:r w:rsidRPr="00CC28DB" w:rsidR="001D1328">
        <w:t>ven with large overall N</w:t>
      </w:r>
      <w:r w:rsidRPr="00CC28DB" w:rsidR="00CC28DB">
        <w:t>s in each group</w:t>
      </w:r>
      <w:r w:rsidRPr="00CC28DB" w:rsidR="001D1328">
        <w:t>, there may be small numbers of respondents for some subgroups of interest (such as certain racial/ethnic groups) that may limit CERP’s ability to include those variables in any predictive analyses.</w:t>
      </w:r>
      <w:r w:rsidRPr="00CC28DB" w:rsidR="0046319A">
        <w:t xml:space="preserve"> The research team will conduct power analyses during the reporting stage and provide interpretation of the findings in that context.</w:t>
      </w:r>
      <w:r w:rsidR="00C2634B">
        <w:t xml:space="preserve"> Furthermore, when the Ns for subgroups are respondents are small enough that the identities of those respondents is at risk, those analyses will not be included in any research reports.</w:t>
      </w:r>
    </w:p>
    <w:p w:rsidRPr="00424FFE" w:rsidR="00106886" w:rsidP="00106886" w:rsidRDefault="00106886" w14:paraId="387BBCE5" w14:textId="5F193A36">
      <w:pPr>
        <w:pStyle w:val="Bullets12ptCalibri-IPR"/>
        <w:rPr>
          <w:rFonts w:asciiTheme="minorHAnsi" w:hAnsiTheme="minorHAnsi" w:cstheme="minorHAnsi"/>
          <w:b/>
        </w:rPr>
      </w:pPr>
      <w:r w:rsidRPr="00424FFE">
        <w:rPr>
          <w:rFonts w:asciiTheme="minorHAnsi" w:hAnsiTheme="minorHAnsi" w:cstheme="minorHAnsi"/>
          <w:b/>
        </w:rPr>
        <w:t>Unusual problems requiring specialized sampling procedures</w:t>
      </w:r>
    </w:p>
    <w:p w:rsidRPr="00424FFE" w:rsidR="001D1328" w:rsidP="00BA21D7" w:rsidRDefault="001D1328" w14:paraId="65DB234C" w14:textId="2E00B64A">
      <w:pPr>
        <w:pStyle w:val="Body12ptCalibri-IPR"/>
      </w:pPr>
      <w:r w:rsidRPr="00424FFE">
        <w:t>Not applicable. There are no specialized sampling procedures being used.</w:t>
      </w:r>
    </w:p>
    <w:p w:rsidRPr="00424FFE" w:rsidR="00106886" w:rsidP="00106886" w:rsidRDefault="00106886" w14:paraId="7E0A6FE9" w14:textId="6C5DF2D9">
      <w:pPr>
        <w:pStyle w:val="Bullets12ptCalibri-IPR"/>
        <w:rPr>
          <w:rFonts w:asciiTheme="minorHAnsi" w:hAnsiTheme="minorHAnsi" w:cstheme="minorHAnsi"/>
          <w:b/>
        </w:rPr>
      </w:pPr>
      <w:r w:rsidRPr="00424FFE">
        <w:rPr>
          <w:rFonts w:asciiTheme="minorHAnsi" w:hAnsiTheme="minorHAnsi" w:cstheme="minorHAnsi"/>
          <w:b/>
        </w:rPr>
        <w:t>Any use of periodic (less frequent than annual) data collection cycles to reduce burden</w:t>
      </w:r>
    </w:p>
    <w:p w:rsidRPr="00FD1026" w:rsidR="001D1328" w:rsidP="00BA21D7" w:rsidRDefault="00955D79" w14:paraId="6B3A50FC" w14:textId="48442DFD">
      <w:pPr>
        <w:pStyle w:val="Body12ptCalibri-IPR"/>
      </w:pPr>
      <w:r w:rsidRPr="00424FFE">
        <w:t>The study will not be implementing data collection that is less frequent than an annual cycle. REU</w:t>
      </w:r>
      <w:r w:rsidRPr="00424FFE" w:rsidR="00424FFE">
        <w:t xml:space="preserve"> projects run in fall, spring, and summer academic terms, and data collection timing for REU participants </w:t>
      </w:r>
      <w:r w:rsidR="002A2525">
        <w:t xml:space="preserve">and PIs </w:t>
      </w:r>
      <w:r w:rsidRPr="00424FFE" w:rsidR="00424FFE">
        <w:t xml:space="preserve">is tied to the REU project start and end dates. The timing of data collection for </w:t>
      </w:r>
      <w:r w:rsidRPr="00FD1026" w:rsidR="00424FFE">
        <w:t xml:space="preserve">comparison groups will closely track data collection schedule for REU participants. </w:t>
      </w:r>
      <w:r w:rsidR="00BE7921">
        <w:t>This schedule has been carefully selected to track both short</w:t>
      </w:r>
      <w:r w:rsidR="00222519">
        <w:t>-</w:t>
      </w:r>
      <w:r w:rsidR="00BE7921">
        <w:t xml:space="preserve">term and </w:t>
      </w:r>
      <w:r w:rsidR="007E2FB9">
        <w:t>longer-term</w:t>
      </w:r>
      <w:r w:rsidR="00BE7921">
        <w:t xml:space="preserve"> outcomes among REU participants and their peers in the comparison groups.</w:t>
      </w:r>
    </w:p>
    <w:p w:rsidRPr="00FD1026" w:rsidR="002D7EE1" w:rsidP="002D7EE1" w:rsidRDefault="002D7EE1" w14:paraId="47E8CF9C" w14:textId="77777777">
      <w:pPr>
        <w:pStyle w:val="Hdng2-IPR"/>
        <w:rPr>
          <w:rFonts w:asciiTheme="minorHAnsi" w:hAnsiTheme="minorHAnsi" w:cstheme="minorHAnsi"/>
        </w:rPr>
      </w:pPr>
      <w:bookmarkStart w:name="_Toc416426643" w:id="4"/>
      <w:r w:rsidRPr="00FD1026">
        <w:rPr>
          <w:rFonts w:asciiTheme="minorHAnsi" w:hAnsiTheme="minorHAnsi" w:cstheme="minorHAnsi"/>
        </w:rPr>
        <w:t>B.3.</w:t>
      </w:r>
      <w:r w:rsidRPr="00FD1026">
        <w:rPr>
          <w:rFonts w:asciiTheme="minorHAnsi" w:hAnsiTheme="minorHAnsi" w:cstheme="minorHAnsi"/>
        </w:rPr>
        <w:tab/>
        <w:t>Methods to Maximize Response Rates and the Issue of NonResponse</w:t>
      </w:r>
      <w:bookmarkEnd w:id="4"/>
    </w:p>
    <w:p w:rsidRPr="00FD1026" w:rsidR="004C46B2" w:rsidP="008839C7" w:rsidRDefault="002D7EE1" w14:paraId="4953A20F" w14:textId="4BBC4D0F">
      <w:pPr>
        <w:pStyle w:val="OMBRequirementCalibri"/>
        <w:rPr>
          <w:rFonts w:cstheme="minorHAnsi"/>
        </w:rPr>
      </w:pPr>
      <w:r w:rsidRPr="00FD1026">
        <w:rPr>
          <w:rFonts w:cstheme="minorHAnsi"/>
        </w:rPr>
        <w:t>Describe methods to maximize response rates and to deal with issues of nonresponse. The accuracy and reliability of information collected must be shown to be adequate for intended uses. For collections based on sampling, a special justification must be provided for any collection that will not yield “reliable” data that can be generalized to the universe studied.</w:t>
      </w:r>
    </w:p>
    <w:p w:rsidRPr="00FD1026" w:rsidR="004C46B2" w:rsidP="00094980" w:rsidRDefault="004C46B2" w14:paraId="24E8E146" w14:textId="3896BDA2">
      <w:pPr>
        <w:pStyle w:val="Body12ptCalibri-IPR"/>
        <w:rPr>
          <w:rFonts w:cstheme="minorHAnsi"/>
        </w:rPr>
      </w:pPr>
      <w:r w:rsidRPr="00FD1026">
        <w:rPr>
          <w:rFonts w:cstheme="minorHAnsi"/>
        </w:rPr>
        <w:t xml:space="preserve">CERP will </w:t>
      </w:r>
      <w:r w:rsidRPr="00FD1026" w:rsidR="00140DE8">
        <w:rPr>
          <w:rFonts w:cstheme="minorHAnsi"/>
        </w:rPr>
        <w:t xml:space="preserve">take several measures </w:t>
      </w:r>
      <w:r w:rsidRPr="00FD1026">
        <w:rPr>
          <w:rFonts w:cstheme="minorHAnsi"/>
        </w:rPr>
        <w:t>to maximize response rates for the surveys.</w:t>
      </w:r>
    </w:p>
    <w:p w:rsidR="002013B0" w:rsidP="00094980" w:rsidRDefault="002013B0" w14:paraId="685183CC" w14:textId="77777777">
      <w:pPr>
        <w:pStyle w:val="Body12ptCalibri-IPR"/>
        <w:ind w:firstLine="0"/>
        <w:rPr>
          <w:rFonts w:cstheme="minorHAnsi"/>
          <w:b/>
          <w:bCs/>
          <w:u w:val="single"/>
        </w:rPr>
      </w:pPr>
      <w:r>
        <w:rPr>
          <w:rFonts w:cstheme="minorHAnsi"/>
          <w:b/>
          <w:bCs/>
          <w:u w:val="single"/>
        </w:rPr>
        <w:t>Methods to maximize response rates</w:t>
      </w:r>
    </w:p>
    <w:p w:rsidRPr="002013B0" w:rsidR="00CC4350" w:rsidP="00094980" w:rsidRDefault="00CC4350" w14:paraId="1777A316" w14:textId="1A3A0B31">
      <w:pPr>
        <w:pStyle w:val="Body12ptCalibri-IPR"/>
        <w:rPr>
          <w:rFonts w:cstheme="minorHAnsi"/>
          <w:b/>
          <w:bCs/>
        </w:rPr>
      </w:pPr>
      <w:r w:rsidRPr="002013B0">
        <w:rPr>
          <w:rFonts w:cstheme="minorHAnsi"/>
          <w:b/>
          <w:bCs/>
        </w:rPr>
        <w:t>Information, motivation, and resources for respondents</w:t>
      </w:r>
    </w:p>
    <w:p w:rsidRPr="002013B0" w:rsidR="00CC4350" w:rsidP="00094980" w:rsidRDefault="00CC4350" w14:paraId="63B8392A" w14:textId="72BC1F75">
      <w:pPr>
        <w:pStyle w:val="Body12ptCalibri-IPR"/>
        <w:ind w:firstLine="0"/>
        <w:rPr>
          <w:rFonts w:cstheme="minorHAnsi"/>
        </w:rPr>
      </w:pPr>
      <w:r w:rsidRPr="00CC4350">
        <w:rPr>
          <w:rFonts w:cstheme="minorHAnsi"/>
        </w:rPr>
        <w:lastRenderedPageBreak/>
        <w:tab/>
        <w:t xml:space="preserve">All communications with potential respondents will promote participation in several ways. Emails sent to potential respondents will include information about the study and its purposes, thereby ensuring that they are fully informed about the project. The emails will also underscore the importance of the respondents’ role in contributing to improving the knowledge base about undergraduate research experiences and their impacts.  Furthermore, as part of the Computing Research Association (CRA), CERP will be able to leverage CRA’s strong reputation within the computing community to promote high levels of survey participation. All emails will include an introduction to CERP as the research and evaluation arm of the CRA. The emails will explain CRA’s role in administering the survey on behalf of NSF. The emails will include a link to more information about CRA and CERP, as well as contact information for CERP staff for those </w:t>
      </w:r>
      <w:r w:rsidRPr="002013B0">
        <w:rPr>
          <w:rFonts w:cstheme="minorHAnsi"/>
        </w:rPr>
        <w:t>seeking more information about any aspects of the study.</w:t>
      </w:r>
    </w:p>
    <w:p w:rsidRPr="002013B0" w:rsidR="000944DE" w:rsidP="00094980" w:rsidRDefault="00CC4350" w14:paraId="22796E15" w14:textId="3FCC27B9">
      <w:pPr>
        <w:pStyle w:val="Body12ptCalibri-IPR"/>
        <w:rPr>
          <w:rFonts w:cstheme="minorHAnsi"/>
          <w:b/>
          <w:bCs/>
        </w:rPr>
      </w:pPr>
      <w:r w:rsidRPr="002013B0">
        <w:rPr>
          <w:rFonts w:cstheme="minorHAnsi"/>
          <w:b/>
          <w:bCs/>
        </w:rPr>
        <w:t xml:space="preserve">Appeals from </w:t>
      </w:r>
      <w:r w:rsidRPr="002013B0" w:rsidR="002013B0">
        <w:rPr>
          <w:rFonts w:cstheme="minorHAnsi"/>
          <w:b/>
          <w:bCs/>
        </w:rPr>
        <w:t xml:space="preserve">known </w:t>
      </w:r>
      <w:r w:rsidRPr="002013B0">
        <w:rPr>
          <w:rFonts w:cstheme="minorHAnsi"/>
          <w:b/>
          <w:bCs/>
        </w:rPr>
        <w:t>REU personnel</w:t>
      </w:r>
    </w:p>
    <w:p w:rsidRPr="002013B0" w:rsidR="00CC4350" w:rsidP="00094980" w:rsidRDefault="000944DE" w14:paraId="518D7FFF" w14:textId="269E4B0A">
      <w:pPr>
        <w:pStyle w:val="Body12ptCalibri-IPR"/>
        <w:ind w:firstLine="0"/>
        <w:rPr>
          <w:rFonts w:cstheme="minorHAnsi"/>
        </w:rPr>
      </w:pPr>
      <w:r w:rsidRPr="002013B0">
        <w:rPr>
          <w:rFonts w:cstheme="minorHAnsi"/>
        </w:rPr>
        <w:tab/>
      </w:r>
      <w:r w:rsidRPr="002013B0" w:rsidR="00CC4350">
        <w:rPr>
          <w:rFonts w:cstheme="minorHAnsi"/>
        </w:rPr>
        <w:t>For the subset of REU participants being asked to complete the pre- and post-program surveys</w:t>
      </w:r>
      <w:r w:rsidRPr="002013B0" w:rsidR="002013B0">
        <w:rPr>
          <w:rFonts w:cstheme="minorHAnsi"/>
        </w:rPr>
        <w:t>, the r</w:t>
      </w:r>
      <w:r w:rsidRPr="002013B0" w:rsidR="00CC4350">
        <w:rPr>
          <w:rFonts w:cstheme="minorHAnsi"/>
        </w:rPr>
        <w:t>ecruitment and reminder email</w:t>
      </w:r>
      <w:r w:rsidRPr="002013B0" w:rsidR="002013B0">
        <w:rPr>
          <w:rFonts w:cstheme="minorHAnsi"/>
        </w:rPr>
        <w:t>s described above will b</w:t>
      </w:r>
      <w:r w:rsidRPr="002013B0" w:rsidR="00CC4350">
        <w:rPr>
          <w:rFonts w:cstheme="minorHAnsi"/>
        </w:rPr>
        <w:t xml:space="preserve">e sent from </w:t>
      </w:r>
      <w:r w:rsidRPr="002013B0" w:rsidR="002013B0">
        <w:rPr>
          <w:rFonts w:cstheme="minorHAnsi"/>
        </w:rPr>
        <w:t xml:space="preserve">a member of their own </w:t>
      </w:r>
      <w:r w:rsidRPr="002013B0" w:rsidR="00CC4350">
        <w:rPr>
          <w:rFonts w:cstheme="minorHAnsi"/>
        </w:rPr>
        <w:t>REU staff (either the PI or a designated project staff member)</w:t>
      </w:r>
      <w:r w:rsidRPr="002013B0" w:rsidR="002013B0">
        <w:rPr>
          <w:rFonts w:cstheme="minorHAnsi"/>
        </w:rPr>
        <w:t xml:space="preserve">, which is likely to enhance </w:t>
      </w:r>
      <w:r w:rsidRPr="002013B0" w:rsidR="002013B0">
        <w:t>REU participants’ interpersonal and professional incentives to take part in the study.</w:t>
      </w:r>
    </w:p>
    <w:p w:rsidRPr="002013B0" w:rsidR="002013B0" w:rsidP="00094980" w:rsidRDefault="002013B0" w14:paraId="5761E81F" w14:textId="77777777">
      <w:pPr>
        <w:pStyle w:val="Body12ptCalibri-IPR"/>
        <w:rPr>
          <w:rFonts w:cstheme="minorHAnsi"/>
          <w:b/>
          <w:bCs/>
        </w:rPr>
      </w:pPr>
      <w:r w:rsidRPr="002013B0">
        <w:rPr>
          <w:rFonts w:cstheme="minorHAnsi"/>
          <w:b/>
          <w:bCs/>
        </w:rPr>
        <w:t>Access to high-quality contact information</w:t>
      </w:r>
    </w:p>
    <w:p w:rsidRPr="002013B0" w:rsidR="000944DE" w:rsidP="00094980" w:rsidRDefault="002013B0" w14:paraId="6227686E" w14:textId="01383390">
      <w:pPr>
        <w:pStyle w:val="Body12ptCalibri-IPR"/>
        <w:rPr>
          <w:rFonts w:cstheme="minorHAnsi"/>
        </w:rPr>
      </w:pPr>
      <w:r>
        <w:rPr>
          <w:rFonts w:cstheme="minorHAnsi"/>
        </w:rPr>
        <w:t xml:space="preserve">All of the potential survey respondents will be recruited using email addresses that they themselves have provided; thus, the percentage of potential participants who will be lost due to incorrect contact information will be </w:t>
      </w:r>
      <w:r w:rsidR="0008089C">
        <w:rPr>
          <w:rFonts w:cstheme="minorHAnsi"/>
        </w:rPr>
        <w:t xml:space="preserve">close to zero. </w:t>
      </w:r>
    </w:p>
    <w:p w:rsidRPr="00337FBE" w:rsidR="000944DE" w:rsidP="00094980" w:rsidRDefault="000944DE" w14:paraId="545E2721" w14:textId="68AD70A7">
      <w:pPr>
        <w:pStyle w:val="Body12ptCalibri-IPR"/>
        <w:rPr>
          <w:rFonts w:cstheme="minorHAnsi"/>
          <w:b/>
          <w:bCs/>
        </w:rPr>
      </w:pPr>
      <w:r w:rsidRPr="00337FBE">
        <w:rPr>
          <w:rFonts w:cstheme="minorHAnsi"/>
          <w:b/>
          <w:bCs/>
        </w:rPr>
        <w:t>Multiple recruitment prompts</w:t>
      </w:r>
    </w:p>
    <w:p w:rsidRPr="00BF49D6" w:rsidR="000944DE" w:rsidP="00094980" w:rsidRDefault="000944DE" w14:paraId="1F3EE474" w14:textId="62B6D8A7">
      <w:pPr>
        <w:pStyle w:val="Body12ptCalibri-IPR"/>
        <w:ind w:firstLine="0"/>
        <w:rPr>
          <w:rFonts w:cstheme="minorHAnsi"/>
          <w:b/>
          <w:bCs/>
          <w:u w:val="single"/>
        </w:rPr>
      </w:pPr>
      <w:r w:rsidRPr="00BF49D6">
        <w:rPr>
          <w:rFonts w:cstheme="minorHAnsi"/>
        </w:rPr>
        <w:lastRenderedPageBreak/>
        <w:tab/>
        <w:t xml:space="preserve">As </w:t>
      </w:r>
      <w:r w:rsidRPr="00BF49D6" w:rsidR="00DD5C95">
        <w:rPr>
          <w:rFonts w:cstheme="minorHAnsi"/>
        </w:rPr>
        <w:t>described in Section B</w:t>
      </w:r>
      <w:r w:rsidRPr="00BF49D6" w:rsidR="00140DE8">
        <w:rPr>
          <w:rFonts w:cstheme="minorHAnsi"/>
        </w:rPr>
        <w:t>.</w:t>
      </w:r>
      <w:r w:rsidRPr="00BF49D6" w:rsidR="00DD5C95">
        <w:rPr>
          <w:rFonts w:cstheme="minorHAnsi"/>
        </w:rPr>
        <w:t>2</w:t>
      </w:r>
      <w:r w:rsidRPr="00BF49D6">
        <w:rPr>
          <w:rFonts w:cstheme="minorHAnsi"/>
        </w:rPr>
        <w:t xml:space="preserve">, </w:t>
      </w:r>
      <w:r w:rsidRPr="00BF49D6" w:rsidR="00DD5C95">
        <w:rPr>
          <w:rFonts w:cstheme="minorHAnsi"/>
        </w:rPr>
        <w:t>there will be multiple recruitment invitations sent to respondents to encourage high participation rates</w:t>
      </w:r>
      <w:r w:rsidRPr="00BF49D6" w:rsidR="00BF49D6">
        <w:rPr>
          <w:rFonts w:cstheme="minorHAnsi"/>
        </w:rPr>
        <w:t>, spaced out by one-week intervals</w:t>
      </w:r>
      <w:r w:rsidRPr="00BF49D6" w:rsidR="00DD5C95">
        <w:rPr>
          <w:rFonts w:cstheme="minorHAnsi"/>
        </w:rPr>
        <w:t xml:space="preserve">. </w:t>
      </w:r>
      <w:r w:rsidRPr="00BF49D6" w:rsidR="00BF49D6">
        <w:rPr>
          <w:rFonts w:cstheme="minorHAnsi"/>
        </w:rPr>
        <w:t xml:space="preserve">For comparison group pre-surveys and all follow-up surveys, which are not bound by REU program start and end dates, </w:t>
      </w:r>
      <w:r w:rsidRPr="00BF49D6" w:rsidR="00F22F60">
        <w:rPr>
          <w:rFonts w:cstheme="minorHAnsi"/>
        </w:rPr>
        <w:t xml:space="preserve"> CERP will evaluate response rates after the final </w:t>
      </w:r>
      <w:r w:rsidRPr="00BF49D6" w:rsidR="00BF49D6">
        <w:rPr>
          <w:rFonts w:cstheme="minorHAnsi"/>
        </w:rPr>
        <w:t xml:space="preserve">scheduled </w:t>
      </w:r>
      <w:r w:rsidRPr="00BF49D6" w:rsidR="00F22F60">
        <w:rPr>
          <w:rFonts w:cstheme="minorHAnsi"/>
        </w:rPr>
        <w:t xml:space="preserve">reminder to determine whether to extend the data collection window further; although surveys that are in the field longer have higher response rates, this must be </w:t>
      </w:r>
      <w:r w:rsidRPr="00BF49D6" w:rsidR="00F22F60">
        <w:t>balanced against the need for timely completion of data collection</w:t>
      </w:r>
      <w:r w:rsidRPr="00BF49D6" w:rsidR="00F22F60">
        <w:rPr>
          <w:rFonts w:cstheme="minorHAnsi"/>
        </w:rPr>
        <w:t>.</w:t>
      </w:r>
      <w:r w:rsidRPr="00BF49D6" w:rsidR="00F22F60">
        <w:rPr>
          <w:rStyle w:val="FootnoteReference"/>
          <w:rFonts w:cstheme="minorHAnsi"/>
        </w:rPr>
        <w:footnoteReference w:id="5"/>
      </w:r>
      <w:r w:rsidRPr="00BF49D6" w:rsidR="00F22F60">
        <w:rPr>
          <w:rFonts w:cstheme="minorHAnsi"/>
        </w:rPr>
        <w:t xml:space="preserve"> </w:t>
      </w:r>
    </w:p>
    <w:p w:rsidRPr="00337FBE" w:rsidR="00DD5C95" w:rsidP="00094980" w:rsidRDefault="00DD5C95" w14:paraId="29D94F42" w14:textId="60C7AA48">
      <w:pPr>
        <w:pStyle w:val="Body12ptCalibri-IPR"/>
        <w:rPr>
          <w:rFonts w:cstheme="minorHAnsi"/>
          <w:b/>
          <w:bCs/>
        </w:rPr>
      </w:pPr>
      <w:r w:rsidRPr="00337FBE">
        <w:rPr>
          <w:rFonts w:cstheme="minorHAnsi"/>
          <w:b/>
          <w:bCs/>
        </w:rPr>
        <w:t>Survey Convenience</w:t>
      </w:r>
    </w:p>
    <w:p w:rsidRPr="003B76CF" w:rsidR="00DD5C95" w:rsidP="00094980" w:rsidRDefault="00DD5C95" w14:paraId="4A57EC57" w14:textId="0F3440CD">
      <w:pPr>
        <w:pStyle w:val="Body12ptCalibri-IPR"/>
        <w:rPr>
          <w:rFonts w:cstheme="minorHAnsi"/>
        </w:rPr>
      </w:pPr>
      <w:r w:rsidRPr="003B76CF">
        <w:rPr>
          <w:rFonts w:cstheme="minorHAnsi"/>
        </w:rPr>
        <w:t xml:space="preserve">Respondents will be able to easily link to the online Qualtrics survey </w:t>
      </w:r>
      <w:r w:rsidRPr="003B76CF" w:rsidR="00CD3C6B">
        <w:rPr>
          <w:rFonts w:cstheme="minorHAnsi"/>
        </w:rPr>
        <w:t xml:space="preserve">– via computer, tablet, or mobile device – </w:t>
      </w:r>
      <w:r w:rsidRPr="003B76CF">
        <w:rPr>
          <w:rFonts w:cstheme="minorHAnsi"/>
        </w:rPr>
        <w:t xml:space="preserve">through a personalized survey link provided in </w:t>
      </w:r>
      <w:r w:rsidRPr="003B76CF" w:rsidR="0036088C">
        <w:rPr>
          <w:rFonts w:cstheme="minorHAnsi"/>
        </w:rPr>
        <w:t>the</w:t>
      </w:r>
      <w:r w:rsidRPr="003B76CF">
        <w:rPr>
          <w:rFonts w:cstheme="minorHAnsi"/>
        </w:rPr>
        <w:t xml:space="preserve"> recruitment email</w:t>
      </w:r>
      <w:r w:rsidRPr="003B76CF" w:rsidR="0036088C">
        <w:rPr>
          <w:rFonts w:cstheme="minorHAnsi"/>
        </w:rPr>
        <w:t xml:space="preserve"> sent by CERP</w:t>
      </w:r>
      <w:r w:rsidRPr="003B76CF">
        <w:rPr>
          <w:rFonts w:cstheme="minorHAnsi"/>
        </w:rPr>
        <w:t xml:space="preserve">. </w:t>
      </w:r>
      <w:r w:rsidRPr="003B76CF" w:rsidR="003B76CF">
        <w:rPr>
          <w:rFonts w:cstheme="minorHAnsi"/>
        </w:rPr>
        <w:t>All</w:t>
      </w:r>
      <w:r w:rsidRPr="003B76CF">
        <w:rPr>
          <w:rFonts w:cstheme="minorHAnsi"/>
        </w:rPr>
        <w:t xml:space="preserve"> surveys have been designed to minimize respondent burden wherever possible. For example, the overall survey completion time should be 20 minutes</w:t>
      </w:r>
      <w:r w:rsidRPr="003B76CF" w:rsidR="0036088C">
        <w:rPr>
          <w:rFonts w:cstheme="minorHAnsi"/>
        </w:rPr>
        <w:t xml:space="preserve"> at most</w:t>
      </w:r>
      <w:r w:rsidRPr="003B76CF">
        <w:rPr>
          <w:rFonts w:cstheme="minorHAnsi"/>
        </w:rPr>
        <w:t xml:space="preserve"> and may take less time for many respondents.  Skip patterns and survey flow have been carefully considered in the survey design to ensure that respondents are presented with only the items that are relevant to them. Respondents will be able to start and pause the survey so that they can complete it at their convenience.</w:t>
      </w:r>
      <w:r w:rsidRPr="003B76CF" w:rsidR="00CD3C6B">
        <w:rPr>
          <w:rFonts w:cstheme="minorHAnsi"/>
        </w:rPr>
        <w:t xml:space="preserve"> </w:t>
      </w:r>
    </w:p>
    <w:p w:rsidRPr="003B76CF" w:rsidR="008839C7" w:rsidP="00094980" w:rsidRDefault="008839C7" w14:paraId="1C01324C" w14:textId="66DC7069">
      <w:pPr>
        <w:pStyle w:val="Bullets12ptCalibri-IPR"/>
        <w:numPr>
          <w:ilvl w:val="0"/>
          <w:numId w:val="0"/>
        </w:numPr>
        <w:tabs>
          <w:tab w:val="left" w:pos="90"/>
        </w:tabs>
        <w:spacing w:after="0" w:line="480" w:lineRule="auto"/>
        <w:rPr>
          <w:rFonts w:asciiTheme="minorHAnsi" w:hAnsiTheme="minorHAnsi" w:cstheme="minorHAnsi"/>
          <w:b/>
          <w:bCs/>
          <w:u w:val="single"/>
        </w:rPr>
      </w:pPr>
      <w:r w:rsidRPr="003B76CF">
        <w:rPr>
          <w:rFonts w:asciiTheme="minorHAnsi" w:hAnsiTheme="minorHAnsi" w:cstheme="minorHAnsi"/>
          <w:b/>
          <w:bCs/>
          <w:u w:val="single"/>
        </w:rPr>
        <w:t>Non-response bias analysis</w:t>
      </w:r>
    </w:p>
    <w:p w:rsidRPr="003B76CF" w:rsidR="008839C7" w:rsidP="00094980" w:rsidRDefault="008839C7" w14:paraId="1FB0EB7D" w14:textId="62A6AC9F">
      <w:pPr>
        <w:pStyle w:val="Body12ptCalibri-IPR"/>
      </w:pPr>
      <w:r w:rsidRPr="003B76CF">
        <w:t xml:space="preserve">CERP will use available data to determine whether subgroups of respondents are participating in the survey at different rates. </w:t>
      </w:r>
      <w:r w:rsidRPr="003B76CF" w:rsidR="00085E9D">
        <w:t xml:space="preserve">CERP will also examine whether individual survey </w:t>
      </w:r>
      <w:r w:rsidRPr="003B76CF" w:rsidR="00085E9D">
        <w:lastRenderedPageBreak/>
        <w:t>items have high rates of missing responses. Both of these non-response analyses are described further in Section B.2, and both will be included i</w:t>
      </w:r>
      <w:r w:rsidRPr="003B76CF">
        <w:t>n the reporting of the study results.</w:t>
      </w:r>
      <w:r w:rsidRPr="003B76CF" w:rsidR="00E85FDF">
        <w:t xml:space="preserve"> </w:t>
      </w:r>
    </w:p>
    <w:p w:rsidRPr="00F503EF" w:rsidR="002D7EE1" w:rsidP="002D7EE1" w:rsidRDefault="002D7EE1" w14:paraId="0CE4565B" w14:textId="77777777">
      <w:pPr>
        <w:pStyle w:val="Hdng2-IPR"/>
        <w:rPr>
          <w:rFonts w:asciiTheme="minorHAnsi" w:hAnsiTheme="minorHAnsi" w:cstheme="minorHAnsi"/>
        </w:rPr>
      </w:pPr>
      <w:bookmarkStart w:name="_Toc416426644" w:id="5"/>
      <w:r w:rsidRPr="00F503EF">
        <w:rPr>
          <w:rFonts w:asciiTheme="minorHAnsi" w:hAnsiTheme="minorHAnsi" w:cstheme="minorHAnsi"/>
        </w:rPr>
        <w:t xml:space="preserve">B.4. </w:t>
      </w:r>
      <w:r w:rsidRPr="00F503EF">
        <w:rPr>
          <w:rFonts w:asciiTheme="minorHAnsi" w:hAnsiTheme="minorHAnsi" w:cstheme="minorHAnsi"/>
        </w:rPr>
        <w:tab/>
        <w:t>Tests of Procedures</w:t>
      </w:r>
      <w:bookmarkEnd w:id="5"/>
    </w:p>
    <w:p w:rsidRPr="00F503EF" w:rsidR="002D7EE1" w:rsidP="002D7EE1" w:rsidRDefault="002D7EE1" w14:paraId="2ED18F11" w14:textId="77777777">
      <w:pPr>
        <w:pStyle w:val="OMBRequirementCalibri"/>
        <w:rPr>
          <w:rFonts w:cstheme="minorHAnsi"/>
        </w:rPr>
      </w:pPr>
      <w:r w:rsidRPr="00F503EF">
        <w:rPr>
          <w:rFonts w:cstheme="minorHAnsi"/>
        </w:rPr>
        <w:t>Describe any tests of procedures or methods to be undertaken. Testing is encouraged as an effective means of refining collections of information to minimize burden and improve utility. Tests must be approved if they call for answers to identical questions from 10 or more respondents. A proposed test or set of tests may be submitted for approval separately or in combination with the main collection of information.</w:t>
      </w:r>
    </w:p>
    <w:p w:rsidRPr="00F503EF" w:rsidR="005466B8" w:rsidP="005466B8" w:rsidRDefault="005466B8" w14:paraId="09803BE7" w14:textId="098757CF">
      <w:pPr>
        <w:pStyle w:val="Body12ptCalibri-IPR"/>
        <w:ind w:firstLine="0"/>
        <w:rPr>
          <w:rFonts w:cstheme="minorHAnsi"/>
          <w:b/>
          <w:bCs/>
          <w:u w:val="single"/>
        </w:rPr>
      </w:pPr>
      <w:r w:rsidRPr="00F503EF">
        <w:rPr>
          <w:rFonts w:cstheme="minorHAnsi"/>
          <w:b/>
          <w:bCs/>
          <w:u w:val="single"/>
        </w:rPr>
        <w:t>Background</w:t>
      </w:r>
    </w:p>
    <w:p w:rsidRPr="005B7EC4" w:rsidR="005B7EC4" w:rsidP="005466B8" w:rsidRDefault="005466B8" w14:paraId="42426E1E" w14:textId="77777777">
      <w:pPr>
        <w:pStyle w:val="Body12ptCalibri-IPR"/>
        <w:ind w:firstLine="0"/>
        <w:rPr>
          <w:rFonts w:cstheme="minorHAnsi"/>
          <w:b/>
          <w:bCs/>
        </w:rPr>
      </w:pPr>
      <w:r w:rsidRPr="005B7EC4">
        <w:rPr>
          <w:rFonts w:cstheme="minorHAnsi"/>
          <w:b/>
          <w:bCs/>
        </w:rPr>
        <w:tab/>
      </w:r>
      <w:r w:rsidRPr="005B7EC4" w:rsidR="004D20E7">
        <w:rPr>
          <w:rFonts w:cstheme="minorHAnsi"/>
          <w:b/>
          <w:bCs/>
        </w:rPr>
        <w:t>Procedures</w:t>
      </w:r>
    </w:p>
    <w:p w:rsidRPr="005B7EC4" w:rsidR="004D20E7" w:rsidP="005B7EC4" w:rsidRDefault="004D20E7" w14:paraId="191CCD22" w14:textId="365DA9A8">
      <w:pPr>
        <w:pStyle w:val="Body12ptCalibri-IPR"/>
        <w:rPr>
          <w:rFonts w:cstheme="minorHAnsi"/>
        </w:rPr>
      </w:pPr>
      <w:r w:rsidRPr="00F503EF">
        <w:rPr>
          <w:rFonts w:cstheme="minorHAnsi"/>
        </w:rPr>
        <w:t xml:space="preserve">CERP has used this study’s planned recruitment procedures in dozens of previously survey research projects. These procedures have been tested and refined repeatedly to enhance </w:t>
      </w:r>
      <w:r w:rsidRPr="005B7EC4">
        <w:rPr>
          <w:rFonts w:cstheme="minorHAnsi"/>
        </w:rPr>
        <w:t>efficiency and improve response rates.</w:t>
      </w:r>
    </w:p>
    <w:p w:rsidRPr="005B7EC4" w:rsidR="005B7EC4" w:rsidP="004D20E7" w:rsidRDefault="004D20E7" w14:paraId="0C2E55D4" w14:textId="77777777">
      <w:pPr>
        <w:pStyle w:val="Body12ptCalibri-IPR"/>
        <w:rPr>
          <w:rFonts w:cstheme="minorHAnsi"/>
          <w:b/>
          <w:bCs/>
        </w:rPr>
      </w:pPr>
      <w:r w:rsidRPr="005B7EC4">
        <w:rPr>
          <w:rFonts w:cstheme="minorHAnsi"/>
          <w:b/>
          <w:bCs/>
        </w:rPr>
        <w:t>Instrument</w:t>
      </w:r>
      <w:r w:rsidRPr="005B7EC4" w:rsidR="00A75E7A">
        <w:rPr>
          <w:rFonts w:cstheme="minorHAnsi"/>
          <w:b/>
          <w:bCs/>
        </w:rPr>
        <w:t xml:space="preserve"> development</w:t>
      </w:r>
    </w:p>
    <w:p w:rsidRPr="005B7EC4" w:rsidR="005466B8" w:rsidP="004D20E7" w:rsidRDefault="005466B8" w14:paraId="28EE6496" w14:textId="30F57DBE">
      <w:pPr>
        <w:pStyle w:val="Body12ptCalibri-IPR"/>
        <w:rPr>
          <w:rFonts w:cstheme="minorHAnsi"/>
        </w:rPr>
      </w:pPr>
      <w:r w:rsidRPr="005B7EC4">
        <w:rPr>
          <w:rFonts w:cstheme="minorHAnsi"/>
        </w:rPr>
        <w:t>Many of the items in the</w:t>
      </w:r>
      <w:r w:rsidRPr="005B7EC4" w:rsidR="005B7EC4">
        <w:rPr>
          <w:rFonts w:cstheme="minorHAnsi"/>
        </w:rPr>
        <w:t xml:space="preserve"> project surveys have been pulled directly from survey projects conducted</w:t>
      </w:r>
      <w:r w:rsidRPr="005B7EC4">
        <w:rPr>
          <w:rFonts w:cstheme="minorHAnsi"/>
        </w:rPr>
        <w:t xml:space="preserve"> </w:t>
      </w:r>
      <w:r w:rsidRPr="005B7EC4" w:rsidR="005B7EC4">
        <w:rPr>
          <w:rFonts w:cstheme="minorHAnsi"/>
        </w:rPr>
        <w:t xml:space="preserve">by CERP over many years. These projects include </w:t>
      </w:r>
      <w:r w:rsidRPr="005B7EC4">
        <w:rPr>
          <w:rFonts w:cstheme="minorHAnsi"/>
        </w:rPr>
        <w:t xml:space="preserve">CERP’s annual Data Buddies Survey </w:t>
      </w:r>
      <w:r w:rsidRPr="005B7EC4" w:rsidR="005B7EC4">
        <w:rPr>
          <w:rFonts w:cstheme="minorHAnsi"/>
        </w:rPr>
        <w:t>and</w:t>
      </w:r>
      <w:r w:rsidRPr="005B7EC4">
        <w:rPr>
          <w:rFonts w:cstheme="minorHAnsi"/>
        </w:rPr>
        <w:t xml:space="preserve"> previous </w:t>
      </w:r>
      <w:r w:rsidRPr="005B7EC4" w:rsidR="005B7EC4">
        <w:rPr>
          <w:rFonts w:cstheme="minorHAnsi"/>
        </w:rPr>
        <w:t xml:space="preserve">non-NSF REU </w:t>
      </w:r>
      <w:r w:rsidRPr="005B7EC4">
        <w:rPr>
          <w:rFonts w:cstheme="minorHAnsi"/>
        </w:rPr>
        <w:t>evaluations</w:t>
      </w:r>
      <w:r w:rsidRPr="005B7EC4" w:rsidR="005B7EC4">
        <w:rPr>
          <w:rFonts w:cstheme="minorHAnsi"/>
        </w:rPr>
        <w:t>, such as the Distributed Research Experiences for Undergraduates (DREU), a program run by CRA’s Widening Participation Committee and evaluated by CERP since 2013</w:t>
      </w:r>
      <w:r w:rsidRPr="005B7EC4">
        <w:rPr>
          <w:rFonts w:cstheme="minorHAnsi"/>
        </w:rPr>
        <w:t xml:space="preserve">. Consequently, many items in the current instruments have been tested and refined over a period of many years. Of course, new items have also been added to these surveys, and some </w:t>
      </w:r>
      <w:r w:rsidRPr="005B7EC4" w:rsidR="004D20E7">
        <w:rPr>
          <w:rFonts w:cstheme="minorHAnsi"/>
        </w:rPr>
        <w:t>previously developed</w:t>
      </w:r>
      <w:r w:rsidRPr="005B7EC4">
        <w:rPr>
          <w:rFonts w:cstheme="minorHAnsi"/>
        </w:rPr>
        <w:t xml:space="preserve"> items have been updated to enhance their applicability to the current study purposes. </w:t>
      </w:r>
      <w:r w:rsidRPr="005B7EC4" w:rsidR="00A75E7A">
        <w:rPr>
          <w:rFonts w:cstheme="minorHAnsi"/>
        </w:rPr>
        <w:t>For both the previously-developed and new survey items</w:t>
      </w:r>
      <w:r w:rsidRPr="005B7EC4" w:rsidR="00963826">
        <w:rPr>
          <w:rFonts w:cstheme="minorHAnsi"/>
        </w:rPr>
        <w:t xml:space="preserve">, </w:t>
      </w:r>
      <w:r w:rsidRPr="005B7EC4" w:rsidR="00A75E7A">
        <w:rPr>
          <w:rFonts w:cstheme="minorHAnsi"/>
        </w:rPr>
        <w:t xml:space="preserve">community stakeholders and </w:t>
      </w:r>
      <w:r w:rsidRPr="005B7EC4" w:rsidR="00963826">
        <w:rPr>
          <w:rFonts w:cstheme="minorHAnsi"/>
        </w:rPr>
        <w:t xml:space="preserve">subject matter experts in REUs have been recruited to </w:t>
      </w:r>
      <w:r w:rsidRPr="005B7EC4" w:rsidR="00963826">
        <w:rPr>
          <w:rFonts w:cstheme="minorHAnsi"/>
        </w:rPr>
        <w:lastRenderedPageBreak/>
        <w:t>contribute to item development and refinement.</w:t>
      </w:r>
      <w:r w:rsidRPr="005B7EC4">
        <w:rPr>
          <w:rFonts w:cstheme="minorHAnsi"/>
        </w:rPr>
        <w:t xml:space="preserve"> CERP will </w:t>
      </w:r>
      <w:r w:rsidRPr="005B7EC4" w:rsidR="00F16E5B">
        <w:rPr>
          <w:rFonts w:cstheme="minorHAnsi"/>
        </w:rPr>
        <w:t xml:space="preserve">also </w:t>
      </w:r>
      <w:r w:rsidRPr="005B7EC4">
        <w:rPr>
          <w:rFonts w:cstheme="minorHAnsi"/>
        </w:rPr>
        <w:t>engage in significant instrument testing prior to commencing data collection</w:t>
      </w:r>
      <w:r w:rsidRPr="005B7EC4" w:rsidR="00F16E5B">
        <w:rPr>
          <w:rFonts w:cstheme="minorHAnsi"/>
        </w:rPr>
        <w:t>, as described below</w:t>
      </w:r>
      <w:r w:rsidRPr="005B7EC4">
        <w:rPr>
          <w:rFonts w:cstheme="minorHAnsi"/>
        </w:rPr>
        <w:t xml:space="preserve">. </w:t>
      </w:r>
    </w:p>
    <w:p w:rsidRPr="0068374F" w:rsidR="004D20E7" w:rsidP="005466B8" w:rsidRDefault="004D20E7" w14:paraId="39D22AB7" w14:textId="307E61B6">
      <w:pPr>
        <w:pStyle w:val="Body12ptCalibri-IPR"/>
        <w:ind w:firstLine="0"/>
        <w:rPr>
          <w:rFonts w:cstheme="minorHAnsi"/>
          <w:b/>
          <w:bCs/>
          <w:u w:val="single"/>
        </w:rPr>
      </w:pPr>
      <w:r w:rsidRPr="005B7EC4">
        <w:rPr>
          <w:rFonts w:cstheme="minorHAnsi"/>
          <w:b/>
          <w:bCs/>
          <w:u w:val="single"/>
        </w:rPr>
        <w:t>Testing plans:</w:t>
      </w:r>
    </w:p>
    <w:p w:rsidRPr="0068374F" w:rsidR="004D20E7" w:rsidP="005466B8" w:rsidRDefault="004D20E7" w14:paraId="7B774A12" w14:textId="78CACAD7">
      <w:pPr>
        <w:pStyle w:val="Body12ptCalibri-IPR"/>
        <w:ind w:firstLine="0"/>
        <w:rPr>
          <w:rFonts w:cstheme="minorHAnsi"/>
        </w:rPr>
      </w:pPr>
      <w:r w:rsidRPr="0068374F">
        <w:rPr>
          <w:rFonts w:cstheme="minorHAnsi"/>
        </w:rPr>
        <w:tab/>
      </w:r>
      <w:r w:rsidRPr="0068374F" w:rsidR="0068374F">
        <w:rPr>
          <w:rFonts w:cstheme="minorHAnsi"/>
        </w:rPr>
        <w:t>All surveys</w:t>
      </w:r>
      <w:r w:rsidRPr="0068374F">
        <w:rPr>
          <w:rFonts w:cstheme="minorHAnsi"/>
        </w:rPr>
        <w:t xml:space="preserve"> will be programmed in Qualtrics. CERP will conduct comprehensive testing of the survey, including the following:</w:t>
      </w:r>
    </w:p>
    <w:p w:rsidRPr="0068374F" w:rsidR="004D20E7" w:rsidP="004D20E7" w:rsidRDefault="004D20E7" w14:paraId="464E4C89" w14:textId="4E0109A3">
      <w:pPr>
        <w:pStyle w:val="Body12ptCalibri-IPR"/>
        <w:numPr>
          <w:ilvl w:val="0"/>
          <w:numId w:val="14"/>
        </w:numPr>
        <w:rPr>
          <w:rFonts w:cstheme="minorHAnsi"/>
        </w:rPr>
      </w:pPr>
      <w:r w:rsidRPr="0068374F">
        <w:rPr>
          <w:rFonts w:cstheme="minorHAnsi"/>
        </w:rPr>
        <w:t>Proofing survey question text</w:t>
      </w:r>
    </w:p>
    <w:p w:rsidRPr="0068374F" w:rsidR="004D20E7" w:rsidP="004D20E7" w:rsidRDefault="004D20E7" w14:paraId="18DB9041" w14:textId="59C57C6E">
      <w:pPr>
        <w:pStyle w:val="Body12ptCalibri-IPR"/>
        <w:numPr>
          <w:ilvl w:val="0"/>
          <w:numId w:val="14"/>
        </w:numPr>
        <w:rPr>
          <w:rFonts w:cstheme="minorHAnsi"/>
        </w:rPr>
      </w:pPr>
      <w:r w:rsidRPr="0068374F">
        <w:rPr>
          <w:rFonts w:cstheme="minorHAnsi"/>
        </w:rPr>
        <w:t>Confirming appropriate question types have been programmed (e.g., multiple versus single response options)</w:t>
      </w:r>
    </w:p>
    <w:p w:rsidRPr="0068374F" w:rsidR="004D20E7" w:rsidP="004D20E7" w:rsidRDefault="004D20E7" w14:paraId="5F2D7DC8" w14:textId="755F508F">
      <w:pPr>
        <w:pStyle w:val="Body12ptCalibri-IPR"/>
        <w:numPr>
          <w:ilvl w:val="0"/>
          <w:numId w:val="14"/>
        </w:numPr>
        <w:rPr>
          <w:rFonts w:cstheme="minorHAnsi"/>
        </w:rPr>
      </w:pPr>
      <w:r w:rsidRPr="0068374F">
        <w:rPr>
          <w:rFonts w:cstheme="minorHAnsi"/>
        </w:rPr>
        <w:t>Ensuring that the survey skip logic has been appropriately programmed</w:t>
      </w:r>
    </w:p>
    <w:p w:rsidRPr="0068374F" w:rsidR="004D20E7" w:rsidP="004D20E7" w:rsidRDefault="004D20E7" w14:paraId="64A28724" w14:textId="14F0CF05">
      <w:pPr>
        <w:pStyle w:val="Body12ptCalibri-IPR"/>
        <w:numPr>
          <w:ilvl w:val="0"/>
          <w:numId w:val="14"/>
        </w:numPr>
        <w:rPr>
          <w:rFonts w:cstheme="minorHAnsi"/>
        </w:rPr>
      </w:pPr>
      <w:r w:rsidRPr="0068374F">
        <w:rPr>
          <w:rFonts w:cstheme="minorHAnsi"/>
        </w:rPr>
        <w:t>Checking that the survey functions adequately in multiple browsers</w:t>
      </w:r>
    </w:p>
    <w:p w:rsidRPr="0068374F" w:rsidR="004D20E7" w:rsidP="004D20E7" w:rsidRDefault="004D20E7" w14:paraId="1A3EEE79" w14:textId="1CA5D9DE">
      <w:pPr>
        <w:pStyle w:val="Body12ptCalibri-IPR"/>
        <w:numPr>
          <w:ilvl w:val="0"/>
          <w:numId w:val="14"/>
        </w:numPr>
        <w:rPr>
          <w:rFonts w:cstheme="minorHAnsi"/>
        </w:rPr>
      </w:pPr>
      <w:r w:rsidRPr="0068374F">
        <w:rPr>
          <w:rFonts w:cstheme="minorHAnsi"/>
        </w:rPr>
        <w:t>Checking that the order of survey questions facilitates easy comprehension and “flow” for respondents; i.e., that the order and placement of questions feels natural and flows well</w:t>
      </w:r>
    </w:p>
    <w:p w:rsidRPr="0068374F" w:rsidR="004D20E7" w:rsidP="004D20E7" w:rsidRDefault="004D20E7" w14:paraId="21A3E866" w14:textId="7026CD7C">
      <w:pPr>
        <w:pStyle w:val="Body12ptCalibri-IPR"/>
        <w:numPr>
          <w:ilvl w:val="0"/>
          <w:numId w:val="14"/>
        </w:numPr>
        <w:rPr>
          <w:rFonts w:cstheme="minorHAnsi"/>
        </w:rPr>
      </w:pPr>
      <w:r w:rsidRPr="0068374F">
        <w:rPr>
          <w:rFonts w:cstheme="minorHAnsi"/>
        </w:rPr>
        <w:t>Pilot testing the survey</w:t>
      </w:r>
      <w:r w:rsidRPr="0068374F" w:rsidR="005A6D12">
        <w:rPr>
          <w:rFonts w:cstheme="minorHAnsi"/>
        </w:rPr>
        <w:t xml:space="preserve"> will be conducted in two ways. First, internal CRA staff </w:t>
      </w:r>
      <w:r w:rsidRPr="0068374F">
        <w:rPr>
          <w:rFonts w:cstheme="minorHAnsi"/>
        </w:rPr>
        <w:t xml:space="preserve">who are not familiar with the study </w:t>
      </w:r>
      <w:r w:rsidRPr="0068374F" w:rsidR="005A6D12">
        <w:rPr>
          <w:rFonts w:cstheme="minorHAnsi"/>
        </w:rPr>
        <w:t xml:space="preserve">will be </w:t>
      </w:r>
      <w:r w:rsidRPr="0068374F" w:rsidR="00E10344">
        <w:rPr>
          <w:rFonts w:cstheme="minorHAnsi"/>
        </w:rPr>
        <w:t>asked</w:t>
      </w:r>
      <w:r w:rsidRPr="0068374F" w:rsidR="005A6D12">
        <w:rPr>
          <w:rFonts w:cstheme="minorHAnsi"/>
        </w:rPr>
        <w:t xml:space="preserve"> to complete the survey and provide</w:t>
      </w:r>
      <w:r w:rsidRPr="0068374F">
        <w:rPr>
          <w:rFonts w:cstheme="minorHAnsi"/>
        </w:rPr>
        <w:t xml:space="preserve"> feedback on the clarity of items and the overall survey administration experience, including the amount of time it takes them to complete it</w:t>
      </w:r>
      <w:r w:rsidRPr="0068374F" w:rsidR="005A6D12">
        <w:rPr>
          <w:rFonts w:cstheme="minorHAnsi"/>
        </w:rPr>
        <w:t xml:space="preserve">. </w:t>
      </w:r>
      <w:r w:rsidRPr="0068374F" w:rsidR="00E10344">
        <w:rPr>
          <w:rFonts w:cstheme="minorHAnsi"/>
        </w:rPr>
        <w:t xml:space="preserve"> After that process is complete, if additional testing is warranted</w:t>
      </w:r>
      <w:r w:rsidRPr="0068374F" w:rsidR="00F16E5B">
        <w:rPr>
          <w:rFonts w:cstheme="minorHAnsi"/>
        </w:rPr>
        <w:t xml:space="preserve">, pilot testing will be conducted with fewer than 10 </w:t>
      </w:r>
      <w:r w:rsidRPr="0068374F" w:rsidR="00E10344">
        <w:rPr>
          <w:rFonts w:cstheme="minorHAnsi"/>
        </w:rPr>
        <w:t>individuals outside of the CRA organization.</w:t>
      </w:r>
    </w:p>
    <w:p w:rsidRPr="0068374F" w:rsidR="002D7EE1" w:rsidP="002D7EE1" w:rsidRDefault="002D7EE1" w14:paraId="602E1F6C" w14:textId="77777777">
      <w:pPr>
        <w:pStyle w:val="Hdng2-IPR"/>
        <w:rPr>
          <w:rFonts w:asciiTheme="minorHAnsi" w:hAnsiTheme="minorHAnsi" w:cstheme="minorHAnsi"/>
        </w:rPr>
      </w:pPr>
      <w:bookmarkStart w:name="_Toc416426645" w:id="6"/>
      <w:r w:rsidRPr="0068374F">
        <w:rPr>
          <w:rFonts w:asciiTheme="minorHAnsi" w:hAnsiTheme="minorHAnsi" w:cstheme="minorHAnsi"/>
        </w:rPr>
        <w:t xml:space="preserve">B.5. </w:t>
      </w:r>
      <w:r w:rsidRPr="0068374F">
        <w:rPr>
          <w:rFonts w:asciiTheme="minorHAnsi" w:hAnsiTheme="minorHAnsi" w:cstheme="minorHAnsi"/>
        </w:rPr>
        <w:tab/>
        <w:t>Consultants</w:t>
      </w:r>
      <w:bookmarkEnd w:id="6"/>
      <w:r w:rsidRPr="0068374F">
        <w:rPr>
          <w:rFonts w:asciiTheme="minorHAnsi" w:hAnsiTheme="minorHAnsi" w:cstheme="minorHAnsi"/>
        </w:rPr>
        <w:t xml:space="preserve"> </w:t>
      </w:r>
    </w:p>
    <w:p w:rsidRPr="0068374F" w:rsidR="002D7EE1" w:rsidP="002D7EE1" w:rsidRDefault="002D7EE1" w14:paraId="64784B79" w14:textId="77777777">
      <w:pPr>
        <w:pStyle w:val="OMBRequirementCalibri"/>
        <w:rPr>
          <w:rFonts w:cstheme="minorHAnsi"/>
        </w:rPr>
      </w:pPr>
      <w:r w:rsidRPr="0068374F">
        <w:rPr>
          <w:rFonts w:cstheme="minorHAnsi"/>
        </w:rPr>
        <w:t>Provide the name and telephone number of individuals consulted on statistical aspects of the design and the name of the agency unit, contractor(s), grantee(s), or other person(s) who will actually collect and/or analyze the information for the agency.</w:t>
      </w:r>
    </w:p>
    <w:p w:rsidRPr="0068374F" w:rsidR="002D7EE1" w:rsidP="002D7EE1" w:rsidRDefault="002D7EE1" w14:paraId="75F4479B" w14:textId="32373C60">
      <w:pPr>
        <w:pStyle w:val="Body12ptCalibri-IPR"/>
        <w:rPr>
          <w:rFonts w:cstheme="minorHAnsi"/>
        </w:rPr>
      </w:pPr>
      <w:r w:rsidRPr="0068374F">
        <w:rPr>
          <w:rFonts w:cstheme="minorHAnsi"/>
        </w:rPr>
        <w:lastRenderedPageBreak/>
        <w:t>NSF has contracted with</w:t>
      </w:r>
      <w:r w:rsidRPr="0068374F" w:rsidR="00C0229B">
        <w:rPr>
          <w:rFonts w:cstheme="minorHAnsi"/>
        </w:rPr>
        <w:t xml:space="preserve"> </w:t>
      </w:r>
      <w:r w:rsidRPr="0068374F" w:rsidR="00041ABC">
        <w:rPr>
          <w:rFonts w:cstheme="minorHAnsi"/>
        </w:rPr>
        <w:t xml:space="preserve">Computing Research Association’s (CRA) Center for Evaluating the Research Pipeline (CERP) to design and </w:t>
      </w:r>
      <w:r w:rsidRPr="0068374F">
        <w:rPr>
          <w:rFonts w:cstheme="minorHAnsi"/>
        </w:rPr>
        <w:t>conduct this survey</w:t>
      </w:r>
      <w:r w:rsidRPr="0068374F" w:rsidR="00041ABC">
        <w:rPr>
          <w:rFonts w:cstheme="minorHAnsi"/>
        </w:rPr>
        <w:t xml:space="preserve"> project</w:t>
      </w:r>
      <w:r w:rsidRPr="0068374F">
        <w:rPr>
          <w:rFonts w:cstheme="minorHAnsi"/>
        </w:rPr>
        <w:t xml:space="preserve">. </w:t>
      </w:r>
      <w:bookmarkStart w:name="_Toc297294266" w:id="7"/>
      <w:bookmarkStart w:name="_Toc309717690" w:id="8"/>
      <w:r w:rsidRPr="0068374F" w:rsidR="00041ABC">
        <w:rPr>
          <w:rFonts w:cstheme="minorHAnsi"/>
        </w:rPr>
        <w:t xml:space="preserve">Names, </w:t>
      </w:r>
      <w:r w:rsidRPr="0068374F" w:rsidR="00140DE8">
        <w:rPr>
          <w:rFonts w:cstheme="minorHAnsi"/>
        </w:rPr>
        <w:t xml:space="preserve">titles, </w:t>
      </w:r>
      <w:r w:rsidRPr="0068374F" w:rsidR="00041ABC">
        <w:rPr>
          <w:rFonts w:cstheme="minorHAnsi"/>
        </w:rPr>
        <w:t>contact information, and roles of the CERP staff who will be involved in the study are described below.</w:t>
      </w:r>
    </w:p>
    <w:p w:rsidRPr="0068374F" w:rsidR="00041ABC" w:rsidP="00094980" w:rsidRDefault="00041ABC" w14:paraId="4546C5CC" w14:textId="7755AAC4">
      <w:pPr>
        <w:pStyle w:val="Body12ptCalibri-IPR"/>
        <w:numPr>
          <w:ilvl w:val="0"/>
          <w:numId w:val="15"/>
        </w:numPr>
        <w:ind w:left="360"/>
        <w:rPr>
          <w:rFonts w:cstheme="minorHAnsi"/>
        </w:rPr>
      </w:pPr>
      <w:r w:rsidRPr="0068374F">
        <w:rPr>
          <w:rFonts w:cstheme="minorHAnsi"/>
          <w:b/>
          <w:bCs/>
        </w:rPr>
        <w:t>Dr. Burcin Tamer, Director of CERP</w:t>
      </w:r>
      <w:r w:rsidRPr="0068374F">
        <w:rPr>
          <w:rFonts w:cstheme="minorHAnsi"/>
        </w:rPr>
        <w:t xml:space="preserve"> (202-266-2935)</w:t>
      </w:r>
    </w:p>
    <w:p w:rsidRPr="0068374F" w:rsidR="00041ABC" w:rsidP="00094980" w:rsidRDefault="00041ABC" w14:paraId="6D5FF5AC" w14:textId="0CF19651">
      <w:pPr>
        <w:pStyle w:val="Body12ptCalibri-IPR"/>
        <w:ind w:left="360" w:firstLine="0"/>
        <w:rPr>
          <w:rFonts w:cstheme="minorHAnsi"/>
        </w:rPr>
      </w:pPr>
      <w:r w:rsidRPr="0068374F">
        <w:rPr>
          <w:rFonts w:cstheme="minorHAnsi"/>
        </w:rPr>
        <w:t>Tamer will have general oversight over the project and manage the contract overall. She has led the study design (including statistical aspects of the design) and instrument development.</w:t>
      </w:r>
    </w:p>
    <w:p w:rsidRPr="0068374F" w:rsidR="00041ABC" w:rsidP="00094980" w:rsidRDefault="00041ABC" w14:paraId="12A17013" w14:textId="7002A597">
      <w:pPr>
        <w:pStyle w:val="Body12ptCalibri-IPR"/>
        <w:numPr>
          <w:ilvl w:val="0"/>
          <w:numId w:val="15"/>
        </w:numPr>
        <w:ind w:left="360"/>
        <w:rPr>
          <w:rFonts w:cstheme="minorHAnsi"/>
        </w:rPr>
      </w:pPr>
      <w:r w:rsidRPr="0068374F">
        <w:rPr>
          <w:rFonts w:cstheme="minorHAnsi"/>
          <w:b/>
          <w:bCs/>
        </w:rPr>
        <w:t>Heather Wright, Associate Director of CERP</w:t>
      </w:r>
      <w:r w:rsidRPr="0068374F">
        <w:rPr>
          <w:rFonts w:cstheme="minorHAnsi"/>
        </w:rPr>
        <w:t xml:space="preserve"> (202-266-</w:t>
      </w:r>
      <w:r w:rsidRPr="0068374F" w:rsidR="0065504A">
        <w:rPr>
          <w:rFonts w:cstheme="minorHAnsi"/>
        </w:rPr>
        <w:t>2945</w:t>
      </w:r>
      <w:r w:rsidRPr="0068374F">
        <w:rPr>
          <w:rFonts w:cstheme="minorHAnsi"/>
        </w:rPr>
        <w:t xml:space="preserve">) </w:t>
      </w:r>
    </w:p>
    <w:p w:rsidRPr="0068374F" w:rsidR="00041ABC" w:rsidP="00094980" w:rsidRDefault="00041ABC" w14:paraId="603846E8" w14:textId="0C13FD68">
      <w:pPr>
        <w:pStyle w:val="Body12ptCalibri-IPR"/>
        <w:ind w:left="360" w:firstLine="0"/>
        <w:rPr>
          <w:rFonts w:cstheme="minorHAnsi"/>
        </w:rPr>
      </w:pPr>
      <w:r w:rsidRPr="0068374F">
        <w:rPr>
          <w:rFonts w:cstheme="minorHAnsi"/>
        </w:rPr>
        <w:t xml:space="preserve">Wright will be responsible for project management and staff oversight. She contributed to the study design (including statistical aspects of the design) and </w:t>
      </w:r>
      <w:r w:rsidRPr="0068374F" w:rsidR="0065504A">
        <w:rPr>
          <w:rFonts w:cstheme="minorHAnsi"/>
        </w:rPr>
        <w:t xml:space="preserve">led </w:t>
      </w:r>
      <w:r w:rsidRPr="0068374F">
        <w:rPr>
          <w:rFonts w:cstheme="minorHAnsi"/>
        </w:rPr>
        <w:t>instrument development.</w:t>
      </w:r>
    </w:p>
    <w:p w:rsidRPr="0068374F" w:rsidR="00041ABC" w:rsidP="00094980" w:rsidRDefault="00041ABC" w14:paraId="251220FC" w14:textId="77777777">
      <w:pPr>
        <w:pStyle w:val="Body12ptCalibri-IPR"/>
        <w:numPr>
          <w:ilvl w:val="0"/>
          <w:numId w:val="15"/>
        </w:numPr>
        <w:ind w:left="360"/>
        <w:rPr>
          <w:rFonts w:cstheme="minorHAnsi"/>
        </w:rPr>
      </w:pPr>
      <w:r w:rsidRPr="0068374F">
        <w:rPr>
          <w:rFonts w:cstheme="minorHAnsi"/>
          <w:b/>
          <w:bCs/>
        </w:rPr>
        <w:t>Kristi Kelly, Research Associate</w:t>
      </w:r>
      <w:r w:rsidRPr="0068374F">
        <w:rPr>
          <w:rFonts w:cstheme="minorHAnsi"/>
        </w:rPr>
        <w:t xml:space="preserve"> (202-266-2935) </w:t>
      </w:r>
    </w:p>
    <w:p w:rsidRPr="0068374F" w:rsidR="00041ABC" w:rsidP="00094980" w:rsidRDefault="00041ABC" w14:paraId="5466979E" w14:textId="50B56F32">
      <w:pPr>
        <w:pStyle w:val="Body12ptCalibri-IPR"/>
        <w:ind w:left="360" w:firstLine="0"/>
        <w:rPr>
          <w:rFonts w:cstheme="minorHAnsi"/>
        </w:rPr>
      </w:pPr>
      <w:r w:rsidRPr="0068374F">
        <w:rPr>
          <w:rFonts w:cstheme="minorHAnsi"/>
        </w:rPr>
        <w:t xml:space="preserve">Kelly will </w:t>
      </w:r>
      <w:r w:rsidR="00BB6A4A">
        <w:rPr>
          <w:rFonts w:cstheme="minorHAnsi"/>
        </w:rPr>
        <w:t>work o</w:t>
      </w:r>
      <w:r w:rsidRPr="0068374F">
        <w:rPr>
          <w:rFonts w:cstheme="minorHAnsi"/>
        </w:rPr>
        <w:t>n data management, analysis, and reporting activities. She has contributed to the study design (including statistical aspects of the design) and instrument development.</w:t>
      </w:r>
    </w:p>
    <w:p w:rsidRPr="0068374F" w:rsidR="00041ABC" w:rsidP="00094980" w:rsidRDefault="00041ABC" w14:paraId="7CA4A47D" w14:textId="1CE2B16D">
      <w:pPr>
        <w:pStyle w:val="Body12ptCalibri-IPR"/>
        <w:numPr>
          <w:ilvl w:val="0"/>
          <w:numId w:val="15"/>
        </w:numPr>
        <w:ind w:left="360"/>
        <w:rPr>
          <w:rFonts w:cstheme="minorHAnsi"/>
        </w:rPr>
      </w:pPr>
      <w:r w:rsidRPr="0068374F">
        <w:rPr>
          <w:rFonts w:cstheme="minorHAnsi"/>
          <w:b/>
          <w:bCs/>
        </w:rPr>
        <w:t>Taniya Ross-Dunmore, Research Assistant</w:t>
      </w:r>
      <w:r w:rsidRPr="0068374F">
        <w:rPr>
          <w:rFonts w:cstheme="minorHAnsi"/>
        </w:rPr>
        <w:t xml:space="preserve"> (202-266-2935) </w:t>
      </w:r>
    </w:p>
    <w:p w:rsidRPr="00041ABC" w:rsidR="00041ABC" w:rsidP="00094980" w:rsidRDefault="00041ABC" w14:paraId="2D22B434" w14:textId="04366C60">
      <w:pPr>
        <w:pStyle w:val="Body12ptCalibri-IPR"/>
        <w:ind w:left="360" w:firstLine="0"/>
        <w:rPr>
          <w:rFonts w:cstheme="minorHAnsi"/>
        </w:rPr>
      </w:pPr>
      <w:r w:rsidRPr="0068374F">
        <w:rPr>
          <w:rFonts w:cstheme="minorHAnsi"/>
        </w:rPr>
        <w:t>Ross-Dunmore will be engaged in administrative aspects of the project, including</w:t>
      </w:r>
      <w:r w:rsidRPr="0068374F" w:rsidR="0068374F">
        <w:rPr>
          <w:rFonts w:cstheme="minorHAnsi"/>
        </w:rPr>
        <w:t xml:space="preserve"> communication with REU personnel and study participants and</w:t>
      </w:r>
      <w:r w:rsidRPr="0068374F">
        <w:rPr>
          <w:rFonts w:cstheme="minorHAnsi"/>
        </w:rPr>
        <w:t xml:space="preserve"> programming and testing the online surveys.</w:t>
      </w:r>
      <w:r w:rsidRPr="00041ABC">
        <w:rPr>
          <w:rFonts w:cstheme="minorHAnsi"/>
        </w:rPr>
        <w:t xml:space="preserve"> </w:t>
      </w:r>
      <w:bookmarkEnd w:id="7"/>
      <w:bookmarkEnd w:id="8"/>
    </w:p>
    <w:sectPr w:rsidRPr="00041ABC" w:rsidR="00041ABC">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63C1D" w14:textId="77777777" w:rsidR="00B9462E" w:rsidRDefault="00B9462E" w:rsidP="00457DE2">
      <w:pPr>
        <w:spacing w:line="240" w:lineRule="auto"/>
      </w:pPr>
      <w:r>
        <w:separator/>
      </w:r>
    </w:p>
  </w:endnote>
  <w:endnote w:type="continuationSeparator" w:id="0">
    <w:p w14:paraId="1BF1025E" w14:textId="77777777" w:rsidR="00B9462E" w:rsidRDefault="00B9462E" w:rsidP="00457DE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3">
    <w:panose1 w:val="05040102010807070707"/>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altName w:val="Arial"/>
    <w:panose1 w:val="020B0704020202020204"/>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6076448" w14:textId="77777777" w:rsidR="00B9462E" w:rsidRDefault="00B9462E" w:rsidP="00457DE2">
      <w:pPr>
        <w:spacing w:line="240" w:lineRule="auto"/>
      </w:pPr>
      <w:r>
        <w:separator/>
      </w:r>
    </w:p>
  </w:footnote>
  <w:footnote w:type="continuationSeparator" w:id="0">
    <w:p w14:paraId="4E190BC9" w14:textId="77777777" w:rsidR="00B9462E" w:rsidRDefault="00B9462E" w:rsidP="00457DE2">
      <w:pPr>
        <w:spacing w:line="240" w:lineRule="auto"/>
      </w:pPr>
      <w:r>
        <w:continuationSeparator/>
      </w:r>
    </w:p>
  </w:footnote>
  <w:footnote w:id="1">
    <w:p w14:paraId="09C96E14" w14:textId="1AAF01F5" w:rsidR="005C114E" w:rsidRPr="005C114E" w:rsidRDefault="005C114E">
      <w:pPr>
        <w:pStyle w:val="FootnoteText"/>
        <w:rPr>
          <w:rFonts w:asciiTheme="minorHAnsi" w:hAnsiTheme="minorHAnsi" w:cstheme="minorHAnsi"/>
        </w:rPr>
      </w:pPr>
      <w:r w:rsidRPr="005C114E">
        <w:rPr>
          <w:rStyle w:val="FootnoteReference"/>
          <w:rFonts w:asciiTheme="minorHAnsi" w:hAnsiTheme="minorHAnsi" w:cstheme="minorHAnsi"/>
          <w:sz w:val="16"/>
          <w:szCs w:val="16"/>
        </w:rPr>
        <w:footnoteRef/>
      </w:r>
      <w:r w:rsidRPr="005C114E">
        <w:rPr>
          <w:rFonts w:asciiTheme="minorHAnsi" w:hAnsiTheme="minorHAnsi" w:cstheme="minorHAnsi"/>
          <w:sz w:val="16"/>
          <w:szCs w:val="16"/>
        </w:rPr>
        <w:t xml:space="preserve"> This number is a non-duplicated count; </w:t>
      </w:r>
      <w:r w:rsidR="008B69F6" w:rsidRPr="005C114E">
        <w:rPr>
          <w:rFonts w:asciiTheme="minorHAnsi" w:hAnsiTheme="minorHAnsi" w:cstheme="minorHAnsi"/>
          <w:sz w:val="16"/>
          <w:szCs w:val="16"/>
        </w:rPr>
        <w:t>i.e.</w:t>
      </w:r>
      <w:r w:rsidRPr="005C114E">
        <w:rPr>
          <w:rFonts w:asciiTheme="minorHAnsi" w:hAnsiTheme="minorHAnsi" w:cstheme="minorHAnsi"/>
          <w:sz w:val="16"/>
          <w:szCs w:val="16"/>
        </w:rPr>
        <w:t xml:space="preserve">, if a participant takes part in an REU during two consecutive terms within a year, they would be counted twice. This is the most relevant way of counting potential respondents, because a participant would complete </w:t>
      </w:r>
      <w:r w:rsidR="007E2FB9" w:rsidRPr="005C114E">
        <w:rPr>
          <w:rFonts w:asciiTheme="minorHAnsi" w:hAnsiTheme="minorHAnsi" w:cstheme="minorHAnsi"/>
          <w:sz w:val="16"/>
          <w:szCs w:val="16"/>
        </w:rPr>
        <w:t>pre-</w:t>
      </w:r>
      <w:r w:rsidRPr="005C114E">
        <w:rPr>
          <w:rFonts w:asciiTheme="minorHAnsi" w:hAnsiTheme="minorHAnsi" w:cstheme="minorHAnsi"/>
          <w:sz w:val="16"/>
          <w:szCs w:val="16"/>
        </w:rPr>
        <w:t xml:space="preserve"> and post-program surveys for each research experience they participate in.</w:t>
      </w:r>
    </w:p>
  </w:footnote>
  <w:footnote w:id="2">
    <w:p w14:paraId="59C0471F" w14:textId="299C3587" w:rsidR="0083091F" w:rsidRPr="0083091F" w:rsidRDefault="0083091F">
      <w:pPr>
        <w:pStyle w:val="FootnoteText"/>
        <w:rPr>
          <w:rFonts w:asciiTheme="minorHAnsi" w:hAnsiTheme="minorHAnsi" w:cstheme="minorHAnsi"/>
          <w:sz w:val="16"/>
          <w:szCs w:val="16"/>
        </w:rPr>
      </w:pPr>
      <w:r w:rsidRPr="0083091F">
        <w:rPr>
          <w:rStyle w:val="FootnoteReference"/>
          <w:rFonts w:asciiTheme="minorHAnsi" w:hAnsiTheme="minorHAnsi" w:cstheme="minorHAnsi"/>
          <w:sz w:val="16"/>
          <w:szCs w:val="16"/>
        </w:rPr>
        <w:footnoteRef/>
      </w:r>
      <w:r w:rsidRPr="0083091F">
        <w:rPr>
          <w:rFonts w:asciiTheme="minorHAnsi" w:hAnsiTheme="minorHAnsi" w:cstheme="minorHAnsi"/>
          <w:sz w:val="16"/>
          <w:szCs w:val="16"/>
        </w:rPr>
        <w:t xml:space="preserve"> </w:t>
      </w:r>
      <w:r>
        <w:rPr>
          <w:rFonts w:asciiTheme="minorHAnsi" w:hAnsiTheme="minorHAnsi" w:cstheme="minorHAnsi"/>
          <w:sz w:val="16"/>
          <w:szCs w:val="16"/>
        </w:rPr>
        <w:t>This approximation is supported by the numbers of PIs who have expressed interest so far in being included in the evaluation. T</w:t>
      </w:r>
      <w:r w:rsidRPr="0083091F">
        <w:rPr>
          <w:rFonts w:asciiTheme="minorHAnsi" w:hAnsiTheme="minorHAnsi" w:cstheme="minorHAnsi"/>
          <w:sz w:val="16"/>
          <w:szCs w:val="16"/>
        </w:rPr>
        <w:t>o date, 65 REU Site PI applicants have expressed interest in using CERP for their evaluations for 2022. Assuming 10 participants per site, this would be 650 REU Site participants. We expect Site PIs to continue to enroll for the first year through early May 2022. Supplement PIs (who generally work with one or two students) will also be able to enroll throughout the year.</w:t>
      </w:r>
    </w:p>
  </w:footnote>
  <w:footnote w:id="3">
    <w:p w14:paraId="6D65B14C" w14:textId="4599694C" w:rsidR="00CF2F78" w:rsidRPr="00CF2F78" w:rsidRDefault="00CF2F78">
      <w:pPr>
        <w:pStyle w:val="FootnoteText"/>
        <w:rPr>
          <w:rFonts w:asciiTheme="minorHAnsi" w:hAnsiTheme="minorHAnsi" w:cstheme="minorHAnsi"/>
        </w:rPr>
      </w:pPr>
      <w:r w:rsidRPr="00EE067F">
        <w:rPr>
          <w:rStyle w:val="FootnoteReference"/>
          <w:rFonts w:asciiTheme="minorHAnsi" w:hAnsiTheme="minorHAnsi" w:cstheme="minorHAnsi"/>
          <w:sz w:val="16"/>
          <w:szCs w:val="16"/>
        </w:rPr>
        <w:footnoteRef/>
      </w:r>
      <w:r w:rsidRPr="00EE067F">
        <w:rPr>
          <w:rFonts w:asciiTheme="minorHAnsi" w:hAnsiTheme="minorHAnsi" w:cstheme="minorHAnsi"/>
          <w:sz w:val="16"/>
          <w:szCs w:val="16"/>
        </w:rPr>
        <w:t xml:space="preserve"> This process will be repeated in 2023 for the second year of comparison group participants.</w:t>
      </w:r>
    </w:p>
  </w:footnote>
  <w:footnote w:id="4">
    <w:p w14:paraId="4C064CCD" w14:textId="0309D050" w:rsidR="00E85FDF" w:rsidRPr="00E85FDF" w:rsidRDefault="00E85FDF">
      <w:pPr>
        <w:pStyle w:val="FootnoteText"/>
        <w:rPr>
          <w:rFonts w:ascii="Arial" w:hAnsi="Arial" w:cs="Arial"/>
        </w:rPr>
      </w:pPr>
      <w:r w:rsidRPr="00E85FDF">
        <w:rPr>
          <w:rStyle w:val="FootnoteReference"/>
          <w:rFonts w:ascii="Arial" w:hAnsi="Arial" w:cs="Arial"/>
          <w:sz w:val="18"/>
          <w:szCs w:val="18"/>
        </w:rPr>
        <w:footnoteRef/>
      </w:r>
      <w:r w:rsidRPr="00E85FDF">
        <w:rPr>
          <w:rFonts w:ascii="Arial" w:hAnsi="Arial" w:cs="Arial"/>
          <w:sz w:val="18"/>
          <w:szCs w:val="18"/>
        </w:rPr>
        <w:t xml:space="preserve"> </w:t>
      </w:r>
      <w:r w:rsidRPr="00E85FDF">
        <w:rPr>
          <w:rFonts w:ascii="Arial" w:eastAsia="Times New Roman" w:hAnsi="Arial" w:cs="Arial"/>
          <w:color w:val="222222"/>
          <w:sz w:val="18"/>
          <w:szCs w:val="18"/>
          <w:shd w:val="clear" w:color="auto" w:fill="FFFFFF"/>
        </w:rPr>
        <w:t>Baker, R., Brick, J. M., Keeter, S., Biemer, P., Kennedy, C., Kreuter, F., ... &amp; Terhanian, G. (2016). Evaluating survey quality in today's complex environment. </w:t>
      </w:r>
      <w:r w:rsidRPr="00E85FDF">
        <w:rPr>
          <w:rFonts w:ascii="Arial" w:eastAsia="Times New Roman" w:hAnsi="Arial" w:cs="Arial"/>
          <w:i/>
          <w:iCs/>
          <w:color w:val="222222"/>
          <w:sz w:val="18"/>
          <w:szCs w:val="18"/>
          <w:shd w:val="clear" w:color="auto" w:fill="FFFFFF"/>
        </w:rPr>
        <w:t>American Association for Public Opinion Rese</w:t>
      </w:r>
      <w:r>
        <w:rPr>
          <w:rFonts w:ascii="Arial" w:eastAsia="Times New Roman" w:hAnsi="Arial" w:cs="Arial"/>
          <w:i/>
          <w:iCs/>
          <w:color w:val="222222"/>
          <w:sz w:val="18"/>
          <w:szCs w:val="18"/>
          <w:shd w:val="clear" w:color="auto" w:fill="FFFFFF"/>
        </w:rPr>
        <w:t>a</w:t>
      </w:r>
      <w:r w:rsidRPr="00E85FDF">
        <w:rPr>
          <w:rFonts w:ascii="Arial" w:eastAsia="Times New Roman" w:hAnsi="Arial" w:cs="Arial"/>
          <w:i/>
          <w:iCs/>
          <w:color w:val="222222"/>
          <w:sz w:val="18"/>
          <w:szCs w:val="18"/>
          <w:shd w:val="clear" w:color="auto" w:fill="FFFFFF"/>
        </w:rPr>
        <w:t>rch (AAPOR)</w:t>
      </w:r>
      <w:r w:rsidRPr="00E85FDF">
        <w:rPr>
          <w:rFonts w:ascii="Arial" w:eastAsia="Times New Roman" w:hAnsi="Arial" w:cs="Arial"/>
          <w:color w:val="222222"/>
          <w:sz w:val="18"/>
          <w:szCs w:val="18"/>
          <w:shd w:val="clear" w:color="auto" w:fill="FFFFFF"/>
        </w:rPr>
        <w:t>.</w:t>
      </w:r>
    </w:p>
  </w:footnote>
  <w:footnote w:id="5">
    <w:p w14:paraId="43CDF43D" w14:textId="2A892D6F" w:rsidR="00F22F60" w:rsidRPr="00806958" w:rsidRDefault="00F22F60" w:rsidP="00F22F60">
      <w:pPr>
        <w:spacing w:line="240" w:lineRule="auto"/>
        <w:rPr>
          <w:rFonts w:eastAsia="Times New Roman"/>
        </w:rPr>
      </w:pPr>
      <w:r w:rsidRPr="00806958">
        <w:rPr>
          <w:rStyle w:val="FootnoteReference"/>
          <w:rFonts w:ascii="Arial" w:hAnsi="Arial" w:cs="Arial"/>
          <w:sz w:val="16"/>
          <w:szCs w:val="16"/>
        </w:rPr>
        <w:footnoteRef/>
      </w:r>
      <w:r w:rsidRPr="00806958">
        <w:rPr>
          <w:rFonts w:ascii="Arial" w:hAnsi="Arial" w:cs="Arial"/>
          <w:sz w:val="16"/>
          <w:szCs w:val="16"/>
        </w:rPr>
        <w:t xml:space="preserve"> </w:t>
      </w:r>
      <w:r w:rsidRPr="00806958">
        <w:rPr>
          <w:rFonts w:ascii="Arial" w:eastAsia="Times New Roman" w:hAnsi="Arial" w:cs="Arial"/>
          <w:color w:val="222222"/>
          <w:sz w:val="16"/>
          <w:szCs w:val="16"/>
          <w:shd w:val="clear" w:color="auto" w:fill="FFFFFF"/>
        </w:rPr>
        <w:t>Baker, R., Brick, J. M., Keeter, S., Biemer, P., Kennedy, C., Kreuter, F., ... &amp; Terhanian, G. (2016). Evaluating survey quality in today's complex environment. </w:t>
      </w:r>
      <w:r w:rsidRPr="00806958">
        <w:rPr>
          <w:rFonts w:ascii="Arial" w:eastAsia="Times New Roman" w:hAnsi="Arial" w:cs="Arial"/>
          <w:i/>
          <w:iCs/>
          <w:color w:val="222222"/>
          <w:sz w:val="16"/>
          <w:szCs w:val="16"/>
          <w:shd w:val="clear" w:color="auto" w:fill="FFFFFF"/>
        </w:rPr>
        <w:t>American Association for Public Opinion Rese</w:t>
      </w:r>
      <w:r w:rsidR="00E85FDF" w:rsidRPr="00806958">
        <w:rPr>
          <w:rFonts w:ascii="Arial" w:eastAsia="Times New Roman" w:hAnsi="Arial" w:cs="Arial"/>
          <w:i/>
          <w:iCs/>
          <w:color w:val="222222"/>
          <w:sz w:val="16"/>
          <w:szCs w:val="16"/>
          <w:shd w:val="clear" w:color="auto" w:fill="FFFFFF"/>
        </w:rPr>
        <w:t>a</w:t>
      </w:r>
      <w:r w:rsidRPr="00806958">
        <w:rPr>
          <w:rFonts w:ascii="Arial" w:eastAsia="Times New Roman" w:hAnsi="Arial" w:cs="Arial"/>
          <w:i/>
          <w:iCs/>
          <w:color w:val="222222"/>
          <w:sz w:val="16"/>
          <w:szCs w:val="16"/>
          <w:shd w:val="clear" w:color="auto" w:fill="FFFFFF"/>
        </w:rPr>
        <w:t>rch (AAPOR)</w:t>
      </w:r>
      <w:r w:rsidRPr="00806958">
        <w:rPr>
          <w:rFonts w:ascii="Arial" w:eastAsia="Times New Roman" w:hAnsi="Arial" w:cs="Arial"/>
          <w:color w:val="222222"/>
          <w:sz w:val="16"/>
          <w:szCs w:val="16"/>
          <w:shd w:val="clear" w:color="auto" w:fill="FFFFFF"/>
        </w:rPr>
        <w:t>.</w:t>
      </w:r>
    </w:p>
    <w:p w14:paraId="780F6A9C" w14:textId="4F1FAB24" w:rsidR="00F22F60" w:rsidRDefault="00F22F60">
      <w:pPr>
        <w:pStyle w:val="FootnoteText"/>
      </w:pPr>
      <w: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3E1D2B"/>
    <w:multiLevelType w:val="multilevel"/>
    <w:tmpl w:val="0F5A555C"/>
    <w:styleLink w:val="BulletListStyleRed-IPR"/>
    <w:lvl w:ilvl="0">
      <w:start w:val="1"/>
      <w:numFmt w:val="bullet"/>
      <w:pStyle w:val="BulletsRed-IPR"/>
      <w:lvlText w:val=""/>
      <w:lvlJc w:val="left"/>
      <w:pPr>
        <w:ind w:left="720" w:hanging="360"/>
      </w:pPr>
      <w:rPr>
        <w:rFonts w:ascii="Wingdings 3" w:hAnsi="Wingdings 3" w:hint="default"/>
        <w:color w:val="DD2230"/>
      </w:rPr>
    </w:lvl>
    <w:lvl w:ilvl="1">
      <w:start w:val="1"/>
      <w:numFmt w:val="bullet"/>
      <w:lvlText w:val="▪"/>
      <w:lvlJc w:val="left"/>
      <w:pPr>
        <w:ind w:left="1080" w:hanging="360"/>
      </w:pPr>
      <w:rPr>
        <w:rFonts w:ascii="Courier New" w:hAnsi="Courier New" w:hint="default"/>
        <w:color w:val="DD2230"/>
      </w:rPr>
    </w:lvl>
    <w:lvl w:ilvl="2">
      <w:start w:val="1"/>
      <w:numFmt w:val="bullet"/>
      <w:lvlText w:val=""/>
      <w:lvlJc w:val="left"/>
      <w:pPr>
        <w:ind w:left="1440" w:hanging="360"/>
      </w:pPr>
      <w:rPr>
        <w:rFonts w:ascii="Symbol" w:hAnsi="Symbol" w:hint="default"/>
        <w:color w:val="DD2230"/>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1" w15:restartNumberingAfterBreak="0">
    <w:nsid w:val="0B7D5E8B"/>
    <w:multiLevelType w:val="hybridMultilevel"/>
    <w:tmpl w:val="63DA39DE"/>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CE25CCC"/>
    <w:multiLevelType w:val="hybridMultilevel"/>
    <w:tmpl w:val="A9826F3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DD54645"/>
    <w:multiLevelType w:val="hybridMultilevel"/>
    <w:tmpl w:val="DE3A0E4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F5121A"/>
    <w:multiLevelType w:val="hybridMultilevel"/>
    <w:tmpl w:val="CE04F26C"/>
    <w:lvl w:ilvl="0" w:tplc="CF48A6D4">
      <w:start w:val="1"/>
      <w:numFmt w:val="decimal"/>
      <w:lvlText w:val="%1."/>
      <w:lvlJc w:val="left"/>
      <w:pPr>
        <w:ind w:left="720" w:hanging="360"/>
      </w:pPr>
      <w:rPr>
        <w:rFonts w:asciiTheme="minorHAnsi" w:eastAsia="Calibri" w:hAnsiTheme="minorHAnsi" w:cstheme="minorHAnsi"/>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2734D58"/>
    <w:multiLevelType w:val="multilevel"/>
    <w:tmpl w:val="0F5A555C"/>
    <w:numStyleLink w:val="BulletListStyleRed-IPR"/>
  </w:abstractNum>
  <w:abstractNum w:abstractNumId="6" w15:restartNumberingAfterBreak="0">
    <w:nsid w:val="28C97496"/>
    <w:multiLevelType w:val="hybridMultilevel"/>
    <w:tmpl w:val="3B4A10E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DFB22ED"/>
    <w:multiLevelType w:val="hybridMultilevel"/>
    <w:tmpl w:val="311EC854"/>
    <w:lvl w:ilvl="0" w:tplc="8A207E7E">
      <w:start w:val="1"/>
      <w:numFmt w:val="bullet"/>
      <w:lvlText w:val=""/>
      <w:lvlJc w:val="left"/>
      <w:pPr>
        <w:ind w:left="720" w:hanging="360"/>
      </w:pPr>
      <w:rPr>
        <w:rFonts w:ascii="Symbol" w:hAnsi="Symbol" w:hint="default"/>
      </w:rPr>
    </w:lvl>
    <w:lvl w:ilvl="1" w:tplc="1CA2DF9A">
      <w:start w:val="1"/>
      <w:numFmt w:val="bullet"/>
      <w:lvlText w:val="o"/>
      <w:lvlJc w:val="left"/>
      <w:pPr>
        <w:ind w:left="1440" w:hanging="360"/>
      </w:pPr>
      <w:rPr>
        <w:rFonts w:ascii="Courier New" w:hAnsi="Courier New" w:cs="Courier New" w:hint="default"/>
      </w:rPr>
    </w:lvl>
    <w:lvl w:ilvl="2" w:tplc="D076D096">
      <w:start w:val="1"/>
      <w:numFmt w:val="bullet"/>
      <w:lvlText w:val=""/>
      <w:lvlJc w:val="left"/>
      <w:pPr>
        <w:ind w:left="2160" w:hanging="360"/>
      </w:pPr>
      <w:rPr>
        <w:rFonts w:ascii="Wingdings" w:hAnsi="Wingdings" w:hint="default"/>
      </w:rPr>
    </w:lvl>
    <w:lvl w:ilvl="3" w:tplc="BA2CDD30">
      <w:start w:val="1"/>
      <w:numFmt w:val="bullet"/>
      <w:lvlText w:val=""/>
      <w:lvlJc w:val="left"/>
      <w:pPr>
        <w:ind w:left="2880" w:hanging="360"/>
      </w:pPr>
      <w:rPr>
        <w:rFonts w:ascii="Symbol" w:hAnsi="Symbol" w:hint="default"/>
      </w:rPr>
    </w:lvl>
    <w:lvl w:ilvl="4" w:tplc="FC0E655A">
      <w:start w:val="1"/>
      <w:numFmt w:val="bullet"/>
      <w:lvlText w:val="o"/>
      <w:lvlJc w:val="left"/>
      <w:pPr>
        <w:ind w:left="3600" w:hanging="360"/>
      </w:pPr>
      <w:rPr>
        <w:rFonts w:ascii="Courier New" w:hAnsi="Courier New" w:cs="Courier New" w:hint="default"/>
      </w:rPr>
    </w:lvl>
    <w:lvl w:ilvl="5" w:tplc="A9883B34">
      <w:start w:val="1"/>
      <w:numFmt w:val="bullet"/>
      <w:lvlText w:val=""/>
      <w:lvlJc w:val="left"/>
      <w:pPr>
        <w:ind w:left="4320" w:hanging="360"/>
      </w:pPr>
      <w:rPr>
        <w:rFonts w:ascii="Wingdings" w:hAnsi="Wingdings" w:hint="default"/>
      </w:rPr>
    </w:lvl>
    <w:lvl w:ilvl="6" w:tplc="93EAECCE">
      <w:start w:val="1"/>
      <w:numFmt w:val="bullet"/>
      <w:lvlText w:val=""/>
      <w:lvlJc w:val="left"/>
      <w:pPr>
        <w:ind w:left="5040" w:hanging="360"/>
      </w:pPr>
      <w:rPr>
        <w:rFonts w:ascii="Symbol" w:hAnsi="Symbol" w:hint="default"/>
      </w:rPr>
    </w:lvl>
    <w:lvl w:ilvl="7" w:tplc="36A85488">
      <w:start w:val="1"/>
      <w:numFmt w:val="bullet"/>
      <w:lvlText w:val="o"/>
      <w:lvlJc w:val="left"/>
      <w:pPr>
        <w:ind w:left="5760" w:hanging="360"/>
      </w:pPr>
      <w:rPr>
        <w:rFonts w:ascii="Courier New" w:hAnsi="Courier New" w:cs="Courier New" w:hint="default"/>
      </w:rPr>
    </w:lvl>
    <w:lvl w:ilvl="8" w:tplc="7D8CDF90">
      <w:start w:val="1"/>
      <w:numFmt w:val="bullet"/>
      <w:lvlText w:val=""/>
      <w:lvlJc w:val="left"/>
      <w:pPr>
        <w:ind w:left="6480" w:hanging="360"/>
      </w:pPr>
      <w:rPr>
        <w:rFonts w:ascii="Wingdings" w:hAnsi="Wingdings" w:hint="default"/>
      </w:rPr>
    </w:lvl>
  </w:abstractNum>
  <w:abstractNum w:abstractNumId="8" w15:restartNumberingAfterBreak="0">
    <w:nsid w:val="2F5E659F"/>
    <w:multiLevelType w:val="hybridMultilevel"/>
    <w:tmpl w:val="BE4048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6D70FAE"/>
    <w:multiLevelType w:val="multilevel"/>
    <w:tmpl w:val="909C41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BA455BD"/>
    <w:multiLevelType w:val="hybridMultilevel"/>
    <w:tmpl w:val="F614F6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3BA9733E"/>
    <w:multiLevelType w:val="hybridMultilevel"/>
    <w:tmpl w:val="FDA42474"/>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3B6726F"/>
    <w:multiLevelType w:val="hybridMultilevel"/>
    <w:tmpl w:val="2312B590"/>
    <w:lvl w:ilvl="0" w:tplc="1F30D010">
      <w:start w:val="1"/>
      <w:numFmt w:val="bullet"/>
      <w:pStyle w:val="Bullets12ptCalibri-IPR"/>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4DA2317"/>
    <w:multiLevelType w:val="hybridMultilevel"/>
    <w:tmpl w:val="A3F6BD28"/>
    <w:lvl w:ilvl="0" w:tplc="04090003">
      <w:start w:val="1"/>
      <w:numFmt w:val="bullet"/>
      <w:lvlText w:val="o"/>
      <w:lvlJc w:val="left"/>
      <w:pPr>
        <w:ind w:left="360" w:hanging="360"/>
      </w:pPr>
      <w:rPr>
        <w:rFonts w:ascii="Courier New" w:hAnsi="Courier New"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8290784"/>
    <w:multiLevelType w:val="hybridMultilevel"/>
    <w:tmpl w:val="718C881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33D5B8E"/>
    <w:multiLevelType w:val="hybridMultilevel"/>
    <w:tmpl w:val="394A180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6AC30BEE"/>
    <w:multiLevelType w:val="hybridMultilevel"/>
    <w:tmpl w:val="C0B2FE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BA852C3"/>
    <w:multiLevelType w:val="hybridMultilevel"/>
    <w:tmpl w:val="085C0BC8"/>
    <w:lvl w:ilvl="0" w:tplc="79B0D2CC">
      <w:start w:val="1"/>
      <w:numFmt w:val="decimal"/>
      <w:pStyle w:val="Numbers12ptCalibri-IP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6EE8786D"/>
    <w:multiLevelType w:val="hybridMultilevel"/>
    <w:tmpl w:val="6C22C2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D5447D7"/>
    <w:multiLevelType w:val="hybridMultilevel"/>
    <w:tmpl w:val="ABCE9456"/>
    <w:lvl w:ilvl="0" w:tplc="6FD01FF6">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2"/>
  </w:num>
  <w:num w:numId="2">
    <w:abstractNumId w:val="7"/>
  </w:num>
  <w:num w:numId="3">
    <w:abstractNumId w:val="0"/>
  </w:num>
  <w:num w:numId="4">
    <w:abstractNumId w:val="5"/>
    <w:lvlOverride w:ilvl="0">
      <w:lvl w:ilvl="0">
        <w:start w:val="1"/>
        <w:numFmt w:val="bullet"/>
        <w:pStyle w:val="BulletsRed-IPR"/>
        <w:lvlText w:val=""/>
        <w:lvlJc w:val="left"/>
        <w:pPr>
          <w:ind w:left="720" w:hanging="360"/>
        </w:pPr>
        <w:rPr>
          <w:rFonts w:ascii="Wingdings 3" w:hAnsi="Wingdings 3" w:hint="default"/>
          <w:color w:val="B12732"/>
        </w:rPr>
      </w:lvl>
    </w:lvlOverride>
    <w:lvlOverride w:ilvl="1">
      <w:lvl w:ilvl="1">
        <w:start w:val="1"/>
        <w:numFmt w:val="bullet"/>
        <w:lvlText w:val="▪"/>
        <w:lvlJc w:val="left"/>
        <w:pPr>
          <w:ind w:left="1080" w:hanging="360"/>
        </w:pPr>
        <w:rPr>
          <w:rFonts w:ascii="Courier New" w:hAnsi="Courier New" w:hint="default"/>
          <w:color w:val="B12732"/>
        </w:rPr>
      </w:lvl>
    </w:lvlOverride>
    <w:lvlOverride w:ilvl="2">
      <w:lvl w:ilvl="2">
        <w:start w:val="1"/>
        <w:numFmt w:val="bullet"/>
        <w:lvlText w:val=""/>
        <w:lvlJc w:val="left"/>
        <w:pPr>
          <w:ind w:left="1440" w:hanging="360"/>
        </w:pPr>
        <w:rPr>
          <w:rFonts w:ascii="Symbol" w:hAnsi="Symbol" w:hint="default"/>
          <w:color w:val="B12732"/>
        </w:rPr>
      </w:lvl>
    </w:lvlOverride>
  </w:num>
  <w:num w:numId="5">
    <w:abstractNumId w:val="5"/>
  </w:num>
  <w:num w:numId="6">
    <w:abstractNumId w:val="10"/>
  </w:num>
  <w:num w:numId="7">
    <w:abstractNumId w:val="16"/>
  </w:num>
  <w:num w:numId="8">
    <w:abstractNumId w:val="8"/>
  </w:num>
  <w:num w:numId="9">
    <w:abstractNumId w:val="15"/>
  </w:num>
  <w:num w:numId="10">
    <w:abstractNumId w:val="17"/>
  </w:num>
  <w:num w:numId="11">
    <w:abstractNumId w:val="4"/>
  </w:num>
  <w:num w:numId="12">
    <w:abstractNumId w:val="18"/>
  </w:num>
  <w:num w:numId="13">
    <w:abstractNumId w:val="1"/>
  </w:num>
  <w:num w:numId="14">
    <w:abstractNumId w:val="13"/>
  </w:num>
  <w:num w:numId="15">
    <w:abstractNumId w:val="11"/>
  </w:num>
  <w:num w:numId="16">
    <w:abstractNumId w:val="19"/>
  </w:num>
  <w:num w:numId="17">
    <w:abstractNumId w:val="6"/>
  </w:num>
  <w:num w:numId="18">
    <w:abstractNumId w:val="2"/>
  </w:num>
  <w:num w:numId="19">
    <w:abstractNumId w:val="9"/>
  </w:num>
  <w:num w:numId="20">
    <w:abstractNumId w:val="14"/>
  </w:num>
  <w:num w:numId="2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C9"/>
    <w:rsid w:val="000032FB"/>
    <w:rsid w:val="00006B85"/>
    <w:rsid w:val="000074D6"/>
    <w:rsid w:val="00015EF7"/>
    <w:rsid w:val="00022783"/>
    <w:rsid w:val="00025584"/>
    <w:rsid w:val="00031880"/>
    <w:rsid w:val="00041ABC"/>
    <w:rsid w:val="000439DB"/>
    <w:rsid w:val="00050874"/>
    <w:rsid w:val="000535FC"/>
    <w:rsid w:val="00056A27"/>
    <w:rsid w:val="00057A5E"/>
    <w:rsid w:val="0006045B"/>
    <w:rsid w:val="00066FB1"/>
    <w:rsid w:val="0008089C"/>
    <w:rsid w:val="00085E9D"/>
    <w:rsid w:val="000905E6"/>
    <w:rsid w:val="00091BCF"/>
    <w:rsid w:val="000944DE"/>
    <w:rsid w:val="00094980"/>
    <w:rsid w:val="00095980"/>
    <w:rsid w:val="000A20D6"/>
    <w:rsid w:val="000A535F"/>
    <w:rsid w:val="000B0E84"/>
    <w:rsid w:val="000C268E"/>
    <w:rsid w:val="000C343A"/>
    <w:rsid w:val="000C599E"/>
    <w:rsid w:val="000D55B4"/>
    <w:rsid w:val="000D5DDA"/>
    <w:rsid w:val="000E5A7E"/>
    <w:rsid w:val="00103DA6"/>
    <w:rsid w:val="0010452A"/>
    <w:rsid w:val="00105B6D"/>
    <w:rsid w:val="00106886"/>
    <w:rsid w:val="001243F1"/>
    <w:rsid w:val="00140DE8"/>
    <w:rsid w:val="00150990"/>
    <w:rsid w:val="00154667"/>
    <w:rsid w:val="00157F9A"/>
    <w:rsid w:val="00167462"/>
    <w:rsid w:val="001774C5"/>
    <w:rsid w:val="00180870"/>
    <w:rsid w:val="00180F90"/>
    <w:rsid w:val="00184D21"/>
    <w:rsid w:val="00192CE4"/>
    <w:rsid w:val="00193C22"/>
    <w:rsid w:val="001A4370"/>
    <w:rsid w:val="001A718C"/>
    <w:rsid w:val="001B7667"/>
    <w:rsid w:val="001D06C9"/>
    <w:rsid w:val="001D1328"/>
    <w:rsid w:val="001E55DA"/>
    <w:rsid w:val="001F51E0"/>
    <w:rsid w:val="002013B0"/>
    <w:rsid w:val="00201826"/>
    <w:rsid w:val="002024C2"/>
    <w:rsid w:val="00213F2C"/>
    <w:rsid w:val="00214207"/>
    <w:rsid w:val="00217A88"/>
    <w:rsid w:val="00220572"/>
    <w:rsid w:val="00222519"/>
    <w:rsid w:val="00223D47"/>
    <w:rsid w:val="002243CD"/>
    <w:rsid w:val="00233134"/>
    <w:rsid w:val="00233D3A"/>
    <w:rsid w:val="00245C3B"/>
    <w:rsid w:val="0024621F"/>
    <w:rsid w:val="0026341E"/>
    <w:rsid w:val="00274BE6"/>
    <w:rsid w:val="002769F9"/>
    <w:rsid w:val="00286567"/>
    <w:rsid w:val="002870CE"/>
    <w:rsid w:val="00292D8F"/>
    <w:rsid w:val="002A2525"/>
    <w:rsid w:val="002A40A7"/>
    <w:rsid w:val="002A7006"/>
    <w:rsid w:val="002C0A71"/>
    <w:rsid w:val="002C204D"/>
    <w:rsid w:val="002D5DC0"/>
    <w:rsid w:val="002D7EE1"/>
    <w:rsid w:val="002E5BB4"/>
    <w:rsid w:val="00307E44"/>
    <w:rsid w:val="00316576"/>
    <w:rsid w:val="0033059B"/>
    <w:rsid w:val="00337FBE"/>
    <w:rsid w:val="00342159"/>
    <w:rsid w:val="00342FCE"/>
    <w:rsid w:val="00343012"/>
    <w:rsid w:val="00344418"/>
    <w:rsid w:val="00357E07"/>
    <w:rsid w:val="0036088C"/>
    <w:rsid w:val="00370B9E"/>
    <w:rsid w:val="00377AE2"/>
    <w:rsid w:val="003848AE"/>
    <w:rsid w:val="00387759"/>
    <w:rsid w:val="003975A3"/>
    <w:rsid w:val="003A4443"/>
    <w:rsid w:val="003A52AF"/>
    <w:rsid w:val="003B2878"/>
    <w:rsid w:val="003B44A9"/>
    <w:rsid w:val="003B76CF"/>
    <w:rsid w:val="003F3DE0"/>
    <w:rsid w:val="003F5F36"/>
    <w:rsid w:val="003F6ABF"/>
    <w:rsid w:val="00405C52"/>
    <w:rsid w:val="00412F94"/>
    <w:rsid w:val="00424FFE"/>
    <w:rsid w:val="00437970"/>
    <w:rsid w:val="004419D1"/>
    <w:rsid w:val="0045608C"/>
    <w:rsid w:val="00457DE2"/>
    <w:rsid w:val="00461D72"/>
    <w:rsid w:val="0046319A"/>
    <w:rsid w:val="00464FBC"/>
    <w:rsid w:val="0046592D"/>
    <w:rsid w:val="00465E52"/>
    <w:rsid w:val="004716F5"/>
    <w:rsid w:val="004752CA"/>
    <w:rsid w:val="00483C2B"/>
    <w:rsid w:val="0049738B"/>
    <w:rsid w:val="004A15E5"/>
    <w:rsid w:val="004C4288"/>
    <w:rsid w:val="004C46B2"/>
    <w:rsid w:val="004C7073"/>
    <w:rsid w:val="004D20E7"/>
    <w:rsid w:val="004E2208"/>
    <w:rsid w:val="0051243F"/>
    <w:rsid w:val="00523A7B"/>
    <w:rsid w:val="00524EAB"/>
    <w:rsid w:val="00543E01"/>
    <w:rsid w:val="005466B8"/>
    <w:rsid w:val="0054693B"/>
    <w:rsid w:val="00546B21"/>
    <w:rsid w:val="00554295"/>
    <w:rsid w:val="0055573C"/>
    <w:rsid w:val="00560BD9"/>
    <w:rsid w:val="005652AD"/>
    <w:rsid w:val="005677D3"/>
    <w:rsid w:val="00572127"/>
    <w:rsid w:val="005808F7"/>
    <w:rsid w:val="00583918"/>
    <w:rsid w:val="0058534E"/>
    <w:rsid w:val="00587FD7"/>
    <w:rsid w:val="00597253"/>
    <w:rsid w:val="005A1B52"/>
    <w:rsid w:val="005A4C48"/>
    <w:rsid w:val="005A518A"/>
    <w:rsid w:val="005A5BE4"/>
    <w:rsid w:val="005A6D12"/>
    <w:rsid w:val="005B029C"/>
    <w:rsid w:val="005B1C00"/>
    <w:rsid w:val="005B40E6"/>
    <w:rsid w:val="005B7EC4"/>
    <w:rsid w:val="005C114E"/>
    <w:rsid w:val="005C7374"/>
    <w:rsid w:val="005D053F"/>
    <w:rsid w:val="005D2E22"/>
    <w:rsid w:val="005E27A4"/>
    <w:rsid w:val="005E30A9"/>
    <w:rsid w:val="005E5BF1"/>
    <w:rsid w:val="005E6325"/>
    <w:rsid w:val="005F56E2"/>
    <w:rsid w:val="005F6EC9"/>
    <w:rsid w:val="00602E26"/>
    <w:rsid w:val="00604B0B"/>
    <w:rsid w:val="00611037"/>
    <w:rsid w:val="006132D7"/>
    <w:rsid w:val="00622E11"/>
    <w:rsid w:val="006261C6"/>
    <w:rsid w:val="00632C8C"/>
    <w:rsid w:val="00637C59"/>
    <w:rsid w:val="00640502"/>
    <w:rsid w:val="0064333D"/>
    <w:rsid w:val="00645521"/>
    <w:rsid w:val="00645E06"/>
    <w:rsid w:val="0065398D"/>
    <w:rsid w:val="0065504A"/>
    <w:rsid w:val="00655289"/>
    <w:rsid w:val="00655AC3"/>
    <w:rsid w:val="00655F0F"/>
    <w:rsid w:val="0066120D"/>
    <w:rsid w:val="00672788"/>
    <w:rsid w:val="00680F13"/>
    <w:rsid w:val="0068374F"/>
    <w:rsid w:val="00683A9A"/>
    <w:rsid w:val="00683FBA"/>
    <w:rsid w:val="00686676"/>
    <w:rsid w:val="00687730"/>
    <w:rsid w:val="00690675"/>
    <w:rsid w:val="006A1760"/>
    <w:rsid w:val="006A245D"/>
    <w:rsid w:val="006B1EC4"/>
    <w:rsid w:val="006B6CA3"/>
    <w:rsid w:val="006C33CF"/>
    <w:rsid w:val="006D588F"/>
    <w:rsid w:val="006D7D55"/>
    <w:rsid w:val="006E3B76"/>
    <w:rsid w:val="006E3E9D"/>
    <w:rsid w:val="006F0CD4"/>
    <w:rsid w:val="007231A9"/>
    <w:rsid w:val="0073044E"/>
    <w:rsid w:val="00735D09"/>
    <w:rsid w:val="007366F4"/>
    <w:rsid w:val="0074727B"/>
    <w:rsid w:val="00755A77"/>
    <w:rsid w:val="007610E1"/>
    <w:rsid w:val="007621C0"/>
    <w:rsid w:val="00767918"/>
    <w:rsid w:val="00767BF5"/>
    <w:rsid w:val="00783026"/>
    <w:rsid w:val="00785120"/>
    <w:rsid w:val="00796DAC"/>
    <w:rsid w:val="007B4E60"/>
    <w:rsid w:val="007B5144"/>
    <w:rsid w:val="007C1016"/>
    <w:rsid w:val="007C2709"/>
    <w:rsid w:val="007C7EB1"/>
    <w:rsid w:val="007D0716"/>
    <w:rsid w:val="007D295A"/>
    <w:rsid w:val="007D4008"/>
    <w:rsid w:val="007D45E3"/>
    <w:rsid w:val="007E2FB9"/>
    <w:rsid w:val="007E7B97"/>
    <w:rsid w:val="007F064D"/>
    <w:rsid w:val="007F6891"/>
    <w:rsid w:val="008049E9"/>
    <w:rsid w:val="008067D5"/>
    <w:rsid w:val="00806958"/>
    <w:rsid w:val="00815C20"/>
    <w:rsid w:val="008258E0"/>
    <w:rsid w:val="00826609"/>
    <w:rsid w:val="00826C61"/>
    <w:rsid w:val="0083091F"/>
    <w:rsid w:val="00831013"/>
    <w:rsid w:val="00836D9B"/>
    <w:rsid w:val="00837C3B"/>
    <w:rsid w:val="00850F09"/>
    <w:rsid w:val="0085238D"/>
    <w:rsid w:val="00854AAC"/>
    <w:rsid w:val="00863BAC"/>
    <w:rsid w:val="008726E9"/>
    <w:rsid w:val="008834BC"/>
    <w:rsid w:val="008839C7"/>
    <w:rsid w:val="008A0BC1"/>
    <w:rsid w:val="008B2A5A"/>
    <w:rsid w:val="008B69F6"/>
    <w:rsid w:val="008C092C"/>
    <w:rsid w:val="008E1BE4"/>
    <w:rsid w:val="008E3467"/>
    <w:rsid w:val="008E4F3E"/>
    <w:rsid w:val="008F76C5"/>
    <w:rsid w:val="00906229"/>
    <w:rsid w:val="00907F6C"/>
    <w:rsid w:val="009224EF"/>
    <w:rsid w:val="0092549E"/>
    <w:rsid w:val="00944361"/>
    <w:rsid w:val="00947013"/>
    <w:rsid w:val="009470B0"/>
    <w:rsid w:val="00955D79"/>
    <w:rsid w:val="00956B49"/>
    <w:rsid w:val="00963826"/>
    <w:rsid w:val="00964744"/>
    <w:rsid w:val="009705DC"/>
    <w:rsid w:val="0097072A"/>
    <w:rsid w:val="009806B4"/>
    <w:rsid w:val="00981EFD"/>
    <w:rsid w:val="009854F7"/>
    <w:rsid w:val="009B5E01"/>
    <w:rsid w:val="009B6A8F"/>
    <w:rsid w:val="009C24D8"/>
    <w:rsid w:val="009C46AE"/>
    <w:rsid w:val="009C6CEC"/>
    <w:rsid w:val="009D0470"/>
    <w:rsid w:val="009D5AAB"/>
    <w:rsid w:val="009E6EBF"/>
    <w:rsid w:val="009F26D8"/>
    <w:rsid w:val="009F4196"/>
    <w:rsid w:val="009F5273"/>
    <w:rsid w:val="00A007BD"/>
    <w:rsid w:val="00A00C5B"/>
    <w:rsid w:val="00A0452F"/>
    <w:rsid w:val="00A12CD4"/>
    <w:rsid w:val="00A153E8"/>
    <w:rsid w:val="00A15B07"/>
    <w:rsid w:val="00A20272"/>
    <w:rsid w:val="00A32139"/>
    <w:rsid w:val="00A4061B"/>
    <w:rsid w:val="00A40C43"/>
    <w:rsid w:val="00A4541F"/>
    <w:rsid w:val="00A501EA"/>
    <w:rsid w:val="00A54997"/>
    <w:rsid w:val="00A71D2C"/>
    <w:rsid w:val="00A720EB"/>
    <w:rsid w:val="00A73E0B"/>
    <w:rsid w:val="00A75E7A"/>
    <w:rsid w:val="00A83607"/>
    <w:rsid w:val="00A847F9"/>
    <w:rsid w:val="00A85C83"/>
    <w:rsid w:val="00A8713E"/>
    <w:rsid w:val="00A93BA0"/>
    <w:rsid w:val="00A95CBE"/>
    <w:rsid w:val="00A96970"/>
    <w:rsid w:val="00A97107"/>
    <w:rsid w:val="00AA3AB9"/>
    <w:rsid w:val="00AA6C7F"/>
    <w:rsid w:val="00AB4D40"/>
    <w:rsid w:val="00AB5B7C"/>
    <w:rsid w:val="00AD529F"/>
    <w:rsid w:val="00AD77F0"/>
    <w:rsid w:val="00B04299"/>
    <w:rsid w:val="00B260E9"/>
    <w:rsid w:val="00B323F5"/>
    <w:rsid w:val="00B44DEC"/>
    <w:rsid w:val="00B5008B"/>
    <w:rsid w:val="00B64580"/>
    <w:rsid w:val="00B73128"/>
    <w:rsid w:val="00B74561"/>
    <w:rsid w:val="00B9462E"/>
    <w:rsid w:val="00B95E66"/>
    <w:rsid w:val="00BA21D7"/>
    <w:rsid w:val="00BB4A35"/>
    <w:rsid w:val="00BB6A4A"/>
    <w:rsid w:val="00BB71EC"/>
    <w:rsid w:val="00BD1072"/>
    <w:rsid w:val="00BE0B38"/>
    <w:rsid w:val="00BE1680"/>
    <w:rsid w:val="00BE6717"/>
    <w:rsid w:val="00BE7921"/>
    <w:rsid w:val="00BF49D6"/>
    <w:rsid w:val="00BF6B65"/>
    <w:rsid w:val="00C0229B"/>
    <w:rsid w:val="00C02C79"/>
    <w:rsid w:val="00C06DA3"/>
    <w:rsid w:val="00C072DC"/>
    <w:rsid w:val="00C104A5"/>
    <w:rsid w:val="00C118A6"/>
    <w:rsid w:val="00C135E5"/>
    <w:rsid w:val="00C22BA8"/>
    <w:rsid w:val="00C2634B"/>
    <w:rsid w:val="00C3011D"/>
    <w:rsid w:val="00C358F9"/>
    <w:rsid w:val="00C47722"/>
    <w:rsid w:val="00C51F63"/>
    <w:rsid w:val="00C537CB"/>
    <w:rsid w:val="00C66D54"/>
    <w:rsid w:val="00C672ED"/>
    <w:rsid w:val="00C71148"/>
    <w:rsid w:val="00C91B1C"/>
    <w:rsid w:val="00C976FD"/>
    <w:rsid w:val="00CA4D44"/>
    <w:rsid w:val="00CC0F20"/>
    <w:rsid w:val="00CC28DB"/>
    <w:rsid w:val="00CC4240"/>
    <w:rsid w:val="00CC4350"/>
    <w:rsid w:val="00CC63BF"/>
    <w:rsid w:val="00CD1CEC"/>
    <w:rsid w:val="00CD3307"/>
    <w:rsid w:val="00CD3C6B"/>
    <w:rsid w:val="00CD6024"/>
    <w:rsid w:val="00CD7EAB"/>
    <w:rsid w:val="00CE454B"/>
    <w:rsid w:val="00CF2F78"/>
    <w:rsid w:val="00D06273"/>
    <w:rsid w:val="00D2236C"/>
    <w:rsid w:val="00D40062"/>
    <w:rsid w:val="00D44B66"/>
    <w:rsid w:val="00D55F03"/>
    <w:rsid w:val="00D606C2"/>
    <w:rsid w:val="00D61AC4"/>
    <w:rsid w:val="00D65C55"/>
    <w:rsid w:val="00D7376A"/>
    <w:rsid w:val="00D740FB"/>
    <w:rsid w:val="00D854E5"/>
    <w:rsid w:val="00D90C43"/>
    <w:rsid w:val="00D93F4A"/>
    <w:rsid w:val="00DB43A9"/>
    <w:rsid w:val="00DB751C"/>
    <w:rsid w:val="00DC77D9"/>
    <w:rsid w:val="00DC7937"/>
    <w:rsid w:val="00DD1277"/>
    <w:rsid w:val="00DD5C95"/>
    <w:rsid w:val="00DE35A2"/>
    <w:rsid w:val="00DE429B"/>
    <w:rsid w:val="00E020E6"/>
    <w:rsid w:val="00E10344"/>
    <w:rsid w:val="00E21814"/>
    <w:rsid w:val="00E313FA"/>
    <w:rsid w:val="00E34043"/>
    <w:rsid w:val="00E3496D"/>
    <w:rsid w:val="00E40225"/>
    <w:rsid w:val="00E43952"/>
    <w:rsid w:val="00E44EE1"/>
    <w:rsid w:val="00E508DB"/>
    <w:rsid w:val="00E529A9"/>
    <w:rsid w:val="00E60BF9"/>
    <w:rsid w:val="00E66088"/>
    <w:rsid w:val="00E66644"/>
    <w:rsid w:val="00E67658"/>
    <w:rsid w:val="00E71D37"/>
    <w:rsid w:val="00E72008"/>
    <w:rsid w:val="00E74D5C"/>
    <w:rsid w:val="00E85FDF"/>
    <w:rsid w:val="00E95448"/>
    <w:rsid w:val="00EA01E6"/>
    <w:rsid w:val="00EA434F"/>
    <w:rsid w:val="00EA4E1C"/>
    <w:rsid w:val="00EA6F50"/>
    <w:rsid w:val="00EB4241"/>
    <w:rsid w:val="00EB4944"/>
    <w:rsid w:val="00EB54CD"/>
    <w:rsid w:val="00EC3C2A"/>
    <w:rsid w:val="00ED38FD"/>
    <w:rsid w:val="00EE067F"/>
    <w:rsid w:val="00EE1F2D"/>
    <w:rsid w:val="00EE308C"/>
    <w:rsid w:val="00EE7FE9"/>
    <w:rsid w:val="00EF4922"/>
    <w:rsid w:val="00F03166"/>
    <w:rsid w:val="00F03229"/>
    <w:rsid w:val="00F04ECE"/>
    <w:rsid w:val="00F07B13"/>
    <w:rsid w:val="00F10E3E"/>
    <w:rsid w:val="00F16E5B"/>
    <w:rsid w:val="00F21F6A"/>
    <w:rsid w:val="00F22F60"/>
    <w:rsid w:val="00F245DC"/>
    <w:rsid w:val="00F503EF"/>
    <w:rsid w:val="00F57631"/>
    <w:rsid w:val="00F65B6D"/>
    <w:rsid w:val="00F65D0C"/>
    <w:rsid w:val="00F70390"/>
    <w:rsid w:val="00F70CB2"/>
    <w:rsid w:val="00F721F7"/>
    <w:rsid w:val="00F7287F"/>
    <w:rsid w:val="00F82D9E"/>
    <w:rsid w:val="00F90B66"/>
    <w:rsid w:val="00FA1BCA"/>
    <w:rsid w:val="00FB2B2D"/>
    <w:rsid w:val="00FB3C39"/>
    <w:rsid w:val="00FB4DD3"/>
    <w:rsid w:val="00FB60F2"/>
    <w:rsid w:val="00FD005B"/>
    <w:rsid w:val="00FD0751"/>
    <w:rsid w:val="00FD1026"/>
    <w:rsid w:val="00FE46AC"/>
    <w:rsid w:val="00FF408C"/>
    <w:rsid w:val="00FF61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97A7E6"/>
  <w15:chartTrackingRefBased/>
  <w15:docId w15:val="{C9343B64-519F-4C53-B140-30FDBB99C4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7EE1"/>
    <w:pPr>
      <w:spacing w:after="0" w:line="276" w:lineRule="auto"/>
    </w:pPr>
    <w:rPr>
      <w:rFonts w:ascii="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dng1Report-IPR">
    <w:name w:val="Hdng1Report-IPR"/>
    <w:link w:val="Hdng1Report-IPRChar"/>
    <w:qFormat/>
    <w:rsid w:val="00BB4A35"/>
    <w:pPr>
      <w:keepNext/>
      <w:spacing w:after="240" w:line="240" w:lineRule="auto"/>
      <w:outlineLvl w:val="0"/>
    </w:pPr>
    <w:rPr>
      <w:rFonts w:ascii="Arial" w:eastAsia="Calibri" w:hAnsi="Arial" w:cs="Arial"/>
      <w:b/>
      <w:bCs/>
      <w:caps/>
      <w:color w:val="B80000"/>
      <w:sz w:val="28"/>
      <w:szCs w:val="28"/>
    </w:rPr>
  </w:style>
  <w:style w:type="character" w:customStyle="1" w:styleId="Hdng1Report-IPRChar">
    <w:name w:val="Hdng1Report-IPR Char"/>
    <w:basedOn w:val="DefaultParagraphFont"/>
    <w:link w:val="Hdng1Report-IPR"/>
    <w:rsid w:val="00BB4A35"/>
    <w:rPr>
      <w:rFonts w:ascii="Arial" w:eastAsia="Calibri" w:hAnsi="Arial" w:cs="Arial"/>
      <w:b/>
      <w:bCs/>
      <w:caps/>
      <w:color w:val="B80000"/>
      <w:sz w:val="28"/>
      <w:szCs w:val="28"/>
    </w:rPr>
  </w:style>
  <w:style w:type="paragraph" w:customStyle="1" w:styleId="Body12ptCalibri-IPR">
    <w:name w:val="Body12ptCalibri-IPR"/>
    <w:link w:val="Body12ptCalibri-IPRChar"/>
    <w:qFormat/>
    <w:rsid w:val="00BB4A35"/>
    <w:pPr>
      <w:autoSpaceDE w:val="0"/>
      <w:autoSpaceDN w:val="0"/>
      <w:adjustRightInd w:val="0"/>
      <w:spacing w:after="0" w:line="480" w:lineRule="auto"/>
      <w:ind w:firstLine="720"/>
      <w:jc w:val="both"/>
    </w:pPr>
    <w:rPr>
      <w:rFonts w:eastAsia="Calibri" w:cs="Times New Roman"/>
      <w:sz w:val="24"/>
    </w:rPr>
  </w:style>
  <w:style w:type="character" w:customStyle="1" w:styleId="Body12ptCalibri-IPRChar">
    <w:name w:val="Body12ptCalibri-IPR Char"/>
    <w:link w:val="Body12ptCalibri-IPR"/>
    <w:rsid w:val="00BB4A35"/>
    <w:rPr>
      <w:rFonts w:eastAsia="Calibri" w:cs="Times New Roman"/>
      <w:sz w:val="24"/>
    </w:rPr>
  </w:style>
  <w:style w:type="paragraph" w:customStyle="1" w:styleId="Hdng2-IPR">
    <w:name w:val="Hdng2-IPR"/>
    <w:link w:val="Hdng2-IPRChar"/>
    <w:qFormat/>
    <w:rsid w:val="00BB4A35"/>
    <w:pPr>
      <w:keepNext/>
      <w:spacing w:after="240" w:line="240" w:lineRule="auto"/>
      <w:ind w:left="720" w:hanging="720"/>
      <w:outlineLvl w:val="1"/>
    </w:pPr>
    <w:rPr>
      <w:rFonts w:ascii="Arial Bold" w:eastAsia="Calibri" w:hAnsi="Arial Bold" w:cs="Arial"/>
      <w:b/>
      <w:caps/>
      <w:color w:val="44546A" w:themeColor="text2"/>
      <w:sz w:val="24"/>
      <w:szCs w:val="24"/>
    </w:rPr>
  </w:style>
  <w:style w:type="character" w:customStyle="1" w:styleId="Hdng2-IPRChar">
    <w:name w:val="Hdng2-IPR Char"/>
    <w:basedOn w:val="DefaultParagraphFont"/>
    <w:link w:val="Hdng2-IPR"/>
    <w:rsid w:val="00BB4A35"/>
    <w:rPr>
      <w:rFonts w:ascii="Arial Bold" w:eastAsia="Calibri" w:hAnsi="Arial Bold" w:cs="Arial"/>
      <w:b/>
      <w:caps/>
      <w:color w:val="44546A" w:themeColor="text2"/>
      <w:sz w:val="24"/>
      <w:szCs w:val="24"/>
    </w:rPr>
  </w:style>
  <w:style w:type="paragraph" w:customStyle="1" w:styleId="OMBRequirementCalibri">
    <w:name w:val="OMB RequirementCalibri"/>
    <w:qFormat/>
    <w:rsid w:val="00BB4A35"/>
    <w:pPr>
      <w:spacing w:after="240" w:line="240" w:lineRule="auto"/>
    </w:pPr>
    <w:rPr>
      <w:rFonts w:eastAsia="Times New Roman" w:cs="Calibri"/>
      <w:b/>
      <w:sz w:val="24"/>
      <w:szCs w:val="24"/>
    </w:rPr>
  </w:style>
  <w:style w:type="paragraph" w:styleId="BalloonText">
    <w:name w:val="Balloon Text"/>
    <w:basedOn w:val="Normal"/>
    <w:link w:val="BalloonTextChar"/>
    <w:uiPriority w:val="99"/>
    <w:semiHidden/>
    <w:unhideWhenUsed/>
    <w:rsid w:val="009854F7"/>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54F7"/>
    <w:rPr>
      <w:rFonts w:ascii="Segoe UI" w:hAnsi="Segoe UI" w:cs="Segoe UI"/>
      <w:sz w:val="18"/>
      <w:szCs w:val="18"/>
    </w:rPr>
  </w:style>
  <w:style w:type="character" w:styleId="CommentReference">
    <w:name w:val="annotation reference"/>
    <w:basedOn w:val="DefaultParagraphFont"/>
    <w:uiPriority w:val="99"/>
    <w:semiHidden/>
    <w:unhideWhenUsed/>
    <w:rsid w:val="00F57631"/>
    <w:rPr>
      <w:sz w:val="16"/>
      <w:szCs w:val="16"/>
    </w:rPr>
  </w:style>
  <w:style w:type="paragraph" w:styleId="CommentText">
    <w:name w:val="annotation text"/>
    <w:basedOn w:val="Normal"/>
    <w:link w:val="CommentTextChar"/>
    <w:uiPriority w:val="99"/>
    <w:unhideWhenUsed/>
    <w:rsid w:val="00F57631"/>
    <w:pPr>
      <w:spacing w:after="160" w:line="240" w:lineRule="auto"/>
    </w:pPr>
    <w:rPr>
      <w:rFonts w:asciiTheme="minorHAnsi" w:hAnsiTheme="minorHAnsi" w:cstheme="minorBidi"/>
      <w:sz w:val="20"/>
      <w:szCs w:val="20"/>
    </w:rPr>
  </w:style>
  <w:style w:type="character" w:customStyle="1" w:styleId="CommentTextChar">
    <w:name w:val="Comment Text Char"/>
    <w:basedOn w:val="DefaultParagraphFont"/>
    <w:link w:val="CommentText"/>
    <w:uiPriority w:val="99"/>
    <w:rsid w:val="00F57631"/>
    <w:rPr>
      <w:sz w:val="20"/>
      <w:szCs w:val="20"/>
    </w:rPr>
  </w:style>
  <w:style w:type="paragraph" w:styleId="CommentSubject">
    <w:name w:val="annotation subject"/>
    <w:basedOn w:val="CommentText"/>
    <w:next w:val="CommentText"/>
    <w:link w:val="CommentSubjectChar"/>
    <w:uiPriority w:val="99"/>
    <w:semiHidden/>
    <w:unhideWhenUsed/>
    <w:rsid w:val="00F57631"/>
    <w:rPr>
      <w:b/>
      <w:bCs/>
    </w:rPr>
  </w:style>
  <w:style w:type="character" w:customStyle="1" w:styleId="CommentSubjectChar">
    <w:name w:val="Comment Subject Char"/>
    <w:basedOn w:val="CommentTextChar"/>
    <w:link w:val="CommentSubject"/>
    <w:uiPriority w:val="99"/>
    <w:semiHidden/>
    <w:rsid w:val="00F57631"/>
    <w:rPr>
      <w:b/>
      <w:bCs/>
      <w:sz w:val="20"/>
      <w:szCs w:val="20"/>
    </w:rPr>
  </w:style>
  <w:style w:type="paragraph" w:customStyle="1" w:styleId="Bullets12ptCalibri-IPR">
    <w:name w:val="Bullets12ptCalibri-IPR"/>
    <w:link w:val="Bullets12ptCalibri-IPRChar"/>
    <w:qFormat/>
    <w:rsid w:val="00F57631"/>
    <w:pPr>
      <w:numPr>
        <w:numId w:val="1"/>
      </w:numPr>
      <w:spacing w:after="240" w:line="240" w:lineRule="auto"/>
    </w:pPr>
    <w:rPr>
      <w:rFonts w:ascii="Calibri" w:hAnsi="Calibri"/>
      <w:sz w:val="24"/>
      <w:szCs w:val="24"/>
    </w:rPr>
  </w:style>
  <w:style w:type="character" w:customStyle="1" w:styleId="Bullets12ptCalibri-IPRChar">
    <w:name w:val="Bullets12ptCalibri-IPR Char"/>
    <w:basedOn w:val="DefaultParagraphFont"/>
    <w:link w:val="Bullets12ptCalibri-IPR"/>
    <w:rsid w:val="00F57631"/>
    <w:rPr>
      <w:rFonts w:ascii="Calibri" w:hAnsi="Calibri"/>
      <w:sz w:val="24"/>
      <w:szCs w:val="24"/>
    </w:rPr>
  </w:style>
  <w:style w:type="paragraph" w:customStyle="1" w:styleId="TableTitle">
    <w:name w:val="Table Title"/>
    <w:next w:val="Normal"/>
    <w:qFormat/>
    <w:rsid w:val="002D7EE1"/>
    <w:pPr>
      <w:keepNext/>
      <w:keepLines/>
      <w:spacing w:after="0" w:line="240" w:lineRule="auto"/>
      <w:jc w:val="center"/>
    </w:pPr>
    <w:rPr>
      <w:rFonts w:ascii="Calibri" w:eastAsia="Times New Roman" w:hAnsi="Calibri" w:cs="Calibri"/>
      <w:b/>
      <w:bCs/>
      <w:sz w:val="24"/>
      <w:szCs w:val="24"/>
    </w:rPr>
  </w:style>
  <w:style w:type="table" w:styleId="LightShading">
    <w:name w:val="Light Shading"/>
    <w:basedOn w:val="TableNormal"/>
    <w:uiPriority w:val="60"/>
    <w:rsid w:val="002D7EE1"/>
    <w:pPr>
      <w:spacing w:after="0" w:line="240" w:lineRule="auto"/>
    </w:pPr>
    <w:rPr>
      <w:rFonts w:ascii="Times New Roman" w:hAnsi="Times New Roman" w:cs="Times New Roman"/>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TableText-IPR">
    <w:name w:val="TableText-IPR"/>
    <w:link w:val="TableText-IPRChar"/>
    <w:qFormat/>
    <w:rsid w:val="002D7EE1"/>
    <w:pPr>
      <w:spacing w:after="0" w:line="240" w:lineRule="auto"/>
    </w:pPr>
    <w:rPr>
      <w:rFonts w:ascii="Calibri" w:eastAsiaTheme="minorEastAsia" w:hAnsi="Calibri" w:cs="Times New Roman"/>
      <w:sz w:val="20"/>
      <w:szCs w:val="20"/>
    </w:rPr>
  </w:style>
  <w:style w:type="character" w:customStyle="1" w:styleId="TableText-IPRChar">
    <w:name w:val="TableText-IPR Char"/>
    <w:basedOn w:val="DefaultParagraphFont"/>
    <w:link w:val="TableText-IPR"/>
    <w:rsid w:val="002D7EE1"/>
    <w:rPr>
      <w:rFonts w:ascii="Calibri" w:eastAsiaTheme="minorEastAsia" w:hAnsi="Calibri" w:cs="Times New Roman"/>
      <w:sz w:val="20"/>
      <w:szCs w:val="20"/>
    </w:rPr>
  </w:style>
  <w:style w:type="paragraph" w:customStyle="1" w:styleId="BodyCenteredNoSpaceAfter-IPR">
    <w:name w:val="BodyCenteredNoSpaceAfter-IPR"/>
    <w:link w:val="BodyCenteredNoSpaceAfter-IPRChar"/>
    <w:qFormat/>
    <w:rsid w:val="002D7EE1"/>
    <w:pPr>
      <w:spacing w:after="0" w:line="240" w:lineRule="auto"/>
      <w:jc w:val="center"/>
    </w:pPr>
    <w:rPr>
      <w:rFonts w:ascii="Times New Roman" w:eastAsia="Times New Roman" w:hAnsi="Times New Roman" w:cs="Times New Roman"/>
      <w:sz w:val="24"/>
      <w:szCs w:val="24"/>
    </w:rPr>
  </w:style>
  <w:style w:type="character" w:customStyle="1" w:styleId="BodyCenteredNoSpaceAfter-IPRChar">
    <w:name w:val="BodyCenteredNoSpaceAfter-IPR Char"/>
    <w:basedOn w:val="DefaultParagraphFont"/>
    <w:link w:val="BodyCenteredNoSpaceAfter-IPR"/>
    <w:rsid w:val="002D7EE1"/>
    <w:rPr>
      <w:rFonts w:ascii="Times New Roman" w:eastAsia="Times New Roman" w:hAnsi="Times New Roman" w:cs="Times New Roman"/>
      <w:sz w:val="24"/>
      <w:szCs w:val="24"/>
    </w:rPr>
  </w:style>
  <w:style w:type="paragraph" w:customStyle="1" w:styleId="BodyText-IPR">
    <w:name w:val="BodyText-IPR"/>
    <w:link w:val="BodyText-IPRChar"/>
    <w:qFormat/>
    <w:rsid w:val="00F65B6D"/>
    <w:pPr>
      <w:spacing w:after="240" w:line="240" w:lineRule="auto"/>
    </w:pPr>
    <w:rPr>
      <w:rFonts w:ascii="Calibri" w:hAnsi="Calibri"/>
    </w:rPr>
  </w:style>
  <w:style w:type="character" w:customStyle="1" w:styleId="BodyText-IPRChar">
    <w:name w:val="BodyText-IPR Char"/>
    <w:basedOn w:val="DefaultParagraphFont"/>
    <w:link w:val="BodyText-IPR"/>
    <w:rsid w:val="00F65B6D"/>
    <w:rPr>
      <w:rFonts w:ascii="Calibri" w:hAnsi="Calibri"/>
    </w:rPr>
  </w:style>
  <w:style w:type="paragraph" w:styleId="ListParagraph">
    <w:name w:val="List Paragraph"/>
    <w:basedOn w:val="Normal"/>
    <w:link w:val="ListParagraphChar"/>
    <w:uiPriority w:val="34"/>
    <w:qFormat/>
    <w:rsid w:val="00F65B6D"/>
    <w:pPr>
      <w:spacing w:after="200"/>
      <w:ind w:left="720"/>
      <w:contextualSpacing/>
    </w:pPr>
    <w:rPr>
      <w:rFonts w:asciiTheme="minorHAnsi" w:hAnsiTheme="minorHAnsi" w:cstheme="minorBidi"/>
    </w:rPr>
  </w:style>
  <w:style w:type="character" w:customStyle="1" w:styleId="ListParagraphChar">
    <w:name w:val="List Paragraph Char"/>
    <w:basedOn w:val="DefaultParagraphFont"/>
    <w:link w:val="ListParagraph"/>
    <w:uiPriority w:val="34"/>
    <w:rsid w:val="00F65B6D"/>
  </w:style>
  <w:style w:type="paragraph" w:customStyle="1" w:styleId="BulletsRed-IPR">
    <w:name w:val="BulletsRed-IPR"/>
    <w:link w:val="BulletsRed-IPRChar"/>
    <w:qFormat/>
    <w:rsid w:val="00523A7B"/>
    <w:pPr>
      <w:numPr>
        <w:numId w:val="4"/>
      </w:numPr>
      <w:spacing w:after="120" w:line="240" w:lineRule="auto"/>
    </w:pPr>
    <w:rPr>
      <w:rFonts w:ascii="Calibri" w:hAnsi="Calibri" w:cs="Times New Roman"/>
      <w:szCs w:val="24"/>
    </w:rPr>
  </w:style>
  <w:style w:type="character" w:customStyle="1" w:styleId="BulletsRed-IPRChar">
    <w:name w:val="BulletsRed-IPR Char"/>
    <w:basedOn w:val="DefaultParagraphFont"/>
    <w:link w:val="BulletsRed-IPR"/>
    <w:rsid w:val="00523A7B"/>
    <w:rPr>
      <w:rFonts w:ascii="Calibri" w:hAnsi="Calibri" w:cs="Times New Roman"/>
      <w:szCs w:val="24"/>
    </w:rPr>
  </w:style>
  <w:style w:type="numbering" w:customStyle="1" w:styleId="BulletListStyleRed-IPR">
    <w:name w:val="BulletListStyleRed-IPR"/>
    <w:uiPriority w:val="99"/>
    <w:rsid w:val="00523A7B"/>
    <w:pPr>
      <w:numPr>
        <w:numId w:val="3"/>
      </w:numPr>
    </w:pPr>
  </w:style>
  <w:style w:type="character" w:styleId="Hyperlink">
    <w:name w:val="Hyperlink"/>
    <w:uiPriority w:val="99"/>
    <w:rsid w:val="00FB2B2D"/>
    <w:rPr>
      <w:color w:val="0000FF"/>
      <w:u w:val="single"/>
    </w:rPr>
  </w:style>
  <w:style w:type="paragraph" w:styleId="Revision">
    <w:name w:val="Revision"/>
    <w:hidden/>
    <w:uiPriority w:val="99"/>
    <w:semiHidden/>
    <w:rsid w:val="00F04ECE"/>
    <w:pPr>
      <w:spacing w:after="0" w:line="240" w:lineRule="auto"/>
    </w:pPr>
    <w:rPr>
      <w:rFonts w:ascii="Times New Roman" w:hAnsi="Times New Roman" w:cs="Times New Roman"/>
    </w:rPr>
  </w:style>
  <w:style w:type="paragraph" w:styleId="FootnoteText">
    <w:name w:val="footnote text"/>
    <w:basedOn w:val="Normal"/>
    <w:link w:val="FootnoteTextChar"/>
    <w:uiPriority w:val="99"/>
    <w:semiHidden/>
    <w:unhideWhenUsed/>
    <w:rsid w:val="00457DE2"/>
    <w:pPr>
      <w:spacing w:line="240" w:lineRule="auto"/>
    </w:pPr>
    <w:rPr>
      <w:sz w:val="20"/>
      <w:szCs w:val="20"/>
    </w:rPr>
  </w:style>
  <w:style w:type="character" w:customStyle="1" w:styleId="FootnoteTextChar">
    <w:name w:val="Footnote Text Char"/>
    <w:basedOn w:val="DefaultParagraphFont"/>
    <w:link w:val="FootnoteText"/>
    <w:uiPriority w:val="99"/>
    <w:semiHidden/>
    <w:rsid w:val="00457DE2"/>
    <w:rPr>
      <w:rFonts w:ascii="Times New Roman" w:hAnsi="Times New Roman" w:cs="Times New Roman"/>
      <w:sz w:val="20"/>
      <w:szCs w:val="20"/>
    </w:rPr>
  </w:style>
  <w:style w:type="character" w:styleId="FootnoteReference">
    <w:name w:val="footnote reference"/>
    <w:basedOn w:val="DefaultParagraphFont"/>
    <w:uiPriority w:val="99"/>
    <w:semiHidden/>
    <w:unhideWhenUsed/>
    <w:rsid w:val="00457DE2"/>
    <w:rPr>
      <w:vertAlign w:val="superscript"/>
    </w:rPr>
  </w:style>
  <w:style w:type="paragraph" w:customStyle="1" w:styleId="Numbers12ptCalibri-IPR">
    <w:name w:val="Numbers12ptCalibri-IPR"/>
    <w:link w:val="Numbers12ptCalibri-IPRChar"/>
    <w:qFormat/>
    <w:rsid w:val="006261C6"/>
    <w:pPr>
      <w:numPr>
        <w:numId w:val="10"/>
      </w:numPr>
      <w:spacing w:after="240" w:line="240" w:lineRule="auto"/>
      <w:ind w:left="720"/>
    </w:pPr>
    <w:rPr>
      <w:rFonts w:ascii="Calibri" w:hAnsi="Calibri"/>
      <w:sz w:val="24"/>
    </w:rPr>
  </w:style>
  <w:style w:type="character" w:customStyle="1" w:styleId="Numbers12ptCalibri-IPRChar">
    <w:name w:val="Numbers12ptCalibri-IPR Char"/>
    <w:basedOn w:val="DefaultParagraphFont"/>
    <w:link w:val="Numbers12ptCalibri-IPR"/>
    <w:rsid w:val="006261C6"/>
    <w:rPr>
      <w:rFonts w:ascii="Calibri" w:hAnsi="Calibri"/>
      <w:sz w:val="24"/>
    </w:rPr>
  </w:style>
  <w:style w:type="character" w:styleId="UnresolvedMention">
    <w:name w:val="Unresolved Mention"/>
    <w:basedOn w:val="DefaultParagraphFont"/>
    <w:uiPriority w:val="99"/>
    <w:semiHidden/>
    <w:unhideWhenUsed/>
    <w:rsid w:val="00342159"/>
    <w:rPr>
      <w:color w:val="605E5C"/>
      <w:shd w:val="clear" w:color="auto" w:fill="E1DFDD"/>
    </w:rPr>
  </w:style>
  <w:style w:type="character" w:styleId="FollowedHyperlink">
    <w:name w:val="FollowedHyperlink"/>
    <w:basedOn w:val="DefaultParagraphFont"/>
    <w:uiPriority w:val="99"/>
    <w:semiHidden/>
    <w:unhideWhenUsed/>
    <w:rsid w:val="0034215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6216923">
      <w:bodyDiv w:val="1"/>
      <w:marLeft w:val="0"/>
      <w:marRight w:val="0"/>
      <w:marTop w:val="0"/>
      <w:marBottom w:val="0"/>
      <w:divBdr>
        <w:top w:val="none" w:sz="0" w:space="0" w:color="auto"/>
        <w:left w:val="none" w:sz="0" w:space="0" w:color="auto"/>
        <w:bottom w:val="none" w:sz="0" w:space="0" w:color="auto"/>
        <w:right w:val="none" w:sz="0" w:space="0" w:color="auto"/>
      </w:divBdr>
    </w:div>
    <w:div w:id="260652189">
      <w:bodyDiv w:val="1"/>
      <w:marLeft w:val="0"/>
      <w:marRight w:val="0"/>
      <w:marTop w:val="0"/>
      <w:marBottom w:val="0"/>
      <w:divBdr>
        <w:top w:val="none" w:sz="0" w:space="0" w:color="auto"/>
        <w:left w:val="none" w:sz="0" w:space="0" w:color="auto"/>
        <w:bottom w:val="none" w:sz="0" w:space="0" w:color="auto"/>
        <w:right w:val="none" w:sz="0" w:space="0" w:color="auto"/>
      </w:divBdr>
    </w:div>
    <w:div w:id="468667990">
      <w:bodyDiv w:val="1"/>
      <w:marLeft w:val="0"/>
      <w:marRight w:val="0"/>
      <w:marTop w:val="0"/>
      <w:marBottom w:val="0"/>
      <w:divBdr>
        <w:top w:val="none" w:sz="0" w:space="0" w:color="auto"/>
        <w:left w:val="none" w:sz="0" w:space="0" w:color="auto"/>
        <w:bottom w:val="none" w:sz="0" w:space="0" w:color="auto"/>
        <w:right w:val="none" w:sz="0" w:space="0" w:color="auto"/>
      </w:divBdr>
    </w:div>
    <w:div w:id="820459989">
      <w:bodyDiv w:val="1"/>
      <w:marLeft w:val="0"/>
      <w:marRight w:val="0"/>
      <w:marTop w:val="0"/>
      <w:marBottom w:val="0"/>
      <w:divBdr>
        <w:top w:val="none" w:sz="0" w:space="0" w:color="auto"/>
        <w:left w:val="none" w:sz="0" w:space="0" w:color="auto"/>
        <w:bottom w:val="none" w:sz="0" w:space="0" w:color="auto"/>
        <w:right w:val="none" w:sz="0" w:space="0" w:color="auto"/>
      </w:divBdr>
      <w:divsChild>
        <w:div w:id="264657555">
          <w:marLeft w:val="0"/>
          <w:marRight w:val="0"/>
          <w:marTop w:val="0"/>
          <w:marBottom w:val="0"/>
          <w:divBdr>
            <w:top w:val="none" w:sz="0" w:space="0" w:color="auto"/>
            <w:left w:val="none" w:sz="0" w:space="0" w:color="auto"/>
            <w:bottom w:val="none" w:sz="0" w:space="0" w:color="auto"/>
            <w:right w:val="none" w:sz="0" w:space="0" w:color="auto"/>
          </w:divBdr>
          <w:divsChild>
            <w:div w:id="44836667">
              <w:marLeft w:val="0"/>
              <w:marRight w:val="0"/>
              <w:marTop w:val="0"/>
              <w:marBottom w:val="0"/>
              <w:divBdr>
                <w:top w:val="none" w:sz="0" w:space="0" w:color="auto"/>
                <w:left w:val="none" w:sz="0" w:space="0" w:color="auto"/>
                <w:bottom w:val="none" w:sz="0" w:space="0" w:color="auto"/>
                <w:right w:val="none" w:sz="0" w:space="0" w:color="auto"/>
              </w:divBdr>
              <w:divsChild>
                <w:div w:id="936404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6938879">
          <w:marLeft w:val="0"/>
          <w:marRight w:val="0"/>
          <w:marTop w:val="0"/>
          <w:marBottom w:val="0"/>
          <w:divBdr>
            <w:top w:val="none" w:sz="0" w:space="0" w:color="auto"/>
            <w:left w:val="none" w:sz="0" w:space="0" w:color="auto"/>
            <w:bottom w:val="none" w:sz="0" w:space="0" w:color="auto"/>
            <w:right w:val="none" w:sz="0" w:space="0" w:color="auto"/>
          </w:divBdr>
          <w:divsChild>
            <w:div w:id="1862010379">
              <w:marLeft w:val="0"/>
              <w:marRight w:val="0"/>
              <w:marTop w:val="0"/>
              <w:marBottom w:val="0"/>
              <w:divBdr>
                <w:top w:val="none" w:sz="0" w:space="0" w:color="auto"/>
                <w:left w:val="none" w:sz="0" w:space="0" w:color="auto"/>
                <w:bottom w:val="none" w:sz="0" w:space="0" w:color="auto"/>
                <w:right w:val="none" w:sz="0" w:space="0" w:color="auto"/>
              </w:divBdr>
              <w:divsChild>
                <w:div w:id="1645231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0031892">
      <w:bodyDiv w:val="1"/>
      <w:marLeft w:val="0"/>
      <w:marRight w:val="0"/>
      <w:marTop w:val="0"/>
      <w:marBottom w:val="0"/>
      <w:divBdr>
        <w:top w:val="none" w:sz="0" w:space="0" w:color="auto"/>
        <w:left w:val="none" w:sz="0" w:space="0" w:color="auto"/>
        <w:bottom w:val="none" w:sz="0" w:space="0" w:color="auto"/>
        <w:right w:val="none" w:sz="0" w:space="0" w:color="auto"/>
      </w:divBdr>
    </w:div>
    <w:div w:id="1517037109">
      <w:bodyDiv w:val="1"/>
      <w:marLeft w:val="0"/>
      <w:marRight w:val="0"/>
      <w:marTop w:val="0"/>
      <w:marBottom w:val="0"/>
      <w:divBdr>
        <w:top w:val="none" w:sz="0" w:space="0" w:color="auto"/>
        <w:left w:val="none" w:sz="0" w:space="0" w:color="auto"/>
        <w:bottom w:val="none" w:sz="0" w:space="0" w:color="auto"/>
        <w:right w:val="none" w:sz="0" w:space="0" w:color="auto"/>
      </w:divBdr>
      <w:divsChild>
        <w:div w:id="146015899">
          <w:marLeft w:val="0"/>
          <w:marRight w:val="0"/>
          <w:marTop w:val="0"/>
          <w:marBottom w:val="0"/>
          <w:divBdr>
            <w:top w:val="none" w:sz="0" w:space="0" w:color="auto"/>
            <w:left w:val="none" w:sz="0" w:space="0" w:color="auto"/>
            <w:bottom w:val="none" w:sz="0" w:space="0" w:color="auto"/>
            <w:right w:val="none" w:sz="0" w:space="0" w:color="auto"/>
          </w:divBdr>
          <w:divsChild>
            <w:div w:id="1694065691">
              <w:marLeft w:val="0"/>
              <w:marRight w:val="0"/>
              <w:marTop w:val="0"/>
              <w:marBottom w:val="0"/>
              <w:divBdr>
                <w:top w:val="none" w:sz="0" w:space="0" w:color="auto"/>
                <w:left w:val="none" w:sz="0" w:space="0" w:color="auto"/>
                <w:bottom w:val="none" w:sz="0" w:space="0" w:color="auto"/>
                <w:right w:val="none" w:sz="0" w:space="0" w:color="auto"/>
              </w:divBdr>
              <w:divsChild>
                <w:div w:id="1796674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66085271">
          <w:marLeft w:val="0"/>
          <w:marRight w:val="0"/>
          <w:marTop w:val="0"/>
          <w:marBottom w:val="0"/>
          <w:divBdr>
            <w:top w:val="none" w:sz="0" w:space="0" w:color="auto"/>
            <w:left w:val="none" w:sz="0" w:space="0" w:color="auto"/>
            <w:bottom w:val="none" w:sz="0" w:space="0" w:color="auto"/>
            <w:right w:val="none" w:sz="0" w:space="0" w:color="auto"/>
          </w:divBdr>
          <w:divsChild>
            <w:div w:id="919562718">
              <w:marLeft w:val="0"/>
              <w:marRight w:val="0"/>
              <w:marTop w:val="0"/>
              <w:marBottom w:val="0"/>
              <w:divBdr>
                <w:top w:val="none" w:sz="0" w:space="0" w:color="auto"/>
                <w:left w:val="none" w:sz="0" w:space="0" w:color="auto"/>
                <w:bottom w:val="none" w:sz="0" w:space="0" w:color="auto"/>
                <w:right w:val="none" w:sz="0" w:space="0" w:color="auto"/>
              </w:divBdr>
              <w:divsChild>
                <w:div w:id="1867983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7054415">
      <w:bodyDiv w:val="1"/>
      <w:marLeft w:val="0"/>
      <w:marRight w:val="0"/>
      <w:marTop w:val="0"/>
      <w:marBottom w:val="0"/>
      <w:divBdr>
        <w:top w:val="none" w:sz="0" w:space="0" w:color="auto"/>
        <w:left w:val="none" w:sz="0" w:space="0" w:color="auto"/>
        <w:bottom w:val="none" w:sz="0" w:space="0" w:color="auto"/>
        <w:right w:val="none" w:sz="0" w:space="0" w:color="auto"/>
      </w:divBdr>
    </w:div>
    <w:div w:id="1732461103">
      <w:bodyDiv w:val="1"/>
      <w:marLeft w:val="0"/>
      <w:marRight w:val="0"/>
      <w:marTop w:val="0"/>
      <w:marBottom w:val="0"/>
      <w:divBdr>
        <w:top w:val="none" w:sz="0" w:space="0" w:color="auto"/>
        <w:left w:val="none" w:sz="0" w:space="0" w:color="auto"/>
        <w:bottom w:val="none" w:sz="0" w:space="0" w:color="auto"/>
        <w:right w:val="none" w:sz="0" w:space="0" w:color="auto"/>
      </w:divBdr>
    </w:div>
    <w:div w:id="1784962113">
      <w:bodyDiv w:val="1"/>
      <w:marLeft w:val="0"/>
      <w:marRight w:val="0"/>
      <w:marTop w:val="0"/>
      <w:marBottom w:val="0"/>
      <w:divBdr>
        <w:top w:val="none" w:sz="0" w:space="0" w:color="auto"/>
        <w:left w:val="none" w:sz="0" w:space="0" w:color="auto"/>
        <w:bottom w:val="none" w:sz="0" w:space="0" w:color="auto"/>
        <w:right w:val="none" w:sz="0" w:space="0" w:color="auto"/>
      </w:divBdr>
      <w:divsChild>
        <w:div w:id="1604875857">
          <w:marLeft w:val="0"/>
          <w:marRight w:val="0"/>
          <w:marTop w:val="0"/>
          <w:marBottom w:val="0"/>
          <w:divBdr>
            <w:top w:val="none" w:sz="0" w:space="0" w:color="auto"/>
            <w:left w:val="none" w:sz="0" w:space="0" w:color="auto"/>
            <w:bottom w:val="none" w:sz="0" w:space="0" w:color="auto"/>
            <w:right w:val="none" w:sz="0" w:space="0" w:color="auto"/>
          </w:divBdr>
          <w:divsChild>
            <w:div w:id="1568804641">
              <w:marLeft w:val="0"/>
              <w:marRight w:val="0"/>
              <w:marTop w:val="0"/>
              <w:marBottom w:val="0"/>
              <w:divBdr>
                <w:top w:val="none" w:sz="0" w:space="0" w:color="auto"/>
                <w:left w:val="none" w:sz="0" w:space="0" w:color="auto"/>
                <w:bottom w:val="none" w:sz="0" w:space="0" w:color="auto"/>
                <w:right w:val="none" w:sz="0" w:space="0" w:color="auto"/>
              </w:divBdr>
              <w:divsChild>
                <w:div w:id="194271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6691688">
          <w:marLeft w:val="0"/>
          <w:marRight w:val="0"/>
          <w:marTop w:val="0"/>
          <w:marBottom w:val="0"/>
          <w:divBdr>
            <w:top w:val="none" w:sz="0" w:space="0" w:color="auto"/>
            <w:left w:val="none" w:sz="0" w:space="0" w:color="auto"/>
            <w:bottom w:val="none" w:sz="0" w:space="0" w:color="auto"/>
            <w:right w:val="none" w:sz="0" w:space="0" w:color="auto"/>
          </w:divBdr>
          <w:divsChild>
            <w:div w:id="2131317806">
              <w:marLeft w:val="0"/>
              <w:marRight w:val="0"/>
              <w:marTop w:val="0"/>
              <w:marBottom w:val="0"/>
              <w:divBdr>
                <w:top w:val="none" w:sz="0" w:space="0" w:color="auto"/>
                <w:left w:val="none" w:sz="0" w:space="0" w:color="auto"/>
                <w:bottom w:val="none" w:sz="0" w:space="0" w:color="auto"/>
                <w:right w:val="none" w:sz="0" w:space="0" w:color="auto"/>
              </w:divBdr>
              <w:divsChild>
                <w:div w:id="66683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8487031">
      <w:bodyDiv w:val="1"/>
      <w:marLeft w:val="0"/>
      <w:marRight w:val="0"/>
      <w:marTop w:val="0"/>
      <w:marBottom w:val="0"/>
      <w:divBdr>
        <w:top w:val="none" w:sz="0" w:space="0" w:color="auto"/>
        <w:left w:val="none" w:sz="0" w:space="0" w:color="auto"/>
        <w:bottom w:val="none" w:sz="0" w:space="0" w:color="auto"/>
        <w:right w:val="none" w:sz="0" w:space="0" w:color="auto"/>
      </w:divBdr>
    </w:div>
    <w:div w:id="2019232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17E45D2E242FD048BF7AAECC0F170159" ma:contentTypeVersion="1" ma:contentTypeDescription="Create a new document." ma:contentTypeScope="" ma:versionID="35a73fe4cd2ece95cc11abb3e40c6284">
  <xsd:schema xmlns:xsd="http://www.w3.org/2001/XMLSchema" xmlns:xs="http://www.w3.org/2001/XMLSchema" xmlns:p="http://schemas.microsoft.com/office/2006/metadata/properties" xmlns:ns2="b38dd2dc-60e0-4bba-9aaa-41a22ff26941" targetNamespace="http://schemas.microsoft.com/office/2006/metadata/properties" ma:root="true" ma:fieldsID="9685c7fad591cd5462308dbab4e40224" ns2:_="">
    <xsd:import namespace="b38dd2dc-60e0-4bba-9aaa-41a22ff26941"/>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dd2dc-60e0-4bba-9aaa-41a22ff2694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70F87E-39CB-B44B-BACE-C41F1B067E6F}">
  <ds:schemaRefs>
    <ds:schemaRef ds:uri="http://schemas.openxmlformats.org/officeDocument/2006/bibliography"/>
  </ds:schemaRefs>
</ds:datastoreItem>
</file>

<file path=customXml/itemProps2.xml><?xml version="1.0" encoding="utf-8"?>
<ds:datastoreItem xmlns:ds="http://schemas.openxmlformats.org/officeDocument/2006/customXml" ds:itemID="{7754F03E-8FC6-4C7A-ABB5-8BAFA470EC1D}">
  <ds:schemaRefs>
    <ds:schemaRef ds:uri="http://schemas.microsoft.com/sharepoint/v3/contenttype/forms"/>
  </ds:schemaRefs>
</ds:datastoreItem>
</file>

<file path=customXml/itemProps3.xml><?xml version="1.0" encoding="utf-8"?>
<ds:datastoreItem xmlns:ds="http://schemas.openxmlformats.org/officeDocument/2006/customXml" ds:itemID="{EB402D5D-3145-4D1F-BBFE-921978D95A1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BAF1FE7-4C84-412C-AF0D-594AE1F2B9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38dd2dc-60e0-4bba-9aaa-41a22ff269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264</TotalTime>
  <Pages>22</Pages>
  <Words>5601</Words>
  <Characters>31929</Characters>
  <Application>Microsoft Office Word</Application>
  <DocSecurity>0</DocSecurity>
  <Lines>266</Lines>
  <Paragraphs>74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Marietta Bowman</dc:creator>
  <cp:keywords/>
  <dc:description/>
  <cp:lastModifiedBy>Plimpton, Suzanne H.</cp:lastModifiedBy>
  <cp:revision>43</cp:revision>
  <cp:lastPrinted>2022-01-10T13:52:00Z</cp:lastPrinted>
  <dcterms:created xsi:type="dcterms:W3CDTF">2021-12-16T20:20:00Z</dcterms:created>
  <dcterms:modified xsi:type="dcterms:W3CDTF">2022-01-18T21:10:00Z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0x01010017E45D2E242FD048BF7AAECC0F170159</vt:lpwstr>
  </property>
</Properties>
</file>