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5A1D" w:rsidR="00BB16DC" w:rsidP="00BB16DC" w:rsidRDefault="00BB16DC" w14:paraId="42572BC7" w14:textId="4C2CA250">
      <w:pPr>
        <w:jc w:val="right"/>
        <w:rPr>
          <w:bCs/>
        </w:rPr>
      </w:pPr>
      <w:r w:rsidRPr="00DE5A1D">
        <w:rPr>
          <w:bCs/>
        </w:rPr>
        <w:t>February 2022</w:t>
      </w:r>
    </w:p>
    <w:p w:rsidRPr="00DE5A1D" w:rsidR="002C66A9" w:rsidP="002C66A9" w:rsidRDefault="002C66A9" w14:paraId="20B11C65" w14:textId="6102C547">
      <w:pPr>
        <w:jc w:val="center"/>
        <w:rPr>
          <w:b/>
        </w:rPr>
      </w:pPr>
      <w:r w:rsidRPr="00DE5A1D">
        <w:rPr>
          <w:b/>
        </w:rPr>
        <w:t>Animal and Plant Health Inspection Service</w:t>
      </w:r>
    </w:p>
    <w:p w:rsidRPr="00DE5A1D" w:rsidR="002C66A9" w:rsidP="002C66A9" w:rsidRDefault="002C66A9" w14:paraId="459B0431" w14:textId="77777777">
      <w:pPr>
        <w:jc w:val="center"/>
        <w:rPr>
          <w:b/>
        </w:rPr>
      </w:pPr>
      <w:r w:rsidRPr="00DE5A1D">
        <w:rPr>
          <w:b/>
        </w:rPr>
        <w:t xml:space="preserve">Supporting Statement for </w:t>
      </w:r>
    </w:p>
    <w:p w:rsidRPr="00DE5A1D" w:rsidR="002C66A9" w:rsidP="002C66A9" w:rsidRDefault="002C66A9" w14:paraId="66FC99CD" w14:textId="77777777">
      <w:pPr>
        <w:jc w:val="center"/>
        <w:rPr>
          <w:b/>
        </w:rPr>
      </w:pPr>
      <w:r w:rsidRPr="00DE5A1D">
        <w:rPr>
          <w:b/>
        </w:rPr>
        <w:t xml:space="preserve">Generic Information Collection and Clearance of </w:t>
      </w:r>
    </w:p>
    <w:p w:rsidRPr="00DE5A1D" w:rsidR="002C66A9" w:rsidP="002C66A9" w:rsidRDefault="002C66A9" w14:paraId="03A52AB0" w14:textId="77777777">
      <w:pPr>
        <w:jc w:val="center"/>
        <w:outlineLvl w:val="0"/>
        <w:rPr>
          <w:b/>
        </w:rPr>
      </w:pPr>
      <w:r w:rsidRPr="00DE5A1D">
        <w:rPr>
          <w:b/>
        </w:rPr>
        <w:t>“Qualitative Feedback on Agency Service Delivery”</w:t>
      </w:r>
    </w:p>
    <w:p w:rsidRPr="00DE5A1D" w:rsidR="00C6130C" w:rsidP="00C6130C" w:rsidRDefault="002C66A9" w14:paraId="726353E9" w14:textId="77777777">
      <w:pPr>
        <w:jc w:val="center"/>
        <w:rPr>
          <w:rStyle w:val="InitialStyle"/>
          <w:rFonts w:ascii="Times New Roman" w:hAnsi="Times New Roman" w:cs="Times New Roman"/>
          <w:b/>
        </w:rPr>
      </w:pPr>
      <w:r w:rsidRPr="00DE5A1D">
        <w:rPr>
          <w:rStyle w:val="InitialStyle"/>
          <w:rFonts w:ascii="Times New Roman" w:hAnsi="Times New Roman" w:cs="Times New Roman"/>
          <w:b/>
        </w:rPr>
        <w:t>OMB NO. 0579-0377</w:t>
      </w:r>
    </w:p>
    <w:p w:rsidRPr="005C49D3" w:rsidR="00C6130C" w:rsidP="00BB16DC" w:rsidRDefault="00C6130C" w14:paraId="679717C4" w14:textId="70C085D8">
      <w:pPr>
        <w:pStyle w:val="DefaultText"/>
        <w:rPr>
          <w:rStyle w:val="InitialStyle"/>
          <w:rFonts w:ascii="Times New Roman" w:hAnsi="Times New Roman" w:cs="Times New Roman"/>
          <w:bCs/>
          <w:szCs w:val="24"/>
        </w:rPr>
      </w:pPr>
    </w:p>
    <w:p w:rsidRPr="00DE5A1D" w:rsidR="00BB16DC" w:rsidP="00BB16DC" w:rsidRDefault="00BB16DC" w14:paraId="24DBA495" w14:textId="40A24A93">
      <w:pPr>
        <w:autoSpaceDE w:val="0"/>
        <w:autoSpaceDN w:val="0"/>
        <w:adjustRightInd w:val="0"/>
        <w:rPr>
          <w:rStyle w:val="InitialStyle"/>
          <w:rFonts w:ascii="Times New Roman" w:hAnsi="Times New Roman" w:cs="Times New Roman"/>
          <w:b/>
        </w:rPr>
      </w:pPr>
      <w:r w:rsidRPr="00DE5A1D">
        <w:rPr>
          <w:rStyle w:val="InitialStyle"/>
          <w:rFonts w:ascii="Times New Roman" w:hAnsi="Times New Roman" w:cs="Times New Roman"/>
          <w:b/>
        </w:rPr>
        <w:t xml:space="preserve">TERMS OF CLEARANCE:  </w:t>
      </w:r>
      <w:r w:rsidRPr="00DE5A1D">
        <w:rPr>
          <w:rFonts w:eastAsiaTheme="minorHAnsi"/>
        </w:rPr>
        <w:t>If the agency renews this ICR in the future, they are reminded to use the supporting statement template without any modifications.  This ICR renewal request was prepared in accordance with the supporting statement template.</w:t>
      </w:r>
    </w:p>
    <w:p w:rsidRPr="005C49D3" w:rsidR="00E6260A" w:rsidP="00BB16DC" w:rsidRDefault="00E6260A" w14:paraId="2A779970" w14:textId="77777777">
      <w:pPr>
        <w:pStyle w:val="DefaultText"/>
        <w:rPr>
          <w:rStyle w:val="InitialStyle"/>
          <w:rFonts w:ascii="Times New Roman" w:hAnsi="Times New Roman" w:cs="Times New Roman"/>
          <w:bCs/>
          <w:szCs w:val="24"/>
        </w:rPr>
      </w:pPr>
    </w:p>
    <w:p w:rsidR="00C6130C" w:rsidP="005C49D3" w:rsidRDefault="00C6130C" w14:paraId="0CB3466B" w14:textId="29407C97">
      <w:pPr>
        <w:pStyle w:val="DefaultText"/>
        <w:numPr>
          <w:ilvl w:val="0"/>
          <w:numId w:val="18"/>
        </w:numPr>
        <w:rPr>
          <w:rStyle w:val="InitialStyle"/>
          <w:rFonts w:ascii="Times New Roman" w:hAnsi="Times New Roman" w:cs="Times New Roman"/>
          <w:b/>
          <w:szCs w:val="24"/>
        </w:rPr>
      </w:pPr>
      <w:r w:rsidRPr="00DE5A1D">
        <w:rPr>
          <w:rStyle w:val="InitialStyle"/>
          <w:rFonts w:ascii="Times New Roman" w:hAnsi="Times New Roman" w:cs="Times New Roman"/>
          <w:b/>
          <w:szCs w:val="24"/>
        </w:rPr>
        <w:t>J</w:t>
      </w:r>
      <w:r w:rsidRPr="00DE5A1D" w:rsidR="00E6260A">
        <w:rPr>
          <w:rStyle w:val="InitialStyle"/>
          <w:rFonts w:ascii="Times New Roman" w:hAnsi="Times New Roman" w:cs="Times New Roman"/>
          <w:b/>
          <w:szCs w:val="24"/>
        </w:rPr>
        <w:t>USTIFICATION</w:t>
      </w:r>
    </w:p>
    <w:p w:rsidRPr="005C49D3" w:rsidR="005C49D3" w:rsidP="005C49D3" w:rsidRDefault="005C49D3" w14:paraId="13511933" w14:textId="77777777">
      <w:pPr>
        <w:pStyle w:val="DefaultText"/>
        <w:rPr>
          <w:rStyle w:val="InitialStyle"/>
          <w:rFonts w:ascii="Times New Roman" w:hAnsi="Times New Roman" w:cs="Times New Roman"/>
          <w:bCs/>
          <w:szCs w:val="24"/>
        </w:rPr>
      </w:pPr>
    </w:p>
    <w:p w:rsidRPr="005C49D3" w:rsidR="00BB16DC" w:rsidP="00BB16DC" w:rsidRDefault="00BB16DC" w14:paraId="3395EF21" w14:textId="77777777">
      <w:pPr>
        <w:rPr>
          <w:b/>
          <w:bCs/>
        </w:rPr>
      </w:pPr>
      <w:r w:rsidRPr="005C49D3">
        <w:rPr>
          <w:b/>
          <w:bCs/>
        </w:rPr>
        <w:t>1. Explain the circumstances that make the collection of information necessary. Identify any</w:t>
      </w:r>
      <w:r w:rsidRPr="005C49D3">
        <w:rPr>
          <w:b/>
          <w:bCs/>
          <w:i/>
          <w:iCs/>
        </w:rPr>
        <w:t xml:space="preserve"> </w:t>
      </w:r>
      <w:r w:rsidRPr="005C49D3">
        <w:rPr>
          <w:b/>
          <w:bCs/>
        </w:rPr>
        <w:t>legal or administrative requirements that necessitate the collection.</w:t>
      </w:r>
    </w:p>
    <w:p w:rsidRPr="005C49D3" w:rsidR="00BB16DC" w:rsidP="00BB16DC" w:rsidRDefault="00BB16DC" w14:paraId="1A039CF5" w14:textId="77777777">
      <w:pPr>
        <w:rPr>
          <w:rStyle w:val="InitialStyle"/>
          <w:rFonts w:ascii="Times New Roman" w:hAnsi="Times New Roman" w:cs="Times New Roman"/>
        </w:rPr>
      </w:pPr>
    </w:p>
    <w:p w:rsidRPr="005C49D3" w:rsidR="002C66A9" w:rsidP="002C66A9" w:rsidRDefault="002C66A9" w14:paraId="45567871" w14:textId="77777777">
      <w:r w:rsidRPr="005C49D3">
        <w:t>Executive Order 12862 directs Federal agencies to provide service to the public that matches or exceeds the best service available in the private sector.  In order to work continuously to ensure that our programs are effective and meet our customers’ needs, the Animal and Plant Health Inspection Service (hereafter “APHIS”) seeks to obtain OMB approval of a generic clearance to collect qualitative feedback on its service delivery.  By qualitative feedback APHIS means information that provides useful insights on perceptions and opinions, but are not statistical surveys that yield quantitative results that can be generalized to the population of study.</w:t>
      </w:r>
    </w:p>
    <w:p w:rsidRPr="005C49D3" w:rsidR="002C66A9" w:rsidP="002C66A9" w:rsidRDefault="002C66A9" w14:paraId="215759C6" w14:textId="77777777">
      <w:pPr>
        <w:rPr>
          <w:bCs/>
        </w:rPr>
      </w:pPr>
    </w:p>
    <w:p w:rsidRPr="005C49D3" w:rsidR="002C66A9" w:rsidP="002C66A9" w:rsidRDefault="002C66A9" w14:paraId="2F1BC8CA" w14:textId="77777777">
      <w:r w:rsidRPr="005C49D3">
        <w:t xml:space="preserve">This collection of information is necessary to enable APHIS to garner customer and stakeholder feedback in an efficient, timely manner, in accordance with its commitment to improving service delivery.  The information collected from APHIS’s customers and stakeholders will help ensure that users have an effective, efficient, and satisfying experience with APHIS’s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APHIS and its customers and stakeholders.  It will also allow feedback to contribute directly to the improvement of program management. </w:t>
      </w:r>
    </w:p>
    <w:p w:rsidRPr="005C49D3" w:rsidR="00C6130C" w:rsidP="00C6130C" w:rsidRDefault="00C6130C" w14:paraId="57F2A846" w14:textId="77777777">
      <w:pPr>
        <w:pStyle w:val="DefaultText"/>
        <w:rPr>
          <w:rStyle w:val="InitialStyle"/>
          <w:rFonts w:ascii="Times New Roman" w:hAnsi="Times New Roman" w:cs="Times New Roman"/>
          <w:szCs w:val="24"/>
        </w:rPr>
      </w:pPr>
    </w:p>
    <w:p w:rsidR="00F25AAC" w:rsidP="00F25AAC" w:rsidRDefault="00F25AAC" w14:paraId="132E7CCB" w14:textId="66573A6E">
      <w:pPr>
        <w:autoSpaceDE w:val="0"/>
        <w:autoSpaceDN w:val="0"/>
        <w:adjustRightInd w:val="0"/>
      </w:pPr>
      <w:r w:rsidRPr="005C49D3">
        <w:t>APHIS is asking OMB to approve its use of these information collection activities for an additional 3 years.</w:t>
      </w:r>
    </w:p>
    <w:p w:rsidR="006E329B" w:rsidP="00F25AAC" w:rsidRDefault="006E329B" w14:paraId="3B697A62" w14:textId="5888D512">
      <w:pPr>
        <w:autoSpaceDE w:val="0"/>
        <w:autoSpaceDN w:val="0"/>
        <w:adjustRightInd w:val="0"/>
      </w:pPr>
    </w:p>
    <w:p w:rsidRPr="005C49D3" w:rsidR="006E329B" w:rsidP="00F25AAC" w:rsidRDefault="006E329B" w14:paraId="1462FAB8" w14:textId="77777777">
      <w:pPr>
        <w:autoSpaceDE w:val="0"/>
        <w:autoSpaceDN w:val="0"/>
        <w:adjustRightInd w:val="0"/>
      </w:pPr>
    </w:p>
    <w:p w:rsidRPr="00DE5A1D" w:rsidR="00BB16DC" w:rsidP="00BB16DC" w:rsidRDefault="00BB16DC" w14:paraId="2DD5CA4F" w14:textId="77777777">
      <w:pPr>
        <w:rPr>
          <w:b/>
          <w:bCs/>
        </w:rPr>
      </w:pPr>
      <w:r w:rsidRPr="00DE5A1D">
        <w:rPr>
          <w:b/>
          <w:bCs/>
        </w:rPr>
        <w:t>2. Indicate how, by whom, and for what purpose the information is to be used. Except for a new collection, indicate the actual use the agency has made of the information received from the current collection.</w:t>
      </w:r>
    </w:p>
    <w:p w:rsidRPr="00DE5A1D" w:rsidR="00BB16DC" w:rsidP="00BB16DC" w:rsidRDefault="00BB16DC" w14:paraId="7DBEFAA2" w14:textId="77777777"/>
    <w:p w:rsidRPr="005C49D3" w:rsidR="002C66A9" w:rsidP="002C66A9" w:rsidRDefault="002C66A9" w14:paraId="4ED036E9" w14:textId="77777777">
      <w:r w:rsidRPr="005C49D3">
        <w:t xml:space="preserve">Improving Agency programs requires ongoing assessment of service delivery including systematic review of the operation of a program compared to a set of explicit or implicit standards, as a means of contributing to the continuous improvement of the program.  APHIS </w:t>
      </w:r>
      <w:r w:rsidRPr="005C49D3">
        <w:lastRenderedPageBreak/>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APHIS’s services will be unavailable.</w:t>
      </w:r>
    </w:p>
    <w:p w:rsidRPr="005C49D3" w:rsidR="002C66A9" w:rsidP="002C66A9" w:rsidRDefault="002C66A9" w14:paraId="24D7730B" w14:textId="77777777"/>
    <w:p w:rsidRPr="005C49D3" w:rsidR="002C66A9" w:rsidP="002C66A9" w:rsidRDefault="002C66A9" w14:paraId="78654422" w14:textId="77777777">
      <w:r w:rsidRPr="005C49D3">
        <w:t xml:space="preserve">APHIS is submitting a collection for approval under this generic clearance  -  it meets the following conditions:   </w:t>
      </w:r>
    </w:p>
    <w:p w:rsidRPr="005C49D3" w:rsidR="002C66A9" w:rsidP="002C66A9" w:rsidRDefault="002C66A9" w14:paraId="5FF3D611" w14:textId="77777777"/>
    <w:p w:rsidRPr="005C49D3" w:rsidR="002C66A9" w:rsidP="005C49D3" w:rsidRDefault="002C66A9" w14:paraId="286844FC" w14:textId="77777777">
      <w:pPr>
        <w:pStyle w:val="ListParagraph"/>
        <w:numPr>
          <w:ilvl w:val="0"/>
          <w:numId w:val="13"/>
        </w:numPr>
        <w:spacing w:after="0" w:line="240" w:lineRule="auto"/>
        <w:ind w:left="360"/>
        <w:rPr>
          <w:rFonts w:ascii="Times New Roman" w:hAnsi="Times New Roman" w:cs="Times New Roman"/>
          <w:sz w:val="24"/>
          <w:szCs w:val="24"/>
        </w:rPr>
      </w:pPr>
      <w:r w:rsidRPr="005C49D3">
        <w:rPr>
          <w:rFonts w:ascii="Times New Roman" w:hAnsi="Times New Roman" w:cs="Times New Roman"/>
          <w:sz w:val="24"/>
          <w:szCs w:val="24"/>
        </w:rPr>
        <w:t>Information gathered will be used only internally  for general service improvement and program management purposes and is not intended for release outside of the Aagency (if released, procedures outlined in Question 16 will be followed);</w:t>
      </w:r>
    </w:p>
    <w:p w:rsidRPr="005C49D3" w:rsidR="002C66A9" w:rsidP="005C49D3" w:rsidRDefault="002C66A9" w14:paraId="432B4639" w14:textId="77777777">
      <w:pPr>
        <w:pStyle w:val="ListParagraph"/>
        <w:numPr>
          <w:ilvl w:val="0"/>
          <w:numId w:val="15"/>
        </w:numPr>
        <w:spacing w:after="0" w:line="240" w:lineRule="auto"/>
        <w:ind w:left="360"/>
        <w:rPr>
          <w:rFonts w:ascii="Times New Roman" w:hAnsi="Times New Roman" w:cs="Times New Roman"/>
          <w:sz w:val="24"/>
          <w:szCs w:val="24"/>
        </w:rPr>
      </w:pPr>
      <w:r w:rsidRPr="005C49D3">
        <w:rPr>
          <w:rFonts w:ascii="Times New Roman" w:hAnsi="Times New Roman" w:cs="Times New Roman"/>
          <w:sz w:val="24"/>
          <w:szCs w:val="24"/>
        </w:rPr>
        <w:t xml:space="preserve">Information gathered will not be used for the purpose of substantially informing influential policy decisions </w:t>
      </w:r>
      <w:r w:rsidRPr="005C49D3">
        <w:rPr>
          <w:rStyle w:val="FootnoteReference"/>
          <w:rFonts w:ascii="Times New Roman" w:hAnsi="Times New Roman" w:cs="Times New Roman"/>
          <w:sz w:val="24"/>
          <w:szCs w:val="24"/>
        </w:rPr>
        <w:footnoteReference w:id="1"/>
      </w:r>
      <w:r w:rsidRPr="005C49D3">
        <w:rPr>
          <w:rFonts w:ascii="Times New Roman" w:hAnsi="Times New Roman" w:cs="Times New Roman"/>
          <w:sz w:val="24"/>
          <w:szCs w:val="24"/>
        </w:rPr>
        <w:t>;</w:t>
      </w:r>
    </w:p>
    <w:p w:rsidRPr="005C49D3" w:rsidR="002C66A9" w:rsidP="005C49D3" w:rsidRDefault="002C66A9" w14:paraId="6E31C7E7" w14:textId="77777777">
      <w:pPr>
        <w:pStyle w:val="ListParagraph"/>
        <w:numPr>
          <w:ilvl w:val="0"/>
          <w:numId w:val="12"/>
        </w:numPr>
        <w:spacing w:after="0" w:line="240" w:lineRule="auto"/>
        <w:ind w:left="360"/>
        <w:rPr>
          <w:rFonts w:ascii="Times New Roman" w:hAnsi="Times New Roman" w:cs="Times New Roman"/>
          <w:sz w:val="24"/>
          <w:szCs w:val="24"/>
        </w:rPr>
      </w:pPr>
      <w:r w:rsidRPr="005C49D3">
        <w:rPr>
          <w:rFonts w:ascii="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rsidRPr="005C49D3" w:rsidR="002C66A9" w:rsidP="005C49D3" w:rsidRDefault="002C66A9" w14:paraId="06CEE8E6" w14:textId="77777777">
      <w:pPr>
        <w:pStyle w:val="ListParagraph"/>
        <w:numPr>
          <w:ilvl w:val="0"/>
          <w:numId w:val="12"/>
        </w:numPr>
        <w:spacing w:after="0" w:line="240" w:lineRule="auto"/>
        <w:ind w:left="360"/>
        <w:rPr>
          <w:rFonts w:ascii="Times New Roman" w:hAnsi="Times New Roman" w:cs="Times New Roman"/>
          <w:sz w:val="24"/>
          <w:szCs w:val="24"/>
        </w:rPr>
      </w:pPr>
      <w:r w:rsidRPr="005C49D3">
        <w:rPr>
          <w:rFonts w:ascii="Times New Roman" w:hAnsi="Times New Roman" w:cs="Times New Roman"/>
          <w:sz w:val="24"/>
          <w:szCs w:val="24"/>
        </w:rPr>
        <w:t>The collections are voluntary;</w:t>
      </w:r>
    </w:p>
    <w:p w:rsidRPr="005C49D3" w:rsidR="002C66A9" w:rsidP="005C49D3" w:rsidRDefault="002C66A9" w14:paraId="4AC97C52" w14:textId="77777777">
      <w:pPr>
        <w:pStyle w:val="ListParagraph"/>
        <w:numPr>
          <w:ilvl w:val="0"/>
          <w:numId w:val="12"/>
        </w:numPr>
        <w:spacing w:after="0" w:line="240" w:lineRule="auto"/>
        <w:ind w:left="360"/>
        <w:rPr>
          <w:rFonts w:ascii="Times New Roman" w:hAnsi="Times New Roman" w:cs="Times New Roman"/>
          <w:sz w:val="24"/>
          <w:szCs w:val="24"/>
        </w:rPr>
      </w:pPr>
      <w:r w:rsidRPr="005C49D3">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Pr="005C49D3" w:rsidR="002C66A9" w:rsidP="005C49D3" w:rsidRDefault="002C66A9" w14:paraId="2EB33B8B" w14:textId="77777777">
      <w:pPr>
        <w:pStyle w:val="ListParagraph"/>
        <w:numPr>
          <w:ilvl w:val="0"/>
          <w:numId w:val="12"/>
        </w:numPr>
        <w:spacing w:after="0" w:line="240" w:lineRule="auto"/>
        <w:ind w:left="360"/>
        <w:rPr>
          <w:rFonts w:ascii="Times New Roman" w:hAnsi="Times New Roman" w:cs="Times New Roman"/>
          <w:sz w:val="24"/>
          <w:szCs w:val="24"/>
        </w:rPr>
      </w:pPr>
      <w:r w:rsidRPr="005C49D3">
        <w:rPr>
          <w:rFonts w:ascii="Times New Roman" w:hAnsi="Times New Roman" w:cs="Times New Roman"/>
          <w:sz w:val="24"/>
          <w:szCs w:val="24"/>
        </w:rPr>
        <w:t xml:space="preserve">The collections are non-controversial and do not raise issues of  concern to other Federal agencies; </w:t>
      </w:r>
    </w:p>
    <w:p w:rsidRPr="005C49D3" w:rsidR="002C66A9" w:rsidP="005C49D3" w:rsidRDefault="002C66A9" w14:paraId="2D001099" w14:textId="77777777">
      <w:pPr>
        <w:pStyle w:val="ListParagraph"/>
        <w:numPr>
          <w:ilvl w:val="0"/>
          <w:numId w:val="12"/>
        </w:numPr>
        <w:spacing w:after="0" w:line="240" w:lineRule="auto"/>
        <w:ind w:left="360"/>
        <w:rPr>
          <w:rFonts w:ascii="Times New Roman" w:hAnsi="Times New Roman" w:cs="Times New Roman"/>
          <w:sz w:val="24"/>
          <w:szCs w:val="24"/>
        </w:rPr>
      </w:pPr>
      <w:r w:rsidRPr="005C49D3">
        <w:rPr>
          <w:rFonts w:ascii="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Pr="005C49D3" w:rsidR="002C66A9" w:rsidP="005C49D3" w:rsidRDefault="002C66A9" w14:paraId="768993E5" w14:textId="77777777">
      <w:pPr>
        <w:pStyle w:val="ListParagraph"/>
        <w:numPr>
          <w:ilvl w:val="0"/>
          <w:numId w:val="12"/>
        </w:numPr>
        <w:spacing w:after="0" w:line="240" w:lineRule="auto"/>
        <w:ind w:left="360"/>
        <w:rPr>
          <w:rFonts w:ascii="Times New Roman" w:hAnsi="Times New Roman" w:cs="Times New Roman"/>
          <w:sz w:val="24"/>
          <w:szCs w:val="24"/>
        </w:rPr>
      </w:pPr>
      <w:r w:rsidRPr="005C49D3">
        <w:rPr>
          <w:rFonts w:ascii="Times New Roman" w:hAnsi="Times New Roman" w:cs="Times New Roman"/>
          <w:sz w:val="24"/>
          <w:szCs w:val="24"/>
        </w:rPr>
        <w:t xml:space="preserve">With the exception of information needed to provide renumeration for participants of focus groups and cognitive laboratory studies, personally identifiable information (PII) is collected only to the extent necessary and is not retained. </w:t>
      </w:r>
    </w:p>
    <w:p w:rsidRPr="005C49D3" w:rsidR="002C66A9" w:rsidP="002C66A9" w:rsidRDefault="002C66A9" w14:paraId="16FBC1FD" w14:textId="77777777">
      <w:pPr>
        <w:pStyle w:val="ListParagraph"/>
        <w:spacing w:after="0" w:line="240" w:lineRule="auto"/>
        <w:ind w:left="360"/>
        <w:rPr>
          <w:rFonts w:ascii="Times New Roman" w:hAnsi="Times New Roman" w:cs="Times New Roman"/>
          <w:sz w:val="24"/>
          <w:szCs w:val="24"/>
        </w:rPr>
      </w:pPr>
    </w:p>
    <w:p w:rsidRPr="005C49D3" w:rsidR="002C66A9" w:rsidP="002C66A9" w:rsidRDefault="002C66A9" w14:paraId="534DBBE2" w14:textId="77777777">
      <w:r w:rsidRPr="005C49D3">
        <w:t xml:space="preserve">If these conditions are not met, APHIS will submit an information collection request to OMB for approval through the normal PRA process.  </w:t>
      </w:r>
    </w:p>
    <w:p w:rsidRPr="005C49D3" w:rsidR="002C66A9" w:rsidP="002C66A9" w:rsidRDefault="002C66A9" w14:paraId="682DB70C" w14:textId="77777777"/>
    <w:p w:rsidRPr="005C49D3" w:rsidR="002C66A9" w:rsidP="002C66A9" w:rsidRDefault="002C66A9" w14:paraId="3CD4416B" w14:textId="77777777">
      <w:r w:rsidRPr="005C49D3">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5C49D3" w:rsidR="002C66A9" w:rsidP="002C66A9" w:rsidRDefault="002C66A9" w14:paraId="35DE7B97" w14:textId="77777777"/>
    <w:p w:rsidRPr="005C49D3" w:rsidR="002C66A9" w:rsidP="002C66A9" w:rsidRDefault="002C66A9" w14:paraId="333821E7" w14:textId="77777777">
      <w:r w:rsidRPr="005C49D3">
        <w:t>The types of collections that this generic clearance covers include, but are not limited to:</w:t>
      </w:r>
    </w:p>
    <w:p w:rsidRPr="005C49D3" w:rsidR="002C66A9" w:rsidP="005C49D3" w:rsidRDefault="002C66A9" w14:paraId="0B7970CA" w14:textId="77777777">
      <w:pPr>
        <w:pStyle w:val="ListParagraph"/>
        <w:numPr>
          <w:ilvl w:val="0"/>
          <w:numId w:val="14"/>
        </w:numPr>
        <w:ind w:left="360"/>
        <w:rPr>
          <w:rFonts w:ascii="Times New Roman" w:hAnsi="Times New Roman" w:cs="Times New Roman"/>
          <w:sz w:val="24"/>
          <w:szCs w:val="24"/>
        </w:rPr>
      </w:pPr>
      <w:r w:rsidRPr="005C49D3">
        <w:rPr>
          <w:rFonts w:ascii="Times New Roman" w:hAnsi="Times New Roman" w:cs="Times New Roman"/>
          <w:sz w:val="24"/>
          <w:szCs w:val="24"/>
        </w:rPr>
        <w:t>Customer comment cards/complaint forms.</w:t>
      </w:r>
    </w:p>
    <w:p w:rsidRPr="005C49D3" w:rsidR="002C66A9" w:rsidP="005C49D3" w:rsidRDefault="002C66A9" w14:paraId="4CE8AF01" w14:textId="77777777">
      <w:pPr>
        <w:pStyle w:val="ListParagraph"/>
        <w:numPr>
          <w:ilvl w:val="0"/>
          <w:numId w:val="14"/>
        </w:numPr>
        <w:ind w:left="360"/>
        <w:rPr>
          <w:rFonts w:ascii="Times New Roman" w:hAnsi="Times New Roman" w:cs="Times New Roman"/>
          <w:sz w:val="24"/>
          <w:szCs w:val="24"/>
        </w:rPr>
      </w:pPr>
      <w:r w:rsidRPr="005C49D3">
        <w:rPr>
          <w:rFonts w:ascii="Times New Roman" w:hAnsi="Times New Roman" w:cs="Times New Roman"/>
          <w:sz w:val="24"/>
          <w:szCs w:val="24"/>
        </w:rPr>
        <w:t>Small discussion groups.</w:t>
      </w:r>
    </w:p>
    <w:p w:rsidRPr="005C49D3" w:rsidR="002C66A9" w:rsidP="005C49D3" w:rsidRDefault="002C66A9" w14:paraId="158E86FE" w14:textId="77777777">
      <w:pPr>
        <w:pStyle w:val="ListParagraph"/>
        <w:numPr>
          <w:ilvl w:val="0"/>
          <w:numId w:val="14"/>
        </w:numPr>
        <w:spacing w:after="0" w:line="240" w:lineRule="auto"/>
        <w:ind w:left="360"/>
        <w:rPr>
          <w:rFonts w:ascii="Times New Roman" w:hAnsi="Times New Roman" w:cs="Times New Roman"/>
          <w:sz w:val="24"/>
          <w:szCs w:val="24"/>
        </w:rPr>
      </w:pPr>
      <w:r w:rsidRPr="005C49D3">
        <w:rPr>
          <w:rFonts w:ascii="Times New Roman" w:hAnsi="Times New Roman" w:cs="Times New Roman"/>
          <w:sz w:val="24"/>
          <w:szCs w:val="24"/>
        </w:rPr>
        <w:lastRenderedPageBreak/>
        <w:t>Focus Groups of customers, potential customers, delivery partners, or other stakeholders.</w:t>
      </w:r>
    </w:p>
    <w:p w:rsidRPr="005C49D3" w:rsidR="002C66A9" w:rsidP="005C49D3" w:rsidRDefault="002C66A9" w14:paraId="17DD78A5" w14:textId="77777777">
      <w:pPr>
        <w:pStyle w:val="ListParagraph"/>
        <w:numPr>
          <w:ilvl w:val="0"/>
          <w:numId w:val="14"/>
        </w:numPr>
        <w:spacing w:after="0" w:line="240" w:lineRule="auto"/>
        <w:ind w:left="360"/>
        <w:rPr>
          <w:rFonts w:ascii="Times New Roman" w:hAnsi="Times New Roman" w:cs="Times New Roman"/>
          <w:sz w:val="24"/>
          <w:szCs w:val="24"/>
        </w:rPr>
      </w:pPr>
      <w:r w:rsidRPr="005C49D3">
        <w:rPr>
          <w:rFonts w:ascii="Times New Roman" w:hAnsi="Times New Roman" w:cs="Times New Roman"/>
          <w:sz w:val="24"/>
          <w:szCs w:val="24"/>
        </w:rPr>
        <w:t>Cognitive laboratory studies, such as those used to refine questions or assess usability of a website.</w:t>
      </w:r>
    </w:p>
    <w:p w:rsidRPr="005C49D3" w:rsidR="002C66A9" w:rsidP="005C49D3" w:rsidRDefault="002C66A9" w14:paraId="266A1887" w14:textId="77777777">
      <w:pPr>
        <w:pStyle w:val="ListParagraph"/>
        <w:numPr>
          <w:ilvl w:val="0"/>
          <w:numId w:val="14"/>
        </w:numPr>
        <w:ind w:left="360"/>
        <w:rPr>
          <w:rFonts w:ascii="Times New Roman" w:hAnsi="Times New Roman" w:cs="Times New Roman"/>
          <w:sz w:val="24"/>
          <w:szCs w:val="24"/>
        </w:rPr>
      </w:pPr>
      <w:r w:rsidRPr="005C49D3">
        <w:rPr>
          <w:rFonts w:ascii="Times New Roman" w:hAnsi="Times New Roman" w:cs="Times New Roman"/>
          <w:sz w:val="24"/>
          <w:szCs w:val="24"/>
        </w:rPr>
        <w:t>Qualitative customer satisfaction surveys (e.g., post-transaction surveys; opt-out web surveys).</w:t>
      </w:r>
    </w:p>
    <w:p w:rsidR="002C66A9" w:rsidP="005C49D3" w:rsidRDefault="002C66A9" w14:paraId="4F3BAA90" w14:textId="026E42DC">
      <w:pPr>
        <w:pStyle w:val="ListParagraph"/>
        <w:numPr>
          <w:ilvl w:val="0"/>
          <w:numId w:val="14"/>
        </w:numPr>
        <w:ind w:left="360"/>
        <w:rPr>
          <w:rFonts w:ascii="Times New Roman" w:hAnsi="Times New Roman" w:cs="Times New Roman"/>
          <w:sz w:val="24"/>
          <w:szCs w:val="24"/>
        </w:rPr>
      </w:pPr>
      <w:r w:rsidRPr="005C49D3">
        <w:rPr>
          <w:rFonts w:ascii="Times New Roman" w:hAnsi="Times New Roman" w:cs="Times New Roman"/>
          <w:sz w:val="24"/>
          <w:szCs w:val="24"/>
        </w:rPr>
        <w:t>In-person observation testing (e.g., website or software usability tests)</w:t>
      </w:r>
    </w:p>
    <w:p w:rsidRPr="005C49D3" w:rsidR="005C49D3" w:rsidP="005C49D3" w:rsidRDefault="005C49D3" w14:paraId="5B079F2D" w14:textId="77777777">
      <w:pPr>
        <w:pStyle w:val="ListParagraph"/>
        <w:ind w:left="360"/>
        <w:rPr>
          <w:rFonts w:ascii="Times New Roman" w:hAnsi="Times New Roman" w:cs="Times New Roman"/>
          <w:sz w:val="24"/>
          <w:szCs w:val="24"/>
        </w:rPr>
      </w:pPr>
    </w:p>
    <w:p w:rsidRPr="005C49D3" w:rsidR="002C66A9" w:rsidP="005C49D3" w:rsidRDefault="002C66A9" w14:paraId="2EAFD266" w14:textId="77777777">
      <w:pPr>
        <w:pStyle w:val="ListParagraph"/>
        <w:spacing w:after="0" w:line="240" w:lineRule="auto"/>
        <w:ind w:left="0"/>
        <w:contextualSpacing w:val="0"/>
        <w:rPr>
          <w:rFonts w:ascii="Times New Roman" w:hAnsi="Times New Roman" w:cs="Times New Roman"/>
          <w:sz w:val="24"/>
          <w:szCs w:val="24"/>
        </w:rPr>
      </w:pPr>
      <w:r w:rsidRPr="005C49D3">
        <w:rPr>
          <w:rFonts w:ascii="Times New Roman" w:hAnsi="Times New Roman" w:cs="Times New Roman"/>
          <w:sz w:val="24"/>
          <w:szCs w:val="24"/>
        </w:rPr>
        <w:t xml:space="preserve">APHIS has established a manager/managing entity to serve for this generic clearance and will conduct an independent review of each information collection to ensure compliance with the terms of this clearance prior to submitting each collection to OMB. </w:t>
      </w:r>
    </w:p>
    <w:p w:rsidR="00D512DB" w:rsidP="005C49D3" w:rsidRDefault="00D512DB" w14:paraId="2A274F26" w14:textId="37F1F899">
      <w:pPr>
        <w:pStyle w:val="DefaultText"/>
        <w:rPr>
          <w:rStyle w:val="InitialStyle"/>
          <w:rFonts w:ascii="Times New Roman" w:hAnsi="Times New Roman" w:cs="Times New Roman"/>
          <w:szCs w:val="24"/>
        </w:rPr>
      </w:pPr>
    </w:p>
    <w:p w:rsidRPr="005C49D3" w:rsidR="005C49D3" w:rsidP="005C49D3" w:rsidRDefault="005C49D3" w14:paraId="58DACABD" w14:textId="77777777">
      <w:pPr>
        <w:pStyle w:val="DefaultText"/>
        <w:rPr>
          <w:rStyle w:val="InitialStyle"/>
          <w:rFonts w:ascii="Times New Roman" w:hAnsi="Times New Roman" w:cs="Times New Roman"/>
          <w:szCs w:val="24"/>
        </w:rPr>
      </w:pPr>
    </w:p>
    <w:p w:rsidRPr="00DE5A1D" w:rsidR="00BB16DC" w:rsidP="005C49D3" w:rsidRDefault="00BB16DC" w14:paraId="110BF312" w14:textId="77777777">
      <w:r w:rsidRPr="00DE5A1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C49D3" w:rsidR="00BB16DC" w:rsidP="005C49D3" w:rsidRDefault="00BB16DC" w14:paraId="1278B410" w14:textId="77777777">
      <w:pPr>
        <w:rPr>
          <w:rStyle w:val="InitialStyle"/>
          <w:rFonts w:ascii="Times New Roman" w:hAnsi="Times New Roman" w:cs="Times New Roman"/>
        </w:rPr>
      </w:pPr>
    </w:p>
    <w:p w:rsidRPr="005C49D3" w:rsidR="002C66A9" w:rsidP="002C66A9" w:rsidRDefault="002C66A9" w14:paraId="556BE393" w14:textId="77777777">
      <w:r w:rsidRPr="005C49D3">
        <w:t>If appropriate, agencies will collect information electronically and/or use online collaboration tools to reduce burden.</w:t>
      </w:r>
    </w:p>
    <w:p w:rsidRPr="005C49D3" w:rsidR="002C66A9" w:rsidP="002C66A9" w:rsidRDefault="002C66A9" w14:paraId="27065B2A" w14:textId="77777777"/>
    <w:p w:rsidRPr="005C49D3" w:rsidR="00C6130C" w:rsidP="00C6130C" w:rsidRDefault="00C6130C" w14:paraId="39E42F27" w14:textId="77777777">
      <w:pPr>
        <w:pStyle w:val="DefaultText"/>
        <w:rPr>
          <w:rStyle w:val="InitialStyle"/>
          <w:rFonts w:ascii="Times New Roman" w:hAnsi="Times New Roman" w:cs="Times New Roman"/>
          <w:szCs w:val="24"/>
        </w:rPr>
      </w:pPr>
    </w:p>
    <w:p w:rsidRPr="00DE5A1D" w:rsidR="00BB16DC" w:rsidP="00BB16DC" w:rsidRDefault="00BB16DC" w14:paraId="520DD840" w14:textId="77777777">
      <w:pPr>
        <w:rPr>
          <w:b/>
          <w:bCs/>
        </w:rPr>
      </w:pPr>
      <w:r w:rsidRPr="00DE5A1D">
        <w:rPr>
          <w:b/>
          <w:bCs/>
        </w:rPr>
        <w:t>4. Describe efforts to identify duplication. Show specifically why any similar information already available cannot be used or modified for use for the purposes</w:t>
      </w:r>
      <w:r w:rsidRPr="00DE5A1D">
        <w:rPr>
          <w:b/>
          <w:bCs/>
          <w:i/>
          <w:iCs/>
        </w:rPr>
        <w:t xml:space="preserve"> </w:t>
      </w:r>
      <w:r w:rsidRPr="00DE5A1D">
        <w:rPr>
          <w:b/>
          <w:bCs/>
        </w:rPr>
        <w:t>described in Item 2 above.</w:t>
      </w:r>
    </w:p>
    <w:p w:rsidRPr="005C49D3" w:rsidR="00BB16DC" w:rsidP="00BB16DC" w:rsidRDefault="00BB16DC" w14:paraId="782DF214" w14:textId="77777777">
      <w:pPr>
        <w:rPr>
          <w:rStyle w:val="InitialStyle"/>
          <w:rFonts w:ascii="Times New Roman" w:hAnsi="Times New Roman" w:cs="Times New Roman"/>
        </w:rPr>
      </w:pPr>
    </w:p>
    <w:p w:rsidRPr="005C49D3" w:rsidR="002C66A9" w:rsidP="002C66A9" w:rsidRDefault="005C49D3" w14:paraId="03441AB6" w14:textId="3026E4FA">
      <w:r w:rsidRPr="005C49D3">
        <w:t xml:space="preserve">Feedback is unique to the APHIS program requesting it.  </w:t>
      </w:r>
      <w:r w:rsidRPr="005C49D3" w:rsidR="002C66A9">
        <w:t>No similar data are gathered or maintained by APHIS or are available from other sources known to APHIS.</w:t>
      </w:r>
    </w:p>
    <w:p w:rsidRPr="005C49D3" w:rsidR="002C66A9" w:rsidP="002C66A9" w:rsidRDefault="002C66A9" w14:paraId="66C176C1" w14:textId="77777777"/>
    <w:p w:rsidRPr="005C49D3" w:rsidR="00D512DB" w:rsidP="00C6130C" w:rsidRDefault="00D512DB" w14:paraId="26F5C4A0" w14:textId="77777777">
      <w:pPr>
        <w:pStyle w:val="DefaultText"/>
        <w:rPr>
          <w:rStyle w:val="InitialStyle"/>
          <w:rFonts w:ascii="Times New Roman" w:hAnsi="Times New Roman" w:cs="Times New Roman"/>
          <w:szCs w:val="24"/>
        </w:rPr>
      </w:pPr>
    </w:p>
    <w:p w:rsidRPr="00DE5A1D" w:rsidR="00BB16DC" w:rsidP="00BB16DC" w:rsidRDefault="00BB16DC" w14:paraId="7852FFCC" w14:textId="77777777">
      <w:pPr>
        <w:rPr>
          <w:b/>
          <w:bCs/>
        </w:rPr>
      </w:pPr>
      <w:r w:rsidRPr="00DE5A1D">
        <w:rPr>
          <w:b/>
          <w:bCs/>
        </w:rPr>
        <w:t>5</w:t>
      </w:r>
      <w:r w:rsidRPr="00DE5A1D">
        <w:t xml:space="preserve">. </w:t>
      </w:r>
      <w:r w:rsidRPr="00DE5A1D">
        <w:rPr>
          <w:b/>
          <w:bCs/>
        </w:rPr>
        <w:t>If the collection of information impacts small businesses or other small entities, describe any methods used to minimize burden.</w:t>
      </w:r>
    </w:p>
    <w:p w:rsidRPr="005C49D3" w:rsidR="00BB16DC" w:rsidP="00BB16DC" w:rsidRDefault="00BB16DC" w14:paraId="232C3E9B" w14:textId="77777777">
      <w:pPr>
        <w:rPr>
          <w:rStyle w:val="InitialStyle"/>
          <w:rFonts w:ascii="Times New Roman" w:hAnsi="Times New Roman" w:cs="Times New Roman"/>
        </w:rPr>
      </w:pPr>
    </w:p>
    <w:p w:rsidRPr="005C49D3" w:rsidR="002C66A9" w:rsidP="002C66A9" w:rsidRDefault="005C49D3" w14:paraId="6F95A434" w14:textId="42665D52">
      <w:r w:rsidRPr="005C49D3">
        <w:t xml:space="preserve">APHIS estimates that 90% of the business respondents are small entities.  </w:t>
      </w:r>
      <w:r w:rsidRPr="005C49D3" w:rsidR="002C66A9">
        <w:t>Small business or other small entities ma</w:t>
      </w:r>
      <w:r w:rsidRPr="005C49D3">
        <w:t>y</w:t>
      </w:r>
      <w:r w:rsidRPr="005C49D3" w:rsidR="002C66A9">
        <w:t xml:space="preserve"> be involved in these efforts but APHIS will minimize the burden on them of information collections approved under this clearance by sampling, asking for readily available information, and using short, easy-to-complete information collection instruments.  </w:t>
      </w:r>
    </w:p>
    <w:p w:rsidRPr="005C49D3" w:rsidR="00C6130C" w:rsidP="00C6130C" w:rsidRDefault="00C6130C" w14:paraId="5AC95008" w14:textId="77777777">
      <w:pPr>
        <w:pStyle w:val="DefaultText"/>
        <w:ind w:right="-180"/>
        <w:rPr>
          <w:rStyle w:val="InitialStyle"/>
          <w:rFonts w:ascii="Times New Roman" w:hAnsi="Times New Roman" w:cs="Times New Roman"/>
          <w:bCs/>
          <w:szCs w:val="24"/>
        </w:rPr>
      </w:pPr>
    </w:p>
    <w:p w:rsidRPr="005C49D3" w:rsidR="00D512DB" w:rsidP="00C6130C" w:rsidRDefault="00D512DB" w14:paraId="78102788" w14:textId="77777777">
      <w:pPr>
        <w:pStyle w:val="DefaultText"/>
        <w:ind w:right="-180"/>
        <w:rPr>
          <w:rStyle w:val="InitialStyle"/>
          <w:rFonts w:ascii="Times New Roman" w:hAnsi="Times New Roman" w:cs="Times New Roman"/>
          <w:bCs/>
          <w:szCs w:val="24"/>
        </w:rPr>
      </w:pPr>
    </w:p>
    <w:p w:rsidRPr="00DE5A1D" w:rsidR="00BB16DC" w:rsidP="00BB16DC" w:rsidRDefault="00BB16DC" w14:paraId="1DC94DCC" w14:textId="77777777">
      <w:pPr>
        <w:rPr>
          <w:b/>
          <w:bCs/>
        </w:rPr>
      </w:pPr>
      <w:r w:rsidRPr="00DE5A1D">
        <w:rPr>
          <w:b/>
          <w:bCs/>
        </w:rPr>
        <w:t>6. Describe the consequences to Federal program or policy activities if the collection is not conducted or is conducted less frequently, as well as any technical or legal obstacles to reducing burden.</w:t>
      </w:r>
    </w:p>
    <w:p w:rsidRPr="005C49D3" w:rsidR="00BB16DC" w:rsidP="00BB16DC" w:rsidRDefault="00BB16DC" w14:paraId="4EBA5BBB" w14:textId="77777777"/>
    <w:p w:rsidRPr="005C49D3" w:rsidR="002C66A9" w:rsidP="002C66A9" w:rsidRDefault="002C66A9" w14:paraId="4552E045" w14:textId="77777777">
      <w:r w:rsidRPr="005C49D3">
        <w:t>Without these types of feedback, APHIS will not have timely information to adjust its services to meet customer needs.</w:t>
      </w:r>
    </w:p>
    <w:p w:rsidRPr="005C49D3" w:rsidR="00C6130C" w:rsidP="00C6130C" w:rsidRDefault="00C6130C" w14:paraId="1772988D" w14:textId="77777777">
      <w:pPr>
        <w:pStyle w:val="DefaultText"/>
        <w:rPr>
          <w:rStyle w:val="InitialStyle"/>
          <w:rFonts w:ascii="Times New Roman" w:hAnsi="Times New Roman" w:cs="Times New Roman"/>
          <w:szCs w:val="24"/>
        </w:rPr>
      </w:pPr>
    </w:p>
    <w:p w:rsidRPr="005C49D3" w:rsidR="00D512DB" w:rsidP="00C6130C" w:rsidRDefault="00D512DB" w14:paraId="225318C4" w14:textId="77777777">
      <w:pPr>
        <w:pStyle w:val="DefaultText"/>
        <w:rPr>
          <w:rStyle w:val="InitialStyle"/>
          <w:rFonts w:ascii="Times New Roman" w:hAnsi="Times New Roman" w:cs="Times New Roman"/>
          <w:szCs w:val="24"/>
        </w:rPr>
      </w:pPr>
    </w:p>
    <w:p w:rsidRPr="00DE5A1D" w:rsidR="00BB16DC" w:rsidP="00BB16DC" w:rsidRDefault="00BB16DC" w14:paraId="73778674" w14:textId="77777777">
      <w:pPr>
        <w:rPr>
          <w:b/>
          <w:bCs/>
        </w:rPr>
      </w:pPr>
      <w:r w:rsidRPr="00DE5A1D">
        <w:rPr>
          <w:b/>
          <w:bCs/>
        </w:rPr>
        <w:t>7. Explain any special circumstances that would cause an information collection to be conducted in a manner:</w:t>
      </w:r>
    </w:p>
    <w:p w:rsidRPr="00DE5A1D" w:rsidR="00BB16DC" w:rsidP="00BB16DC" w:rsidRDefault="00BB16DC" w14:paraId="4B6E0F98" w14:textId="77777777">
      <w:pPr>
        <w:numPr>
          <w:ilvl w:val="0"/>
          <w:numId w:val="17"/>
        </w:numPr>
        <w:tabs>
          <w:tab w:val="clear" w:pos="720"/>
        </w:tabs>
        <w:spacing w:before="120"/>
        <w:rPr>
          <w:b/>
        </w:rPr>
      </w:pPr>
      <w:r w:rsidRPr="00DE5A1D">
        <w:rPr>
          <w:b/>
        </w:rPr>
        <w:t xml:space="preserve">requiring respondents to report information to the agency more often than quarterly; </w:t>
      </w:r>
    </w:p>
    <w:p w:rsidRPr="00DE5A1D" w:rsidR="00BB16DC" w:rsidP="00BB16DC" w:rsidRDefault="00BB16DC" w14:paraId="58591302" w14:textId="77777777">
      <w:pPr>
        <w:numPr>
          <w:ilvl w:val="0"/>
          <w:numId w:val="17"/>
        </w:numPr>
        <w:tabs>
          <w:tab w:val="clear" w:pos="720"/>
        </w:tabs>
        <w:spacing w:before="120"/>
        <w:rPr>
          <w:b/>
        </w:rPr>
      </w:pPr>
      <w:r w:rsidRPr="00DE5A1D">
        <w:rPr>
          <w:b/>
        </w:rPr>
        <w:t>requiring respondents to prepare a written response to a collection of information in fewer than 30 days after receipt of it;</w:t>
      </w:r>
    </w:p>
    <w:p w:rsidRPr="00DE5A1D" w:rsidR="00BB16DC" w:rsidP="00BB16DC" w:rsidRDefault="00BB16DC" w14:paraId="6C3B16EE" w14:textId="77777777">
      <w:pPr>
        <w:numPr>
          <w:ilvl w:val="0"/>
          <w:numId w:val="17"/>
        </w:numPr>
        <w:tabs>
          <w:tab w:val="clear" w:pos="720"/>
        </w:tabs>
        <w:spacing w:before="120"/>
        <w:rPr>
          <w:b/>
        </w:rPr>
      </w:pPr>
      <w:r w:rsidRPr="00DE5A1D">
        <w:rPr>
          <w:b/>
        </w:rPr>
        <w:t xml:space="preserve">requiring respondents to submit more than an original and two copies of any document; </w:t>
      </w:r>
    </w:p>
    <w:p w:rsidRPr="00DE5A1D" w:rsidR="00BB16DC" w:rsidP="00BB16DC" w:rsidRDefault="00BB16DC" w14:paraId="31EB952F" w14:textId="77777777">
      <w:pPr>
        <w:numPr>
          <w:ilvl w:val="0"/>
          <w:numId w:val="17"/>
        </w:numPr>
        <w:tabs>
          <w:tab w:val="clear" w:pos="720"/>
        </w:tabs>
        <w:spacing w:before="120"/>
        <w:rPr>
          <w:b/>
        </w:rPr>
      </w:pPr>
      <w:r w:rsidRPr="00DE5A1D">
        <w:rPr>
          <w:b/>
        </w:rPr>
        <w:t xml:space="preserve">requiring respondents to retain records, other than health, medical, government contract, grant-in-aid, or tax records for more than three years; </w:t>
      </w:r>
    </w:p>
    <w:p w:rsidRPr="00DE5A1D" w:rsidR="00BB16DC" w:rsidP="00BB16DC" w:rsidRDefault="00BB16DC" w14:paraId="35C6F521" w14:textId="77777777">
      <w:pPr>
        <w:numPr>
          <w:ilvl w:val="0"/>
          <w:numId w:val="17"/>
        </w:numPr>
        <w:tabs>
          <w:tab w:val="clear" w:pos="720"/>
        </w:tabs>
        <w:spacing w:before="120"/>
        <w:rPr>
          <w:b/>
        </w:rPr>
      </w:pPr>
      <w:r w:rsidRPr="00DE5A1D">
        <w:rPr>
          <w:b/>
        </w:rPr>
        <w:t xml:space="preserve">in connection with a statistical survey, that is not designed to produce valid and reliable results that can be generalized to the universe of study; </w:t>
      </w:r>
    </w:p>
    <w:p w:rsidRPr="00DE5A1D" w:rsidR="00BB16DC" w:rsidP="00BB16DC" w:rsidRDefault="00BB16DC" w14:paraId="2CB6D0A6" w14:textId="77777777">
      <w:pPr>
        <w:numPr>
          <w:ilvl w:val="0"/>
          <w:numId w:val="17"/>
        </w:numPr>
        <w:tabs>
          <w:tab w:val="clear" w:pos="720"/>
        </w:tabs>
        <w:spacing w:before="120"/>
        <w:rPr>
          <w:b/>
        </w:rPr>
      </w:pPr>
      <w:r w:rsidRPr="00DE5A1D">
        <w:rPr>
          <w:b/>
        </w:rPr>
        <w:t xml:space="preserve">requiring the use of a statistical data classification that has not been reviewed and approved by OMB; </w:t>
      </w:r>
    </w:p>
    <w:p w:rsidRPr="00DE5A1D" w:rsidR="00BB16DC" w:rsidP="00BB16DC" w:rsidRDefault="00BB16DC" w14:paraId="7C6F4C17" w14:textId="77777777">
      <w:pPr>
        <w:numPr>
          <w:ilvl w:val="0"/>
          <w:numId w:val="17"/>
        </w:numPr>
        <w:tabs>
          <w:tab w:val="clear" w:pos="720"/>
        </w:tabs>
        <w:spacing w:before="120"/>
        <w:rPr>
          <w:b/>
        </w:rPr>
      </w:pPr>
      <w:r w:rsidRPr="00DE5A1D">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DE5A1D" w:rsidR="00BB16DC" w:rsidP="00BB16DC" w:rsidRDefault="00BB16DC" w14:paraId="54C6FBC0" w14:textId="77777777">
      <w:pPr>
        <w:numPr>
          <w:ilvl w:val="0"/>
          <w:numId w:val="17"/>
        </w:numPr>
        <w:tabs>
          <w:tab w:val="clear" w:pos="720"/>
        </w:tabs>
        <w:spacing w:before="120"/>
        <w:rPr>
          <w:b/>
        </w:rPr>
      </w:pPr>
      <w:r w:rsidRPr="00DE5A1D">
        <w:rPr>
          <w:b/>
        </w:rPr>
        <w:t>requiring respondents to submit proprietary trade secret, or other confidential information unless the agency can demonstrate that it has instituted procedures to protect the information's confidentiality to the extent permitted by law.</w:t>
      </w:r>
    </w:p>
    <w:p w:rsidRPr="005C49D3" w:rsidR="00BB16DC" w:rsidP="00BB16DC" w:rsidRDefault="00BB16DC" w14:paraId="70B4D614" w14:textId="77777777">
      <w:pPr>
        <w:rPr>
          <w:rStyle w:val="InitialStyle"/>
          <w:rFonts w:ascii="Times New Roman" w:hAnsi="Times New Roman" w:cs="Times New Roman"/>
        </w:rPr>
      </w:pPr>
    </w:p>
    <w:p w:rsidRPr="005C49D3" w:rsidR="00E612A8" w:rsidP="00E612A8" w:rsidRDefault="00E612A8" w14:paraId="4C6C60B3" w14:textId="77777777">
      <w:pPr>
        <w:overflowPunct w:val="0"/>
        <w:autoSpaceDE w:val="0"/>
        <w:autoSpaceDN w:val="0"/>
        <w:adjustRightInd w:val="0"/>
        <w:textAlignment w:val="baseline"/>
      </w:pPr>
      <w:r w:rsidRPr="005C49D3">
        <w:t>No special circumstances exist that would require this collection to be conducted in a manner inconsistent with the general information collection guidelines in 5 CFR 1320.5.</w:t>
      </w:r>
      <w:r w:rsidRPr="005C49D3" w:rsidR="002C66A9">
        <w:t xml:space="preserve">  The information collected will be voluntary and will not be used for statistical purposes.</w:t>
      </w:r>
    </w:p>
    <w:p w:rsidRPr="005C49D3" w:rsidR="00E612A8" w:rsidP="00E612A8" w:rsidRDefault="00E612A8" w14:paraId="74C69900" w14:textId="77777777">
      <w:pPr>
        <w:overflowPunct w:val="0"/>
        <w:autoSpaceDE w:val="0"/>
        <w:autoSpaceDN w:val="0"/>
        <w:adjustRightInd w:val="0"/>
        <w:textAlignment w:val="baseline"/>
      </w:pPr>
    </w:p>
    <w:p w:rsidRPr="005C49D3" w:rsidR="00D512DB" w:rsidP="00C6130C" w:rsidRDefault="00D512DB" w14:paraId="01E89D60" w14:textId="77777777">
      <w:pPr>
        <w:pStyle w:val="DefaultText"/>
        <w:rPr>
          <w:rStyle w:val="InitialStyle"/>
          <w:rFonts w:ascii="Times New Roman" w:hAnsi="Times New Roman" w:cs="Times New Roman"/>
          <w:szCs w:val="24"/>
        </w:rPr>
      </w:pPr>
    </w:p>
    <w:p w:rsidRPr="00DE5A1D" w:rsidR="00BB16DC" w:rsidP="00BB16DC" w:rsidRDefault="00BB16DC" w14:paraId="5C2DD93D" w14:textId="77777777">
      <w:pPr>
        <w:pStyle w:val="300"/>
        <w:rPr>
          <w:rStyle w:val="301"/>
          <w:b/>
          <w:bCs/>
          <w:szCs w:val="24"/>
        </w:rPr>
      </w:pPr>
      <w:bookmarkStart w:name="OLE_LINK1" w:id="0"/>
      <w:bookmarkStart w:name="OLE_LINK2" w:id="1"/>
      <w:r w:rsidRPr="00DE5A1D">
        <w:rPr>
          <w:rStyle w:val="301"/>
          <w:b/>
          <w:bCs/>
          <w:szCs w:val="24"/>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5C49D3" w:rsidR="00BB16DC" w:rsidP="00BB16DC" w:rsidRDefault="00BB16DC" w14:paraId="65F3DA7D" w14:textId="77777777">
      <w:pPr>
        <w:rPr>
          <w:bCs/>
        </w:rPr>
      </w:pPr>
    </w:p>
    <w:p w:rsidRPr="005C49D3" w:rsidR="005C49D3" w:rsidP="005C49D3" w:rsidRDefault="0076597B" w14:paraId="60E77464" w14:textId="77777777">
      <w:pPr>
        <w:overflowPunct w:val="0"/>
        <w:autoSpaceDE w:val="0"/>
        <w:autoSpaceDN w:val="0"/>
        <w:adjustRightInd w:val="0"/>
        <w:textAlignment w:val="baseline"/>
      </w:pPr>
      <w:r w:rsidRPr="005C49D3">
        <w:t>On Wednes</w:t>
      </w:r>
      <w:r w:rsidRPr="005C49D3" w:rsidR="00C11EDA">
        <w:t xml:space="preserve">day, </w:t>
      </w:r>
      <w:r w:rsidRPr="005C49D3" w:rsidR="005C49D3">
        <w:t xml:space="preserve">September 1, 2021, </w:t>
      </w:r>
      <w:r w:rsidRPr="005C49D3" w:rsidR="00C11EDA">
        <w:t>APHIS published in the Federal Register</w:t>
      </w:r>
      <w:r w:rsidRPr="005C49D3" w:rsidR="005C49D3">
        <w:t xml:space="preserve"> (pages 48974 and 48975)</w:t>
      </w:r>
      <w:r w:rsidRPr="005C49D3" w:rsidR="00C11EDA">
        <w:t>, a 60-day notice seeking public comments on its plans to request a 3-year renewal</w:t>
      </w:r>
      <w:r w:rsidRPr="005C49D3" w:rsidR="00C11EDA">
        <w:rPr>
          <w:b/>
        </w:rPr>
        <w:t xml:space="preserve"> </w:t>
      </w:r>
      <w:r w:rsidRPr="005C49D3" w:rsidR="00C11EDA">
        <w:t xml:space="preserve">of this collection of information.  </w:t>
      </w:r>
      <w:r w:rsidRPr="005C49D3">
        <w:t xml:space="preserve">During that time, </w:t>
      </w:r>
      <w:r w:rsidRPr="005C49D3" w:rsidR="005C49D3">
        <w:t>no comments were received.</w:t>
      </w:r>
      <w:bookmarkEnd w:id="0"/>
      <w:bookmarkEnd w:id="1"/>
    </w:p>
    <w:p w:rsidR="005C49D3" w:rsidP="005C49D3" w:rsidRDefault="005C49D3" w14:paraId="1A435EEC" w14:textId="34391CE4">
      <w:pPr>
        <w:overflowPunct w:val="0"/>
        <w:autoSpaceDE w:val="0"/>
        <w:autoSpaceDN w:val="0"/>
        <w:adjustRightInd w:val="0"/>
        <w:textAlignment w:val="baseline"/>
      </w:pPr>
    </w:p>
    <w:p w:rsidR="006E329B" w:rsidP="005C49D3" w:rsidRDefault="006E329B" w14:paraId="0E162B93" w14:textId="03926A97">
      <w:pPr>
        <w:overflowPunct w:val="0"/>
        <w:autoSpaceDE w:val="0"/>
        <w:autoSpaceDN w:val="0"/>
        <w:adjustRightInd w:val="0"/>
        <w:textAlignment w:val="baseline"/>
      </w:pPr>
    </w:p>
    <w:p w:rsidR="006E329B" w:rsidP="005C49D3" w:rsidRDefault="006E329B" w14:paraId="230FE193" w14:textId="334D7927">
      <w:pPr>
        <w:overflowPunct w:val="0"/>
        <w:autoSpaceDE w:val="0"/>
        <w:autoSpaceDN w:val="0"/>
        <w:adjustRightInd w:val="0"/>
        <w:textAlignment w:val="baseline"/>
      </w:pPr>
    </w:p>
    <w:p w:rsidRPr="005C49D3" w:rsidR="006E329B" w:rsidP="005C49D3" w:rsidRDefault="006E329B" w14:paraId="3E2DA236" w14:textId="77777777">
      <w:pPr>
        <w:overflowPunct w:val="0"/>
        <w:autoSpaceDE w:val="0"/>
        <w:autoSpaceDN w:val="0"/>
        <w:adjustRightInd w:val="0"/>
        <w:textAlignment w:val="baseline"/>
      </w:pPr>
    </w:p>
    <w:p w:rsidRPr="00DE5A1D" w:rsidR="00BB16DC" w:rsidP="005C49D3" w:rsidRDefault="00BB16DC" w14:paraId="5B000596" w14:textId="2A690722">
      <w:pPr>
        <w:overflowPunct w:val="0"/>
        <w:autoSpaceDE w:val="0"/>
        <w:autoSpaceDN w:val="0"/>
        <w:adjustRightInd w:val="0"/>
        <w:textAlignment w:val="baseline"/>
      </w:pPr>
      <w:r w:rsidRPr="00DE5A1D">
        <w:rPr>
          <w:b/>
          <w:bCs/>
        </w:rPr>
        <w:lastRenderedPageBreak/>
        <w:t>9</w:t>
      </w:r>
      <w:r w:rsidRPr="00DE5A1D">
        <w:t xml:space="preserve">. </w:t>
      </w:r>
      <w:r w:rsidRPr="00DE5A1D">
        <w:rPr>
          <w:b/>
          <w:bCs/>
        </w:rPr>
        <w:t>Explain any decision to provide any payment or gift to respondents, other than remuneration of contractors or grantees.</w:t>
      </w:r>
    </w:p>
    <w:p w:rsidRPr="005C49D3" w:rsidR="00BB16DC" w:rsidP="00BB16DC" w:rsidRDefault="00BB16DC" w14:paraId="2AE32BA1" w14:textId="77777777">
      <w:pPr>
        <w:rPr>
          <w:rStyle w:val="InitialStyle"/>
          <w:rFonts w:ascii="Times New Roman" w:hAnsi="Times New Roman" w:cs="Times New Roman"/>
        </w:rPr>
      </w:pPr>
    </w:p>
    <w:p w:rsidRPr="005C49D3" w:rsidR="0076597B" w:rsidP="0076597B" w:rsidRDefault="0076597B" w14:paraId="3C788E5E" w14:textId="77777777">
      <w:r w:rsidRPr="005C49D3">
        <w:t>APHIS will not provide payment or other forms of remuneration to respondents of its various forms of collecting feedback.  Focus groups and cognitive laboratory studies are the exceptions.</w:t>
      </w:r>
    </w:p>
    <w:p w:rsidRPr="005C49D3" w:rsidR="0076597B" w:rsidP="0076597B" w:rsidRDefault="0076597B" w14:paraId="77FA8E4D" w14:textId="3993C922"/>
    <w:p w:rsidRPr="005C49D3" w:rsidR="0076597B" w:rsidP="0076597B" w:rsidRDefault="0076597B" w14:paraId="62321E3A" w14:textId="7597EE59">
      <w:r w:rsidRPr="005C49D3">
        <w:t>In the case of in-person cognitive laboratory and usability studies, APHIS may provide stipends of up to $40.  In the case of in-person focus groups, APHIS may provide stipends of up to $75.  If  respondents participate in these kinds of studies remotely, via phone, or Internet, any proposed stipend needs to be justified to OMB and must be considerably less than that provided to respondents in in-person studies, who have to travel to APHIS or other facility to participate.  If such information collections include hard-to-reach groups and APHIS plans to offer non-standard stipends, APHIS will provide OMB with additional justifications in the request for clearance of these specific activities.</w:t>
      </w:r>
    </w:p>
    <w:p w:rsidRPr="005C49D3" w:rsidR="0076597B" w:rsidP="0076597B" w:rsidRDefault="0076597B" w14:paraId="37BE7375" w14:textId="77777777"/>
    <w:p w:rsidRPr="005C49D3" w:rsidR="00C6130C" w:rsidP="0076597B" w:rsidRDefault="0076597B" w14:paraId="206027EC" w14:textId="77777777">
      <w:pPr>
        <w:pStyle w:val="DefaultText"/>
        <w:rPr>
          <w:rStyle w:val="InitialStyle"/>
          <w:rFonts w:ascii="Times New Roman" w:hAnsi="Times New Roman" w:cs="Times New Roman"/>
          <w:szCs w:val="24"/>
        </w:rPr>
      </w:pPr>
      <w:r w:rsidRPr="005C49D3">
        <w:rPr>
          <w:szCs w:val="24"/>
        </w:rPr>
        <w:t>It should also be noted that APHIS may pay for the postage associated with returning responses</w:t>
      </w:r>
    </w:p>
    <w:p w:rsidRPr="005C49D3" w:rsidR="00C6130C" w:rsidP="00C6130C" w:rsidRDefault="00C6130C" w14:paraId="23E8491A" w14:textId="77777777">
      <w:pPr>
        <w:pStyle w:val="DefaultText"/>
        <w:rPr>
          <w:rStyle w:val="InitialStyle"/>
          <w:rFonts w:ascii="Times New Roman" w:hAnsi="Times New Roman" w:cs="Times New Roman"/>
          <w:szCs w:val="24"/>
        </w:rPr>
      </w:pPr>
    </w:p>
    <w:p w:rsidRPr="005C49D3" w:rsidR="00D512DB" w:rsidP="00C6130C" w:rsidRDefault="00D512DB" w14:paraId="21491F0C" w14:textId="77777777">
      <w:pPr>
        <w:pStyle w:val="DefaultText"/>
        <w:rPr>
          <w:rStyle w:val="InitialStyle"/>
          <w:rFonts w:ascii="Times New Roman" w:hAnsi="Times New Roman" w:cs="Times New Roman"/>
          <w:szCs w:val="24"/>
        </w:rPr>
      </w:pPr>
    </w:p>
    <w:p w:rsidRPr="00DE5A1D" w:rsidR="00BB16DC" w:rsidP="00BB16DC" w:rsidRDefault="00BB16DC" w14:paraId="036C0354" w14:textId="77777777">
      <w:pPr>
        <w:rPr>
          <w:b/>
          <w:bCs/>
        </w:rPr>
      </w:pPr>
      <w:r w:rsidRPr="00DE5A1D">
        <w:rPr>
          <w:b/>
          <w:bCs/>
        </w:rPr>
        <w:t>10. Describe any assurance of confidentiality provided to respondents and the basis for the assurance in statute, regulation, or agency policy.</w:t>
      </w:r>
    </w:p>
    <w:p w:rsidRPr="005C49D3" w:rsidR="00BB16DC" w:rsidP="00BB16DC" w:rsidRDefault="00BB16DC" w14:paraId="61C86B68" w14:textId="77777777"/>
    <w:p w:rsidRPr="005C49D3" w:rsidR="0076597B" w:rsidP="0076597B" w:rsidRDefault="0076597B" w14:paraId="06F7E441" w14:textId="77777777">
      <w:r w:rsidRPr="005C49D3">
        <w:t>If a confidentiality pledge is deemed useful and feasible, APHIS will only include a pledge of confidentiality that is supported by authority established in statute or regulation, which is supported by disclosure and data security policies that are consistent with the pledge, and that does not unnecessarily impede sharing of data with other agencies for compatible confidential use.  If APHIS includes a pledge of confidentiality, it will include a citation for the statute or regulation supporting the pledge.</w:t>
      </w:r>
    </w:p>
    <w:p w:rsidRPr="005C49D3" w:rsidR="00E62B5F" w:rsidP="00E62B5F" w:rsidRDefault="00E62B5F" w14:paraId="6EFC4EE7" w14:textId="77777777">
      <w:pPr>
        <w:overflowPunct w:val="0"/>
        <w:autoSpaceDE w:val="0"/>
        <w:autoSpaceDN w:val="0"/>
        <w:adjustRightInd w:val="0"/>
        <w:textAlignment w:val="baseline"/>
      </w:pPr>
    </w:p>
    <w:p w:rsidRPr="005C49D3" w:rsidR="00E62B5F" w:rsidP="00D512DB" w:rsidRDefault="00E62B5F" w14:paraId="606BE415" w14:textId="77777777"/>
    <w:p w:rsidRPr="00DE5A1D" w:rsidR="00BB16DC" w:rsidP="00BB16DC" w:rsidRDefault="00BB16DC" w14:paraId="63903585" w14:textId="77777777">
      <w:pPr>
        <w:pStyle w:val="DefaultText"/>
        <w:rPr>
          <w:rStyle w:val="InitialStyle"/>
          <w:rFonts w:ascii="Times New Roman" w:hAnsi="Times New Roman" w:cs="Times New Roman"/>
          <w:b/>
          <w:szCs w:val="24"/>
        </w:rPr>
      </w:pPr>
      <w:r w:rsidRPr="00DE5A1D">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E5A1D" w:rsidR="00BB16DC" w:rsidP="00BB16DC" w:rsidRDefault="00BB16DC" w14:paraId="2E621512" w14:textId="77777777">
      <w:pPr>
        <w:pStyle w:val="DefaultText"/>
        <w:rPr>
          <w:rStyle w:val="InitialStyle"/>
          <w:rFonts w:ascii="Times New Roman" w:hAnsi="Times New Roman" w:cs="Times New Roman"/>
          <w:szCs w:val="24"/>
        </w:rPr>
      </w:pPr>
    </w:p>
    <w:p w:rsidRPr="00DE5A1D" w:rsidR="00C6130C" w:rsidP="00C6130C" w:rsidRDefault="00C6130C" w14:paraId="650996B4" w14:textId="77777777">
      <w:pPr>
        <w:pStyle w:val="DefaultText"/>
        <w:rPr>
          <w:rStyle w:val="InitialStyle"/>
          <w:rFonts w:ascii="Times New Roman" w:hAnsi="Times New Roman" w:cs="Times New Roman"/>
          <w:szCs w:val="24"/>
        </w:rPr>
      </w:pPr>
      <w:r w:rsidRPr="00DE5A1D">
        <w:rPr>
          <w:rStyle w:val="InitialStyle"/>
          <w:rFonts w:ascii="Times New Roman" w:hAnsi="Times New Roman" w:cs="Times New Roman"/>
          <w:szCs w:val="24"/>
        </w:rPr>
        <w:t>This information collection activity will ask no questions of a personal or sensitive nature.</w:t>
      </w:r>
    </w:p>
    <w:p w:rsidRPr="00DE5A1D" w:rsidR="00C6130C" w:rsidP="00C6130C" w:rsidRDefault="00C6130C" w14:paraId="3BE75C3F" w14:textId="77777777">
      <w:pPr>
        <w:pStyle w:val="DefaultText"/>
        <w:rPr>
          <w:rStyle w:val="InitialStyle"/>
          <w:rFonts w:ascii="Times New Roman" w:hAnsi="Times New Roman" w:cs="Times New Roman"/>
          <w:szCs w:val="24"/>
        </w:rPr>
      </w:pPr>
    </w:p>
    <w:p w:rsidRPr="00DE5A1D" w:rsidR="00D512DB" w:rsidP="00C6130C" w:rsidRDefault="00D512DB" w14:paraId="35CAA318" w14:textId="77777777">
      <w:pPr>
        <w:pStyle w:val="DefaultText"/>
        <w:rPr>
          <w:rStyle w:val="InitialStyle"/>
          <w:rFonts w:ascii="Times New Roman" w:hAnsi="Times New Roman" w:cs="Times New Roman"/>
          <w:szCs w:val="24"/>
        </w:rPr>
      </w:pPr>
    </w:p>
    <w:p w:rsidRPr="00DE5A1D" w:rsidR="00BB16DC" w:rsidP="00BB16DC" w:rsidRDefault="00BB16DC" w14:paraId="7BDCC02F" w14:textId="77777777">
      <w:pPr>
        <w:pStyle w:val="300"/>
        <w:rPr>
          <w:rStyle w:val="301"/>
          <w:b/>
          <w:bCs/>
          <w:szCs w:val="24"/>
        </w:rPr>
      </w:pPr>
      <w:r w:rsidRPr="00DE5A1D">
        <w:rPr>
          <w:rStyle w:val="301"/>
          <w:b/>
          <w:bCs/>
          <w:szCs w:val="24"/>
        </w:rPr>
        <w:t>12. Provide estimates of the hour burden of the collection of information. Indicate the number of respondents, frequency of response, annual hour burden, and an explanation of how the burden was estimated.</w:t>
      </w:r>
    </w:p>
    <w:p w:rsidRPr="00DE5A1D" w:rsidR="00BB16DC" w:rsidP="00BB16DC" w:rsidRDefault="00BB16DC" w14:paraId="5EC5BB9D" w14:textId="77777777">
      <w:pPr>
        <w:pStyle w:val="300"/>
        <w:jc w:val="both"/>
        <w:rPr>
          <w:rStyle w:val="301"/>
          <w:b/>
          <w:bCs/>
          <w:szCs w:val="24"/>
        </w:rPr>
      </w:pPr>
    </w:p>
    <w:p w:rsidRPr="00DE5A1D" w:rsidR="00BB16DC" w:rsidP="00BB16DC" w:rsidRDefault="00BB16DC" w14:paraId="62BB6FA4" w14:textId="0A4B52FB">
      <w:pPr>
        <w:pStyle w:val="300"/>
        <w:jc w:val="both"/>
        <w:rPr>
          <w:rStyle w:val="301"/>
          <w:bCs/>
          <w:szCs w:val="24"/>
        </w:rPr>
      </w:pPr>
      <w:r w:rsidRPr="00DE5A1D">
        <w:rPr>
          <w:rStyle w:val="301"/>
          <w:bCs/>
          <w:szCs w:val="24"/>
        </w:rPr>
        <w:t>See APHIS Form 71.</w:t>
      </w:r>
      <w:r w:rsidRPr="00DE5A1D" w:rsidR="00DE5A1D">
        <w:rPr>
          <w:rStyle w:val="301"/>
          <w:bCs/>
          <w:szCs w:val="24"/>
        </w:rPr>
        <w:t xml:space="preserve">  </w:t>
      </w:r>
      <w:r w:rsidRPr="00DE5A1D" w:rsidR="00DE5A1D">
        <w:rPr>
          <w:sz w:val="24"/>
          <w:szCs w:val="24"/>
        </w:rPr>
        <w:t xml:space="preserve">A variety of instruments and platforms will be used to collect information from respondents who may be from all walks of the public.  </w:t>
      </w:r>
    </w:p>
    <w:p w:rsidRPr="00DE5A1D" w:rsidR="00BB16DC" w:rsidP="00BB16DC" w:rsidRDefault="00BB16DC" w14:paraId="4BB6DF36" w14:textId="77777777">
      <w:pPr>
        <w:rPr>
          <w:rStyle w:val="301"/>
          <w:bCs/>
        </w:rPr>
      </w:pPr>
    </w:p>
    <w:p w:rsidRPr="00DE5A1D" w:rsidR="00BB16DC" w:rsidP="00DE5A1D" w:rsidRDefault="00BB16DC" w14:paraId="419E0564" w14:textId="3370D588">
      <w:pPr>
        <w:pStyle w:val="300"/>
        <w:rPr>
          <w:b/>
          <w:bCs/>
          <w:sz w:val="24"/>
          <w:szCs w:val="24"/>
        </w:rPr>
      </w:pPr>
      <w:r w:rsidRPr="00DE5A1D">
        <w:rPr>
          <w:rStyle w:val="301"/>
          <w:b/>
          <w:bCs/>
          <w:szCs w:val="24"/>
        </w:rPr>
        <w:lastRenderedPageBreak/>
        <w:t xml:space="preserve">● </w:t>
      </w:r>
      <w:r w:rsidRPr="00DE5A1D" w:rsidR="00DE5A1D">
        <w:rPr>
          <w:rStyle w:val="301"/>
          <w:b/>
          <w:bCs/>
          <w:szCs w:val="24"/>
        </w:rPr>
        <w:t xml:space="preserve"> </w:t>
      </w:r>
      <w:r w:rsidRPr="00DE5A1D">
        <w:rPr>
          <w:b/>
          <w:sz w:val="24"/>
          <w:szCs w:val="24"/>
        </w:rPr>
        <w:t>Provide estimates of annualized cost to respondents for the hour burdens for collections of information, identifying and using appropriate wage rate categories.</w:t>
      </w:r>
    </w:p>
    <w:p w:rsidRPr="00DE5A1D" w:rsidR="00BB16DC" w:rsidP="00BB16DC" w:rsidRDefault="00BB16DC" w14:paraId="6641A0F2" w14:textId="77777777">
      <w:pPr>
        <w:rPr>
          <w:b/>
        </w:rPr>
      </w:pPr>
    </w:p>
    <w:p w:rsidRPr="00DE5A1D" w:rsidR="00DE5A1D" w:rsidP="00DE5A1D" w:rsidRDefault="00DE5A1D" w14:paraId="556346F6" w14:textId="2ADA5111">
      <w:r w:rsidRPr="00DE5A1D">
        <w:t>APHIS estimates the total annualized cost to these respondents to be $1,867,448</w:t>
      </w:r>
      <w:r w:rsidRPr="00DE5A1D">
        <w:rPr>
          <w:b/>
        </w:rPr>
        <w:t xml:space="preserve">.  </w:t>
      </w:r>
      <w:r w:rsidRPr="00DE5A1D">
        <w:t>APHIS arrived at this figure by multiplying the 17,500 hours of estimated burden by the estimated average hourly wage of the above respondents ($27.07), and then multiplying the product by 1.449 to capture benefit costs.</w:t>
      </w:r>
    </w:p>
    <w:p w:rsidRPr="00DE5A1D" w:rsidR="00DE5A1D" w:rsidP="00DE5A1D" w:rsidRDefault="00DE5A1D" w14:paraId="7A73BB4F" w14:textId="77777777"/>
    <w:p w:rsidRPr="00DE5A1D" w:rsidR="00DE5A1D" w:rsidP="00DE5A1D" w:rsidRDefault="00DE5A1D" w14:paraId="29DEF6AD" w14:textId="2E7793D5">
      <w:r w:rsidRPr="00DE5A1D">
        <w:t>The average hourly wage was used for SOCC 00-0000, Mean for All Occupations, obtained from the U.S. DOL Bureau of Labor Statistics occupational employment statistics website http://www.bls.gov/current/oes_stru.htm.</w:t>
      </w:r>
    </w:p>
    <w:p w:rsidRPr="00DE5A1D" w:rsidR="00DE5A1D" w:rsidP="00DE5A1D" w:rsidRDefault="00DE5A1D" w14:paraId="0C3E93A7" w14:textId="77777777"/>
    <w:p w:rsidRPr="00DE5A1D" w:rsidR="00DE5A1D" w:rsidP="00DE5A1D" w:rsidRDefault="00DE5A1D" w14:paraId="78DCA0E7" w14:textId="0CDAA7D3">
      <w:r w:rsidRPr="00DE5A1D">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Pr="00DE5A1D" w:rsidR="00C6130C" w:rsidP="00C6130C" w:rsidRDefault="00C6130C" w14:paraId="38DC9756" w14:textId="77777777">
      <w:pPr>
        <w:pStyle w:val="300"/>
        <w:rPr>
          <w:sz w:val="24"/>
          <w:szCs w:val="24"/>
        </w:rPr>
      </w:pPr>
    </w:p>
    <w:p w:rsidRPr="00DE5A1D" w:rsidR="00D512DB" w:rsidP="00C6130C" w:rsidRDefault="00D512DB" w14:paraId="01A69D68" w14:textId="77777777">
      <w:pPr>
        <w:pStyle w:val="300"/>
        <w:rPr>
          <w:sz w:val="24"/>
          <w:szCs w:val="24"/>
        </w:rPr>
      </w:pPr>
    </w:p>
    <w:p w:rsidRPr="00DE5A1D" w:rsidR="00BB16DC" w:rsidP="00BB16DC" w:rsidRDefault="00BB16DC" w14:paraId="50F04CED" w14:textId="77777777">
      <w:pPr>
        <w:pStyle w:val="300"/>
        <w:jc w:val="both"/>
        <w:rPr>
          <w:rStyle w:val="301"/>
          <w:b/>
          <w:bCs/>
          <w:szCs w:val="24"/>
        </w:rPr>
      </w:pPr>
      <w:r w:rsidRPr="00DE5A1D">
        <w:rPr>
          <w:rStyle w:val="301"/>
          <w:b/>
          <w:bCs/>
          <w:szCs w:val="24"/>
        </w:rPr>
        <w:t>13. Provide estimates of the total annual cost burden to respondents or record keepers resulting from the collection of information (do not include the cost of any hour burden shown in Items 12 and 14).</w:t>
      </w:r>
    </w:p>
    <w:p w:rsidRPr="00DE5A1D" w:rsidR="00BB16DC" w:rsidP="00BB16DC" w:rsidRDefault="00BB16DC" w14:paraId="2DC3F67E" w14:textId="77777777">
      <w:pPr>
        <w:pStyle w:val="300"/>
        <w:jc w:val="both"/>
        <w:rPr>
          <w:rStyle w:val="301"/>
          <w:szCs w:val="24"/>
        </w:rPr>
      </w:pPr>
    </w:p>
    <w:p w:rsidRPr="00DE5A1D" w:rsidR="00C6130C" w:rsidP="00C6130C" w:rsidRDefault="00C6130C" w14:paraId="44B7E5F2" w14:textId="77777777">
      <w:pPr>
        <w:pStyle w:val="DefaultText"/>
        <w:rPr>
          <w:rStyle w:val="InitialStyle"/>
          <w:rFonts w:ascii="Times New Roman" w:hAnsi="Times New Roman" w:cs="Times New Roman"/>
          <w:szCs w:val="24"/>
        </w:rPr>
      </w:pPr>
      <w:r w:rsidRPr="00DE5A1D">
        <w:rPr>
          <w:rStyle w:val="InitialStyle"/>
          <w:rFonts w:ascii="Times New Roman" w:hAnsi="Times New Roman" w:cs="Times New Roman"/>
          <w:szCs w:val="24"/>
        </w:rPr>
        <w:t>No annual cost burden is associated with capital and startup costs, operation and maintenance expenditures, and purchase of services</w:t>
      </w:r>
      <w:r w:rsidRPr="00DE5A1D" w:rsidR="0076597B">
        <w:rPr>
          <w:rStyle w:val="InitialStyle"/>
          <w:rFonts w:ascii="Times New Roman" w:hAnsi="Times New Roman" w:cs="Times New Roman"/>
          <w:szCs w:val="24"/>
        </w:rPr>
        <w:t xml:space="preserve"> are anticipated</w:t>
      </w:r>
      <w:r w:rsidRPr="00DE5A1D">
        <w:rPr>
          <w:rStyle w:val="InitialStyle"/>
          <w:rFonts w:ascii="Times New Roman" w:hAnsi="Times New Roman" w:cs="Times New Roman"/>
          <w:szCs w:val="24"/>
        </w:rPr>
        <w:t>.</w:t>
      </w:r>
    </w:p>
    <w:p w:rsidRPr="00DE5A1D" w:rsidR="00C6130C" w:rsidP="00C6130C" w:rsidRDefault="00C6130C" w14:paraId="5DFD5220" w14:textId="77777777">
      <w:pPr>
        <w:pStyle w:val="DefaultText"/>
        <w:rPr>
          <w:rStyle w:val="InitialStyle"/>
          <w:rFonts w:ascii="Times New Roman" w:hAnsi="Times New Roman" w:cs="Times New Roman"/>
          <w:szCs w:val="24"/>
        </w:rPr>
      </w:pPr>
    </w:p>
    <w:p w:rsidRPr="00DE5A1D" w:rsidR="00A3485A" w:rsidP="00C6130C" w:rsidRDefault="00A3485A" w14:paraId="5A446DF7" w14:textId="77777777">
      <w:pPr>
        <w:pStyle w:val="DefaultText"/>
        <w:rPr>
          <w:rStyle w:val="InitialStyle"/>
          <w:rFonts w:ascii="Times New Roman" w:hAnsi="Times New Roman" w:cs="Times New Roman"/>
          <w:szCs w:val="24"/>
        </w:rPr>
      </w:pPr>
    </w:p>
    <w:p w:rsidRPr="00DE5A1D" w:rsidR="00BB16DC" w:rsidP="00BB16DC" w:rsidRDefault="00BB16DC" w14:paraId="29A3B751" w14:textId="77777777">
      <w:pPr>
        <w:rPr>
          <w:b/>
          <w:bCs/>
        </w:rPr>
      </w:pPr>
      <w:r w:rsidRPr="00DE5A1D">
        <w:rPr>
          <w:b/>
          <w:bCs/>
        </w:rPr>
        <w:t>14. Provide estimates of annualized cost to the Federal Government. Provide a description of the method used to estimate cost and any other expense that would not have been incurred without this collection of information.</w:t>
      </w:r>
    </w:p>
    <w:p w:rsidRPr="00DE5A1D" w:rsidR="00BB16DC" w:rsidP="00BB16DC" w:rsidRDefault="00BB16DC" w14:paraId="08BC6589" w14:textId="77777777">
      <w:pPr>
        <w:rPr>
          <w:rStyle w:val="InitialStyle"/>
          <w:rFonts w:ascii="Times New Roman" w:hAnsi="Times New Roman" w:cs="Times New Roman"/>
        </w:rPr>
      </w:pPr>
    </w:p>
    <w:p w:rsidRPr="00DE5A1D" w:rsidR="00BB16DC" w:rsidP="00BB16DC" w:rsidRDefault="00BB16DC" w14:paraId="3E8FFAB5" w14:textId="7F89D903">
      <w:pPr>
        <w:pStyle w:val="300"/>
        <w:jc w:val="both"/>
        <w:rPr>
          <w:rStyle w:val="301"/>
          <w:szCs w:val="24"/>
        </w:rPr>
      </w:pPr>
      <w:r w:rsidRPr="00DE5A1D">
        <w:rPr>
          <w:rStyle w:val="301"/>
          <w:szCs w:val="24"/>
        </w:rPr>
        <w:t>See APHIS Form 79. The estimated annualized cost to the Federal Government is $</w:t>
      </w:r>
      <w:r w:rsidR="006E329B">
        <w:rPr>
          <w:rStyle w:val="301"/>
          <w:szCs w:val="24"/>
        </w:rPr>
        <w:t>481,981</w:t>
      </w:r>
      <w:r w:rsidRPr="00DE5A1D">
        <w:rPr>
          <w:rStyle w:val="301"/>
          <w:szCs w:val="24"/>
        </w:rPr>
        <w:t>.</w:t>
      </w:r>
    </w:p>
    <w:p w:rsidRPr="00DE5A1D" w:rsidR="00BB16DC" w:rsidP="00BB16DC" w:rsidRDefault="00BB16DC" w14:paraId="3491C59A" w14:textId="77777777">
      <w:pPr>
        <w:pStyle w:val="300"/>
        <w:jc w:val="both"/>
        <w:rPr>
          <w:rStyle w:val="301"/>
          <w:szCs w:val="24"/>
        </w:rPr>
      </w:pPr>
    </w:p>
    <w:p w:rsidRPr="00DE5A1D" w:rsidR="005535EC" w:rsidP="00C6130C" w:rsidRDefault="005535EC" w14:paraId="0277500C" w14:textId="77777777">
      <w:pPr>
        <w:pStyle w:val="DefaultText"/>
        <w:rPr>
          <w:rStyle w:val="InitialStyle"/>
          <w:rFonts w:ascii="Times New Roman" w:hAnsi="Times New Roman" w:cs="Times New Roman"/>
          <w:szCs w:val="24"/>
        </w:rPr>
      </w:pPr>
    </w:p>
    <w:p w:rsidRPr="00DE5A1D" w:rsidR="00BB16DC" w:rsidP="00BB16DC" w:rsidRDefault="00BB16DC" w14:paraId="0F2BF909" w14:textId="450E2014">
      <w:pPr>
        <w:rPr>
          <w:b/>
          <w:bCs/>
        </w:rPr>
      </w:pPr>
      <w:r w:rsidRPr="00DE5A1D">
        <w:rPr>
          <w:b/>
          <w:bCs/>
        </w:rPr>
        <w:t>15. Explain the reasons for any program changes or adjustments reported in Items 13 or 14 of the OMB Form 83</w:t>
      </w:r>
      <w:r w:rsidRPr="00DE5A1D">
        <w:rPr>
          <w:b/>
          <w:bCs/>
        </w:rPr>
        <w:noBreakHyphen/>
        <w:t>I.</w:t>
      </w:r>
    </w:p>
    <w:p w:rsidRPr="00DE5A1D" w:rsidR="00BB16DC" w:rsidP="00BB16DC" w:rsidRDefault="00BB16DC" w14:paraId="24FD9A53" w14:textId="77777777">
      <w:pPr>
        <w:rPr>
          <w:rStyle w:val="InitialStyle"/>
          <w:rFonts w:ascii="Times New Roman" w:hAnsi="Times New Roman" w:cs="Times New Roman"/>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0"/>
        <w:gridCol w:w="1308"/>
        <w:gridCol w:w="1308"/>
        <w:gridCol w:w="1308"/>
        <w:gridCol w:w="1308"/>
        <w:gridCol w:w="1308"/>
        <w:gridCol w:w="1304"/>
      </w:tblGrid>
      <w:tr w:rsidRPr="00DE5A1D" w:rsidR="00DE5A1D" w:rsidTr="005C49D3" w14:paraId="0A5FF33D" w14:textId="77777777">
        <w:trPr>
          <w:trHeight w:val="897"/>
        </w:trPr>
        <w:tc>
          <w:tcPr>
            <w:tcW w:w="802" w:type="pct"/>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301623A4" w14:textId="77777777">
            <w:pPr>
              <w:rPr>
                <w:rFonts w:ascii="Arial" w:hAnsi="Arial" w:cs="Arial"/>
                <w:b/>
                <w:bCs/>
                <w:sz w:val="16"/>
                <w:szCs w:val="16"/>
              </w:rPr>
            </w:pPr>
            <w:r w:rsidRPr="00DE5A1D">
              <w:rPr>
                <w:rFonts w:ascii="Arial" w:hAnsi="Arial" w:cs="Arial"/>
                <w:b/>
                <w:bCs/>
                <w:sz w:val="16"/>
                <w:szCs w:val="16"/>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5C621AFA" w14:textId="77777777">
            <w:pPr>
              <w:jc w:val="center"/>
              <w:rPr>
                <w:rFonts w:ascii="Arial" w:hAnsi="Arial" w:cs="Arial"/>
                <w:b/>
                <w:bCs/>
                <w:sz w:val="16"/>
                <w:szCs w:val="16"/>
              </w:rPr>
            </w:pPr>
            <w:r w:rsidRPr="00DE5A1D">
              <w:rPr>
                <w:rFonts w:ascii="Arial" w:hAnsi="Arial" w:cs="Arial"/>
                <w:b/>
                <w:bCs/>
                <w:sz w:val="16"/>
                <w:szCs w:val="16"/>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3AB1BED7" w14:textId="77777777">
            <w:pPr>
              <w:jc w:val="center"/>
              <w:rPr>
                <w:rFonts w:ascii="Arial" w:hAnsi="Arial" w:cs="Arial"/>
                <w:b/>
                <w:bCs/>
                <w:sz w:val="16"/>
                <w:szCs w:val="16"/>
              </w:rPr>
            </w:pPr>
            <w:r w:rsidRPr="00DE5A1D">
              <w:rPr>
                <w:rFonts w:ascii="Arial" w:hAnsi="Arial" w:cs="Arial"/>
                <w:b/>
                <w:bCs/>
                <w:sz w:val="16"/>
                <w:szCs w:val="16"/>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4FF305A9" w14:textId="77777777">
            <w:pPr>
              <w:jc w:val="center"/>
              <w:rPr>
                <w:rFonts w:ascii="Arial" w:hAnsi="Arial" w:cs="Arial"/>
                <w:b/>
                <w:bCs/>
                <w:sz w:val="16"/>
                <w:szCs w:val="16"/>
              </w:rPr>
            </w:pPr>
            <w:r w:rsidRPr="00DE5A1D">
              <w:rPr>
                <w:rFonts w:ascii="Arial" w:hAnsi="Arial" w:cs="Arial"/>
                <w:b/>
                <w:bCs/>
                <w:sz w:val="16"/>
                <w:szCs w:val="16"/>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392D1024" w14:textId="77777777">
            <w:pPr>
              <w:jc w:val="center"/>
              <w:rPr>
                <w:rFonts w:ascii="Arial" w:hAnsi="Arial" w:cs="Arial"/>
                <w:b/>
                <w:bCs/>
                <w:sz w:val="16"/>
                <w:szCs w:val="16"/>
              </w:rPr>
            </w:pPr>
            <w:r w:rsidRPr="00DE5A1D">
              <w:rPr>
                <w:rFonts w:ascii="Arial" w:hAnsi="Arial" w:cs="Arial"/>
                <w:b/>
                <w:bCs/>
                <w:sz w:val="16"/>
                <w:szCs w:val="16"/>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10D11690" w14:textId="77777777">
            <w:pPr>
              <w:jc w:val="center"/>
              <w:rPr>
                <w:rFonts w:ascii="Arial" w:hAnsi="Arial" w:cs="Arial"/>
                <w:b/>
                <w:bCs/>
                <w:sz w:val="16"/>
                <w:szCs w:val="16"/>
              </w:rPr>
            </w:pPr>
            <w:r w:rsidRPr="00DE5A1D">
              <w:rPr>
                <w:rFonts w:ascii="Arial" w:hAnsi="Arial" w:cs="Arial"/>
                <w:b/>
                <w:bCs/>
                <w:sz w:val="16"/>
                <w:szCs w:val="16"/>
              </w:rPr>
              <w:t>Change Due to Potential Violation of the PRA</w:t>
            </w:r>
          </w:p>
        </w:tc>
        <w:tc>
          <w:tcPr>
            <w:tcW w:w="699" w:type="pct"/>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405B51DA" w14:textId="77777777">
            <w:pPr>
              <w:jc w:val="center"/>
              <w:rPr>
                <w:rFonts w:ascii="Arial" w:hAnsi="Arial" w:cs="Arial"/>
                <w:b/>
                <w:bCs/>
                <w:sz w:val="16"/>
                <w:szCs w:val="16"/>
              </w:rPr>
            </w:pPr>
            <w:r w:rsidRPr="00DE5A1D">
              <w:rPr>
                <w:rFonts w:ascii="Arial" w:hAnsi="Arial" w:cs="Arial"/>
                <w:b/>
                <w:bCs/>
                <w:sz w:val="16"/>
                <w:szCs w:val="16"/>
              </w:rPr>
              <w:t>Previously Approved</w:t>
            </w:r>
          </w:p>
        </w:tc>
      </w:tr>
      <w:tr w:rsidRPr="00DE5A1D" w:rsidR="00DE5A1D" w:rsidTr="005C49D3" w14:paraId="2A88F0DA" w14:textId="77777777">
        <w:trPr>
          <w:trHeight w:val="574"/>
        </w:trPr>
        <w:tc>
          <w:tcPr>
            <w:tcW w:w="0" w:type="auto"/>
            <w:tcBorders>
              <w:top w:val="outset" w:color="auto" w:sz="6" w:space="0"/>
              <w:left w:val="outset" w:color="auto" w:sz="6" w:space="0"/>
              <w:bottom w:val="outset" w:color="auto" w:sz="6" w:space="0"/>
              <w:right w:val="outset" w:color="auto" w:sz="6" w:space="0"/>
            </w:tcBorders>
            <w:hideMark/>
          </w:tcPr>
          <w:p w:rsidRPr="00DE5A1D" w:rsidR="00BB16DC" w:rsidP="00D73F18" w:rsidRDefault="00BB16DC" w14:paraId="1E0312E0" w14:textId="77777777">
            <w:pPr>
              <w:rPr>
                <w:rFonts w:ascii="Arial" w:hAnsi="Arial" w:cs="Arial"/>
                <w:bCs/>
                <w:sz w:val="16"/>
                <w:szCs w:val="16"/>
              </w:rPr>
            </w:pPr>
            <w:r w:rsidRPr="00DE5A1D">
              <w:rPr>
                <w:rFonts w:ascii="Arial" w:hAnsi="Arial" w:cs="Arial"/>
                <w:bCs/>
                <w:sz w:val="16"/>
                <w:szCs w:val="16"/>
              </w:rPr>
              <w:t>Annual Number of Responses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76F7D930" w14:textId="1ECCE5DF">
            <w:pPr>
              <w:jc w:val="center"/>
              <w:rPr>
                <w:rFonts w:ascii="Arial" w:hAnsi="Arial" w:cs="Arial"/>
                <w:bCs/>
                <w:sz w:val="16"/>
                <w:szCs w:val="16"/>
              </w:rPr>
            </w:pPr>
            <w:r w:rsidRPr="00DE5A1D">
              <w:rPr>
                <w:rFonts w:ascii="Arial" w:hAnsi="Arial" w:cs="Arial"/>
                <w:bCs/>
                <w:sz w:val="16"/>
                <w:szCs w:val="16"/>
              </w:rPr>
              <w:t xml:space="preserve">70,000 </w:t>
            </w:r>
          </w:p>
        </w:tc>
        <w:tc>
          <w:tcPr>
            <w:tcW w:w="0" w:type="auto"/>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1D540106" w14:textId="77777777">
            <w:pPr>
              <w:jc w:val="center"/>
              <w:rPr>
                <w:rFonts w:ascii="Arial" w:hAnsi="Arial" w:cs="Arial"/>
                <w:bCs/>
                <w:sz w:val="16"/>
                <w:szCs w:val="16"/>
              </w:rPr>
            </w:pPr>
            <w:r w:rsidRPr="00DE5A1D">
              <w:rPr>
                <w:rFonts w:ascii="Arial" w:hAnsi="Arial" w:cs="Arial"/>
                <w:bCs/>
                <w:sz w:val="16"/>
                <w:szCs w:val="16"/>
              </w:rPr>
              <w:t>0</w:t>
            </w:r>
          </w:p>
        </w:tc>
        <w:tc>
          <w:tcPr>
            <w:tcW w:w="0" w:type="auto"/>
            <w:tcBorders>
              <w:top w:val="outset" w:color="auto" w:sz="6" w:space="0"/>
              <w:left w:val="outset" w:color="auto" w:sz="6" w:space="0"/>
              <w:bottom w:val="outset" w:color="auto" w:sz="6" w:space="0"/>
              <w:right w:val="outset" w:color="auto" w:sz="6" w:space="0"/>
            </w:tcBorders>
            <w:vAlign w:val="center"/>
          </w:tcPr>
          <w:p w:rsidRPr="00DE5A1D" w:rsidR="00BB16DC" w:rsidP="00D73F18" w:rsidRDefault="00BB16DC" w14:paraId="3AB7FCF3" w14:textId="77777777">
            <w:pPr>
              <w:jc w:val="center"/>
              <w:rPr>
                <w:rFonts w:ascii="Arial" w:hAnsi="Arial" w:cs="Arial"/>
                <w:bCs/>
                <w:sz w:val="16"/>
                <w:szCs w:val="16"/>
              </w:rPr>
            </w:pPr>
            <w:r w:rsidRPr="00DE5A1D">
              <w:rPr>
                <w:rFonts w:ascii="Arial" w:hAnsi="Arial" w:cs="Arial"/>
                <w:bCs/>
                <w:sz w:val="16"/>
                <w:szCs w:val="16"/>
              </w:rPr>
              <w:t>0</w:t>
            </w:r>
          </w:p>
        </w:tc>
        <w:tc>
          <w:tcPr>
            <w:tcW w:w="0" w:type="auto"/>
            <w:tcBorders>
              <w:top w:val="outset" w:color="auto" w:sz="6" w:space="0"/>
              <w:left w:val="outset" w:color="auto" w:sz="6" w:space="0"/>
              <w:bottom w:val="outset" w:color="auto" w:sz="6" w:space="0"/>
              <w:right w:val="outset" w:color="auto" w:sz="6" w:space="0"/>
            </w:tcBorders>
            <w:vAlign w:val="center"/>
          </w:tcPr>
          <w:p w:rsidRPr="00DE5A1D" w:rsidR="00BB16DC" w:rsidP="00D73F18" w:rsidRDefault="00BB16DC" w14:paraId="3F6FD1D7" w14:textId="473B7EC0">
            <w:pPr>
              <w:jc w:val="center"/>
              <w:rPr>
                <w:rFonts w:ascii="Arial" w:hAnsi="Arial" w:cs="Arial"/>
                <w:bCs/>
                <w:sz w:val="16"/>
                <w:szCs w:val="16"/>
              </w:rPr>
            </w:pPr>
            <w:r w:rsidRPr="00DE5A1D">
              <w:rPr>
                <w:rFonts w:ascii="Arial" w:hAnsi="Arial" w:cs="Arial"/>
                <w:bCs/>
                <w:sz w:val="16"/>
                <w:szCs w:val="16"/>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3FD1FD99" w14:textId="77777777">
            <w:pPr>
              <w:jc w:val="center"/>
              <w:rPr>
                <w:rFonts w:ascii="Arial" w:hAnsi="Arial" w:cs="Arial"/>
                <w:bCs/>
                <w:sz w:val="16"/>
                <w:szCs w:val="16"/>
              </w:rPr>
            </w:pPr>
            <w:r w:rsidRPr="00DE5A1D">
              <w:rPr>
                <w:rFonts w:ascii="Arial" w:hAnsi="Arial" w:cs="Arial"/>
                <w:bCs/>
                <w:sz w:val="16"/>
                <w:szCs w:val="16"/>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75FA9DE9" w14:textId="686AC46A">
            <w:pPr>
              <w:jc w:val="center"/>
              <w:rPr>
                <w:rFonts w:ascii="Arial" w:hAnsi="Arial" w:cs="Arial"/>
                <w:bCs/>
                <w:sz w:val="16"/>
                <w:szCs w:val="16"/>
              </w:rPr>
            </w:pPr>
            <w:r w:rsidRPr="00DE5A1D">
              <w:rPr>
                <w:rFonts w:ascii="Arial" w:hAnsi="Arial" w:cs="Arial"/>
                <w:bCs/>
                <w:sz w:val="16"/>
                <w:szCs w:val="16"/>
              </w:rPr>
              <w:t>70,000</w:t>
            </w:r>
          </w:p>
        </w:tc>
      </w:tr>
      <w:tr w:rsidRPr="00DE5A1D" w:rsidR="00DE5A1D" w:rsidTr="005C49D3" w14:paraId="45E7FCE8" w14:textId="77777777">
        <w:trPr>
          <w:trHeight w:val="574"/>
        </w:trPr>
        <w:tc>
          <w:tcPr>
            <w:tcW w:w="0" w:type="auto"/>
            <w:tcBorders>
              <w:top w:val="outset" w:color="auto" w:sz="6" w:space="0"/>
              <w:left w:val="outset" w:color="auto" w:sz="6" w:space="0"/>
              <w:bottom w:val="outset" w:color="auto" w:sz="6" w:space="0"/>
              <w:right w:val="outset" w:color="auto" w:sz="6" w:space="0"/>
            </w:tcBorders>
            <w:hideMark/>
          </w:tcPr>
          <w:p w:rsidRPr="00DE5A1D" w:rsidR="00BB16DC" w:rsidP="00D73F18" w:rsidRDefault="00BB16DC" w14:paraId="628CA2C0" w14:textId="77777777">
            <w:pPr>
              <w:rPr>
                <w:rFonts w:ascii="Arial" w:hAnsi="Arial" w:cs="Arial"/>
                <w:bCs/>
                <w:sz w:val="16"/>
                <w:szCs w:val="16"/>
              </w:rPr>
            </w:pPr>
            <w:r w:rsidRPr="00DE5A1D">
              <w:rPr>
                <w:rFonts w:ascii="Arial" w:hAnsi="Arial" w:cs="Arial"/>
                <w:bCs/>
                <w:sz w:val="16"/>
                <w:szCs w:val="16"/>
              </w:rPr>
              <w:t>Annual Time Burden (Hours)</w:t>
            </w:r>
          </w:p>
        </w:tc>
        <w:tc>
          <w:tcPr>
            <w:tcW w:w="0" w:type="auto"/>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484C8B7F" w14:textId="01C7325B">
            <w:pPr>
              <w:jc w:val="center"/>
              <w:rPr>
                <w:rFonts w:ascii="Arial" w:hAnsi="Arial" w:cs="Arial"/>
                <w:bCs/>
                <w:sz w:val="16"/>
                <w:szCs w:val="16"/>
              </w:rPr>
            </w:pPr>
            <w:r w:rsidRPr="00DE5A1D">
              <w:rPr>
                <w:rFonts w:ascii="Arial" w:hAnsi="Arial" w:cs="Arial"/>
                <w:bCs/>
                <w:sz w:val="16"/>
                <w:szCs w:val="16"/>
              </w:rPr>
              <w:t>17,500</w:t>
            </w:r>
          </w:p>
        </w:tc>
        <w:tc>
          <w:tcPr>
            <w:tcW w:w="0" w:type="auto"/>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3B90689E" w14:textId="77777777">
            <w:pPr>
              <w:jc w:val="center"/>
              <w:rPr>
                <w:rFonts w:ascii="Arial" w:hAnsi="Arial" w:cs="Arial"/>
                <w:bCs/>
                <w:sz w:val="16"/>
                <w:szCs w:val="16"/>
              </w:rPr>
            </w:pPr>
            <w:r w:rsidRPr="00DE5A1D">
              <w:rPr>
                <w:rFonts w:ascii="Arial" w:hAnsi="Arial" w:cs="Arial"/>
                <w:bCs/>
                <w:sz w:val="16"/>
                <w:szCs w:val="16"/>
              </w:rPr>
              <w:t>0</w:t>
            </w:r>
          </w:p>
        </w:tc>
        <w:tc>
          <w:tcPr>
            <w:tcW w:w="0" w:type="auto"/>
            <w:tcBorders>
              <w:top w:val="outset" w:color="auto" w:sz="6" w:space="0"/>
              <w:left w:val="outset" w:color="auto" w:sz="6" w:space="0"/>
              <w:bottom w:val="outset" w:color="auto" w:sz="6" w:space="0"/>
              <w:right w:val="outset" w:color="auto" w:sz="6" w:space="0"/>
            </w:tcBorders>
            <w:vAlign w:val="center"/>
          </w:tcPr>
          <w:p w:rsidRPr="00DE5A1D" w:rsidR="00BB16DC" w:rsidP="00D73F18" w:rsidRDefault="00BB16DC" w14:paraId="2E0A5B4D" w14:textId="77777777">
            <w:pPr>
              <w:jc w:val="center"/>
              <w:rPr>
                <w:rFonts w:ascii="Arial" w:hAnsi="Arial" w:cs="Arial"/>
                <w:bCs/>
                <w:sz w:val="16"/>
                <w:szCs w:val="16"/>
              </w:rPr>
            </w:pPr>
            <w:r w:rsidRPr="00DE5A1D">
              <w:rPr>
                <w:rFonts w:ascii="Arial" w:hAnsi="Arial" w:cs="Arial"/>
                <w:bCs/>
                <w:sz w:val="16"/>
                <w:szCs w:val="16"/>
              </w:rPr>
              <w:t>0</w:t>
            </w:r>
          </w:p>
        </w:tc>
        <w:tc>
          <w:tcPr>
            <w:tcW w:w="0" w:type="auto"/>
            <w:tcBorders>
              <w:top w:val="outset" w:color="auto" w:sz="6" w:space="0"/>
              <w:left w:val="outset" w:color="auto" w:sz="6" w:space="0"/>
              <w:bottom w:val="outset" w:color="auto" w:sz="6" w:space="0"/>
              <w:right w:val="outset" w:color="auto" w:sz="6" w:space="0"/>
            </w:tcBorders>
            <w:vAlign w:val="center"/>
          </w:tcPr>
          <w:p w:rsidRPr="00DE5A1D" w:rsidR="00BB16DC" w:rsidP="00D73F18" w:rsidRDefault="00BB16DC" w14:paraId="5E5D7402" w14:textId="1F879C4B">
            <w:pPr>
              <w:jc w:val="center"/>
              <w:rPr>
                <w:rFonts w:ascii="Arial" w:hAnsi="Arial" w:cs="Arial"/>
                <w:bCs/>
                <w:sz w:val="16"/>
                <w:szCs w:val="16"/>
              </w:rPr>
            </w:pPr>
            <w:r w:rsidRPr="00DE5A1D">
              <w:rPr>
                <w:rFonts w:ascii="Arial" w:hAnsi="Arial" w:cs="Arial"/>
                <w:bCs/>
                <w:sz w:val="16"/>
                <w:szCs w:val="16"/>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4238652A" w14:textId="77777777">
            <w:pPr>
              <w:jc w:val="center"/>
              <w:rPr>
                <w:rFonts w:ascii="Arial" w:hAnsi="Arial" w:cs="Arial"/>
                <w:bCs/>
                <w:sz w:val="16"/>
                <w:szCs w:val="16"/>
              </w:rPr>
            </w:pPr>
            <w:r w:rsidRPr="00DE5A1D">
              <w:rPr>
                <w:rFonts w:ascii="Arial" w:hAnsi="Arial" w:cs="Arial"/>
                <w:bCs/>
                <w:sz w:val="16"/>
                <w:szCs w:val="16"/>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DE5A1D" w:rsidR="00BB16DC" w:rsidP="00D73F18" w:rsidRDefault="00BB16DC" w14:paraId="088DE071" w14:textId="7F4AFBD3">
            <w:pPr>
              <w:jc w:val="center"/>
              <w:rPr>
                <w:rFonts w:ascii="Arial" w:hAnsi="Arial" w:cs="Arial"/>
                <w:bCs/>
                <w:sz w:val="16"/>
                <w:szCs w:val="16"/>
              </w:rPr>
            </w:pPr>
            <w:r w:rsidRPr="00DE5A1D">
              <w:rPr>
                <w:rFonts w:ascii="Arial" w:hAnsi="Arial" w:cs="Arial"/>
                <w:bCs/>
                <w:sz w:val="16"/>
                <w:szCs w:val="16"/>
              </w:rPr>
              <w:t>17,500</w:t>
            </w:r>
          </w:p>
        </w:tc>
      </w:tr>
    </w:tbl>
    <w:p w:rsidR="006E329B" w:rsidP="0076597B" w:rsidRDefault="006E329B" w14:paraId="6EDCAE70" w14:textId="77777777"/>
    <w:p w:rsidRPr="00DE5A1D" w:rsidR="0076597B" w:rsidP="0076597B" w:rsidRDefault="0076597B" w14:paraId="7AAE9C24" w14:textId="77B4D1AC">
      <w:pPr>
        <w:rPr>
          <w:b/>
        </w:rPr>
      </w:pPr>
      <w:r w:rsidRPr="00DE5A1D">
        <w:t>There is no change in burden as there is still a high interest in APHIS for customer feedback and stakeholder engagement.</w:t>
      </w:r>
    </w:p>
    <w:p w:rsidRPr="00DE5A1D" w:rsidR="00BB16DC" w:rsidP="00BB16DC" w:rsidRDefault="00BB16DC" w14:paraId="2E7966C5" w14:textId="77777777">
      <w:pPr>
        <w:rPr>
          <w:b/>
          <w:bCs/>
        </w:rPr>
      </w:pPr>
      <w:r w:rsidRPr="00DE5A1D">
        <w:rPr>
          <w:b/>
          <w:bCs/>
        </w:rPr>
        <w:lastRenderedPageBreak/>
        <w:t>16. For collections of information whose results are planned to be published, outline plans for tabulation and publication.</w:t>
      </w:r>
    </w:p>
    <w:p w:rsidRPr="00DE5A1D" w:rsidR="00BB16DC" w:rsidP="00BB16DC" w:rsidRDefault="00BB16DC" w14:paraId="026852E3" w14:textId="77777777">
      <w:pPr>
        <w:rPr>
          <w:rStyle w:val="InitialStyle"/>
          <w:rFonts w:ascii="Times New Roman" w:hAnsi="Times New Roman" w:cs="Times New Roman"/>
        </w:rPr>
      </w:pPr>
    </w:p>
    <w:p w:rsidRPr="00DE5A1D" w:rsidR="0076597B" w:rsidP="0076597B" w:rsidRDefault="0076597B" w14:paraId="41A40C6A" w14:textId="3967AA4C">
      <w:r w:rsidRPr="00DE5A1D">
        <w:t>Feedback collected under this generic clearance provides useful information, but it does not yield data that can be generalized to the overall population. Findings will be used for general service improvement, but are not for publication or other public release.</w:t>
      </w:r>
    </w:p>
    <w:p w:rsidRPr="00DE5A1D" w:rsidR="0076597B" w:rsidP="0076597B" w:rsidRDefault="0076597B" w14:paraId="4D7D25FC" w14:textId="77777777"/>
    <w:p w:rsidRPr="00DE5A1D" w:rsidR="0076597B" w:rsidP="0076597B" w:rsidRDefault="0076597B" w14:paraId="55270877" w14:textId="77777777">
      <w:r w:rsidRPr="00DE5A1D">
        <w:t xml:space="preserve">Although APHIS does not intend to publish its findings, APHIS may receive requests to release the information (e.g., congressional inquiry, Freedom of Information Act requests).  APHIS will disseminate the findings when appropriate, strictly following APHIS's "Guidelines for Ensuring the Quality of Information Disseminated to the Public," and will include specific discussion of the limitation of the qualitative results discussed above. </w:t>
      </w:r>
    </w:p>
    <w:p w:rsidRPr="00DE5A1D" w:rsidR="00C6130C" w:rsidP="00C6130C" w:rsidRDefault="00C6130C" w14:paraId="557CA7DA" w14:textId="31AF175E">
      <w:pPr>
        <w:pStyle w:val="DefaultText"/>
        <w:rPr>
          <w:rStyle w:val="InitialStyle"/>
          <w:rFonts w:ascii="Times New Roman" w:hAnsi="Times New Roman" w:cs="Times New Roman"/>
          <w:szCs w:val="24"/>
        </w:rPr>
      </w:pPr>
    </w:p>
    <w:p w:rsidRPr="00DE5A1D" w:rsidR="00A3485A" w:rsidP="00C6130C" w:rsidRDefault="00A3485A" w14:paraId="2A40423E" w14:textId="77777777">
      <w:pPr>
        <w:pStyle w:val="DefaultText"/>
        <w:rPr>
          <w:rStyle w:val="InitialStyle"/>
          <w:rFonts w:ascii="Times New Roman" w:hAnsi="Times New Roman" w:cs="Times New Roman"/>
          <w:bCs/>
          <w:szCs w:val="24"/>
        </w:rPr>
      </w:pPr>
    </w:p>
    <w:p w:rsidRPr="00DE5A1D" w:rsidR="00BB16DC" w:rsidP="00BB16DC" w:rsidRDefault="00BB16DC" w14:paraId="188249DC" w14:textId="77777777">
      <w:pPr>
        <w:rPr>
          <w:b/>
          <w:bCs/>
        </w:rPr>
      </w:pPr>
      <w:r w:rsidRPr="00DE5A1D">
        <w:rPr>
          <w:b/>
          <w:bCs/>
        </w:rPr>
        <w:t>17. If seeking approval to not display the expiration date for 0MB approval of the information collection, explain the reasons that display would be inappropriate.</w:t>
      </w:r>
    </w:p>
    <w:p w:rsidRPr="00DE5A1D" w:rsidR="00BB16DC" w:rsidP="00BB16DC" w:rsidRDefault="00BB16DC" w14:paraId="595830C5" w14:textId="77777777"/>
    <w:p w:rsidRPr="00DE5A1D" w:rsidR="00C6130C" w:rsidP="00C6130C" w:rsidRDefault="0076597B" w14:paraId="73D0550C" w14:textId="491DEB04">
      <w:pPr>
        <w:pStyle w:val="DefaultText"/>
        <w:rPr>
          <w:rStyle w:val="InitialStyle"/>
          <w:rFonts w:ascii="Times New Roman" w:hAnsi="Times New Roman" w:cs="Times New Roman"/>
          <w:szCs w:val="24"/>
        </w:rPr>
      </w:pPr>
      <w:r w:rsidRPr="00DE5A1D">
        <w:rPr>
          <w:rStyle w:val="InitialStyle"/>
          <w:rFonts w:ascii="Times New Roman" w:hAnsi="Times New Roman" w:cs="Times New Roman"/>
          <w:szCs w:val="24"/>
        </w:rPr>
        <w:t xml:space="preserve">APHIS will display the </w:t>
      </w:r>
      <w:r w:rsidRPr="00DE5A1D" w:rsidR="00BB16DC">
        <w:rPr>
          <w:rStyle w:val="InitialStyle"/>
          <w:rFonts w:ascii="Times New Roman" w:hAnsi="Times New Roman" w:cs="Times New Roman"/>
          <w:szCs w:val="24"/>
        </w:rPr>
        <w:t xml:space="preserve">OMB approval </w:t>
      </w:r>
      <w:r w:rsidRPr="00DE5A1D">
        <w:rPr>
          <w:rStyle w:val="InitialStyle"/>
          <w:rFonts w:ascii="Times New Roman" w:hAnsi="Times New Roman" w:cs="Times New Roman"/>
          <w:szCs w:val="24"/>
        </w:rPr>
        <w:t>expiration date.</w:t>
      </w:r>
    </w:p>
    <w:p w:rsidRPr="00DE5A1D" w:rsidR="0076597B" w:rsidP="00C6130C" w:rsidRDefault="0076597B" w14:paraId="1A5B93B7" w14:textId="77777777">
      <w:pPr>
        <w:pStyle w:val="DefaultText"/>
        <w:rPr>
          <w:rStyle w:val="InitialStyle"/>
          <w:rFonts w:ascii="Times New Roman" w:hAnsi="Times New Roman" w:cs="Times New Roman"/>
          <w:bCs/>
          <w:szCs w:val="24"/>
        </w:rPr>
      </w:pPr>
    </w:p>
    <w:p w:rsidRPr="00DE5A1D" w:rsidR="00A3485A" w:rsidP="00C6130C" w:rsidRDefault="00A3485A" w14:paraId="463E8BC0" w14:textId="77777777">
      <w:pPr>
        <w:pStyle w:val="DefaultText"/>
        <w:rPr>
          <w:rStyle w:val="InitialStyle"/>
          <w:rFonts w:ascii="Times New Roman" w:hAnsi="Times New Roman" w:cs="Times New Roman"/>
          <w:bCs/>
          <w:szCs w:val="24"/>
        </w:rPr>
      </w:pPr>
    </w:p>
    <w:p w:rsidRPr="00DE5A1D" w:rsidR="00BB16DC" w:rsidP="00BB16DC" w:rsidRDefault="00BB16DC" w14:paraId="6F8BBA5A" w14:textId="77777777">
      <w:pPr>
        <w:rPr>
          <w:b/>
          <w:bCs/>
        </w:rPr>
      </w:pPr>
      <w:r w:rsidRPr="00DE5A1D">
        <w:rPr>
          <w:b/>
          <w:bCs/>
        </w:rPr>
        <w:t>18. Explain each exception to the certification statement identified in Item 19 “Certification for Paperwork Reduction Act.”</w:t>
      </w:r>
    </w:p>
    <w:p w:rsidRPr="00DE5A1D" w:rsidR="00BB16DC" w:rsidP="00BB16DC" w:rsidRDefault="00BB16DC" w14:paraId="5E79065B" w14:textId="77777777"/>
    <w:p w:rsidRPr="00DE5A1D" w:rsidR="00BB16DC" w:rsidP="00BB16DC" w:rsidRDefault="00BB16DC" w14:paraId="63F5AE0B" w14:textId="77777777">
      <w:pPr>
        <w:pStyle w:val="DefaultText"/>
        <w:rPr>
          <w:rStyle w:val="InitialStyle"/>
          <w:rFonts w:ascii="Times New Roman" w:hAnsi="Times New Roman" w:cs="Times New Roman"/>
          <w:szCs w:val="24"/>
        </w:rPr>
      </w:pPr>
      <w:r w:rsidRPr="00DE5A1D">
        <w:rPr>
          <w:rStyle w:val="InitialStyle"/>
          <w:rFonts w:ascii="Times New Roman" w:hAnsi="Times New Roman" w:cs="Times New Roman"/>
          <w:szCs w:val="24"/>
        </w:rPr>
        <w:t>APHIS can certify compliance with all provisions in the Act.</w:t>
      </w:r>
    </w:p>
    <w:p w:rsidRPr="00DE5A1D" w:rsidR="00BB16DC" w:rsidP="00BB16DC" w:rsidRDefault="00BB16DC" w14:paraId="6322C5CB" w14:textId="77777777"/>
    <w:sectPr w:rsidRPr="00DE5A1D" w:rsidR="00BB16DC" w:rsidSect="00DE5A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D0CDC" w14:textId="77777777" w:rsidR="00F73480" w:rsidRDefault="00F73480" w:rsidP="00F73480">
      <w:r>
        <w:separator/>
      </w:r>
    </w:p>
  </w:endnote>
  <w:endnote w:type="continuationSeparator" w:id="0">
    <w:p w14:paraId="619C7E8D" w14:textId="77777777" w:rsidR="00F73480" w:rsidRDefault="00F73480" w:rsidP="00F7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448859"/>
      <w:docPartObj>
        <w:docPartGallery w:val="Page Numbers (Bottom of Page)"/>
        <w:docPartUnique/>
      </w:docPartObj>
    </w:sdtPr>
    <w:sdtEndPr>
      <w:rPr>
        <w:noProof/>
      </w:rPr>
    </w:sdtEndPr>
    <w:sdtContent>
      <w:p w14:paraId="31578B6F" w14:textId="77777777" w:rsidR="00F73480" w:rsidRDefault="00F73480">
        <w:pPr>
          <w:pStyle w:val="Footer"/>
          <w:jc w:val="center"/>
        </w:pPr>
        <w:r>
          <w:fldChar w:fldCharType="begin"/>
        </w:r>
        <w:r>
          <w:instrText xml:space="preserve"> PAGE   \* MERGEFORMAT </w:instrText>
        </w:r>
        <w:r>
          <w:fldChar w:fldCharType="separate"/>
        </w:r>
        <w:r w:rsidR="0076597B">
          <w:rPr>
            <w:noProof/>
          </w:rPr>
          <w:t>1</w:t>
        </w:r>
        <w:r>
          <w:rPr>
            <w:noProof/>
          </w:rPr>
          <w:fldChar w:fldCharType="end"/>
        </w:r>
      </w:p>
    </w:sdtContent>
  </w:sdt>
  <w:p w14:paraId="068CE6C9" w14:textId="77777777" w:rsidR="00F73480" w:rsidRDefault="00F73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06453" w14:textId="77777777" w:rsidR="00F73480" w:rsidRDefault="00F73480" w:rsidP="00F73480">
      <w:r>
        <w:separator/>
      </w:r>
    </w:p>
  </w:footnote>
  <w:footnote w:type="continuationSeparator" w:id="0">
    <w:p w14:paraId="1032A25B" w14:textId="77777777" w:rsidR="00F73480" w:rsidRDefault="00F73480" w:rsidP="00F73480">
      <w:r>
        <w:continuationSeparator/>
      </w:r>
    </w:p>
  </w:footnote>
  <w:footnote w:id="1">
    <w:p w14:paraId="15AFBC45" w14:textId="77777777" w:rsidR="002C66A9" w:rsidRPr="00C77722" w:rsidRDefault="002C66A9" w:rsidP="002C66A9">
      <w:pPr>
        <w:pStyle w:val="FootnoteText"/>
        <w:rPr>
          <w:rFonts w:ascii="Times New Roman" w:hAnsi="Times New Roman" w:cs="Times New Roman"/>
        </w:rPr>
      </w:pPr>
      <w:r w:rsidRPr="00C77722">
        <w:rPr>
          <w:rStyle w:val="FootnoteReference"/>
          <w:rFonts w:ascii="Times New Roman" w:hAnsi="Times New Roman" w:cs="Times New Roman"/>
        </w:rPr>
        <w:footnoteRef/>
      </w:r>
      <w:r w:rsidRPr="00C77722">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21" type="#_x0000_t75" style="width:3in;height:3in" o:bullet="t"/>
    </w:pict>
  </w:numPicBullet>
  <w:numPicBullet w:numPicBulletId="1">
    <w:pict>
      <v:shape id="_x0000_i1822" type="#_x0000_t75" style="width:3in;height:3in" o:bullet="t"/>
    </w:pict>
  </w:numPicBullet>
  <w:abstractNum w:abstractNumId="0"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44F80"/>
    <w:multiLevelType w:val="hybridMultilevel"/>
    <w:tmpl w:val="30522842"/>
    <w:lvl w:ilvl="0" w:tplc="4BC67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 w15:restartNumberingAfterBreak="0">
    <w:nsid w:val="191D30CF"/>
    <w:multiLevelType w:val="multilevel"/>
    <w:tmpl w:val="733E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F83BD8"/>
    <w:multiLevelType w:val="hybridMultilevel"/>
    <w:tmpl w:val="11A2F4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536E8"/>
    <w:multiLevelType w:val="multilevel"/>
    <w:tmpl w:val="2E84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11155"/>
    <w:multiLevelType w:val="hybridMultilevel"/>
    <w:tmpl w:val="1A0A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C26171"/>
    <w:multiLevelType w:val="hybridMultilevel"/>
    <w:tmpl w:val="3C807034"/>
    <w:lvl w:ilvl="0" w:tplc="128CDEA8">
      <w:start w:val="1"/>
      <w:numFmt w:val="lowerLetter"/>
      <w:lvlText w:val="%1."/>
      <w:lvlJc w:val="left"/>
      <w:pPr>
        <w:ind w:left="450"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70442989"/>
    <w:multiLevelType w:val="hybridMultilevel"/>
    <w:tmpl w:val="48E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4"/>
  </w:num>
  <w:num w:numId="3">
    <w:abstractNumId w:val="8"/>
  </w:num>
  <w:num w:numId="4">
    <w:abstractNumId w:val="17"/>
  </w:num>
  <w:num w:numId="5">
    <w:abstractNumId w:val="16"/>
  </w:num>
  <w:num w:numId="6">
    <w:abstractNumId w:val="10"/>
  </w:num>
  <w:num w:numId="7">
    <w:abstractNumId w:val="4"/>
  </w:num>
  <w:num w:numId="8">
    <w:abstractNumId w:val="9"/>
  </w:num>
  <w:num w:numId="9">
    <w:abstractNumId w:val="11"/>
  </w:num>
  <w:num w:numId="10">
    <w:abstractNumId w:val="13"/>
  </w:num>
  <w:num w:numId="11">
    <w:abstractNumId w:val="15"/>
  </w:num>
  <w:num w:numId="12">
    <w:abstractNumId w:val="12"/>
  </w:num>
  <w:num w:numId="13">
    <w:abstractNumId w:val="0"/>
  </w:num>
  <w:num w:numId="14">
    <w:abstractNumId w:val="3"/>
  </w:num>
  <w:num w:numId="15">
    <w:abstractNumId w:val="6"/>
  </w:num>
  <w:num w:numId="16">
    <w:abstractNumId w:val="2"/>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0C"/>
    <w:rsid w:val="000111E9"/>
    <w:rsid w:val="00015EAD"/>
    <w:rsid w:val="00036BC6"/>
    <w:rsid w:val="000568BE"/>
    <w:rsid w:val="00072587"/>
    <w:rsid w:val="00074940"/>
    <w:rsid w:val="00077A72"/>
    <w:rsid w:val="000E0A08"/>
    <w:rsid w:val="000F14B6"/>
    <w:rsid w:val="001245DF"/>
    <w:rsid w:val="001B4718"/>
    <w:rsid w:val="001B6FB7"/>
    <w:rsid w:val="001D4B70"/>
    <w:rsid w:val="001E254D"/>
    <w:rsid w:val="00234CCA"/>
    <w:rsid w:val="002373B8"/>
    <w:rsid w:val="002407CA"/>
    <w:rsid w:val="0026315D"/>
    <w:rsid w:val="00266EF5"/>
    <w:rsid w:val="00273021"/>
    <w:rsid w:val="00287C16"/>
    <w:rsid w:val="002C66A9"/>
    <w:rsid w:val="002E75A2"/>
    <w:rsid w:val="0030157D"/>
    <w:rsid w:val="00307977"/>
    <w:rsid w:val="003170DB"/>
    <w:rsid w:val="00327C1B"/>
    <w:rsid w:val="003305B4"/>
    <w:rsid w:val="00346DD3"/>
    <w:rsid w:val="0038279C"/>
    <w:rsid w:val="003C0569"/>
    <w:rsid w:val="003C3E7B"/>
    <w:rsid w:val="003C4BA5"/>
    <w:rsid w:val="003F087E"/>
    <w:rsid w:val="00406BBA"/>
    <w:rsid w:val="00407EAE"/>
    <w:rsid w:val="004375AD"/>
    <w:rsid w:val="004577A4"/>
    <w:rsid w:val="00473A69"/>
    <w:rsid w:val="00502608"/>
    <w:rsid w:val="00504993"/>
    <w:rsid w:val="00530B60"/>
    <w:rsid w:val="00546EFB"/>
    <w:rsid w:val="00552CCB"/>
    <w:rsid w:val="005535EC"/>
    <w:rsid w:val="00564242"/>
    <w:rsid w:val="005A5B40"/>
    <w:rsid w:val="005C49D3"/>
    <w:rsid w:val="005E45F7"/>
    <w:rsid w:val="005F6FA6"/>
    <w:rsid w:val="0062661D"/>
    <w:rsid w:val="0063704E"/>
    <w:rsid w:val="00640797"/>
    <w:rsid w:val="0064189A"/>
    <w:rsid w:val="00660516"/>
    <w:rsid w:val="00661FEB"/>
    <w:rsid w:val="00662234"/>
    <w:rsid w:val="00693BB0"/>
    <w:rsid w:val="00695C90"/>
    <w:rsid w:val="006B2AD6"/>
    <w:rsid w:val="006B66C4"/>
    <w:rsid w:val="006E316E"/>
    <w:rsid w:val="006E329B"/>
    <w:rsid w:val="007118F8"/>
    <w:rsid w:val="0076597B"/>
    <w:rsid w:val="007677F2"/>
    <w:rsid w:val="00776F84"/>
    <w:rsid w:val="007D554A"/>
    <w:rsid w:val="007E7B0A"/>
    <w:rsid w:val="007F5F4C"/>
    <w:rsid w:val="00815AA3"/>
    <w:rsid w:val="00821FF1"/>
    <w:rsid w:val="008302C4"/>
    <w:rsid w:val="00833443"/>
    <w:rsid w:val="00862FF2"/>
    <w:rsid w:val="00864031"/>
    <w:rsid w:val="00876CC8"/>
    <w:rsid w:val="00881641"/>
    <w:rsid w:val="008A042D"/>
    <w:rsid w:val="008E7489"/>
    <w:rsid w:val="008F3BEE"/>
    <w:rsid w:val="008F75F5"/>
    <w:rsid w:val="009101B9"/>
    <w:rsid w:val="00912714"/>
    <w:rsid w:val="00915A9E"/>
    <w:rsid w:val="00916FA6"/>
    <w:rsid w:val="00960BDA"/>
    <w:rsid w:val="00996053"/>
    <w:rsid w:val="009B287A"/>
    <w:rsid w:val="009C61EA"/>
    <w:rsid w:val="009C6491"/>
    <w:rsid w:val="00A01F3B"/>
    <w:rsid w:val="00A3485A"/>
    <w:rsid w:val="00A57C10"/>
    <w:rsid w:val="00A757D6"/>
    <w:rsid w:val="00AC2CF7"/>
    <w:rsid w:val="00B147D6"/>
    <w:rsid w:val="00B22736"/>
    <w:rsid w:val="00B35884"/>
    <w:rsid w:val="00B40E48"/>
    <w:rsid w:val="00BA52C5"/>
    <w:rsid w:val="00BB16DC"/>
    <w:rsid w:val="00BD7310"/>
    <w:rsid w:val="00C0437E"/>
    <w:rsid w:val="00C11EDA"/>
    <w:rsid w:val="00C1517B"/>
    <w:rsid w:val="00C15277"/>
    <w:rsid w:val="00C22241"/>
    <w:rsid w:val="00C56B5A"/>
    <w:rsid w:val="00C6130C"/>
    <w:rsid w:val="00CA5750"/>
    <w:rsid w:val="00CD1594"/>
    <w:rsid w:val="00CD6ED9"/>
    <w:rsid w:val="00CE0FA2"/>
    <w:rsid w:val="00CE4B77"/>
    <w:rsid w:val="00D03E07"/>
    <w:rsid w:val="00D1055D"/>
    <w:rsid w:val="00D256FE"/>
    <w:rsid w:val="00D25F9A"/>
    <w:rsid w:val="00D43573"/>
    <w:rsid w:val="00D43856"/>
    <w:rsid w:val="00D4571D"/>
    <w:rsid w:val="00D512DB"/>
    <w:rsid w:val="00D91B70"/>
    <w:rsid w:val="00DC2D22"/>
    <w:rsid w:val="00DD2983"/>
    <w:rsid w:val="00DE5A1D"/>
    <w:rsid w:val="00E45AED"/>
    <w:rsid w:val="00E51595"/>
    <w:rsid w:val="00E612A8"/>
    <w:rsid w:val="00E6260A"/>
    <w:rsid w:val="00E62B5F"/>
    <w:rsid w:val="00E678EF"/>
    <w:rsid w:val="00E71823"/>
    <w:rsid w:val="00E7786D"/>
    <w:rsid w:val="00EF1942"/>
    <w:rsid w:val="00F25AAC"/>
    <w:rsid w:val="00F73480"/>
    <w:rsid w:val="00F83D0A"/>
    <w:rsid w:val="00F85B21"/>
    <w:rsid w:val="00F87C76"/>
    <w:rsid w:val="00FD2959"/>
    <w:rsid w:val="00FF286E"/>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6F8557"/>
  <w15:docId w15:val="{6A302014-3CA7-4590-A786-1F99C0A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6130C"/>
    <w:pPr>
      <w:overflowPunct w:val="0"/>
      <w:autoSpaceDE w:val="0"/>
      <w:autoSpaceDN w:val="0"/>
      <w:adjustRightInd w:val="0"/>
    </w:pPr>
    <w:rPr>
      <w:szCs w:val="20"/>
    </w:rPr>
  </w:style>
  <w:style w:type="character" w:customStyle="1" w:styleId="InitialStyle">
    <w:name w:val="InitialStyle"/>
    <w:rsid w:val="00C6130C"/>
    <w:rPr>
      <w:rFonts w:ascii="Courier New" w:hAnsi="Courier New" w:cs="Courier New" w:hint="default"/>
      <w:color w:val="auto"/>
      <w:spacing w:val="0"/>
      <w:sz w:val="24"/>
    </w:rPr>
  </w:style>
  <w:style w:type="paragraph" w:customStyle="1" w:styleId="300">
    <w:name w:val="300"/>
    <w:basedOn w:val="Normal"/>
    <w:rsid w:val="00C6130C"/>
    <w:pPr>
      <w:overflowPunct w:val="0"/>
      <w:autoSpaceDE w:val="0"/>
      <w:autoSpaceDN w:val="0"/>
      <w:adjustRightInd w:val="0"/>
      <w:textAlignment w:val="baseline"/>
    </w:pPr>
    <w:rPr>
      <w:sz w:val="20"/>
      <w:szCs w:val="20"/>
    </w:rPr>
  </w:style>
  <w:style w:type="character" w:styleId="Strong">
    <w:name w:val="Strong"/>
    <w:basedOn w:val="DefaultParagraphFont"/>
    <w:qFormat/>
    <w:rsid w:val="00C6130C"/>
    <w:rPr>
      <w:b/>
      <w:bCs/>
    </w:rPr>
  </w:style>
  <w:style w:type="paragraph" w:customStyle="1" w:styleId="DefaultText1">
    <w:name w:val="Default Text:1"/>
    <w:basedOn w:val="Normal"/>
    <w:rsid w:val="00D512DB"/>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6E316E"/>
    <w:rPr>
      <w:color w:val="0000FF" w:themeColor="hyperlink"/>
      <w:u w:val="single"/>
    </w:rPr>
  </w:style>
  <w:style w:type="table" w:styleId="TableGrid">
    <w:name w:val="Table Grid"/>
    <w:basedOn w:val="TableNormal"/>
    <w:uiPriority w:val="59"/>
    <w:rsid w:val="0082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856"/>
    <w:rPr>
      <w:rFonts w:ascii="Tahoma" w:hAnsi="Tahoma" w:cs="Tahoma"/>
      <w:sz w:val="16"/>
      <w:szCs w:val="16"/>
    </w:rPr>
  </w:style>
  <w:style w:type="character" w:customStyle="1" w:styleId="BalloonTextChar">
    <w:name w:val="Balloon Text Char"/>
    <w:basedOn w:val="DefaultParagraphFont"/>
    <w:link w:val="BalloonText"/>
    <w:uiPriority w:val="99"/>
    <w:semiHidden/>
    <w:rsid w:val="00D438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E7B0A"/>
    <w:rPr>
      <w:sz w:val="16"/>
      <w:szCs w:val="16"/>
    </w:rPr>
  </w:style>
  <w:style w:type="paragraph" w:styleId="CommentText">
    <w:name w:val="annotation text"/>
    <w:basedOn w:val="Normal"/>
    <w:link w:val="CommentTextChar"/>
    <w:uiPriority w:val="99"/>
    <w:semiHidden/>
    <w:unhideWhenUsed/>
    <w:rsid w:val="007E7B0A"/>
    <w:rPr>
      <w:sz w:val="20"/>
      <w:szCs w:val="20"/>
    </w:rPr>
  </w:style>
  <w:style w:type="character" w:customStyle="1" w:styleId="CommentTextChar">
    <w:name w:val="Comment Text Char"/>
    <w:basedOn w:val="DefaultParagraphFont"/>
    <w:link w:val="CommentText"/>
    <w:uiPriority w:val="99"/>
    <w:semiHidden/>
    <w:rsid w:val="007E7B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B0A"/>
    <w:rPr>
      <w:b/>
      <w:bCs/>
    </w:rPr>
  </w:style>
  <w:style w:type="character" w:customStyle="1" w:styleId="CommentSubjectChar">
    <w:name w:val="Comment Subject Char"/>
    <w:basedOn w:val="CommentTextChar"/>
    <w:link w:val="CommentSubject"/>
    <w:uiPriority w:val="99"/>
    <w:semiHidden/>
    <w:rsid w:val="007E7B0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73480"/>
    <w:pPr>
      <w:tabs>
        <w:tab w:val="center" w:pos="4680"/>
        <w:tab w:val="right" w:pos="9360"/>
      </w:tabs>
    </w:pPr>
  </w:style>
  <w:style w:type="character" w:customStyle="1" w:styleId="HeaderChar">
    <w:name w:val="Header Char"/>
    <w:basedOn w:val="DefaultParagraphFont"/>
    <w:link w:val="Header"/>
    <w:uiPriority w:val="99"/>
    <w:rsid w:val="00F734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3480"/>
    <w:pPr>
      <w:tabs>
        <w:tab w:val="center" w:pos="4680"/>
        <w:tab w:val="right" w:pos="9360"/>
      </w:tabs>
    </w:pPr>
  </w:style>
  <w:style w:type="character" w:customStyle="1" w:styleId="FooterChar">
    <w:name w:val="Footer Char"/>
    <w:basedOn w:val="DefaultParagraphFont"/>
    <w:link w:val="Footer"/>
    <w:uiPriority w:val="99"/>
    <w:rsid w:val="00F73480"/>
    <w:rPr>
      <w:rFonts w:ascii="Times New Roman" w:eastAsia="Times New Roman" w:hAnsi="Times New Roman" w:cs="Times New Roman"/>
      <w:sz w:val="24"/>
      <w:szCs w:val="24"/>
    </w:rPr>
  </w:style>
  <w:style w:type="paragraph" w:styleId="ListParagraph">
    <w:name w:val="List Paragraph"/>
    <w:basedOn w:val="Normal"/>
    <w:uiPriority w:val="34"/>
    <w:qFormat/>
    <w:rsid w:val="002C66A9"/>
    <w:pPr>
      <w:spacing w:after="200" w:line="276" w:lineRule="auto"/>
      <w:ind w:left="720"/>
      <w:contextualSpacing/>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2C66A9"/>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C66A9"/>
    <w:rPr>
      <w:rFonts w:eastAsiaTheme="minorEastAsia"/>
      <w:sz w:val="20"/>
      <w:szCs w:val="20"/>
    </w:rPr>
  </w:style>
  <w:style w:type="character" w:styleId="FootnoteReference">
    <w:name w:val="footnote reference"/>
    <w:basedOn w:val="DefaultParagraphFont"/>
    <w:uiPriority w:val="99"/>
    <w:semiHidden/>
    <w:unhideWhenUsed/>
    <w:rsid w:val="002C66A9"/>
    <w:rPr>
      <w:vertAlign w:val="superscript"/>
    </w:rPr>
  </w:style>
  <w:style w:type="character" w:customStyle="1" w:styleId="301">
    <w:name w:val="301"/>
    <w:rsid w:val="00BB16DC"/>
    <w:rPr>
      <w:color w:val="auto"/>
      <w:spacing w:val="0"/>
      <w:sz w:val="24"/>
    </w:rPr>
  </w:style>
  <w:style w:type="character" w:styleId="UnresolvedMention">
    <w:name w:val="Unresolved Mention"/>
    <w:basedOn w:val="DefaultParagraphFont"/>
    <w:uiPriority w:val="99"/>
    <w:semiHidden/>
    <w:unhideWhenUsed/>
    <w:rsid w:val="00DE5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702141">
      <w:bodyDiv w:val="1"/>
      <w:marLeft w:val="0"/>
      <w:marRight w:val="0"/>
      <w:marTop w:val="0"/>
      <w:marBottom w:val="0"/>
      <w:divBdr>
        <w:top w:val="none" w:sz="0" w:space="0" w:color="auto"/>
        <w:left w:val="none" w:sz="0" w:space="0" w:color="auto"/>
        <w:bottom w:val="none" w:sz="0" w:space="0" w:color="auto"/>
        <w:right w:val="none" w:sz="0" w:space="0" w:color="auto"/>
      </w:divBdr>
    </w:div>
    <w:div w:id="1241210280">
      <w:bodyDiv w:val="1"/>
      <w:marLeft w:val="0"/>
      <w:marRight w:val="0"/>
      <w:marTop w:val="0"/>
      <w:marBottom w:val="0"/>
      <w:divBdr>
        <w:top w:val="none" w:sz="0" w:space="0" w:color="auto"/>
        <w:left w:val="none" w:sz="0" w:space="0" w:color="auto"/>
        <w:bottom w:val="none" w:sz="0" w:space="0" w:color="auto"/>
        <w:right w:val="none" w:sz="0" w:space="0" w:color="auto"/>
      </w:divBdr>
    </w:div>
    <w:div w:id="1366297805">
      <w:bodyDiv w:val="1"/>
      <w:marLeft w:val="0"/>
      <w:marRight w:val="0"/>
      <w:marTop w:val="0"/>
      <w:marBottom w:val="450"/>
      <w:divBdr>
        <w:top w:val="none" w:sz="0" w:space="0" w:color="auto"/>
        <w:left w:val="none" w:sz="0" w:space="0" w:color="auto"/>
        <w:bottom w:val="none" w:sz="0" w:space="0" w:color="auto"/>
        <w:right w:val="none" w:sz="0" w:space="0" w:color="auto"/>
      </w:divBdr>
      <w:divsChild>
        <w:div w:id="453913969">
          <w:marLeft w:val="0"/>
          <w:marRight w:val="0"/>
          <w:marTop w:val="0"/>
          <w:marBottom w:val="0"/>
          <w:divBdr>
            <w:top w:val="none" w:sz="0" w:space="0" w:color="auto"/>
            <w:left w:val="none" w:sz="0" w:space="0" w:color="auto"/>
            <w:bottom w:val="none" w:sz="0" w:space="0" w:color="auto"/>
            <w:right w:val="none" w:sz="0" w:space="0" w:color="auto"/>
          </w:divBdr>
          <w:divsChild>
            <w:div w:id="926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528">
      <w:bodyDiv w:val="1"/>
      <w:marLeft w:val="0"/>
      <w:marRight w:val="0"/>
      <w:marTop w:val="0"/>
      <w:marBottom w:val="0"/>
      <w:divBdr>
        <w:top w:val="none" w:sz="0" w:space="0" w:color="auto"/>
        <w:left w:val="none" w:sz="0" w:space="0" w:color="auto"/>
        <w:bottom w:val="none" w:sz="0" w:space="0" w:color="auto"/>
        <w:right w:val="none" w:sz="0" w:space="0" w:color="auto"/>
      </w:divBdr>
      <w:divsChild>
        <w:div w:id="1918858717">
          <w:marLeft w:val="0"/>
          <w:marRight w:val="0"/>
          <w:marTop w:val="0"/>
          <w:marBottom w:val="0"/>
          <w:divBdr>
            <w:top w:val="none" w:sz="0" w:space="0" w:color="auto"/>
            <w:left w:val="none" w:sz="0" w:space="0" w:color="auto"/>
            <w:bottom w:val="none" w:sz="0" w:space="0" w:color="auto"/>
            <w:right w:val="none" w:sz="0" w:space="0" w:color="auto"/>
          </w:divBdr>
          <w:divsChild>
            <w:div w:id="320281455">
              <w:marLeft w:val="0"/>
              <w:marRight w:val="0"/>
              <w:marTop w:val="0"/>
              <w:marBottom w:val="0"/>
              <w:divBdr>
                <w:top w:val="single" w:sz="6" w:space="11" w:color="FCFCFC"/>
                <w:left w:val="single" w:sz="6" w:space="11" w:color="ECECEC"/>
                <w:bottom w:val="single" w:sz="6" w:space="4" w:color="ECECEC"/>
                <w:right w:val="single" w:sz="6" w:space="11" w:color="ECECEC"/>
              </w:divBdr>
              <w:divsChild>
                <w:div w:id="1852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47748">
      <w:bodyDiv w:val="1"/>
      <w:marLeft w:val="0"/>
      <w:marRight w:val="0"/>
      <w:marTop w:val="0"/>
      <w:marBottom w:val="0"/>
      <w:divBdr>
        <w:top w:val="none" w:sz="0" w:space="0" w:color="auto"/>
        <w:left w:val="none" w:sz="0" w:space="0" w:color="auto"/>
        <w:bottom w:val="none" w:sz="0" w:space="0" w:color="auto"/>
        <w:right w:val="none" w:sz="0" w:space="0" w:color="auto"/>
      </w:divBdr>
      <w:divsChild>
        <w:div w:id="491527817">
          <w:marLeft w:val="0"/>
          <w:marRight w:val="0"/>
          <w:marTop w:val="0"/>
          <w:marBottom w:val="0"/>
          <w:divBdr>
            <w:top w:val="none" w:sz="0" w:space="0" w:color="auto"/>
            <w:left w:val="none" w:sz="0" w:space="0" w:color="auto"/>
            <w:bottom w:val="none" w:sz="0" w:space="0" w:color="auto"/>
            <w:right w:val="none" w:sz="0" w:space="0" w:color="auto"/>
          </w:divBdr>
          <w:divsChild>
            <w:div w:id="984042926">
              <w:marLeft w:val="0"/>
              <w:marRight w:val="0"/>
              <w:marTop w:val="0"/>
              <w:marBottom w:val="0"/>
              <w:divBdr>
                <w:top w:val="single" w:sz="6" w:space="11" w:color="FCFCFC"/>
                <w:left w:val="single" w:sz="6" w:space="11" w:color="ECECEC"/>
                <w:bottom w:val="single" w:sz="6" w:space="4" w:color="ECECEC"/>
                <w:right w:val="single" w:sz="6" w:space="11" w:color="ECECEC"/>
              </w:divBdr>
              <w:divsChild>
                <w:div w:id="15778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5C8E6-BF00-4707-8015-E3860E75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Moxey, Joseph  - APHIS</cp:lastModifiedBy>
  <cp:revision>3</cp:revision>
  <cp:lastPrinted>2012-07-24T13:33:00Z</cp:lastPrinted>
  <dcterms:created xsi:type="dcterms:W3CDTF">2022-02-01T22:28:00Z</dcterms:created>
  <dcterms:modified xsi:type="dcterms:W3CDTF">2022-02-01T22:39:00Z</dcterms:modified>
</cp:coreProperties>
</file>