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169C" w:rsidR="0049760F" w:rsidP="0049760F" w:rsidRDefault="0049760F" w14:paraId="3D621106" w14:textId="49527EA2">
      <w:pPr>
        <w:tabs>
          <w:tab w:val="right" w:pos="9630"/>
        </w:tabs>
        <w:jc w:val="center"/>
        <w:rPr>
          <w:bCs/>
        </w:rPr>
      </w:pPr>
      <w:r w:rsidRPr="0095169C">
        <w:rPr>
          <w:b/>
          <w:color w:val="FF0000"/>
        </w:rPr>
        <w:tab/>
      </w:r>
      <w:r w:rsidRPr="0095169C" w:rsidR="0095169C">
        <w:rPr>
          <w:bCs/>
        </w:rPr>
        <w:t>February 2022</w:t>
      </w:r>
    </w:p>
    <w:p w:rsidRPr="0095169C" w:rsidR="0049760F" w:rsidP="003C4C61" w:rsidRDefault="0049760F" w14:paraId="60E44290" w14:textId="77777777">
      <w:pPr>
        <w:tabs>
          <w:tab w:val="right" w:pos="9630"/>
        </w:tabs>
      </w:pPr>
    </w:p>
    <w:p w:rsidRPr="0095169C" w:rsidR="0008208A" w:rsidP="0008208A" w:rsidRDefault="0008208A" w14:paraId="5BF7E73B" w14:textId="1B443265">
      <w:pPr>
        <w:jc w:val="center"/>
        <w:rPr>
          <w:b/>
        </w:rPr>
      </w:pPr>
      <w:r w:rsidRPr="0095169C">
        <w:rPr>
          <w:b/>
        </w:rPr>
        <w:t xml:space="preserve">SUPPORTING </w:t>
      </w:r>
      <w:r w:rsidRPr="0095169C" w:rsidR="00FD5A9E">
        <w:rPr>
          <w:b/>
        </w:rPr>
        <w:t>STATEMENT</w:t>
      </w:r>
    </w:p>
    <w:p w:rsidRPr="0095169C" w:rsidR="0049760F" w:rsidP="0008208A" w:rsidRDefault="0008208A" w14:paraId="224E038B" w14:textId="77777777">
      <w:pPr>
        <w:jc w:val="center"/>
        <w:rPr>
          <w:b/>
        </w:rPr>
      </w:pPr>
      <w:r w:rsidRPr="0095169C">
        <w:rPr>
          <w:b/>
        </w:rPr>
        <w:t>VIRUS-SERUM-TOXIN ACT AND REGULATIONS</w:t>
      </w:r>
    </w:p>
    <w:p w:rsidRPr="0095169C" w:rsidR="0008208A" w:rsidP="0008208A" w:rsidRDefault="0049760F" w14:paraId="506E9D2C" w14:textId="51399A68">
      <w:pPr>
        <w:jc w:val="center"/>
        <w:rPr>
          <w:b/>
        </w:rPr>
      </w:pPr>
      <w:r w:rsidRPr="0095169C">
        <w:rPr>
          <w:b/>
        </w:rPr>
        <w:t>OMB NO. 0579-0013</w:t>
      </w:r>
      <w:r w:rsidRPr="0095169C" w:rsidR="0008208A">
        <w:rPr>
          <w:b/>
        </w:rPr>
        <w:t xml:space="preserve"> </w:t>
      </w:r>
    </w:p>
    <w:p w:rsidRPr="00050ADF" w:rsidR="000D5618" w:rsidP="000D5618" w:rsidRDefault="000D5618" w14:paraId="56CC2646" w14:textId="77777777">
      <w:pPr>
        <w:autoSpaceDE w:val="0"/>
        <w:autoSpaceDN w:val="0"/>
        <w:adjustRightInd w:val="0"/>
        <w:spacing w:before="13" w:line="240" w:lineRule="exact"/>
        <w:rPr>
          <w:rFonts w:eastAsiaTheme="minorHAnsi"/>
          <w:bCs/>
          <w:sz w:val="28"/>
        </w:rPr>
      </w:pPr>
    </w:p>
    <w:p w:rsidRPr="0095169C" w:rsidR="0008208A" w:rsidP="0008208A" w:rsidRDefault="0008208A" w14:paraId="6FE93F5A" w14:textId="77777777">
      <w:pPr>
        <w:autoSpaceDE w:val="0"/>
        <w:autoSpaceDN w:val="0"/>
        <w:adjustRightInd w:val="0"/>
        <w:rPr>
          <w:b/>
          <w:bCs/>
        </w:rPr>
      </w:pPr>
      <w:r w:rsidRPr="0095169C">
        <w:rPr>
          <w:b/>
          <w:bCs/>
        </w:rPr>
        <w:t>A.  JUSTIFICATION</w:t>
      </w:r>
    </w:p>
    <w:p w:rsidRPr="0095169C" w:rsidR="0008208A" w:rsidP="0008208A" w:rsidRDefault="0008208A" w14:paraId="623064B1" w14:textId="77777777">
      <w:pPr>
        <w:autoSpaceDE w:val="0"/>
        <w:autoSpaceDN w:val="0"/>
        <w:adjustRightInd w:val="0"/>
        <w:rPr>
          <w:bCs/>
        </w:rPr>
      </w:pPr>
    </w:p>
    <w:p w:rsidRPr="0095169C" w:rsidR="0008208A" w:rsidP="0008208A" w:rsidRDefault="0008208A" w14:paraId="7593C406" w14:textId="77777777">
      <w:pPr>
        <w:autoSpaceDE w:val="0"/>
        <w:autoSpaceDN w:val="0"/>
        <w:adjustRightInd w:val="0"/>
        <w:rPr>
          <w:b/>
          <w:bCs/>
        </w:rPr>
      </w:pPr>
      <w:r w:rsidRPr="0095169C">
        <w:rPr>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5169C" w:rsidR="0008208A" w:rsidP="0008208A" w:rsidRDefault="0008208A" w14:paraId="40D3FF55" w14:textId="77777777">
      <w:pPr>
        <w:autoSpaceDE w:val="0"/>
        <w:autoSpaceDN w:val="0"/>
        <w:adjustRightInd w:val="0"/>
      </w:pPr>
    </w:p>
    <w:p w:rsidRPr="0095169C" w:rsidR="0008208A" w:rsidP="0008208A" w:rsidRDefault="0008208A" w14:paraId="5BA40A18" w14:textId="73E0E780">
      <w:pPr>
        <w:autoSpaceDE w:val="0"/>
        <w:autoSpaceDN w:val="0"/>
        <w:adjustRightInd w:val="0"/>
      </w:pPr>
      <w:r w:rsidRPr="0095169C">
        <w:t>The Virus-Serum-Toxin (VST) Act (21 U</w:t>
      </w:r>
      <w:r w:rsidRPr="0095169C" w:rsidR="00D67192">
        <w:t>.</w:t>
      </w:r>
      <w:r w:rsidRPr="0095169C">
        <w:t>S</w:t>
      </w:r>
      <w:r w:rsidRPr="0095169C" w:rsidR="00D67192">
        <w:t>.</w:t>
      </w:r>
      <w:r w:rsidRPr="0095169C">
        <w:t>C</w:t>
      </w:r>
      <w:r w:rsidRPr="0095169C" w:rsidR="00D67192">
        <w:t>.</w:t>
      </w:r>
      <w:r w:rsidRPr="0095169C">
        <w:t xml:space="preserve"> 151-159) gives the U</w:t>
      </w:r>
      <w:r w:rsidRPr="0095169C" w:rsidR="00D67192">
        <w:t>.</w:t>
      </w:r>
      <w:r w:rsidRPr="0095169C">
        <w:t>S</w:t>
      </w:r>
      <w:r w:rsidRPr="0095169C" w:rsidR="00D67192">
        <w:t>.</w:t>
      </w:r>
      <w:r w:rsidRPr="0095169C">
        <w:t xml:space="preserve"> Department of Agriculture (USDA) the authority to promulgate regulations designed to prevent the importation, preparation, sale, or shipment of harmful veterinary biological products. These regulations are contained in Title 9, </w:t>
      </w:r>
      <w:r w:rsidRPr="0095169C">
        <w:rPr>
          <w:i/>
          <w:iCs/>
        </w:rPr>
        <w:t>Code of Federal Regulations</w:t>
      </w:r>
      <w:r w:rsidRPr="0095169C">
        <w:t>, Subchapter E, Parts 10</w:t>
      </w:r>
      <w:r w:rsidRPr="0095169C" w:rsidR="00D61282">
        <w:t>1</w:t>
      </w:r>
      <w:r w:rsidRPr="0095169C">
        <w:t xml:space="preserve"> to 124.</w:t>
      </w:r>
      <w:r w:rsidRPr="0095169C" w:rsidR="0094322B">
        <w:t xml:space="preserve"> </w:t>
      </w:r>
      <w:r w:rsidRPr="0095169C" w:rsidR="00D2740A">
        <w:t>V</w:t>
      </w:r>
      <w:r w:rsidRPr="0095169C">
        <w:t>eterinary biological product</w:t>
      </w:r>
      <w:r w:rsidRPr="0095169C" w:rsidR="00D2740A">
        <w:t>s</w:t>
      </w:r>
      <w:r w:rsidRPr="0095169C">
        <w:t xml:space="preserve"> </w:t>
      </w:r>
      <w:r w:rsidRPr="0095169C" w:rsidR="00D2740A">
        <w:t xml:space="preserve">are </w:t>
      </w:r>
      <w:r w:rsidRPr="0095169C">
        <w:t>defined as all viruses, serums, toxins, and analogous products of natural or synthetic origin (such as vaccines, antitoxins, or the immunizing components of microorganisms intended for the diagnosis, treatment, or prevention of diseases in domestic animals).</w:t>
      </w:r>
    </w:p>
    <w:p w:rsidRPr="0095169C" w:rsidR="0008208A" w:rsidP="0008208A" w:rsidRDefault="0008208A" w14:paraId="3F2432FB" w14:textId="77777777">
      <w:pPr>
        <w:autoSpaceDE w:val="0"/>
        <w:autoSpaceDN w:val="0"/>
        <w:adjustRightInd w:val="0"/>
      </w:pPr>
    </w:p>
    <w:p w:rsidRPr="0095169C" w:rsidR="0008208A" w:rsidP="00711C7E" w:rsidRDefault="00711C7E" w14:paraId="704D9FDF" w14:textId="339B288F">
      <w:pPr>
        <w:autoSpaceDE w:val="0"/>
        <w:autoSpaceDN w:val="0"/>
        <w:adjustRightInd w:val="0"/>
      </w:pPr>
      <w:r w:rsidRPr="0095169C">
        <w:t>T</w:t>
      </w:r>
      <w:r w:rsidRPr="0095169C" w:rsidR="0008208A">
        <w:t>he Policy, Evaluation, and Licensing Unit of the Center for Veterinary Biologics (CVB), Veterinary Services, Animal and Plant Health Inspection Service (APHIS)</w:t>
      </w:r>
      <w:r w:rsidRPr="0095169C" w:rsidR="00D67192">
        <w:t>,</w:t>
      </w:r>
      <w:r w:rsidRPr="0095169C" w:rsidR="0008208A">
        <w:t xml:space="preserve"> </w:t>
      </w:r>
      <w:r w:rsidRPr="0095169C">
        <w:t xml:space="preserve">uses </w:t>
      </w:r>
      <w:r w:rsidRPr="0095169C" w:rsidR="0008208A">
        <w:t>a number of information gathering tools</w:t>
      </w:r>
      <w:r w:rsidRPr="0095169C">
        <w:t xml:space="preserve"> to fulfill its mission of preventing the importation, preparation, sale, or shipment of harmful veterinary biological products</w:t>
      </w:r>
      <w:r w:rsidRPr="0095169C" w:rsidR="0008208A">
        <w:t>.</w:t>
      </w:r>
      <w:r w:rsidRPr="0095169C">
        <w:t xml:space="preserve"> These activities </w:t>
      </w:r>
      <w:r w:rsidRPr="0095169C" w:rsidR="0008208A">
        <w:t xml:space="preserve">enable </w:t>
      </w:r>
      <w:r w:rsidRPr="0095169C">
        <w:t xml:space="preserve">APHIS </w:t>
      </w:r>
      <w:r w:rsidRPr="0095169C" w:rsidR="0008208A">
        <w:t>to ensure t</w:t>
      </w:r>
      <w:r w:rsidRPr="0095169C" w:rsidR="00971DAD">
        <w:t>h</w:t>
      </w:r>
      <w:r w:rsidRPr="0095169C" w:rsidR="0008208A">
        <w:t xml:space="preserve">at veterinary biological products used in the United States are pure, safe, </w:t>
      </w:r>
      <w:r w:rsidRPr="0095169C" w:rsidR="003F389A">
        <w:t>potent</w:t>
      </w:r>
      <w:r w:rsidRPr="0095169C" w:rsidR="00096374">
        <w:t>,</w:t>
      </w:r>
      <w:r w:rsidRPr="0095169C" w:rsidR="003F389A">
        <w:t xml:space="preserve"> </w:t>
      </w:r>
      <w:r w:rsidRPr="0095169C" w:rsidR="0008208A">
        <w:t xml:space="preserve">and effective. </w:t>
      </w:r>
      <w:r w:rsidRPr="0095169C" w:rsidR="00971DAD">
        <w:t xml:space="preserve">The VST Act also contains requirements for maintaining detailed records of information necessary to give a complete accounting of all the activities within a veterinary biologics establishment. These records include records and reports for unfavorable or unintended events that occur in animals after the use of a biological product. To limit the harm to animals posed by unsatisfactory veterinary biologics, APHIS must rely on adverse event reports (AER) provided by veterinary biologics licensees and permittees. </w:t>
      </w:r>
      <w:r w:rsidRPr="0095169C" w:rsidR="0008208A">
        <w:t>APHIS is asking the Office of Management and Budget (OMB) to approv</w:t>
      </w:r>
      <w:r w:rsidRPr="0095169C" w:rsidR="00D67192">
        <w:t>e</w:t>
      </w:r>
      <w:r w:rsidRPr="0095169C" w:rsidR="0008208A">
        <w:t xml:space="preserve"> </w:t>
      </w:r>
      <w:r w:rsidRPr="0095169C">
        <w:t xml:space="preserve">the reinstatement and </w:t>
      </w:r>
      <w:r w:rsidRPr="0095169C" w:rsidR="0008208A">
        <w:t>use of these information collection activities for an additional 3 years.</w:t>
      </w:r>
    </w:p>
    <w:p w:rsidRPr="0095169C" w:rsidR="0071500E" w:rsidP="0008208A" w:rsidRDefault="0071500E" w14:paraId="3FB0F69F" w14:textId="77777777">
      <w:pPr>
        <w:autoSpaceDE w:val="0"/>
        <w:autoSpaceDN w:val="0"/>
        <w:adjustRightInd w:val="0"/>
      </w:pPr>
    </w:p>
    <w:p w:rsidRPr="0095169C" w:rsidR="00711C7E" w:rsidP="0008208A" w:rsidRDefault="00711C7E" w14:paraId="7F95084E" w14:textId="77777777">
      <w:pPr>
        <w:autoSpaceDE w:val="0"/>
        <w:autoSpaceDN w:val="0"/>
        <w:adjustRightInd w:val="0"/>
      </w:pPr>
    </w:p>
    <w:p w:rsidRPr="0095169C" w:rsidR="0008208A" w:rsidP="00D2740A" w:rsidRDefault="00711C7E" w14:paraId="020DECF8" w14:textId="6F3A43FF">
      <w:pPr>
        <w:autoSpaceDE w:val="0"/>
        <w:autoSpaceDN w:val="0"/>
        <w:adjustRightInd w:val="0"/>
        <w:rPr>
          <w:b/>
          <w:bCs/>
        </w:rPr>
      </w:pPr>
      <w:r w:rsidRPr="0095169C">
        <w:rPr>
          <w:b/>
          <w:bCs/>
        </w:rPr>
        <w:t>2</w:t>
      </w:r>
      <w:r w:rsidRPr="0095169C" w:rsidR="0008208A">
        <w:rPr>
          <w:b/>
          <w:bCs/>
        </w:rPr>
        <w:t>.  Indicate how, by whom, how frequently, and for what purpose the information is to be used.  Except for a new collection, indicate the actual use the agency has made of the information received from the current collection.</w:t>
      </w:r>
    </w:p>
    <w:p w:rsidRPr="00050ADF" w:rsidR="0008208A" w:rsidP="00806A1D" w:rsidRDefault="0008208A" w14:paraId="6B48A6E8" w14:textId="77777777">
      <w:pPr>
        <w:autoSpaceDE w:val="0"/>
        <w:autoSpaceDN w:val="0"/>
        <w:adjustRightInd w:val="0"/>
      </w:pPr>
    </w:p>
    <w:p w:rsidRPr="00050ADF" w:rsidR="00E80304" w:rsidP="00806A1D" w:rsidRDefault="00E80304" w14:paraId="5D37F0B1" w14:textId="60C03062">
      <w:pPr>
        <w:autoSpaceDE w:val="0"/>
        <w:autoSpaceDN w:val="0"/>
        <w:adjustRightInd w:val="0"/>
      </w:pPr>
      <w:r w:rsidRPr="00050ADF">
        <w:t>APHIS uses the fo</w:t>
      </w:r>
      <w:r w:rsidRPr="00050ADF" w:rsidR="00CB7011">
        <w:t xml:space="preserve">llowing information activities </w:t>
      </w:r>
      <w:r w:rsidRPr="00050ADF">
        <w:t xml:space="preserve">to prevent the importation, </w:t>
      </w:r>
      <w:r w:rsidRPr="00050ADF" w:rsidR="0047365C">
        <w:t xml:space="preserve">shipment, </w:t>
      </w:r>
      <w:r w:rsidRPr="00050ADF">
        <w:t xml:space="preserve">preparation, </w:t>
      </w:r>
      <w:r w:rsidRPr="00050ADF" w:rsidR="0047365C">
        <w:t xml:space="preserve">or </w:t>
      </w:r>
      <w:r w:rsidRPr="00050ADF">
        <w:t>sale</w:t>
      </w:r>
      <w:r w:rsidRPr="00050ADF" w:rsidR="0047365C">
        <w:t xml:space="preserve"> </w:t>
      </w:r>
      <w:r w:rsidRPr="00050ADF">
        <w:t xml:space="preserve">of </w:t>
      </w:r>
      <w:r w:rsidRPr="00050ADF" w:rsidR="0047365C">
        <w:t xml:space="preserve">contaminated, dangerous, worthless, or </w:t>
      </w:r>
      <w:r w:rsidRPr="00050ADF">
        <w:t>harmful veterinary biological products</w:t>
      </w:r>
      <w:r w:rsidRPr="00050ADF" w:rsidR="0047365C">
        <w:t xml:space="preserve"> within the United States</w:t>
      </w:r>
      <w:r w:rsidRPr="00050ADF">
        <w:t>.</w:t>
      </w:r>
    </w:p>
    <w:p w:rsidRPr="00050ADF" w:rsidR="00E80304" w:rsidP="00806A1D" w:rsidRDefault="00E80304" w14:paraId="4619A21F" w14:textId="77777777">
      <w:pPr>
        <w:autoSpaceDE w:val="0"/>
        <w:autoSpaceDN w:val="0"/>
        <w:adjustRightInd w:val="0"/>
      </w:pPr>
    </w:p>
    <w:p w:rsidRPr="0095169C" w:rsidR="0008208A" w:rsidP="00806A1D" w:rsidRDefault="0008208A" w14:paraId="606D67B6" w14:textId="4EE17DE2">
      <w:pPr>
        <w:autoSpaceDE w:val="0"/>
        <w:autoSpaceDN w:val="0"/>
        <w:adjustRightInd w:val="0"/>
        <w:rPr>
          <w:b/>
          <w:u w:val="single"/>
        </w:rPr>
      </w:pPr>
      <w:r w:rsidRPr="0095169C">
        <w:rPr>
          <w:b/>
          <w:bCs/>
          <w:u w:val="single"/>
        </w:rPr>
        <w:t>Application for U</w:t>
      </w:r>
      <w:r w:rsidRPr="0095169C" w:rsidR="00D67192">
        <w:rPr>
          <w:b/>
          <w:bCs/>
          <w:u w:val="single"/>
        </w:rPr>
        <w:t>.</w:t>
      </w:r>
      <w:r w:rsidRPr="0095169C">
        <w:rPr>
          <w:b/>
          <w:bCs/>
          <w:u w:val="single"/>
        </w:rPr>
        <w:t>S</w:t>
      </w:r>
      <w:r w:rsidRPr="0095169C" w:rsidR="00D67192">
        <w:rPr>
          <w:b/>
          <w:bCs/>
          <w:u w:val="single"/>
        </w:rPr>
        <w:t>.</w:t>
      </w:r>
      <w:r w:rsidRPr="0095169C">
        <w:rPr>
          <w:b/>
          <w:bCs/>
          <w:u w:val="single"/>
        </w:rPr>
        <w:t xml:space="preserve"> Veterinary Biologics Establishment License (includes plot plans and blueprints) (APHIS Form 2001)</w:t>
      </w:r>
      <w:r w:rsidRPr="0095169C" w:rsidR="00C82F37">
        <w:rPr>
          <w:b/>
          <w:bCs/>
          <w:u w:val="single"/>
        </w:rPr>
        <w:t>,</w:t>
      </w:r>
      <w:r w:rsidRPr="0095169C" w:rsidR="00F63C89">
        <w:rPr>
          <w:b/>
          <w:bCs/>
          <w:u w:val="single"/>
        </w:rPr>
        <w:t xml:space="preserve"> (9 CFR 102.1</w:t>
      </w:r>
      <w:r w:rsidRPr="0095169C" w:rsidR="00F6448F">
        <w:rPr>
          <w:b/>
          <w:bCs/>
          <w:u w:val="single"/>
        </w:rPr>
        <w:t xml:space="preserve">, </w:t>
      </w:r>
      <w:r w:rsidRPr="0095169C" w:rsidR="00F63C89">
        <w:rPr>
          <w:b/>
          <w:bCs/>
          <w:u w:val="single"/>
        </w:rPr>
        <w:t>9 CFR 108</w:t>
      </w:r>
      <w:r w:rsidRPr="0095169C" w:rsidR="00AC32FB">
        <w:rPr>
          <w:b/>
          <w:bCs/>
          <w:u w:val="single"/>
        </w:rPr>
        <w:t>.2</w:t>
      </w:r>
      <w:r w:rsidRPr="0095169C" w:rsidR="00F63C89">
        <w:rPr>
          <w:b/>
          <w:bCs/>
          <w:u w:val="single"/>
        </w:rPr>
        <w:t>)</w:t>
      </w:r>
      <w:r w:rsidRPr="0095169C" w:rsidR="00C82F37">
        <w:rPr>
          <w:b/>
          <w:bCs/>
          <w:u w:val="single"/>
        </w:rPr>
        <w:t>,</w:t>
      </w:r>
      <w:r w:rsidRPr="0095169C" w:rsidR="00195286">
        <w:rPr>
          <w:b/>
          <w:bCs/>
          <w:u w:val="single"/>
        </w:rPr>
        <w:t xml:space="preserve"> </w:t>
      </w:r>
      <w:r w:rsidRPr="0095169C" w:rsidR="00847B5D">
        <w:rPr>
          <w:b/>
          <w:bCs/>
          <w:u w:val="single"/>
        </w:rPr>
        <w:t>(Business)</w:t>
      </w:r>
    </w:p>
    <w:p w:rsidRPr="0095169C" w:rsidR="00F6448F" w:rsidP="00D61282" w:rsidRDefault="0008208A" w14:paraId="23187B36" w14:textId="77777777">
      <w:r w:rsidRPr="0095169C">
        <w:t>The prospective owner</w:t>
      </w:r>
      <w:r w:rsidRPr="0095169C" w:rsidR="00D67192">
        <w:t xml:space="preserve"> or </w:t>
      </w:r>
      <w:r w:rsidRPr="0095169C">
        <w:t>operator (whether a corporation, partnership, or individual) of a veterinary biologics establishment uses APHIS Form 2001 to apply for a U</w:t>
      </w:r>
      <w:r w:rsidRPr="0095169C" w:rsidR="00D67192">
        <w:t>.</w:t>
      </w:r>
      <w:r w:rsidRPr="0095169C">
        <w:t>S</w:t>
      </w:r>
      <w:r w:rsidRPr="0095169C" w:rsidR="00D67192">
        <w:t>.</w:t>
      </w:r>
      <w:r w:rsidRPr="0095169C">
        <w:t xml:space="preserve"> Veterinary Biologics </w:t>
      </w:r>
      <w:r w:rsidRPr="0095169C">
        <w:lastRenderedPageBreak/>
        <w:t xml:space="preserve">Establishment License. Such establishments must meet minimum standards for facilities and production methods. </w:t>
      </w:r>
      <w:r w:rsidRPr="0095169C" w:rsidR="007A41DB">
        <w:t xml:space="preserve">Information contained on this application includes the name, address, and mailing address of the applicant; if a corporation or other entity, the name, title, and business address of the principal officers or partners; and the locations to be used for preparation, testing, and initial shipping. </w:t>
      </w:r>
      <w:r w:rsidRPr="0095169C">
        <w:t xml:space="preserve">The information collected on </w:t>
      </w:r>
      <w:r w:rsidRPr="0095169C" w:rsidR="00F6448F">
        <w:t xml:space="preserve">APHIS </w:t>
      </w:r>
      <w:r w:rsidRPr="0095169C">
        <w:t>Form 2001 allows APHIS to determine that the conditions of the facilities and the method of preparation of the product are likely to accomplish the intended purpose.</w:t>
      </w:r>
    </w:p>
    <w:p w:rsidRPr="0095169C" w:rsidR="00F6448F" w:rsidP="00D61282" w:rsidRDefault="00F6448F" w14:paraId="6F5FEA06" w14:textId="77777777">
      <w:pPr>
        <w:rPr>
          <w:color w:val="000000" w:themeColor="text1"/>
        </w:rPr>
      </w:pPr>
    </w:p>
    <w:p w:rsidR="0095169C" w:rsidP="00F6448F" w:rsidRDefault="00F6448F" w14:paraId="0B7975F9" w14:textId="77777777">
      <w:pPr>
        <w:autoSpaceDE w:val="0"/>
        <w:autoSpaceDN w:val="0"/>
        <w:adjustRightInd w:val="0"/>
        <w:rPr>
          <w:b/>
          <w:color w:val="000000" w:themeColor="text1"/>
          <w:u w:val="single"/>
        </w:rPr>
      </w:pPr>
      <w:r w:rsidRPr="0095169C">
        <w:rPr>
          <w:b/>
          <w:color w:val="000000" w:themeColor="text1"/>
          <w:u w:val="single"/>
        </w:rPr>
        <w:t>CVB Inspection and Compliance Facility Document Submission Worksheet</w:t>
      </w:r>
    </w:p>
    <w:p w:rsidRPr="0095169C" w:rsidR="00F6448F" w:rsidP="00F6448F" w:rsidRDefault="00F6448F" w14:paraId="111C5ABA" w14:textId="4DAF780B">
      <w:pPr>
        <w:autoSpaceDE w:val="0"/>
        <w:autoSpaceDN w:val="0"/>
        <w:adjustRightInd w:val="0"/>
        <w:rPr>
          <w:b/>
          <w:color w:val="000000" w:themeColor="text1"/>
          <w:u w:val="single"/>
        </w:rPr>
      </w:pPr>
      <w:r w:rsidRPr="0095169C">
        <w:rPr>
          <w:b/>
          <w:bCs/>
          <w:color w:val="000000" w:themeColor="text1"/>
          <w:u w:val="single"/>
        </w:rPr>
        <w:t>(</w:t>
      </w:r>
      <w:r w:rsidRPr="0095169C" w:rsidR="0031550C">
        <w:rPr>
          <w:b/>
          <w:bCs/>
          <w:color w:val="000000" w:themeColor="text1"/>
          <w:u w:val="single"/>
        </w:rPr>
        <w:t>APHIS Form 2009</w:t>
      </w:r>
      <w:r w:rsidRPr="0095169C">
        <w:rPr>
          <w:b/>
          <w:bCs/>
          <w:color w:val="000000" w:themeColor="text1"/>
          <w:u w:val="single"/>
        </w:rPr>
        <w:t>)</w:t>
      </w:r>
      <w:r w:rsidRPr="0095169C" w:rsidR="00EE5E3E">
        <w:rPr>
          <w:b/>
          <w:bCs/>
          <w:color w:val="000000" w:themeColor="text1"/>
          <w:u w:val="single"/>
        </w:rPr>
        <w:t>,</w:t>
      </w:r>
      <w:r w:rsidRPr="0095169C">
        <w:rPr>
          <w:b/>
          <w:bCs/>
          <w:color w:val="000000" w:themeColor="text1"/>
          <w:u w:val="single"/>
        </w:rPr>
        <w:t xml:space="preserve"> (9 CFR 102.1, 9 CFR 108.2)</w:t>
      </w:r>
      <w:r w:rsidRPr="0095169C" w:rsidR="00EE5E3E">
        <w:rPr>
          <w:b/>
          <w:bCs/>
          <w:color w:val="000000" w:themeColor="text1"/>
          <w:u w:val="single"/>
        </w:rPr>
        <w:t>,</w:t>
      </w:r>
      <w:r w:rsidRPr="0095169C">
        <w:rPr>
          <w:b/>
          <w:bCs/>
          <w:color w:val="000000" w:themeColor="text1"/>
          <w:u w:val="single"/>
        </w:rPr>
        <w:t xml:space="preserve"> (Business)</w:t>
      </w:r>
    </w:p>
    <w:p w:rsidRPr="0095169C" w:rsidR="00D61282" w:rsidP="00D61282" w:rsidRDefault="00D61282" w14:paraId="5E0CE006" w14:textId="17C2B4A2">
      <w:pPr>
        <w:rPr>
          <w:color w:val="000000" w:themeColor="text1"/>
        </w:rPr>
      </w:pPr>
      <w:r w:rsidRPr="0095169C">
        <w:rPr>
          <w:color w:val="000000" w:themeColor="text1"/>
        </w:rPr>
        <w:t xml:space="preserve">The </w:t>
      </w:r>
      <w:r w:rsidRPr="0095169C" w:rsidR="0031550C">
        <w:rPr>
          <w:color w:val="000000" w:themeColor="text1"/>
        </w:rPr>
        <w:t>APHIS Form 2009</w:t>
      </w:r>
      <w:r w:rsidRPr="0095169C" w:rsidR="00F6448F">
        <w:rPr>
          <w:color w:val="000000" w:themeColor="text1"/>
        </w:rPr>
        <w:t>, Center for Veterinary Biologics (CVB) Inspection and Compliance Facility Document Submission Worksheet</w:t>
      </w:r>
      <w:r w:rsidRPr="0095169C" w:rsidR="00EE5E3E">
        <w:rPr>
          <w:color w:val="000000" w:themeColor="text1"/>
        </w:rPr>
        <w:t>,</w:t>
      </w:r>
      <w:r w:rsidRPr="0095169C">
        <w:rPr>
          <w:color w:val="000000" w:themeColor="text1"/>
        </w:rPr>
        <w:t xml:space="preserve"> </w:t>
      </w:r>
      <w:r w:rsidRPr="0095169C" w:rsidR="00F6448F">
        <w:rPr>
          <w:color w:val="000000" w:themeColor="text1"/>
        </w:rPr>
        <w:t>supplement</w:t>
      </w:r>
      <w:r w:rsidRPr="0095169C" w:rsidR="00A84011">
        <w:rPr>
          <w:color w:val="000000" w:themeColor="text1"/>
        </w:rPr>
        <w:t>s</w:t>
      </w:r>
      <w:r w:rsidRPr="0095169C" w:rsidR="00F6448F">
        <w:rPr>
          <w:color w:val="000000" w:themeColor="text1"/>
        </w:rPr>
        <w:t xml:space="preserve"> the APHIS Form 2001</w:t>
      </w:r>
      <w:r w:rsidRPr="0095169C">
        <w:rPr>
          <w:color w:val="000000" w:themeColor="text1"/>
        </w:rPr>
        <w:t>. This form is a more efficient way for new and existing applicants to electronically submit documentation supporting their request</w:t>
      </w:r>
      <w:r w:rsidRPr="0095169C" w:rsidR="00C241EF">
        <w:rPr>
          <w:color w:val="000000" w:themeColor="text1"/>
        </w:rPr>
        <w:t>s</w:t>
      </w:r>
      <w:r w:rsidRPr="0095169C">
        <w:rPr>
          <w:color w:val="000000" w:themeColor="text1"/>
        </w:rPr>
        <w:t xml:space="preserve"> for an Establishment License or to update existing documents. The new form also helps </w:t>
      </w:r>
      <w:r w:rsidRPr="0095169C" w:rsidR="00F6448F">
        <w:rPr>
          <w:color w:val="000000" w:themeColor="text1"/>
        </w:rPr>
        <w:t xml:space="preserve">applicants </w:t>
      </w:r>
      <w:r w:rsidRPr="0095169C">
        <w:rPr>
          <w:color w:val="000000" w:themeColor="text1"/>
        </w:rPr>
        <w:t xml:space="preserve">identify </w:t>
      </w:r>
      <w:r w:rsidRPr="0095169C" w:rsidR="00F6448F">
        <w:rPr>
          <w:color w:val="000000" w:themeColor="text1"/>
        </w:rPr>
        <w:t>the d</w:t>
      </w:r>
      <w:r w:rsidRPr="0095169C">
        <w:rPr>
          <w:color w:val="000000" w:themeColor="text1"/>
        </w:rPr>
        <w:t xml:space="preserve">ocuments they need to submit </w:t>
      </w:r>
      <w:r w:rsidRPr="0095169C" w:rsidR="00F6448F">
        <w:rPr>
          <w:color w:val="000000" w:themeColor="text1"/>
        </w:rPr>
        <w:t xml:space="preserve">by </w:t>
      </w:r>
      <w:r w:rsidRPr="0095169C">
        <w:rPr>
          <w:color w:val="000000" w:themeColor="text1"/>
        </w:rPr>
        <w:t>using drop</w:t>
      </w:r>
      <w:r w:rsidRPr="0095169C" w:rsidR="00C241EF">
        <w:rPr>
          <w:color w:val="000000" w:themeColor="text1"/>
        </w:rPr>
        <w:t>-</w:t>
      </w:r>
      <w:r w:rsidRPr="0095169C">
        <w:rPr>
          <w:color w:val="000000" w:themeColor="text1"/>
        </w:rPr>
        <w:t>down menus in the electronic form.</w:t>
      </w:r>
    </w:p>
    <w:p w:rsidRPr="0095169C" w:rsidR="0008208A" w:rsidP="00806A1D" w:rsidRDefault="0008208A" w14:paraId="42805CF8" w14:textId="77777777">
      <w:pPr>
        <w:autoSpaceDE w:val="0"/>
        <w:autoSpaceDN w:val="0"/>
        <w:adjustRightInd w:val="0"/>
        <w:rPr>
          <w:color w:val="000000" w:themeColor="text1"/>
        </w:rPr>
      </w:pPr>
    </w:p>
    <w:p w:rsidRPr="0095169C" w:rsidR="0008208A" w:rsidP="00806A1D" w:rsidRDefault="0008208A" w14:paraId="517B60A6" w14:textId="1931067D">
      <w:pPr>
        <w:autoSpaceDE w:val="0"/>
        <w:autoSpaceDN w:val="0"/>
        <w:adjustRightInd w:val="0"/>
        <w:rPr>
          <w:b/>
          <w:color w:val="000000" w:themeColor="text1"/>
          <w:u w:val="single"/>
        </w:rPr>
      </w:pPr>
      <w:r w:rsidRPr="0095169C">
        <w:rPr>
          <w:b/>
          <w:bCs/>
          <w:color w:val="000000" w:themeColor="text1"/>
          <w:u w:val="single"/>
        </w:rPr>
        <w:t>Application for U</w:t>
      </w:r>
      <w:r w:rsidRPr="0095169C" w:rsidR="007A41DB">
        <w:rPr>
          <w:b/>
          <w:bCs/>
          <w:color w:val="000000" w:themeColor="text1"/>
          <w:u w:val="single"/>
        </w:rPr>
        <w:t>.</w:t>
      </w:r>
      <w:r w:rsidRPr="0095169C">
        <w:rPr>
          <w:b/>
          <w:bCs/>
          <w:color w:val="000000" w:themeColor="text1"/>
          <w:u w:val="single"/>
        </w:rPr>
        <w:t>S</w:t>
      </w:r>
      <w:r w:rsidRPr="0095169C" w:rsidR="007A41DB">
        <w:rPr>
          <w:b/>
          <w:bCs/>
          <w:color w:val="000000" w:themeColor="text1"/>
          <w:u w:val="single"/>
        </w:rPr>
        <w:t>.</w:t>
      </w:r>
      <w:r w:rsidRPr="0095169C">
        <w:rPr>
          <w:b/>
          <w:bCs/>
          <w:color w:val="000000" w:themeColor="text1"/>
          <w:u w:val="single"/>
        </w:rPr>
        <w:t xml:space="preserve"> Veterinary Biologics License (APHIS Form 2003)</w:t>
      </w:r>
      <w:r w:rsidRPr="0095169C" w:rsidR="00C82F37">
        <w:rPr>
          <w:b/>
          <w:bCs/>
          <w:color w:val="000000" w:themeColor="text1"/>
          <w:u w:val="single"/>
        </w:rPr>
        <w:t>,</w:t>
      </w:r>
      <w:r w:rsidRPr="0095169C" w:rsidR="00F63C89">
        <w:rPr>
          <w:b/>
          <w:bCs/>
          <w:color w:val="000000" w:themeColor="text1"/>
          <w:u w:val="single"/>
        </w:rPr>
        <w:t xml:space="preserve"> (9 CFR 102.1)</w:t>
      </w:r>
      <w:r w:rsidRPr="0095169C" w:rsidR="00C82F37">
        <w:rPr>
          <w:b/>
          <w:bCs/>
          <w:color w:val="000000" w:themeColor="text1"/>
          <w:u w:val="single"/>
        </w:rPr>
        <w:t>,</w:t>
      </w:r>
      <w:r w:rsidRPr="0095169C" w:rsidR="008A6DF6">
        <w:rPr>
          <w:b/>
          <w:bCs/>
          <w:color w:val="000000" w:themeColor="text1"/>
          <w:u w:val="single"/>
        </w:rPr>
        <w:t xml:space="preserve"> </w:t>
      </w:r>
      <w:r w:rsidRPr="0095169C" w:rsidR="00847B5D">
        <w:rPr>
          <w:b/>
          <w:bCs/>
          <w:color w:val="000000" w:themeColor="text1"/>
          <w:u w:val="single"/>
        </w:rPr>
        <w:t>(Business)</w:t>
      </w:r>
    </w:p>
    <w:p w:rsidR="0008208A" w:rsidP="00806A1D" w:rsidRDefault="0008208A" w14:paraId="05378FE2" w14:textId="097FF8D3">
      <w:pPr>
        <w:autoSpaceDE w:val="0"/>
        <w:autoSpaceDN w:val="0"/>
        <w:adjustRightInd w:val="0"/>
        <w:rPr>
          <w:color w:val="000000" w:themeColor="text1"/>
        </w:rPr>
      </w:pPr>
      <w:r w:rsidRPr="0095169C">
        <w:rPr>
          <w:color w:val="000000" w:themeColor="text1"/>
        </w:rPr>
        <w:t>The establishment owner</w:t>
      </w:r>
      <w:r w:rsidRPr="0095169C" w:rsidR="007A41DB">
        <w:rPr>
          <w:color w:val="000000" w:themeColor="text1"/>
        </w:rPr>
        <w:t xml:space="preserve"> or </w:t>
      </w:r>
      <w:r w:rsidRPr="0095169C">
        <w:rPr>
          <w:color w:val="000000" w:themeColor="text1"/>
        </w:rPr>
        <w:t>operator uses this form to apply to APHIS for a license to prepare any given biological product. Information contained on this application includes the name, address</w:t>
      </w:r>
      <w:r w:rsidRPr="0095169C" w:rsidR="007A41DB">
        <w:rPr>
          <w:color w:val="000000" w:themeColor="text1"/>
        </w:rPr>
        <w:t>,</w:t>
      </w:r>
      <w:r w:rsidRPr="0095169C">
        <w:rPr>
          <w:color w:val="000000" w:themeColor="text1"/>
        </w:rPr>
        <w:t xml:space="preserve"> and </w:t>
      </w:r>
      <w:r w:rsidRPr="0095169C" w:rsidR="00FD5A9E">
        <w:rPr>
          <w:color w:val="000000" w:themeColor="text1"/>
        </w:rPr>
        <w:t>t</w:t>
      </w:r>
      <w:r w:rsidRPr="0095169C">
        <w:rPr>
          <w:color w:val="000000" w:themeColor="text1"/>
        </w:rPr>
        <w:t>elephone number of the applicant; the type and quantity of veterinary biological product that will be prepared; and the location of the premises that will be used for such production.</w:t>
      </w:r>
    </w:p>
    <w:p w:rsidRPr="0095169C" w:rsidR="0095169C" w:rsidP="00806A1D" w:rsidRDefault="0095169C" w14:paraId="0D796F4D" w14:textId="77777777">
      <w:pPr>
        <w:autoSpaceDE w:val="0"/>
        <w:autoSpaceDN w:val="0"/>
        <w:adjustRightInd w:val="0"/>
        <w:rPr>
          <w:color w:val="000000" w:themeColor="text1"/>
        </w:rPr>
      </w:pPr>
    </w:p>
    <w:p w:rsidRPr="0095169C" w:rsidR="00F6448F" w:rsidP="00B37F37" w:rsidRDefault="00B37F37" w14:paraId="677CFE0D" w14:textId="08D2A2A9">
      <w:pPr>
        <w:autoSpaceDE w:val="0"/>
        <w:autoSpaceDN w:val="0"/>
        <w:adjustRightInd w:val="0"/>
        <w:rPr>
          <w:b/>
          <w:bCs/>
          <w:color w:val="000000" w:themeColor="text1"/>
          <w:u w:val="single"/>
        </w:rPr>
      </w:pPr>
      <w:r w:rsidRPr="0095169C">
        <w:rPr>
          <w:b/>
          <w:bCs/>
          <w:color w:val="000000" w:themeColor="text1"/>
          <w:u w:val="single"/>
        </w:rPr>
        <w:t>Certificate of Licensing and Inspection (APHIS Forms 2046, 2046S, 2047, and 2047S)</w:t>
      </w:r>
      <w:r w:rsidRPr="0095169C" w:rsidR="00C82F37">
        <w:rPr>
          <w:b/>
          <w:bCs/>
          <w:color w:val="000000" w:themeColor="text1"/>
          <w:u w:val="single"/>
        </w:rPr>
        <w:t>,</w:t>
      </w:r>
    </w:p>
    <w:p w:rsidRPr="0095169C" w:rsidR="00B37F37" w:rsidP="00B37F37" w:rsidRDefault="00B37F37" w14:paraId="55E9E096" w14:textId="13B6D82E">
      <w:pPr>
        <w:autoSpaceDE w:val="0"/>
        <w:autoSpaceDN w:val="0"/>
        <w:adjustRightInd w:val="0"/>
        <w:rPr>
          <w:b/>
          <w:color w:val="000000" w:themeColor="text1"/>
          <w:u w:val="single"/>
        </w:rPr>
      </w:pPr>
      <w:r w:rsidRPr="0095169C">
        <w:rPr>
          <w:b/>
          <w:bCs/>
          <w:color w:val="000000" w:themeColor="text1"/>
          <w:u w:val="single"/>
        </w:rPr>
        <w:t>(9 CFR 102.4)</w:t>
      </w:r>
      <w:r w:rsidRPr="0095169C" w:rsidR="00C82F37">
        <w:rPr>
          <w:b/>
          <w:bCs/>
          <w:color w:val="000000" w:themeColor="text1"/>
          <w:u w:val="single"/>
        </w:rPr>
        <w:t>,</w:t>
      </w:r>
      <w:r w:rsidRPr="0095169C">
        <w:rPr>
          <w:b/>
          <w:bCs/>
          <w:color w:val="000000" w:themeColor="text1"/>
          <w:u w:val="single"/>
        </w:rPr>
        <w:t xml:space="preserve"> </w:t>
      </w:r>
      <w:r w:rsidRPr="0095169C" w:rsidR="00847B5D">
        <w:rPr>
          <w:b/>
          <w:bCs/>
          <w:color w:val="000000" w:themeColor="text1"/>
          <w:u w:val="single"/>
        </w:rPr>
        <w:t>(Business)</w:t>
      </w:r>
    </w:p>
    <w:p w:rsidRPr="00050ADF" w:rsidR="00B37F37" w:rsidP="00B37F37" w:rsidRDefault="00F6448F" w14:paraId="6B657C06" w14:textId="23986659">
      <w:pPr>
        <w:autoSpaceDE w:val="0"/>
        <w:autoSpaceDN w:val="0"/>
        <w:adjustRightInd w:val="0"/>
        <w:rPr>
          <w:color w:val="000000" w:themeColor="text1"/>
        </w:rPr>
      </w:pPr>
      <w:r w:rsidRPr="0095169C">
        <w:rPr>
          <w:color w:val="000000" w:themeColor="text1"/>
        </w:rPr>
        <w:t>The APHIS Form</w:t>
      </w:r>
      <w:r w:rsidRPr="0095169C" w:rsidR="00A84011">
        <w:rPr>
          <w:color w:val="000000" w:themeColor="text1"/>
        </w:rPr>
        <w:t>s</w:t>
      </w:r>
      <w:r w:rsidRPr="0095169C">
        <w:rPr>
          <w:color w:val="000000" w:themeColor="text1"/>
        </w:rPr>
        <w:t xml:space="preserve"> 2046 and 2047 are </w:t>
      </w:r>
      <w:r w:rsidRPr="0095169C" w:rsidR="00B37F37">
        <w:rPr>
          <w:iCs/>
          <w:color w:val="000000" w:themeColor="text1"/>
        </w:rPr>
        <w:t>Certificates of Licensing and Inspection</w:t>
      </w:r>
      <w:r w:rsidRPr="0095169C" w:rsidR="00B37F37">
        <w:rPr>
          <w:color w:val="000000" w:themeColor="text1"/>
        </w:rPr>
        <w:t xml:space="preserve"> in which APHIS attests to the current inspection status of veterinary biologics establishments. </w:t>
      </w:r>
      <w:r w:rsidRPr="0095169C">
        <w:rPr>
          <w:color w:val="000000" w:themeColor="text1"/>
        </w:rPr>
        <w:t xml:space="preserve">APHIS Form 2046S and 2047S are the Spanish-language versions of these forms. </w:t>
      </w:r>
      <w:r w:rsidRPr="0095169C" w:rsidR="000F2EB9">
        <w:rPr>
          <w:color w:val="000000" w:themeColor="text1"/>
        </w:rPr>
        <w:t xml:space="preserve">These forms require the manufacturer to provide its name, address, and license number as well as the product’s true name, trade name, USDA code, and date of licensure. </w:t>
      </w:r>
      <w:r w:rsidRPr="0095169C" w:rsidR="00B37F37">
        <w:rPr>
          <w:color w:val="000000" w:themeColor="text1"/>
        </w:rPr>
        <w:t xml:space="preserve">Countries that import U.S. veterinary biologics frequently require U.S. manufacturers to </w:t>
      </w:r>
      <w:r w:rsidRPr="0095169C">
        <w:rPr>
          <w:color w:val="000000" w:themeColor="text1"/>
        </w:rPr>
        <w:t xml:space="preserve">provide </w:t>
      </w:r>
      <w:r w:rsidRPr="0095169C" w:rsidR="00B37F37">
        <w:rPr>
          <w:color w:val="000000" w:themeColor="text1"/>
        </w:rPr>
        <w:t xml:space="preserve">this official certification before </w:t>
      </w:r>
      <w:r w:rsidRPr="0095169C" w:rsidR="000F2EB9">
        <w:rPr>
          <w:color w:val="000000" w:themeColor="text1"/>
        </w:rPr>
        <w:t xml:space="preserve">receiving </w:t>
      </w:r>
      <w:r w:rsidRPr="0095169C" w:rsidR="00B37F37">
        <w:rPr>
          <w:color w:val="000000" w:themeColor="text1"/>
        </w:rPr>
        <w:t xml:space="preserve">authorization to market </w:t>
      </w:r>
      <w:r w:rsidRPr="0095169C" w:rsidR="000F2EB9">
        <w:rPr>
          <w:color w:val="000000" w:themeColor="text1"/>
        </w:rPr>
        <w:t xml:space="preserve">their </w:t>
      </w:r>
      <w:r w:rsidRPr="0095169C" w:rsidR="00B37F37">
        <w:rPr>
          <w:color w:val="000000" w:themeColor="text1"/>
        </w:rPr>
        <w:t>products in the country</w:t>
      </w:r>
      <w:r w:rsidRPr="00050ADF" w:rsidR="00B37F37">
        <w:rPr>
          <w:color w:val="000000" w:themeColor="text1"/>
        </w:rPr>
        <w:t>.</w:t>
      </w:r>
      <w:r w:rsidRPr="00050ADF" w:rsidR="000F2EB9">
        <w:rPr>
          <w:color w:val="000000" w:themeColor="text1"/>
        </w:rPr>
        <w:t xml:space="preserve"> </w:t>
      </w:r>
    </w:p>
    <w:p w:rsidRPr="00050ADF" w:rsidR="0071500E" w:rsidP="00B37F37" w:rsidRDefault="0071500E" w14:paraId="02F20C0E" w14:textId="77777777">
      <w:pPr>
        <w:autoSpaceDE w:val="0"/>
        <w:autoSpaceDN w:val="0"/>
        <w:adjustRightInd w:val="0"/>
        <w:rPr>
          <w:color w:val="000000" w:themeColor="text1"/>
        </w:rPr>
      </w:pPr>
    </w:p>
    <w:p w:rsidRPr="0095169C" w:rsidR="00F21F77" w:rsidP="00B37F37" w:rsidRDefault="00B37F37" w14:paraId="00ED01B3" w14:textId="77777777">
      <w:pPr>
        <w:autoSpaceDE w:val="0"/>
        <w:autoSpaceDN w:val="0"/>
        <w:adjustRightInd w:val="0"/>
        <w:rPr>
          <w:b/>
          <w:bCs/>
          <w:color w:val="000000" w:themeColor="text1"/>
          <w:u w:val="single"/>
        </w:rPr>
      </w:pPr>
      <w:r w:rsidRPr="0095169C">
        <w:rPr>
          <w:b/>
          <w:bCs/>
          <w:color w:val="000000" w:themeColor="text1"/>
          <w:u w:val="single"/>
        </w:rPr>
        <w:t>Qualifications of Veterinary Biologics Personnel (APHIS Form 2007)</w:t>
      </w:r>
      <w:r w:rsidRPr="0095169C" w:rsidR="00F21F77">
        <w:rPr>
          <w:b/>
          <w:bCs/>
          <w:color w:val="000000" w:themeColor="text1"/>
          <w:u w:val="single"/>
        </w:rPr>
        <w:t xml:space="preserve">, </w:t>
      </w:r>
      <w:r w:rsidRPr="0095169C">
        <w:rPr>
          <w:b/>
          <w:bCs/>
          <w:color w:val="000000" w:themeColor="text1"/>
          <w:u w:val="single"/>
        </w:rPr>
        <w:t>(9 CFR 102.4</w:t>
      </w:r>
      <w:r w:rsidRPr="0095169C" w:rsidR="00EE5E3E">
        <w:rPr>
          <w:b/>
          <w:bCs/>
          <w:color w:val="000000" w:themeColor="text1"/>
          <w:u w:val="single"/>
        </w:rPr>
        <w:t>,</w:t>
      </w:r>
    </w:p>
    <w:p w:rsidRPr="0095169C" w:rsidR="00B37F37" w:rsidP="00B37F37" w:rsidRDefault="00B37F37" w14:paraId="74E132A6" w14:textId="474FB343">
      <w:pPr>
        <w:autoSpaceDE w:val="0"/>
        <w:autoSpaceDN w:val="0"/>
        <w:adjustRightInd w:val="0"/>
        <w:rPr>
          <w:b/>
          <w:color w:val="000000" w:themeColor="text1"/>
          <w:u w:val="single"/>
        </w:rPr>
      </w:pPr>
      <w:r w:rsidRPr="0095169C">
        <w:rPr>
          <w:b/>
          <w:bCs/>
          <w:color w:val="000000" w:themeColor="text1"/>
          <w:u w:val="single"/>
        </w:rPr>
        <w:t>9 CFR 114.7)</w:t>
      </w:r>
      <w:r w:rsidRPr="0095169C" w:rsidR="00C82F37">
        <w:rPr>
          <w:b/>
          <w:bCs/>
          <w:color w:val="000000" w:themeColor="text1"/>
          <w:u w:val="single"/>
        </w:rPr>
        <w:t>,</w:t>
      </w:r>
      <w:r w:rsidRPr="0095169C">
        <w:rPr>
          <w:b/>
          <w:bCs/>
          <w:color w:val="000000" w:themeColor="text1"/>
          <w:u w:val="single"/>
        </w:rPr>
        <w:t xml:space="preserve"> </w:t>
      </w:r>
      <w:r w:rsidRPr="0095169C" w:rsidR="00847B5D">
        <w:rPr>
          <w:b/>
          <w:bCs/>
          <w:color w:val="000000" w:themeColor="text1"/>
          <w:u w:val="single"/>
        </w:rPr>
        <w:t>(Business)</w:t>
      </w:r>
    </w:p>
    <w:p w:rsidRPr="0095169C" w:rsidR="00B37F37" w:rsidP="00B37F37" w:rsidRDefault="00B37F37" w14:paraId="7E61036C" w14:textId="752E7C28">
      <w:pPr>
        <w:autoSpaceDE w:val="0"/>
        <w:autoSpaceDN w:val="0"/>
        <w:adjustRightInd w:val="0"/>
        <w:rPr>
          <w:color w:val="000000" w:themeColor="text1"/>
        </w:rPr>
      </w:pPr>
      <w:r w:rsidRPr="0095169C">
        <w:rPr>
          <w:color w:val="000000" w:themeColor="text1"/>
        </w:rPr>
        <w:t xml:space="preserve">APHIS regulations require that licensed establishments be operated under the direct supervision of a person competent by education and experience to handle all matters pertaining to the preparation and testing of veterinary biological products. </w:t>
      </w:r>
      <w:r w:rsidRPr="0095169C" w:rsidR="00C82F37">
        <w:rPr>
          <w:color w:val="000000" w:themeColor="text1"/>
        </w:rPr>
        <w:t>T</w:t>
      </w:r>
      <w:r w:rsidRPr="0095169C">
        <w:rPr>
          <w:color w:val="000000" w:themeColor="text1"/>
        </w:rPr>
        <w:t>his form</w:t>
      </w:r>
      <w:r w:rsidRPr="0095169C" w:rsidR="00C82F37">
        <w:rPr>
          <w:color w:val="000000" w:themeColor="text1"/>
        </w:rPr>
        <w:t xml:space="preserve"> is </w:t>
      </w:r>
      <w:r w:rsidRPr="0095169C">
        <w:rPr>
          <w:color w:val="000000" w:themeColor="text1"/>
        </w:rPr>
        <w:t xml:space="preserve">completed by the establishment's owner and </w:t>
      </w:r>
      <w:r w:rsidRPr="0095169C" w:rsidR="00A909B6">
        <w:rPr>
          <w:color w:val="000000" w:themeColor="text1"/>
        </w:rPr>
        <w:t>operator and</w:t>
      </w:r>
      <w:r w:rsidRPr="0095169C">
        <w:rPr>
          <w:color w:val="000000" w:themeColor="text1"/>
        </w:rPr>
        <w:t xml:space="preserve"> includes </w:t>
      </w:r>
      <w:r w:rsidRPr="0095169C" w:rsidR="00C82F37">
        <w:rPr>
          <w:color w:val="000000" w:themeColor="text1"/>
        </w:rPr>
        <w:t xml:space="preserve">the </w:t>
      </w:r>
      <w:r w:rsidRPr="0095169C">
        <w:rPr>
          <w:color w:val="000000" w:themeColor="text1"/>
        </w:rPr>
        <w:t xml:space="preserve">names and addresses of all schools </w:t>
      </w:r>
      <w:r w:rsidRPr="0095169C" w:rsidR="00C82F37">
        <w:rPr>
          <w:color w:val="000000" w:themeColor="text1"/>
        </w:rPr>
        <w:t xml:space="preserve">they </w:t>
      </w:r>
      <w:r w:rsidRPr="0095169C">
        <w:rPr>
          <w:color w:val="000000" w:themeColor="text1"/>
        </w:rPr>
        <w:t xml:space="preserve">attended and all biologics establishments </w:t>
      </w:r>
      <w:r w:rsidRPr="0095169C" w:rsidR="00C82F37">
        <w:rPr>
          <w:color w:val="000000" w:themeColor="text1"/>
        </w:rPr>
        <w:t xml:space="preserve">where they were </w:t>
      </w:r>
      <w:r w:rsidRPr="0095169C">
        <w:rPr>
          <w:color w:val="000000" w:themeColor="text1"/>
        </w:rPr>
        <w:t>employ</w:t>
      </w:r>
      <w:r w:rsidRPr="0095169C" w:rsidR="00C82F37">
        <w:rPr>
          <w:color w:val="000000" w:themeColor="text1"/>
        </w:rPr>
        <w:t>ed</w:t>
      </w:r>
      <w:r w:rsidRPr="0095169C">
        <w:rPr>
          <w:color w:val="000000" w:themeColor="text1"/>
        </w:rPr>
        <w:t xml:space="preserve"> (as well as subjects </w:t>
      </w:r>
      <w:r w:rsidRPr="0095169C" w:rsidR="00A909B6">
        <w:rPr>
          <w:color w:val="000000" w:themeColor="text1"/>
        </w:rPr>
        <w:t>studied</w:t>
      </w:r>
      <w:r w:rsidRPr="0095169C">
        <w:rPr>
          <w:color w:val="000000" w:themeColor="text1"/>
        </w:rPr>
        <w:t xml:space="preserve"> and work performed)</w:t>
      </w:r>
      <w:r w:rsidRPr="0095169C" w:rsidR="00C82F37">
        <w:rPr>
          <w:color w:val="000000" w:themeColor="text1"/>
        </w:rPr>
        <w:t xml:space="preserve">. It also provides </w:t>
      </w:r>
      <w:r w:rsidRPr="0095169C">
        <w:rPr>
          <w:color w:val="000000" w:themeColor="text1"/>
        </w:rPr>
        <w:t>APHIS a biographical summary of each designated person responsible for any phase of preparation of a biological product.</w:t>
      </w:r>
    </w:p>
    <w:p w:rsidRPr="00050ADF" w:rsidR="00B37F37" w:rsidP="00B37F37" w:rsidRDefault="00B37F37" w14:paraId="2F53ED37" w14:textId="06AF9CBE">
      <w:pPr>
        <w:autoSpaceDE w:val="0"/>
        <w:autoSpaceDN w:val="0"/>
        <w:adjustRightInd w:val="0"/>
        <w:rPr>
          <w:color w:val="000000" w:themeColor="text1"/>
        </w:rPr>
      </w:pPr>
    </w:p>
    <w:p w:rsidRPr="00050ADF" w:rsidR="0095169C" w:rsidP="00B37F37" w:rsidRDefault="0095169C" w14:paraId="1A1CC83E" w14:textId="5D3AB43C">
      <w:pPr>
        <w:autoSpaceDE w:val="0"/>
        <w:autoSpaceDN w:val="0"/>
        <w:adjustRightInd w:val="0"/>
        <w:rPr>
          <w:color w:val="000000" w:themeColor="text1"/>
        </w:rPr>
      </w:pPr>
    </w:p>
    <w:p w:rsidRPr="00050ADF" w:rsidR="0095169C" w:rsidP="00B37F37" w:rsidRDefault="0095169C" w14:paraId="3021471A" w14:textId="07B17A1B">
      <w:pPr>
        <w:autoSpaceDE w:val="0"/>
        <w:autoSpaceDN w:val="0"/>
        <w:adjustRightInd w:val="0"/>
        <w:rPr>
          <w:color w:val="000000" w:themeColor="text1"/>
        </w:rPr>
      </w:pPr>
    </w:p>
    <w:p w:rsidRPr="00050ADF" w:rsidR="0095169C" w:rsidP="00B37F37" w:rsidRDefault="0095169C" w14:paraId="3EA60020" w14:textId="77777777">
      <w:pPr>
        <w:autoSpaceDE w:val="0"/>
        <w:autoSpaceDN w:val="0"/>
        <w:adjustRightInd w:val="0"/>
        <w:rPr>
          <w:color w:val="000000" w:themeColor="text1"/>
        </w:rPr>
      </w:pPr>
    </w:p>
    <w:p w:rsidRPr="0095169C" w:rsidR="00BA31EC" w:rsidP="00B37F37" w:rsidRDefault="00B37F37" w14:paraId="7AEB4524" w14:textId="77777777">
      <w:pPr>
        <w:autoSpaceDE w:val="0"/>
        <w:autoSpaceDN w:val="0"/>
        <w:adjustRightInd w:val="0"/>
        <w:rPr>
          <w:b/>
          <w:color w:val="000000" w:themeColor="text1"/>
          <w:u w:val="single"/>
        </w:rPr>
      </w:pPr>
      <w:r w:rsidRPr="0095169C">
        <w:rPr>
          <w:b/>
          <w:color w:val="000000" w:themeColor="text1"/>
          <w:u w:val="single"/>
        </w:rPr>
        <w:lastRenderedPageBreak/>
        <w:t>Request for Restriction on Distribution and Use of a Veterinary Biological Product</w:t>
      </w:r>
      <w:r w:rsidRPr="0095169C" w:rsidR="00BA31EC">
        <w:rPr>
          <w:b/>
          <w:color w:val="000000" w:themeColor="text1"/>
          <w:u w:val="single"/>
        </w:rPr>
        <w:t>,</w:t>
      </w:r>
    </w:p>
    <w:p w:rsidRPr="0095169C" w:rsidR="00B37F37" w:rsidP="00B37F37" w:rsidRDefault="00B37F37" w14:paraId="2C8752B8" w14:textId="63EEE169">
      <w:pPr>
        <w:autoSpaceDE w:val="0"/>
        <w:autoSpaceDN w:val="0"/>
        <w:adjustRightInd w:val="0"/>
        <w:rPr>
          <w:b/>
          <w:color w:val="000000" w:themeColor="text1"/>
          <w:u w:val="single"/>
        </w:rPr>
      </w:pPr>
      <w:r w:rsidRPr="0095169C">
        <w:rPr>
          <w:b/>
          <w:color w:val="000000" w:themeColor="text1"/>
          <w:u w:val="single"/>
        </w:rPr>
        <w:t>(9 CFR 102.5)</w:t>
      </w:r>
      <w:r w:rsidRPr="0095169C" w:rsidR="00BA31EC">
        <w:rPr>
          <w:b/>
          <w:color w:val="000000" w:themeColor="text1"/>
          <w:u w:val="single"/>
        </w:rPr>
        <w:t>,</w:t>
      </w:r>
      <w:r w:rsidRPr="0095169C">
        <w:rPr>
          <w:b/>
          <w:color w:val="000000" w:themeColor="text1"/>
          <w:u w:val="single"/>
        </w:rPr>
        <w:t xml:space="preserve"> </w:t>
      </w:r>
      <w:r w:rsidRPr="0095169C" w:rsidR="00847B5D">
        <w:rPr>
          <w:b/>
          <w:color w:val="000000" w:themeColor="text1"/>
          <w:u w:val="single"/>
        </w:rPr>
        <w:t>(Business)</w:t>
      </w:r>
    </w:p>
    <w:p w:rsidRPr="0095169C" w:rsidR="00B37F37" w:rsidP="00B37F37" w:rsidRDefault="00B37F37" w14:paraId="5E7D1E68" w14:textId="642E189F">
      <w:pPr>
        <w:autoSpaceDE w:val="0"/>
        <w:autoSpaceDN w:val="0"/>
        <w:adjustRightInd w:val="0"/>
        <w:rPr>
          <w:color w:val="000000" w:themeColor="text1"/>
        </w:rPr>
      </w:pPr>
      <w:r w:rsidRPr="0095169C">
        <w:rPr>
          <w:color w:val="000000" w:themeColor="text1"/>
        </w:rPr>
        <w:t xml:space="preserve">Any person may request that the distribution and use of a veterinary biological product be restricted if the restriction pertains to the protection of domestic animals or public health, interest, or safety. All requests must be sent to the CVB </w:t>
      </w:r>
      <w:r w:rsidRPr="0095169C" w:rsidR="00BA31EC">
        <w:rPr>
          <w:color w:val="000000" w:themeColor="text1"/>
        </w:rPr>
        <w:t>D</w:t>
      </w:r>
      <w:r w:rsidRPr="0095169C">
        <w:rPr>
          <w:color w:val="000000" w:themeColor="text1"/>
        </w:rPr>
        <w:t>irector in writing</w:t>
      </w:r>
      <w:r w:rsidRPr="0095169C" w:rsidR="00BA31EC">
        <w:rPr>
          <w:color w:val="000000" w:themeColor="text1"/>
        </w:rPr>
        <w:t xml:space="preserve"> and must </w:t>
      </w:r>
      <w:r w:rsidRPr="0095169C">
        <w:rPr>
          <w:color w:val="000000" w:themeColor="text1"/>
        </w:rPr>
        <w:t xml:space="preserve">specify the restrictions being requested </w:t>
      </w:r>
      <w:r w:rsidRPr="0095169C" w:rsidR="00BA31EC">
        <w:rPr>
          <w:color w:val="000000" w:themeColor="text1"/>
        </w:rPr>
        <w:t>and an explanation or justification. Requests may include copie</w:t>
      </w:r>
      <w:r w:rsidRPr="0095169C">
        <w:rPr>
          <w:color w:val="000000" w:themeColor="text1"/>
        </w:rPr>
        <w:t>s of any supporting document</w:t>
      </w:r>
      <w:r w:rsidRPr="0095169C" w:rsidR="00BA31EC">
        <w:rPr>
          <w:color w:val="000000" w:themeColor="text1"/>
        </w:rPr>
        <w:t>s</w:t>
      </w:r>
      <w:r w:rsidRPr="0095169C">
        <w:rPr>
          <w:color w:val="000000" w:themeColor="text1"/>
        </w:rPr>
        <w:t xml:space="preserve"> such as scientific literature, published or unpublished articles, or data from tests.</w:t>
      </w:r>
    </w:p>
    <w:p w:rsidRPr="00050ADF" w:rsidR="00B37F37" w:rsidP="00B37F37" w:rsidRDefault="00B37F37" w14:paraId="01045327" w14:textId="77777777">
      <w:pPr>
        <w:autoSpaceDE w:val="0"/>
        <w:autoSpaceDN w:val="0"/>
        <w:adjustRightInd w:val="0"/>
        <w:rPr>
          <w:bCs/>
          <w:color w:val="000000" w:themeColor="text1"/>
        </w:rPr>
      </w:pPr>
    </w:p>
    <w:p w:rsidRPr="0095169C" w:rsidR="00B37F37" w:rsidP="00B37F37" w:rsidRDefault="00B37F37" w14:paraId="1DF6AAB4" w14:textId="06155CAF">
      <w:pPr>
        <w:autoSpaceDE w:val="0"/>
        <w:autoSpaceDN w:val="0"/>
        <w:adjustRightInd w:val="0"/>
        <w:rPr>
          <w:b/>
          <w:color w:val="000000" w:themeColor="text1"/>
          <w:u w:val="single"/>
        </w:rPr>
      </w:pPr>
      <w:r w:rsidRPr="0095169C">
        <w:rPr>
          <w:b/>
          <w:color w:val="000000" w:themeColor="text1"/>
          <w:u w:val="single"/>
        </w:rPr>
        <w:t>Petition for Reissue of Conditional License</w:t>
      </w:r>
      <w:r w:rsidRPr="0095169C" w:rsidR="00BA31EC">
        <w:rPr>
          <w:b/>
          <w:color w:val="000000" w:themeColor="text1"/>
          <w:u w:val="single"/>
        </w:rPr>
        <w:t>,</w:t>
      </w:r>
      <w:r w:rsidRPr="0095169C">
        <w:rPr>
          <w:b/>
          <w:color w:val="000000" w:themeColor="text1"/>
          <w:u w:val="single"/>
        </w:rPr>
        <w:t xml:space="preserve"> (9 CFR 102.6)</w:t>
      </w:r>
      <w:r w:rsidRPr="0095169C" w:rsidR="00BA31EC">
        <w:rPr>
          <w:b/>
          <w:color w:val="000000" w:themeColor="text1"/>
          <w:u w:val="single"/>
        </w:rPr>
        <w:t>,</w:t>
      </w:r>
      <w:r w:rsidRPr="0095169C">
        <w:rPr>
          <w:b/>
          <w:color w:val="000000" w:themeColor="text1"/>
          <w:u w:val="single"/>
        </w:rPr>
        <w:t xml:space="preserve"> </w:t>
      </w:r>
      <w:r w:rsidRPr="0095169C" w:rsidR="00847B5D">
        <w:rPr>
          <w:b/>
          <w:color w:val="000000" w:themeColor="text1"/>
          <w:u w:val="single"/>
        </w:rPr>
        <w:t>(Business)</w:t>
      </w:r>
    </w:p>
    <w:p w:rsidRPr="0095169C" w:rsidR="00B37F37" w:rsidP="00B37F37" w:rsidRDefault="00B37F37" w14:paraId="1AFF8353" w14:textId="77777777">
      <w:pPr>
        <w:autoSpaceDE w:val="0"/>
        <w:autoSpaceDN w:val="0"/>
        <w:adjustRightInd w:val="0"/>
        <w:rPr>
          <w:color w:val="000000" w:themeColor="text1"/>
        </w:rPr>
      </w:pPr>
      <w:r w:rsidRPr="0095169C">
        <w:rPr>
          <w:color w:val="000000" w:themeColor="text1"/>
        </w:rPr>
        <w:t>To meet an emergency condition, limited market, local situation, or other special circumstance, including production solely for intrastate use under a State-operated program, APHIS may issue a conditional U.S. Veterinary Biological Product License to an establishment under an expedited procedure which assures purity and safety, and a reasonable expectation of efficacy. Preparation of products under a conditional license may be limited to a predetermined time period established at the time of issuance. Before termination of the license, the licensee may request reissuance. These requests must be substantiated with data and information obtained since the license was issued.</w:t>
      </w:r>
    </w:p>
    <w:p w:rsidRPr="0095169C" w:rsidR="00B37F37" w:rsidP="00B37F37" w:rsidRDefault="00B37F37" w14:paraId="575DD484" w14:textId="77777777">
      <w:pPr>
        <w:autoSpaceDE w:val="0"/>
        <w:autoSpaceDN w:val="0"/>
        <w:adjustRightInd w:val="0"/>
        <w:rPr>
          <w:color w:val="000000" w:themeColor="text1"/>
        </w:rPr>
      </w:pPr>
    </w:p>
    <w:p w:rsidRPr="0095169C" w:rsidR="00B37F37" w:rsidP="00B37F37" w:rsidRDefault="00B37F37" w14:paraId="45AEA77A" w14:textId="185E5254">
      <w:pPr>
        <w:autoSpaceDE w:val="0"/>
        <w:autoSpaceDN w:val="0"/>
        <w:adjustRightInd w:val="0"/>
        <w:rPr>
          <w:b/>
          <w:color w:val="000000" w:themeColor="text1"/>
          <w:u w:val="single"/>
        </w:rPr>
      </w:pPr>
      <w:r w:rsidRPr="0095169C">
        <w:rPr>
          <w:b/>
          <w:color w:val="000000" w:themeColor="text1"/>
          <w:u w:val="single"/>
        </w:rPr>
        <w:t>Application to Produce Experimental Products</w:t>
      </w:r>
      <w:r w:rsidRPr="0095169C" w:rsidR="00BB57A6">
        <w:rPr>
          <w:b/>
          <w:color w:val="000000" w:themeColor="text1"/>
          <w:u w:val="single"/>
        </w:rPr>
        <w:t>,</w:t>
      </w:r>
      <w:r w:rsidRPr="0095169C">
        <w:rPr>
          <w:b/>
          <w:color w:val="000000" w:themeColor="text1"/>
          <w:u w:val="single"/>
        </w:rPr>
        <w:t xml:space="preserve"> (9 CFR 103.1)</w:t>
      </w:r>
      <w:r w:rsidRPr="0095169C" w:rsidR="00BB57A6">
        <w:rPr>
          <w:b/>
          <w:color w:val="000000" w:themeColor="text1"/>
          <w:u w:val="single"/>
        </w:rPr>
        <w:t>,</w:t>
      </w:r>
      <w:r w:rsidRPr="0095169C">
        <w:rPr>
          <w:b/>
          <w:color w:val="000000" w:themeColor="text1"/>
          <w:u w:val="single"/>
        </w:rPr>
        <w:t xml:space="preserve"> </w:t>
      </w:r>
      <w:r w:rsidRPr="0095169C" w:rsidR="00847B5D">
        <w:rPr>
          <w:b/>
          <w:color w:val="000000" w:themeColor="text1"/>
          <w:u w:val="single"/>
        </w:rPr>
        <w:t>(Business)</w:t>
      </w:r>
    </w:p>
    <w:p w:rsidR="00B37F37" w:rsidP="00B37F37" w:rsidRDefault="00B37F37" w14:paraId="585BDB78" w14:textId="7112D8B7">
      <w:pPr>
        <w:autoSpaceDE w:val="0"/>
        <w:autoSpaceDN w:val="0"/>
        <w:adjustRightInd w:val="0"/>
        <w:rPr>
          <w:color w:val="000000" w:themeColor="text1"/>
        </w:rPr>
      </w:pPr>
      <w:r w:rsidRPr="0095169C">
        <w:rPr>
          <w:color w:val="000000" w:themeColor="text1"/>
        </w:rPr>
        <w:t>APHIS may authorize the preparation of experimental products on the premises of a licensed establishment if it determines that such preparation will not contaminate licensed products. Each request for permission to prepare an experimental biological product on a licensed premise must indicate the nature of the unlicensed product, designate facilities to be used, and specify precautions that will be taken to prevent contamination of licensed products.</w:t>
      </w:r>
    </w:p>
    <w:p w:rsidRPr="0095169C" w:rsidR="0095169C" w:rsidP="00B37F37" w:rsidRDefault="0095169C" w14:paraId="7B10D47F" w14:textId="4FB4FB41">
      <w:pPr>
        <w:autoSpaceDE w:val="0"/>
        <w:autoSpaceDN w:val="0"/>
        <w:adjustRightInd w:val="0"/>
        <w:rPr>
          <w:color w:val="000000" w:themeColor="text1"/>
        </w:rPr>
      </w:pPr>
    </w:p>
    <w:p w:rsidR="0095169C" w:rsidP="007452E7" w:rsidRDefault="007452E7" w14:paraId="058CA28B" w14:textId="77777777">
      <w:pPr>
        <w:autoSpaceDE w:val="0"/>
        <w:autoSpaceDN w:val="0"/>
        <w:adjustRightInd w:val="0"/>
        <w:rPr>
          <w:b/>
          <w:bCs/>
          <w:color w:val="000000" w:themeColor="text1"/>
          <w:u w:val="single"/>
        </w:rPr>
      </w:pPr>
      <w:r w:rsidRPr="0095169C">
        <w:rPr>
          <w:b/>
          <w:bCs/>
          <w:color w:val="000000" w:themeColor="text1"/>
          <w:u w:val="single"/>
        </w:rPr>
        <w:t>Application for Authorization to Ship Experimental Veterinary Biological Products</w:t>
      </w:r>
    </w:p>
    <w:p w:rsidRPr="0095169C" w:rsidR="007452E7" w:rsidP="007452E7" w:rsidRDefault="007452E7" w14:paraId="7F9E6591" w14:textId="7F445A07">
      <w:pPr>
        <w:autoSpaceDE w:val="0"/>
        <w:autoSpaceDN w:val="0"/>
        <w:adjustRightInd w:val="0"/>
        <w:rPr>
          <w:b/>
          <w:color w:val="000000" w:themeColor="text1"/>
          <w:u w:val="single"/>
        </w:rPr>
      </w:pPr>
      <w:r w:rsidRPr="0095169C">
        <w:rPr>
          <w:b/>
          <w:bCs/>
          <w:color w:val="000000" w:themeColor="text1"/>
          <w:u w:val="single"/>
        </w:rPr>
        <w:t>(</w:t>
      </w:r>
      <w:r w:rsidRPr="0095169C">
        <w:rPr>
          <w:b/>
          <w:color w:val="000000" w:themeColor="text1"/>
          <w:u w:val="single"/>
        </w:rPr>
        <w:t>APHIS Form 2071)</w:t>
      </w:r>
      <w:r w:rsidRPr="0095169C" w:rsidR="00BB57A6">
        <w:rPr>
          <w:b/>
          <w:color w:val="000000" w:themeColor="text1"/>
          <w:u w:val="single"/>
        </w:rPr>
        <w:t>,</w:t>
      </w:r>
      <w:r w:rsidRPr="0095169C">
        <w:rPr>
          <w:b/>
          <w:color w:val="000000" w:themeColor="text1"/>
          <w:u w:val="single"/>
        </w:rPr>
        <w:t xml:space="preserve"> (9 CFR 103.3)</w:t>
      </w:r>
      <w:r w:rsidRPr="0095169C" w:rsidR="00BB57A6">
        <w:rPr>
          <w:b/>
          <w:color w:val="000000" w:themeColor="text1"/>
          <w:u w:val="single"/>
        </w:rPr>
        <w:t>,</w:t>
      </w:r>
      <w:r w:rsidRPr="0095169C">
        <w:rPr>
          <w:b/>
          <w:color w:val="000000" w:themeColor="text1"/>
          <w:u w:val="single"/>
        </w:rPr>
        <w:t xml:space="preserve"> </w:t>
      </w:r>
      <w:r w:rsidRPr="0095169C" w:rsidR="00847B5D">
        <w:rPr>
          <w:b/>
          <w:color w:val="000000" w:themeColor="text1"/>
          <w:u w:val="single"/>
        </w:rPr>
        <w:t>(Business)</w:t>
      </w:r>
    </w:p>
    <w:p w:rsidRPr="0095169C" w:rsidR="007452E7" w:rsidP="007452E7" w:rsidRDefault="007452E7" w14:paraId="7AAB6A3A" w14:textId="7D56B7C4">
      <w:pPr>
        <w:autoSpaceDE w:val="0"/>
        <w:autoSpaceDN w:val="0"/>
        <w:adjustRightInd w:val="0"/>
        <w:rPr>
          <w:bCs/>
          <w:color w:val="000000" w:themeColor="text1"/>
        </w:rPr>
      </w:pPr>
      <w:r w:rsidRPr="0095169C">
        <w:rPr>
          <w:color w:val="000000" w:themeColor="text1"/>
        </w:rPr>
        <w:t xml:space="preserve">For the benefit of license applicants and to permit and encourage research, </w:t>
      </w:r>
      <w:r w:rsidRPr="0095169C" w:rsidR="00E77937">
        <w:rPr>
          <w:color w:val="000000" w:themeColor="text1"/>
        </w:rPr>
        <w:t xml:space="preserve">APHIS may authorize </w:t>
      </w:r>
      <w:r w:rsidRPr="0095169C">
        <w:rPr>
          <w:color w:val="000000" w:themeColor="text1"/>
        </w:rPr>
        <w:t xml:space="preserve">a business to ship unlicensed biological products for the purpose of evaluating such experimental products by treating limited numbers of animals. However, APHIS must first determine that the conditions under which the experiment is to be conducted are adequate to prevent the spread of disease. </w:t>
      </w:r>
      <w:r w:rsidRPr="0095169C" w:rsidR="00BB57A6">
        <w:rPr>
          <w:color w:val="000000" w:themeColor="text1"/>
        </w:rPr>
        <w:t>Manufacture</w:t>
      </w:r>
      <w:r w:rsidRPr="0095169C" w:rsidR="00E77937">
        <w:rPr>
          <w:color w:val="000000" w:themeColor="text1"/>
        </w:rPr>
        <w:t>r</w:t>
      </w:r>
      <w:r w:rsidRPr="0095169C" w:rsidR="00BB57A6">
        <w:rPr>
          <w:color w:val="000000" w:themeColor="text1"/>
        </w:rPr>
        <w:t xml:space="preserve">s request this </w:t>
      </w:r>
      <w:r w:rsidRPr="0095169C">
        <w:rPr>
          <w:color w:val="000000" w:themeColor="text1"/>
        </w:rPr>
        <w:t>authorization and APHIS issue</w:t>
      </w:r>
      <w:r w:rsidRPr="0095169C" w:rsidR="00BB57A6">
        <w:rPr>
          <w:color w:val="000000" w:themeColor="text1"/>
        </w:rPr>
        <w:t xml:space="preserve">s it using APHIS Form 2071 which allows for a standardized and streamlined process. </w:t>
      </w:r>
      <w:r w:rsidRPr="0095169C">
        <w:rPr>
          <w:bCs/>
          <w:color w:val="000000" w:themeColor="text1"/>
        </w:rPr>
        <w:t>Shippers/applicants must provide their name and full mailing address; their U.S. veterinary establishment number, if applicable; the application type (new or amendment); a description of the product to be shipped; and the name and address of the recipient (including the address where the product is to be used, if different).</w:t>
      </w:r>
    </w:p>
    <w:p w:rsidRPr="0095169C" w:rsidR="007452E7" w:rsidP="007452E7" w:rsidRDefault="007452E7" w14:paraId="1D172B55" w14:textId="77777777">
      <w:pPr>
        <w:autoSpaceDE w:val="0"/>
        <w:autoSpaceDN w:val="0"/>
        <w:adjustRightInd w:val="0"/>
        <w:rPr>
          <w:bCs/>
          <w:color w:val="000000" w:themeColor="text1"/>
        </w:rPr>
      </w:pPr>
    </w:p>
    <w:p w:rsidRPr="0095169C" w:rsidR="007452E7" w:rsidP="007452E7" w:rsidRDefault="007452E7" w14:paraId="1CE623E3" w14:textId="77777777">
      <w:pPr>
        <w:autoSpaceDE w:val="0"/>
        <w:autoSpaceDN w:val="0"/>
        <w:adjustRightInd w:val="0"/>
        <w:rPr>
          <w:color w:val="000000" w:themeColor="text1"/>
        </w:rPr>
      </w:pPr>
      <w:r w:rsidRPr="0095169C">
        <w:rPr>
          <w:color w:val="000000" w:themeColor="text1"/>
        </w:rPr>
        <w:t>Individuals wishing to ship unlicensed biological products to foreign countries for the purpose of evaluating such experimental products must, in addition to submitting information to APHIS, submit identical information (also using this form) to veterinary authorities in the foreign country where the experimental activity is to occur. This information will allow foreign veterinary authorities to determine whether to grant or deny the applicant’s request to test unlicensed, experimental biological products in that country.</w:t>
      </w:r>
    </w:p>
    <w:p w:rsidRPr="00050ADF" w:rsidR="00B37F37" w:rsidP="00B37F37" w:rsidRDefault="00B37F37" w14:paraId="41C01459" w14:textId="77777777">
      <w:pPr>
        <w:autoSpaceDE w:val="0"/>
        <w:autoSpaceDN w:val="0"/>
        <w:adjustRightInd w:val="0"/>
        <w:rPr>
          <w:color w:val="000000" w:themeColor="text1"/>
        </w:rPr>
      </w:pPr>
    </w:p>
    <w:p w:rsidRPr="0095169C" w:rsidR="00B33AC5" w:rsidP="00130A6F" w:rsidRDefault="00B33AC5" w14:paraId="323639E8" w14:textId="5D35B610">
      <w:pPr>
        <w:autoSpaceDE w:val="0"/>
        <w:autoSpaceDN w:val="0"/>
        <w:adjustRightInd w:val="0"/>
        <w:rPr>
          <w:b/>
          <w:color w:val="000000" w:themeColor="text1"/>
          <w:u w:val="single"/>
        </w:rPr>
      </w:pPr>
      <w:r w:rsidRPr="0095169C">
        <w:rPr>
          <w:b/>
          <w:bCs/>
          <w:color w:val="000000" w:themeColor="text1"/>
          <w:u w:val="single"/>
        </w:rPr>
        <w:t>Application for U</w:t>
      </w:r>
      <w:r w:rsidRPr="0095169C" w:rsidR="007A41DB">
        <w:rPr>
          <w:b/>
          <w:bCs/>
          <w:color w:val="000000" w:themeColor="text1"/>
          <w:u w:val="single"/>
        </w:rPr>
        <w:t>.</w:t>
      </w:r>
      <w:r w:rsidRPr="0095169C">
        <w:rPr>
          <w:b/>
          <w:bCs/>
          <w:color w:val="000000" w:themeColor="text1"/>
          <w:u w:val="single"/>
        </w:rPr>
        <w:t>S</w:t>
      </w:r>
      <w:r w:rsidRPr="0095169C" w:rsidR="007A41DB">
        <w:rPr>
          <w:b/>
          <w:bCs/>
          <w:color w:val="000000" w:themeColor="text1"/>
          <w:u w:val="single"/>
        </w:rPr>
        <w:t>.</w:t>
      </w:r>
      <w:r w:rsidRPr="0095169C">
        <w:rPr>
          <w:b/>
          <w:bCs/>
          <w:color w:val="000000" w:themeColor="text1"/>
          <w:u w:val="single"/>
        </w:rPr>
        <w:t xml:space="preserve"> Veterinary Biologics Product Permit (APHIS Form 2005)</w:t>
      </w:r>
      <w:r w:rsidRPr="0095169C" w:rsidR="006034ED">
        <w:rPr>
          <w:b/>
          <w:bCs/>
          <w:color w:val="000000" w:themeColor="text1"/>
          <w:u w:val="single"/>
        </w:rPr>
        <w:t>,</w:t>
      </w:r>
      <w:r w:rsidRPr="0095169C" w:rsidR="00F63C89">
        <w:rPr>
          <w:b/>
          <w:bCs/>
          <w:color w:val="000000" w:themeColor="text1"/>
          <w:u w:val="single"/>
        </w:rPr>
        <w:t xml:space="preserve"> (9 CFR 104.5)</w:t>
      </w:r>
      <w:r w:rsidRPr="0095169C" w:rsidR="006034ED">
        <w:rPr>
          <w:b/>
          <w:bCs/>
          <w:color w:val="000000" w:themeColor="text1"/>
          <w:u w:val="single"/>
        </w:rPr>
        <w:t>,</w:t>
      </w:r>
      <w:r w:rsidRPr="0095169C" w:rsidR="008A6DF6">
        <w:rPr>
          <w:b/>
          <w:bCs/>
          <w:color w:val="000000" w:themeColor="text1"/>
          <w:u w:val="single"/>
        </w:rPr>
        <w:t xml:space="preserve"> </w:t>
      </w:r>
      <w:r w:rsidRPr="0095169C" w:rsidR="00847B5D">
        <w:rPr>
          <w:b/>
          <w:bCs/>
          <w:color w:val="000000" w:themeColor="text1"/>
          <w:u w:val="single"/>
        </w:rPr>
        <w:t>(Business)</w:t>
      </w:r>
    </w:p>
    <w:p w:rsidRPr="0095169C" w:rsidR="00B33AC5" w:rsidP="00130A6F" w:rsidRDefault="00B33AC5" w14:paraId="65583A8B" w14:textId="3613714B">
      <w:pPr>
        <w:autoSpaceDE w:val="0"/>
        <w:autoSpaceDN w:val="0"/>
        <w:adjustRightInd w:val="0"/>
        <w:rPr>
          <w:color w:val="000000" w:themeColor="text1"/>
        </w:rPr>
      </w:pPr>
      <w:r w:rsidRPr="0095169C">
        <w:rPr>
          <w:color w:val="000000" w:themeColor="text1"/>
        </w:rPr>
        <w:t>APHIS is authorized to issue three types of permits for importing veterinary biological products. They are</w:t>
      </w:r>
      <w:r w:rsidRPr="0095169C" w:rsidR="006034ED">
        <w:rPr>
          <w:color w:val="000000" w:themeColor="text1"/>
        </w:rPr>
        <w:t>:</w:t>
      </w:r>
      <w:r w:rsidRPr="0095169C">
        <w:rPr>
          <w:color w:val="000000" w:themeColor="text1"/>
        </w:rPr>
        <w:t xml:space="preserve"> (</w:t>
      </w:r>
      <w:r w:rsidRPr="0095169C" w:rsidR="008A7CEB">
        <w:rPr>
          <w:color w:val="000000" w:themeColor="text1"/>
        </w:rPr>
        <w:t>1</w:t>
      </w:r>
      <w:r w:rsidRPr="0095169C">
        <w:rPr>
          <w:color w:val="000000" w:themeColor="text1"/>
        </w:rPr>
        <w:t xml:space="preserve">) a Biological Product Permit for Research and Evaluation, (2) a Biological Product </w:t>
      </w:r>
      <w:r w:rsidRPr="0095169C">
        <w:rPr>
          <w:color w:val="000000" w:themeColor="text1"/>
        </w:rPr>
        <w:lastRenderedPageBreak/>
        <w:t xml:space="preserve">Permit for </w:t>
      </w:r>
      <w:r w:rsidRPr="0095169C" w:rsidR="007A41DB">
        <w:rPr>
          <w:color w:val="000000" w:themeColor="text1"/>
        </w:rPr>
        <w:t xml:space="preserve">General </w:t>
      </w:r>
      <w:r w:rsidRPr="0095169C">
        <w:rPr>
          <w:color w:val="000000" w:themeColor="text1"/>
        </w:rPr>
        <w:t>Sale</w:t>
      </w:r>
      <w:r w:rsidRPr="0095169C" w:rsidR="007A41DB">
        <w:rPr>
          <w:color w:val="000000" w:themeColor="text1"/>
        </w:rPr>
        <w:t xml:space="preserve"> and Distribution</w:t>
      </w:r>
      <w:r w:rsidRPr="0095169C">
        <w:rPr>
          <w:color w:val="000000" w:themeColor="text1"/>
        </w:rPr>
        <w:t xml:space="preserve">, and (3) a Biological Permit for Transit Shipment Only. </w:t>
      </w:r>
      <w:r w:rsidRPr="0095169C" w:rsidR="006034ED">
        <w:rPr>
          <w:color w:val="000000" w:themeColor="text1"/>
        </w:rPr>
        <w:t xml:space="preserve">Importers apply for these permits using </w:t>
      </w:r>
      <w:r w:rsidRPr="0095169C">
        <w:rPr>
          <w:color w:val="000000" w:themeColor="text1"/>
        </w:rPr>
        <w:t>APHIS Form 2005</w:t>
      </w:r>
      <w:r w:rsidRPr="0095169C" w:rsidR="006034ED">
        <w:rPr>
          <w:color w:val="000000" w:themeColor="text1"/>
        </w:rPr>
        <w:t xml:space="preserve">. The form requests the same information found on APHIS Form 2001, plus </w:t>
      </w:r>
      <w:r w:rsidRPr="0095169C" w:rsidR="0060455E">
        <w:rPr>
          <w:color w:val="000000" w:themeColor="text1"/>
        </w:rPr>
        <w:t>storage location and shipping information</w:t>
      </w:r>
      <w:r w:rsidRPr="0095169C">
        <w:rPr>
          <w:color w:val="000000" w:themeColor="text1"/>
        </w:rPr>
        <w:t>.</w:t>
      </w:r>
      <w:r w:rsidRPr="0095169C" w:rsidR="00087D23">
        <w:rPr>
          <w:color w:val="000000" w:themeColor="text1"/>
        </w:rPr>
        <w:t xml:space="preserve"> Permits for Research and Evaluation and Permits for Transit Shipment Only can be submitted to CVB via the NCAH Portal with an unverified identity eAuthentication account. Permits for General Sale and Distribution can be submitted to CVB via the NCAH Portal</w:t>
      </w:r>
      <w:r w:rsidRPr="0095169C" w:rsidR="00B04DE5">
        <w:rPr>
          <w:color w:val="000000" w:themeColor="text1"/>
        </w:rPr>
        <w:t>,</w:t>
      </w:r>
      <w:r w:rsidRPr="0095169C" w:rsidR="00087D23">
        <w:rPr>
          <w:color w:val="000000" w:themeColor="text1"/>
        </w:rPr>
        <w:t xml:space="preserve"> but a verified identity eAuthentication account is required</w:t>
      </w:r>
      <w:r w:rsidRPr="0095169C" w:rsidR="00B04DE5">
        <w:rPr>
          <w:color w:val="000000" w:themeColor="text1"/>
        </w:rPr>
        <w:t xml:space="preserve"> for this submission type</w:t>
      </w:r>
      <w:r w:rsidRPr="0095169C" w:rsidR="00087D23">
        <w:rPr>
          <w:color w:val="000000" w:themeColor="text1"/>
        </w:rPr>
        <w:t>.</w:t>
      </w:r>
    </w:p>
    <w:p w:rsidRPr="0095169C" w:rsidR="00B56676" w:rsidP="00130A6F" w:rsidRDefault="00B56676" w14:paraId="72750713" w14:textId="77777777">
      <w:pPr>
        <w:autoSpaceDE w:val="0"/>
        <w:autoSpaceDN w:val="0"/>
        <w:adjustRightInd w:val="0"/>
        <w:rPr>
          <w:color w:val="000000" w:themeColor="text1"/>
        </w:rPr>
      </w:pPr>
    </w:p>
    <w:p w:rsidRPr="0095169C" w:rsidR="007452E7" w:rsidP="007452E7" w:rsidRDefault="007452E7" w14:paraId="28796569" w14:textId="398F6DF2">
      <w:pPr>
        <w:autoSpaceDE w:val="0"/>
        <w:autoSpaceDN w:val="0"/>
        <w:adjustRightInd w:val="0"/>
        <w:rPr>
          <w:b/>
          <w:color w:val="000000" w:themeColor="text1"/>
          <w:u w:val="single"/>
        </w:rPr>
      </w:pPr>
      <w:r w:rsidRPr="0095169C">
        <w:rPr>
          <w:b/>
          <w:color w:val="000000" w:themeColor="text1"/>
          <w:u w:val="single"/>
        </w:rPr>
        <w:t>Show Intent to Resume Production</w:t>
      </w:r>
      <w:r w:rsidRPr="0095169C" w:rsidR="001314FE">
        <w:rPr>
          <w:b/>
          <w:color w:val="000000" w:themeColor="text1"/>
          <w:u w:val="single"/>
        </w:rPr>
        <w:t>, (</w:t>
      </w:r>
      <w:r w:rsidRPr="0095169C">
        <w:rPr>
          <w:b/>
          <w:color w:val="000000" w:themeColor="text1"/>
          <w:u w:val="single"/>
        </w:rPr>
        <w:t>9 CFR 105.4</w:t>
      </w:r>
      <w:r w:rsidRPr="0095169C" w:rsidR="001314FE">
        <w:rPr>
          <w:b/>
          <w:color w:val="000000" w:themeColor="text1"/>
          <w:u w:val="single"/>
        </w:rPr>
        <w:t>),</w:t>
      </w:r>
      <w:r w:rsidRPr="0095169C">
        <w:rPr>
          <w:b/>
          <w:color w:val="000000" w:themeColor="text1"/>
          <w:u w:val="single"/>
        </w:rPr>
        <w:t xml:space="preserve"> </w:t>
      </w:r>
      <w:r w:rsidRPr="0095169C" w:rsidR="00847B5D">
        <w:rPr>
          <w:b/>
          <w:color w:val="000000" w:themeColor="text1"/>
          <w:u w:val="single"/>
        </w:rPr>
        <w:t>(Business)</w:t>
      </w:r>
    </w:p>
    <w:p w:rsidRPr="0095169C" w:rsidR="007452E7" w:rsidP="007452E7" w:rsidRDefault="007452E7" w14:paraId="543434A0" w14:textId="72F8F312">
      <w:pPr>
        <w:autoSpaceDE w:val="0"/>
        <w:autoSpaceDN w:val="0"/>
        <w:adjustRightInd w:val="0"/>
        <w:rPr>
          <w:color w:val="000000" w:themeColor="text1"/>
        </w:rPr>
      </w:pPr>
      <w:r w:rsidRPr="0095169C">
        <w:rPr>
          <w:color w:val="000000" w:themeColor="text1"/>
        </w:rPr>
        <w:t>If a biological product has not been prepared by a licensee, or imported by a permittee, for a period of 5 years or more, APHIS may require the licensee to show intent to resume production, or may require the permittee to show intent to resume importation. If the licensee does not resume preparation, or the permittee does not resume importation, within 6 months of being notified by APHIS (or within a mutually agreeable period), APHIS may terminate the product license or permit. Intent to resume preparation or importation can be accomplished in writing</w:t>
      </w:r>
      <w:r w:rsidRPr="0095169C" w:rsidR="00AA7F39">
        <w:rPr>
          <w:color w:val="000000" w:themeColor="text1"/>
        </w:rPr>
        <w:t xml:space="preserve"> or by submitting a letter via the NCAH Portal.</w:t>
      </w:r>
    </w:p>
    <w:p w:rsidR="007452E7" w:rsidP="007452E7" w:rsidRDefault="007452E7" w14:paraId="71D3C2E7" w14:textId="4591F411">
      <w:pPr>
        <w:autoSpaceDE w:val="0"/>
        <w:autoSpaceDN w:val="0"/>
        <w:adjustRightInd w:val="0"/>
        <w:rPr>
          <w:color w:val="000000" w:themeColor="text1"/>
        </w:rPr>
      </w:pPr>
    </w:p>
    <w:p w:rsidR="00C42733" w:rsidP="007452E7" w:rsidRDefault="00C42733" w14:paraId="0B4D1B54" w14:textId="6E8124D7">
      <w:pPr>
        <w:autoSpaceDE w:val="0"/>
        <w:autoSpaceDN w:val="0"/>
        <w:adjustRightInd w:val="0"/>
        <w:rPr>
          <w:b/>
          <w:u w:val="single"/>
        </w:rPr>
      </w:pPr>
      <w:r w:rsidRPr="001314FE">
        <w:rPr>
          <w:b/>
          <w:u w:val="single"/>
        </w:rPr>
        <w:t>State Notifi</w:t>
      </w:r>
      <w:r>
        <w:rPr>
          <w:b/>
          <w:u w:val="single"/>
        </w:rPr>
        <w:t xml:space="preserve">cation </w:t>
      </w:r>
      <w:r w:rsidRPr="001314FE">
        <w:rPr>
          <w:b/>
          <w:u w:val="single"/>
        </w:rPr>
        <w:t>of each Establishment and Product License Issued or Terminated</w:t>
      </w:r>
    </w:p>
    <w:p w:rsidRPr="00C42733" w:rsidR="00C42733" w:rsidP="007452E7" w:rsidRDefault="00C42733" w14:paraId="6B6F3620" w14:textId="1A20FEE3">
      <w:pPr>
        <w:autoSpaceDE w:val="0"/>
        <w:autoSpaceDN w:val="0"/>
        <w:adjustRightInd w:val="0"/>
        <w:rPr>
          <w:bCs/>
          <w:color w:val="000000" w:themeColor="text1"/>
        </w:rPr>
      </w:pPr>
      <w:r w:rsidRPr="002A0CA2">
        <w:rPr>
          <w:color w:val="000000" w:themeColor="text1"/>
        </w:rPr>
        <w:t>This activity is discontinued</w:t>
      </w:r>
      <w:r>
        <w:rPr>
          <w:color w:val="000000" w:themeColor="text1"/>
        </w:rPr>
        <w:t xml:space="preserve"> because it is no longer needed</w:t>
      </w:r>
      <w:r w:rsidRPr="002A0CA2">
        <w:rPr>
          <w:color w:val="000000" w:themeColor="text1"/>
        </w:rPr>
        <w:t>.</w:t>
      </w:r>
    </w:p>
    <w:p w:rsidRPr="0095169C" w:rsidR="00C42733" w:rsidP="007452E7" w:rsidRDefault="00C42733" w14:paraId="243BEAC2" w14:textId="77777777">
      <w:pPr>
        <w:autoSpaceDE w:val="0"/>
        <w:autoSpaceDN w:val="0"/>
        <w:adjustRightInd w:val="0"/>
        <w:rPr>
          <w:color w:val="000000" w:themeColor="text1"/>
        </w:rPr>
      </w:pPr>
    </w:p>
    <w:p w:rsidRPr="0095169C" w:rsidR="00374EBD" w:rsidP="00130A6F" w:rsidRDefault="00374EBD" w14:paraId="16B5DE43" w14:textId="1FB13C05">
      <w:pPr>
        <w:autoSpaceDE w:val="0"/>
        <w:autoSpaceDN w:val="0"/>
        <w:adjustRightInd w:val="0"/>
        <w:rPr>
          <w:b/>
          <w:color w:val="000000" w:themeColor="text1"/>
          <w:u w:val="single"/>
        </w:rPr>
      </w:pPr>
      <w:r w:rsidRPr="0095169C">
        <w:rPr>
          <w:b/>
          <w:color w:val="000000" w:themeColor="text1"/>
          <w:u w:val="single"/>
        </w:rPr>
        <w:t>Packag</w:t>
      </w:r>
      <w:r w:rsidRPr="0095169C" w:rsidR="0031550C">
        <w:rPr>
          <w:b/>
          <w:color w:val="000000" w:themeColor="text1"/>
          <w:u w:val="single"/>
        </w:rPr>
        <w:t>e</w:t>
      </w:r>
      <w:r w:rsidRPr="0095169C">
        <w:rPr>
          <w:b/>
          <w:color w:val="000000" w:themeColor="text1"/>
          <w:u w:val="single"/>
        </w:rPr>
        <w:t xml:space="preserve"> Label</w:t>
      </w:r>
      <w:r w:rsidRPr="0095169C" w:rsidR="0031550C">
        <w:rPr>
          <w:b/>
          <w:color w:val="000000" w:themeColor="text1"/>
          <w:u w:val="single"/>
        </w:rPr>
        <w:t>ing</w:t>
      </w:r>
      <w:r w:rsidRPr="0095169C">
        <w:rPr>
          <w:b/>
          <w:color w:val="000000" w:themeColor="text1"/>
          <w:u w:val="single"/>
        </w:rPr>
        <w:t>, (9 CFR 112.1</w:t>
      </w:r>
      <w:r w:rsidRPr="0095169C" w:rsidR="00F56FEA">
        <w:rPr>
          <w:b/>
          <w:color w:val="000000" w:themeColor="text1"/>
          <w:u w:val="single"/>
        </w:rPr>
        <w:t>, 9 CFR 112.2</w:t>
      </w:r>
      <w:r w:rsidRPr="0095169C">
        <w:rPr>
          <w:b/>
          <w:color w:val="000000" w:themeColor="text1"/>
          <w:u w:val="single"/>
        </w:rPr>
        <w:t>)</w:t>
      </w:r>
      <w:r w:rsidRPr="0095169C" w:rsidR="00EB0253">
        <w:rPr>
          <w:b/>
          <w:color w:val="000000" w:themeColor="text1"/>
          <w:u w:val="single"/>
        </w:rPr>
        <w:t>,</w:t>
      </w:r>
      <w:r w:rsidRPr="0095169C">
        <w:rPr>
          <w:b/>
          <w:color w:val="000000" w:themeColor="text1"/>
          <w:u w:val="single"/>
        </w:rPr>
        <w:t xml:space="preserve"> (Business)</w:t>
      </w:r>
      <w:r w:rsidRPr="0095169C" w:rsidR="00EB0253">
        <w:rPr>
          <w:b/>
          <w:color w:val="000000" w:themeColor="text1"/>
          <w:u w:val="single"/>
        </w:rPr>
        <w:t>,</w:t>
      </w:r>
      <w:r w:rsidRPr="0095169C">
        <w:rPr>
          <w:b/>
          <w:color w:val="000000" w:themeColor="text1"/>
          <w:u w:val="single"/>
        </w:rPr>
        <w:t xml:space="preserve"> (Third Party Disclosure)</w:t>
      </w:r>
    </w:p>
    <w:p w:rsidRPr="0095169C" w:rsidR="00374EBD" w:rsidP="00130A6F" w:rsidRDefault="00374EBD" w14:paraId="5A1C6444" w14:textId="5D446B51">
      <w:pPr>
        <w:autoSpaceDE w:val="0"/>
        <w:autoSpaceDN w:val="0"/>
        <w:adjustRightInd w:val="0"/>
        <w:rPr>
          <w:color w:val="000000" w:themeColor="text1"/>
        </w:rPr>
      </w:pPr>
      <w:r w:rsidRPr="0095169C">
        <w:rPr>
          <w:color w:val="000000" w:themeColor="text1"/>
        </w:rPr>
        <w:t xml:space="preserve">Biologic product packaging and labels must contain certain information that accurately conveys </w:t>
      </w:r>
      <w:r w:rsidRPr="0095169C" w:rsidR="00F56FEA">
        <w:rPr>
          <w:color w:val="000000" w:themeColor="text1"/>
        </w:rPr>
        <w:t xml:space="preserve">to the consumer </w:t>
      </w:r>
      <w:r w:rsidRPr="0095169C">
        <w:rPr>
          <w:color w:val="000000" w:themeColor="text1"/>
        </w:rPr>
        <w:t>the contents of the container and the purpose of the product as well as its efficacy and expiration date, if applicable</w:t>
      </w:r>
      <w:r w:rsidRPr="0095169C" w:rsidR="00F56FEA">
        <w:rPr>
          <w:color w:val="000000" w:themeColor="text1"/>
        </w:rPr>
        <w:t>, and lot numbers as well as other information prescribed in 9 CFR 112.3</w:t>
      </w:r>
      <w:r w:rsidRPr="0095169C">
        <w:rPr>
          <w:color w:val="000000" w:themeColor="text1"/>
        </w:rPr>
        <w:t>.</w:t>
      </w:r>
    </w:p>
    <w:p w:rsidRPr="0095169C" w:rsidR="00374EBD" w:rsidP="00130A6F" w:rsidRDefault="00374EBD" w14:paraId="0E3F59D3" w14:textId="77777777">
      <w:pPr>
        <w:autoSpaceDE w:val="0"/>
        <w:autoSpaceDN w:val="0"/>
        <w:adjustRightInd w:val="0"/>
        <w:rPr>
          <w:color w:val="000000" w:themeColor="text1"/>
        </w:rPr>
      </w:pPr>
    </w:p>
    <w:p w:rsidRPr="0095169C" w:rsidR="001314FE" w:rsidP="00F8065D" w:rsidRDefault="00F8065D" w14:paraId="2A6C30D4" w14:textId="3D957415">
      <w:pPr>
        <w:autoSpaceDE w:val="0"/>
        <w:autoSpaceDN w:val="0"/>
        <w:adjustRightInd w:val="0"/>
        <w:rPr>
          <w:b/>
          <w:bCs/>
          <w:color w:val="000000" w:themeColor="text1"/>
          <w:u w:val="single"/>
        </w:rPr>
      </w:pPr>
      <w:r w:rsidRPr="0095169C">
        <w:rPr>
          <w:b/>
          <w:bCs/>
          <w:color w:val="000000" w:themeColor="text1"/>
          <w:u w:val="single"/>
        </w:rPr>
        <w:t>Transmittal of Labels and Circulars or Outlines</w:t>
      </w:r>
      <w:r w:rsidRPr="0095169C" w:rsidR="001314FE">
        <w:rPr>
          <w:b/>
          <w:bCs/>
          <w:color w:val="000000" w:themeColor="text1"/>
          <w:u w:val="single"/>
        </w:rPr>
        <w:t>, R</w:t>
      </w:r>
      <w:r w:rsidRPr="0095169C">
        <w:rPr>
          <w:b/>
          <w:bCs/>
          <w:color w:val="000000" w:themeColor="text1"/>
          <w:u w:val="single"/>
        </w:rPr>
        <w:t>eporting (APHIS Form 2015)</w:t>
      </w:r>
      <w:r w:rsidRPr="0095169C" w:rsidR="001314FE">
        <w:rPr>
          <w:b/>
          <w:bCs/>
          <w:color w:val="000000" w:themeColor="text1"/>
          <w:u w:val="single"/>
        </w:rPr>
        <w:t>,</w:t>
      </w:r>
    </w:p>
    <w:p w:rsidRPr="0095169C" w:rsidR="00F8065D" w:rsidP="00F8065D" w:rsidRDefault="00F8065D" w14:paraId="0A3776D3" w14:textId="5AB6E417">
      <w:pPr>
        <w:autoSpaceDE w:val="0"/>
        <w:autoSpaceDN w:val="0"/>
        <w:adjustRightInd w:val="0"/>
        <w:rPr>
          <w:b/>
          <w:bCs/>
          <w:color w:val="000000" w:themeColor="text1"/>
          <w:u w:val="single"/>
        </w:rPr>
      </w:pPr>
      <w:r w:rsidRPr="0095169C">
        <w:rPr>
          <w:b/>
          <w:bCs/>
          <w:color w:val="000000" w:themeColor="text1"/>
          <w:u w:val="single"/>
        </w:rPr>
        <w:t xml:space="preserve">(9 CFR 112.2, </w:t>
      </w:r>
      <w:r w:rsidRPr="0095169C" w:rsidR="001314FE">
        <w:rPr>
          <w:b/>
          <w:bCs/>
          <w:color w:val="000000" w:themeColor="text1"/>
          <w:u w:val="single"/>
        </w:rPr>
        <w:t xml:space="preserve">9 CFR 112.5, </w:t>
      </w:r>
      <w:r w:rsidRPr="0095169C">
        <w:rPr>
          <w:b/>
          <w:bCs/>
          <w:color w:val="000000" w:themeColor="text1"/>
          <w:u w:val="single"/>
        </w:rPr>
        <w:t>9 CFR 112.9</w:t>
      </w:r>
      <w:r w:rsidRPr="0095169C" w:rsidR="001314FE">
        <w:rPr>
          <w:b/>
          <w:bCs/>
          <w:color w:val="000000" w:themeColor="text1"/>
          <w:u w:val="single"/>
        </w:rPr>
        <w:t>,</w:t>
      </w:r>
      <w:r w:rsidRPr="0095169C">
        <w:rPr>
          <w:b/>
          <w:bCs/>
          <w:color w:val="000000" w:themeColor="text1"/>
          <w:u w:val="single"/>
        </w:rPr>
        <w:t xml:space="preserve"> 9 CFR 113.3, 9 CFR 113.47</w:t>
      </w:r>
      <w:r w:rsidRPr="0095169C" w:rsidR="001314FE">
        <w:rPr>
          <w:b/>
          <w:bCs/>
          <w:color w:val="000000" w:themeColor="text1"/>
          <w:u w:val="single"/>
        </w:rPr>
        <w:t>, 9 CFR 114.9</w:t>
      </w:r>
      <w:r w:rsidRPr="0095169C">
        <w:rPr>
          <w:b/>
          <w:bCs/>
          <w:color w:val="000000" w:themeColor="text1"/>
          <w:u w:val="single"/>
        </w:rPr>
        <w:t>)</w:t>
      </w:r>
      <w:r w:rsidRPr="0095169C" w:rsidR="001314FE">
        <w:rPr>
          <w:b/>
          <w:bCs/>
          <w:color w:val="000000" w:themeColor="text1"/>
          <w:u w:val="single"/>
        </w:rPr>
        <w:t>,</w:t>
      </w:r>
      <w:r w:rsidRPr="0095169C">
        <w:rPr>
          <w:b/>
          <w:bCs/>
          <w:color w:val="000000" w:themeColor="text1"/>
          <w:u w:val="single"/>
        </w:rPr>
        <w:t xml:space="preserve"> (Business)</w:t>
      </w:r>
    </w:p>
    <w:p w:rsidRPr="0095169C" w:rsidR="00C4235F" w:rsidP="00C4235F" w:rsidRDefault="001314FE" w14:paraId="4A784725" w14:textId="182DDCD6">
      <w:pPr>
        <w:autoSpaceDE w:val="0"/>
        <w:autoSpaceDN w:val="0"/>
        <w:adjustRightInd w:val="0"/>
        <w:rPr>
          <w:bCs/>
          <w:color w:val="000000" w:themeColor="text1"/>
        </w:rPr>
      </w:pPr>
      <w:r w:rsidRPr="0095169C">
        <w:rPr>
          <w:bCs/>
          <w:color w:val="000000" w:themeColor="text1"/>
        </w:rPr>
        <w:t>L</w:t>
      </w:r>
      <w:r w:rsidRPr="0095169C" w:rsidR="00F8065D">
        <w:rPr>
          <w:bCs/>
          <w:color w:val="000000" w:themeColor="text1"/>
        </w:rPr>
        <w:t>abels used with veterinary biological products prepared at licensed establishments or imported for general distribution or sale must be reviewed by APHIS for compliance with USDA regulations</w:t>
      </w:r>
      <w:r w:rsidRPr="0095169C">
        <w:rPr>
          <w:bCs/>
          <w:color w:val="000000" w:themeColor="text1"/>
        </w:rPr>
        <w:t>,</w:t>
      </w:r>
      <w:r w:rsidRPr="0095169C" w:rsidR="00F8065D">
        <w:rPr>
          <w:bCs/>
          <w:color w:val="000000" w:themeColor="text1"/>
        </w:rPr>
        <w:t xml:space="preserve"> and </w:t>
      </w:r>
      <w:r w:rsidRPr="0095169C">
        <w:rPr>
          <w:bCs/>
          <w:color w:val="000000" w:themeColor="text1"/>
        </w:rPr>
        <w:t xml:space="preserve">be </w:t>
      </w:r>
      <w:r w:rsidRPr="0095169C" w:rsidR="00F8065D">
        <w:rPr>
          <w:bCs/>
          <w:color w:val="000000" w:themeColor="text1"/>
        </w:rPr>
        <w:t>approved in writing before use. Further, labels for export that comply with the requirement of the importing country but do not comply with APHIS regulations may also be submitted for approval using this form. The licensee should also provide written authorization from the regulatory officials of the importing country.</w:t>
      </w:r>
      <w:r w:rsidRPr="0095169C" w:rsidR="00C4235F">
        <w:rPr>
          <w:bCs/>
          <w:color w:val="000000" w:themeColor="text1"/>
        </w:rPr>
        <w:t xml:space="preserve"> An Outline of Production also must be on file with APHIS for each licensed product or for each biological product authorized to be imported into the United States for distribution and sale. These requirements are initiated with APHIS Form 2015 which provides the manufacturer or importer of the product an orderly and standardized method for transmitting information regarding the numbers and types of labels and circulars, as well as the Outline of Production, to APHIS.</w:t>
      </w:r>
    </w:p>
    <w:p w:rsidRPr="0095169C" w:rsidR="001314FE" w:rsidP="00F8065D" w:rsidRDefault="001314FE" w14:paraId="25037C31" w14:textId="5070EF63">
      <w:pPr>
        <w:autoSpaceDE w:val="0"/>
        <w:autoSpaceDN w:val="0"/>
        <w:adjustRightInd w:val="0"/>
        <w:rPr>
          <w:bCs/>
          <w:color w:val="000000" w:themeColor="text1"/>
        </w:rPr>
      </w:pPr>
    </w:p>
    <w:p w:rsidRPr="0095169C" w:rsidR="00F8065D" w:rsidP="00F8065D" w:rsidRDefault="00F8065D" w14:paraId="3C45C1A0" w14:textId="3FEB718C">
      <w:pPr>
        <w:autoSpaceDE w:val="0"/>
        <w:autoSpaceDN w:val="0"/>
        <w:adjustRightInd w:val="0"/>
        <w:rPr>
          <w:b/>
          <w:bCs/>
          <w:color w:val="000000" w:themeColor="text1"/>
          <w:u w:val="single"/>
        </w:rPr>
      </w:pPr>
      <w:r w:rsidRPr="0095169C">
        <w:rPr>
          <w:b/>
          <w:bCs/>
          <w:color w:val="000000" w:themeColor="text1"/>
          <w:u w:val="single"/>
        </w:rPr>
        <w:t>Written Authorization Statement</w:t>
      </w:r>
      <w:r w:rsidRPr="0095169C" w:rsidR="00C4235F">
        <w:rPr>
          <w:b/>
          <w:bCs/>
          <w:color w:val="000000" w:themeColor="text1"/>
          <w:u w:val="single"/>
        </w:rPr>
        <w:t>, R</w:t>
      </w:r>
      <w:r w:rsidRPr="0095169C">
        <w:rPr>
          <w:b/>
          <w:bCs/>
          <w:color w:val="000000" w:themeColor="text1"/>
          <w:u w:val="single"/>
        </w:rPr>
        <w:t>eporting</w:t>
      </w:r>
      <w:r w:rsidRPr="0095169C" w:rsidR="00C4235F">
        <w:rPr>
          <w:b/>
          <w:bCs/>
          <w:color w:val="000000" w:themeColor="text1"/>
          <w:u w:val="single"/>
        </w:rPr>
        <w:t>,</w:t>
      </w:r>
      <w:r w:rsidRPr="0095169C">
        <w:rPr>
          <w:b/>
          <w:bCs/>
          <w:color w:val="000000" w:themeColor="text1"/>
          <w:u w:val="single"/>
        </w:rPr>
        <w:t xml:space="preserve"> (9 CFR 112</w:t>
      </w:r>
      <w:r w:rsidRPr="0095169C" w:rsidR="00372637">
        <w:rPr>
          <w:b/>
          <w:bCs/>
          <w:color w:val="000000" w:themeColor="text1"/>
          <w:u w:val="single"/>
        </w:rPr>
        <w:t>.</w:t>
      </w:r>
      <w:r w:rsidRPr="0095169C" w:rsidR="006F45B6">
        <w:rPr>
          <w:b/>
          <w:bCs/>
          <w:color w:val="000000" w:themeColor="text1"/>
          <w:u w:val="single"/>
        </w:rPr>
        <w:t>2,</w:t>
      </w:r>
      <w:r w:rsidRPr="0095169C" w:rsidR="00C4235F">
        <w:rPr>
          <w:b/>
          <w:bCs/>
          <w:color w:val="000000" w:themeColor="text1"/>
          <w:u w:val="single"/>
        </w:rPr>
        <w:t xml:space="preserve"> 9 CFR 1</w:t>
      </w:r>
      <w:r w:rsidRPr="0095169C">
        <w:rPr>
          <w:b/>
          <w:bCs/>
          <w:color w:val="000000" w:themeColor="text1"/>
          <w:u w:val="single"/>
        </w:rPr>
        <w:t>13</w:t>
      </w:r>
      <w:r w:rsidRPr="0095169C" w:rsidR="006F45B6">
        <w:rPr>
          <w:b/>
          <w:bCs/>
          <w:color w:val="000000" w:themeColor="text1"/>
          <w:u w:val="single"/>
        </w:rPr>
        <w:t>.3</w:t>
      </w:r>
      <w:r w:rsidRPr="0095169C">
        <w:rPr>
          <w:b/>
          <w:bCs/>
          <w:color w:val="000000" w:themeColor="text1"/>
          <w:u w:val="single"/>
        </w:rPr>
        <w:t>)</w:t>
      </w:r>
      <w:r w:rsidRPr="0095169C" w:rsidR="00C4235F">
        <w:rPr>
          <w:b/>
          <w:bCs/>
          <w:color w:val="000000" w:themeColor="text1"/>
          <w:u w:val="single"/>
        </w:rPr>
        <w:t>,</w:t>
      </w:r>
      <w:r w:rsidRPr="0095169C">
        <w:rPr>
          <w:b/>
          <w:bCs/>
          <w:color w:val="000000" w:themeColor="text1"/>
          <w:u w:val="single"/>
        </w:rPr>
        <w:t xml:space="preserve"> (</w:t>
      </w:r>
      <w:r w:rsidRPr="0095169C" w:rsidR="00C4235F">
        <w:rPr>
          <w:b/>
          <w:bCs/>
          <w:color w:val="000000" w:themeColor="text1"/>
          <w:u w:val="single"/>
        </w:rPr>
        <w:t>F</w:t>
      </w:r>
      <w:r w:rsidRPr="0095169C">
        <w:rPr>
          <w:b/>
          <w:bCs/>
          <w:color w:val="000000" w:themeColor="text1"/>
          <w:u w:val="single"/>
        </w:rPr>
        <w:t xml:space="preserve">oreign </w:t>
      </w:r>
      <w:r w:rsidRPr="0095169C" w:rsidR="00C4235F">
        <w:rPr>
          <w:b/>
          <w:bCs/>
          <w:color w:val="000000" w:themeColor="text1"/>
          <w:u w:val="single"/>
        </w:rPr>
        <w:t>G</w:t>
      </w:r>
      <w:r w:rsidRPr="0095169C">
        <w:rPr>
          <w:b/>
          <w:bCs/>
          <w:color w:val="000000" w:themeColor="text1"/>
          <w:u w:val="single"/>
        </w:rPr>
        <w:t>overnment)</w:t>
      </w:r>
    </w:p>
    <w:p w:rsidRPr="0095169C" w:rsidR="001D0669" w:rsidP="00F8065D" w:rsidRDefault="00F8065D" w14:paraId="420978C9" w14:textId="36501AF3">
      <w:pPr>
        <w:autoSpaceDE w:val="0"/>
        <w:autoSpaceDN w:val="0"/>
        <w:adjustRightInd w:val="0"/>
        <w:rPr>
          <w:bCs/>
          <w:color w:val="000000" w:themeColor="text1"/>
        </w:rPr>
      </w:pPr>
      <w:r w:rsidRPr="0095169C">
        <w:rPr>
          <w:bCs/>
          <w:color w:val="000000" w:themeColor="text1"/>
        </w:rPr>
        <w:t xml:space="preserve">As noted </w:t>
      </w:r>
      <w:r w:rsidRPr="0095169C" w:rsidR="001D0669">
        <w:rPr>
          <w:bCs/>
          <w:color w:val="000000" w:themeColor="text1"/>
        </w:rPr>
        <w:t>for Transmittal of Labels and Circulars or Outlines, Reporting (APHIS Form 2015)</w:t>
      </w:r>
      <w:r w:rsidRPr="0095169C" w:rsidR="001D0669">
        <w:rPr>
          <w:b/>
          <w:bCs/>
          <w:color w:val="000000" w:themeColor="text1"/>
        </w:rPr>
        <w:t xml:space="preserve"> </w:t>
      </w:r>
      <w:r w:rsidRPr="0095169C">
        <w:rPr>
          <w:bCs/>
          <w:color w:val="000000" w:themeColor="text1"/>
        </w:rPr>
        <w:t xml:space="preserve">above, </w:t>
      </w:r>
      <w:r w:rsidRPr="0095169C" w:rsidR="001D0669">
        <w:rPr>
          <w:bCs/>
          <w:color w:val="000000" w:themeColor="text1"/>
        </w:rPr>
        <w:t xml:space="preserve">for labels for export that do not comply with APHIS regulations but do comply with the regulations of the importing country, the importer/exporter must be provided by the government of the </w:t>
      </w:r>
      <w:r w:rsidRPr="0095169C" w:rsidR="001D0669">
        <w:rPr>
          <w:bCs/>
          <w:color w:val="000000" w:themeColor="text1"/>
        </w:rPr>
        <w:lastRenderedPageBreak/>
        <w:t xml:space="preserve">importing country </w:t>
      </w:r>
      <w:r w:rsidRPr="0095169C" w:rsidR="00A84011">
        <w:rPr>
          <w:bCs/>
          <w:color w:val="000000" w:themeColor="text1"/>
        </w:rPr>
        <w:t xml:space="preserve">with </w:t>
      </w:r>
      <w:r w:rsidRPr="0095169C" w:rsidR="001D0669">
        <w:rPr>
          <w:bCs/>
          <w:color w:val="000000" w:themeColor="text1"/>
        </w:rPr>
        <w:t>a written statement authorizing and affirming that the labels meet their standards.</w:t>
      </w:r>
    </w:p>
    <w:p w:rsidRPr="00050ADF" w:rsidR="0095169C" w:rsidP="00F8065D" w:rsidRDefault="0095169C" w14:paraId="2BCA3A55" w14:textId="77777777">
      <w:pPr>
        <w:rPr>
          <w:bCs/>
          <w:color w:val="000000" w:themeColor="text1"/>
        </w:rPr>
      </w:pPr>
    </w:p>
    <w:p w:rsidRPr="0095169C" w:rsidR="007452E7" w:rsidP="007452E7" w:rsidRDefault="007452E7" w14:paraId="2C93EFDF" w14:textId="394F3DB5">
      <w:pPr>
        <w:autoSpaceDE w:val="0"/>
        <w:autoSpaceDN w:val="0"/>
        <w:adjustRightInd w:val="0"/>
        <w:rPr>
          <w:b/>
          <w:color w:val="000000" w:themeColor="text1"/>
          <w:u w:val="single"/>
        </w:rPr>
      </w:pPr>
      <w:r w:rsidRPr="0095169C">
        <w:rPr>
          <w:b/>
          <w:color w:val="000000" w:themeColor="text1"/>
          <w:u w:val="single"/>
        </w:rPr>
        <w:t>List of Approved Labels Currently Being Used</w:t>
      </w:r>
      <w:r w:rsidRPr="0095169C" w:rsidR="006F45B6">
        <w:rPr>
          <w:b/>
          <w:color w:val="000000" w:themeColor="text1"/>
          <w:u w:val="single"/>
        </w:rPr>
        <w:t>,</w:t>
      </w:r>
      <w:r w:rsidRPr="0095169C">
        <w:rPr>
          <w:b/>
          <w:color w:val="000000" w:themeColor="text1"/>
          <w:u w:val="single"/>
        </w:rPr>
        <w:t xml:space="preserve"> (9 CFR 112.5)</w:t>
      </w:r>
      <w:r w:rsidRPr="0095169C" w:rsidR="006F45B6">
        <w:rPr>
          <w:b/>
          <w:color w:val="000000" w:themeColor="text1"/>
          <w:u w:val="single"/>
        </w:rPr>
        <w:t>,</w:t>
      </w:r>
      <w:r w:rsidRPr="0095169C">
        <w:rPr>
          <w:b/>
          <w:color w:val="000000" w:themeColor="text1"/>
          <w:u w:val="single"/>
        </w:rPr>
        <w:t xml:space="preserve"> </w:t>
      </w:r>
      <w:r w:rsidRPr="0095169C" w:rsidR="00847B5D">
        <w:rPr>
          <w:b/>
          <w:color w:val="000000" w:themeColor="text1"/>
          <w:u w:val="single"/>
        </w:rPr>
        <w:t>(Business)</w:t>
      </w:r>
    </w:p>
    <w:p w:rsidRPr="0095169C" w:rsidR="007452E7" w:rsidP="007452E7" w:rsidRDefault="007452E7" w14:paraId="4266008C" w14:textId="7812E6BF">
      <w:pPr>
        <w:autoSpaceDE w:val="0"/>
        <w:autoSpaceDN w:val="0"/>
        <w:adjustRightInd w:val="0"/>
        <w:rPr>
          <w:color w:val="000000" w:themeColor="text1"/>
        </w:rPr>
      </w:pPr>
      <w:r w:rsidRPr="0095169C">
        <w:rPr>
          <w:color w:val="000000" w:themeColor="text1"/>
        </w:rPr>
        <w:t xml:space="preserve">A licensee or permittee must submit to APHIS, </w:t>
      </w:r>
      <w:r w:rsidRPr="0095169C" w:rsidR="006F45B6">
        <w:rPr>
          <w:color w:val="000000" w:themeColor="text1"/>
        </w:rPr>
        <w:t>up</w:t>
      </w:r>
      <w:r w:rsidRPr="0095169C">
        <w:rPr>
          <w:color w:val="000000" w:themeColor="text1"/>
        </w:rPr>
        <w:t>on request, a list of all approved product labels currently being used. Each label listed must be identified as to</w:t>
      </w:r>
      <w:r w:rsidRPr="0095169C" w:rsidR="006F45B6">
        <w:rPr>
          <w:color w:val="000000" w:themeColor="text1"/>
        </w:rPr>
        <w:t xml:space="preserve">: </w:t>
      </w:r>
      <w:r w:rsidRPr="0095169C">
        <w:rPr>
          <w:color w:val="000000" w:themeColor="text1"/>
        </w:rPr>
        <w:t xml:space="preserve">(1) </w:t>
      </w:r>
      <w:r w:rsidRPr="0095169C" w:rsidR="00A84011">
        <w:rPr>
          <w:color w:val="000000" w:themeColor="text1"/>
        </w:rPr>
        <w:t>T</w:t>
      </w:r>
      <w:r w:rsidRPr="0095169C">
        <w:rPr>
          <w:color w:val="000000" w:themeColor="text1"/>
        </w:rPr>
        <w:t>he name and product code number as it appears on the product license or permit for the product</w:t>
      </w:r>
      <w:r w:rsidRPr="0095169C" w:rsidR="00A84011">
        <w:rPr>
          <w:color w:val="000000" w:themeColor="text1"/>
        </w:rPr>
        <w:t>;</w:t>
      </w:r>
      <w:r w:rsidRPr="0095169C">
        <w:rPr>
          <w:color w:val="000000" w:themeColor="text1"/>
        </w:rPr>
        <w:t xml:space="preserve"> (2) where applicable, the size of the package (doses, ml, cc, or units) on which the label will be used</w:t>
      </w:r>
      <w:r w:rsidRPr="0095169C" w:rsidR="00A84011">
        <w:rPr>
          <w:color w:val="000000" w:themeColor="text1"/>
        </w:rPr>
        <w:t>;</w:t>
      </w:r>
      <w:r w:rsidRPr="0095169C">
        <w:rPr>
          <w:color w:val="000000" w:themeColor="text1"/>
        </w:rPr>
        <w:t xml:space="preserve"> (3) the label number and date assigned</w:t>
      </w:r>
      <w:r w:rsidRPr="0095169C" w:rsidR="00A84011">
        <w:rPr>
          <w:color w:val="000000" w:themeColor="text1"/>
        </w:rPr>
        <w:t>;</w:t>
      </w:r>
      <w:r w:rsidRPr="0095169C">
        <w:rPr>
          <w:color w:val="000000" w:themeColor="text1"/>
        </w:rPr>
        <w:t xml:space="preserve"> and (4) the name of the licensee or subsidiary appearing on the label as the producer.</w:t>
      </w:r>
    </w:p>
    <w:p w:rsidRPr="0095169C" w:rsidR="007452E7" w:rsidP="007452E7" w:rsidRDefault="007452E7" w14:paraId="5E2FE016" w14:textId="77777777">
      <w:pPr>
        <w:autoSpaceDE w:val="0"/>
        <w:autoSpaceDN w:val="0"/>
        <w:adjustRightInd w:val="0"/>
        <w:rPr>
          <w:color w:val="000000" w:themeColor="text1"/>
        </w:rPr>
      </w:pPr>
    </w:p>
    <w:p w:rsidRPr="0095169C" w:rsidR="006F45B6" w:rsidP="0066548F" w:rsidRDefault="0008208A" w14:paraId="27E272FF" w14:textId="77777777">
      <w:pPr>
        <w:autoSpaceDE w:val="0"/>
        <w:autoSpaceDN w:val="0"/>
        <w:adjustRightInd w:val="0"/>
        <w:rPr>
          <w:b/>
          <w:bCs/>
          <w:color w:val="000000" w:themeColor="text1"/>
          <w:u w:val="single"/>
        </w:rPr>
      </w:pPr>
      <w:r w:rsidRPr="0095169C">
        <w:rPr>
          <w:b/>
          <w:bCs/>
          <w:color w:val="000000" w:themeColor="text1"/>
          <w:u w:val="single"/>
        </w:rPr>
        <w:t xml:space="preserve">Official Export Certificate for </w:t>
      </w:r>
      <w:r w:rsidRPr="0095169C" w:rsidR="003462D8">
        <w:rPr>
          <w:b/>
          <w:bCs/>
          <w:color w:val="000000" w:themeColor="text1"/>
          <w:u w:val="single"/>
        </w:rPr>
        <w:t>A</w:t>
      </w:r>
      <w:r w:rsidRPr="0095169C">
        <w:rPr>
          <w:b/>
          <w:bCs/>
          <w:color w:val="000000" w:themeColor="text1"/>
          <w:u w:val="single"/>
        </w:rPr>
        <w:t>nimal Biological Products (APHIS Form 2017)</w:t>
      </w:r>
      <w:r w:rsidRPr="0095169C" w:rsidR="006F45B6">
        <w:rPr>
          <w:b/>
          <w:bCs/>
          <w:color w:val="000000" w:themeColor="text1"/>
          <w:u w:val="single"/>
        </w:rPr>
        <w:t>,</w:t>
      </w:r>
    </w:p>
    <w:p w:rsidRPr="0095169C" w:rsidR="0008208A" w:rsidP="0066548F" w:rsidRDefault="00EA5CD7" w14:paraId="0E61C58A" w14:textId="492517ED">
      <w:pPr>
        <w:autoSpaceDE w:val="0"/>
        <w:autoSpaceDN w:val="0"/>
        <w:adjustRightInd w:val="0"/>
        <w:rPr>
          <w:b/>
          <w:color w:val="000000" w:themeColor="text1"/>
          <w:u w:val="single"/>
        </w:rPr>
      </w:pPr>
      <w:r w:rsidRPr="0095169C">
        <w:rPr>
          <w:b/>
          <w:bCs/>
          <w:color w:val="000000" w:themeColor="text1"/>
          <w:u w:val="single"/>
        </w:rPr>
        <w:t xml:space="preserve">(9 CFR </w:t>
      </w:r>
      <w:r w:rsidRPr="0095169C" w:rsidR="0095511B">
        <w:rPr>
          <w:b/>
          <w:bCs/>
          <w:color w:val="000000" w:themeColor="text1"/>
          <w:u w:val="single"/>
        </w:rPr>
        <w:t>112.</w:t>
      </w:r>
      <w:r w:rsidRPr="0095169C" w:rsidR="00EF217E">
        <w:rPr>
          <w:b/>
          <w:bCs/>
          <w:color w:val="000000" w:themeColor="text1"/>
          <w:u w:val="single"/>
        </w:rPr>
        <w:t>2(e)(2)</w:t>
      </w:r>
      <w:r w:rsidRPr="0095169C" w:rsidR="0095511B">
        <w:rPr>
          <w:b/>
          <w:bCs/>
          <w:color w:val="000000" w:themeColor="text1"/>
          <w:u w:val="single"/>
        </w:rPr>
        <w:t>)</w:t>
      </w:r>
      <w:r w:rsidRPr="0095169C" w:rsidR="006F45B6">
        <w:rPr>
          <w:b/>
          <w:bCs/>
          <w:color w:val="000000" w:themeColor="text1"/>
          <w:u w:val="single"/>
        </w:rPr>
        <w:t>,</w:t>
      </w:r>
      <w:r w:rsidRPr="0095169C" w:rsidR="008A6DF6">
        <w:rPr>
          <w:b/>
          <w:bCs/>
          <w:color w:val="000000" w:themeColor="text1"/>
          <w:u w:val="single"/>
        </w:rPr>
        <w:t xml:space="preserve"> </w:t>
      </w:r>
      <w:r w:rsidRPr="0095169C" w:rsidR="00847B5D">
        <w:rPr>
          <w:b/>
          <w:bCs/>
          <w:color w:val="000000" w:themeColor="text1"/>
          <w:u w:val="single"/>
        </w:rPr>
        <w:t>(Business)</w:t>
      </w:r>
    </w:p>
    <w:p w:rsidRPr="0095169C" w:rsidR="0008208A" w:rsidP="0066548F" w:rsidRDefault="0008208A" w14:paraId="57E403D7" w14:textId="7A856580">
      <w:pPr>
        <w:autoSpaceDE w:val="0"/>
        <w:autoSpaceDN w:val="0"/>
        <w:adjustRightInd w:val="0"/>
        <w:rPr>
          <w:color w:val="000000" w:themeColor="text1"/>
        </w:rPr>
      </w:pPr>
      <w:r w:rsidRPr="0095169C">
        <w:rPr>
          <w:color w:val="000000" w:themeColor="text1"/>
        </w:rPr>
        <w:t xml:space="preserve">Some foreign countries require U.S. exports to be accompanied by an </w:t>
      </w:r>
      <w:r w:rsidRPr="0095169C">
        <w:rPr>
          <w:iCs/>
          <w:color w:val="000000" w:themeColor="text1"/>
        </w:rPr>
        <w:t>Official Export Certificate for Animal Biological Products.</w:t>
      </w:r>
      <w:r w:rsidRPr="0095169C">
        <w:rPr>
          <w:color w:val="000000" w:themeColor="text1"/>
        </w:rPr>
        <w:t xml:space="preserve"> This form provides official certification by APHIS that the products have been produced and tested in approved, inspected facilities according to specific manufacturing standards and are therefore safe. </w:t>
      </w:r>
      <w:r w:rsidRPr="0095169C" w:rsidR="006F45B6">
        <w:rPr>
          <w:color w:val="000000" w:themeColor="text1"/>
        </w:rPr>
        <w:t xml:space="preserve">U.S. exporters prepare and submit </w:t>
      </w:r>
      <w:r w:rsidRPr="0095169C">
        <w:rPr>
          <w:color w:val="000000" w:themeColor="text1"/>
        </w:rPr>
        <w:t xml:space="preserve">APHIS Form 2017 to request this certification from APHIS. </w:t>
      </w:r>
      <w:r w:rsidRPr="0095169C" w:rsidR="00671348">
        <w:rPr>
          <w:color w:val="000000" w:themeColor="text1"/>
        </w:rPr>
        <w:t xml:space="preserve">The form requires </w:t>
      </w:r>
      <w:r w:rsidRPr="0095169C" w:rsidR="0085165D">
        <w:rPr>
          <w:color w:val="000000" w:themeColor="text1"/>
        </w:rPr>
        <w:t>the name and address of the consignor and consignee</w:t>
      </w:r>
      <w:r w:rsidRPr="0095169C" w:rsidR="00671348">
        <w:rPr>
          <w:color w:val="000000" w:themeColor="text1"/>
        </w:rPr>
        <w:t xml:space="preserve"> as well as product name and number and container information</w:t>
      </w:r>
      <w:r w:rsidRPr="0095169C" w:rsidR="0085165D">
        <w:rPr>
          <w:color w:val="000000" w:themeColor="text1"/>
        </w:rPr>
        <w:t>.</w:t>
      </w:r>
    </w:p>
    <w:p w:rsidRPr="0095169C" w:rsidR="00037064" w:rsidP="0066548F" w:rsidRDefault="00037064" w14:paraId="68779DB8" w14:textId="77777777">
      <w:pPr>
        <w:autoSpaceDE w:val="0"/>
        <w:autoSpaceDN w:val="0"/>
        <w:adjustRightInd w:val="0"/>
        <w:rPr>
          <w:color w:val="000000" w:themeColor="text1"/>
        </w:rPr>
      </w:pPr>
    </w:p>
    <w:p w:rsidRPr="0095169C" w:rsidR="00995D46" w:rsidP="0066548F" w:rsidRDefault="0008208A" w14:paraId="6EFB5558" w14:textId="77777777">
      <w:pPr>
        <w:autoSpaceDE w:val="0"/>
        <w:autoSpaceDN w:val="0"/>
        <w:adjustRightInd w:val="0"/>
        <w:rPr>
          <w:b/>
          <w:color w:val="000000" w:themeColor="text1"/>
          <w:u w:val="single"/>
        </w:rPr>
      </w:pPr>
      <w:r w:rsidRPr="0095169C">
        <w:rPr>
          <w:b/>
          <w:color w:val="000000" w:themeColor="text1"/>
          <w:u w:val="single"/>
        </w:rPr>
        <w:t>Request for Reference, Reagent, or Reagent Seed Material (APHIS Form 2018)</w:t>
      </w:r>
      <w:r w:rsidRPr="0095169C" w:rsidR="00995D46">
        <w:rPr>
          <w:b/>
          <w:color w:val="000000" w:themeColor="text1"/>
          <w:u w:val="single"/>
        </w:rPr>
        <w:t xml:space="preserve">, </w:t>
      </w:r>
    </w:p>
    <w:p w:rsidRPr="0095169C" w:rsidR="0008208A" w:rsidP="0066548F" w:rsidRDefault="00D608B0" w14:paraId="43925836" w14:textId="3D00FE7B">
      <w:pPr>
        <w:autoSpaceDE w:val="0"/>
        <w:autoSpaceDN w:val="0"/>
        <w:adjustRightInd w:val="0"/>
        <w:rPr>
          <w:b/>
          <w:color w:val="000000" w:themeColor="text1"/>
          <w:u w:val="single"/>
        </w:rPr>
      </w:pPr>
      <w:r w:rsidRPr="0095169C">
        <w:rPr>
          <w:b/>
          <w:color w:val="000000" w:themeColor="text1"/>
          <w:u w:val="single"/>
        </w:rPr>
        <w:t xml:space="preserve">(9 CFR </w:t>
      </w:r>
      <w:r w:rsidRPr="0095169C" w:rsidR="00EB0253">
        <w:rPr>
          <w:b/>
          <w:color w:val="000000" w:themeColor="text1"/>
          <w:u w:val="single"/>
        </w:rPr>
        <w:t xml:space="preserve">part </w:t>
      </w:r>
      <w:r w:rsidRPr="0095169C">
        <w:rPr>
          <w:b/>
          <w:color w:val="000000" w:themeColor="text1"/>
          <w:u w:val="single"/>
        </w:rPr>
        <w:t>113</w:t>
      </w:r>
      <w:r w:rsidRPr="0095169C" w:rsidR="00995D46">
        <w:rPr>
          <w:b/>
          <w:color w:val="000000" w:themeColor="text1"/>
          <w:u w:val="single"/>
        </w:rPr>
        <w:t xml:space="preserve">, </w:t>
      </w:r>
      <w:r w:rsidRPr="0095169C">
        <w:rPr>
          <w:b/>
          <w:color w:val="000000" w:themeColor="text1"/>
          <w:u w:val="single"/>
        </w:rPr>
        <w:t>9 CFR 114.4, 9 CFR 114.8, 9 CFR 114.9)</w:t>
      </w:r>
      <w:r w:rsidRPr="0095169C" w:rsidR="00995D46">
        <w:rPr>
          <w:b/>
          <w:color w:val="000000" w:themeColor="text1"/>
          <w:u w:val="single"/>
        </w:rPr>
        <w:t>,</w:t>
      </w:r>
      <w:r w:rsidRPr="0095169C" w:rsidR="008A6DF6">
        <w:rPr>
          <w:b/>
          <w:color w:val="000000" w:themeColor="text1"/>
          <w:u w:val="single"/>
        </w:rPr>
        <w:t xml:space="preserve"> </w:t>
      </w:r>
      <w:r w:rsidRPr="0095169C" w:rsidR="00847B5D">
        <w:rPr>
          <w:b/>
          <w:color w:val="000000" w:themeColor="text1"/>
          <w:u w:val="single"/>
        </w:rPr>
        <w:t>(Business)</w:t>
      </w:r>
    </w:p>
    <w:p w:rsidR="0095169C" w:rsidP="0066548F" w:rsidRDefault="00995D46" w14:paraId="346B4B5A" w14:textId="30331905">
      <w:pPr>
        <w:autoSpaceDE w:val="0"/>
        <w:autoSpaceDN w:val="0"/>
        <w:adjustRightInd w:val="0"/>
        <w:rPr>
          <w:color w:val="000000" w:themeColor="text1"/>
        </w:rPr>
      </w:pPr>
      <w:r w:rsidRPr="0095169C">
        <w:rPr>
          <w:color w:val="000000" w:themeColor="text1"/>
        </w:rPr>
        <w:t>A</w:t>
      </w:r>
      <w:r w:rsidRPr="0095169C" w:rsidR="0008208A">
        <w:rPr>
          <w:color w:val="000000" w:themeColor="text1"/>
        </w:rPr>
        <w:t xml:space="preserve">PHIS Form 2018 </w:t>
      </w:r>
      <w:r w:rsidRPr="0095169C">
        <w:rPr>
          <w:color w:val="000000" w:themeColor="text1"/>
        </w:rPr>
        <w:t>is used to request, p</w:t>
      </w:r>
      <w:r w:rsidRPr="0095169C" w:rsidR="0008208A">
        <w:rPr>
          <w:color w:val="000000" w:themeColor="text1"/>
        </w:rPr>
        <w:t>rocess</w:t>
      </w:r>
      <w:r w:rsidRPr="0095169C">
        <w:rPr>
          <w:color w:val="000000" w:themeColor="text1"/>
        </w:rPr>
        <w:t>,</w:t>
      </w:r>
      <w:r w:rsidRPr="0095169C" w:rsidR="0008208A">
        <w:rPr>
          <w:color w:val="000000" w:themeColor="text1"/>
        </w:rPr>
        <w:t xml:space="preserve"> and document any shipment of reagents (chemicals, cultures, cells, or other materials) used in the production or testing of veterinary biological products.</w:t>
      </w:r>
      <w:r w:rsidRPr="0095169C">
        <w:rPr>
          <w:color w:val="000000" w:themeColor="text1"/>
        </w:rPr>
        <w:t xml:space="preserve"> The form documents that a shipment of reagents has been requested and received by a veterinary biologics manufacturing firm and allows APHIS to monitor the shipment to ensure that the same number of containers ordered by the firm were actually delivered to that firm and not diverted to another location for other uses.</w:t>
      </w:r>
    </w:p>
    <w:p w:rsidRPr="0095169C" w:rsidR="0095169C" w:rsidP="0066548F" w:rsidRDefault="0095169C" w14:paraId="3353A73D" w14:textId="77777777">
      <w:pPr>
        <w:autoSpaceDE w:val="0"/>
        <w:autoSpaceDN w:val="0"/>
        <w:adjustRightInd w:val="0"/>
        <w:rPr>
          <w:color w:val="000000" w:themeColor="text1"/>
        </w:rPr>
      </w:pPr>
    </w:p>
    <w:p w:rsidRPr="0095169C" w:rsidR="0008208A" w:rsidP="003462D8" w:rsidRDefault="0008208A" w14:paraId="144205A6" w14:textId="7AB621AD">
      <w:pPr>
        <w:autoSpaceDE w:val="0"/>
        <w:autoSpaceDN w:val="0"/>
        <w:adjustRightInd w:val="0"/>
        <w:rPr>
          <w:b/>
          <w:color w:val="000000" w:themeColor="text1"/>
          <w:u w:val="single"/>
        </w:rPr>
      </w:pPr>
      <w:r w:rsidRPr="0095169C">
        <w:rPr>
          <w:b/>
          <w:bCs/>
          <w:color w:val="000000" w:themeColor="text1"/>
          <w:u w:val="single"/>
        </w:rPr>
        <w:t>Shipment and Receipt of Biologics Samples (APHIS Form 2020)</w:t>
      </w:r>
      <w:r w:rsidRPr="0095169C" w:rsidR="00C86071">
        <w:rPr>
          <w:b/>
          <w:bCs/>
          <w:color w:val="000000" w:themeColor="text1"/>
          <w:u w:val="single"/>
        </w:rPr>
        <w:t>,</w:t>
      </w:r>
      <w:r w:rsidRPr="0095169C" w:rsidR="0032691D">
        <w:rPr>
          <w:b/>
          <w:bCs/>
          <w:color w:val="000000" w:themeColor="text1"/>
          <w:u w:val="single"/>
        </w:rPr>
        <w:t xml:space="preserve"> (9 CFR 113.3)</w:t>
      </w:r>
      <w:r w:rsidRPr="0095169C" w:rsidR="00C86071">
        <w:rPr>
          <w:b/>
          <w:bCs/>
          <w:color w:val="000000" w:themeColor="text1"/>
          <w:u w:val="single"/>
        </w:rPr>
        <w:t>,</w:t>
      </w:r>
      <w:r w:rsidRPr="0095169C" w:rsidR="008A6DF6">
        <w:rPr>
          <w:b/>
          <w:bCs/>
          <w:color w:val="000000" w:themeColor="text1"/>
          <w:u w:val="single"/>
        </w:rPr>
        <w:t xml:space="preserve"> </w:t>
      </w:r>
      <w:r w:rsidRPr="0095169C" w:rsidR="00847B5D">
        <w:rPr>
          <w:b/>
          <w:bCs/>
          <w:color w:val="000000" w:themeColor="text1"/>
          <w:u w:val="single"/>
        </w:rPr>
        <w:t>(Business)</w:t>
      </w:r>
    </w:p>
    <w:p w:rsidRPr="0095169C" w:rsidR="0008208A" w:rsidP="0066548F" w:rsidRDefault="00C86071" w14:paraId="43DF7A0F" w14:textId="38A32FBD">
      <w:pPr>
        <w:autoSpaceDE w:val="0"/>
        <w:autoSpaceDN w:val="0"/>
        <w:adjustRightInd w:val="0"/>
        <w:rPr>
          <w:color w:val="000000" w:themeColor="text1"/>
        </w:rPr>
      </w:pPr>
      <w:r w:rsidRPr="0095169C">
        <w:rPr>
          <w:color w:val="000000" w:themeColor="text1"/>
        </w:rPr>
        <w:t>M</w:t>
      </w:r>
      <w:r w:rsidRPr="0095169C" w:rsidR="0008208A">
        <w:rPr>
          <w:color w:val="000000" w:themeColor="text1"/>
        </w:rPr>
        <w:t xml:space="preserve">anufacturers </w:t>
      </w:r>
      <w:r w:rsidRPr="0095169C">
        <w:rPr>
          <w:color w:val="000000" w:themeColor="text1"/>
        </w:rPr>
        <w:t xml:space="preserve">and </w:t>
      </w:r>
      <w:r w:rsidRPr="0095169C" w:rsidR="0008208A">
        <w:rPr>
          <w:color w:val="000000" w:themeColor="text1"/>
        </w:rPr>
        <w:t xml:space="preserve">importers </w:t>
      </w:r>
      <w:r w:rsidRPr="0095169C">
        <w:rPr>
          <w:color w:val="000000" w:themeColor="text1"/>
        </w:rPr>
        <w:t xml:space="preserve">must provide </w:t>
      </w:r>
      <w:r w:rsidRPr="0095169C" w:rsidR="0008208A">
        <w:rPr>
          <w:color w:val="000000" w:themeColor="text1"/>
        </w:rPr>
        <w:t xml:space="preserve">APHIS samples of serials and subserials of a biological product manufactured in the United States or imported into the United States. </w:t>
      </w:r>
      <w:r w:rsidRPr="0095169C">
        <w:rPr>
          <w:color w:val="000000" w:themeColor="text1"/>
        </w:rPr>
        <w:t>A m</w:t>
      </w:r>
      <w:r w:rsidRPr="0095169C" w:rsidR="0008208A">
        <w:rPr>
          <w:color w:val="000000" w:themeColor="text1"/>
        </w:rPr>
        <w:t>anufacturer or importer</w:t>
      </w:r>
      <w:r w:rsidRPr="0095169C">
        <w:rPr>
          <w:color w:val="000000" w:themeColor="text1"/>
        </w:rPr>
        <w:t xml:space="preserve"> must prepare APHIS Form 2020, ensuring </w:t>
      </w:r>
      <w:r w:rsidRPr="0095169C" w:rsidR="0008208A">
        <w:rPr>
          <w:color w:val="000000" w:themeColor="text1"/>
        </w:rPr>
        <w:t>each submission of samples to an APHIS laboratory includes the information necessary for APHIS to conduct the appropriate tests, and that the samples have been selected in accordance with APHIS regulations.</w:t>
      </w:r>
      <w:r w:rsidRPr="0095169C" w:rsidR="00671348">
        <w:rPr>
          <w:color w:val="000000" w:themeColor="text1"/>
        </w:rPr>
        <w:t xml:space="preserve"> </w:t>
      </w:r>
      <w:r w:rsidRPr="0095169C">
        <w:rPr>
          <w:color w:val="000000" w:themeColor="text1"/>
        </w:rPr>
        <w:t>N</w:t>
      </w:r>
      <w:r w:rsidRPr="0095169C" w:rsidR="00671348">
        <w:rPr>
          <w:color w:val="000000" w:themeColor="text1"/>
        </w:rPr>
        <w:t>ecessary information includes the date submitted; the name, address, and license number of the submitting firm; the purpose of the submission; shipment and sample container information; and the product name, code, and serial number.</w:t>
      </w:r>
    </w:p>
    <w:p w:rsidRPr="00050ADF" w:rsidR="0008208A" w:rsidP="0066548F" w:rsidRDefault="0008208A" w14:paraId="6F5A7999" w14:textId="77777777">
      <w:pPr>
        <w:autoSpaceDE w:val="0"/>
        <w:autoSpaceDN w:val="0"/>
        <w:adjustRightInd w:val="0"/>
        <w:rPr>
          <w:color w:val="000000" w:themeColor="text1"/>
        </w:rPr>
      </w:pPr>
    </w:p>
    <w:p w:rsidRPr="0095169C" w:rsidR="009C26D2" w:rsidP="009C26D2" w:rsidRDefault="009C26D2" w14:paraId="38DE0E9A" w14:textId="35D5DAB6">
      <w:pPr>
        <w:autoSpaceDE w:val="0"/>
        <w:autoSpaceDN w:val="0"/>
        <w:adjustRightInd w:val="0"/>
        <w:rPr>
          <w:b/>
          <w:color w:val="000000" w:themeColor="text1"/>
          <w:u w:val="single"/>
        </w:rPr>
      </w:pPr>
      <w:r w:rsidRPr="0095169C">
        <w:rPr>
          <w:b/>
          <w:bCs/>
          <w:color w:val="000000" w:themeColor="text1"/>
          <w:u w:val="single"/>
        </w:rPr>
        <w:t xml:space="preserve">Application for Authorization to Ship Biological Product Samples for </w:t>
      </w:r>
      <w:r w:rsidRPr="0095169C" w:rsidR="00D835B0">
        <w:rPr>
          <w:b/>
          <w:bCs/>
          <w:color w:val="000000" w:themeColor="text1"/>
          <w:u w:val="single"/>
        </w:rPr>
        <w:t xml:space="preserve">APHIS </w:t>
      </w:r>
      <w:r w:rsidRPr="0095169C">
        <w:rPr>
          <w:b/>
          <w:bCs/>
          <w:color w:val="000000" w:themeColor="text1"/>
          <w:u w:val="single"/>
        </w:rPr>
        <w:t>Confirmatory Testing (APHIS Form 2072), (9 CFR 113.3, 9 CFR 113.6), (Business)</w:t>
      </w:r>
    </w:p>
    <w:p w:rsidRPr="0095169C" w:rsidR="009C26D2" w:rsidP="009C26D2" w:rsidRDefault="009C26D2" w14:paraId="39E30762" w14:textId="0929CC40">
      <w:pPr>
        <w:autoSpaceDE w:val="0"/>
        <w:autoSpaceDN w:val="0"/>
        <w:adjustRightInd w:val="0"/>
        <w:rPr>
          <w:bCs/>
          <w:color w:val="000000" w:themeColor="text1"/>
        </w:rPr>
      </w:pPr>
      <w:r w:rsidRPr="0095169C">
        <w:rPr>
          <w:color w:val="000000" w:themeColor="text1"/>
        </w:rPr>
        <w:t>As part of the pre-license evaluation, or whenever manufacturers decide to change their production process for a licensed product, APHIS may elect to perform confirmatory testing on product samples. M</w:t>
      </w:r>
      <w:r w:rsidRPr="0095169C">
        <w:rPr>
          <w:bCs/>
          <w:color w:val="000000" w:themeColor="text1"/>
        </w:rPr>
        <w:t xml:space="preserve">anufacturers must submit APHIS Form 2072 to obtain permission to ship product samples to APHIS for confirmatory testing. The form requires the shipper/applicant name and full mailing address; U.S. veterinary establishment number, if applicable; the application type (new or amendment); the true names of the products to be shipped (with product code and serial number); </w:t>
      </w:r>
      <w:r w:rsidRPr="0095169C">
        <w:rPr>
          <w:bCs/>
          <w:color w:val="000000" w:themeColor="text1"/>
        </w:rPr>
        <w:lastRenderedPageBreak/>
        <w:t>the purpose for shipping; and a name, phone number, and email address for a contact at the shipping establishment.</w:t>
      </w:r>
    </w:p>
    <w:p w:rsidRPr="0095169C" w:rsidR="007452E7" w:rsidP="007452E7" w:rsidRDefault="007452E7" w14:paraId="192C8223" w14:textId="77777777">
      <w:pPr>
        <w:autoSpaceDE w:val="0"/>
        <w:autoSpaceDN w:val="0"/>
        <w:adjustRightInd w:val="0"/>
        <w:rPr>
          <w:bCs/>
          <w:color w:val="000000" w:themeColor="text1"/>
        </w:rPr>
      </w:pPr>
    </w:p>
    <w:p w:rsidRPr="0095169C" w:rsidR="00946FDA" w:rsidP="0066548F" w:rsidRDefault="0008208A" w14:paraId="5EF602F0" w14:textId="77777777">
      <w:pPr>
        <w:autoSpaceDE w:val="0"/>
        <w:autoSpaceDN w:val="0"/>
        <w:adjustRightInd w:val="0"/>
        <w:rPr>
          <w:b/>
          <w:bCs/>
          <w:color w:val="000000" w:themeColor="text1"/>
          <w:u w:val="single"/>
        </w:rPr>
      </w:pPr>
      <w:r w:rsidRPr="0095169C">
        <w:rPr>
          <w:b/>
          <w:bCs/>
          <w:color w:val="000000" w:themeColor="text1"/>
          <w:u w:val="single"/>
        </w:rPr>
        <w:t>Veterinary Biologics Production and Test Report</w:t>
      </w:r>
      <w:r w:rsidRPr="0095169C" w:rsidR="00946FDA">
        <w:rPr>
          <w:b/>
          <w:bCs/>
          <w:color w:val="000000" w:themeColor="text1"/>
          <w:u w:val="single"/>
        </w:rPr>
        <w:t xml:space="preserve">; Request for Reprocessing and Rebottling for a Serial or Subserial </w:t>
      </w:r>
      <w:r w:rsidRPr="0095169C">
        <w:rPr>
          <w:b/>
          <w:bCs/>
          <w:color w:val="000000" w:themeColor="text1"/>
          <w:u w:val="single"/>
        </w:rPr>
        <w:t>(APHIS Form</w:t>
      </w:r>
      <w:r w:rsidRPr="0095169C" w:rsidR="000F0C8D">
        <w:rPr>
          <w:b/>
          <w:bCs/>
          <w:color w:val="000000" w:themeColor="text1"/>
          <w:u w:val="single"/>
        </w:rPr>
        <w:t>s</w:t>
      </w:r>
      <w:r w:rsidRPr="0095169C">
        <w:rPr>
          <w:b/>
          <w:bCs/>
          <w:color w:val="000000" w:themeColor="text1"/>
          <w:u w:val="single"/>
        </w:rPr>
        <w:t xml:space="preserve"> 2008 and 2008A)</w:t>
      </w:r>
      <w:r w:rsidRPr="0095169C" w:rsidR="000F0C8D">
        <w:rPr>
          <w:b/>
          <w:bCs/>
          <w:color w:val="000000" w:themeColor="text1"/>
          <w:u w:val="single"/>
        </w:rPr>
        <w:t>,</w:t>
      </w:r>
      <w:r w:rsidRPr="0095169C" w:rsidR="00946FDA">
        <w:rPr>
          <w:b/>
          <w:bCs/>
          <w:color w:val="000000" w:themeColor="text1"/>
          <w:u w:val="single"/>
        </w:rPr>
        <w:t xml:space="preserve"> </w:t>
      </w:r>
      <w:r w:rsidRPr="0095169C" w:rsidR="00F67C12">
        <w:rPr>
          <w:b/>
          <w:bCs/>
          <w:color w:val="000000" w:themeColor="text1"/>
          <w:u w:val="single"/>
        </w:rPr>
        <w:t>(9 CFR 113.5, 9 CFR 113.68,</w:t>
      </w:r>
    </w:p>
    <w:p w:rsidRPr="0095169C" w:rsidR="004C14C9" w:rsidP="0066548F" w:rsidRDefault="00F67C12" w14:paraId="63E7D535" w14:textId="21457616">
      <w:pPr>
        <w:autoSpaceDE w:val="0"/>
        <w:autoSpaceDN w:val="0"/>
        <w:adjustRightInd w:val="0"/>
        <w:rPr>
          <w:b/>
          <w:bCs/>
          <w:color w:val="000000" w:themeColor="text1"/>
          <w:u w:val="single"/>
        </w:rPr>
      </w:pPr>
      <w:r w:rsidRPr="0095169C">
        <w:rPr>
          <w:b/>
          <w:bCs/>
          <w:color w:val="000000" w:themeColor="text1"/>
          <w:u w:val="single"/>
        </w:rPr>
        <w:t>9 CFR 113.69, 9 CFR 113.70, 9 CFR 113.71</w:t>
      </w:r>
      <w:r w:rsidRPr="0095169C" w:rsidR="00946FDA">
        <w:rPr>
          <w:b/>
          <w:bCs/>
          <w:color w:val="000000" w:themeColor="text1"/>
          <w:u w:val="single"/>
        </w:rPr>
        <w:t xml:space="preserve">, </w:t>
      </w:r>
      <w:r w:rsidRPr="0095169C">
        <w:rPr>
          <w:b/>
          <w:bCs/>
          <w:color w:val="000000" w:themeColor="text1"/>
          <w:u w:val="single"/>
        </w:rPr>
        <w:t>9 CFR 114.17</w:t>
      </w:r>
      <w:r w:rsidRPr="0095169C" w:rsidR="00946FDA">
        <w:rPr>
          <w:b/>
          <w:bCs/>
          <w:color w:val="000000" w:themeColor="text1"/>
          <w:u w:val="single"/>
        </w:rPr>
        <w:t xml:space="preserve">, 9 CFR 114.18, </w:t>
      </w:r>
      <w:r w:rsidRPr="0095169C" w:rsidR="004C14C9">
        <w:rPr>
          <w:b/>
          <w:bCs/>
          <w:color w:val="000000" w:themeColor="text1"/>
          <w:u w:val="single"/>
        </w:rPr>
        <w:t>9 CFR 11</w:t>
      </w:r>
      <w:r w:rsidRPr="0095169C">
        <w:rPr>
          <w:b/>
          <w:bCs/>
          <w:color w:val="000000" w:themeColor="text1"/>
          <w:u w:val="single"/>
        </w:rPr>
        <w:t>6.7)</w:t>
      </w:r>
      <w:r w:rsidRPr="0095169C" w:rsidR="000F0C8D">
        <w:rPr>
          <w:b/>
          <w:bCs/>
          <w:color w:val="000000" w:themeColor="text1"/>
          <w:u w:val="single"/>
        </w:rPr>
        <w:t>,</w:t>
      </w:r>
      <w:r w:rsidRPr="0095169C" w:rsidR="008A6DF6">
        <w:rPr>
          <w:b/>
          <w:bCs/>
          <w:color w:val="000000" w:themeColor="text1"/>
          <w:u w:val="single"/>
        </w:rPr>
        <w:t xml:space="preserve"> </w:t>
      </w:r>
      <w:r w:rsidRPr="0095169C" w:rsidR="00847B5D">
        <w:rPr>
          <w:b/>
          <w:bCs/>
          <w:color w:val="000000" w:themeColor="text1"/>
          <w:u w:val="single"/>
        </w:rPr>
        <w:t>(Business)</w:t>
      </w:r>
    </w:p>
    <w:p w:rsidRPr="0095169C" w:rsidR="0008208A" w:rsidP="0066548F" w:rsidRDefault="000F0C8D" w14:paraId="49C76D2B" w14:textId="4BA97413">
      <w:pPr>
        <w:autoSpaceDE w:val="0"/>
        <w:autoSpaceDN w:val="0"/>
        <w:adjustRightInd w:val="0"/>
        <w:rPr>
          <w:color w:val="000000" w:themeColor="text1"/>
        </w:rPr>
      </w:pPr>
      <w:r w:rsidRPr="0095169C">
        <w:rPr>
          <w:color w:val="000000" w:themeColor="text1"/>
        </w:rPr>
        <w:t xml:space="preserve">APHIS is responsible for ensuring veterinary biological products used in the United States are pure, safe, potent, and effective. </w:t>
      </w:r>
      <w:r w:rsidRPr="0095169C" w:rsidR="0008208A">
        <w:rPr>
          <w:color w:val="000000" w:themeColor="text1"/>
        </w:rPr>
        <w:t xml:space="preserve">No serial or subserial of a biological product is eligible for release for distribution and sale </w:t>
      </w:r>
      <w:r w:rsidRPr="0095169C" w:rsidR="00671348">
        <w:rPr>
          <w:color w:val="000000" w:themeColor="text1"/>
        </w:rPr>
        <w:t xml:space="preserve">before </w:t>
      </w:r>
      <w:r w:rsidRPr="0095169C" w:rsidR="00335450">
        <w:rPr>
          <w:color w:val="000000" w:themeColor="text1"/>
        </w:rPr>
        <w:t xml:space="preserve">manufacturers </w:t>
      </w:r>
      <w:r w:rsidRPr="0095169C" w:rsidR="00671348">
        <w:rPr>
          <w:color w:val="000000" w:themeColor="text1"/>
        </w:rPr>
        <w:t>complet</w:t>
      </w:r>
      <w:r w:rsidRPr="0095169C" w:rsidR="00335450">
        <w:rPr>
          <w:color w:val="000000" w:themeColor="text1"/>
        </w:rPr>
        <w:t>e</w:t>
      </w:r>
      <w:r w:rsidRPr="0095169C" w:rsidR="00671348">
        <w:rPr>
          <w:color w:val="000000" w:themeColor="text1"/>
        </w:rPr>
        <w:t xml:space="preserve"> </w:t>
      </w:r>
      <w:r w:rsidRPr="0095169C" w:rsidR="00335450">
        <w:rPr>
          <w:color w:val="000000" w:themeColor="text1"/>
        </w:rPr>
        <w:t xml:space="preserve">all </w:t>
      </w:r>
      <w:r w:rsidRPr="0095169C" w:rsidR="0008208A">
        <w:rPr>
          <w:color w:val="000000" w:themeColor="text1"/>
        </w:rPr>
        <w:t>tests prescribed by APHIS regulations</w:t>
      </w:r>
      <w:r w:rsidRPr="0095169C" w:rsidR="00335450">
        <w:rPr>
          <w:color w:val="000000" w:themeColor="text1"/>
        </w:rPr>
        <w:t xml:space="preserve"> and submit the results to APHIS using APHIS Forms 2008 and 2008A</w:t>
      </w:r>
      <w:r w:rsidRPr="0095169C" w:rsidR="0008208A">
        <w:rPr>
          <w:color w:val="000000" w:themeColor="text1"/>
        </w:rPr>
        <w:t xml:space="preserve">. </w:t>
      </w:r>
      <w:r w:rsidRPr="0095169C" w:rsidR="00335450">
        <w:rPr>
          <w:color w:val="000000" w:themeColor="text1"/>
        </w:rPr>
        <w:t xml:space="preserve">The forms include </w:t>
      </w:r>
      <w:r w:rsidRPr="0095169C" w:rsidR="00671348">
        <w:rPr>
          <w:color w:val="000000" w:themeColor="text1"/>
        </w:rPr>
        <w:t>the licensee</w:t>
      </w:r>
      <w:r w:rsidRPr="0095169C" w:rsidR="000B46C2">
        <w:rPr>
          <w:color w:val="000000" w:themeColor="text1"/>
        </w:rPr>
        <w:t>’s</w:t>
      </w:r>
      <w:r w:rsidRPr="0095169C" w:rsidR="00671348">
        <w:rPr>
          <w:color w:val="000000" w:themeColor="text1"/>
        </w:rPr>
        <w:t xml:space="preserve"> or permittee’s name and mailing address, </w:t>
      </w:r>
      <w:r w:rsidRPr="0095169C" w:rsidR="000B46C2">
        <w:rPr>
          <w:color w:val="000000" w:themeColor="text1"/>
        </w:rPr>
        <w:t>the product name and serial number, and test dates and results.</w:t>
      </w:r>
      <w:r w:rsidRPr="0095169C" w:rsidR="00671348">
        <w:rPr>
          <w:color w:val="000000" w:themeColor="text1"/>
        </w:rPr>
        <w:t xml:space="preserve"> </w:t>
      </w:r>
      <w:r w:rsidRPr="0095169C" w:rsidR="00E375C6">
        <w:rPr>
          <w:color w:val="000000" w:themeColor="text1"/>
        </w:rPr>
        <w:t>Th</w:t>
      </w:r>
      <w:r w:rsidRPr="0095169C" w:rsidR="00335450">
        <w:rPr>
          <w:color w:val="000000" w:themeColor="text1"/>
        </w:rPr>
        <w:t>e forms are u</w:t>
      </w:r>
      <w:r w:rsidRPr="0095169C" w:rsidR="00E375C6">
        <w:rPr>
          <w:color w:val="000000" w:themeColor="text1"/>
        </w:rPr>
        <w:t xml:space="preserve">sed </w:t>
      </w:r>
      <w:r w:rsidRPr="0095169C" w:rsidR="00335450">
        <w:rPr>
          <w:color w:val="000000" w:themeColor="text1"/>
        </w:rPr>
        <w:t xml:space="preserve">also </w:t>
      </w:r>
      <w:r w:rsidRPr="0095169C" w:rsidR="00E375C6">
        <w:rPr>
          <w:color w:val="000000" w:themeColor="text1"/>
        </w:rPr>
        <w:t>for requests to reprocess and rebottle a serial or subserial</w:t>
      </w:r>
      <w:r w:rsidRPr="0095169C" w:rsidR="0018282D">
        <w:rPr>
          <w:color w:val="000000" w:themeColor="text1"/>
        </w:rPr>
        <w:t>.</w:t>
      </w:r>
    </w:p>
    <w:p w:rsidRPr="0095169C" w:rsidR="0008208A" w:rsidP="0066548F" w:rsidRDefault="0008208A" w14:paraId="070645BE" w14:textId="179C7A1D">
      <w:pPr>
        <w:autoSpaceDE w:val="0"/>
        <w:autoSpaceDN w:val="0"/>
        <w:adjustRightInd w:val="0"/>
        <w:rPr>
          <w:color w:val="000000" w:themeColor="text1"/>
        </w:rPr>
      </w:pPr>
    </w:p>
    <w:p w:rsidRPr="0095169C" w:rsidR="001169D5" w:rsidP="009C26D2" w:rsidRDefault="009C26D2" w14:paraId="1A62DB82" w14:textId="74D73ABE">
      <w:pPr>
        <w:autoSpaceDE w:val="0"/>
        <w:autoSpaceDN w:val="0"/>
        <w:adjustRightInd w:val="0"/>
        <w:rPr>
          <w:b/>
          <w:color w:val="000000" w:themeColor="text1"/>
          <w:u w:val="single"/>
        </w:rPr>
      </w:pPr>
      <w:r w:rsidRPr="0095169C">
        <w:rPr>
          <w:b/>
          <w:bCs/>
          <w:color w:val="000000" w:themeColor="text1"/>
          <w:u w:val="single"/>
        </w:rPr>
        <w:t xml:space="preserve">Application for Authorization to Ship Master Seed or Cell Samples for </w:t>
      </w:r>
      <w:r w:rsidRPr="0095169C" w:rsidR="00D835B0">
        <w:rPr>
          <w:b/>
          <w:bCs/>
          <w:color w:val="000000" w:themeColor="text1"/>
          <w:u w:val="single"/>
        </w:rPr>
        <w:t xml:space="preserve">APHIS </w:t>
      </w:r>
      <w:r w:rsidRPr="0095169C">
        <w:rPr>
          <w:b/>
          <w:bCs/>
          <w:color w:val="000000" w:themeColor="text1"/>
          <w:u w:val="single"/>
        </w:rPr>
        <w:t>Confirmatory Testing (</w:t>
      </w:r>
      <w:r w:rsidRPr="0095169C">
        <w:rPr>
          <w:b/>
          <w:color w:val="000000" w:themeColor="text1"/>
          <w:u w:val="single"/>
        </w:rPr>
        <w:t>APHIS Form 2070)</w:t>
      </w:r>
      <w:r w:rsidRPr="0095169C" w:rsidR="001169D5">
        <w:rPr>
          <w:b/>
          <w:color w:val="000000" w:themeColor="text1"/>
          <w:u w:val="single"/>
        </w:rPr>
        <w:t xml:space="preserve">, </w:t>
      </w:r>
      <w:r w:rsidRPr="0095169C">
        <w:rPr>
          <w:b/>
          <w:color w:val="000000" w:themeColor="text1"/>
          <w:u w:val="single"/>
        </w:rPr>
        <w:t>(9 CFR 113.52, 9 CFR 113.100, 9 CFR 113.200,</w:t>
      </w:r>
    </w:p>
    <w:p w:rsidRPr="0095169C" w:rsidR="009C26D2" w:rsidP="009C26D2" w:rsidRDefault="009C26D2" w14:paraId="0614106E" w14:textId="1429860F">
      <w:pPr>
        <w:autoSpaceDE w:val="0"/>
        <w:autoSpaceDN w:val="0"/>
        <w:adjustRightInd w:val="0"/>
        <w:rPr>
          <w:b/>
          <w:bCs/>
          <w:color w:val="000000" w:themeColor="text1"/>
          <w:u w:val="single"/>
        </w:rPr>
      </w:pPr>
      <w:r w:rsidRPr="0095169C">
        <w:rPr>
          <w:b/>
          <w:color w:val="000000" w:themeColor="text1"/>
          <w:u w:val="single"/>
        </w:rPr>
        <w:t>9 CFR 113.300)</w:t>
      </w:r>
      <w:r w:rsidRPr="0095169C" w:rsidR="001169D5">
        <w:rPr>
          <w:b/>
          <w:color w:val="000000" w:themeColor="text1"/>
          <w:u w:val="single"/>
        </w:rPr>
        <w:t>,</w:t>
      </w:r>
      <w:r w:rsidRPr="0095169C">
        <w:rPr>
          <w:b/>
          <w:color w:val="000000" w:themeColor="text1"/>
          <w:u w:val="single"/>
        </w:rPr>
        <w:t xml:space="preserve"> (Business)</w:t>
      </w:r>
    </w:p>
    <w:p w:rsidRPr="0095169C" w:rsidR="009C26D2" w:rsidP="009C26D2" w:rsidRDefault="001169D5" w14:paraId="4AC7049B" w14:textId="6E25CE38">
      <w:pPr>
        <w:autoSpaceDE w:val="0"/>
        <w:autoSpaceDN w:val="0"/>
        <w:adjustRightInd w:val="0"/>
        <w:rPr>
          <w:bCs/>
          <w:color w:val="000000" w:themeColor="text1"/>
        </w:rPr>
      </w:pPr>
      <w:r w:rsidRPr="0095169C">
        <w:rPr>
          <w:bCs/>
          <w:color w:val="000000" w:themeColor="text1"/>
        </w:rPr>
        <w:t>M</w:t>
      </w:r>
      <w:r w:rsidRPr="0095169C" w:rsidR="009C26D2">
        <w:rPr>
          <w:bCs/>
          <w:color w:val="000000" w:themeColor="text1"/>
        </w:rPr>
        <w:t xml:space="preserve">anufacturers </w:t>
      </w:r>
      <w:r w:rsidRPr="0095169C">
        <w:rPr>
          <w:bCs/>
          <w:color w:val="000000" w:themeColor="text1"/>
        </w:rPr>
        <w:t>must p</w:t>
      </w:r>
      <w:r w:rsidRPr="0095169C" w:rsidR="009C26D2">
        <w:rPr>
          <w:bCs/>
          <w:color w:val="000000" w:themeColor="text1"/>
        </w:rPr>
        <w:t xml:space="preserve">roduce biological products from APHIS-approved </w:t>
      </w:r>
      <w:r w:rsidRPr="0095169C">
        <w:rPr>
          <w:bCs/>
          <w:color w:val="000000" w:themeColor="text1"/>
        </w:rPr>
        <w:t>m</w:t>
      </w:r>
      <w:r w:rsidRPr="0095169C" w:rsidR="009C26D2">
        <w:rPr>
          <w:bCs/>
          <w:color w:val="000000" w:themeColor="text1"/>
        </w:rPr>
        <w:t xml:space="preserve">aster </w:t>
      </w:r>
      <w:r w:rsidRPr="0095169C">
        <w:rPr>
          <w:bCs/>
          <w:color w:val="000000" w:themeColor="text1"/>
        </w:rPr>
        <w:t>s</w:t>
      </w:r>
      <w:r w:rsidRPr="0095169C" w:rsidR="009C26D2">
        <w:rPr>
          <w:bCs/>
          <w:color w:val="000000" w:themeColor="text1"/>
        </w:rPr>
        <w:t>eed</w:t>
      </w:r>
      <w:r w:rsidRPr="0095169C">
        <w:rPr>
          <w:bCs/>
          <w:color w:val="000000" w:themeColor="text1"/>
        </w:rPr>
        <w:t>s</w:t>
      </w:r>
      <w:r w:rsidRPr="0095169C" w:rsidR="009C26D2">
        <w:rPr>
          <w:bCs/>
          <w:color w:val="000000" w:themeColor="text1"/>
        </w:rPr>
        <w:t xml:space="preserve"> or </w:t>
      </w:r>
      <w:r w:rsidRPr="0095169C">
        <w:rPr>
          <w:bCs/>
          <w:color w:val="000000" w:themeColor="text1"/>
        </w:rPr>
        <w:t>c</w:t>
      </w:r>
      <w:r w:rsidRPr="0095169C" w:rsidR="009C26D2">
        <w:rPr>
          <w:bCs/>
          <w:color w:val="000000" w:themeColor="text1"/>
        </w:rPr>
        <w:t>ell</w:t>
      </w:r>
      <w:r w:rsidRPr="0095169C">
        <w:rPr>
          <w:bCs/>
          <w:color w:val="000000" w:themeColor="text1"/>
        </w:rPr>
        <w:t xml:space="preserve">s which are </w:t>
      </w:r>
      <w:r w:rsidRPr="0095169C" w:rsidR="009C26D2">
        <w:rPr>
          <w:bCs/>
          <w:color w:val="000000" w:themeColor="text1"/>
        </w:rPr>
        <w:t>extensively tested for purity and identity</w:t>
      </w:r>
      <w:r w:rsidRPr="0095169C">
        <w:rPr>
          <w:bCs/>
          <w:color w:val="000000" w:themeColor="text1"/>
        </w:rPr>
        <w:t xml:space="preserve">, and </w:t>
      </w:r>
      <w:r w:rsidRPr="0095169C" w:rsidR="00BE47BD">
        <w:rPr>
          <w:bCs/>
          <w:color w:val="000000" w:themeColor="text1"/>
        </w:rPr>
        <w:t xml:space="preserve">APHIS conducts </w:t>
      </w:r>
      <w:r w:rsidRPr="0095169C" w:rsidR="009C26D2">
        <w:rPr>
          <w:bCs/>
          <w:color w:val="000000" w:themeColor="text1"/>
        </w:rPr>
        <w:t xml:space="preserve">confirmatory testing. </w:t>
      </w:r>
      <w:r w:rsidRPr="0095169C">
        <w:rPr>
          <w:bCs/>
          <w:color w:val="000000" w:themeColor="text1"/>
        </w:rPr>
        <w:t>Manufacture</w:t>
      </w:r>
      <w:r w:rsidRPr="0095169C" w:rsidR="00372637">
        <w:rPr>
          <w:bCs/>
          <w:color w:val="000000" w:themeColor="text1"/>
        </w:rPr>
        <w:t>r</w:t>
      </w:r>
      <w:r w:rsidRPr="0095169C">
        <w:rPr>
          <w:bCs/>
          <w:color w:val="000000" w:themeColor="text1"/>
        </w:rPr>
        <w:t xml:space="preserve">s </w:t>
      </w:r>
      <w:r w:rsidRPr="0095169C" w:rsidR="009C26D2">
        <w:rPr>
          <w:bCs/>
          <w:color w:val="000000" w:themeColor="text1"/>
        </w:rPr>
        <w:t xml:space="preserve">request permission to ship seed or cell samples to APHIS </w:t>
      </w:r>
      <w:r w:rsidRPr="0095169C">
        <w:rPr>
          <w:bCs/>
          <w:color w:val="000000" w:themeColor="text1"/>
        </w:rPr>
        <w:t>using APHIS Form 2070</w:t>
      </w:r>
      <w:r w:rsidRPr="0095169C" w:rsidR="004A6958">
        <w:rPr>
          <w:bCs/>
          <w:color w:val="000000" w:themeColor="text1"/>
        </w:rPr>
        <w:t xml:space="preserve">. Applications include the company </w:t>
      </w:r>
      <w:r w:rsidRPr="0095169C" w:rsidR="009C26D2">
        <w:rPr>
          <w:bCs/>
          <w:color w:val="000000" w:themeColor="text1"/>
        </w:rPr>
        <w:t>name and full mailing address; U.S. veterinary establishment number, if applicable; the application type (new or amendment); a description of the product to be shipped; and the name, phone number, and email address of a contact for the applicant. The applicant must also completely identify all seeds or cells being shipped (by baseline passage, high passage, or parental construct) and specify how the seeds or cells are to be shipped.</w:t>
      </w:r>
    </w:p>
    <w:p w:rsidR="00C544C0" w:rsidP="00C64A4F" w:rsidRDefault="00C544C0" w14:paraId="2146C1A8" w14:textId="74F92E16">
      <w:pPr>
        <w:autoSpaceDE w:val="0"/>
        <w:autoSpaceDN w:val="0"/>
        <w:adjustRightInd w:val="0"/>
        <w:rPr>
          <w:color w:val="000000" w:themeColor="text1"/>
        </w:rPr>
      </w:pPr>
    </w:p>
    <w:p w:rsidRPr="005710CB" w:rsidR="004113D0" w:rsidP="004113D0" w:rsidRDefault="004113D0" w14:paraId="34617703" w14:textId="5806C779">
      <w:pPr>
        <w:autoSpaceDE w:val="0"/>
        <w:autoSpaceDN w:val="0"/>
        <w:adjustRightInd w:val="0"/>
        <w:rPr>
          <w:b/>
          <w:u w:val="single"/>
        </w:rPr>
      </w:pPr>
      <w:r w:rsidRPr="005710CB">
        <w:rPr>
          <w:b/>
          <w:u w:val="single"/>
        </w:rPr>
        <w:t xml:space="preserve">Request for Authorization to Prepare an Autogenous Biologic for Use in Herds Adjacent </w:t>
      </w:r>
      <w:r>
        <w:rPr>
          <w:b/>
          <w:u w:val="single"/>
        </w:rPr>
        <w:t xml:space="preserve">and Not Adjacent </w:t>
      </w:r>
      <w:r w:rsidRPr="005710CB">
        <w:rPr>
          <w:b/>
          <w:u w:val="single"/>
        </w:rPr>
        <w:t>to the Herd of Origin</w:t>
      </w:r>
    </w:p>
    <w:p w:rsidRPr="002A0CA2" w:rsidR="004113D0" w:rsidP="004113D0" w:rsidRDefault="004113D0" w14:paraId="436CAF0B" w14:textId="77777777">
      <w:pPr>
        <w:autoSpaceDE w:val="0"/>
        <w:autoSpaceDN w:val="0"/>
        <w:adjustRightInd w:val="0"/>
        <w:rPr>
          <w:color w:val="000000" w:themeColor="text1"/>
        </w:rPr>
      </w:pPr>
      <w:r w:rsidRPr="002A0CA2">
        <w:rPr>
          <w:color w:val="000000" w:themeColor="text1"/>
        </w:rPr>
        <w:t>This activity is discontinued</w:t>
      </w:r>
      <w:r>
        <w:rPr>
          <w:color w:val="000000" w:themeColor="text1"/>
        </w:rPr>
        <w:t xml:space="preserve"> because it is no longer needed</w:t>
      </w:r>
      <w:r w:rsidRPr="002A0CA2">
        <w:rPr>
          <w:color w:val="000000" w:themeColor="text1"/>
        </w:rPr>
        <w:t>.</w:t>
      </w:r>
    </w:p>
    <w:p w:rsidRPr="0095169C" w:rsidR="004113D0" w:rsidP="00C64A4F" w:rsidRDefault="004113D0" w14:paraId="5FD5A1EB" w14:textId="77777777">
      <w:pPr>
        <w:autoSpaceDE w:val="0"/>
        <w:autoSpaceDN w:val="0"/>
        <w:adjustRightInd w:val="0"/>
        <w:rPr>
          <w:color w:val="000000" w:themeColor="text1"/>
        </w:rPr>
      </w:pPr>
    </w:p>
    <w:p w:rsidRPr="0095169C" w:rsidR="0008208A" w:rsidP="0073639A" w:rsidRDefault="0008208A" w14:paraId="6D0A8383" w14:textId="0270C4C0">
      <w:pPr>
        <w:autoSpaceDE w:val="0"/>
        <w:autoSpaceDN w:val="0"/>
        <w:adjustRightInd w:val="0"/>
        <w:rPr>
          <w:b/>
          <w:color w:val="000000" w:themeColor="text1"/>
          <w:u w:val="single"/>
        </w:rPr>
      </w:pPr>
      <w:r w:rsidRPr="0095169C">
        <w:rPr>
          <w:b/>
          <w:color w:val="000000" w:themeColor="text1"/>
          <w:u w:val="single"/>
        </w:rPr>
        <w:t>Request to Use an Isolate Beyond the Time Limit Prescribed</w:t>
      </w:r>
      <w:r w:rsidRPr="0095169C" w:rsidR="005D1990">
        <w:rPr>
          <w:b/>
          <w:color w:val="000000" w:themeColor="text1"/>
          <w:u w:val="single"/>
        </w:rPr>
        <w:t>,</w:t>
      </w:r>
      <w:r w:rsidRPr="0095169C" w:rsidR="008432C2">
        <w:rPr>
          <w:b/>
          <w:color w:val="000000" w:themeColor="text1"/>
          <w:u w:val="single"/>
        </w:rPr>
        <w:t xml:space="preserve"> (9 CFR 113.113)</w:t>
      </w:r>
      <w:r w:rsidRPr="0095169C" w:rsidR="005D1990">
        <w:rPr>
          <w:b/>
          <w:color w:val="000000" w:themeColor="text1"/>
          <w:u w:val="single"/>
        </w:rPr>
        <w:t>,</w:t>
      </w:r>
      <w:r w:rsidRPr="0095169C" w:rsidR="00DD0B99">
        <w:rPr>
          <w:b/>
          <w:color w:val="000000" w:themeColor="text1"/>
          <w:u w:val="single"/>
        </w:rPr>
        <w:t xml:space="preserve"> </w:t>
      </w:r>
      <w:r w:rsidRPr="0095169C" w:rsidR="00847B5D">
        <w:rPr>
          <w:b/>
          <w:color w:val="000000" w:themeColor="text1"/>
          <w:u w:val="single"/>
        </w:rPr>
        <w:t>(Business)</w:t>
      </w:r>
    </w:p>
    <w:p w:rsidRPr="0095169C" w:rsidR="0008208A" w:rsidP="00C64A4F" w:rsidRDefault="0008208A" w14:paraId="476438CB" w14:textId="29C66C26">
      <w:pPr>
        <w:autoSpaceDE w:val="0"/>
        <w:autoSpaceDN w:val="0"/>
        <w:adjustRightInd w:val="0"/>
        <w:rPr>
          <w:color w:val="000000" w:themeColor="text1"/>
        </w:rPr>
      </w:pPr>
      <w:r w:rsidRPr="0095169C">
        <w:rPr>
          <w:color w:val="000000" w:themeColor="text1"/>
        </w:rPr>
        <w:t xml:space="preserve">Under normal circumstances, microorganisms used </w:t>
      </w:r>
      <w:r w:rsidRPr="0095169C" w:rsidR="00A909B6">
        <w:rPr>
          <w:color w:val="000000" w:themeColor="text1"/>
        </w:rPr>
        <w:t>to produce</w:t>
      </w:r>
      <w:r w:rsidRPr="0095169C">
        <w:rPr>
          <w:color w:val="000000" w:themeColor="text1"/>
        </w:rPr>
        <w:t xml:space="preserve"> autogenous biologics may not be older than </w:t>
      </w:r>
      <w:r w:rsidRPr="0095169C" w:rsidR="00F510A4">
        <w:rPr>
          <w:color w:val="000000" w:themeColor="text1"/>
        </w:rPr>
        <w:t xml:space="preserve">24 </w:t>
      </w:r>
      <w:r w:rsidRPr="0095169C">
        <w:rPr>
          <w:color w:val="000000" w:themeColor="text1"/>
        </w:rPr>
        <w:t>months from the date of isolation, or 2</w:t>
      </w:r>
      <w:r w:rsidRPr="0095169C" w:rsidR="005171B7">
        <w:rPr>
          <w:color w:val="000000" w:themeColor="text1"/>
        </w:rPr>
        <w:t>4</w:t>
      </w:r>
      <w:r w:rsidRPr="0095169C">
        <w:rPr>
          <w:color w:val="000000" w:themeColor="text1"/>
        </w:rPr>
        <w:t xml:space="preserve"> months from the date of harvest of the first serial of product produced from the microorganisms, whichever comes first. </w:t>
      </w:r>
      <w:r w:rsidRPr="0095169C" w:rsidR="005D1990">
        <w:rPr>
          <w:color w:val="000000" w:themeColor="text1"/>
        </w:rPr>
        <w:t xml:space="preserve">However, </w:t>
      </w:r>
      <w:r w:rsidRPr="0095169C">
        <w:rPr>
          <w:color w:val="000000" w:themeColor="text1"/>
        </w:rPr>
        <w:t>APHIS</w:t>
      </w:r>
      <w:r w:rsidRPr="0095169C" w:rsidR="005D1990">
        <w:rPr>
          <w:color w:val="000000" w:themeColor="text1"/>
        </w:rPr>
        <w:t xml:space="preserve">  </w:t>
      </w:r>
      <w:r w:rsidRPr="0095169C">
        <w:rPr>
          <w:color w:val="000000" w:themeColor="text1"/>
        </w:rPr>
        <w:t>may authorize production of additional serials from microorganisms older than the</w:t>
      </w:r>
      <w:r w:rsidRPr="0095169C" w:rsidR="005D1990">
        <w:rPr>
          <w:color w:val="000000" w:themeColor="text1"/>
        </w:rPr>
        <w:t xml:space="preserve">se </w:t>
      </w:r>
      <w:r w:rsidRPr="0095169C">
        <w:rPr>
          <w:color w:val="000000" w:themeColor="text1"/>
        </w:rPr>
        <w:t>time periods</w:t>
      </w:r>
      <w:r w:rsidRPr="0095169C" w:rsidR="00EC1129">
        <w:rPr>
          <w:color w:val="000000" w:themeColor="text1"/>
        </w:rPr>
        <w:t xml:space="preserve"> if </w:t>
      </w:r>
      <w:r w:rsidRPr="0095169C">
        <w:rPr>
          <w:color w:val="000000" w:themeColor="text1"/>
        </w:rPr>
        <w:t xml:space="preserve">the business submits </w:t>
      </w:r>
      <w:r w:rsidRPr="0095169C" w:rsidR="005D1990">
        <w:rPr>
          <w:color w:val="000000" w:themeColor="text1"/>
        </w:rPr>
        <w:t xml:space="preserve">to the APHIS CVB-IC Director: </w:t>
      </w:r>
      <w:r w:rsidRPr="0095169C">
        <w:rPr>
          <w:color w:val="000000" w:themeColor="text1"/>
        </w:rPr>
        <w:t xml:space="preserve">(1) </w:t>
      </w:r>
      <w:r w:rsidRPr="0095169C" w:rsidR="00A909B6">
        <w:rPr>
          <w:color w:val="000000" w:themeColor="text1"/>
        </w:rPr>
        <w:t>T</w:t>
      </w:r>
      <w:r w:rsidRPr="0095169C">
        <w:rPr>
          <w:color w:val="000000" w:themeColor="text1"/>
        </w:rPr>
        <w:t>he attending veterinarian’s or approved specialist’s current assessment of the continued involvement of a herd with the originally isolated microorganisms, including a summary of the diagnostic work support</w:t>
      </w:r>
      <w:r w:rsidRPr="0095169C" w:rsidR="00EC1129">
        <w:rPr>
          <w:color w:val="000000" w:themeColor="text1"/>
        </w:rPr>
        <w:t>ing</w:t>
      </w:r>
      <w:r w:rsidRPr="0095169C">
        <w:rPr>
          <w:color w:val="000000" w:themeColor="text1"/>
        </w:rPr>
        <w:t xml:space="preserve"> this assessment; (2) evidence of satisfactory protection from the previous use of the autogenous biologic produced from the microorganisms involved</w:t>
      </w:r>
      <w:r w:rsidRPr="0095169C" w:rsidR="0073639A">
        <w:rPr>
          <w:color w:val="000000" w:themeColor="text1"/>
        </w:rPr>
        <w:t>;</w:t>
      </w:r>
      <w:r w:rsidRPr="0095169C">
        <w:rPr>
          <w:color w:val="000000" w:themeColor="text1"/>
        </w:rPr>
        <w:t xml:space="preserve"> and (3) any other information APHIS may require to determine the need to use the microorganism to make additional serials.</w:t>
      </w:r>
    </w:p>
    <w:p w:rsidRPr="0095169C" w:rsidR="003F3E20" w:rsidP="00C64A4F" w:rsidRDefault="003F3E20" w14:paraId="4542DEE6" w14:textId="77777777">
      <w:pPr>
        <w:autoSpaceDE w:val="0"/>
        <w:autoSpaceDN w:val="0"/>
        <w:adjustRightInd w:val="0"/>
        <w:rPr>
          <w:color w:val="000000" w:themeColor="text1"/>
        </w:rPr>
      </w:pPr>
    </w:p>
    <w:p w:rsidRPr="0095169C" w:rsidR="0008208A" w:rsidP="00BA06BE" w:rsidRDefault="0008208A" w14:paraId="37EAE322" w14:textId="546258EF">
      <w:pPr>
        <w:autoSpaceDE w:val="0"/>
        <w:autoSpaceDN w:val="0"/>
        <w:adjustRightInd w:val="0"/>
        <w:rPr>
          <w:b/>
          <w:color w:val="000000" w:themeColor="text1"/>
          <w:u w:val="single"/>
        </w:rPr>
      </w:pPr>
      <w:r w:rsidRPr="0095169C">
        <w:rPr>
          <w:b/>
          <w:color w:val="000000" w:themeColor="text1"/>
          <w:u w:val="single"/>
        </w:rPr>
        <w:t>Protocol and Additional Testing Requirements for Autogenous Biologics</w:t>
      </w:r>
      <w:r w:rsidRPr="0095169C" w:rsidR="005D1990">
        <w:rPr>
          <w:b/>
          <w:color w:val="000000" w:themeColor="text1"/>
          <w:u w:val="single"/>
        </w:rPr>
        <w:t>,</w:t>
      </w:r>
      <w:r w:rsidRPr="0095169C" w:rsidR="008432C2">
        <w:rPr>
          <w:b/>
          <w:color w:val="000000" w:themeColor="text1"/>
          <w:u w:val="single"/>
        </w:rPr>
        <w:t xml:space="preserve"> (9 CFR 113.113)</w:t>
      </w:r>
      <w:r w:rsidRPr="0095169C" w:rsidR="005D1990">
        <w:rPr>
          <w:b/>
          <w:color w:val="000000" w:themeColor="text1"/>
          <w:u w:val="single"/>
        </w:rPr>
        <w:t>,</w:t>
      </w:r>
      <w:r w:rsidRPr="0095169C" w:rsidR="00DD0B99">
        <w:rPr>
          <w:b/>
          <w:color w:val="000000" w:themeColor="text1"/>
          <w:u w:val="single"/>
        </w:rPr>
        <w:t xml:space="preserve"> </w:t>
      </w:r>
      <w:r w:rsidRPr="0095169C" w:rsidR="00847B5D">
        <w:rPr>
          <w:b/>
          <w:color w:val="000000" w:themeColor="text1"/>
          <w:u w:val="single"/>
        </w:rPr>
        <w:t>(Business)</w:t>
      </w:r>
    </w:p>
    <w:p w:rsidRPr="0095169C" w:rsidR="0008208A" w:rsidRDefault="001A5508" w14:paraId="4918599B" w14:textId="603BFDEC">
      <w:pPr>
        <w:autoSpaceDE w:val="0"/>
        <w:autoSpaceDN w:val="0"/>
        <w:adjustRightInd w:val="0"/>
        <w:rPr>
          <w:color w:val="000000" w:themeColor="text1"/>
        </w:rPr>
      </w:pPr>
      <w:r w:rsidRPr="0095169C">
        <w:rPr>
          <w:color w:val="000000" w:themeColor="text1"/>
        </w:rPr>
        <w:t xml:space="preserve">Before </w:t>
      </w:r>
      <w:r w:rsidRPr="0095169C" w:rsidR="0008208A">
        <w:rPr>
          <w:color w:val="000000" w:themeColor="text1"/>
        </w:rPr>
        <w:t xml:space="preserve">additional serials of autogenous biologics from microorganisms older than 24 months from the date of isolation </w:t>
      </w:r>
      <w:r w:rsidRPr="0095169C">
        <w:rPr>
          <w:color w:val="000000" w:themeColor="text1"/>
        </w:rPr>
        <w:t xml:space="preserve">may be approved, the completed product </w:t>
      </w:r>
      <w:r w:rsidRPr="0095169C" w:rsidR="0008208A">
        <w:rPr>
          <w:color w:val="000000" w:themeColor="text1"/>
        </w:rPr>
        <w:t xml:space="preserve">must </w:t>
      </w:r>
      <w:r w:rsidRPr="0095169C">
        <w:rPr>
          <w:color w:val="000000" w:themeColor="text1"/>
        </w:rPr>
        <w:t xml:space="preserve">be </w:t>
      </w:r>
      <w:r w:rsidRPr="0095169C" w:rsidR="0008208A">
        <w:rPr>
          <w:color w:val="000000" w:themeColor="text1"/>
        </w:rPr>
        <w:t>test</w:t>
      </w:r>
      <w:r w:rsidRPr="0095169C">
        <w:rPr>
          <w:color w:val="000000" w:themeColor="text1"/>
        </w:rPr>
        <w:t>ed</w:t>
      </w:r>
      <w:r w:rsidRPr="0095169C" w:rsidR="0008208A">
        <w:rPr>
          <w:color w:val="000000" w:themeColor="text1"/>
        </w:rPr>
        <w:t xml:space="preserve"> for antigenicity or immunogenicity in the species for which the product is recommended</w:t>
      </w:r>
      <w:r w:rsidRPr="0095169C">
        <w:rPr>
          <w:color w:val="000000" w:themeColor="text1"/>
        </w:rPr>
        <w:t>,</w:t>
      </w:r>
      <w:r w:rsidRPr="0095169C" w:rsidR="0008208A">
        <w:rPr>
          <w:color w:val="000000" w:themeColor="text1"/>
        </w:rPr>
        <w:t xml:space="preserve"> or in another animal species </w:t>
      </w:r>
      <w:r w:rsidRPr="0095169C" w:rsidR="0008208A">
        <w:rPr>
          <w:color w:val="000000" w:themeColor="text1"/>
        </w:rPr>
        <w:lastRenderedPageBreak/>
        <w:t>whose immunological response has been shown in the scientific literature to correlate with the response of the species for which the product is recommended. These tests must be conducted in accordance with a</w:t>
      </w:r>
      <w:r w:rsidRPr="0095169C" w:rsidR="0037624F">
        <w:rPr>
          <w:color w:val="000000" w:themeColor="text1"/>
        </w:rPr>
        <w:t>n APHIS-approved</w:t>
      </w:r>
      <w:r w:rsidRPr="0095169C" w:rsidR="0008208A">
        <w:rPr>
          <w:color w:val="000000" w:themeColor="text1"/>
        </w:rPr>
        <w:t xml:space="preserve"> protocol developed by the licensee. The licensee must submit the test results</w:t>
      </w:r>
      <w:r w:rsidRPr="0095169C" w:rsidR="00EC1129">
        <w:rPr>
          <w:color w:val="000000" w:themeColor="text1"/>
        </w:rPr>
        <w:t>,</w:t>
      </w:r>
      <w:r w:rsidRPr="0095169C" w:rsidR="0008208A">
        <w:rPr>
          <w:color w:val="000000" w:themeColor="text1"/>
        </w:rPr>
        <w:t xml:space="preserve"> in writing, to the CVB-P</w:t>
      </w:r>
      <w:r w:rsidRPr="0095169C" w:rsidR="00C64A4F">
        <w:rPr>
          <w:color w:val="000000" w:themeColor="text1"/>
        </w:rPr>
        <w:t>EL</w:t>
      </w:r>
      <w:r w:rsidRPr="0095169C" w:rsidR="00EC1129">
        <w:rPr>
          <w:color w:val="000000" w:themeColor="text1"/>
        </w:rPr>
        <w:t xml:space="preserve"> director</w:t>
      </w:r>
      <w:r w:rsidRPr="0095169C" w:rsidR="0008208A">
        <w:rPr>
          <w:color w:val="000000" w:themeColor="text1"/>
        </w:rPr>
        <w:t xml:space="preserve"> for review.</w:t>
      </w:r>
    </w:p>
    <w:p w:rsidR="0095169C" w:rsidP="00CA459E" w:rsidRDefault="0095169C" w14:paraId="5C97C39A" w14:textId="4537E0CF">
      <w:pPr>
        <w:autoSpaceDE w:val="0"/>
        <w:autoSpaceDN w:val="0"/>
        <w:adjustRightInd w:val="0"/>
        <w:rPr>
          <w:color w:val="000000" w:themeColor="text1"/>
        </w:rPr>
      </w:pPr>
    </w:p>
    <w:p w:rsidRPr="0095169C" w:rsidR="0008208A" w:rsidP="00BA06BE" w:rsidRDefault="0008208A" w14:paraId="17014817" w14:textId="41AD6250">
      <w:pPr>
        <w:autoSpaceDE w:val="0"/>
        <w:autoSpaceDN w:val="0"/>
        <w:adjustRightInd w:val="0"/>
        <w:rPr>
          <w:b/>
          <w:color w:val="000000" w:themeColor="text1"/>
          <w:u w:val="single"/>
        </w:rPr>
      </w:pPr>
      <w:r w:rsidRPr="0095169C">
        <w:rPr>
          <w:b/>
          <w:color w:val="000000" w:themeColor="text1"/>
          <w:u w:val="single"/>
        </w:rPr>
        <w:t>Request for Extension of Expiration Date for a Serial or Subserial</w:t>
      </w:r>
      <w:r w:rsidRPr="0095169C" w:rsidR="001A5508">
        <w:rPr>
          <w:b/>
          <w:color w:val="000000" w:themeColor="text1"/>
          <w:u w:val="single"/>
        </w:rPr>
        <w:t>,</w:t>
      </w:r>
      <w:r w:rsidRPr="0095169C" w:rsidR="008432C2">
        <w:rPr>
          <w:b/>
          <w:color w:val="000000" w:themeColor="text1"/>
          <w:u w:val="single"/>
        </w:rPr>
        <w:t xml:space="preserve"> (9 CFR 114.14)</w:t>
      </w:r>
      <w:r w:rsidRPr="0095169C" w:rsidR="001A5508">
        <w:rPr>
          <w:b/>
          <w:color w:val="000000" w:themeColor="text1"/>
          <w:u w:val="single"/>
        </w:rPr>
        <w:t>,</w:t>
      </w:r>
      <w:r w:rsidRPr="0095169C" w:rsidR="00DD0B99">
        <w:rPr>
          <w:b/>
          <w:color w:val="000000" w:themeColor="text1"/>
          <w:u w:val="single"/>
        </w:rPr>
        <w:t xml:space="preserve"> </w:t>
      </w:r>
      <w:r w:rsidRPr="0095169C" w:rsidR="00847B5D">
        <w:rPr>
          <w:b/>
          <w:color w:val="000000" w:themeColor="text1"/>
          <w:u w:val="single"/>
        </w:rPr>
        <w:t>(Business)</w:t>
      </w:r>
    </w:p>
    <w:p w:rsidRPr="0095169C" w:rsidR="0008208A" w:rsidRDefault="001A5508" w14:paraId="27376762" w14:textId="77676DC2">
      <w:pPr>
        <w:autoSpaceDE w:val="0"/>
        <w:autoSpaceDN w:val="0"/>
        <w:adjustRightInd w:val="0"/>
        <w:rPr>
          <w:color w:val="000000" w:themeColor="text1"/>
        </w:rPr>
      </w:pPr>
      <w:r w:rsidRPr="0095169C">
        <w:rPr>
          <w:color w:val="000000" w:themeColor="text1"/>
        </w:rPr>
        <w:t>Upon written request from the licensee, t</w:t>
      </w:r>
      <w:r w:rsidRPr="0095169C" w:rsidR="0008208A">
        <w:rPr>
          <w:color w:val="000000" w:themeColor="text1"/>
        </w:rPr>
        <w:t>he CVB-IC</w:t>
      </w:r>
      <w:r w:rsidRPr="0095169C" w:rsidR="0037624F">
        <w:rPr>
          <w:color w:val="000000" w:themeColor="text1"/>
        </w:rPr>
        <w:t xml:space="preserve"> </w:t>
      </w:r>
      <w:r w:rsidRPr="0095169C">
        <w:rPr>
          <w:color w:val="000000" w:themeColor="text1"/>
        </w:rPr>
        <w:t>D</w:t>
      </w:r>
      <w:r w:rsidRPr="0095169C" w:rsidR="0037624F">
        <w:rPr>
          <w:color w:val="000000" w:themeColor="text1"/>
        </w:rPr>
        <w:t>irector</w:t>
      </w:r>
      <w:r w:rsidRPr="0095169C" w:rsidR="0008208A">
        <w:rPr>
          <w:color w:val="000000" w:themeColor="text1"/>
        </w:rPr>
        <w:t xml:space="preserve"> may grant an extension of the expiration date for a serial or subserial of </w:t>
      </w:r>
      <w:r w:rsidRPr="0095169C" w:rsidR="0037624F">
        <w:rPr>
          <w:color w:val="000000" w:themeColor="text1"/>
        </w:rPr>
        <w:t xml:space="preserve">a </w:t>
      </w:r>
      <w:r w:rsidRPr="0095169C" w:rsidR="0008208A">
        <w:rPr>
          <w:color w:val="000000" w:themeColor="text1"/>
        </w:rPr>
        <w:t xml:space="preserve">veterinary biologic </w:t>
      </w:r>
      <w:r w:rsidRPr="0095169C" w:rsidR="0037624F">
        <w:rPr>
          <w:color w:val="000000" w:themeColor="text1"/>
        </w:rPr>
        <w:t>if the</w:t>
      </w:r>
      <w:r w:rsidRPr="0095169C" w:rsidR="0008208A">
        <w:rPr>
          <w:color w:val="000000" w:themeColor="text1"/>
        </w:rPr>
        <w:t xml:space="preserve"> request is substantiated by valid test data demonstrating that the product’s potency meets or exceeds the requirements for release.</w:t>
      </w:r>
    </w:p>
    <w:p w:rsidRPr="0095169C" w:rsidR="00767BC6" w:rsidRDefault="00767BC6" w14:paraId="137FAB30" w14:textId="77777777">
      <w:pPr>
        <w:autoSpaceDE w:val="0"/>
        <w:autoSpaceDN w:val="0"/>
        <w:adjustRightInd w:val="0"/>
        <w:rPr>
          <w:color w:val="000000" w:themeColor="text1"/>
        </w:rPr>
      </w:pPr>
    </w:p>
    <w:p w:rsidRPr="0095169C" w:rsidR="00F8065D" w:rsidP="00F8065D" w:rsidRDefault="00F8065D" w14:paraId="0CD4A504" w14:textId="70F1EEDE">
      <w:pPr>
        <w:rPr>
          <w:b/>
          <w:color w:val="000000" w:themeColor="text1"/>
          <w:u w:val="single"/>
        </w:rPr>
      </w:pPr>
      <w:r w:rsidRPr="0095169C">
        <w:rPr>
          <w:b/>
          <w:color w:val="000000" w:themeColor="text1"/>
          <w:u w:val="single"/>
        </w:rPr>
        <w:t>Wholesaler</w:t>
      </w:r>
      <w:r w:rsidRPr="0095169C" w:rsidR="006D467E">
        <w:rPr>
          <w:b/>
          <w:color w:val="000000" w:themeColor="text1"/>
          <w:u w:val="single"/>
        </w:rPr>
        <w:t xml:space="preserve"> Notifications</w:t>
      </w:r>
      <w:r w:rsidRPr="0095169C">
        <w:rPr>
          <w:b/>
          <w:color w:val="000000" w:themeColor="text1"/>
          <w:u w:val="single"/>
        </w:rPr>
        <w:t xml:space="preserve"> (Licensees and Permittees)</w:t>
      </w:r>
      <w:r w:rsidRPr="0095169C" w:rsidR="00C47622">
        <w:rPr>
          <w:b/>
          <w:color w:val="000000" w:themeColor="text1"/>
          <w:u w:val="single"/>
        </w:rPr>
        <w:t>,</w:t>
      </w:r>
      <w:r w:rsidRPr="0095169C">
        <w:rPr>
          <w:b/>
          <w:color w:val="000000" w:themeColor="text1"/>
          <w:u w:val="single"/>
        </w:rPr>
        <w:t xml:space="preserve"> (9 CFR 115.2)</w:t>
      </w:r>
      <w:r w:rsidRPr="0095169C" w:rsidR="00C47622">
        <w:rPr>
          <w:b/>
          <w:color w:val="000000" w:themeColor="text1"/>
          <w:u w:val="single"/>
        </w:rPr>
        <w:t>,</w:t>
      </w:r>
      <w:r w:rsidRPr="0095169C">
        <w:rPr>
          <w:b/>
          <w:color w:val="000000" w:themeColor="text1"/>
          <w:u w:val="single"/>
        </w:rPr>
        <w:t xml:space="preserve"> (Business)</w:t>
      </w:r>
      <w:r w:rsidRPr="0095169C" w:rsidR="00A86371">
        <w:rPr>
          <w:b/>
          <w:color w:val="000000" w:themeColor="text1"/>
          <w:u w:val="single"/>
        </w:rPr>
        <w:t xml:space="preserve"> (Third Party Disclosure)</w:t>
      </w:r>
    </w:p>
    <w:p w:rsidRPr="0095169C" w:rsidR="00F8065D" w:rsidP="00F8065D" w:rsidRDefault="00C47622" w14:paraId="54CB3F20" w14:textId="0ED32F27">
      <w:pPr>
        <w:rPr>
          <w:color w:val="000000" w:themeColor="text1"/>
        </w:rPr>
      </w:pPr>
      <w:r w:rsidRPr="0095169C">
        <w:rPr>
          <w:color w:val="000000" w:themeColor="text1"/>
        </w:rPr>
        <w:t>Immediately a</w:t>
      </w:r>
      <w:r w:rsidRPr="0095169C" w:rsidR="00F8065D">
        <w:rPr>
          <w:color w:val="000000" w:themeColor="text1"/>
        </w:rPr>
        <w:t>fter being contacted by APHIS, veterinary biologics licensees or permittees must provide stop distribution and sale notification</w:t>
      </w:r>
      <w:r w:rsidRPr="0095169C">
        <w:rPr>
          <w:color w:val="000000" w:themeColor="text1"/>
        </w:rPr>
        <w:t>s</w:t>
      </w:r>
      <w:r w:rsidRPr="0095169C" w:rsidR="00F8065D">
        <w:rPr>
          <w:color w:val="000000" w:themeColor="text1"/>
        </w:rPr>
        <w:t xml:space="preserve"> to wholesalers, jobbers, dealers, consignees, or other persons in their respective distribution systems known to be in possession of serials or subserials of veterinary biologics involved in the APHIS stop distribution and sale action. This notification must be documented, in writing, and submitted to APHIS to verify that the notification process has been promptly implemented. In addition to notification information, licensees and permittees must</w:t>
      </w:r>
      <w:r w:rsidRPr="0095169C">
        <w:rPr>
          <w:color w:val="000000" w:themeColor="text1"/>
        </w:rPr>
        <w:t xml:space="preserve"> also </w:t>
      </w:r>
      <w:r w:rsidRPr="0095169C" w:rsidR="00F8065D">
        <w:rPr>
          <w:color w:val="000000" w:themeColor="text1"/>
        </w:rPr>
        <w:t>document and submit to APHIS</w:t>
      </w:r>
      <w:r w:rsidRPr="0095169C">
        <w:rPr>
          <w:color w:val="000000" w:themeColor="text1"/>
        </w:rPr>
        <w:t xml:space="preserve"> </w:t>
      </w:r>
      <w:r w:rsidRPr="0095169C" w:rsidR="00F8065D">
        <w:rPr>
          <w:color w:val="000000" w:themeColor="text1"/>
        </w:rPr>
        <w:t>any other communications they have with wholesalers, jobbers, dealers, consignees, or others concerning the stop distribution and sale action.</w:t>
      </w:r>
    </w:p>
    <w:p w:rsidRPr="00050ADF" w:rsidR="00F8065D" w:rsidP="00F8065D" w:rsidRDefault="00F8065D" w14:paraId="1441A311" w14:textId="77777777">
      <w:pPr>
        <w:rPr>
          <w:bCs/>
          <w:color w:val="000000" w:themeColor="text1"/>
        </w:rPr>
      </w:pPr>
    </w:p>
    <w:p w:rsidRPr="0095169C" w:rsidR="00F8065D" w:rsidP="00F8065D" w:rsidRDefault="00F8065D" w14:paraId="351980FE" w14:textId="549B0594">
      <w:pPr>
        <w:rPr>
          <w:b/>
          <w:color w:val="000000" w:themeColor="text1"/>
          <w:u w:val="single"/>
        </w:rPr>
      </w:pPr>
      <w:r w:rsidRPr="0095169C">
        <w:rPr>
          <w:b/>
          <w:color w:val="000000" w:themeColor="text1"/>
          <w:u w:val="single"/>
        </w:rPr>
        <w:t>Accounting of Inventory (Licensees and Permittees); Accounting of Inventory (Wholesalers, Jobbers, Dealers, etc.)</w:t>
      </w:r>
      <w:r w:rsidRPr="0095169C" w:rsidR="00323D83">
        <w:rPr>
          <w:b/>
          <w:color w:val="000000" w:themeColor="text1"/>
          <w:u w:val="single"/>
        </w:rPr>
        <w:t>,</w:t>
      </w:r>
      <w:r w:rsidRPr="0095169C">
        <w:rPr>
          <w:b/>
          <w:color w:val="000000" w:themeColor="text1"/>
          <w:u w:val="single"/>
        </w:rPr>
        <w:t xml:space="preserve"> (9 CFR 115.2(b)</w:t>
      </w:r>
      <w:r w:rsidRPr="0095169C" w:rsidR="00323D83">
        <w:rPr>
          <w:b/>
          <w:color w:val="000000" w:themeColor="text1"/>
          <w:u w:val="single"/>
        </w:rPr>
        <w:t>),</w:t>
      </w:r>
      <w:r w:rsidRPr="0095169C">
        <w:rPr>
          <w:b/>
          <w:color w:val="000000" w:themeColor="text1"/>
          <w:u w:val="single"/>
        </w:rPr>
        <w:t xml:space="preserve"> (Business)</w:t>
      </w:r>
    </w:p>
    <w:p w:rsidRPr="0095169C" w:rsidR="00F8065D" w:rsidP="00F8065D" w:rsidRDefault="00F8065D" w14:paraId="2E76647F" w14:textId="43F06A0B">
      <w:pPr>
        <w:rPr>
          <w:color w:val="000000" w:themeColor="text1"/>
        </w:rPr>
      </w:pPr>
      <w:r w:rsidRPr="0095169C">
        <w:rPr>
          <w:color w:val="000000" w:themeColor="text1"/>
        </w:rPr>
        <w:t xml:space="preserve">Veterinary biologics licensees or permittees must give APHIS a complete accounting of the inventory in the current possession of each wholesaler, jobber, dealer, consignee, or other person engaged in the distribution and sale of the serials or subserials subject to the APHIS stop distribution and sale action. These inventories </w:t>
      </w:r>
      <w:r w:rsidRPr="0095169C" w:rsidR="00323D83">
        <w:rPr>
          <w:color w:val="000000" w:themeColor="text1"/>
        </w:rPr>
        <w:t xml:space="preserve">may </w:t>
      </w:r>
      <w:r w:rsidRPr="0095169C">
        <w:rPr>
          <w:color w:val="000000" w:themeColor="text1"/>
        </w:rPr>
        <w:t>be transmitted by these individuals to the licensee or permittees</w:t>
      </w:r>
      <w:r w:rsidRPr="0095169C" w:rsidR="00323D83">
        <w:rPr>
          <w:color w:val="000000" w:themeColor="text1"/>
        </w:rPr>
        <w:t xml:space="preserve"> </w:t>
      </w:r>
      <w:r w:rsidRPr="0095169C">
        <w:rPr>
          <w:color w:val="000000" w:themeColor="text1"/>
        </w:rPr>
        <w:t xml:space="preserve">who </w:t>
      </w:r>
      <w:r w:rsidRPr="0095169C" w:rsidR="00323D83">
        <w:rPr>
          <w:color w:val="000000" w:themeColor="text1"/>
        </w:rPr>
        <w:t xml:space="preserve">may </w:t>
      </w:r>
      <w:r w:rsidRPr="0095169C">
        <w:rPr>
          <w:color w:val="000000" w:themeColor="text1"/>
        </w:rPr>
        <w:t>then transmit this information to APHIS. APHIS must have this information to successfully monitor the whereabouts of the biologics while they are being removed from distribution channels. In addition to inventory information, licensees and permittees must document</w:t>
      </w:r>
      <w:r w:rsidRPr="0095169C" w:rsidR="00323D83">
        <w:rPr>
          <w:color w:val="000000" w:themeColor="text1"/>
        </w:rPr>
        <w:t xml:space="preserve"> </w:t>
      </w:r>
      <w:r w:rsidRPr="0095169C">
        <w:rPr>
          <w:color w:val="000000" w:themeColor="text1"/>
        </w:rPr>
        <w:t>and submit to APHIS</w:t>
      </w:r>
      <w:r w:rsidRPr="0095169C" w:rsidR="00323D83">
        <w:rPr>
          <w:color w:val="000000" w:themeColor="text1"/>
        </w:rPr>
        <w:t xml:space="preserve"> </w:t>
      </w:r>
      <w:r w:rsidRPr="0095169C">
        <w:rPr>
          <w:color w:val="000000" w:themeColor="text1"/>
        </w:rPr>
        <w:t xml:space="preserve">any other communications they have with wholesalers, jobbers, dealers, consignees, or others concerning the stop distribution and sale action. </w:t>
      </w:r>
    </w:p>
    <w:p w:rsidRPr="00050ADF" w:rsidR="00847B5D" w:rsidRDefault="00847B5D" w14:paraId="754D0230" w14:textId="77777777">
      <w:pPr>
        <w:autoSpaceDE w:val="0"/>
        <w:autoSpaceDN w:val="0"/>
        <w:adjustRightInd w:val="0"/>
        <w:rPr>
          <w:bCs/>
          <w:color w:val="000000" w:themeColor="text1"/>
        </w:rPr>
      </w:pPr>
    </w:p>
    <w:p w:rsidRPr="0095169C" w:rsidR="0008208A" w:rsidRDefault="0008208A" w14:paraId="136CF6D5" w14:textId="76A2237E">
      <w:pPr>
        <w:autoSpaceDE w:val="0"/>
        <w:autoSpaceDN w:val="0"/>
        <w:adjustRightInd w:val="0"/>
        <w:rPr>
          <w:b/>
          <w:color w:val="000000" w:themeColor="text1"/>
          <w:u w:val="single"/>
        </w:rPr>
      </w:pPr>
      <w:r w:rsidRPr="0095169C">
        <w:rPr>
          <w:b/>
          <w:color w:val="000000" w:themeColor="text1"/>
          <w:u w:val="single"/>
        </w:rPr>
        <w:t>Reports on Activities</w:t>
      </w:r>
      <w:r w:rsidRPr="0095169C" w:rsidR="00E24921">
        <w:rPr>
          <w:b/>
          <w:color w:val="000000" w:themeColor="text1"/>
          <w:u w:val="single"/>
        </w:rPr>
        <w:t xml:space="preserve"> </w:t>
      </w:r>
      <w:r w:rsidRPr="0095169C" w:rsidR="00E24921">
        <w:rPr>
          <w:b/>
          <w:bCs/>
          <w:color w:val="000000" w:themeColor="text1"/>
          <w:u w:val="single"/>
        </w:rPr>
        <w:t xml:space="preserve">(APHIS Forms </w:t>
      </w:r>
      <w:r w:rsidRPr="0095169C" w:rsidR="00C80037">
        <w:rPr>
          <w:b/>
          <w:color w:val="000000" w:themeColor="text1"/>
          <w:u w:val="single"/>
        </w:rPr>
        <w:t>204</w:t>
      </w:r>
      <w:r w:rsidRPr="0095169C" w:rsidR="00E24921">
        <w:rPr>
          <w:b/>
          <w:color w:val="000000" w:themeColor="text1"/>
          <w:u w:val="single"/>
        </w:rPr>
        <w:t>8 and 2049</w:t>
      </w:r>
      <w:r w:rsidRPr="0095169C" w:rsidR="00C80037">
        <w:rPr>
          <w:b/>
          <w:color w:val="000000" w:themeColor="text1"/>
          <w:u w:val="single"/>
        </w:rPr>
        <w:t>)</w:t>
      </w:r>
      <w:r w:rsidRPr="0095169C" w:rsidR="00E24921">
        <w:rPr>
          <w:b/>
          <w:color w:val="000000" w:themeColor="text1"/>
          <w:u w:val="single"/>
        </w:rPr>
        <w:t>,</w:t>
      </w:r>
      <w:r w:rsidRPr="0095169C" w:rsidR="008E0A74">
        <w:rPr>
          <w:b/>
          <w:color w:val="000000" w:themeColor="text1"/>
          <w:u w:val="single"/>
        </w:rPr>
        <w:t xml:space="preserve"> (9 CFR 116.5)</w:t>
      </w:r>
      <w:r w:rsidRPr="0095169C" w:rsidR="00E24921">
        <w:rPr>
          <w:b/>
          <w:color w:val="000000" w:themeColor="text1"/>
          <w:u w:val="single"/>
        </w:rPr>
        <w:t>,</w:t>
      </w:r>
      <w:r w:rsidRPr="0095169C" w:rsidR="00DD0B99">
        <w:rPr>
          <w:b/>
          <w:color w:val="000000" w:themeColor="text1"/>
          <w:u w:val="single"/>
        </w:rPr>
        <w:t xml:space="preserve"> </w:t>
      </w:r>
      <w:r w:rsidRPr="0095169C" w:rsidR="00847B5D">
        <w:rPr>
          <w:b/>
          <w:color w:val="000000" w:themeColor="text1"/>
          <w:u w:val="single"/>
        </w:rPr>
        <w:t>(Business)</w:t>
      </w:r>
    </w:p>
    <w:p w:rsidRPr="0095169C" w:rsidR="00875961" w:rsidP="00CA459E" w:rsidRDefault="00E24921" w14:paraId="0DC3A6B8" w14:textId="441DFC50">
      <w:pPr>
        <w:autoSpaceDE w:val="0"/>
        <w:autoSpaceDN w:val="0"/>
        <w:adjustRightInd w:val="0"/>
        <w:rPr>
          <w:color w:val="000000" w:themeColor="text1"/>
        </w:rPr>
      </w:pPr>
      <w:r w:rsidRPr="0095169C">
        <w:rPr>
          <w:color w:val="000000" w:themeColor="text1"/>
        </w:rPr>
        <w:t>L</w:t>
      </w:r>
      <w:r w:rsidRPr="0095169C" w:rsidR="0008208A">
        <w:rPr>
          <w:color w:val="000000" w:themeColor="text1"/>
        </w:rPr>
        <w:t>icensee</w:t>
      </w:r>
      <w:r w:rsidRPr="0095169C">
        <w:rPr>
          <w:color w:val="000000" w:themeColor="text1"/>
        </w:rPr>
        <w:t>s</w:t>
      </w:r>
      <w:r w:rsidRPr="0095169C" w:rsidR="0008208A">
        <w:rPr>
          <w:color w:val="000000" w:themeColor="text1"/>
        </w:rPr>
        <w:t>, permittee</w:t>
      </w:r>
      <w:r w:rsidRPr="0095169C">
        <w:rPr>
          <w:color w:val="000000" w:themeColor="text1"/>
        </w:rPr>
        <w:t>s</w:t>
      </w:r>
      <w:r w:rsidRPr="0095169C" w:rsidR="0008208A">
        <w:rPr>
          <w:color w:val="000000" w:themeColor="text1"/>
        </w:rPr>
        <w:t>, or foreign manufacturer</w:t>
      </w:r>
      <w:r w:rsidRPr="0095169C">
        <w:rPr>
          <w:color w:val="000000" w:themeColor="text1"/>
        </w:rPr>
        <w:t>s</w:t>
      </w:r>
      <w:r w:rsidRPr="0095169C" w:rsidR="0008208A">
        <w:rPr>
          <w:color w:val="000000" w:themeColor="text1"/>
        </w:rPr>
        <w:t xml:space="preserve"> whose products are being offered for importation m</w:t>
      </w:r>
      <w:r w:rsidRPr="0095169C">
        <w:rPr>
          <w:color w:val="000000" w:themeColor="text1"/>
        </w:rPr>
        <w:t xml:space="preserve">ay be required to </w:t>
      </w:r>
      <w:r w:rsidRPr="0095169C" w:rsidR="0008208A">
        <w:rPr>
          <w:color w:val="000000" w:themeColor="text1"/>
        </w:rPr>
        <w:t xml:space="preserve">prepare and submit </w:t>
      </w:r>
      <w:r w:rsidRPr="0095169C">
        <w:rPr>
          <w:color w:val="000000" w:themeColor="text1"/>
        </w:rPr>
        <w:t xml:space="preserve">to the CVB-PEL Director </w:t>
      </w:r>
      <w:r w:rsidRPr="0095169C" w:rsidR="0008208A">
        <w:rPr>
          <w:color w:val="000000" w:themeColor="text1"/>
        </w:rPr>
        <w:t xml:space="preserve">written reports containing accurate and complete information concerning biological products (including but not limited to product development and preparation as well as market suspensions and recalls). </w:t>
      </w:r>
      <w:r w:rsidRPr="0095169C" w:rsidR="003529A8">
        <w:rPr>
          <w:color w:val="000000" w:themeColor="text1"/>
        </w:rPr>
        <w:t>A</w:t>
      </w:r>
      <w:r w:rsidRPr="0095169C" w:rsidR="00875961">
        <w:rPr>
          <w:color w:val="000000" w:themeColor="text1"/>
        </w:rPr>
        <w:t xml:space="preserve">pplicants requesting </w:t>
      </w:r>
      <w:r w:rsidRPr="0095169C" w:rsidR="0037624F">
        <w:rPr>
          <w:color w:val="000000" w:themeColor="text1"/>
        </w:rPr>
        <w:t xml:space="preserve">APHIS </w:t>
      </w:r>
      <w:r w:rsidRPr="0095169C" w:rsidR="00875961">
        <w:rPr>
          <w:color w:val="000000" w:themeColor="text1"/>
        </w:rPr>
        <w:t xml:space="preserve">authorization to ship unlicensed biological products for experimental field studies </w:t>
      </w:r>
      <w:r w:rsidRPr="0095169C" w:rsidR="003529A8">
        <w:rPr>
          <w:color w:val="000000" w:themeColor="text1"/>
        </w:rPr>
        <w:t xml:space="preserve">also </w:t>
      </w:r>
      <w:r w:rsidRPr="0095169C" w:rsidR="00875961">
        <w:rPr>
          <w:color w:val="000000" w:themeColor="text1"/>
        </w:rPr>
        <w:t>must</w:t>
      </w:r>
      <w:r w:rsidRPr="0095169C" w:rsidR="003529A8">
        <w:rPr>
          <w:color w:val="000000" w:themeColor="text1"/>
        </w:rPr>
        <w:t xml:space="preserve"> </w:t>
      </w:r>
      <w:r w:rsidRPr="0095169C" w:rsidR="00875961">
        <w:rPr>
          <w:color w:val="000000" w:themeColor="text1"/>
        </w:rPr>
        <w:t>summarize and submit the results of the studies to APHIS</w:t>
      </w:r>
      <w:r w:rsidRPr="0095169C" w:rsidR="003529A8">
        <w:rPr>
          <w:color w:val="000000" w:themeColor="text1"/>
        </w:rPr>
        <w:t xml:space="preserve"> upon conclusion of the field studies</w:t>
      </w:r>
      <w:r w:rsidRPr="0095169C" w:rsidR="00875961">
        <w:rPr>
          <w:color w:val="000000" w:themeColor="text1"/>
        </w:rPr>
        <w:t>.</w:t>
      </w:r>
      <w:r w:rsidRPr="0095169C" w:rsidR="0096297C">
        <w:rPr>
          <w:color w:val="000000" w:themeColor="text1"/>
        </w:rPr>
        <w:t xml:space="preserve"> The National Centers for Animal Health (NCAH) Portal is an external-facing Web Portal that allows for electronic communications between external stakeholders and NCAH agencies, including the Center for Veterinary Biologics (CVB).</w:t>
      </w:r>
      <w:r w:rsidRPr="0095169C" w:rsidR="00DC733B">
        <w:rPr>
          <w:color w:val="000000" w:themeColor="text1"/>
        </w:rPr>
        <w:t xml:space="preserve"> CVB has </w:t>
      </w:r>
      <w:hyperlink w:history="1" r:id="rId8">
        <w:r w:rsidRPr="0095169C" w:rsidR="00DC733B">
          <w:rPr>
            <w:rStyle w:val="Hyperlink"/>
            <w:color w:val="000000" w:themeColor="text1"/>
          </w:rPr>
          <w:t>guidance on how to use the NCAH Portal</w:t>
        </w:r>
      </w:hyperlink>
      <w:r w:rsidRPr="0095169C" w:rsidR="00DC733B">
        <w:rPr>
          <w:color w:val="000000" w:themeColor="text1"/>
        </w:rPr>
        <w:t xml:space="preserve"> on the CVB website. This guidance includes </w:t>
      </w:r>
      <w:hyperlink w:history="1" r:id="rId9">
        <w:r w:rsidRPr="0095169C" w:rsidR="00DC733B">
          <w:rPr>
            <w:rStyle w:val="Hyperlink"/>
            <w:color w:val="000000" w:themeColor="text1"/>
          </w:rPr>
          <w:t>User Guides</w:t>
        </w:r>
      </w:hyperlink>
      <w:r w:rsidRPr="0095169C" w:rsidR="00DC733B">
        <w:rPr>
          <w:color w:val="000000" w:themeColor="text1"/>
        </w:rPr>
        <w:t xml:space="preserve"> and </w:t>
      </w:r>
      <w:hyperlink w:history="1" r:id="rId10">
        <w:r w:rsidRPr="0095169C" w:rsidR="00DC733B">
          <w:rPr>
            <w:rStyle w:val="Hyperlink"/>
            <w:color w:val="000000" w:themeColor="text1"/>
          </w:rPr>
          <w:t>Training Videos</w:t>
        </w:r>
      </w:hyperlink>
      <w:r w:rsidRPr="0095169C" w:rsidR="00DC733B">
        <w:rPr>
          <w:color w:val="000000" w:themeColor="text1"/>
        </w:rPr>
        <w:t>.</w:t>
      </w:r>
    </w:p>
    <w:p w:rsidR="00056AD9" w:rsidP="00CA459E" w:rsidRDefault="00056AD9" w14:paraId="13042BCC" w14:textId="3B83FF34">
      <w:pPr>
        <w:autoSpaceDE w:val="0"/>
        <w:autoSpaceDN w:val="0"/>
        <w:adjustRightInd w:val="0"/>
        <w:rPr>
          <w:bCs/>
          <w:color w:val="000000" w:themeColor="text1"/>
        </w:rPr>
      </w:pPr>
    </w:p>
    <w:p w:rsidRPr="00050ADF" w:rsidR="004113D0" w:rsidP="00CA459E" w:rsidRDefault="004113D0" w14:paraId="51E24F4C" w14:textId="77777777">
      <w:pPr>
        <w:autoSpaceDE w:val="0"/>
        <w:autoSpaceDN w:val="0"/>
        <w:adjustRightInd w:val="0"/>
        <w:rPr>
          <w:bCs/>
          <w:color w:val="000000" w:themeColor="text1"/>
        </w:rPr>
      </w:pPr>
    </w:p>
    <w:p w:rsidRPr="0095169C" w:rsidR="003529A8" w:rsidP="00CC149B" w:rsidRDefault="00E24921" w14:paraId="609BED1C" w14:textId="5EA2E6FD">
      <w:pPr>
        <w:pStyle w:val="ListParagraph"/>
        <w:numPr>
          <w:ilvl w:val="0"/>
          <w:numId w:val="13"/>
        </w:numPr>
        <w:autoSpaceDE w:val="0"/>
        <w:autoSpaceDN w:val="0"/>
        <w:adjustRightInd w:val="0"/>
        <w:ind w:left="270" w:hanging="270"/>
        <w:rPr>
          <w:b/>
          <w:bCs/>
          <w:color w:val="000000" w:themeColor="text1"/>
        </w:rPr>
      </w:pPr>
      <w:r w:rsidRPr="0095169C">
        <w:rPr>
          <w:b/>
          <w:color w:val="000000" w:themeColor="text1"/>
        </w:rPr>
        <w:lastRenderedPageBreak/>
        <w:t xml:space="preserve">Reports on Activities (Center for Biologics </w:t>
      </w:r>
      <w:r w:rsidRPr="0095169C">
        <w:rPr>
          <w:b/>
          <w:bCs/>
          <w:color w:val="000000" w:themeColor="text1"/>
        </w:rPr>
        <w:t>Inspection and Compliance E-Submission Form)</w:t>
      </w:r>
      <w:r w:rsidRPr="0095169C" w:rsidR="003529A8">
        <w:rPr>
          <w:b/>
          <w:bCs/>
          <w:color w:val="000000" w:themeColor="text1"/>
        </w:rPr>
        <w:t xml:space="preserve"> </w:t>
      </w:r>
      <w:r w:rsidRPr="0095169C">
        <w:rPr>
          <w:b/>
          <w:bCs/>
          <w:color w:val="000000" w:themeColor="text1"/>
        </w:rPr>
        <w:t>(APHIS Form 2048)</w:t>
      </w:r>
    </w:p>
    <w:p w:rsidRPr="0095169C" w:rsidR="006C38CD" w:rsidP="006C38CD" w:rsidRDefault="006C38CD" w14:paraId="2DD30D59" w14:textId="51F23B72">
      <w:pPr>
        <w:pStyle w:val="ListParagraph"/>
        <w:autoSpaceDE w:val="0"/>
        <w:autoSpaceDN w:val="0"/>
        <w:adjustRightInd w:val="0"/>
        <w:ind w:left="270"/>
        <w:rPr>
          <w:bCs/>
          <w:color w:val="000000" w:themeColor="text1"/>
        </w:rPr>
      </w:pPr>
      <w:r w:rsidRPr="0095169C">
        <w:rPr>
          <w:bCs/>
          <w:color w:val="000000" w:themeColor="text1"/>
        </w:rPr>
        <w:t>As a standardized method to collect information provided by manufacturers, t</w:t>
      </w:r>
      <w:r w:rsidRPr="0095169C" w:rsidR="00C80037">
        <w:rPr>
          <w:bCs/>
          <w:color w:val="000000" w:themeColor="text1"/>
        </w:rPr>
        <w:t xml:space="preserve">his form </w:t>
      </w:r>
      <w:r w:rsidRPr="0095169C" w:rsidR="003529A8">
        <w:rPr>
          <w:bCs/>
          <w:color w:val="000000" w:themeColor="text1"/>
        </w:rPr>
        <w:t xml:space="preserve">allows respondents to </w:t>
      </w:r>
      <w:r w:rsidRPr="0095169C" w:rsidR="00C80037">
        <w:rPr>
          <w:bCs/>
          <w:color w:val="000000" w:themeColor="text1"/>
        </w:rPr>
        <w:t>electronic</w:t>
      </w:r>
      <w:r w:rsidRPr="0095169C" w:rsidR="003529A8">
        <w:rPr>
          <w:bCs/>
          <w:color w:val="000000" w:themeColor="text1"/>
        </w:rPr>
        <w:t xml:space="preserve">ally </w:t>
      </w:r>
      <w:r w:rsidRPr="0095169C" w:rsidR="00C80037">
        <w:rPr>
          <w:bCs/>
          <w:color w:val="000000" w:themeColor="text1"/>
        </w:rPr>
        <w:t>submi</w:t>
      </w:r>
      <w:r w:rsidRPr="0095169C" w:rsidR="003529A8">
        <w:rPr>
          <w:bCs/>
          <w:color w:val="000000" w:themeColor="text1"/>
        </w:rPr>
        <w:t>t</w:t>
      </w:r>
      <w:r w:rsidRPr="0095169C" w:rsidR="00C80037">
        <w:rPr>
          <w:bCs/>
          <w:color w:val="000000" w:themeColor="text1"/>
        </w:rPr>
        <w:t xml:space="preserve"> specific information to CVB Inspection and Compliance </w:t>
      </w:r>
      <w:r w:rsidRPr="0095169C" w:rsidR="004C477D">
        <w:rPr>
          <w:bCs/>
          <w:color w:val="000000" w:themeColor="text1"/>
        </w:rPr>
        <w:t>in a manner that can be transcribed directly into the document tracking system</w:t>
      </w:r>
      <w:r w:rsidRPr="0095169C">
        <w:rPr>
          <w:bCs/>
          <w:color w:val="000000" w:themeColor="text1"/>
        </w:rPr>
        <w:t>.</w:t>
      </w:r>
      <w:r w:rsidRPr="0095169C" w:rsidR="00DC733B">
        <w:rPr>
          <w:bCs/>
          <w:color w:val="000000" w:themeColor="text1"/>
        </w:rPr>
        <w:t xml:space="preserve"> </w:t>
      </w:r>
    </w:p>
    <w:p w:rsidRPr="0095169C" w:rsidR="00767BC6" w:rsidP="006C38CD" w:rsidRDefault="00767BC6" w14:paraId="01F771AD" w14:textId="77777777">
      <w:pPr>
        <w:pStyle w:val="ListParagraph"/>
        <w:autoSpaceDE w:val="0"/>
        <w:autoSpaceDN w:val="0"/>
        <w:adjustRightInd w:val="0"/>
        <w:ind w:left="270"/>
        <w:rPr>
          <w:bCs/>
          <w:color w:val="000000" w:themeColor="text1"/>
        </w:rPr>
      </w:pPr>
    </w:p>
    <w:p w:rsidRPr="0095169C" w:rsidR="002951F7" w:rsidP="006C38CD" w:rsidRDefault="003529A8" w14:paraId="53E60402" w14:textId="14B3EC05">
      <w:pPr>
        <w:pStyle w:val="ListParagraph"/>
        <w:numPr>
          <w:ilvl w:val="0"/>
          <w:numId w:val="13"/>
        </w:numPr>
        <w:autoSpaceDE w:val="0"/>
        <w:autoSpaceDN w:val="0"/>
        <w:adjustRightInd w:val="0"/>
        <w:ind w:left="270" w:hanging="270"/>
        <w:rPr>
          <w:b/>
          <w:bCs/>
          <w:color w:val="000000" w:themeColor="text1"/>
        </w:rPr>
      </w:pPr>
      <w:r w:rsidRPr="0095169C">
        <w:rPr>
          <w:b/>
          <w:color w:val="000000" w:themeColor="text1"/>
        </w:rPr>
        <w:t xml:space="preserve">Reports on Activities </w:t>
      </w:r>
      <w:r w:rsidRPr="0095169C">
        <w:rPr>
          <w:b/>
          <w:bCs/>
          <w:color w:val="000000" w:themeColor="text1"/>
        </w:rPr>
        <w:t xml:space="preserve">(Veterinary Biologics Regulation and Policy, Evaluation, and Licensing E-Submission Form) (APHIS Form </w:t>
      </w:r>
      <w:r w:rsidRPr="0095169C">
        <w:rPr>
          <w:b/>
          <w:color w:val="000000" w:themeColor="text1"/>
        </w:rPr>
        <w:t>2049)</w:t>
      </w:r>
    </w:p>
    <w:p w:rsidRPr="0095169C" w:rsidR="006C38CD" w:rsidP="006C38CD" w:rsidRDefault="006C38CD" w14:paraId="55DC8A01" w14:textId="5BDBF921">
      <w:pPr>
        <w:pStyle w:val="ListParagraph"/>
        <w:autoSpaceDE w:val="0"/>
        <w:autoSpaceDN w:val="0"/>
        <w:adjustRightInd w:val="0"/>
        <w:ind w:left="270"/>
        <w:rPr>
          <w:bCs/>
          <w:color w:val="000000" w:themeColor="text1"/>
        </w:rPr>
      </w:pPr>
      <w:r w:rsidRPr="0095169C">
        <w:rPr>
          <w:bCs/>
          <w:color w:val="000000" w:themeColor="text1"/>
        </w:rPr>
        <w:t xml:space="preserve">As a standardized method to collect information provided by manufacturers, this form replaces a cover letter </w:t>
      </w:r>
      <w:r w:rsidRPr="0095169C" w:rsidR="008D080F">
        <w:rPr>
          <w:bCs/>
          <w:color w:val="000000" w:themeColor="text1"/>
        </w:rPr>
        <w:t xml:space="preserve">prepared by the submitter </w:t>
      </w:r>
      <w:r w:rsidRPr="0095169C">
        <w:rPr>
          <w:bCs/>
          <w:color w:val="000000" w:themeColor="text1"/>
        </w:rPr>
        <w:t xml:space="preserve">and allows respondents to electronically submit specific information </w:t>
      </w:r>
      <w:r w:rsidRPr="0095169C" w:rsidR="008D080F">
        <w:rPr>
          <w:bCs/>
          <w:color w:val="000000" w:themeColor="text1"/>
        </w:rPr>
        <w:t>i</w:t>
      </w:r>
      <w:r w:rsidRPr="0095169C">
        <w:rPr>
          <w:bCs/>
          <w:color w:val="000000" w:themeColor="text1"/>
        </w:rPr>
        <w:t>n a manner that can be transcribed directly into the document tracking system.</w:t>
      </w:r>
      <w:r w:rsidRPr="0095169C" w:rsidR="00DC733B">
        <w:rPr>
          <w:bCs/>
          <w:color w:val="000000" w:themeColor="text1"/>
        </w:rPr>
        <w:t xml:space="preserve"> </w:t>
      </w:r>
      <w:r w:rsidRPr="0095169C" w:rsidR="00FA0D41">
        <w:rPr>
          <w:bCs/>
          <w:color w:val="000000" w:themeColor="text1"/>
        </w:rPr>
        <w:t xml:space="preserve">Submitters use </w:t>
      </w:r>
      <w:r w:rsidRPr="0095169C" w:rsidR="00DC733B">
        <w:rPr>
          <w:bCs/>
          <w:color w:val="000000" w:themeColor="text1"/>
        </w:rPr>
        <w:t>APHIS Form 2049 to correspond</w:t>
      </w:r>
      <w:r w:rsidRPr="0095169C" w:rsidR="00FA0D41">
        <w:rPr>
          <w:bCs/>
          <w:color w:val="000000" w:themeColor="text1"/>
        </w:rPr>
        <w:t xml:space="preserve"> with </w:t>
      </w:r>
      <w:r w:rsidRPr="0095169C" w:rsidR="00DC733B">
        <w:rPr>
          <w:bCs/>
          <w:color w:val="000000" w:themeColor="text1"/>
        </w:rPr>
        <w:t>the CVB Policy, Evaluation, and Licensing Unit. Submissions that can made using this form include</w:t>
      </w:r>
      <w:r w:rsidRPr="0095169C" w:rsidR="00037064">
        <w:rPr>
          <w:bCs/>
          <w:color w:val="000000" w:themeColor="text1"/>
        </w:rPr>
        <w:t xml:space="preserve"> </w:t>
      </w:r>
      <w:r w:rsidRPr="0095169C" w:rsidR="00DC733B">
        <w:rPr>
          <w:bCs/>
          <w:color w:val="000000" w:themeColor="text1"/>
        </w:rPr>
        <w:t>protocol</w:t>
      </w:r>
      <w:r w:rsidRPr="0095169C" w:rsidR="00FA0D41">
        <w:rPr>
          <w:bCs/>
          <w:color w:val="000000" w:themeColor="text1"/>
        </w:rPr>
        <w:t>s</w:t>
      </w:r>
      <w:r w:rsidRPr="0095169C" w:rsidR="00DC733B">
        <w:rPr>
          <w:bCs/>
          <w:color w:val="000000" w:themeColor="text1"/>
        </w:rPr>
        <w:t>, report</w:t>
      </w:r>
      <w:r w:rsidRPr="0095169C" w:rsidR="00FA0D41">
        <w:rPr>
          <w:bCs/>
          <w:color w:val="000000" w:themeColor="text1"/>
        </w:rPr>
        <w:t>s</w:t>
      </w:r>
      <w:r w:rsidRPr="0095169C" w:rsidR="00DC733B">
        <w:rPr>
          <w:bCs/>
          <w:color w:val="000000" w:themeColor="text1"/>
        </w:rPr>
        <w:t>, historical study summar</w:t>
      </w:r>
      <w:r w:rsidRPr="0095169C" w:rsidR="00FA0D41">
        <w:rPr>
          <w:bCs/>
          <w:color w:val="000000" w:themeColor="text1"/>
        </w:rPr>
        <w:t>ies</w:t>
      </w:r>
      <w:r w:rsidRPr="0095169C" w:rsidR="00DC733B">
        <w:rPr>
          <w:bCs/>
          <w:color w:val="000000" w:themeColor="text1"/>
        </w:rPr>
        <w:t>, post-license labels, outlines of production, special outlines, and other correspondence.</w:t>
      </w:r>
    </w:p>
    <w:p w:rsidRPr="00050ADF" w:rsidR="00F31524" w:rsidP="00CA459E" w:rsidRDefault="00F31524" w14:paraId="350C401C" w14:textId="77777777">
      <w:pPr>
        <w:autoSpaceDE w:val="0"/>
        <w:autoSpaceDN w:val="0"/>
        <w:adjustRightInd w:val="0"/>
        <w:rPr>
          <w:bCs/>
          <w:color w:val="000000" w:themeColor="text1"/>
        </w:rPr>
      </w:pPr>
    </w:p>
    <w:p w:rsidRPr="0095169C" w:rsidR="0008208A" w:rsidP="00CA459E" w:rsidRDefault="0008208A" w14:paraId="32044E2F" w14:textId="1D117873">
      <w:pPr>
        <w:autoSpaceDE w:val="0"/>
        <w:autoSpaceDN w:val="0"/>
        <w:adjustRightInd w:val="0"/>
        <w:rPr>
          <w:b/>
          <w:color w:val="000000" w:themeColor="text1"/>
          <w:u w:val="single"/>
        </w:rPr>
      </w:pPr>
      <w:r w:rsidRPr="0095169C">
        <w:rPr>
          <w:b/>
          <w:color w:val="000000" w:themeColor="text1"/>
          <w:u w:val="single"/>
        </w:rPr>
        <w:t xml:space="preserve">Patent Term Restoration </w:t>
      </w:r>
      <w:r w:rsidRPr="0095169C" w:rsidR="00883557">
        <w:rPr>
          <w:b/>
          <w:color w:val="000000" w:themeColor="text1"/>
          <w:u w:val="single"/>
        </w:rPr>
        <w:t xml:space="preserve">- </w:t>
      </w:r>
      <w:r w:rsidRPr="0095169C">
        <w:rPr>
          <w:b/>
          <w:color w:val="000000" w:themeColor="text1"/>
          <w:u w:val="single"/>
        </w:rPr>
        <w:t>Letter of Application for Extending the Term of a Veterinary Biologic Patent</w:t>
      </w:r>
      <w:r w:rsidRPr="0095169C" w:rsidR="00CD35D9">
        <w:rPr>
          <w:b/>
          <w:color w:val="000000" w:themeColor="text1"/>
          <w:u w:val="single"/>
        </w:rPr>
        <w:t>,</w:t>
      </w:r>
      <w:r w:rsidRPr="0095169C" w:rsidR="00172BA3">
        <w:rPr>
          <w:b/>
          <w:color w:val="000000" w:themeColor="text1"/>
          <w:u w:val="single"/>
        </w:rPr>
        <w:t xml:space="preserve"> (9 CFR 124.10, </w:t>
      </w:r>
      <w:r w:rsidRPr="0095169C" w:rsidR="00CD35D9">
        <w:rPr>
          <w:b/>
          <w:color w:val="000000" w:themeColor="text1"/>
          <w:u w:val="single"/>
        </w:rPr>
        <w:t xml:space="preserve">9 CFR </w:t>
      </w:r>
      <w:r w:rsidRPr="0095169C" w:rsidR="00172BA3">
        <w:rPr>
          <w:b/>
          <w:color w:val="000000" w:themeColor="text1"/>
          <w:u w:val="single"/>
        </w:rPr>
        <w:t>124.20)</w:t>
      </w:r>
      <w:r w:rsidRPr="0095169C" w:rsidR="00CD35D9">
        <w:rPr>
          <w:b/>
          <w:color w:val="000000" w:themeColor="text1"/>
          <w:u w:val="single"/>
        </w:rPr>
        <w:t>,</w:t>
      </w:r>
      <w:r w:rsidRPr="0095169C" w:rsidR="000E574E">
        <w:rPr>
          <w:b/>
          <w:color w:val="000000" w:themeColor="text1"/>
          <w:u w:val="single"/>
        </w:rPr>
        <w:t xml:space="preserve"> </w:t>
      </w:r>
      <w:r w:rsidRPr="0095169C" w:rsidR="00847B5D">
        <w:rPr>
          <w:b/>
          <w:color w:val="000000" w:themeColor="text1"/>
          <w:u w:val="single"/>
        </w:rPr>
        <w:t>(Business)</w:t>
      </w:r>
    </w:p>
    <w:p w:rsidRPr="0095169C" w:rsidR="0008208A" w:rsidP="00BA06BE" w:rsidRDefault="0008208A" w14:paraId="6A383D02" w14:textId="27BC9C96">
      <w:pPr>
        <w:autoSpaceDE w:val="0"/>
        <w:autoSpaceDN w:val="0"/>
        <w:adjustRightInd w:val="0"/>
        <w:rPr>
          <w:color w:val="000000" w:themeColor="text1"/>
        </w:rPr>
      </w:pPr>
      <w:r w:rsidRPr="0095169C">
        <w:rPr>
          <w:color w:val="000000" w:themeColor="text1"/>
        </w:rPr>
        <w:t xml:space="preserve">Licensees and permittees must submit requests for extension of the term of a veterinary biologic patent to the Patent and Trademark Office </w:t>
      </w:r>
      <w:r w:rsidRPr="0095169C" w:rsidR="0037624F">
        <w:rPr>
          <w:color w:val="000000" w:themeColor="text1"/>
        </w:rPr>
        <w:t xml:space="preserve">(PTO) </w:t>
      </w:r>
      <w:r w:rsidRPr="0095169C">
        <w:rPr>
          <w:color w:val="000000" w:themeColor="text1"/>
        </w:rPr>
        <w:t>of the U.S. Department of Commerce</w:t>
      </w:r>
      <w:r w:rsidRPr="0095169C" w:rsidR="0037624F">
        <w:rPr>
          <w:color w:val="000000" w:themeColor="text1"/>
        </w:rPr>
        <w:t>.</w:t>
      </w:r>
      <w:r w:rsidRPr="0095169C">
        <w:rPr>
          <w:color w:val="000000" w:themeColor="text1"/>
        </w:rPr>
        <w:t xml:space="preserve"> APHIS </w:t>
      </w:r>
      <w:r w:rsidRPr="0095169C" w:rsidR="00CD35D9">
        <w:rPr>
          <w:color w:val="000000" w:themeColor="text1"/>
        </w:rPr>
        <w:t>assists the submitters and the PTO in d</w:t>
      </w:r>
      <w:r w:rsidRPr="0095169C" w:rsidR="0037624F">
        <w:rPr>
          <w:color w:val="000000" w:themeColor="text1"/>
        </w:rPr>
        <w:t>etermin</w:t>
      </w:r>
      <w:r w:rsidRPr="0095169C" w:rsidR="00CD35D9">
        <w:rPr>
          <w:color w:val="000000" w:themeColor="text1"/>
        </w:rPr>
        <w:t>ing</w:t>
      </w:r>
      <w:r w:rsidRPr="0095169C" w:rsidR="0037624F">
        <w:rPr>
          <w:color w:val="000000" w:themeColor="text1"/>
        </w:rPr>
        <w:t xml:space="preserve"> </w:t>
      </w:r>
      <w:r w:rsidRPr="0095169C">
        <w:rPr>
          <w:color w:val="000000" w:themeColor="text1"/>
        </w:rPr>
        <w:t>whether a patent related to a biological product is eligible for a term extension.</w:t>
      </w:r>
    </w:p>
    <w:p w:rsidRPr="0095169C" w:rsidR="00767BC6" w:rsidP="00BA06BE" w:rsidRDefault="00767BC6" w14:paraId="6D3B5A85" w14:textId="77777777">
      <w:pPr>
        <w:autoSpaceDE w:val="0"/>
        <w:autoSpaceDN w:val="0"/>
        <w:adjustRightInd w:val="0"/>
        <w:rPr>
          <w:color w:val="000000" w:themeColor="text1"/>
        </w:rPr>
      </w:pPr>
    </w:p>
    <w:p w:rsidRPr="0095169C" w:rsidR="0008208A" w:rsidRDefault="0008208A" w14:paraId="55C3258A" w14:textId="02A27584">
      <w:pPr>
        <w:autoSpaceDE w:val="0"/>
        <w:autoSpaceDN w:val="0"/>
        <w:adjustRightInd w:val="0"/>
        <w:rPr>
          <w:b/>
          <w:color w:val="000000" w:themeColor="text1"/>
          <w:u w:val="single"/>
        </w:rPr>
      </w:pPr>
      <w:r w:rsidRPr="0095169C">
        <w:rPr>
          <w:b/>
          <w:color w:val="000000" w:themeColor="text1"/>
          <w:u w:val="single"/>
        </w:rPr>
        <w:t>Request for Revision of the Regulatory Review Period</w:t>
      </w:r>
      <w:r w:rsidRPr="0095169C" w:rsidR="004313BA">
        <w:rPr>
          <w:b/>
          <w:color w:val="000000" w:themeColor="text1"/>
          <w:u w:val="single"/>
        </w:rPr>
        <w:t>,</w:t>
      </w:r>
      <w:r w:rsidRPr="0095169C" w:rsidR="002A040F">
        <w:rPr>
          <w:b/>
          <w:color w:val="000000" w:themeColor="text1"/>
          <w:u w:val="single"/>
        </w:rPr>
        <w:t xml:space="preserve"> (9 CFR 124.22)</w:t>
      </w:r>
      <w:r w:rsidRPr="0095169C" w:rsidR="004313BA">
        <w:rPr>
          <w:b/>
          <w:color w:val="000000" w:themeColor="text1"/>
          <w:u w:val="single"/>
        </w:rPr>
        <w:t>,</w:t>
      </w:r>
      <w:r w:rsidRPr="0095169C" w:rsidR="000E574E">
        <w:rPr>
          <w:b/>
          <w:color w:val="000000" w:themeColor="text1"/>
          <w:u w:val="single"/>
        </w:rPr>
        <w:t xml:space="preserve"> </w:t>
      </w:r>
      <w:r w:rsidRPr="0095169C" w:rsidR="00847B5D">
        <w:rPr>
          <w:b/>
          <w:color w:val="000000" w:themeColor="text1"/>
          <w:u w:val="single"/>
        </w:rPr>
        <w:t>(Business)</w:t>
      </w:r>
    </w:p>
    <w:p w:rsidR="0008208A" w:rsidRDefault="0008208A" w14:paraId="3A83F7D9" w14:textId="57BAA8CA">
      <w:pPr>
        <w:autoSpaceDE w:val="0"/>
        <w:autoSpaceDN w:val="0"/>
        <w:adjustRightInd w:val="0"/>
        <w:rPr>
          <w:color w:val="000000" w:themeColor="text1"/>
        </w:rPr>
      </w:pPr>
      <w:r w:rsidRPr="0095169C">
        <w:rPr>
          <w:color w:val="000000" w:themeColor="text1"/>
        </w:rPr>
        <w:t>Not later than 30 days after receiving a</w:t>
      </w:r>
      <w:r w:rsidRPr="0095169C" w:rsidR="0037624F">
        <w:rPr>
          <w:color w:val="000000" w:themeColor="text1"/>
        </w:rPr>
        <w:t>n</w:t>
      </w:r>
      <w:r w:rsidRPr="0095169C">
        <w:rPr>
          <w:color w:val="000000" w:themeColor="text1"/>
        </w:rPr>
        <w:t xml:space="preserve"> application for extending the term of a veterinary biologic patent from the PTO, APHIS will determine the regulatory review period for the product</w:t>
      </w:r>
      <w:r w:rsidRPr="0095169C" w:rsidR="00CD35D9">
        <w:rPr>
          <w:color w:val="000000" w:themeColor="text1"/>
        </w:rPr>
        <w:t xml:space="preserve"> and publish a notice in the Federal Register</w:t>
      </w:r>
      <w:r w:rsidRPr="0095169C">
        <w:rPr>
          <w:color w:val="000000" w:themeColor="text1"/>
        </w:rPr>
        <w:t xml:space="preserve">. Any interested person may request a revision of the regulatory review period determination </w:t>
      </w:r>
      <w:r w:rsidRPr="0095169C" w:rsidR="00CD35D9">
        <w:rPr>
          <w:color w:val="000000" w:themeColor="text1"/>
        </w:rPr>
        <w:t xml:space="preserve">during the notice’s publication period. </w:t>
      </w:r>
      <w:r w:rsidRPr="0095169C">
        <w:rPr>
          <w:color w:val="000000" w:themeColor="text1"/>
        </w:rPr>
        <w:t>Th</w:t>
      </w:r>
      <w:r w:rsidRPr="0095169C" w:rsidR="00CD35D9">
        <w:rPr>
          <w:color w:val="000000" w:themeColor="text1"/>
        </w:rPr>
        <w:t>e</w:t>
      </w:r>
      <w:r w:rsidRPr="0095169C">
        <w:rPr>
          <w:color w:val="000000" w:themeColor="text1"/>
        </w:rPr>
        <w:t xml:space="preserve"> request must be submitted in writing to the CVB-PEL</w:t>
      </w:r>
      <w:r w:rsidRPr="0095169C" w:rsidR="001F2689">
        <w:rPr>
          <w:color w:val="000000" w:themeColor="text1"/>
        </w:rPr>
        <w:t xml:space="preserve"> </w:t>
      </w:r>
      <w:r w:rsidRPr="0095169C" w:rsidR="00CD35D9">
        <w:rPr>
          <w:color w:val="000000" w:themeColor="text1"/>
        </w:rPr>
        <w:t>D</w:t>
      </w:r>
      <w:r w:rsidRPr="0095169C" w:rsidR="001F2689">
        <w:rPr>
          <w:color w:val="000000" w:themeColor="text1"/>
        </w:rPr>
        <w:t>irector</w:t>
      </w:r>
      <w:r w:rsidRPr="0095169C">
        <w:rPr>
          <w:color w:val="000000" w:themeColor="text1"/>
        </w:rPr>
        <w:t xml:space="preserve"> and must specify</w:t>
      </w:r>
      <w:r w:rsidRPr="0095169C" w:rsidR="00CD35D9">
        <w:rPr>
          <w:color w:val="000000" w:themeColor="text1"/>
        </w:rPr>
        <w:t xml:space="preserve">: </w:t>
      </w:r>
      <w:r w:rsidRPr="0095169C">
        <w:rPr>
          <w:color w:val="000000" w:themeColor="text1"/>
        </w:rPr>
        <w:t xml:space="preserve">(1) </w:t>
      </w:r>
      <w:r w:rsidRPr="0095169C" w:rsidR="002738D6">
        <w:rPr>
          <w:color w:val="000000" w:themeColor="text1"/>
        </w:rPr>
        <w:t>T</w:t>
      </w:r>
      <w:r w:rsidRPr="0095169C">
        <w:rPr>
          <w:color w:val="000000" w:themeColor="text1"/>
        </w:rPr>
        <w:t xml:space="preserve">he identity of the product, (2) the identity of the applicant for patent term restoration, (3) the docket number of the </w:t>
      </w:r>
      <w:r w:rsidRPr="0095169C">
        <w:rPr>
          <w:i/>
          <w:color w:val="000000" w:themeColor="text1"/>
        </w:rPr>
        <w:t>Federal Register</w:t>
      </w:r>
      <w:r w:rsidRPr="0095169C">
        <w:rPr>
          <w:color w:val="000000" w:themeColor="text1"/>
        </w:rPr>
        <w:t xml:space="preserve"> notice announcing the regulatory review period determination, and (4) the basis for the request for revision including any </w:t>
      </w:r>
      <w:r w:rsidRPr="0095169C" w:rsidR="008050FE">
        <w:rPr>
          <w:color w:val="000000" w:themeColor="text1"/>
        </w:rPr>
        <w:t xml:space="preserve">supporting </w:t>
      </w:r>
      <w:r w:rsidRPr="0095169C">
        <w:rPr>
          <w:color w:val="000000" w:themeColor="text1"/>
        </w:rPr>
        <w:t>documentary evidence.</w:t>
      </w:r>
    </w:p>
    <w:p w:rsidRPr="002A0CA2" w:rsidR="0095169C" w:rsidRDefault="0095169C" w14:paraId="2EEA2E0B" w14:textId="68F51B9C">
      <w:pPr>
        <w:autoSpaceDE w:val="0"/>
        <w:autoSpaceDN w:val="0"/>
        <w:adjustRightInd w:val="0"/>
        <w:rPr>
          <w:color w:val="000000" w:themeColor="text1"/>
        </w:rPr>
      </w:pPr>
    </w:p>
    <w:p w:rsidRPr="002A0CA2" w:rsidR="004313BA" w:rsidRDefault="0008208A" w14:paraId="2D82FE87" w14:textId="77777777">
      <w:pPr>
        <w:autoSpaceDE w:val="0"/>
        <w:autoSpaceDN w:val="0"/>
        <w:adjustRightInd w:val="0"/>
        <w:rPr>
          <w:b/>
          <w:bCs/>
          <w:color w:val="000000" w:themeColor="text1"/>
          <w:u w:val="single"/>
        </w:rPr>
      </w:pPr>
      <w:r w:rsidRPr="002A0CA2">
        <w:rPr>
          <w:b/>
          <w:bCs/>
          <w:color w:val="000000" w:themeColor="text1"/>
          <w:u w:val="single"/>
        </w:rPr>
        <w:t>Due Diligence Petition and Certification Statement of True and Complete Copy</w:t>
      </w:r>
      <w:r w:rsidRPr="002A0CA2" w:rsidR="004313BA">
        <w:rPr>
          <w:b/>
          <w:bCs/>
          <w:color w:val="000000" w:themeColor="text1"/>
          <w:u w:val="single"/>
        </w:rPr>
        <w:t>,</w:t>
      </w:r>
    </w:p>
    <w:p w:rsidRPr="002A0CA2" w:rsidR="0008208A" w:rsidRDefault="002A040F" w14:paraId="5EE9A904" w14:textId="21FE62FB">
      <w:pPr>
        <w:autoSpaceDE w:val="0"/>
        <w:autoSpaceDN w:val="0"/>
        <w:adjustRightInd w:val="0"/>
        <w:rPr>
          <w:b/>
          <w:bCs/>
          <w:color w:val="000000" w:themeColor="text1"/>
          <w:u w:val="single"/>
        </w:rPr>
      </w:pPr>
      <w:r w:rsidRPr="002A0CA2">
        <w:rPr>
          <w:b/>
          <w:color w:val="000000" w:themeColor="text1"/>
          <w:u w:val="single"/>
        </w:rPr>
        <w:t>(9 CFR 124.30)</w:t>
      </w:r>
      <w:r w:rsidRPr="002A0CA2" w:rsidR="004313BA">
        <w:rPr>
          <w:b/>
          <w:color w:val="000000" w:themeColor="text1"/>
          <w:u w:val="single"/>
        </w:rPr>
        <w:t xml:space="preserve">, </w:t>
      </w:r>
      <w:r w:rsidRPr="002A0CA2" w:rsidR="00C37EB2">
        <w:rPr>
          <w:b/>
          <w:color w:val="000000" w:themeColor="text1"/>
          <w:u w:val="single"/>
        </w:rPr>
        <w:t xml:space="preserve">(Business) </w:t>
      </w:r>
      <w:r w:rsidRPr="002A0CA2" w:rsidR="000E574E">
        <w:rPr>
          <w:b/>
          <w:color w:val="000000" w:themeColor="text1"/>
          <w:u w:val="single"/>
        </w:rPr>
        <w:t>(</w:t>
      </w:r>
      <w:r w:rsidRPr="002A0CA2" w:rsidR="004313BA">
        <w:rPr>
          <w:b/>
          <w:color w:val="000000" w:themeColor="text1"/>
          <w:u w:val="single"/>
        </w:rPr>
        <w:t>Individual)</w:t>
      </w:r>
    </w:p>
    <w:p w:rsidRPr="002A0CA2" w:rsidR="0008208A" w:rsidRDefault="004313BA" w14:paraId="4505ED92" w14:textId="5624E1F2">
      <w:pPr>
        <w:autoSpaceDE w:val="0"/>
        <w:autoSpaceDN w:val="0"/>
        <w:adjustRightInd w:val="0"/>
        <w:rPr>
          <w:bCs/>
          <w:color w:val="000000" w:themeColor="text1"/>
        </w:rPr>
      </w:pPr>
      <w:r w:rsidRPr="002A0CA2">
        <w:rPr>
          <w:bCs/>
          <w:color w:val="000000" w:themeColor="text1"/>
        </w:rPr>
        <w:t xml:space="preserve">Not </w:t>
      </w:r>
      <w:r w:rsidRPr="002A0CA2" w:rsidR="0008208A">
        <w:rPr>
          <w:bCs/>
          <w:color w:val="000000" w:themeColor="text1"/>
        </w:rPr>
        <w:t>later than 180 days after the publication of a regulatory review period determination</w:t>
      </w:r>
      <w:r w:rsidRPr="002A0CA2" w:rsidR="005F45D7">
        <w:rPr>
          <w:bCs/>
          <w:color w:val="000000" w:themeColor="text1"/>
        </w:rPr>
        <w:t xml:space="preserve"> notice</w:t>
      </w:r>
      <w:r w:rsidRPr="002A0CA2" w:rsidR="0008208A">
        <w:rPr>
          <w:bCs/>
          <w:color w:val="000000" w:themeColor="text1"/>
        </w:rPr>
        <w:t xml:space="preserve">, </w:t>
      </w:r>
      <w:r w:rsidRPr="002A0CA2">
        <w:rPr>
          <w:bCs/>
          <w:color w:val="000000" w:themeColor="text1"/>
        </w:rPr>
        <w:t xml:space="preserve">any interested person may file a petition with APHIS </w:t>
      </w:r>
      <w:r w:rsidRPr="002A0CA2" w:rsidR="0008208A">
        <w:rPr>
          <w:bCs/>
          <w:color w:val="000000" w:themeColor="text1"/>
        </w:rPr>
        <w:t xml:space="preserve">alleging that a license applicant did not act with due diligence in seeking APHIS approval of the product during the regulatory review period. The petition must allege that the applicant failed to act with due diligence sometime during the regulatory review period and must set forth sufficient facts to merit an </w:t>
      </w:r>
      <w:r w:rsidRPr="002A0CA2" w:rsidR="008050FE">
        <w:rPr>
          <w:bCs/>
          <w:color w:val="000000" w:themeColor="text1"/>
        </w:rPr>
        <w:t xml:space="preserve">APHIS </w:t>
      </w:r>
      <w:r w:rsidRPr="002A0CA2" w:rsidR="0008208A">
        <w:rPr>
          <w:bCs/>
          <w:color w:val="000000" w:themeColor="text1"/>
        </w:rPr>
        <w:t>investigation. The petition must certif</w:t>
      </w:r>
      <w:r w:rsidRPr="002A0CA2" w:rsidR="008050FE">
        <w:rPr>
          <w:bCs/>
          <w:color w:val="000000" w:themeColor="text1"/>
        </w:rPr>
        <w:t xml:space="preserve">y </w:t>
      </w:r>
      <w:r w:rsidRPr="002A0CA2" w:rsidR="0008208A">
        <w:rPr>
          <w:bCs/>
          <w:color w:val="000000" w:themeColor="text1"/>
        </w:rPr>
        <w:t xml:space="preserve">that the petitioner has served a true and complete copy of the petition on interested parties by certified or registered mail or by personal </w:t>
      </w:r>
      <w:r w:rsidRPr="002A0CA2" w:rsidR="005F45D7">
        <w:rPr>
          <w:bCs/>
          <w:color w:val="000000" w:themeColor="text1"/>
        </w:rPr>
        <w:t>service</w:t>
      </w:r>
      <w:r w:rsidRPr="002A0CA2" w:rsidR="0008208A">
        <w:rPr>
          <w:bCs/>
          <w:color w:val="000000" w:themeColor="text1"/>
        </w:rPr>
        <w:t>.</w:t>
      </w:r>
    </w:p>
    <w:p w:rsidRPr="00050ADF" w:rsidR="0008208A" w:rsidRDefault="0008208A" w14:paraId="0F77E231" w14:textId="77777777">
      <w:pPr>
        <w:autoSpaceDE w:val="0"/>
        <w:autoSpaceDN w:val="0"/>
        <w:adjustRightInd w:val="0"/>
        <w:rPr>
          <w:color w:val="000000" w:themeColor="text1"/>
        </w:rPr>
      </w:pPr>
    </w:p>
    <w:p w:rsidRPr="002A0CA2" w:rsidR="0008208A" w:rsidRDefault="0008208A" w14:paraId="052D37B6" w14:textId="04D39399">
      <w:pPr>
        <w:autoSpaceDE w:val="0"/>
        <w:autoSpaceDN w:val="0"/>
        <w:adjustRightInd w:val="0"/>
        <w:rPr>
          <w:b/>
          <w:bCs/>
          <w:color w:val="000000" w:themeColor="text1"/>
          <w:u w:val="single"/>
        </w:rPr>
      </w:pPr>
      <w:r w:rsidRPr="002A0CA2">
        <w:rPr>
          <w:b/>
          <w:bCs/>
          <w:color w:val="000000" w:themeColor="text1"/>
          <w:u w:val="single"/>
        </w:rPr>
        <w:t>Applicant</w:t>
      </w:r>
      <w:r w:rsidRPr="002A0CA2" w:rsidR="00CA459E">
        <w:rPr>
          <w:b/>
          <w:bCs/>
          <w:color w:val="000000" w:themeColor="text1"/>
          <w:u w:val="single"/>
        </w:rPr>
        <w:t>’</w:t>
      </w:r>
      <w:r w:rsidRPr="002A0CA2">
        <w:rPr>
          <w:b/>
          <w:bCs/>
          <w:color w:val="000000" w:themeColor="text1"/>
          <w:u w:val="single"/>
        </w:rPr>
        <w:t>s Response to Petition</w:t>
      </w:r>
      <w:r w:rsidRPr="002A0CA2" w:rsidR="004313BA">
        <w:rPr>
          <w:b/>
          <w:bCs/>
          <w:color w:val="000000" w:themeColor="text1"/>
          <w:u w:val="single"/>
        </w:rPr>
        <w:t>,</w:t>
      </w:r>
      <w:r w:rsidRPr="002A0CA2" w:rsidR="005F45D7">
        <w:rPr>
          <w:b/>
          <w:bCs/>
          <w:color w:val="000000" w:themeColor="text1"/>
          <w:u w:val="single"/>
        </w:rPr>
        <w:t xml:space="preserve"> </w:t>
      </w:r>
      <w:r w:rsidRPr="002A0CA2" w:rsidR="002A040F">
        <w:rPr>
          <w:b/>
          <w:color w:val="000000" w:themeColor="text1"/>
          <w:u w:val="single"/>
        </w:rPr>
        <w:t>(9 CFR 124.31)</w:t>
      </w:r>
      <w:r w:rsidRPr="002A0CA2" w:rsidR="004313BA">
        <w:rPr>
          <w:b/>
          <w:color w:val="000000" w:themeColor="text1"/>
          <w:u w:val="single"/>
        </w:rPr>
        <w:t>,</w:t>
      </w:r>
      <w:r w:rsidRPr="002A0CA2" w:rsidR="000E574E">
        <w:rPr>
          <w:b/>
          <w:color w:val="000000" w:themeColor="text1"/>
          <w:u w:val="single"/>
        </w:rPr>
        <w:t xml:space="preserve"> </w:t>
      </w:r>
      <w:r w:rsidRPr="002A0CA2" w:rsidR="00847B5D">
        <w:rPr>
          <w:b/>
          <w:color w:val="000000" w:themeColor="text1"/>
          <w:u w:val="single"/>
        </w:rPr>
        <w:t>(Business)</w:t>
      </w:r>
    </w:p>
    <w:p w:rsidRPr="002A0CA2" w:rsidR="0008208A" w:rsidRDefault="004313BA" w14:paraId="32BF06A7" w14:textId="6B09BB05">
      <w:pPr>
        <w:autoSpaceDE w:val="0"/>
        <w:autoSpaceDN w:val="0"/>
        <w:adjustRightInd w:val="0"/>
        <w:rPr>
          <w:bCs/>
          <w:color w:val="000000" w:themeColor="text1"/>
        </w:rPr>
      </w:pPr>
      <w:r w:rsidRPr="002A0CA2">
        <w:rPr>
          <w:bCs/>
          <w:color w:val="000000" w:themeColor="text1"/>
        </w:rPr>
        <w:t>An a</w:t>
      </w:r>
      <w:r w:rsidRPr="002A0CA2" w:rsidR="0008208A">
        <w:rPr>
          <w:bCs/>
          <w:color w:val="000000" w:themeColor="text1"/>
        </w:rPr>
        <w:t xml:space="preserve">pplicant may file with APHIS a written response to </w:t>
      </w:r>
      <w:r w:rsidRPr="002A0CA2">
        <w:rPr>
          <w:bCs/>
          <w:color w:val="000000" w:themeColor="text1"/>
        </w:rPr>
        <w:t>a</w:t>
      </w:r>
      <w:r w:rsidRPr="002A0CA2" w:rsidR="0008208A">
        <w:rPr>
          <w:bCs/>
          <w:color w:val="000000" w:themeColor="text1"/>
        </w:rPr>
        <w:t xml:space="preserve"> petition no later than 20 days after </w:t>
      </w:r>
      <w:r w:rsidRPr="002A0CA2">
        <w:rPr>
          <w:bCs/>
          <w:color w:val="000000" w:themeColor="text1"/>
        </w:rPr>
        <w:t xml:space="preserve">receipt </w:t>
      </w:r>
      <w:r w:rsidRPr="002A0CA2" w:rsidR="0008208A">
        <w:rPr>
          <w:bCs/>
          <w:color w:val="000000" w:themeColor="text1"/>
        </w:rPr>
        <w:t xml:space="preserve">of a copy of the petition. The </w:t>
      </w:r>
      <w:r w:rsidRPr="002A0CA2" w:rsidR="00C37EB2">
        <w:rPr>
          <w:bCs/>
          <w:color w:val="000000" w:themeColor="text1"/>
        </w:rPr>
        <w:t>r</w:t>
      </w:r>
      <w:r w:rsidRPr="002A0CA2" w:rsidR="0008208A">
        <w:rPr>
          <w:bCs/>
          <w:color w:val="000000" w:themeColor="text1"/>
        </w:rPr>
        <w:t>esponse may present additional facts and circumstances address</w:t>
      </w:r>
      <w:r w:rsidRPr="002A0CA2" w:rsidR="00C37EB2">
        <w:rPr>
          <w:bCs/>
          <w:color w:val="000000" w:themeColor="text1"/>
        </w:rPr>
        <w:t>ing</w:t>
      </w:r>
      <w:r w:rsidRPr="002A0CA2" w:rsidR="0008208A">
        <w:rPr>
          <w:bCs/>
          <w:color w:val="000000" w:themeColor="text1"/>
        </w:rPr>
        <w:t xml:space="preserve"> the assertions in the </w:t>
      </w:r>
      <w:r w:rsidRPr="002A0CA2" w:rsidR="002738D6">
        <w:rPr>
          <w:bCs/>
          <w:color w:val="000000" w:themeColor="text1"/>
        </w:rPr>
        <w:t>petition but</w:t>
      </w:r>
      <w:r w:rsidRPr="002A0CA2" w:rsidR="0008208A">
        <w:rPr>
          <w:bCs/>
          <w:color w:val="000000" w:themeColor="text1"/>
        </w:rPr>
        <w:t xml:space="preserve"> must be limited to the issue of whether the applicant acted with due </w:t>
      </w:r>
      <w:r w:rsidRPr="002A0CA2" w:rsidR="0008208A">
        <w:rPr>
          <w:bCs/>
          <w:color w:val="000000" w:themeColor="text1"/>
        </w:rPr>
        <w:lastRenderedPageBreak/>
        <w:t xml:space="preserve">diligence during the regulatory review period. The applicant’s response may include documents that were not in the original patent term extension application. </w:t>
      </w:r>
    </w:p>
    <w:p w:rsidRPr="002A0CA2" w:rsidR="00B04DE5" w:rsidRDefault="00B04DE5" w14:paraId="09F383A3" w14:textId="77777777">
      <w:pPr>
        <w:autoSpaceDE w:val="0"/>
        <w:autoSpaceDN w:val="0"/>
        <w:adjustRightInd w:val="0"/>
        <w:rPr>
          <w:bCs/>
          <w:color w:val="000000" w:themeColor="text1"/>
        </w:rPr>
      </w:pPr>
    </w:p>
    <w:p w:rsidRPr="002A0CA2" w:rsidR="0008208A" w:rsidRDefault="0008208A" w14:paraId="6E087FDD" w14:textId="64A35264">
      <w:pPr>
        <w:autoSpaceDE w:val="0"/>
        <w:autoSpaceDN w:val="0"/>
        <w:adjustRightInd w:val="0"/>
        <w:rPr>
          <w:b/>
          <w:bCs/>
          <w:color w:val="000000" w:themeColor="text1"/>
          <w:u w:val="single"/>
        </w:rPr>
      </w:pPr>
      <w:r w:rsidRPr="002A0CA2">
        <w:rPr>
          <w:b/>
          <w:bCs/>
          <w:color w:val="000000" w:themeColor="text1"/>
          <w:u w:val="single"/>
        </w:rPr>
        <w:t>Request for Due Diligence Hearing</w:t>
      </w:r>
      <w:r w:rsidRPr="002A0CA2" w:rsidR="00C37EB2">
        <w:rPr>
          <w:b/>
          <w:bCs/>
          <w:color w:val="000000" w:themeColor="text1"/>
          <w:u w:val="single"/>
        </w:rPr>
        <w:t>,</w:t>
      </w:r>
      <w:r w:rsidRPr="002A0CA2" w:rsidR="005F45D7">
        <w:rPr>
          <w:b/>
          <w:bCs/>
          <w:color w:val="000000" w:themeColor="text1"/>
          <w:u w:val="single"/>
        </w:rPr>
        <w:t xml:space="preserve"> </w:t>
      </w:r>
      <w:r w:rsidRPr="002A0CA2" w:rsidR="002A040F">
        <w:rPr>
          <w:b/>
          <w:color w:val="000000" w:themeColor="text1"/>
          <w:u w:val="single"/>
        </w:rPr>
        <w:t>(9 CFR 124.40)</w:t>
      </w:r>
      <w:r w:rsidRPr="002A0CA2" w:rsidR="00C37EB2">
        <w:rPr>
          <w:b/>
          <w:color w:val="000000" w:themeColor="text1"/>
          <w:u w:val="single"/>
        </w:rPr>
        <w:t>,</w:t>
      </w:r>
      <w:r w:rsidRPr="002A0CA2" w:rsidR="000E574E">
        <w:rPr>
          <w:b/>
          <w:color w:val="000000" w:themeColor="text1"/>
          <w:u w:val="single"/>
        </w:rPr>
        <w:t xml:space="preserve"> </w:t>
      </w:r>
      <w:r w:rsidRPr="002A0CA2" w:rsidR="00C37EB2">
        <w:rPr>
          <w:b/>
          <w:color w:val="000000" w:themeColor="text1"/>
          <w:u w:val="single"/>
        </w:rPr>
        <w:t xml:space="preserve">(Business) </w:t>
      </w:r>
      <w:r w:rsidRPr="002A0CA2" w:rsidR="000E574E">
        <w:rPr>
          <w:b/>
          <w:color w:val="000000" w:themeColor="text1"/>
          <w:u w:val="single"/>
        </w:rPr>
        <w:t>(</w:t>
      </w:r>
      <w:r w:rsidRPr="002A0CA2" w:rsidR="00C37EB2">
        <w:rPr>
          <w:b/>
          <w:color w:val="000000" w:themeColor="text1"/>
          <w:u w:val="single"/>
        </w:rPr>
        <w:t>I</w:t>
      </w:r>
      <w:r w:rsidRPr="002A0CA2" w:rsidR="008F2533">
        <w:rPr>
          <w:b/>
          <w:color w:val="000000" w:themeColor="text1"/>
          <w:u w:val="single"/>
        </w:rPr>
        <w:t>ndividual</w:t>
      </w:r>
      <w:r w:rsidRPr="002A0CA2" w:rsidR="00C37EB2">
        <w:rPr>
          <w:b/>
          <w:color w:val="000000" w:themeColor="text1"/>
          <w:u w:val="single"/>
        </w:rPr>
        <w:t>)</w:t>
      </w:r>
    </w:p>
    <w:p w:rsidRPr="002A0CA2" w:rsidR="0008208A" w:rsidRDefault="00C37EB2" w14:paraId="571E436F" w14:textId="76EB2015">
      <w:pPr>
        <w:autoSpaceDE w:val="0"/>
        <w:autoSpaceDN w:val="0"/>
        <w:adjustRightInd w:val="0"/>
        <w:rPr>
          <w:bCs/>
          <w:color w:val="000000" w:themeColor="text1"/>
        </w:rPr>
      </w:pPr>
      <w:r w:rsidRPr="002A0CA2">
        <w:rPr>
          <w:bCs/>
          <w:color w:val="000000" w:themeColor="text1"/>
        </w:rPr>
        <w:t xml:space="preserve">Within 60 days of publication </w:t>
      </w:r>
      <w:r w:rsidRPr="002A0CA2" w:rsidR="002738D6">
        <w:rPr>
          <w:bCs/>
          <w:color w:val="000000" w:themeColor="text1"/>
        </w:rPr>
        <w:t xml:space="preserve">of the </w:t>
      </w:r>
      <w:r w:rsidRPr="002A0CA2">
        <w:rPr>
          <w:bCs/>
          <w:color w:val="000000" w:themeColor="text1"/>
        </w:rPr>
        <w:t>beginning date of a due diligence determination notice, a</w:t>
      </w:r>
      <w:r w:rsidRPr="002A0CA2" w:rsidR="0008208A">
        <w:rPr>
          <w:bCs/>
          <w:color w:val="000000" w:themeColor="text1"/>
        </w:rPr>
        <w:t>ny interested person may request that APHIS conduct an informal hearing on the due diligence determination. The request for a hearing must be submitted to APHIS and contain</w:t>
      </w:r>
      <w:r w:rsidRPr="002A0CA2" w:rsidR="00396C89">
        <w:rPr>
          <w:bCs/>
          <w:color w:val="000000" w:themeColor="text1"/>
        </w:rPr>
        <w:t xml:space="preserve">: </w:t>
      </w:r>
      <w:r w:rsidRPr="002A0CA2" w:rsidR="0008208A">
        <w:rPr>
          <w:bCs/>
          <w:color w:val="000000" w:themeColor="text1"/>
        </w:rPr>
        <w:t xml:space="preserve">(1) </w:t>
      </w:r>
      <w:r w:rsidRPr="002A0CA2" w:rsidR="002738D6">
        <w:rPr>
          <w:bCs/>
          <w:color w:val="000000" w:themeColor="text1"/>
        </w:rPr>
        <w:t>T</w:t>
      </w:r>
      <w:r w:rsidRPr="002A0CA2" w:rsidR="0008208A">
        <w:rPr>
          <w:bCs/>
          <w:color w:val="000000" w:themeColor="text1"/>
        </w:rPr>
        <w:t>he docket number of the Federal Register notice of APHIS’ regulatory review period determination</w:t>
      </w:r>
      <w:r w:rsidRPr="002A0CA2" w:rsidR="0090416C">
        <w:rPr>
          <w:bCs/>
          <w:color w:val="000000" w:themeColor="text1"/>
        </w:rPr>
        <w:t>;</w:t>
      </w:r>
      <w:r w:rsidRPr="002A0CA2" w:rsidR="0008208A">
        <w:rPr>
          <w:bCs/>
          <w:color w:val="000000" w:themeColor="text1"/>
        </w:rPr>
        <w:t xml:space="preserve"> (2) a full statement of the facts on which the </w:t>
      </w:r>
      <w:r w:rsidRPr="002A0CA2" w:rsidR="008050FE">
        <w:rPr>
          <w:bCs/>
          <w:color w:val="000000" w:themeColor="text1"/>
        </w:rPr>
        <w:t xml:space="preserve">hearing </w:t>
      </w:r>
      <w:r w:rsidRPr="002A0CA2" w:rsidR="0008208A">
        <w:rPr>
          <w:bCs/>
          <w:color w:val="000000" w:themeColor="text1"/>
        </w:rPr>
        <w:t>request is based</w:t>
      </w:r>
      <w:r w:rsidRPr="002A0CA2" w:rsidR="0090416C">
        <w:rPr>
          <w:bCs/>
          <w:color w:val="000000" w:themeColor="text1"/>
        </w:rPr>
        <w:t>;</w:t>
      </w:r>
      <w:r w:rsidRPr="002A0CA2" w:rsidR="0008208A">
        <w:rPr>
          <w:bCs/>
          <w:color w:val="000000" w:themeColor="text1"/>
        </w:rPr>
        <w:t xml:space="preserve"> (3) the name, address, and principal place of business of the person requesting the hearing</w:t>
      </w:r>
      <w:r w:rsidRPr="002A0CA2" w:rsidR="0090416C">
        <w:rPr>
          <w:bCs/>
          <w:color w:val="000000" w:themeColor="text1"/>
        </w:rPr>
        <w:t>;</w:t>
      </w:r>
      <w:r w:rsidRPr="002A0CA2" w:rsidR="0008208A">
        <w:rPr>
          <w:bCs/>
          <w:color w:val="000000" w:themeColor="text1"/>
        </w:rPr>
        <w:t xml:space="preserve"> and (4) a certification that the person requesting the hearing has served a true and complete copy of the request on the petitioner of the due diligence determination and the applicant for patent term extension by certified or registered mail or by personal service.</w:t>
      </w:r>
    </w:p>
    <w:p w:rsidRPr="00050ADF" w:rsidR="00767BC6" w:rsidP="00E521EA" w:rsidRDefault="00767BC6" w14:paraId="210FFC11" w14:textId="77777777">
      <w:pPr>
        <w:autoSpaceDE w:val="0"/>
        <w:autoSpaceDN w:val="0"/>
        <w:adjustRightInd w:val="0"/>
        <w:rPr>
          <w:color w:val="000000" w:themeColor="text1"/>
        </w:rPr>
      </w:pPr>
    </w:p>
    <w:p w:rsidRPr="002A0CA2" w:rsidR="00767BC6" w:rsidP="00767BC6" w:rsidRDefault="00767BC6" w14:paraId="799E9C41" w14:textId="4F073F6E">
      <w:pPr>
        <w:autoSpaceDE w:val="0"/>
        <w:autoSpaceDN w:val="0"/>
        <w:adjustRightInd w:val="0"/>
        <w:rPr>
          <w:b/>
          <w:bCs/>
          <w:color w:val="000000" w:themeColor="text1"/>
          <w:u w:val="single"/>
        </w:rPr>
      </w:pPr>
      <w:r w:rsidRPr="002A0CA2">
        <w:rPr>
          <w:b/>
          <w:bCs/>
          <w:color w:val="000000" w:themeColor="text1"/>
          <w:u w:val="single"/>
        </w:rPr>
        <w:t>Adverse Event Report (APHIS Form 2080); (9 CFR 116.9); (Businesses, Individuals, and States)</w:t>
      </w:r>
    </w:p>
    <w:p w:rsidRPr="002A0CA2" w:rsidR="00767BC6" w:rsidP="00767BC6" w:rsidRDefault="00767BC6" w14:paraId="54DD5C54" w14:textId="1C3D00B5">
      <w:pPr>
        <w:autoSpaceDE w:val="0"/>
        <w:autoSpaceDN w:val="0"/>
        <w:adjustRightInd w:val="0"/>
        <w:rPr>
          <w:bCs/>
          <w:color w:val="000000" w:themeColor="text1"/>
        </w:rPr>
      </w:pPr>
      <w:r w:rsidRPr="002A0CA2">
        <w:rPr>
          <w:bCs/>
          <w:color w:val="000000" w:themeColor="text1"/>
        </w:rPr>
        <w:t xml:space="preserve">As part of CVB’s pharmacovigilance program, manufacturers, veterinarians, and animal owners use APHIS Form 2080 to collect information required </w:t>
      </w:r>
      <w:r w:rsidRPr="002A0CA2" w:rsidR="0082013B">
        <w:rPr>
          <w:bCs/>
          <w:color w:val="000000" w:themeColor="text1"/>
        </w:rPr>
        <w:t>for</w:t>
      </w:r>
      <w:r w:rsidRPr="002A0CA2">
        <w:rPr>
          <w:bCs/>
          <w:color w:val="000000" w:themeColor="text1"/>
        </w:rPr>
        <w:t xml:space="preserve"> an adverse event report (AER) following the use of licensed veterinary biologics. This form captures information consistent with global Veterinary International Conference on Harmonization (VICH) standards. </w:t>
      </w:r>
      <w:r w:rsidRPr="002A0CA2" w:rsidR="00BD6E02">
        <w:rPr>
          <w:bCs/>
          <w:color w:val="000000" w:themeColor="text1"/>
        </w:rPr>
        <w:t xml:space="preserve">The form </w:t>
      </w:r>
      <w:r w:rsidRPr="002A0CA2">
        <w:rPr>
          <w:bCs/>
          <w:color w:val="000000" w:themeColor="text1"/>
        </w:rPr>
        <w:t>collect</w:t>
      </w:r>
      <w:r w:rsidRPr="002A0CA2" w:rsidR="00BD6E02">
        <w:rPr>
          <w:bCs/>
          <w:color w:val="000000" w:themeColor="text1"/>
        </w:rPr>
        <w:t>s</w:t>
      </w:r>
      <w:r w:rsidRPr="002A0CA2">
        <w:rPr>
          <w:bCs/>
          <w:color w:val="000000" w:themeColor="text1"/>
        </w:rPr>
        <w:t xml:space="preserve"> information on the purity, safety, potency, and effectiveness of licensed veterinary biologics distributed in the United States</w:t>
      </w:r>
      <w:r w:rsidRPr="002A0CA2" w:rsidR="00FA0D41">
        <w:rPr>
          <w:bCs/>
          <w:color w:val="000000" w:themeColor="text1"/>
        </w:rPr>
        <w:t>. Information collected</w:t>
      </w:r>
      <w:r w:rsidRPr="002A0CA2">
        <w:rPr>
          <w:bCs/>
          <w:color w:val="000000" w:themeColor="text1"/>
        </w:rPr>
        <w:t xml:space="preserve"> include</w:t>
      </w:r>
      <w:r w:rsidRPr="002A0CA2" w:rsidR="00FA0D41">
        <w:rPr>
          <w:bCs/>
          <w:color w:val="000000" w:themeColor="text1"/>
        </w:rPr>
        <w:t>s</w:t>
      </w:r>
      <w:r w:rsidRPr="002A0CA2">
        <w:rPr>
          <w:bCs/>
          <w:color w:val="000000" w:themeColor="text1"/>
        </w:rPr>
        <w:t xml:space="preserve"> submitter information, product information, detailed descriptions of events, suspected adverse event date(s), and reporter information.</w:t>
      </w:r>
    </w:p>
    <w:p w:rsidRPr="002A0CA2" w:rsidR="0095169C" w:rsidP="00767BC6" w:rsidRDefault="0095169C" w14:paraId="6B50F23F" w14:textId="1B6A5A91">
      <w:pPr>
        <w:autoSpaceDE w:val="0"/>
        <w:autoSpaceDN w:val="0"/>
        <w:adjustRightInd w:val="0"/>
        <w:rPr>
          <w:bCs/>
          <w:color w:val="000000" w:themeColor="text1"/>
        </w:rPr>
      </w:pPr>
    </w:p>
    <w:p w:rsidRPr="002A0CA2" w:rsidR="0095169C" w:rsidP="0095169C" w:rsidRDefault="0095169C" w14:paraId="7786C6AD" w14:textId="3BE9974C">
      <w:pPr>
        <w:autoSpaceDE w:val="0"/>
        <w:autoSpaceDN w:val="0"/>
        <w:adjustRightInd w:val="0"/>
        <w:rPr>
          <w:b/>
          <w:bCs/>
          <w:color w:val="000000" w:themeColor="text1"/>
          <w:u w:val="single"/>
        </w:rPr>
      </w:pPr>
      <w:r w:rsidRPr="002A0CA2">
        <w:rPr>
          <w:b/>
          <w:bCs/>
          <w:color w:val="000000" w:themeColor="text1"/>
          <w:u w:val="single"/>
        </w:rPr>
        <w:t>Adverse Event Report Follow-Up (APHIS Form</w:t>
      </w:r>
      <w:r w:rsidRPr="002A0CA2" w:rsidR="002A0CA2">
        <w:rPr>
          <w:b/>
          <w:bCs/>
          <w:color w:val="000000" w:themeColor="text1"/>
          <w:u w:val="single"/>
        </w:rPr>
        <w:t xml:space="preserve"> </w:t>
      </w:r>
      <w:r w:rsidRPr="002A0CA2">
        <w:rPr>
          <w:b/>
          <w:bCs/>
          <w:color w:val="000000" w:themeColor="text1"/>
          <w:u w:val="single"/>
        </w:rPr>
        <w:t>2081)</w:t>
      </w:r>
    </w:p>
    <w:p w:rsidRPr="002A0CA2" w:rsidR="002A0CA2" w:rsidP="0095169C" w:rsidRDefault="002A0CA2" w14:paraId="0B5E00A0" w14:textId="103B7DA4">
      <w:pPr>
        <w:autoSpaceDE w:val="0"/>
        <w:autoSpaceDN w:val="0"/>
        <w:adjustRightInd w:val="0"/>
        <w:rPr>
          <w:color w:val="000000" w:themeColor="text1"/>
        </w:rPr>
      </w:pPr>
      <w:r w:rsidRPr="002A0CA2">
        <w:rPr>
          <w:color w:val="000000" w:themeColor="text1"/>
        </w:rPr>
        <w:t>This activity is discontinued</w:t>
      </w:r>
      <w:r>
        <w:rPr>
          <w:color w:val="000000" w:themeColor="text1"/>
        </w:rPr>
        <w:t xml:space="preserve"> because it is no longer needed</w:t>
      </w:r>
      <w:r w:rsidRPr="002A0CA2">
        <w:rPr>
          <w:color w:val="000000" w:themeColor="text1"/>
        </w:rPr>
        <w:t>.</w:t>
      </w:r>
    </w:p>
    <w:p w:rsidRPr="002A0CA2" w:rsidR="0095169C" w:rsidP="00767BC6" w:rsidRDefault="0095169C" w14:paraId="5A2133EE" w14:textId="77777777">
      <w:pPr>
        <w:autoSpaceDE w:val="0"/>
        <w:autoSpaceDN w:val="0"/>
        <w:adjustRightInd w:val="0"/>
        <w:rPr>
          <w:color w:val="000000" w:themeColor="text1"/>
        </w:rPr>
      </w:pPr>
    </w:p>
    <w:p w:rsidRPr="002A0CA2" w:rsidR="00767BC6" w:rsidP="00E521EA" w:rsidRDefault="00767BC6" w14:paraId="2FF29FAA" w14:textId="77777777">
      <w:pPr>
        <w:autoSpaceDE w:val="0"/>
        <w:autoSpaceDN w:val="0"/>
        <w:adjustRightInd w:val="0"/>
        <w:rPr>
          <w:color w:val="000000" w:themeColor="text1"/>
        </w:rPr>
      </w:pPr>
    </w:p>
    <w:p w:rsidRPr="002A0CA2" w:rsidR="0008208A" w:rsidP="00E521EA" w:rsidRDefault="0008208A" w14:paraId="5E3FBC8B" w14:textId="77777777">
      <w:pPr>
        <w:autoSpaceDE w:val="0"/>
        <w:autoSpaceDN w:val="0"/>
        <w:adjustRightInd w:val="0"/>
        <w:rPr>
          <w:b/>
          <w:bCs/>
          <w:color w:val="000000" w:themeColor="text1"/>
        </w:rPr>
      </w:pPr>
      <w:r w:rsidRPr="002A0CA2">
        <w:rPr>
          <w:b/>
          <w:bCs/>
          <w:color w:val="000000" w:themeColor="text1"/>
        </w:rPr>
        <w:t>RECORDKEEPING</w:t>
      </w:r>
    </w:p>
    <w:p w:rsidRPr="00050ADF" w:rsidR="00767BC6" w:rsidRDefault="00767BC6" w14:paraId="7D45E32D" w14:textId="77777777">
      <w:pPr>
        <w:autoSpaceDE w:val="0"/>
        <w:autoSpaceDN w:val="0"/>
        <w:adjustRightInd w:val="0"/>
        <w:rPr>
          <w:color w:val="000000" w:themeColor="text1"/>
          <w:u w:val="single"/>
        </w:rPr>
      </w:pPr>
    </w:p>
    <w:p w:rsidRPr="002A0CA2" w:rsidR="0008208A" w:rsidRDefault="0008208A" w14:paraId="47DE0877" w14:textId="212625B2">
      <w:pPr>
        <w:autoSpaceDE w:val="0"/>
        <w:autoSpaceDN w:val="0"/>
        <w:adjustRightInd w:val="0"/>
        <w:rPr>
          <w:b/>
          <w:bCs/>
          <w:color w:val="000000" w:themeColor="text1"/>
          <w:u w:val="single"/>
        </w:rPr>
      </w:pPr>
      <w:r w:rsidRPr="002A0CA2">
        <w:rPr>
          <w:b/>
          <w:bCs/>
          <w:color w:val="000000" w:themeColor="text1"/>
          <w:u w:val="single"/>
        </w:rPr>
        <w:t>Records of Disposition of Test Animals</w:t>
      </w:r>
      <w:r w:rsidRPr="002A0CA2" w:rsidR="00396C89">
        <w:rPr>
          <w:b/>
          <w:bCs/>
          <w:color w:val="000000" w:themeColor="text1"/>
          <w:u w:val="single"/>
        </w:rPr>
        <w:t>,</w:t>
      </w:r>
      <w:r w:rsidRPr="002A0CA2" w:rsidR="002A040F">
        <w:rPr>
          <w:b/>
          <w:bCs/>
          <w:color w:val="000000" w:themeColor="text1"/>
          <w:u w:val="single"/>
        </w:rPr>
        <w:t xml:space="preserve"> </w:t>
      </w:r>
      <w:r w:rsidRPr="002A0CA2" w:rsidR="002A040F">
        <w:rPr>
          <w:b/>
          <w:color w:val="000000" w:themeColor="text1"/>
          <w:u w:val="single"/>
        </w:rPr>
        <w:t>(9 CFR 103.2)</w:t>
      </w:r>
      <w:r w:rsidRPr="002A0CA2" w:rsidR="00396C89">
        <w:rPr>
          <w:b/>
          <w:color w:val="000000" w:themeColor="text1"/>
          <w:u w:val="single"/>
        </w:rPr>
        <w:t>,</w:t>
      </w:r>
      <w:r w:rsidRPr="002A0CA2" w:rsidR="00115156">
        <w:rPr>
          <w:b/>
          <w:color w:val="000000" w:themeColor="text1"/>
          <w:u w:val="single"/>
        </w:rPr>
        <w:t xml:space="preserve"> </w:t>
      </w:r>
      <w:r w:rsidRPr="002A0CA2" w:rsidR="00847B5D">
        <w:rPr>
          <w:b/>
          <w:color w:val="000000" w:themeColor="text1"/>
          <w:u w:val="single"/>
        </w:rPr>
        <w:t>(Business)</w:t>
      </w:r>
    </w:p>
    <w:p w:rsidRPr="002A0CA2" w:rsidR="0008208A" w:rsidRDefault="0008208A" w14:paraId="2BF7A1B6" w14:textId="4F80EA9D">
      <w:pPr>
        <w:autoSpaceDE w:val="0"/>
        <w:autoSpaceDN w:val="0"/>
        <w:adjustRightInd w:val="0"/>
        <w:rPr>
          <w:bCs/>
          <w:color w:val="000000" w:themeColor="text1"/>
        </w:rPr>
      </w:pPr>
      <w:r w:rsidRPr="002A0CA2">
        <w:rPr>
          <w:bCs/>
          <w:color w:val="000000" w:themeColor="text1"/>
        </w:rPr>
        <w:t xml:space="preserve">Research investigators or research sponsors must maintain adequate records </w:t>
      </w:r>
      <w:r w:rsidRPr="002A0CA2" w:rsidR="002D549C">
        <w:rPr>
          <w:bCs/>
          <w:color w:val="000000" w:themeColor="text1"/>
        </w:rPr>
        <w:t xml:space="preserve">on </w:t>
      </w:r>
      <w:r w:rsidRPr="002A0CA2">
        <w:rPr>
          <w:bCs/>
          <w:color w:val="000000" w:themeColor="text1"/>
        </w:rPr>
        <w:t>the disposition of each animal administered experimental biological products. These records must be maintained for a minimum of 2 years from the date that an experimental product was administered to the animal and must show the name and address of the owner</w:t>
      </w:r>
      <w:r w:rsidRPr="002A0CA2" w:rsidR="002D549C">
        <w:rPr>
          <w:bCs/>
          <w:color w:val="000000" w:themeColor="text1"/>
        </w:rPr>
        <w:t>;</w:t>
      </w:r>
      <w:r w:rsidRPr="002A0CA2">
        <w:rPr>
          <w:bCs/>
          <w:color w:val="000000" w:themeColor="text1"/>
        </w:rPr>
        <w:t xml:space="preserve"> the number, species, class, and location of the animals</w:t>
      </w:r>
      <w:r w:rsidRPr="002A0CA2" w:rsidR="002D549C">
        <w:rPr>
          <w:bCs/>
          <w:color w:val="000000" w:themeColor="text1"/>
        </w:rPr>
        <w:t>;</w:t>
      </w:r>
      <w:r w:rsidRPr="002A0CA2">
        <w:rPr>
          <w:bCs/>
          <w:color w:val="000000" w:themeColor="text1"/>
        </w:rPr>
        <w:t xml:space="preserve"> and, if sold, the name and address of the consignee, buyer, commission, firm, or abattoir.</w:t>
      </w:r>
    </w:p>
    <w:p w:rsidRPr="00050ADF" w:rsidR="0008208A" w:rsidRDefault="0008208A" w14:paraId="56038CD8" w14:textId="77777777">
      <w:pPr>
        <w:autoSpaceDE w:val="0"/>
        <w:autoSpaceDN w:val="0"/>
        <w:adjustRightInd w:val="0"/>
        <w:rPr>
          <w:color w:val="000000" w:themeColor="text1"/>
        </w:rPr>
      </w:pPr>
    </w:p>
    <w:p w:rsidRPr="002A0CA2" w:rsidR="0008208A" w:rsidRDefault="0008208A" w14:paraId="613F307B" w14:textId="0FC0F8F8">
      <w:pPr>
        <w:autoSpaceDE w:val="0"/>
        <w:autoSpaceDN w:val="0"/>
        <w:adjustRightInd w:val="0"/>
        <w:rPr>
          <w:b/>
          <w:bCs/>
          <w:color w:val="000000" w:themeColor="text1"/>
          <w:u w:val="single"/>
        </w:rPr>
      </w:pPr>
      <w:r w:rsidRPr="002A0CA2">
        <w:rPr>
          <w:b/>
          <w:bCs/>
          <w:color w:val="000000" w:themeColor="text1"/>
          <w:u w:val="single"/>
        </w:rPr>
        <w:t>Records of Exempt Biologics</w:t>
      </w:r>
      <w:r w:rsidRPr="002A0CA2" w:rsidR="00396C89">
        <w:rPr>
          <w:b/>
          <w:bCs/>
          <w:color w:val="000000" w:themeColor="text1"/>
          <w:u w:val="single"/>
        </w:rPr>
        <w:t>,</w:t>
      </w:r>
      <w:r w:rsidRPr="002A0CA2" w:rsidR="0060666E">
        <w:rPr>
          <w:b/>
          <w:bCs/>
          <w:color w:val="000000" w:themeColor="text1"/>
          <w:u w:val="single"/>
        </w:rPr>
        <w:t xml:space="preserve"> </w:t>
      </w:r>
      <w:r w:rsidRPr="002A0CA2" w:rsidR="002A040F">
        <w:rPr>
          <w:b/>
          <w:color w:val="000000" w:themeColor="text1"/>
          <w:u w:val="single"/>
        </w:rPr>
        <w:t>(9 CFR 107.1)</w:t>
      </w:r>
      <w:r w:rsidRPr="002A0CA2" w:rsidR="00396C89">
        <w:rPr>
          <w:b/>
          <w:color w:val="000000" w:themeColor="text1"/>
          <w:u w:val="single"/>
        </w:rPr>
        <w:t>,</w:t>
      </w:r>
      <w:r w:rsidRPr="002A0CA2" w:rsidR="00115156">
        <w:rPr>
          <w:b/>
          <w:color w:val="000000" w:themeColor="text1"/>
          <w:u w:val="single"/>
        </w:rPr>
        <w:t xml:space="preserve"> </w:t>
      </w:r>
      <w:r w:rsidRPr="002A0CA2" w:rsidR="00847B5D">
        <w:rPr>
          <w:b/>
          <w:color w:val="000000" w:themeColor="text1"/>
          <w:u w:val="single"/>
        </w:rPr>
        <w:t>(Business)</w:t>
      </w:r>
    </w:p>
    <w:p w:rsidRPr="002A0CA2" w:rsidR="0008208A" w:rsidP="00B2150F" w:rsidRDefault="0008208A" w14:paraId="5033BBBE" w14:textId="042F674C">
      <w:pPr>
        <w:autoSpaceDE w:val="0"/>
        <w:autoSpaceDN w:val="0"/>
        <w:adjustRightInd w:val="0"/>
        <w:rPr>
          <w:bCs/>
          <w:color w:val="000000" w:themeColor="text1"/>
        </w:rPr>
      </w:pPr>
      <w:r w:rsidRPr="002A0CA2">
        <w:rPr>
          <w:bCs/>
          <w:color w:val="000000" w:themeColor="text1"/>
        </w:rPr>
        <w:t>Veterinarians preparing products subject to APHIS exemption must maintain and make available for inspection by APHIS representatives or other Federal employees</w:t>
      </w:r>
      <w:r w:rsidRPr="002A0CA2" w:rsidR="002D549C">
        <w:rPr>
          <w:bCs/>
          <w:color w:val="000000" w:themeColor="text1"/>
        </w:rPr>
        <w:t xml:space="preserve"> </w:t>
      </w:r>
      <w:r w:rsidRPr="002A0CA2">
        <w:rPr>
          <w:bCs/>
          <w:color w:val="000000" w:themeColor="text1"/>
        </w:rPr>
        <w:t>any records necessary to establish that a valid veterinarian-client-patient relationship exists and that there is a valid basis for the exemption. These records must be kept for 2 years from the expiration date of a product.</w:t>
      </w:r>
    </w:p>
    <w:p w:rsidRPr="002A0CA2" w:rsidR="007027E8" w:rsidP="00B2150F" w:rsidRDefault="007027E8" w14:paraId="49B94097" w14:textId="77777777">
      <w:pPr>
        <w:autoSpaceDE w:val="0"/>
        <w:autoSpaceDN w:val="0"/>
        <w:adjustRightInd w:val="0"/>
        <w:rPr>
          <w:bCs/>
          <w:color w:val="000000" w:themeColor="text1"/>
        </w:rPr>
      </w:pPr>
    </w:p>
    <w:p w:rsidRPr="002A0CA2" w:rsidR="0008208A" w:rsidRDefault="0008208A" w14:paraId="4D792562" w14:textId="7E4A3C42">
      <w:pPr>
        <w:autoSpaceDE w:val="0"/>
        <w:autoSpaceDN w:val="0"/>
        <w:adjustRightInd w:val="0"/>
        <w:rPr>
          <w:b/>
          <w:bCs/>
          <w:color w:val="000000" w:themeColor="text1"/>
          <w:u w:val="single"/>
        </w:rPr>
      </w:pPr>
      <w:r w:rsidRPr="002A0CA2">
        <w:rPr>
          <w:b/>
          <w:bCs/>
          <w:color w:val="000000" w:themeColor="text1"/>
          <w:u w:val="single"/>
        </w:rPr>
        <w:t>Sterilization and Pasteurization Records</w:t>
      </w:r>
      <w:r w:rsidRPr="002A0CA2" w:rsidR="00396C89">
        <w:rPr>
          <w:b/>
          <w:bCs/>
          <w:color w:val="000000" w:themeColor="text1"/>
          <w:u w:val="single"/>
        </w:rPr>
        <w:t xml:space="preserve">, </w:t>
      </w:r>
      <w:r w:rsidRPr="002A0CA2" w:rsidR="0032691D">
        <w:rPr>
          <w:b/>
          <w:bCs/>
          <w:color w:val="000000" w:themeColor="text1"/>
          <w:u w:val="single"/>
        </w:rPr>
        <w:t>(9 CFR 109.2)</w:t>
      </w:r>
      <w:r w:rsidRPr="002A0CA2" w:rsidR="00396C89">
        <w:rPr>
          <w:b/>
          <w:bCs/>
          <w:color w:val="000000" w:themeColor="text1"/>
          <w:u w:val="single"/>
        </w:rPr>
        <w:t>,</w:t>
      </w:r>
      <w:r w:rsidRPr="002A0CA2" w:rsidR="00B4565B">
        <w:rPr>
          <w:b/>
          <w:bCs/>
          <w:color w:val="000000" w:themeColor="text1"/>
          <w:u w:val="single"/>
        </w:rPr>
        <w:t xml:space="preserve"> </w:t>
      </w:r>
      <w:r w:rsidRPr="002A0CA2" w:rsidR="00847B5D">
        <w:rPr>
          <w:b/>
          <w:bCs/>
          <w:color w:val="000000" w:themeColor="text1"/>
          <w:u w:val="single"/>
        </w:rPr>
        <w:t>(Business)</w:t>
      </w:r>
    </w:p>
    <w:p w:rsidRPr="002A0CA2" w:rsidR="0008208A" w:rsidRDefault="0008208A" w14:paraId="3B9BFEF0" w14:textId="285D8D94">
      <w:pPr>
        <w:autoSpaceDE w:val="0"/>
        <w:autoSpaceDN w:val="0"/>
        <w:adjustRightInd w:val="0"/>
        <w:rPr>
          <w:bCs/>
          <w:color w:val="000000" w:themeColor="text1"/>
        </w:rPr>
      </w:pPr>
      <w:r w:rsidRPr="002A0CA2">
        <w:rPr>
          <w:bCs/>
          <w:color w:val="000000" w:themeColor="text1"/>
        </w:rPr>
        <w:t xml:space="preserve">Sterilizers or pasteurization equipment used </w:t>
      </w:r>
      <w:r w:rsidRPr="002A0CA2" w:rsidR="002D549C">
        <w:rPr>
          <w:bCs/>
          <w:color w:val="000000" w:themeColor="text1"/>
        </w:rPr>
        <w:t xml:space="preserve">for </w:t>
      </w:r>
      <w:r w:rsidRPr="002A0CA2">
        <w:rPr>
          <w:bCs/>
          <w:color w:val="000000" w:themeColor="text1"/>
        </w:rPr>
        <w:t xml:space="preserve">processing biological products, ingredients, or equipment at licensed establishments must be equipped with automatic temperature recording </w:t>
      </w:r>
      <w:r w:rsidRPr="002A0CA2">
        <w:rPr>
          <w:bCs/>
          <w:color w:val="000000" w:themeColor="text1"/>
        </w:rPr>
        <w:lastRenderedPageBreak/>
        <w:t xml:space="preserve">gauges or an equivalent accurate and reliable system. </w:t>
      </w:r>
      <w:r w:rsidRPr="002A0CA2" w:rsidR="002D549C">
        <w:rPr>
          <w:bCs/>
          <w:color w:val="000000" w:themeColor="text1"/>
        </w:rPr>
        <w:t xml:space="preserve">The business must make available </w:t>
      </w:r>
      <w:r w:rsidRPr="002A0CA2" w:rsidR="00396C89">
        <w:rPr>
          <w:bCs/>
          <w:color w:val="000000" w:themeColor="text1"/>
        </w:rPr>
        <w:t>to APHIS inspect</w:t>
      </w:r>
      <w:r w:rsidRPr="002A0CA2" w:rsidR="0006714E">
        <w:rPr>
          <w:bCs/>
          <w:color w:val="000000" w:themeColor="text1"/>
        </w:rPr>
        <w:t xml:space="preserve">ors at any time </w:t>
      </w:r>
      <w:r w:rsidRPr="002A0CA2" w:rsidR="002D549C">
        <w:rPr>
          <w:bCs/>
          <w:color w:val="000000" w:themeColor="text1"/>
        </w:rPr>
        <w:t>c</w:t>
      </w:r>
      <w:r w:rsidRPr="002A0CA2">
        <w:rPr>
          <w:bCs/>
          <w:color w:val="000000" w:themeColor="text1"/>
        </w:rPr>
        <w:t>harts and other temperature records made during production. These records must be identified with the ingredients, equipment, or biological product subjected to sterilization or pasteurization</w:t>
      </w:r>
      <w:r w:rsidRPr="002A0CA2" w:rsidR="0006714E">
        <w:rPr>
          <w:bCs/>
          <w:color w:val="000000" w:themeColor="text1"/>
        </w:rPr>
        <w:t xml:space="preserve">; and must </w:t>
      </w:r>
      <w:r w:rsidRPr="002A0CA2">
        <w:rPr>
          <w:bCs/>
          <w:color w:val="000000" w:themeColor="text1"/>
        </w:rPr>
        <w:t xml:space="preserve">be kept for 2 years from the expiration date of </w:t>
      </w:r>
      <w:r w:rsidRPr="002A0CA2" w:rsidR="00B04DE5">
        <w:rPr>
          <w:bCs/>
          <w:color w:val="000000" w:themeColor="text1"/>
        </w:rPr>
        <w:t xml:space="preserve">the </w:t>
      </w:r>
      <w:r w:rsidRPr="002A0CA2">
        <w:rPr>
          <w:bCs/>
          <w:color w:val="000000" w:themeColor="text1"/>
        </w:rPr>
        <w:t>product.</w:t>
      </w:r>
    </w:p>
    <w:p w:rsidRPr="002A0CA2" w:rsidR="002A0CA2" w:rsidRDefault="002A0CA2" w14:paraId="6C922139" w14:textId="77777777">
      <w:pPr>
        <w:autoSpaceDE w:val="0"/>
        <w:autoSpaceDN w:val="0"/>
        <w:adjustRightInd w:val="0"/>
        <w:rPr>
          <w:bCs/>
          <w:color w:val="000000" w:themeColor="text1"/>
        </w:rPr>
      </w:pPr>
    </w:p>
    <w:p w:rsidRPr="002A0CA2" w:rsidR="007027E8" w:rsidP="007027E8" w:rsidRDefault="007027E8" w14:paraId="0E760574" w14:textId="4B0F209F">
      <w:pPr>
        <w:autoSpaceDE w:val="0"/>
        <w:autoSpaceDN w:val="0"/>
        <w:adjustRightInd w:val="0"/>
        <w:rPr>
          <w:b/>
          <w:bCs/>
          <w:color w:val="000000" w:themeColor="text1"/>
          <w:u w:val="single"/>
        </w:rPr>
      </w:pPr>
      <w:r w:rsidRPr="002A0CA2">
        <w:rPr>
          <w:b/>
          <w:bCs/>
          <w:color w:val="000000" w:themeColor="text1"/>
          <w:u w:val="single"/>
        </w:rPr>
        <w:t>Records of All Tests</w:t>
      </w:r>
      <w:r w:rsidRPr="002A0CA2" w:rsidR="0006714E">
        <w:rPr>
          <w:b/>
          <w:bCs/>
          <w:color w:val="000000" w:themeColor="text1"/>
          <w:u w:val="single"/>
        </w:rPr>
        <w:t>,</w:t>
      </w:r>
      <w:r w:rsidRPr="002A0CA2">
        <w:rPr>
          <w:b/>
          <w:bCs/>
          <w:color w:val="000000" w:themeColor="text1"/>
          <w:u w:val="single"/>
        </w:rPr>
        <w:t xml:space="preserve"> (9 CFR 113.5</w:t>
      </w:r>
      <w:r w:rsidRPr="002A0CA2" w:rsidR="0006714E">
        <w:rPr>
          <w:b/>
          <w:bCs/>
          <w:color w:val="000000" w:themeColor="text1"/>
          <w:u w:val="single"/>
        </w:rPr>
        <w:t xml:space="preserve">, </w:t>
      </w:r>
      <w:r w:rsidRPr="002A0CA2">
        <w:rPr>
          <w:b/>
          <w:bCs/>
          <w:color w:val="000000" w:themeColor="text1"/>
          <w:u w:val="single"/>
        </w:rPr>
        <w:t>9 CFR 113.6)</w:t>
      </w:r>
      <w:r w:rsidRPr="002A0CA2" w:rsidR="0006714E">
        <w:rPr>
          <w:b/>
          <w:bCs/>
          <w:color w:val="000000" w:themeColor="text1"/>
          <w:u w:val="single"/>
        </w:rPr>
        <w:t>,</w:t>
      </w:r>
      <w:r w:rsidRPr="002A0CA2">
        <w:rPr>
          <w:b/>
          <w:bCs/>
          <w:color w:val="000000" w:themeColor="text1"/>
          <w:u w:val="single"/>
        </w:rPr>
        <w:t xml:space="preserve"> (Business)</w:t>
      </w:r>
    </w:p>
    <w:p w:rsidRPr="002A0CA2" w:rsidR="007027E8" w:rsidP="007027E8" w:rsidRDefault="007027E8" w14:paraId="60BBEF62" w14:textId="635C2871">
      <w:pPr>
        <w:autoSpaceDE w:val="0"/>
        <w:autoSpaceDN w:val="0"/>
        <w:adjustRightInd w:val="0"/>
        <w:rPr>
          <w:bCs/>
          <w:color w:val="000000" w:themeColor="text1"/>
        </w:rPr>
      </w:pPr>
      <w:r w:rsidRPr="002A0CA2">
        <w:rPr>
          <w:bCs/>
          <w:color w:val="000000" w:themeColor="text1"/>
        </w:rPr>
        <w:t xml:space="preserve">No biological product can be released before completing tests designed to establish that the product is pure, safe, potent, and efficacious. </w:t>
      </w:r>
      <w:r w:rsidRPr="002A0CA2" w:rsidR="0006714E">
        <w:rPr>
          <w:bCs/>
          <w:color w:val="000000" w:themeColor="text1"/>
        </w:rPr>
        <w:t>Manufacturers must maintain r</w:t>
      </w:r>
      <w:r w:rsidRPr="002A0CA2">
        <w:rPr>
          <w:bCs/>
          <w:color w:val="000000" w:themeColor="text1"/>
        </w:rPr>
        <w:t xml:space="preserve">ecords of all tests and </w:t>
      </w:r>
      <w:r w:rsidRPr="002A0CA2" w:rsidR="0006714E">
        <w:rPr>
          <w:bCs/>
          <w:color w:val="000000" w:themeColor="text1"/>
        </w:rPr>
        <w:t xml:space="preserve">submit </w:t>
      </w:r>
      <w:r w:rsidRPr="002A0CA2">
        <w:rPr>
          <w:bCs/>
          <w:color w:val="000000" w:themeColor="text1"/>
        </w:rPr>
        <w:t>test results to APHIS. Detailed records of all tests conducted on each serial and subserial must also be maintained by the licensee</w:t>
      </w:r>
      <w:r w:rsidRPr="002A0CA2" w:rsidR="0006714E">
        <w:rPr>
          <w:bCs/>
          <w:color w:val="000000" w:themeColor="text1"/>
        </w:rPr>
        <w:t>, with s</w:t>
      </w:r>
      <w:r w:rsidRPr="002A0CA2">
        <w:rPr>
          <w:bCs/>
          <w:color w:val="000000" w:themeColor="text1"/>
        </w:rPr>
        <w:t xml:space="preserve">ummaries of these tests submitted to APHIS before the release of the serial or subserial. These records must be kept for 2 years from the expiration date of </w:t>
      </w:r>
      <w:r w:rsidRPr="002A0CA2" w:rsidR="00B04DE5">
        <w:rPr>
          <w:bCs/>
          <w:color w:val="000000" w:themeColor="text1"/>
        </w:rPr>
        <w:t xml:space="preserve">the </w:t>
      </w:r>
      <w:r w:rsidRPr="002A0CA2">
        <w:rPr>
          <w:bCs/>
          <w:color w:val="000000" w:themeColor="text1"/>
        </w:rPr>
        <w:t>product.</w:t>
      </w:r>
    </w:p>
    <w:p w:rsidRPr="00050ADF" w:rsidR="007027E8" w:rsidP="007027E8" w:rsidRDefault="007027E8" w14:paraId="24DB5DF1" w14:textId="77777777">
      <w:pPr>
        <w:autoSpaceDE w:val="0"/>
        <w:autoSpaceDN w:val="0"/>
        <w:adjustRightInd w:val="0"/>
        <w:rPr>
          <w:color w:val="000000" w:themeColor="text1"/>
        </w:rPr>
      </w:pPr>
    </w:p>
    <w:p w:rsidRPr="002A0CA2" w:rsidR="0008208A" w:rsidRDefault="0008208A" w14:paraId="33016E0A" w14:textId="3C312930">
      <w:pPr>
        <w:autoSpaceDE w:val="0"/>
        <w:autoSpaceDN w:val="0"/>
        <w:adjustRightInd w:val="0"/>
        <w:rPr>
          <w:b/>
          <w:bCs/>
          <w:color w:val="000000" w:themeColor="text1"/>
          <w:u w:val="single"/>
        </w:rPr>
      </w:pPr>
      <w:r w:rsidRPr="002A0CA2">
        <w:rPr>
          <w:b/>
          <w:bCs/>
          <w:color w:val="000000" w:themeColor="text1"/>
          <w:u w:val="single"/>
        </w:rPr>
        <w:t>Records of Antiserum or Serum Pasteurized</w:t>
      </w:r>
      <w:r w:rsidRPr="002A0CA2" w:rsidR="00FC1007">
        <w:rPr>
          <w:b/>
          <w:bCs/>
          <w:color w:val="000000" w:themeColor="text1"/>
          <w:u w:val="single"/>
        </w:rPr>
        <w:t>,</w:t>
      </w:r>
      <w:r w:rsidRPr="002A0CA2" w:rsidR="00826A27">
        <w:rPr>
          <w:b/>
          <w:bCs/>
          <w:color w:val="000000" w:themeColor="text1"/>
          <w:u w:val="single"/>
        </w:rPr>
        <w:t xml:space="preserve"> (9</w:t>
      </w:r>
      <w:r w:rsidRPr="002A0CA2" w:rsidR="0060666E">
        <w:rPr>
          <w:b/>
          <w:bCs/>
          <w:color w:val="000000" w:themeColor="text1"/>
          <w:u w:val="single"/>
        </w:rPr>
        <w:t xml:space="preserve"> </w:t>
      </w:r>
      <w:r w:rsidRPr="002A0CA2" w:rsidR="00826A27">
        <w:rPr>
          <w:b/>
          <w:bCs/>
          <w:color w:val="000000" w:themeColor="text1"/>
          <w:u w:val="single"/>
        </w:rPr>
        <w:t>CFR 113</w:t>
      </w:r>
      <w:r w:rsidRPr="002A0CA2" w:rsidR="004B4E0C">
        <w:rPr>
          <w:b/>
          <w:bCs/>
          <w:color w:val="000000" w:themeColor="text1"/>
          <w:u w:val="single"/>
        </w:rPr>
        <w:t>.45</w:t>
      </w:r>
      <w:r w:rsidRPr="002A0CA2" w:rsidR="00BD6E02">
        <w:rPr>
          <w:b/>
          <w:bCs/>
          <w:color w:val="000000" w:themeColor="text1"/>
          <w:u w:val="single"/>
        </w:rPr>
        <w:t>0</w:t>
      </w:r>
      <w:r w:rsidRPr="002A0CA2" w:rsidR="00826A27">
        <w:rPr>
          <w:b/>
          <w:bCs/>
          <w:color w:val="000000" w:themeColor="text1"/>
          <w:u w:val="single"/>
        </w:rPr>
        <w:t>)</w:t>
      </w:r>
      <w:r w:rsidRPr="002A0CA2" w:rsidR="00FC1007">
        <w:rPr>
          <w:b/>
          <w:bCs/>
          <w:color w:val="000000" w:themeColor="text1"/>
          <w:u w:val="single"/>
        </w:rPr>
        <w:t>,</w:t>
      </w:r>
      <w:r w:rsidRPr="002A0CA2" w:rsidR="00B4565B">
        <w:rPr>
          <w:b/>
          <w:bCs/>
          <w:color w:val="000000" w:themeColor="text1"/>
          <w:u w:val="single"/>
        </w:rPr>
        <w:t xml:space="preserve"> </w:t>
      </w:r>
      <w:r w:rsidRPr="002A0CA2" w:rsidR="00847B5D">
        <w:rPr>
          <w:b/>
          <w:bCs/>
          <w:color w:val="000000" w:themeColor="text1"/>
          <w:u w:val="single"/>
        </w:rPr>
        <w:t>(Business)</w:t>
      </w:r>
    </w:p>
    <w:p w:rsidRPr="002A0CA2" w:rsidR="0008208A" w:rsidRDefault="0008208A" w14:paraId="58E733F9" w14:textId="1ADC696F">
      <w:pPr>
        <w:autoSpaceDE w:val="0"/>
        <w:autoSpaceDN w:val="0"/>
        <w:adjustRightInd w:val="0"/>
        <w:rPr>
          <w:bCs/>
          <w:color w:val="000000" w:themeColor="text1"/>
        </w:rPr>
      </w:pPr>
      <w:r w:rsidRPr="002A0CA2">
        <w:rPr>
          <w:bCs/>
          <w:color w:val="000000" w:themeColor="text1"/>
        </w:rPr>
        <w:t>Blood derivatives (serum, plasma), lacteal secretions, and egg material used in the production of antibody products must be subjected to an appropriate procedure for the inactivation of potential</w:t>
      </w:r>
      <w:r w:rsidRPr="002A0CA2" w:rsidR="002D549C">
        <w:rPr>
          <w:bCs/>
          <w:color w:val="000000" w:themeColor="text1"/>
        </w:rPr>
        <w:t>ly</w:t>
      </w:r>
      <w:r w:rsidRPr="002A0CA2">
        <w:rPr>
          <w:bCs/>
          <w:color w:val="000000" w:themeColor="text1"/>
        </w:rPr>
        <w:t xml:space="preserve"> contaminating microorganisms. Licensees must keep detailed records </w:t>
      </w:r>
      <w:r w:rsidRPr="002A0CA2" w:rsidR="002D549C">
        <w:rPr>
          <w:bCs/>
          <w:color w:val="000000" w:themeColor="text1"/>
        </w:rPr>
        <w:t xml:space="preserve">on </w:t>
      </w:r>
      <w:r w:rsidRPr="002A0CA2">
        <w:rPr>
          <w:bCs/>
          <w:color w:val="000000" w:themeColor="text1"/>
        </w:rPr>
        <w:t xml:space="preserve">each batch treated and each serial of product prepared for marketing. Recording charts must bear full information concerning the material treated and tests made of the equipment used for treatment. These records must be kept for 2 years from the expiration date of </w:t>
      </w:r>
      <w:r w:rsidRPr="002A0CA2" w:rsidR="00B04DE5">
        <w:rPr>
          <w:bCs/>
          <w:color w:val="000000" w:themeColor="text1"/>
        </w:rPr>
        <w:t xml:space="preserve">the </w:t>
      </w:r>
      <w:r w:rsidRPr="002A0CA2">
        <w:rPr>
          <w:bCs/>
          <w:color w:val="000000" w:themeColor="text1"/>
        </w:rPr>
        <w:t>product.</w:t>
      </w:r>
    </w:p>
    <w:p w:rsidRPr="00050ADF" w:rsidR="00C12235" w:rsidRDefault="00C12235" w14:paraId="2389E19E" w14:textId="77777777">
      <w:pPr>
        <w:autoSpaceDE w:val="0"/>
        <w:autoSpaceDN w:val="0"/>
        <w:adjustRightInd w:val="0"/>
        <w:rPr>
          <w:color w:val="000000" w:themeColor="text1"/>
        </w:rPr>
      </w:pPr>
    </w:p>
    <w:p w:rsidRPr="002A0CA2" w:rsidR="007027E8" w:rsidP="007027E8" w:rsidRDefault="007027E8" w14:paraId="2FE4895C" w14:textId="289191A1">
      <w:pPr>
        <w:autoSpaceDE w:val="0"/>
        <w:autoSpaceDN w:val="0"/>
        <w:adjustRightInd w:val="0"/>
        <w:rPr>
          <w:b/>
          <w:bCs/>
          <w:color w:val="000000" w:themeColor="text1"/>
          <w:u w:val="single"/>
        </w:rPr>
      </w:pPr>
      <w:r w:rsidRPr="002A0CA2">
        <w:rPr>
          <w:b/>
          <w:bCs/>
          <w:color w:val="000000" w:themeColor="text1"/>
          <w:u w:val="single"/>
        </w:rPr>
        <w:t>Identity of the Mi</w:t>
      </w:r>
      <w:r w:rsidRPr="002A0CA2" w:rsidR="00FC1007">
        <w:rPr>
          <w:b/>
          <w:bCs/>
          <w:color w:val="000000" w:themeColor="text1"/>
          <w:u w:val="single"/>
        </w:rPr>
        <w:t>c</w:t>
      </w:r>
      <w:r w:rsidRPr="002A0CA2">
        <w:rPr>
          <w:b/>
          <w:bCs/>
          <w:color w:val="000000" w:themeColor="text1"/>
          <w:u w:val="single"/>
        </w:rPr>
        <w:t>roorganism</w:t>
      </w:r>
      <w:r w:rsidRPr="002A0CA2" w:rsidR="00FC1007">
        <w:rPr>
          <w:b/>
          <w:bCs/>
          <w:color w:val="000000" w:themeColor="text1"/>
          <w:u w:val="single"/>
        </w:rPr>
        <w:t xml:space="preserve">, </w:t>
      </w:r>
      <w:r w:rsidRPr="002A0CA2">
        <w:rPr>
          <w:b/>
          <w:color w:val="000000" w:themeColor="text1"/>
          <w:u w:val="single"/>
        </w:rPr>
        <w:t>(9 CFR 114.5)</w:t>
      </w:r>
      <w:r w:rsidRPr="002A0CA2" w:rsidR="00FC1007">
        <w:rPr>
          <w:b/>
          <w:color w:val="000000" w:themeColor="text1"/>
          <w:u w:val="single"/>
        </w:rPr>
        <w:t>,</w:t>
      </w:r>
      <w:r w:rsidRPr="002A0CA2">
        <w:rPr>
          <w:b/>
          <w:color w:val="000000" w:themeColor="text1"/>
          <w:u w:val="single"/>
        </w:rPr>
        <w:t xml:space="preserve"> (Business)</w:t>
      </w:r>
    </w:p>
    <w:p w:rsidRPr="002A0CA2" w:rsidR="007027E8" w:rsidP="007027E8" w:rsidRDefault="00FC1007" w14:paraId="6D766C74" w14:textId="1BDD9905">
      <w:pPr>
        <w:autoSpaceDE w:val="0"/>
        <w:autoSpaceDN w:val="0"/>
        <w:adjustRightInd w:val="0"/>
        <w:rPr>
          <w:bCs/>
          <w:color w:val="000000" w:themeColor="text1"/>
        </w:rPr>
      </w:pPr>
      <w:r w:rsidRPr="002A0CA2">
        <w:rPr>
          <w:bCs/>
          <w:color w:val="000000" w:themeColor="text1"/>
        </w:rPr>
        <w:t>L</w:t>
      </w:r>
      <w:r w:rsidRPr="002A0CA2" w:rsidR="007027E8">
        <w:rPr>
          <w:bCs/>
          <w:color w:val="000000" w:themeColor="text1"/>
        </w:rPr>
        <w:t xml:space="preserve">icensees must maintain a record of identity tests conducted on all microorganisms used </w:t>
      </w:r>
      <w:r w:rsidRPr="002A0CA2" w:rsidR="0082013B">
        <w:rPr>
          <w:bCs/>
          <w:color w:val="000000" w:themeColor="text1"/>
        </w:rPr>
        <w:t>to produce</w:t>
      </w:r>
      <w:r w:rsidRPr="002A0CA2" w:rsidR="007027E8">
        <w:rPr>
          <w:bCs/>
          <w:color w:val="000000" w:themeColor="text1"/>
        </w:rPr>
        <w:t xml:space="preserve"> autogenous biologics. Bacteria, fungi, and mycoplasma must be identified at least to genus and species. Viruses must be identified at least to family. After 15 months from the date of isolation, characterization and identification must be completed to strain and subtype. Records must be kept for 2 years after the expiration date of a product.</w:t>
      </w:r>
    </w:p>
    <w:p w:rsidRPr="00050ADF" w:rsidR="003458C2" w:rsidP="007027E8" w:rsidRDefault="003458C2" w14:paraId="152D4D57" w14:textId="77777777">
      <w:pPr>
        <w:autoSpaceDE w:val="0"/>
        <w:autoSpaceDN w:val="0"/>
        <w:adjustRightInd w:val="0"/>
        <w:rPr>
          <w:color w:val="000000" w:themeColor="text1"/>
        </w:rPr>
      </w:pPr>
    </w:p>
    <w:p w:rsidRPr="002A0CA2" w:rsidR="007027E8" w:rsidP="007027E8" w:rsidRDefault="007027E8" w14:paraId="6B2A0A81" w14:textId="649FBEAA">
      <w:pPr>
        <w:autoSpaceDE w:val="0"/>
        <w:autoSpaceDN w:val="0"/>
        <w:adjustRightInd w:val="0"/>
        <w:rPr>
          <w:b/>
          <w:bCs/>
          <w:color w:val="000000" w:themeColor="text1"/>
          <w:u w:val="single"/>
        </w:rPr>
      </w:pPr>
      <w:r w:rsidRPr="002A0CA2">
        <w:rPr>
          <w:b/>
          <w:bCs/>
          <w:color w:val="000000" w:themeColor="text1"/>
          <w:u w:val="single"/>
        </w:rPr>
        <w:t>Records of Microorganisms Used</w:t>
      </w:r>
      <w:r w:rsidRPr="002A0CA2" w:rsidR="00FC1007">
        <w:rPr>
          <w:b/>
          <w:bCs/>
          <w:color w:val="000000" w:themeColor="text1"/>
          <w:u w:val="single"/>
        </w:rPr>
        <w:t xml:space="preserve">, </w:t>
      </w:r>
      <w:r w:rsidRPr="002A0CA2">
        <w:rPr>
          <w:b/>
          <w:bCs/>
          <w:color w:val="000000" w:themeColor="text1"/>
          <w:u w:val="single"/>
        </w:rPr>
        <w:t>(9 CFR 114.5)</w:t>
      </w:r>
      <w:r w:rsidRPr="002A0CA2" w:rsidR="00FC1007">
        <w:rPr>
          <w:b/>
          <w:bCs/>
          <w:color w:val="000000" w:themeColor="text1"/>
          <w:u w:val="single"/>
        </w:rPr>
        <w:t>,</w:t>
      </w:r>
      <w:r w:rsidRPr="002A0CA2">
        <w:rPr>
          <w:b/>
          <w:bCs/>
          <w:color w:val="000000" w:themeColor="text1"/>
          <w:u w:val="single"/>
        </w:rPr>
        <w:t xml:space="preserve"> (Business)</w:t>
      </w:r>
    </w:p>
    <w:p w:rsidRPr="002A0CA2" w:rsidR="007027E8" w:rsidP="007027E8" w:rsidRDefault="007027E8" w14:paraId="46E1E814" w14:textId="3D116F55">
      <w:pPr>
        <w:autoSpaceDE w:val="0"/>
        <w:autoSpaceDN w:val="0"/>
        <w:adjustRightInd w:val="0"/>
        <w:rPr>
          <w:bCs/>
          <w:color w:val="000000" w:themeColor="text1"/>
        </w:rPr>
      </w:pPr>
      <w:r w:rsidRPr="002A0CA2">
        <w:rPr>
          <w:bCs/>
          <w:color w:val="000000" w:themeColor="text1"/>
        </w:rPr>
        <w:t>A complete record of the microorganisms used to prepare biological product</w:t>
      </w:r>
      <w:r w:rsidRPr="002A0CA2" w:rsidR="00FC1007">
        <w:rPr>
          <w:bCs/>
          <w:color w:val="000000" w:themeColor="text1"/>
        </w:rPr>
        <w:t>s</w:t>
      </w:r>
      <w:r w:rsidRPr="002A0CA2">
        <w:rPr>
          <w:bCs/>
          <w:color w:val="000000" w:themeColor="text1"/>
        </w:rPr>
        <w:t xml:space="preserve"> at licensed establishments must be kept currently correct for the entire period that such microorganisms are maintained at the production facility. These records must be kept for 2 years from the expiration date of </w:t>
      </w:r>
      <w:r w:rsidRPr="002A0CA2" w:rsidR="00B04DE5">
        <w:rPr>
          <w:bCs/>
          <w:color w:val="000000" w:themeColor="text1"/>
        </w:rPr>
        <w:t xml:space="preserve">the </w:t>
      </w:r>
      <w:r w:rsidRPr="002A0CA2">
        <w:rPr>
          <w:bCs/>
          <w:color w:val="000000" w:themeColor="text1"/>
        </w:rPr>
        <w:t>product.</w:t>
      </w:r>
    </w:p>
    <w:p w:rsidRPr="002A0CA2" w:rsidR="002A0CA2" w:rsidP="007027E8" w:rsidRDefault="002A0CA2" w14:paraId="60E8F1CF" w14:textId="63917B8C">
      <w:pPr>
        <w:autoSpaceDE w:val="0"/>
        <w:autoSpaceDN w:val="0"/>
        <w:adjustRightInd w:val="0"/>
        <w:rPr>
          <w:bCs/>
          <w:color w:val="000000" w:themeColor="text1"/>
        </w:rPr>
      </w:pPr>
    </w:p>
    <w:p w:rsidRPr="002A0CA2" w:rsidR="00FC1007" w:rsidP="007027E8" w:rsidRDefault="007027E8" w14:paraId="3AD82AD4" w14:textId="77777777">
      <w:pPr>
        <w:autoSpaceDE w:val="0"/>
        <w:autoSpaceDN w:val="0"/>
        <w:adjustRightInd w:val="0"/>
        <w:rPr>
          <w:b/>
          <w:color w:val="000000" w:themeColor="text1"/>
          <w:u w:val="single"/>
        </w:rPr>
      </w:pPr>
      <w:r w:rsidRPr="002A0CA2">
        <w:rPr>
          <w:b/>
          <w:bCs/>
          <w:color w:val="000000" w:themeColor="text1"/>
          <w:u w:val="single"/>
        </w:rPr>
        <w:t>Records of Production of Product, Inventory, and Disposition</w:t>
      </w:r>
      <w:r w:rsidRPr="002A0CA2" w:rsidR="00FC1007">
        <w:rPr>
          <w:b/>
          <w:bCs/>
          <w:color w:val="000000" w:themeColor="text1"/>
          <w:u w:val="single"/>
        </w:rPr>
        <w:t>,</w:t>
      </w:r>
      <w:r w:rsidRPr="002A0CA2">
        <w:rPr>
          <w:b/>
          <w:bCs/>
          <w:color w:val="000000" w:themeColor="text1"/>
          <w:u w:val="single"/>
        </w:rPr>
        <w:t xml:space="preserve"> </w:t>
      </w:r>
      <w:r w:rsidRPr="002A0CA2">
        <w:rPr>
          <w:b/>
          <w:color w:val="000000" w:themeColor="text1"/>
          <w:u w:val="single"/>
        </w:rPr>
        <w:t>(9 CFR 114.6</w:t>
      </w:r>
      <w:r w:rsidRPr="002A0CA2" w:rsidR="00FC1007">
        <w:rPr>
          <w:b/>
          <w:color w:val="000000" w:themeColor="text1"/>
          <w:u w:val="single"/>
        </w:rPr>
        <w:t>,</w:t>
      </w:r>
      <w:r w:rsidRPr="002A0CA2">
        <w:rPr>
          <w:b/>
          <w:color w:val="000000" w:themeColor="text1"/>
          <w:u w:val="single"/>
        </w:rPr>
        <w:t xml:space="preserve"> 9 CFR 115.1</w:t>
      </w:r>
      <w:r w:rsidRPr="002A0CA2" w:rsidR="00FC1007">
        <w:rPr>
          <w:b/>
          <w:color w:val="000000" w:themeColor="text1"/>
          <w:u w:val="single"/>
        </w:rPr>
        <w:t>,</w:t>
      </w:r>
    </w:p>
    <w:p w:rsidRPr="002A0CA2" w:rsidR="007027E8" w:rsidP="007027E8" w:rsidRDefault="007027E8" w14:paraId="79DFE420" w14:textId="7EC015C6">
      <w:pPr>
        <w:autoSpaceDE w:val="0"/>
        <w:autoSpaceDN w:val="0"/>
        <w:adjustRightInd w:val="0"/>
        <w:rPr>
          <w:b/>
          <w:bCs/>
          <w:color w:val="000000" w:themeColor="text1"/>
          <w:u w:val="single"/>
        </w:rPr>
      </w:pPr>
      <w:r w:rsidRPr="002A0CA2">
        <w:rPr>
          <w:b/>
          <w:color w:val="000000" w:themeColor="text1"/>
          <w:u w:val="single"/>
        </w:rPr>
        <w:t>9 CFR 116.1, 9 CFR 116.2, 9 CFR 116.5, 9 CFR 116.8)</w:t>
      </w:r>
      <w:r w:rsidRPr="002A0CA2" w:rsidR="00FC1007">
        <w:rPr>
          <w:b/>
          <w:color w:val="000000" w:themeColor="text1"/>
          <w:u w:val="single"/>
        </w:rPr>
        <w:t>,</w:t>
      </w:r>
      <w:r w:rsidRPr="002A0CA2">
        <w:rPr>
          <w:b/>
          <w:color w:val="000000" w:themeColor="text1"/>
          <w:u w:val="single"/>
        </w:rPr>
        <w:t xml:space="preserve"> (Business)</w:t>
      </w:r>
    </w:p>
    <w:p w:rsidRPr="002A0CA2" w:rsidR="007027E8" w:rsidP="007027E8" w:rsidRDefault="007027E8" w14:paraId="1D3F9A6F" w14:textId="59AB9E7C">
      <w:pPr>
        <w:autoSpaceDE w:val="0"/>
        <w:autoSpaceDN w:val="0"/>
        <w:adjustRightInd w:val="0"/>
        <w:rPr>
          <w:bCs/>
          <w:color w:val="000000" w:themeColor="text1"/>
        </w:rPr>
      </w:pPr>
      <w:r w:rsidRPr="002A0CA2">
        <w:rPr>
          <w:bCs/>
          <w:color w:val="000000" w:themeColor="text1"/>
        </w:rPr>
        <w:t xml:space="preserve">Each licensee, permittee, and foreign manufacturer of biological products imported into the United States must maintain, at the licensed or foreign establishment in which the products are prepared, detailed records of information necessary to give a complete accounting of all activities within each establishment, including activities related to product production, inventory, and disposition. Records must be made concurrently with the performance of successive steps in the development and preparation of biological products, including new products under development. These records must include the date and, where critical, the time that each essential step was taken; the identity and quantity of ingredients added or removed at each step; and any gain or loss of product from the beginning to the end of product preparation. The records must be legible and indelible. They must contain enough detail to clearly explain each step to an individual experienced in the preparation of biological products, and they must be verified by initials or signature of the person immediately </w:t>
      </w:r>
      <w:r w:rsidRPr="002A0CA2">
        <w:rPr>
          <w:bCs/>
          <w:color w:val="000000" w:themeColor="text1"/>
        </w:rPr>
        <w:lastRenderedPageBreak/>
        <w:t>responsible for the action taken. Records (other than disposition records) must be completed by the licensee or the foreign manufacturer</w:t>
      </w:r>
      <w:r w:rsidRPr="002A0CA2" w:rsidR="00BD3F1C">
        <w:rPr>
          <w:bCs/>
          <w:color w:val="000000" w:themeColor="text1"/>
        </w:rPr>
        <w:t xml:space="preserve"> before</w:t>
      </w:r>
      <w:r w:rsidRPr="002A0CA2">
        <w:rPr>
          <w:bCs/>
          <w:color w:val="000000" w:themeColor="text1"/>
        </w:rPr>
        <w:t xml:space="preserve"> any portion of a serial or product can be marketed in the United States or exported. The records must be retained for 2 years after the expiration date of the product.</w:t>
      </w:r>
    </w:p>
    <w:p w:rsidRPr="00050ADF" w:rsidR="007027E8" w:rsidP="007027E8" w:rsidRDefault="007027E8" w14:paraId="2C146313" w14:textId="77777777">
      <w:pPr>
        <w:autoSpaceDE w:val="0"/>
        <w:autoSpaceDN w:val="0"/>
        <w:adjustRightInd w:val="0"/>
        <w:rPr>
          <w:color w:val="000000" w:themeColor="text1"/>
        </w:rPr>
      </w:pPr>
    </w:p>
    <w:p w:rsidRPr="002A0CA2" w:rsidR="007027E8" w:rsidP="007027E8" w:rsidRDefault="007027E8" w14:paraId="2529A612" w14:textId="407640AA">
      <w:pPr>
        <w:autoSpaceDE w:val="0"/>
        <w:autoSpaceDN w:val="0"/>
        <w:adjustRightInd w:val="0"/>
        <w:rPr>
          <w:b/>
          <w:bCs/>
          <w:color w:val="000000" w:themeColor="text1"/>
          <w:u w:val="single"/>
        </w:rPr>
      </w:pPr>
      <w:r w:rsidRPr="002A0CA2">
        <w:rPr>
          <w:b/>
          <w:bCs/>
          <w:color w:val="000000" w:themeColor="text1"/>
          <w:u w:val="single"/>
        </w:rPr>
        <w:t>Label Records</w:t>
      </w:r>
      <w:r w:rsidRPr="002A0CA2" w:rsidR="00FC1007">
        <w:rPr>
          <w:b/>
          <w:bCs/>
          <w:color w:val="000000" w:themeColor="text1"/>
          <w:u w:val="single"/>
        </w:rPr>
        <w:t>,</w:t>
      </w:r>
      <w:r w:rsidRPr="002A0CA2">
        <w:rPr>
          <w:b/>
          <w:bCs/>
          <w:color w:val="000000" w:themeColor="text1"/>
          <w:u w:val="single"/>
        </w:rPr>
        <w:t xml:space="preserve"> (9 CFR </w:t>
      </w:r>
      <w:r w:rsidRPr="002A0CA2" w:rsidR="00F56FEA">
        <w:rPr>
          <w:b/>
          <w:bCs/>
          <w:color w:val="000000" w:themeColor="text1"/>
          <w:u w:val="single"/>
        </w:rPr>
        <w:t xml:space="preserve">112.1, </w:t>
      </w:r>
      <w:r w:rsidRPr="002A0CA2" w:rsidR="00BD3F1C">
        <w:rPr>
          <w:b/>
          <w:bCs/>
          <w:color w:val="000000" w:themeColor="text1"/>
          <w:u w:val="single"/>
        </w:rPr>
        <w:t xml:space="preserve">9 CFR 112.5(e), </w:t>
      </w:r>
      <w:r w:rsidRPr="002A0CA2" w:rsidR="00F56FEA">
        <w:rPr>
          <w:b/>
          <w:bCs/>
          <w:color w:val="000000" w:themeColor="text1"/>
          <w:u w:val="single"/>
        </w:rPr>
        <w:t xml:space="preserve">9 CFR </w:t>
      </w:r>
      <w:r w:rsidRPr="002A0CA2">
        <w:rPr>
          <w:b/>
          <w:bCs/>
          <w:color w:val="000000" w:themeColor="text1"/>
          <w:u w:val="single"/>
        </w:rPr>
        <w:t>116.3)</w:t>
      </w:r>
      <w:r w:rsidRPr="002A0CA2" w:rsidR="00FC1007">
        <w:rPr>
          <w:b/>
          <w:bCs/>
          <w:color w:val="000000" w:themeColor="text1"/>
          <w:u w:val="single"/>
        </w:rPr>
        <w:t>,</w:t>
      </w:r>
      <w:r w:rsidRPr="002A0CA2">
        <w:rPr>
          <w:b/>
          <w:bCs/>
          <w:color w:val="000000" w:themeColor="text1"/>
          <w:u w:val="single"/>
        </w:rPr>
        <w:t xml:space="preserve"> (Business)</w:t>
      </w:r>
    </w:p>
    <w:p w:rsidRPr="002A0CA2" w:rsidR="00C12235" w:rsidP="007027E8" w:rsidRDefault="007027E8" w14:paraId="7BA134F3" w14:textId="3F046061">
      <w:pPr>
        <w:autoSpaceDE w:val="0"/>
        <w:autoSpaceDN w:val="0"/>
        <w:adjustRightInd w:val="0"/>
        <w:rPr>
          <w:bCs/>
          <w:color w:val="000000" w:themeColor="text1"/>
        </w:rPr>
      </w:pPr>
      <w:r w:rsidRPr="002A0CA2">
        <w:rPr>
          <w:bCs/>
          <w:color w:val="000000" w:themeColor="text1"/>
        </w:rPr>
        <w:t xml:space="preserve">Each licensee and permittee must maintain a list of all approved labels currently being used. The inventory records must account for all labels printed including the disposition of those not used in labeling a </w:t>
      </w:r>
      <w:r w:rsidRPr="002A0CA2" w:rsidR="00BD3F1C">
        <w:rPr>
          <w:bCs/>
          <w:color w:val="000000" w:themeColor="text1"/>
        </w:rPr>
        <w:t>product and</w:t>
      </w:r>
      <w:r w:rsidRPr="002A0CA2">
        <w:rPr>
          <w:bCs/>
          <w:color w:val="000000" w:themeColor="text1"/>
        </w:rPr>
        <w:t xml:space="preserve"> should be kept current for the entire period that a product remains in production. Each label must be identified as to</w:t>
      </w:r>
      <w:r w:rsidRPr="002A0CA2" w:rsidR="00FC1007">
        <w:rPr>
          <w:bCs/>
          <w:color w:val="000000" w:themeColor="text1"/>
        </w:rPr>
        <w:t>:</w:t>
      </w:r>
      <w:r w:rsidRPr="002A0CA2">
        <w:rPr>
          <w:bCs/>
          <w:color w:val="000000" w:themeColor="text1"/>
        </w:rPr>
        <w:t xml:space="preserve"> (1) </w:t>
      </w:r>
      <w:r w:rsidRPr="002A0CA2" w:rsidR="00BD3F1C">
        <w:rPr>
          <w:bCs/>
          <w:color w:val="000000" w:themeColor="text1"/>
        </w:rPr>
        <w:t>T</w:t>
      </w:r>
      <w:r w:rsidRPr="002A0CA2">
        <w:rPr>
          <w:bCs/>
          <w:color w:val="000000" w:themeColor="text1"/>
        </w:rPr>
        <w:t>he name and product code number as it appears on the product license or permit for the product; (2) where applicable, the size of the package (dose by ml, cc, or units) on which the label will be used; (3) the label number and date assigned; (4) the name of the licensee or subsidiary appearing on the label as the producer</w:t>
      </w:r>
      <w:r w:rsidRPr="002A0CA2" w:rsidR="00BD3F1C">
        <w:rPr>
          <w:bCs/>
          <w:color w:val="000000" w:themeColor="text1"/>
        </w:rPr>
        <w:t xml:space="preserve">; and (5) </w:t>
      </w:r>
      <w:r w:rsidRPr="002A0CA2">
        <w:rPr>
          <w:bCs/>
          <w:color w:val="000000" w:themeColor="text1"/>
        </w:rPr>
        <w:t>translations of non-English labels and affirmation of those translations.</w:t>
      </w:r>
      <w:r w:rsidRPr="002A0CA2" w:rsidR="00FC1007">
        <w:rPr>
          <w:bCs/>
          <w:color w:val="000000" w:themeColor="text1"/>
        </w:rPr>
        <w:t xml:space="preserve"> These records must be kept for 2 years from the expiration date of </w:t>
      </w:r>
      <w:r w:rsidRPr="002A0CA2" w:rsidR="00B04DE5">
        <w:rPr>
          <w:bCs/>
          <w:color w:val="000000" w:themeColor="text1"/>
        </w:rPr>
        <w:t xml:space="preserve">the </w:t>
      </w:r>
      <w:r w:rsidRPr="002A0CA2" w:rsidR="00FC1007">
        <w:rPr>
          <w:bCs/>
          <w:color w:val="000000" w:themeColor="text1"/>
        </w:rPr>
        <w:t xml:space="preserve">product. </w:t>
      </w:r>
    </w:p>
    <w:p w:rsidRPr="002A0CA2" w:rsidR="007027E8" w:rsidP="007027E8" w:rsidRDefault="007027E8" w14:paraId="49D4D608" w14:textId="542952DB">
      <w:pPr>
        <w:autoSpaceDE w:val="0"/>
        <w:autoSpaceDN w:val="0"/>
        <w:adjustRightInd w:val="0"/>
        <w:rPr>
          <w:bCs/>
          <w:color w:val="000000" w:themeColor="text1"/>
        </w:rPr>
      </w:pPr>
    </w:p>
    <w:p w:rsidRPr="002A0CA2" w:rsidR="0008208A" w:rsidRDefault="0008208A" w14:paraId="7C600C43" w14:textId="3696595B">
      <w:pPr>
        <w:autoSpaceDE w:val="0"/>
        <w:autoSpaceDN w:val="0"/>
        <w:adjustRightInd w:val="0"/>
        <w:rPr>
          <w:b/>
          <w:bCs/>
          <w:color w:val="000000" w:themeColor="text1"/>
          <w:u w:val="single"/>
        </w:rPr>
      </w:pPr>
      <w:r w:rsidRPr="002A0CA2">
        <w:rPr>
          <w:b/>
          <w:bCs/>
          <w:color w:val="000000" w:themeColor="text1"/>
          <w:u w:val="single"/>
        </w:rPr>
        <w:t>Animal Records</w:t>
      </w:r>
      <w:r w:rsidRPr="002A0CA2" w:rsidR="008A3B49">
        <w:rPr>
          <w:b/>
          <w:bCs/>
          <w:color w:val="000000" w:themeColor="text1"/>
          <w:u w:val="single"/>
        </w:rPr>
        <w:t xml:space="preserve">, </w:t>
      </w:r>
      <w:r w:rsidRPr="002A0CA2" w:rsidR="00826A27">
        <w:rPr>
          <w:b/>
          <w:color w:val="000000" w:themeColor="text1"/>
          <w:u w:val="single"/>
        </w:rPr>
        <w:t>(9 CFR 116.6</w:t>
      </w:r>
      <w:r w:rsidRPr="002A0CA2" w:rsidR="0060666E">
        <w:rPr>
          <w:b/>
          <w:color w:val="000000" w:themeColor="text1"/>
          <w:u w:val="single"/>
        </w:rPr>
        <w:t xml:space="preserve">; 9 CFR </w:t>
      </w:r>
      <w:r w:rsidRPr="002A0CA2" w:rsidR="00BD3F1C">
        <w:rPr>
          <w:b/>
          <w:color w:val="000000" w:themeColor="text1"/>
          <w:u w:val="single"/>
        </w:rPr>
        <w:t xml:space="preserve">part </w:t>
      </w:r>
      <w:r w:rsidRPr="002A0CA2" w:rsidR="00826A27">
        <w:rPr>
          <w:b/>
          <w:color w:val="000000" w:themeColor="text1"/>
          <w:u w:val="single"/>
        </w:rPr>
        <w:t>117)</w:t>
      </w:r>
      <w:r w:rsidRPr="002A0CA2" w:rsidR="008A3B49">
        <w:rPr>
          <w:b/>
          <w:color w:val="000000" w:themeColor="text1"/>
          <w:u w:val="single"/>
        </w:rPr>
        <w:t>,</w:t>
      </w:r>
      <w:r w:rsidRPr="002A0CA2" w:rsidR="00B4565B">
        <w:rPr>
          <w:b/>
          <w:color w:val="000000" w:themeColor="text1"/>
          <w:u w:val="single"/>
        </w:rPr>
        <w:t xml:space="preserve"> </w:t>
      </w:r>
      <w:r w:rsidRPr="002A0CA2" w:rsidR="00847B5D">
        <w:rPr>
          <w:b/>
          <w:color w:val="000000" w:themeColor="text1"/>
          <w:u w:val="single"/>
        </w:rPr>
        <w:t>(Business)</w:t>
      </w:r>
    </w:p>
    <w:p w:rsidRPr="002A0CA2" w:rsidR="0008208A" w:rsidRDefault="0008208A" w14:paraId="0BC372D5" w14:textId="03CF799D">
      <w:pPr>
        <w:autoSpaceDE w:val="0"/>
        <w:autoSpaceDN w:val="0"/>
        <w:adjustRightInd w:val="0"/>
        <w:rPr>
          <w:bCs/>
          <w:color w:val="000000" w:themeColor="text1"/>
        </w:rPr>
      </w:pPr>
      <w:r w:rsidRPr="002A0CA2">
        <w:rPr>
          <w:bCs/>
          <w:color w:val="000000" w:themeColor="text1"/>
        </w:rPr>
        <w:t>Complete records must be kept for all animals at a licensed establishment</w:t>
      </w:r>
      <w:r w:rsidRPr="002A0CA2" w:rsidR="008A3B49">
        <w:rPr>
          <w:bCs/>
          <w:color w:val="000000" w:themeColor="text1"/>
        </w:rPr>
        <w:t>, and include r</w:t>
      </w:r>
      <w:r w:rsidRPr="002A0CA2">
        <w:rPr>
          <w:bCs/>
          <w:color w:val="000000" w:themeColor="text1"/>
        </w:rPr>
        <w:t>esults of tests performed, antigens or treatments administered, maintenance and production records, disposition records, necropsy records (if any), and all other pertinent records.</w:t>
      </w:r>
      <w:r w:rsidRPr="002A0CA2" w:rsidR="008A3B49">
        <w:rPr>
          <w:bCs/>
          <w:color w:val="000000" w:themeColor="text1"/>
        </w:rPr>
        <w:t xml:space="preserve"> These records must be kept for 2 years from the expiration date of </w:t>
      </w:r>
      <w:r w:rsidRPr="002A0CA2" w:rsidR="00B04DE5">
        <w:rPr>
          <w:bCs/>
          <w:color w:val="000000" w:themeColor="text1"/>
        </w:rPr>
        <w:t xml:space="preserve">the </w:t>
      </w:r>
      <w:r w:rsidRPr="002A0CA2" w:rsidR="008A3B49">
        <w:rPr>
          <w:bCs/>
          <w:color w:val="000000" w:themeColor="text1"/>
        </w:rPr>
        <w:t xml:space="preserve">product. </w:t>
      </w:r>
      <w:r w:rsidRPr="002A0CA2">
        <w:rPr>
          <w:bCs/>
          <w:color w:val="000000" w:themeColor="text1"/>
        </w:rPr>
        <w:t xml:space="preserve"> </w:t>
      </w:r>
    </w:p>
    <w:p w:rsidRPr="00050ADF" w:rsidR="00B37F37" w:rsidRDefault="00B37F37" w14:paraId="7DD0240C" w14:textId="77777777">
      <w:pPr>
        <w:autoSpaceDE w:val="0"/>
        <w:autoSpaceDN w:val="0"/>
        <w:adjustRightInd w:val="0"/>
        <w:rPr>
          <w:color w:val="000000" w:themeColor="text1"/>
        </w:rPr>
      </w:pPr>
    </w:p>
    <w:p w:rsidRPr="00050ADF" w:rsidR="00B37F37" w:rsidRDefault="00B37F37" w14:paraId="3503E32F" w14:textId="77777777">
      <w:pPr>
        <w:autoSpaceDE w:val="0"/>
        <w:autoSpaceDN w:val="0"/>
        <w:adjustRightInd w:val="0"/>
        <w:rPr>
          <w:color w:val="000000" w:themeColor="text1"/>
        </w:rPr>
      </w:pPr>
    </w:p>
    <w:p w:rsidRPr="002A0CA2" w:rsidR="0008208A" w:rsidRDefault="0008208A" w14:paraId="1EA31D92" w14:textId="77777777">
      <w:pPr>
        <w:autoSpaceDE w:val="0"/>
        <w:autoSpaceDN w:val="0"/>
        <w:adjustRightInd w:val="0"/>
        <w:rPr>
          <w:b/>
          <w:bCs/>
          <w:color w:val="000000" w:themeColor="text1"/>
        </w:rPr>
      </w:pPr>
      <w:r w:rsidRPr="002A0CA2">
        <w:rPr>
          <w:b/>
          <w:bCs/>
          <w:color w:val="000000" w:themeColor="text1"/>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2A0CA2" w:rsidR="0008208A" w:rsidRDefault="0008208A" w14:paraId="72B22561" w14:textId="77777777">
      <w:pPr>
        <w:autoSpaceDE w:val="0"/>
        <w:autoSpaceDN w:val="0"/>
        <w:adjustRightInd w:val="0"/>
        <w:rPr>
          <w:color w:val="000000" w:themeColor="text1"/>
        </w:rPr>
      </w:pPr>
    </w:p>
    <w:p w:rsidRPr="002A0CA2" w:rsidR="002A41FA" w:rsidP="002A41FA" w:rsidRDefault="003458C2" w14:paraId="7992492E" w14:textId="1CEB0A20">
      <w:pPr>
        <w:autoSpaceDE w:val="0"/>
        <w:autoSpaceDN w:val="0"/>
        <w:adjustRightInd w:val="0"/>
        <w:rPr>
          <w:color w:val="000000" w:themeColor="text1"/>
        </w:rPr>
      </w:pPr>
      <w:r w:rsidRPr="002A0CA2">
        <w:rPr>
          <w:color w:val="000000" w:themeColor="text1"/>
        </w:rPr>
        <w:t>T</w:t>
      </w:r>
      <w:r w:rsidRPr="002A0CA2" w:rsidR="002A41FA">
        <w:rPr>
          <w:color w:val="000000" w:themeColor="text1"/>
        </w:rPr>
        <w:t xml:space="preserve">he Center for Veterinary Biologics (CVB) </w:t>
      </w:r>
      <w:r w:rsidRPr="002A0CA2" w:rsidR="004A6522">
        <w:rPr>
          <w:color w:val="000000" w:themeColor="text1"/>
        </w:rPr>
        <w:t xml:space="preserve">uses </w:t>
      </w:r>
      <w:r w:rsidRPr="002A0CA2" w:rsidR="002A41FA">
        <w:rPr>
          <w:color w:val="000000" w:themeColor="text1"/>
        </w:rPr>
        <w:t xml:space="preserve">the National Centers for Animal Health (NCAH) Portal as a </w:t>
      </w:r>
      <w:r w:rsidRPr="002A0CA2" w:rsidR="0031550C">
        <w:rPr>
          <w:color w:val="000000" w:themeColor="text1"/>
        </w:rPr>
        <w:t>public-facing</w:t>
      </w:r>
      <w:r w:rsidRPr="002A0CA2" w:rsidR="006A00DA">
        <w:rPr>
          <w:color w:val="000000" w:themeColor="text1"/>
        </w:rPr>
        <w:t>,</w:t>
      </w:r>
      <w:r w:rsidRPr="002A0CA2" w:rsidR="002A41FA">
        <w:rPr>
          <w:color w:val="000000" w:themeColor="text1"/>
        </w:rPr>
        <w:t xml:space="preserve"> web-based application for biologics firms to electronically submit APHIS Forms </w:t>
      </w:r>
      <w:r w:rsidRPr="002A0CA2" w:rsidR="00CF4371">
        <w:rPr>
          <w:color w:val="000000" w:themeColor="text1"/>
        </w:rPr>
        <w:t xml:space="preserve">2001, 2003, </w:t>
      </w:r>
      <w:r w:rsidRPr="002A0CA2" w:rsidR="007479BF">
        <w:rPr>
          <w:color w:val="000000" w:themeColor="text1"/>
        </w:rPr>
        <w:t xml:space="preserve">2007, </w:t>
      </w:r>
      <w:r w:rsidRPr="002A0CA2" w:rsidR="002A41FA">
        <w:rPr>
          <w:color w:val="000000" w:themeColor="text1"/>
        </w:rPr>
        <w:t xml:space="preserve">2008, </w:t>
      </w:r>
      <w:r w:rsidRPr="002A0CA2" w:rsidR="00CF4371">
        <w:rPr>
          <w:color w:val="000000" w:themeColor="text1"/>
        </w:rPr>
        <w:t xml:space="preserve">2018, </w:t>
      </w:r>
      <w:r w:rsidRPr="002A0CA2" w:rsidR="002A41FA">
        <w:rPr>
          <w:color w:val="000000" w:themeColor="text1"/>
        </w:rPr>
        <w:t>2020</w:t>
      </w:r>
      <w:r w:rsidRPr="002A0CA2">
        <w:rPr>
          <w:color w:val="000000" w:themeColor="text1"/>
        </w:rPr>
        <w:t xml:space="preserve">, 2048, 2049, </w:t>
      </w:r>
      <w:r w:rsidRPr="002A0CA2" w:rsidR="00CF4371">
        <w:rPr>
          <w:color w:val="000000" w:themeColor="text1"/>
        </w:rPr>
        <w:t xml:space="preserve">2070, 2071, and 2072. </w:t>
      </w:r>
      <w:r w:rsidRPr="002A0CA2" w:rsidR="007479BF">
        <w:rPr>
          <w:color w:val="000000" w:themeColor="text1"/>
        </w:rPr>
        <w:t xml:space="preserve">The </w:t>
      </w:r>
      <w:r w:rsidRPr="002A0CA2" w:rsidR="002A41FA">
        <w:rPr>
          <w:color w:val="000000" w:themeColor="text1"/>
        </w:rPr>
        <w:t xml:space="preserve">NCAH Portal </w:t>
      </w:r>
      <w:r w:rsidRPr="002A0CA2" w:rsidR="007479BF">
        <w:rPr>
          <w:color w:val="000000" w:themeColor="text1"/>
        </w:rPr>
        <w:t xml:space="preserve">also </w:t>
      </w:r>
      <w:r w:rsidRPr="002A0CA2" w:rsidR="002A41FA">
        <w:rPr>
          <w:color w:val="000000" w:themeColor="text1"/>
        </w:rPr>
        <w:t>enable</w:t>
      </w:r>
      <w:r w:rsidRPr="002A0CA2" w:rsidR="00CF4371">
        <w:rPr>
          <w:color w:val="000000" w:themeColor="text1"/>
        </w:rPr>
        <w:t>s</w:t>
      </w:r>
      <w:r w:rsidRPr="002A0CA2" w:rsidR="002A41FA">
        <w:rPr>
          <w:color w:val="000000" w:themeColor="text1"/>
        </w:rPr>
        <w:t xml:space="preserve"> firms </w:t>
      </w:r>
      <w:r w:rsidRPr="002A0CA2" w:rsidR="007479BF">
        <w:rPr>
          <w:color w:val="000000" w:themeColor="text1"/>
        </w:rPr>
        <w:t xml:space="preserve">to </w:t>
      </w:r>
      <w:r w:rsidRPr="002A0CA2" w:rsidR="002A41FA">
        <w:rPr>
          <w:color w:val="000000" w:themeColor="text1"/>
        </w:rPr>
        <w:t xml:space="preserve">receive submission responses from CVB. Due to the confidential business information submitted to CVB, access for CVB submissions is limited </w:t>
      </w:r>
      <w:r w:rsidRPr="002A0CA2" w:rsidR="007479BF">
        <w:rPr>
          <w:color w:val="000000" w:themeColor="text1"/>
        </w:rPr>
        <w:t xml:space="preserve">to </w:t>
      </w:r>
      <w:r w:rsidRPr="002A0CA2" w:rsidR="002A41FA">
        <w:rPr>
          <w:color w:val="000000" w:themeColor="text1"/>
        </w:rPr>
        <w:t>the regulated industry. Users are required to have an APHIS Form 2007 on file with CVB and USDA Level 2 eAuthentication for security verification</w:t>
      </w:r>
      <w:r w:rsidRPr="002A0CA2" w:rsidR="00CF4371">
        <w:rPr>
          <w:color w:val="000000" w:themeColor="text1"/>
        </w:rPr>
        <w:t xml:space="preserve">, and </w:t>
      </w:r>
      <w:r w:rsidRPr="002A0CA2" w:rsidR="002A41FA">
        <w:rPr>
          <w:color w:val="000000" w:themeColor="text1"/>
        </w:rPr>
        <w:t>users only have access to their firm’s submissions.</w:t>
      </w:r>
    </w:p>
    <w:p w:rsidRPr="002A0CA2" w:rsidR="002A41FA" w:rsidP="002A41FA" w:rsidRDefault="002A41FA" w14:paraId="7C0E5CDF" w14:textId="77777777">
      <w:pPr>
        <w:autoSpaceDE w:val="0"/>
        <w:autoSpaceDN w:val="0"/>
        <w:adjustRightInd w:val="0"/>
        <w:rPr>
          <w:color w:val="000000" w:themeColor="text1"/>
        </w:rPr>
      </w:pPr>
    </w:p>
    <w:p w:rsidRPr="002A0CA2" w:rsidR="002A41FA" w:rsidP="002A41FA" w:rsidRDefault="00CF4371" w14:paraId="797CE3A6" w14:textId="3E3B4207">
      <w:pPr>
        <w:autoSpaceDE w:val="0"/>
        <w:autoSpaceDN w:val="0"/>
        <w:adjustRightInd w:val="0"/>
        <w:rPr>
          <w:color w:val="000000" w:themeColor="text1"/>
        </w:rPr>
      </w:pPr>
      <w:r w:rsidRPr="002A0CA2">
        <w:rPr>
          <w:color w:val="000000" w:themeColor="text1"/>
        </w:rPr>
        <w:t>T</w:t>
      </w:r>
      <w:r w:rsidRPr="002A0CA2" w:rsidR="002A41FA">
        <w:rPr>
          <w:color w:val="000000" w:themeColor="text1"/>
        </w:rPr>
        <w:t xml:space="preserve">he NCAH Portal </w:t>
      </w:r>
      <w:r w:rsidRPr="002A0CA2">
        <w:rPr>
          <w:color w:val="000000" w:themeColor="text1"/>
        </w:rPr>
        <w:t xml:space="preserve">also </w:t>
      </w:r>
      <w:r w:rsidRPr="002A0CA2" w:rsidR="002A41FA">
        <w:rPr>
          <w:color w:val="000000" w:themeColor="text1"/>
        </w:rPr>
        <w:t>accept</w:t>
      </w:r>
      <w:r w:rsidRPr="002A0CA2">
        <w:rPr>
          <w:color w:val="000000" w:themeColor="text1"/>
        </w:rPr>
        <w:t>s</w:t>
      </w:r>
      <w:r w:rsidRPr="002A0CA2" w:rsidR="002A41FA">
        <w:rPr>
          <w:color w:val="000000" w:themeColor="text1"/>
        </w:rPr>
        <w:t xml:space="preserve"> electronic submissions of outlines of production and special outlines. These submissions had previously been submitted </w:t>
      </w:r>
      <w:r w:rsidRPr="002A0CA2" w:rsidR="007479BF">
        <w:rPr>
          <w:color w:val="000000" w:themeColor="text1"/>
        </w:rPr>
        <w:t xml:space="preserve">in </w:t>
      </w:r>
      <w:r w:rsidRPr="002A0CA2" w:rsidR="002A41FA">
        <w:rPr>
          <w:color w:val="000000" w:themeColor="text1"/>
        </w:rPr>
        <w:t xml:space="preserve">hard copy using APHIS Form 2015. </w:t>
      </w:r>
      <w:r w:rsidRPr="002A0CA2" w:rsidR="00C81EF7">
        <w:rPr>
          <w:color w:val="000000" w:themeColor="text1"/>
        </w:rPr>
        <w:t xml:space="preserve">CVB still accepts APHIS Form 2015 for all uses by firms not using the NCAH portal, either by choice or because they are prelicense firms that do not have access to the NCAH portal. </w:t>
      </w:r>
    </w:p>
    <w:p w:rsidRPr="002A0CA2" w:rsidR="002A41FA" w:rsidP="002A41FA" w:rsidRDefault="002A41FA" w14:paraId="473644A0" w14:textId="77777777">
      <w:pPr>
        <w:autoSpaceDE w:val="0"/>
        <w:autoSpaceDN w:val="0"/>
        <w:adjustRightInd w:val="0"/>
        <w:rPr>
          <w:color w:val="000000" w:themeColor="text1"/>
        </w:rPr>
      </w:pPr>
    </w:p>
    <w:p w:rsidRPr="002A0CA2" w:rsidR="00CF4371" w:rsidP="00CF4371" w:rsidRDefault="00CF4371" w14:paraId="11BA0ADD" w14:textId="263A755B">
      <w:pPr>
        <w:autoSpaceDE w:val="0"/>
        <w:autoSpaceDN w:val="0"/>
        <w:adjustRightInd w:val="0"/>
        <w:rPr>
          <w:color w:val="000000" w:themeColor="text1"/>
        </w:rPr>
      </w:pPr>
      <w:r w:rsidRPr="002A0CA2">
        <w:rPr>
          <w:color w:val="000000" w:themeColor="text1"/>
        </w:rPr>
        <w:t xml:space="preserve">Each of these forms </w:t>
      </w:r>
      <w:r w:rsidRPr="002A0CA2" w:rsidR="00D40E7B">
        <w:rPr>
          <w:color w:val="000000" w:themeColor="text1"/>
        </w:rPr>
        <w:t>is</w:t>
      </w:r>
      <w:r w:rsidRPr="002A0CA2">
        <w:rPr>
          <w:color w:val="000000" w:themeColor="text1"/>
        </w:rPr>
        <w:t xml:space="preserve"> also PDF fillable and available on the APHIS</w:t>
      </w:r>
      <w:r w:rsidRPr="002A0CA2" w:rsidR="00C81EF7">
        <w:rPr>
          <w:color w:val="000000" w:themeColor="text1"/>
        </w:rPr>
        <w:t xml:space="preserve"> Forms w</w:t>
      </w:r>
      <w:r w:rsidRPr="002A0CA2">
        <w:rPr>
          <w:color w:val="000000" w:themeColor="text1"/>
        </w:rPr>
        <w:t>ebpage for electronic completion. They and the outlines can be attached to APHIS Form 2049 and submitted via the NCAH Portal.</w:t>
      </w:r>
    </w:p>
    <w:p w:rsidRPr="002A0CA2" w:rsidR="00CF4371" w:rsidP="00CF4371" w:rsidRDefault="00CF4371" w14:paraId="025CF09C" w14:textId="77777777">
      <w:pPr>
        <w:autoSpaceDE w:val="0"/>
        <w:autoSpaceDN w:val="0"/>
        <w:adjustRightInd w:val="0"/>
        <w:rPr>
          <w:color w:val="000000" w:themeColor="text1"/>
        </w:rPr>
      </w:pPr>
    </w:p>
    <w:p w:rsidRPr="002A0CA2" w:rsidR="00CF4371" w:rsidP="00CF4371" w:rsidRDefault="00CF4371" w14:paraId="5AA2FB99" w14:textId="584CF68F">
      <w:pPr>
        <w:autoSpaceDE w:val="0"/>
        <w:autoSpaceDN w:val="0"/>
        <w:adjustRightInd w:val="0"/>
        <w:rPr>
          <w:color w:val="000000" w:themeColor="text1"/>
        </w:rPr>
      </w:pPr>
      <w:r w:rsidRPr="002A0CA2">
        <w:rPr>
          <w:color w:val="000000" w:themeColor="text1"/>
        </w:rPr>
        <w:lastRenderedPageBreak/>
        <w:t>The NCAH Portal also allow</w:t>
      </w:r>
      <w:r w:rsidRPr="002A0CA2" w:rsidR="00C81EF7">
        <w:rPr>
          <w:color w:val="000000" w:themeColor="text1"/>
        </w:rPr>
        <w:t>s</w:t>
      </w:r>
      <w:r w:rsidRPr="002A0CA2">
        <w:rPr>
          <w:color w:val="000000" w:themeColor="text1"/>
        </w:rPr>
        <w:t xml:space="preserve"> electronic submission of veterinary biologic labels, which had previously been submitted hard copy by using APHIS Form 2015.</w:t>
      </w:r>
    </w:p>
    <w:p w:rsidRPr="002A0CA2" w:rsidR="00CF4371" w:rsidP="00CF4371" w:rsidRDefault="00CF4371" w14:paraId="399B106C" w14:textId="77777777">
      <w:pPr>
        <w:autoSpaceDE w:val="0"/>
        <w:autoSpaceDN w:val="0"/>
        <w:adjustRightInd w:val="0"/>
        <w:rPr>
          <w:color w:val="000000" w:themeColor="text1"/>
        </w:rPr>
      </w:pPr>
    </w:p>
    <w:p w:rsidRPr="002A0CA2" w:rsidR="002A41FA" w:rsidP="002A41FA" w:rsidRDefault="002A41FA" w14:paraId="497E9EC6" w14:textId="6EF9B6A4">
      <w:pPr>
        <w:autoSpaceDE w:val="0"/>
        <w:autoSpaceDN w:val="0"/>
        <w:adjustRightInd w:val="0"/>
        <w:rPr>
          <w:color w:val="000000" w:themeColor="text1"/>
        </w:rPr>
      </w:pPr>
      <w:r w:rsidRPr="002A0CA2">
        <w:rPr>
          <w:color w:val="000000" w:themeColor="text1"/>
        </w:rPr>
        <w:t xml:space="preserve">CVB </w:t>
      </w:r>
      <w:r w:rsidRPr="002A0CA2" w:rsidR="00C866D4">
        <w:rPr>
          <w:color w:val="000000" w:themeColor="text1"/>
        </w:rPr>
        <w:t>allow</w:t>
      </w:r>
      <w:r w:rsidRPr="002A0CA2" w:rsidR="00C81EF7">
        <w:rPr>
          <w:color w:val="000000" w:themeColor="text1"/>
        </w:rPr>
        <w:t>s</w:t>
      </w:r>
      <w:r w:rsidRPr="002A0CA2" w:rsidR="00C866D4">
        <w:rPr>
          <w:color w:val="000000" w:themeColor="text1"/>
        </w:rPr>
        <w:t xml:space="preserve"> </w:t>
      </w:r>
      <w:r w:rsidRPr="002A0CA2">
        <w:rPr>
          <w:color w:val="000000" w:themeColor="text1"/>
        </w:rPr>
        <w:t xml:space="preserve">submission of facility documents </w:t>
      </w:r>
      <w:r w:rsidRPr="002A0CA2" w:rsidR="00C866D4">
        <w:rPr>
          <w:color w:val="000000" w:themeColor="text1"/>
        </w:rPr>
        <w:t xml:space="preserve">via </w:t>
      </w:r>
      <w:r w:rsidRPr="002A0CA2">
        <w:rPr>
          <w:color w:val="000000" w:themeColor="text1"/>
        </w:rPr>
        <w:t xml:space="preserve">the NCAH Portal by using APHIS Form 2048. CVB </w:t>
      </w:r>
      <w:r w:rsidRPr="002A0CA2" w:rsidR="001E73E8">
        <w:rPr>
          <w:color w:val="000000" w:themeColor="text1"/>
        </w:rPr>
        <w:t xml:space="preserve">also </w:t>
      </w:r>
      <w:r w:rsidRPr="002A0CA2" w:rsidR="00C866D4">
        <w:rPr>
          <w:color w:val="000000" w:themeColor="text1"/>
        </w:rPr>
        <w:t>allow</w:t>
      </w:r>
      <w:r w:rsidRPr="002A0CA2" w:rsidR="00C81EF7">
        <w:rPr>
          <w:color w:val="000000" w:themeColor="text1"/>
        </w:rPr>
        <w:t>s</w:t>
      </w:r>
      <w:r w:rsidRPr="002A0CA2" w:rsidR="001E73E8">
        <w:rPr>
          <w:color w:val="000000" w:themeColor="text1"/>
        </w:rPr>
        <w:t xml:space="preserve"> </w:t>
      </w:r>
      <w:r w:rsidRPr="002A0CA2">
        <w:rPr>
          <w:color w:val="000000" w:themeColor="text1"/>
        </w:rPr>
        <w:t>electronic submissions of APHIS Forms</w:t>
      </w:r>
      <w:r w:rsidRPr="002A0CA2" w:rsidR="00C454FB">
        <w:rPr>
          <w:color w:val="000000" w:themeColor="text1"/>
        </w:rPr>
        <w:t xml:space="preserve"> </w:t>
      </w:r>
      <w:r w:rsidRPr="002A0CA2">
        <w:rPr>
          <w:color w:val="000000" w:themeColor="text1"/>
        </w:rPr>
        <w:t>2017, 2046, 2046S, 2047</w:t>
      </w:r>
      <w:r w:rsidRPr="002A0CA2" w:rsidR="007479BF">
        <w:rPr>
          <w:color w:val="000000" w:themeColor="text1"/>
        </w:rPr>
        <w:t>,</w:t>
      </w:r>
      <w:r w:rsidRPr="002A0CA2">
        <w:rPr>
          <w:color w:val="000000" w:themeColor="text1"/>
        </w:rPr>
        <w:t xml:space="preserve"> and 2047S</w:t>
      </w:r>
      <w:r w:rsidRPr="002A0CA2" w:rsidR="00C866D4">
        <w:rPr>
          <w:color w:val="000000" w:themeColor="text1"/>
        </w:rPr>
        <w:t xml:space="preserve"> for export certification</w:t>
      </w:r>
      <w:r w:rsidRPr="002A0CA2">
        <w:rPr>
          <w:color w:val="000000" w:themeColor="text1"/>
        </w:rPr>
        <w:t>. CVB will continue to process paper submissions for regulated entities.</w:t>
      </w:r>
    </w:p>
    <w:p w:rsidRPr="002A0CA2" w:rsidR="00997213" w:rsidP="002A41FA" w:rsidRDefault="00997213" w14:paraId="39D09A4E" w14:textId="0C978D10">
      <w:pPr>
        <w:autoSpaceDE w:val="0"/>
        <w:autoSpaceDN w:val="0"/>
        <w:adjustRightInd w:val="0"/>
        <w:rPr>
          <w:color w:val="000000" w:themeColor="text1"/>
        </w:rPr>
      </w:pPr>
      <w:r w:rsidRPr="002A0CA2">
        <w:rPr>
          <w:color w:val="000000" w:themeColor="text1"/>
        </w:rPr>
        <w:t>APHIS Form 2009 is a new form</w:t>
      </w:r>
      <w:r w:rsidRPr="002A0CA2" w:rsidR="00C866D4">
        <w:rPr>
          <w:color w:val="000000" w:themeColor="text1"/>
        </w:rPr>
        <w:t xml:space="preserve"> to </w:t>
      </w:r>
      <w:r w:rsidRPr="002A0CA2" w:rsidR="008D41AC">
        <w:rPr>
          <w:color w:val="000000" w:themeColor="text1"/>
        </w:rPr>
        <w:t>use</w:t>
      </w:r>
      <w:r w:rsidRPr="002A0CA2" w:rsidR="009E1A58">
        <w:rPr>
          <w:color w:val="000000" w:themeColor="text1"/>
        </w:rPr>
        <w:t xml:space="preserve"> when submitting hard copy facility documents</w:t>
      </w:r>
      <w:r w:rsidRPr="002A0CA2">
        <w:rPr>
          <w:color w:val="000000" w:themeColor="text1"/>
        </w:rPr>
        <w:t xml:space="preserve">. It </w:t>
      </w:r>
      <w:r w:rsidRPr="002A0CA2" w:rsidR="009E1A58">
        <w:rPr>
          <w:color w:val="000000" w:themeColor="text1"/>
        </w:rPr>
        <w:t xml:space="preserve">is a </w:t>
      </w:r>
      <w:r w:rsidRPr="002A0CA2">
        <w:rPr>
          <w:color w:val="000000" w:themeColor="text1"/>
        </w:rPr>
        <w:t>fillable PDF.</w:t>
      </w:r>
      <w:r w:rsidRPr="002A0CA2" w:rsidR="009E1A58">
        <w:rPr>
          <w:color w:val="000000" w:themeColor="text1"/>
        </w:rPr>
        <w:t xml:space="preserve"> Regulated industry </w:t>
      </w:r>
      <w:r w:rsidRPr="002A0CA2" w:rsidR="00C81EF7">
        <w:rPr>
          <w:color w:val="000000" w:themeColor="text1"/>
        </w:rPr>
        <w:t xml:space="preserve">entities </w:t>
      </w:r>
      <w:r w:rsidRPr="002A0CA2" w:rsidR="009E1A58">
        <w:rPr>
          <w:color w:val="000000" w:themeColor="text1"/>
        </w:rPr>
        <w:t>that do not have access to the NCAH Portal will u</w:t>
      </w:r>
      <w:r w:rsidRPr="002A0CA2" w:rsidR="00C81EF7">
        <w:rPr>
          <w:color w:val="000000" w:themeColor="text1"/>
        </w:rPr>
        <w:t>se</w:t>
      </w:r>
      <w:r w:rsidRPr="002A0CA2" w:rsidR="009E1A58">
        <w:rPr>
          <w:color w:val="000000" w:themeColor="text1"/>
        </w:rPr>
        <w:t xml:space="preserve"> the APHIS Form 2009.</w:t>
      </w:r>
    </w:p>
    <w:p w:rsidRPr="002A0CA2" w:rsidR="002A41FA" w:rsidP="002A41FA" w:rsidRDefault="002A41FA" w14:paraId="64FDDAF6" w14:textId="77777777">
      <w:pPr>
        <w:autoSpaceDE w:val="0"/>
        <w:autoSpaceDN w:val="0"/>
        <w:adjustRightInd w:val="0"/>
        <w:rPr>
          <w:color w:val="000000" w:themeColor="text1"/>
        </w:rPr>
      </w:pPr>
    </w:p>
    <w:p w:rsidRPr="002A0CA2" w:rsidR="001E73E8" w:rsidP="002A41FA" w:rsidRDefault="001E73E8" w14:paraId="1BB8F0CB" w14:textId="285A9BCC">
      <w:pPr>
        <w:autoSpaceDE w:val="0"/>
        <w:autoSpaceDN w:val="0"/>
        <w:adjustRightInd w:val="0"/>
        <w:rPr>
          <w:color w:val="000000" w:themeColor="text1"/>
        </w:rPr>
      </w:pPr>
      <w:r w:rsidRPr="002A0CA2">
        <w:rPr>
          <w:color w:val="000000" w:themeColor="text1"/>
        </w:rPr>
        <w:t xml:space="preserve">APHIS Form 2005 is submitted </w:t>
      </w:r>
      <w:r w:rsidRPr="002A0CA2" w:rsidR="007C1066">
        <w:rPr>
          <w:color w:val="000000" w:themeColor="text1"/>
        </w:rPr>
        <w:t xml:space="preserve">electronically </w:t>
      </w:r>
      <w:r w:rsidRPr="002A0CA2">
        <w:rPr>
          <w:color w:val="000000" w:themeColor="text1"/>
        </w:rPr>
        <w:t xml:space="preserve">through </w:t>
      </w:r>
      <w:r w:rsidRPr="002A0CA2" w:rsidR="00C866D4">
        <w:rPr>
          <w:color w:val="000000" w:themeColor="text1"/>
        </w:rPr>
        <w:t>the NCAH Portal</w:t>
      </w:r>
      <w:r w:rsidRPr="002A0CA2">
        <w:rPr>
          <w:color w:val="000000" w:themeColor="text1"/>
        </w:rPr>
        <w:t>.</w:t>
      </w:r>
    </w:p>
    <w:p w:rsidRPr="002A0CA2" w:rsidR="001E73E8" w:rsidP="002A41FA" w:rsidRDefault="001E73E8" w14:paraId="20FA66D4" w14:textId="77777777">
      <w:pPr>
        <w:autoSpaceDE w:val="0"/>
        <w:autoSpaceDN w:val="0"/>
        <w:adjustRightInd w:val="0"/>
        <w:rPr>
          <w:color w:val="000000" w:themeColor="text1"/>
        </w:rPr>
      </w:pPr>
    </w:p>
    <w:p w:rsidRPr="002A0CA2" w:rsidR="00A6601A" w:rsidP="00BA06BE" w:rsidRDefault="00BA06BE" w14:paraId="529EF136" w14:textId="1F24CABC">
      <w:pPr>
        <w:autoSpaceDE w:val="0"/>
        <w:autoSpaceDN w:val="0"/>
        <w:adjustRightInd w:val="0"/>
        <w:rPr>
          <w:color w:val="000000" w:themeColor="text1"/>
        </w:rPr>
      </w:pPr>
      <w:r w:rsidRPr="002A0CA2">
        <w:rPr>
          <w:color w:val="000000" w:themeColor="text1"/>
        </w:rPr>
        <w:t>Notification of wholesalers (licensees and permittees)</w:t>
      </w:r>
      <w:r w:rsidRPr="002A0CA2" w:rsidR="007479BF">
        <w:rPr>
          <w:color w:val="000000" w:themeColor="text1"/>
        </w:rPr>
        <w:t xml:space="preserve"> and</w:t>
      </w:r>
      <w:r w:rsidRPr="002A0CA2">
        <w:rPr>
          <w:color w:val="000000" w:themeColor="text1"/>
        </w:rPr>
        <w:t xml:space="preserve"> accounting of inventory (licensees and permittees</w:t>
      </w:r>
      <w:r w:rsidRPr="002A0CA2" w:rsidR="007479BF">
        <w:rPr>
          <w:color w:val="000000" w:themeColor="text1"/>
        </w:rPr>
        <w:t xml:space="preserve">, as well as </w:t>
      </w:r>
      <w:r w:rsidRPr="002A0CA2">
        <w:rPr>
          <w:color w:val="000000" w:themeColor="text1"/>
        </w:rPr>
        <w:t xml:space="preserve">wholesalers, jobbers, dealers, etc.) may be submitted to APHIS via fax or </w:t>
      </w:r>
      <w:r w:rsidRPr="002A0CA2" w:rsidR="009E1A58">
        <w:rPr>
          <w:color w:val="000000" w:themeColor="text1"/>
        </w:rPr>
        <w:t>NCAH Portal</w:t>
      </w:r>
      <w:r w:rsidRPr="002A0CA2">
        <w:rPr>
          <w:color w:val="000000" w:themeColor="text1"/>
        </w:rPr>
        <w:t>.</w:t>
      </w:r>
    </w:p>
    <w:p w:rsidRPr="002A0CA2" w:rsidR="00EA3295" w:rsidP="00BA06BE" w:rsidRDefault="00EA3295" w14:paraId="6A8F9375" w14:textId="0E61E99C">
      <w:pPr>
        <w:autoSpaceDE w:val="0"/>
        <w:autoSpaceDN w:val="0"/>
        <w:adjustRightInd w:val="0"/>
        <w:rPr>
          <w:color w:val="000000" w:themeColor="text1"/>
        </w:rPr>
      </w:pPr>
    </w:p>
    <w:p w:rsidRPr="002A0CA2" w:rsidR="00F937AB" w:rsidP="00BA06BE" w:rsidRDefault="00F937AB" w14:paraId="5D4BB21A" w14:textId="739B3ADC">
      <w:pPr>
        <w:autoSpaceDE w:val="0"/>
        <w:autoSpaceDN w:val="0"/>
        <w:adjustRightInd w:val="0"/>
        <w:rPr>
          <w:color w:val="000000" w:themeColor="text1"/>
        </w:rPr>
      </w:pPr>
      <w:r w:rsidRPr="002A0CA2">
        <w:rPr>
          <w:color w:val="000000" w:themeColor="text1"/>
        </w:rPr>
        <w:t>Paperwork and correspondence for patent term restoration, request for revision of the regulatory review period, the due diligence petition, applicant’s response, and request for hearing is generally handled via hard copy.</w:t>
      </w:r>
    </w:p>
    <w:p w:rsidRPr="002A0CA2" w:rsidR="00F937AB" w:rsidP="00BA06BE" w:rsidRDefault="00F937AB" w14:paraId="617917FC" w14:textId="77777777">
      <w:pPr>
        <w:autoSpaceDE w:val="0"/>
        <w:autoSpaceDN w:val="0"/>
        <w:adjustRightInd w:val="0"/>
        <w:rPr>
          <w:color w:val="000000" w:themeColor="text1"/>
        </w:rPr>
      </w:pPr>
    </w:p>
    <w:p w:rsidRPr="002A0CA2" w:rsidR="009679AB" w:rsidP="00BA06BE" w:rsidRDefault="00802409" w14:paraId="4AC72ED7" w14:textId="45BD6895">
      <w:pPr>
        <w:autoSpaceDE w:val="0"/>
        <w:autoSpaceDN w:val="0"/>
        <w:adjustRightInd w:val="0"/>
        <w:rPr>
          <w:color w:val="000000" w:themeColor="text1"/>
        </w:rPr>
      </w:pPr>
      <w:r w:rsidRPr="002A0CA2">
        <w:rPr>
          <w:color w:val="000000" w:themeColor="text1"/>
        </w:rPr>
        <w:t xml:space="preserve">In </w:t>
      </w:r>
      <w:r w:rsidRPr="002A0CA2" w:rsidR="009679AB">
        <w:rPr>
          <w:color w:val="000000" w:themeColor="text1"/>
        </w:rPr>
        <w:t xml:space="preserve">February 2021, CVB implemented mandatory reporting of adverse events by manufacturers, as </w:t>
      </w:r>
      <w:r w:rsidRPr="002A0CA2">
        <w:rPr>
          <w:color w:val="000000" w:themeColor="text1"/>
        </w:rPr>
        <w:t xml:space="preserve">set forth in </w:t>
      </w:r>
      <w:r w:rsidRPr="002A0CA2" w:rsidR="009679AB">
        <w:rPr>
          <w:color w:val="000000" w:themeColor="text1"/>
        </w:rPr>
        <w:t xml:space="preserve">9 CFR 116.9. </w:t>
      </w:r>
      <w:r w:rsidRPr="002A0CA2">
        <w:rPr>
          <w:color w:val="000000" w:themeColor="text1"/>
        </w:rPr>
        <w:t xml:space="preserve">CVB and manufacturers use two forms of electronic reporting to </w:t>
      </w:r>
      <w:r w:rsidRPr="002A0CA2" w:rsidR="009679AB">
        <w:rPr>
          <w:color w:val="000000" w:themeColor="text1"/>
        </w:rPr>
        <w:t xml:space="preserve">facilitate this implementation. </w:t>
      </w:r>
      <w:hyperlink w:history="1" w:anchor="pageStart" r:id="rId11">
        <w:r w:rsidRPr="002A0CA2" w:rsidR="009679AB">
          <w:rPr>
            <w:rStyle w:val="Hyperlink"/>
            <w:color w:val="000000" w:themeColor="text1"/>
          </w:rPr>
          <w:t>PV Express</w:t>
        </w:r>
      </w:hyperlink>
      <w:r w:rsidRPr="002A0CA2" w:rsidR="009679AB">
        <w:rPr>
          <w:color w:val="000000" w:themeColor="text1"/>
        </w:rPr>
        <w:t xml:space="preserve"> is available on the CVB website to report individual adverse event reports (AERs) and larger manufacturers that have the PV Works application can transmit a</w:t>
      </w:r>
      <w:r w:rsidRPr="002A0CA2">
        <w:rPr>
          <w:color w:val="000000" w:themeColor="text1"/>
        </w:rPr>
        <w:t>n</w:t>
      </w:r>
      <w:r w:rsidRPr="002A0CA2" w:rsidR="009679AB">
        <w:rPr>
          <w:color w:val="000000" w:themeColor="text1"/>
        </w:rPr>
        <w:t xml:space="preserve"> XML file to CVB. </w:t>
      </w:r>
      <w:hyperlink w:history="1" r:id="rId12">
        <w:r w:rsidRPr="002A0CA2" w:rsidR="009679AB">
          <w:rPr>
            <w:rStyle w:val="Hyperlink"/>
            <w:color w:val="000000" w:themeColor="text1"/>
          </w:rPr>
          <w:t>Adverse Even</w:t>
        </w:r>
        <w:r w:rsidRPr="002A0CA2" w:rsidR="00F937AB">
          <w:rPr>
            <w:rStyle w:val="Hyperlink"/>
            <w:color w:val="000000" w:themeColor="text1"/>
          </w:rPr>
          <w:t>t</w:t>
        </w:r>
        <w:r w:rsidRPr="002A0CA2" w:rsidR="009679AB">
          <w:rPr>
            <w:rStyle w:val="Hyperlink"/>
            <w:color w:val="000000" w:themeColor="text1"/>
          </w:rPr>
          <w:t xml:space="preserve"> Reporting Guidance</w:t>
        </w:r>
      </w:hyperlink>
      <w:r w:rsidRPr="002A0CA2" w:rsidR="009679AB">
        <w:rPr>
          <w:color w:val="000000" w:themeColor="text1"/>
        </w:rPr>
        <w:t xml:space="preserve"> is provided on the CVB website. </w:t>
      </w:r>
    </w:p>
    <w:p w:rsidRPr="002A0CA2" w:rsidR="009679AB" w:rsidP="00BA06BE" w:rsidRDefault="009679AB" w14:paraId="42CB056D" w14:textId="77777777">
      <w:pPr>
        <w:autoSpaceDE w:val="0"/>
        <w:autoSpaceDN w:val="0"/>
        <w:adjustRightInd w:val="0"/>
        <w:rPr>
          <w:color w:val="000000" w:themeColor="text1"/>
        </w:rPr>
      </w:pPr>
    </w:p>
    <w:p w:rsidRPr="002A0CA2" w:rsidR="00EA3295" w:rsidP="00BA06BE" w:rsidRDefault="009679AB" w14:paraId="536D6303" w14:textId="75FD954F">
      <w:pPr>
        <w:autoSpaceDE w:val="0"/>
        <w:autoSpaceDN w:val="0"/>
        <w:adjustRightInd w:val="0"/>
        <w:rPr>
          <w:color w:val="000000" w:themeColor="text1"/>
        </w:rPr>
      </w:pPr>
      <w:r w:rsidRPr="002A0CA2">
        <w:rPr>
          <w:color w:val="000000" w:themeColor="text1"/>
        </w:rPr>
        <w:t>CVB worked with manufacturers already using PV Works for reporting AERs to the Food and Drug Administration.</w:t>
      </w:r>
      <w:r w:rsidRPr="002A0CA2" w:rsidR="008C110D">
        <w:rPr>
          <w:color w:val="000000" w:themeColor="text1"/>
        </w:rPr>
        <w:t xml:space="preserve"> </w:t>
      </w:r>
      <w:r w:rsidRPr="002A0CA2" w:rsidR="00802409">
        <w:rPr>
          <w:color w:val="000000" w:themeColor="text1"/>
        </w:rPr>
        <w:t>T</w:t>
      </w:r>
      <w:r w:rsidRPr="002A0CA2" w:rsidR="008C110D">
        <w:rPr>
          <w:color w:val="000000" w:themeColor="text1"/>
        </w:rPr>
        <w:t>he implementation of mandatory reporting of AERs</w:t>
      </w:r>
      <w:r w:rsidRPr="002A0CA2" w:rsidR="00802409">
        <w:rPr>
          <w:color w:val="000000" w:themeColor="text1"/>
        </w:rPr>
        <w:t xml:space="preserve"> significantly expands</w:t>
      </w:r>
      <w:r w:rsidRPr="002A0CA2" w:rsidR="008C110D">
        <w:rPr>
          <w:color w:val="000000" w:themeColor="text1"/>
        </w:rPr>
        <w:t xml:space="preserve"> this information collection. There is specific </w:t>
      </w:r>
      <w:hyperlink w:history="1" r:id="rId13">
        <w:r w:rsidRPr="002A0CA2" w:rsidR="008C110D">
          <w:rPr>
            <w:rStyle w:val="Hyperlink"/>
            <w:color w:val="000000" w:themeColor="text1"/>
          </w:rPr>
          <w:t>guidance for the manufacturers</w:t>
        </w:r>
      </w:hyperlink>
      <w:r w:rsidRPr="002A0CA2" w:rsidR="008C110D">
        <w:rPr>
          <w:color w:val="000000" w:themeColor="text1"/>
        </w:rPr>
        <w:t xml:space="preserve"> on how to comply with the AER mandatory reporting on the CVB website. </w:t>
      </w:r>
    </w:p>
    <w:p w:rsidRPr="002A0CA2" w:rsidR="00EF49E9" w:rsidP="00BA06BE" w:rsidRDefault="00EF49E9" w14:paraId="4CE4A148" w14:textId="7A0C30BA">
      <w:pPr>
        <w:autoSpaceDE w:val="0"/>
        <w:autoSpaceDN w:val="0"/>
        <w:adjustRightInd w:val="0"/>
        <w:rPr>
          <w:color w:val="000000" w:themeColor="text1"/>
        </w:rPr>
      </w:pPr>
    </w:p>
    <w:p w:rsidRPr="002A0CA2" w:rsidR="00EF49E9" w:rsidP="00BA06BE" w:rsidRDefault="00802409" w14:paraId="40B64D27" w14:textId="2455B864">
      <w:pPr>
        <w:autoSpaceDE w:val="0"/>
        <w:autoSpaceDN w:val="0"/>
        <w:adjustRightInd w:val="0"/>
        <w:rPr>
          <w:color w:val="000000" w:themeColor="text1"/>
        </w:rPr>
      </w:pPr>
      <w:bookmarkStart w:name="_Hlk70336756" w:id="0"/>
      <w:r w:rsidRPr="002A0CA2">
        <w:rPr>
          <w:color w:val="000000" w:themeColor="text1"/>
        </w:rPr>
        <w:t>CVB consulted t</w:t>
      </w:r>
      <w:r w:rsidRPr="002A0CA2" w:rsidR="00EF49E9">
        <w:rPr>
          <w:color w:val="000000" w:themeColor="text1"/>
        </w:rPr>
        <w:t xml:space="preserve">he regulated industry of veterinary biological products and involved </w:t>
      </w:r>
      <w:r w:rsidRPr="002A0CA2">
        <w:rPr>
          <w:color w:val="000000" w:themeColor="text1"/>
        </w:rPr>
        <w:t xml:space="preserve">industry members in implementing </w:t>
      </w:r>
      <w:r w:rsidRPr="002A0CA2" w:rsidR="00EF49E9">
        <w:rPr>
          <w:color w:val="000000" w:themeColor="text1"/>
        </w:rPr>
        <w:t xml:space="preserve">electronic </w:t>
      </w:r>
      <w:r w:rsidRPr="002A0CA2" w:rsidR="00574EFA">
        <w:rPr>
          <w:color w:val="000000" w:themeColor="text1"/>
        </w:rPr>
        <w:t>submissions to</w:t>
      </w:r>
      <w:r w:rsidRPr="002A0CA2" w:rsidR="00EF49E9">
        <w:rPr>
          <w:color w:val="000000" w:themeColor="text1"/>
        </w:rPr>
        <w:t xml:space="preserve"> CVB</w:t>
      </w:r>
      <w:r w:rsidRPr="002A0CA2" w:rsidR="00574EFA">
        <w:rPr>
          <w:color w:val="000000" w:themeColor="text1"/>
        </w:rPr>
        <w:t xml:space="preserve">. </w:t>
      </w:r>
      <w:r w:rsidRPr="002A0CA2">
        <w:rPr>
          <w:color w:val="000000" w:themeColor="text1"/>
        </w:rPr>
        <w:t xml:space="preserve">Regulated entities </w:t>
      </w:r>
      <w:r w:rsidRPr="002A0CA2" w:rsidR="00574EFA">
        <w:rPr>
          <w:color w:val="000000" w:themeColor="text1"/>
        </w:rPr>
        <w:t>have compl</w:t>
      </w:r>
      <w:r w:rsidRPr="002A0CA2" w:rsidR="00703944">
        <w:rPr>
          <w:color w:val="000000" w:themeColor="text1"/>
        </w:rPr>
        <w:t>i</w:t>
      </w:r>
      <w:r w:rsidRPr="002A0CA2" w:rsidR="00574EFA">
        <w:rPr>
          <w:color w:val="000000" w:themeColor="text1"/>
        </w:rPr>
        <w:t>mented the process</w:t>
      </w:r>
      <w:r w:rsidRPr="002A0CA2">
        <w:rPr>
          <w:color w:val="000000" w:themeColor="text1"/>
        </w:rPr>
        <w:t xml:space="preserve">; the process has particularly facilitated work during </w:t>
      </w:r>
      <w:r w:rsidRPr="002A0CA2" w:rsidR="00574EFA">
        <w:rPr>
          <w:color w:val="000000" w:themeColor="text1"/>
        </w:rPr>
        <w:t>the COVID-19 pandemic and has not resulted in any delays or negative impacts in the availability of effective veterinary biologics.</w:t>
      </w:r>
    </w:p>
    <w:bookmarkEnd w:id="0"/>
    <w:p w:rsidRPr="002A0CA2" w:rsidR="00A6601A" w:rsidP="00BA06BE" w:rsidRDefault="00A6601A" w14:paraId="1312C1DC" w14:textId="77777777">
      <w:pPr>
        <w:autoSpaceDE w:val="0"/>
        <w:autoSpaceDN w:val="0"/>
        <w:adjustRightInd w:val="0"/>
        <w:rPr>
          <w:color w:val="000000" w:themeColor="text1"/>
        </w:rPr>
      </w:pPr>
    </w:p>
    <w:p w:rsidRPr="002A0CA2" w:rsidR="0071500E" w:rsidP="00BA06BE" w:rsidRDefault="0071500E" w14:paraId="45785872" w14:textId="77777777">
      <w:pPr>
        <w:autoSpaceDE w:val="0"/>
        <w:autoSpaceDN w:val="0"/>
        <w:adjustRightInd w:val="0"/>
        <w:rPr>
          <w:color w:val="000000" w:themeColor="text1"/>
        </w:rPr>
      </w:pPr>
    </w:p>
    <w:p w:rsidRPr="002A0CA2" w:rsidR="0008208A" w:rsidP="00BA06BE" w:rsidRDefault="0008208A" w14:paraId="1109B55F" w14:textId="7A2AD36F">
      <w:pPr>
        <w:autoSpaceDE w:val="0"/>
        <w:autoSpaceDN w:val="0"/>
        <w:adjustRightInd w:val="0"/>
        <w:rPr>
          <w:b/>
          <w:bCs/>
          <w:color w:val="000000" w:themeColor="text1"/>
        </w:rPr>
      </w:pPr>
      <w:r w:rsidRPr="002A0CA2">
        <w:rPr>
          <w:b/>
          <w:bCs/>
          <w:color w:val="000000" w:themeColor="text1"/>
        </w:rPr>
        <w:t>4.  Describe efforts to identify duplication.  Show specifically why any similar information already available cannot be used or modified for use for the purpose</w:t>
      </w:r>
      <w:r w:rsidRPr="002A0CA2" w:rsidR="00D40E7B">
        <w:rPr>
          <w:b/>
          <w:bCs/>
          <w:color w:val="000000" w:themeColor="text1"/>
        </w:rPr>
        <w:t>s</w:t>
      </w:r>
      <w:r w:rsidRPr="002A0CA2">
        <w:rPr>
          <w:b/>
          <w:bCs/>
          <w:color w:val="000000" w:themeColor="text1"/>
        </w:rPr>
        <w:t xml:space="preserve"> described in item 2 above.</w:t>
      </w:r>
    </w:p>
    <w:p w:rsidRPr="002A0CA2" w:rsidR="0008208A" w:rsidP="00BA06BE" w:rsidRDefault="0008208A" w14:paraId="3C7FA8F8" w14:textId="77777777">
      <w:pPr>
        <w:autoSpaceDE w:val="0"/>
        <w:autoSpaceDN w:val="0"/>
        <w:adjustRightInd w:val="0"/>
        <w:rPr>
          <w:color w:val="000000" w:themeColor="text1"/>
        </w:rPr>
      </w:pPr>
    </w:p>
    <w:p w:rsidRPr="002A0CA2" w:rsidR="0008208A" w:rsidP="00BA06BE" w:rsidRDefault="00C544C0" w14:paraId="0882196C" w14:textId="0049774F">
      <w:pPr>
        <w:autoSpaceDE w:val="0"/>
        <w:autoSpaceDN w:val="0"/>
        <w:adjustRightInd w:val="0"/>
        <w:rPr>
          <w:color w:val="000000" w:themeColor="text1"/>
        </w:rPr>
      </w:pPr>
      <w:r w:rsidRPr="002A0CA2">
        <w:rPr>
          <w:color w:val="000000" w:themeColor="text1"/>
        </w:rPr>
        <w:t xml:space="preserve">Activities within this information collection are </w:t>
      </w:r>
      <w:r w:rsidRPr="002A0CA2" w:rsidR="0008208A">
        <w:rPr>
          <w:color w:val="000000" w:themeColor="text1"/>
        </w:rPr>
        <w:t xml:space="preserve">exclusive to </w:t>
      </w:r>
      <w:r w:rsidRPr="002A0CA2">
        <w:rPr>
          <w:color w:val="000000" w:themeColor="text1"/>
        </w:rPr>
        <w:t>APHIS</w:t>
      </w:r>
      <w:r w:rsidRPr="002A0CA2" w:rsidR="00F44513">
        <w:rPr>
          <w:color w:val="000000" w:themeColor="text1"/>
        </w:rPr>
        <w:t>’</w:t>
      </w:r>
      <w:r w:rsidRPr="002A0CA2">
        <w:rPr>
          <w:color w:val="000000" w:themeColor="text1"/>
        </w:rPr>
        <w:t xml:space="preserve">s </w:t>
      </w:r>
      <w:r w:rsidRPr="002A0CA2" w:rsidR="0008208A">
        <w:rPr>
          <w:color w:val="000000" w:themeColor="text1"/>
        </w:rPr>
        <w:t xml:space="preserve">mission of preventing the importation, preparation, sale, or shipment of harmful veterinary biological products. </w:t>
      </w:r>
      <w:r w:rsidRPr="002A0CA2" w:rsidR="004E37C5">
        <w:rPr>
          <w:color w:val="000000" w:themeColor="text1"/>
        </w:rPr>
        <w:t xml:space="preserve">The </w:t>
      </w:r>
      <w:r w:rsidRPr="002A0CA2" w:rsidR="00D40E7B">
        <w:rPr>
          <w:color w:val="000000" w:themeColor="text1"/>
        </w:rPr>
        <w:t xml:space="preserve">Food and Drug Administration </w:t>
      </w:r>
      <w:r w:rsidRPr="002A0CA2" w:rsidR="004E37C5">
        <w:rPr>
          <w:color w:val="000000" w:themeColor="text1"/>
        </w:rPr>
        <w:t xml:space="preserve">has a related program </w:t>
      </w:r>
      <w:r w:rsidRPr="002A0CA2" w:rsidR="00D40E7B">
        <w:rPr>
          <w:color w:val="000000" w:themeColor="text1"/>
        </w:rPr>
        <w:t xml:space="preserve">that </w:t>
      </w:r>
      <w:r w:rsidRPr="002A0CA2" w:rsidR="004E37C5">
        <w:rPr>
          <w:color w:val="000000" w:themeColor="text1"/>
        </w:rPr>
        <w:t>regulates veterinary pharmaceuticals used for the treatment of disease</w:t>
      </w:r>
      <w:r w:rsidRPr="002A0CA2" w:rsidR="00F44513">
        <w:rPr>
          <w:color w:val="000000" w:themeColor="text1"/>
        </w:rPr>
        <w:t>s</w:t>
      </w:r>
      <w:r w:rsidRPr="002A0CA2" w:rsidR="004E37C5">
        <w:rPr>
          <w:color w:val="000000" w:themeColor="text1"/>
        </w:rPr>
        <w:t xml:space="preserve"> in animals</w:t>
      </w:r>
      <w:r w:rsidRPr="002A0CA2" w:rsidR="00D40E7B">
        <w:rPr>
          <w:color w:val="000000" w:themeColor="text1"/>
        </w:rPr>
        <w:t>,</w:t>
      </w:r>
      <w:r w:rsidRPr="002A0CA2" w:rsidR="00F44513">
        <w:rPr>
          <w:color w:val="000000" w:themeColor="text1"/>
        </w:rPr>
        <w:t xml:space="preserve"> which is different than the </w:t>
      </w:r>
      <w:r w:rsidRPr="002A0CA2" w:rsidR="004E37C5">
        <w:rPr>
          <w:color w:val="000000" w:themeColor="text1"/>
        </w:rPr>
        <w:t xml:space="preserve">APHIS </w:t>
      </w:r>
      <w:r w:rsidRPr="002A0CA2" w:rsidR="00F44513">
        <w:rPr>
          <w:color w:val="000000" w:themeColor="text1"/>
        </w:rPr>
        <w:t xml:space="preserve">program for </w:t>
      </w:r>
      <w:r w:rsidRPr="002A0CA2" w:rsidR="004E37C5">
        <w:rPr>
          <w:color w:val="000000" w:themeColor="text1"/>
        </w:rPr>
        <w:t>regulat</w:t>
      </w:r>
      <w:r w:rsidRPr="002A0CA2" w:rsidR="00F44513">
        <w:rPr>
          <w:color w:val="000000" w:themeColor="text1"/>
        </w:rPr>
        <w:t xml:space="preserve">ing </w:t>
      </w:r>
      <w:r w:rsidRPr="002A0CA2" w:rsidR="004E37C5">
        <w:rPr>
          <w:color w:val="000000" w:themeColor="text1"/>
        </w:rPr>
        <w:t>vaccines that aid in the prevention of disease</w:t>
      </w:r>
      <w:r w:rsidRPr="002A0CA2" w:rsidR="00F44513">
        <w:rPr>
          <w:color w:val="000000" w:themeColor="text1"/>
        </w:rPr>
        <w:t>s</w:t>
      </w:r>
      <w:r w:rsidRPr="002A0CA2" w:rsidR="004E37C5">
        <w:rPr>
          <w:color w:val="000000" w:themeColor="text1"/>
        </w:rPr>
        <w:t xml:space="preserve"> in animals</w:t>
      </w:r>
      <w:r w:rsidRPr="002A0CA2" w:rsidR="0008208A">
        <w:rPr>
          <w:color w:val="000000" w:themeColor="text1"/>
        </w:rPr>
        <w:t xml:space="preserve">. </w:t>
      </w:r>
      <w:r w:rsidRPr="002A0CA2" w:rsidR="004E37C5">
        <w:rPr>
          <w:color w:val="000000" w:themeColor="text1"/>
        </w:rPr>
        <w:t xml:space="preserve">The two programs are complementary but do not </w:t>
      </w:r>
      <w:r w:rsidRPr="002A0CA2" w:rsidR="0008208A">
        <w:rPr>
          <w:color w:val="000000" w:themeColor="text1"/>
        </w:rPr>
        <w:t>overlap</w:t>
      </w:r>
      <w:r w:rsidRPr="002A0CA2" w:rsidR="004E37C5">
        <w:rPr>
          <w:color w:val="000000" w:themeColor="text1"/>
        </w:rPr>
        <w:t xml:space="preserve"> in their</w:t>
      </w:r>
      <w:r w:rsidRPr="002A0CA2" w:rsidR="0008208A">
        <w:rPr>
          <w:color w:val="000000" w:themeColor="text1"/>
        </w:rPr>
        <w:t xml:space="preserve"> information collection activities. </w:t>
      </w:r>
    </w:p>
    <w:p w:rsidRPr="002A0CA2" w:rsidR="0008208A" w:rsidP="00BA06BE" w:rsidRDefault="0008208A" w14:paraId="75AF93C4" w14:textId="69057982">
      <w:pPr>
        <w:autoSpaceDE w:val="0"/>
        <w:autoSpaceDN w:val="0"/>
        <w:adjustRightInd w:val="0"/>
        <w:rPr>
          <w:b/>
          <w:color w:val="000000" w:themeColor="text1"/>
        </w:rPr>
      </w:pPr>
      <w:r w:rsidRPr="002A0CA2">
        <w:rPr>
          <w:b/>
          <w:bCs/>
          <w:color w:val="000000" w:themeColor="text1"/>
        </w:rPr>
        <w:lastRenderedPageBreak/>
        <w:t>5.  If the collection of information impacts small businesses or other small entities, describe any methods used to minimize burden.</w:t>
      </w:r>
    </w:p>
    <w:p w:rsidRPr="002A0CA2" w:rsidR="0008208A" w:rsidP="00BA06BE" w:rsidRDefault="0008208A" w14:paraId="6BC4BB3D" w14:textId="77777777">
      <w:pPr>
        <w:autoSpaceDE w:val="0"/>
        <w:autoSpaceDN w:val="0"/>
        <w:adjustRightInd w:val="0"/>
        <w:rPr>
          <w:color w:val="000000" w:themeColor="text1"/>
        </w:rPr>
      </w:pPr>
    </w:p>
    <w:p w:rsidRPr="002A0CA2" w:rsidR="0008208A" w:rsidP="00BA06BE" w:rsidRDefault="00E00E72" w14:paraId="755008DF" w14:textId="4F4E46F3">
      <w:pPr>
        <w:autoSpaceDE w:val="0"/>
        <w:autoSpaceDN w:val="0"/>
        <w:adjustRightInd w:val="0"/>
        <w:rPr>
          <w:color w:val="000000" w:themeColor="text1"/>
        </w:rPr>
      </w:pPr>
      <w:r w:rsidRPr="002A0CA2">
        <w:rPr>
          <w:color w:val="000000" w:themeColor="text1"/>
        </w:rPr>
        <w:t xml:space="preserve">APHIS estimates that 95 percent of the business respondents are considered small entities. </w:t>
      </w:r>
      <w:r w:rsidRPr="002A0CA2" w:rsidR="00C12235">
        <w:rPr>
          <w:color w:val="000000" w:themeColor="text1"/>
        </w:rPr>
        <w:t xml:space="preserve">Burden is minimized by requesting information that is typically maintained in electronic format, and efficient data collection and recordkeeping are routine elements of laboratory best practices. </w:t>
      </w:r>
    </w:p>
    <w:p w:rsidRPr="002A0CA2" w:rsidR="0008208A" w:rsidP="00BA06BE" w:rsidRDefault="0008208A" w14:paraId="1A713AA4" w14:textId="77777777">
      <w:pPr>
        <w:autoSpaceDE w:val="0"/>
        <w:autoSpaceDN w:val="0"/>
        <w:adjustRightInd w:val="0"/>
        <w:rPr>
          <w:color w:val="000000" w:themeColor="text1"/>
        </w:rPr>
      </w:pPr>
    </w:p>
    <w:p w:rsidRPr="002A0CA2" w:rsidR="00181E3D" w:rsidP="00BA06BE" w:rsidRDefault="00181E3D" w14:paraId="04E36126" w14:textId="77777777">
      <w:pPr>
        <w:autoSpaceDE w:val="0"/>
        <w:autoSpaceDN w:val="0"/>
        <w:adjustRightInd w:val="0"/>
        <w:rPr>
          <w:color w:val="000000" w:themeColor="text1"/>
        </w:rPr>
      </w:pPr>
    </w:p>
    <w:p w:rsidRPr="002A0CA2" w:rsidR="0008208A" w:rsidP="00BA06BE" w:rsidRDefault="0008208A" w14:paraId="2212B1CB" w14:textId="77777777">
      <w:pPr>
        <w:autoSpaceDE w:val="0"/>
        <w:autoSpaceDN w:val="0"/>
        <w:adjustRightInd w:val="0"/>
        <w:rPr>
          <w:b/>
          <w:bCs/>
          <w:color w:val="000000" w:themeColor="text1"/>
        </w:rPr>
      </w:pPr>
      <w:r w:rsidRPr="002A0CA2">
        <w:rPr>
          <w:b/>
          <w:bCs/>
          <w:color w:val="000000" w:themeColor="text1"/>
        </w:rPr>
        <w:t>6.  Describe the consequence to Federal program or policy activities if the collection is not conducted or is conducted less frequently, as well as any technical or legal obstacles to reducing burden.</w:t>
      </w:r>
    </w:p>
    <w:p w:rsidRPr="002A0CA2" w:rsidR="0008208A" w:rsidP="00BA06BE" w:rsidRDefault="0008208A" w14:paraId="423B7B0F" w14:textId="77777777">
      <w:pPr>
        <w:autoSpaceDE w:val="0"/>
        <w:autoSpaceDN w:val="0"/>
        <w:adjustRightInd w:val="0"/>
        <w:rPr>
          <w:color w:val="000000" w:themeColor="text1"/>
        </w:rPr>
      </w:pPr>
    </w:p>
    <w:p w:rsidRPr="002A0CA2" w:rsidR="00BA06BE" w:rsidP="00C82B72" w:rsidRDefault="0008208A" w14:paraId="7EECBEC5" w14:textId="5EF92A5D">
      <w:pPr>
        <w:rPr>
          <w:color w:val="000000" w:themeColor="text1"/>
        </w:rPr>
      </w:pPr>
      <w:r w:rsidRPr="002A0CA2">
        <w:rPr>
          <w:color w:val="000000" w:themeColor="text1"/>
        </w:rPr>
        <w:t>Fail</w:t>
      </w:r>
      <w:r w:rsidRPr="002A0CA2" w:rsidR="004022AE">
        <w:rPr>
          <w:color w:val="000000" w:themeColor="text1"/>
        </w:rPr>
        <w:t xml:space="preserve">ure to </w:t>
      </w:r>
      <w:r w:rsidRPr="002A0CA2">
        <w:rPr>
          <w:color w:val="000000" w:themeColor="text1"/>
        </w:rPr>
        <w:t xml:space="preserve">collect this information </w:t>
      </w:r>
      <w:r w:rsidRPr="002A0CA2" w:rsidR="004022AE">
        <w:rPr>
          <w:color w:val="000000" w:themeColor="text1"/>
        </w:rPr>
        <w:t xml:space="preserve">in a timely manner could result in </w:t>
      </w:r>
      <w:r w:rsidRPr="002A0CA2">
        <w:rPr>
          <w:color w:val="000000" w:themeColor="text1"/>
        </w:rPr>
        <w:t xml:space="preserve">harmful veterinary biologics being distributed </w:t>
      </w:r>
      <w:r w:rsidRPr="002A0CA2" w:rsidR="004022AE">
        <w:rPr>
          <w:color w:val="000000" w:themeColor="text1"/>
        </w:rPr>
        <w:t xml:space="preserve">or used </w:t>
      </w:r>
      <w:r w:rsidRPr="002A0CA2">
        <w:rPr>
          <w:color w:val="000000" w:themeColor="text1"/>
        </w:rPr>
        <w:t>in the United States</w:t>
      </w:r>
      <w:r w:rsidRPr="002A0CA2" w:rsidR="004022AE">
        <w:rPr>
          <w:color w:val="000000" w:themeColor="text1"/>
        </w:rPr>
        <w:t xml:space="preserve">. Consequently, injuries to animals or failure to prevent disease outbreaks would severely undermine </w:t>
      </w:r>
      <w:r w:rsidRPr="002A0CA2">
        <w:rPr>
          <w:color w:val="000000" w:themeColor="text1"/>
        </w:rPr>
        <w:t>consumer confidence in the effectiveness and safety of these products</w:t>
      </w:r>
      <w:r w:rsidRPr="002A0CA2" w:rsidR="004022AE">
        <w:rPr>
          <w:color w:val="000000" w:themeColor="text1"/>
        </w:rPr>
        <w:t xml:space="preserve">. Further, catastrophic damage could be inflicted upon U.S. livestock industries and pet </w:t>
      </w:r>
      <w:r w:rsidRPr="002A0CA2" w:rsidR="00D40E7B">
        <w:rPr>
          <w:color w:val="000000" w:themeColor="text1"/>
        </w:rPr>
        <w:t>populations and</w:t>
      </w:r>
      <w:r w:rsidRPr="002A0CA2" w:rsidR="006C1C66">
        <w:rPr>
          <w:color w:val="000000" w:themeColor="text1"/>
        </w:rPr>
        <w:t xml:space="preserve"> bring great harm to the U.S. economy and veterinary biologics industry</w:t>
      </w:r>
      <w:r w:rsidRPr="002A0CA2" w:rsidR="004022AE">
        <w:rPr>
          <w:color w:val="000000" w:themeColor="text1"/>
        </w:rPr>
        <w:t>.</w:t>
      </w:r>
    </w:p>
    <w:p w:rsidRPr="002A0CA2" w:rsidR="00C82B72" w:rsidP="00C82B72" w:rsidRDefault="00C82B72" w14:paraId="79E3E8EF" w14:textId="77777777">
      <w:pPr>
        <w:rPr>
          <w:color w:val="000000" w:themeColor="text1"/>
        </w:rPr>
      </w:pPr>
    </w:p>
    <w:p w:rsidRPr="002A0CA2" w:rsidR="004022AE" w:rsidP="00C82B72" w:rsidRDefault="004022AE" w14:paraId="2563275E" w14:textId="77777777">
      <w:pPr>
        <w:rPr>
          <w:color w:val="000000" w:themeColor="text1"/>
        </w:rPr>
      </w:pPr>
    </w:p>
    <w:p w:rsidRPr="002A0CA2" w:rsidR="00D8643C" w:rsidP="00D8643C" w:rsidRDefault="00D8643C" w14:paraId="376C0B2A" w14:textId="6CCA3BE1">
      <w:pPr>
        <w:autoSpaceDE w:val="0"/>
        <w:autoSpaceDN w:val="0"/>
        <w:adjustRightInd w:val="0"/>
        <w:rPr>
          <w:b/>
          <w:color w:val="000000" w:themeColor="text1"/>
        </w:rPr>
      </w:pPr>
      <w:r w:rsidRPr="002A0CA2">
        <w:rPr>
          <w:b/>
          <w:color w:val="000000" w:themeColor="text1"/>
        </w:rPr>
        <w:t xml:space="preserve">7. </w:t>
      </w:r>
      <w:r w:rsidRPr="002A0CA2" w:rsidR="006D182B">
        <w:rPr>
          <w:b/>
          <w:color w:val="000000" w:themeColor="text1"/>
        </w:rPr>
        <w:t xml:space="preserve"> </w:t>
      </w:r>
      <w:r w:rsidRPr="002A0CA2">
        <w:rPr>
          <w:b/>
          <w:color w:val="000000" w:themeColor="text1"/>
        </w:rPr>
        <w:t>Explain any special circumstances that require the collection to be conducted in a manner inconsistent with the general information collection guidelines in 5 CFR 1320.5.</w:t>
      </w:r>
    </w:p>
    <w:p w:rsidRPr="002A0CA2" w:rsidR="00D8643C" w:rsidP="00D8643C" w:rsidRDefault="00D8643C" w14:paraId="46F52B4A" w14:textId="77777777">
      <w:pPr>
        <w:autoSpaceDE w:val="0"/>
        <w:autoSpaceDN w:val="0"/>
        <w:adjustRightInd w:val="0"/>
        <w:rPr>
          <w:color w:val="000000" w:themeColor="text1"/>
        </w:rPr>
      </w:pPr>
    </w:p>
    <w:p w:rsidRPr="002A0CA2" w:rsidR="00D8643C" w:rsidP="00050ADF" w:rsidRDefault="00D8643C" w14:paraId="468A9857" w14:textId="77777777">
      <w:pPr>
        <w:numPr>
          <w:ilvl w:val="0"/>
          <w:numId w:val="1"/>
        </w:numPr>
        <w:tabs>
          <w:tab w:val="clear" w:pos="360"/>
        </w:tabs>
        <w:spacing w:after="80"/>
        <w:ind w:left="630" w:hanging="270"/>
        <w:rPr>
          <w:b/>
          <w:color w:val="000000" w:themeColor="text1"/>
        </w:rPr>
      </w:pPr>
      <w:r w:rsidRPr="002A0CA2">
        <w:rPr>
          <w:b/>
          <w:color w:val="000000" w:themeColor="text1"/>
        </w:rPr>
        <w:t>requiring respondents to report information to the agency more often than quarterly;</w:t>
      </w:r>
    </w:p>
    <w:p w:rsidRPr="002A0CA2" w:rsidR="00D8643C" w:rsidP="00050ADF" w:rsidRDefault="00D8643C" w14:paraId="4E030F02" w14:textId="77777777">
      <w:pPr>
        <w:pStyle w:val="DefaultText1"/>
        <w:ind w:left="630" w:hanging="270"/>
        <w:rPr>
          <w:color w:val="000000" w:themeColor="text1"/>
          <w:szCs w:val="24"/>
        </w:rPr>
      </w:pPr>
    </w:p>
    <w:p w:rsidR="00D8643C" w:rsidP="00050ADF" w:rsidRDefault="00D8643C" w14:paraId="66638B8D" w14:textId="0DB05320">
      <w:pPr>
        <w:numPr>
          <w:ilvl w:val="0"/>
          <w:numId w:val="1"/>
        </w:numPr>
        <w:tabs>
          <w:tab w:val="clear" w:pos="360"/>
        </w:tabs>
        <w:ind w:left="630" w:hanging="270"/>
        <w:rPr>
          <w:b/>
          <w:color w:val="000000" w:themeColor="text1"/>
        </w:rPr>
      </w:pPr>
      <w:r w:rsidRPr="002A0CA2">
        <w:rPr>
          <w:b/>
          <w:color w:val="000000" w:themeColor="text1"/>
        </w:rPr>
        <w:t>requiring respondents to prepare a written response to a collection of information in fewer than 30 days after receipt of it;</w:t>
      </w:r>
    </w:p>
    <w:p w:rsidRPr="002A0CA2" w:rsidR="002A0CA2" w:rsidP="00050ADF" w:rsidRDefault="002A0CA2" w14:paraId="61A514A2" w14:textId="77777777">
      <w:pPr>
        <w:pStyle w:val="ListParagraph"/>
        <w:ind w:left="630" w:hanging="270"/>
        <w:rPr>
          <w:bCs/>
          <w:color w:val="000000" w:themeColor="text1"/>
        </w:rPr>
      </w:pPr>
    </w:p>
    <w:p w:rsidRPr="002A0CA2" w:rsidR="006C1C66" w:rsidP="00050ADF" w:rsidRDefault="006C1C66" w14:paraId="5398B219" w14:textId="77777777">
      <w:pPr>
        <w:autoSpaceDE w:val="0"/>
        <w:autoSpaceDN w:val="0"/>
        <w:adjustRightInd w:val="0"/>
        <w:ind w:left="630"/>
        <w:rPr>
          <w:color w:val="000000" w:themeColor="text1"/>
        </w:rPr>
      </w:pPr>
      <w:r w:rsidRPr="002A0CA2">
        <w:rPr>
          <w:color w:val="000000" w:themeColor="text1"/>
        </w:rPr>
        <w:t xml:space="preserve">Adverse event reports must be reported within 3 business days of a reportable event. This special circumstance ensures a timely response for preventing the dissemination of worthless, contaminated, dangerous, or harmful veterinary biologics. </w:t>
      </w:r>
    </w:p>
    <w:p w:rsidRPr="002A0CA2" w:rsidR="00826A27" w:rsidP="00050ADF" w:rsidRDefault="00C12235" w14:paraId="400C777F" w14:textId="68B087B3">
      <w:pPr>
        <w:pStyle w:val="CommentText"/>
        <w:spacing w:before="240"/>
        <w:ind w:left="630"/>
        <w:rPr>
          <w:color w:val="000000" w:themeColor="text1"/>
          <w:sz w:val="24"/>
          <w:szCs w:val="24"/>
        </w:rPr>
      </w:pPr>
      <w:r w:rsidRPr="002A0CA2">
        <w:rPr>
          <w:color w:val="000000" w:themeColor="text1"/>
          <w:sz w:val="24"/>
          <w:szCs w:val="24"/>
        </w:rPr>
        <w:t>T</w:t>
      </w:r>
      <w:r w:rsidRPr="002A0CA2" w:rsidR="005D4042">
        <w:rPr>
          <w:color w:val="000000" w:themeColor="text1"/>
          <w:sz w:val="24"/>
          <w:szCs w:val="24"/>
        </w:rPr>
        <w:t xml:space="preserve">he use of worthless, </w:t>
      </w:r>
      <w:r w:rsidRPr="002A0CA2" w:rsidR="00826A27">
        <w:rPr>
          <w:color w:val="000000" w:themeColor="text1"/>
          <w:sz w:val="24"/>
          <w:szCs w:val="24"/>
        </w:rPr>
        <w:t xml:space="preserve">dangerous, </w:t>
      </w:r>
      <w:r w:rsidRPr="002A0CA2" w:rsidR="005D4042">
        <w:rPr>
          <w:color w:val="000000" w:themeColor="text1"/>
          <w:sz w:val="24"/>
          <w:szCs w:val="24"/>
        </w:rPr>
        <w:t xml:space="preserve">or </w:t>
      </w:r>
      <w:r w:rsidRPr="002A0CA2" w:rsidR="00826A27">
        <w:rPr>
          <w:color w:val="000000" w:themeColor="text1"/>
          <w:sz w:val="24"/>
          <w:szCs w:val="24"/>
        </w:rPr>
        <w:t>contaminated</w:t>
      </w:r>
      <w:r w:rsidRPr="002A0CA2" w:rsidR="005D4042">
        <w:rPr>
          <w:color w:val="000000" w:themeColor="text1"/>
          <w:sz w:val="24"/>
          <w:szCs w:val="24"/>
        </w:rPr>
        <w:t xml:space="preserve"> </w:t>
      </w:r>
      <w:r w:rsidRPr="002A0CA2" w:rsidR="00826A27">
        <w:rPr>
          <w:color w:val="000000" w:themeColor="text1"/>
          <w:sz w:val="24"/>
          <w:szCs w:val="24"/>
        </w:rPr>
        <w:t>veterinary biologics</w:t>
      </w:r>
      <w:r w:rsidRPr="002A0CA2" w:rsidR="005D4042">
        <w:rPr>
          <w:color w:val="000000" w:themeColor="text1"/>
          <w:sz w:val="24"/>
          <w:szCs w:val="24"/>
        </w:rPr>
        <w:t xml:space="preserve"> could be catastrophic to the health of animals receiving them. Timeliness in identifying and stopping the distribution and sale of these products is crucial. </w:t>
      </w:r>
      <w:r w:rsidRPr="002A0CA2" w:rsidR="0021033E">
        <w:rPr>
          <w:color w:val="000000" w:themeColor="text1"/>
          <w:sz w:val="24"/>
          <w:szCs w:val="24"/>
        </w:rPr>
        <w:t>Therefore,</w:t>
      </w:r>
      <w:r w:rsidRPr="002A0CA2" w:rsidR="00E97DB9">
        <w:rPr>
          <w:color w:val="000000" w:themeColor="text1"/>
          <w:sz w:val="24"/>
          <w:szCs w:val="24"/>
        </w:rPr>
        <w:t xml:space="preserve"> l</w:t>
      </w:r>
      <w:r w:rsidRPr="002A0CA2" w:rsidR="00D8643C">
        <w:rPr>
          <w:color w:val="000000" w:themeColor="text1"/>
          <w:sz w:val="24"/>
          <w:szCs w:val="24"/>
        </w:rPr>
        <w:t xml:space="preserve">icensees and permittees must </w:t>
      </w:r>
      <w:r w:rsidRPr="002A0CA2" w:rsidR="005D4042">
        <w:rPr>
          <w:color w:val="000000" w:themeColor="text1"/>
          <w:sz w:val="24"/>
          <w:szCs w:val="24"/>
        </w:rPr>
        <w:t xml:space="preserve">send within </w:t>
      </w:r>
      <w:r w:rsidRPr="002A0CA2" w:rsidR="007F0E35">
        <w:rPr>
          <w:color w:val="000000" w:themeColor="text1"/>
          <w:sz w:val="24"/>
          <w:szCs w:val="24"/>
        </w:rPr>
        <w:t>3</w:t>
      </w:r>
      <w:r w:rsidRPr="002A0CA2" w:rsidR="00D8643C">
        <w:rPr>
          <w:color w:val="000000" w:themeColor="text1"/>
          <w:sz w:val="24"/>
          <w:szCs w:val="24"/>
        </w:rPr>
        <w:t xml:space="preserve"> days stop distribution and sale notices to any jobbers, wholesalers, dealers, foreign consignees, or other persons known to have </w:t>
      </w:r>
      <w:r w:rsidRPr="002A0CA2" w:rsidR="00E97DB9">
        <w:rPr>
          <w:color w:val="000000" w:themeColor="text1"/>
          <w:sz w:val="24"/>
          <w:szCs w:val="24"/>
        </w:rPr>
        <w:t xml:space="preserve">in their possession </w:t>
      </w:r>
      <w:r w:rsidRPr="002A0CA2" w:rsidR="00D8643C">
        <w:rPr>
          <w:color w:val="000000" w:themeColor="text1"/>
          <w:sz w:val="24"/>
          <w:szCs w:val="24"/>
        </w:rPr>
        <w:t>veterinary biological product subject to an APHIS stop distribution and sale action. The notices instruct the</w:t>
      </w:r>
      <w:r w:rsidRPr="002A0CA2" w:rsidR="0085565E">
        <w:rPr>
          <w:color w:val="000000" w:themeColor="text1"/>
          <w:sz w:val="24"/>
          <w:szCs w:val="24"/>
        </w:rPr>
        <w:t xml:space="preserve"> possessors</w:t>
      </w:r>
      <w:r w:rsidRPr="002A0CA2" w:rsidR="00D8643C">
        <w:rPr>
          <w:color w:val="000000" w:themeColor="text1"/>
          <w:sz w:val="24"/>
          <w:szCs w:val="24"/>
        </w:rPr>
        <w:t xml:space="preserve"> to stop the preparation, distribution, sale, barter, exchange, shipment, or importation of any such veterinary biological product. All notifications are documented in writing by the licensee or permittee.</w:t>
      </w:r>
      <w:r w:rsidRPr="002A0CA2" w:rsidR="00826A27">
        <w:rPr>
          <w:color w:val="000000" w:themeColor="text1"/>
          <w:sz w:val="24"/>
          <w:szCs w:val="24"/>
        </w:rPr>
        <w:t xml:space="preserve"> </w:t>
      </w:r>
      <w:r w:rsidRPr="002A0CA2" w:rsidR="00CF6D6A">
        <w:rPr>
          <w:color w:val="000000" w:themeColor="text1"/>
          <w:sz w:val="24"/>
          <w:szCs w:val="24"/>
        </w:rPr>
        <w:t xml:space="preserve">“Immediately” is defined as within </w:t>
      </w:r>
      <w:r w:rsidRPr="002A0CA2" w:rsidR="008B6882">
        <w:rPr>
          <w:color w:val="000000" w:themeColor="text1"/>
          <w:sz w:val="24"/>
          <w:szCs w:val="24"/>
        </w:rPr>
        <w:t xml:space="preserve">3 </w:t>
      </w:r>
      <w:r w:rsidRPr="002A0CA2" w:rsidR="0085565E">
        <w:rPr>
          <w:color w:val="000000" w:themeColor="text1"/>
          <w:sz w:val="24"/>
          <w:szCs w:val="24"/>
        </w:rPr>
        <w:t>days</w:t>
      </w:r>
      <w:r w:rsidRPr="002A0CA2" w:rsidR="00CF6D6A">
        <w:rPr>
          <w:color w:val="000000" w:themeColor="text1"/>
          <w:sz w:val="24"/>
          <w:szCs w:val="24"/>
        </w:rPr>
        <w:t xml:space="preserve"> and is commonly understood </w:t>
      </w:r>
      <w:r w:rsidRPr="002A0CA2" w:rsidR="0021033E">
        <w:rPr>
          <w:color w:val="000000" w:themeColor="text1"/>
          <w:sz w:val="24"/>
          <w:szCs w:val="24"/>
        </w:rPr>
        <w:t xml:space="preserve">as such </w:t>
      </w:r>
      <w:r w:rsidRPr="002A0CA2" w:rsidR="00CF6D6A">
        <w:rPr>
          <w:color w:val="000000" w:themeColor="text1"/>
          <w:sz w:val="24"/>
          <w:szCs w:val="24"/>
        </w:rPr>
        <w:t xml:space="preserve">by APHIS and all affected </w:t>
      </w:r>
      <w:r w:rsidRPr="002A0CA2" w:rsidR="00826A27">
        <w:rPr>
          <w:color w:val="000000" w:themeColor="text1"/>
          <w:sz w:val="24"/>
          <w:szCs w:val="24"/>
        </w:rPr>
        <w:t>licensee</w:t>
      </w:r>
      <w:r w:rsidRPr="002A0CA2" w:rsidR="00CF6D6A">
        <w:rPr>
          <w:color w:val="000000" w:themeColor="text1"/>
          <w:sz w:val="24"/>
          <w:szCs w:val="24"/>
        </w:rPr>
        <w:t>s</w:t>
      </w:r>
      <w:r w:rsidRPr="002A0CA2" w:rsidR="00826A27">
        <w:rPr>
          <w:color w:val="000000" w:themeColor="text1"/>
          <w:sz w:val="24"/>
          <w:szCs w:val="24"/>
        </w:rPr>
        <w:t>/permittee</w:t>
      </w:r>
      <w:r w:rsidRPr="002A0CA2" w:rsidR="00CF6D6A">
        <w:rPr>
          <w:color w:val="000000" w:themeColor="text1"/>
          <w:sz w:val="24"/>
          <w:szCs w:val="24"/>
        </w:rPr>
        <w:t>s</w:t>
      </w:r>
      <w:r w:rsidRPr="002A0CA2" w:rsidR="00E97DB9">
        <w:rPr>
          <w:color w:val="000000" w:themeColor="text1"/>
          <w:sz w:val="24"/>
          <w:szCs w:val="24"/>
        </w:rPr>
        <w:t>.</w:t>
      </w:r>
    </w:p>
    <w:p w:rsidRPr="002A0CA2" w:rsidR="00D8643C" w:rsidP="00050ADF" w:rsidRDefault="00D8643C" w14:paraId="1BDCED84" w14:textId="77777777">
      <w:pPr>
        <w:ind w:left="630" w:hanging="270"/>
        <w:rPr>
          <w:bCs/>
          <w:color w:val="000000" w:themeColor="text1"/>
        </w:rPr>
      </w:pPr>
    </w:p>
    <w:p w:rsidRPr="002A0CA2" w:rsidR="00574EFA" w:rsidP="00050ADF" w:rsidRDefault="00D8643C" w14:paraId="5171B65B" w14:textId="341E210F">
      <w:pPr>
        <w:numPr>
          <w:ilvl w:val="0"/>
          <w:numId w:val="2"/>
        </w:numPr>
        <w:tabs>
          <w:tab w:val="clear" w:pos="360"/>
        </w:tabs>
        <w:ind w:left="630" w:hanging="270"/>
        <w:rPr>
          <w:b/>
          <w:color w:val="000000" w:themeColor="text1"/>
        </w:rPr>
      </w:pPr>
      <w:r w:rsidRPr="002A0CA2">
        <w:rPr>
          <w:b/>
          <w:color w:val="000000" w:themeColor="text1"/>
        </w:rPr>
        <w:t>requiring respondents to submit more than an original and two copies of any document;</w:t>
      </w:r>
    </w:p>
    <w:p w:rsidRPr="002A0CA2" w:rsidR="00964B5A" w:rsidP="00050ADF" w:rsidRDefault="00964B5A" w14:paraId="4A0005B4" w14:textId="77777777">
      <w:pPr>
        <w:ind w:left="630" w:hanging="270"/>
        <w:rPr>
          <w:bCs/>
          <w:color w:val="000000" w:themeColor="text1"/>
        </w:rPr>
      </w:pPr>
    </w:p>
    <w:p w:rsidRPr="002A0CA2" w:rsidR="00D8643C" w:rsidP="00050ADF" w:rsidRDefault="00574EFA" w14:paraId="1B32BCBE" w14:textId="5A37A08A">
      <w:pPr>
        <w:ind w:left="630"/>
        <w:rPr>
          <w:bCs/>
          <w:color w:val="000000" w:themeColor="text1"/>
        </w:rPr>
      </w:pPr>
      <w:r w:rsidRPr="002A0CA2">
        <w:rPr>
          <w:bCs/>
          <w:color w:val="000000" w:themeColor="text1"/>
        </w:rPr>
        <w:t>Currently, only the original is required</w:t>
      </w:r>
      <w:r w:rsidRPr="002A0CA2" w:rsidR="00081DED">
        <w:rPr>
          <w:bCs/>
          <w:color w:val="000000" w:themeColor="text1"/>
        </w:rPr>
        <w:t>.</w:t>
      </w:r>
      <w:r w:rsidRPr="002A0CA2">
        <w:rPr>
          <w:bCs/>
          <w:color w:val="000000" w:themeColor="text1"/>
        </w:rPr>
        <w:t xml:space="preserve"> </w:t>
      </w:r>
      <w:r w:rsidRPr="002A0CA2" w:rsidR="00081DED">
        <w:rPr>
          <w:bCs/>
          <w:color w:val="000000" w:themeColor="text1"/>
        </w:rPr>
        <w:t>I</w:t>
      </w:r>
      <w:r w:rsidRPr="002A0CA2">
        <w:rPr>
          <w:bCs/>
          <w:color w:val="000000" w:themeColor="text1"/>
        </w:rPr>
        <w:t xml:space="preserve">f a hard copy submission is used. Once the hard copy is received by the CVB, it is scanned, uploaded to CVB’s Licensing, Serial Release and Testing Information System (LSRTIS) database and routed for internal review electronically.  </w:t>
      </w:r>
    </w:p>
    <w:p w:rsidRPr="002A0CA2" w:rsidR="00D8643C" w:rsidP="00050ADF" w:rsidRDefault="00D8643C" w14:paraId="047F7A87" w14:textId="77777777">
      <w:pPr>
        <w:numPr>
          <w:ilvl w:val="0"/>
          <w:numId w:val="3"/>
        </w:numPr>
        <w:tabs>
          <w:tab w:val="clear" w:pos="360"/>
        </w:tabs>
        <w:ind w:left="630" w:hanging="270"/>
        <w:rPr>
          <w:b/>
          <w:color w:val="000000" w:themeColor="text1"/>
        </w:rPr>
      </w:pPr>
      <w:r w:rsidRPr="002A0CA2">
        <w:rPr>
          <w:b/>
          <w:color w:val="000000" w:themeColor="text1"/>
        </w:rPr>
        <w:lastRenderedPageBreak/>
        <w:t xml:space="preserve">requiring respondents to retain records, other than health, medical, government contract, grant-in-aid, or tax records for more than </w:t>
      </w:r>
      <w:r w:rsidRPr="002A0CA2" w:rsidR="00305B39">
        <w:rPr>
          <w:b/>
          <w:color w:val="000000" w:themeColor="text1"/>
        </w:rPr>
        <w:t>3</w:t>
      </w:r>
      <w:r w:rsidRPr="002A0CA2">
        <w:rPr>
          <w:b/>
          <w:color w:val="000000" w:themeColor="text1"/>
        </w:rPr>
        <w:t xml:space="preserve"> years;</w:t>
      </w:r>
    </w:p>
    <w:p w:rsidRPr="002A0CA2" w:rsidR="00D8643C" w:rsidP="00050ADF" w:rsidRDefault="00D8643C" w14:paraId="298C34AF" w14:textId="77777777">
      <w:pPr>
        <w:ind w:left="630" w:hanging="270"/>
        <w:rPr>
          <w:bCs/>
          <w:color w:val="000000" w:themeColor="text1"/>
        </w:rPr>
      </w:pPr>
    </w:p>
    <w:p w:rsidRPr="002A0CA2" w:rsidR="00D8643C" w:rsidP="00050ADF" w:rsidRDefault="00D8643C" w14:paraId="02CDD46D" w14:textId="77777777">
      <w:pPr>
        <w:numPr>
          <w:ilvl w:val="0"/>
          <w:numId w:val="4"/>
        </w:numPr>
        <w:tabs>
          <w:tab w:val="clear" w:pos="360"/>
        </w:tabs>
        <w:ind w:left="630" w:hanging="270"/>
        <w:rPr>
          <w:b/>
          <w:color w:val="000000" w:themeColor="text1"/>
        </w:rPr>
      </w:pPr>
      <w:r w:rsidRPr="002A0CA2">
        <w:rPr>
          <w:b/>
          <w:color w:val="000000" w:themeColor="text1"/>
        </w:rPr>
        <w:t>in connection with a statistical survey, that is not designed to produce valid and reliable results that can be generalized to the universe of study;</w:t>
      </w:r>
    </w:p>
    <w:p w:rsidRPr="002A0CA2" w:rsidR="00D8643C" w:rsidP="00050ADF" w:rsidRDefault="00D8643C" w14:paraId="2D5B0B94" w14:textId="77777777">
      <w:pPr>
        <w:ind w:left="630" w:hanging="270"/>
        <w:rPr>
          <w:bCs/>
          <w:color w:val="000000" w:themeColor="text1"/>
        </w:rPr>
      </w:pPr>
    </w:p>
    <w:p w:rsidRPr="002A0CA2" w:rsidR="00D8643C" w:rsidP="00050ADF" w:rsidRDefault="00D8643C" w14:paraId="18D7E62A" w14:textId="77777777">
      <w:pPr>
        <w:numPr>
          <w:ilvl w:val="0"/>
          <w:numId w:val="5"/>
        </w:numPr>
        <w:tabs>
          <w:tab w:val="clear" w:pos="360"/>
        </w:tabs>
        <w:ind w:left="630" w:hanging="270"/>
        <w:rPr>
          <w:b/>
          <w:color w:val="000000" w:themeColor="text1"/>
        </w:rPr>
      </w:pPr>
      <w:r w:rsidRPr="002A0CA2">
        <w:rPr>
          <w:b/>
          <w:color w:val="000000" w:themeColor="text1"/>
        </w:rPr>
        <w:t>requiring the use of a statistical data classification that has not been reviewed and approved by OMB;</w:t>
      </w:r>
    </w:p>
    <w:p w:rsidRPr="002A0CA2" w:rsidR="00305B39" w:rsidP="00050ADF" w:rsidRDefault="00305B39" w14:paraId="2DA5A8FC" w14:textId="77777777">
      <w:pPr>
        <w:ind w:left="630" w:hanging="270"/>
        <w:rPr>
          <w:bCs/>
          <w:color w:val="000000" w:themeColor="text1"/>
        </w:rPr>
      </w:pPr>
    </w:p>
    <w:p w:rsidRPr="002A0CA2" w:rsidR="00D8643C" w:rsidP="00050ADF" w:rsidRDefault="00D8643C" w14:paraId="47508936" w14:textId="77777777">
      <w:pPr>
        <w:numPr>
          <w:ilvl w:val="0"/>
          <w:numId w:val="6"/>
        </w:numPr>
        <w:tabs>
          <w:tab w:val="clear" w:pos="360"/>
        </w:tabs>
        <w:ind w:left="630" w:hanging="270"/>
        <w:rPr>
          <w:b/>
          <w:color w:val="000000" w:themeColor="text1"/>
        </w:rPr>
      </w:pPr>
      <w:r w:rsidRPr="002A0CA2">
        <w:rPr>
          <w:b/>
          <w:color w:val="000000" w:themeColor="text1"/>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A0CA2" w:rsidR="00D8643C" w:rsidP="00050ADF" w:rsidRDefault="00D8643C" w14:paraId="77ACC943" w14:textId="77777777">
      <w:pPr>
        <w:ind w:left="630" w:hanging="270"/>
        <w:rPr>
          <w:bCs/>
          <w:color w:val="000000" w:themeColor="text1"/>
        </w:rPr>
      </w:pPr>
    </w:p>
    <w:p w:rsidRPr="002A0CA2" w:rsidR="00D8643C" w:rsidP="00050ADF" w:rsidRDefault="00D8643C" w14:paraId="3AB1F7B7" w14:textId="77777777">
      <w:pPr>
        <w:numPr>
          <w:ilvl w:val="0"/>
          <w:numId w:val="7"/>
        </w:numPr>
        <w:tabs>
          <w:tab w:val="clear" w:pos="360"/>
          <w:tab w:val="num" w:pos="288"/>
        </w:tabs>
        <w:ind w:left="630" w:hanging="270"/>
        <w:rPr>
          <w:color w:val="000000" w:themeColor="text1"/>
        </w:rPr>
      </w:pPr>
      <w:r w:rsidRPr="002A0CA2">
        <w:rPr>
          <w:b/>
          <w:color w:val="000000" w:themeColor="text1"/>
        </w:rPr>
        <w:t>requiring respondents to submit proprietary trade secret, or other confidential information unless the agency can demonstrate that it has instituted procedures to protect the information's confidentiality to the extent permitted by law.</w:t>
      </w:r>
    </w:p>
    <w:p w:rsidRPr="002A0CA2" w:rsidR="00D8643C" w:rsidP="00050ADF" w:rsidRDefault="00D8643C" w14:paraId="5879025E" w14:textId="77777777">
      <w:pPr>
        <w:autoSpaceDE w:val="0"/>
        <w:autoSpaceDN w:val="0"/>
        <w:adjustRightInd w:val="0"/>
        <w:ind w:left="630" w:hanging="270"/>
        <w:rPr>
          <w:color w:val="000000" w:themeColor="text1"/>
        </w:rPr>
      </w:pPr>
    </w:p>
    <w:p w:rsidRPr="002A0CA2" w:rsidR="00D8643C" w:rsidP="00050ADF" w:rsidRDefault="006D182B" w14:paraId="355CB6A7" w14:textId="1C5ED480">
      <w:pPr>
        <w:pStyle w:val="300"/>
        <w:ind w:left="630" w:hanging="270"/>
        <w:rPr>
          <w:color w:val="000000" w:themeColor="text1"/>
          <w:sz w:val="24"/>
          <w:szCs w:val="24"/>
        </w:rPr>
      </w:pPr>
      <w:r w:rsidRPr="002A0CA2">
        <w:rPr>
          <w:color w:val="000000" w:themeColor="text1"/>
          <w:sz w:val="24"/>
          <w:szCs w:val="24"/>
        </w:rPr>
        <w:tab/>
      </w:r>
      <w:r w:rsidRPr="002A0CA2" w:rsidR="00D8643C">
        <w:rPr>
          <w:color w:val="000000" w:themeColor="text1"/>
          <w:sz w:val="24"/>
          <w:szCs w:val="24"/>
        </w:rPr>
        <w:t>No other special circumstances exist that would require this collection to be conducted in a manner inconsistent with the general information collection guidelines in 5 CFR 1320.5.</w:t>
      </w:r>
    </w:p>
    <w:p w:rsidRPr="00050ADF" w:rsidR="003F3E20" w:rsidP="006D182B" w:rsidRDefault="003F3E20" w14:paraId="542601D7" w14:textId="77777777">
      <w:pPr>
        <w:autoSpaceDE w:val="0"/>
        <w:autoSpaceDN w:val="0"/>
        <w:adjustRightInd w:val="0"/>
        <w:ind w:left="630" w:hanging="270"/>
        <w:rPr>
          <w:color w:val="000000" w:themeColor="text1"/>
        </w:rPr>
      </w:pPr>
    </w:p>
    <w:p w:rsidRPr="00050ADF" w:rsidR="003F3E20" w:rsidP="006D182B" w:rsidRDefault="003F3E20" w14:paraId="51216607" w14:textId="77777777">
      <w:pPr>
        <w:autoSpaceDE w:val="0"/>
        <w:autoSpaceDN w:val="0"/>
        <w:adjustRightInd w:val="0"/>
        <w:ind w:left="630" w:hanging="270"/>
        <w:rPr>
          <w:color w:val="000000" w:themeColor="text1"/>
        </w:rPr>
      </w:pPr>
    </w:p>
    <w:p w:rsidRPr="002A0CA2" w:rsidR="0008208A" w:rsidRDefault="0008208A" w14:paraId="6AB227CF" w14:textId="77777777">
      <w:pPr>
        <w:autoSpaceDE w:val="0"/>
        <w:autoSpaceDN w:val="0"/>
        <w:adjustRightInd w:val="0"/>
        <w:rPr>
          <w:b/>
          <w:bCs/>
          <w:color w:val="000000" w:themeColor="text1"/>
        </w:rPr>
      </w:pPr>
      <w:r w:rsidRPr="002A0CA2">
        <w:rPr>
          <w:b/>
          <w:bCs/>
          <w:color w:val="000000" w:themeColor="text1"/>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Pr="002A0CA2" w:rsidR="00CF2F4E" w:rsidRDefault="00CF2F4E" w14:paraId="63734B6A" w14:textId="77777777">
      <w:pPr>
        <w:autoSpaceDE w:val="0"/>
        <w:autoSpaceDN w:val="0"/>
        <w:adjustRightInd w:val="0"/>
        <w:rPr>
          <w:color w:val="000000" w:themeColor="text1"/>
        </w:rPr>
      </w:pPr>
    </w:p>
    <w:p w:rsidRPr="002A0CA2" w:rsidR="00D93CAF" w:rsidP="008B1872" w:rsidRDefault="00D93CAF" w14:paraId="59210C0E" w14:textId="43AE87B4">
      <w:pPr>
        <w:autoSpaceDE w:val="0"/>
        <w:autoSpaceDN w:val="0"/>
        <w:adjustRightInd w:val="0"/>
        <w:rPr>
          <w:color w:val="000000" w:themeColor="text1"/>
        </w:rPr>
      </w:pPr>
      <w:r w:rsidRPr="002A0CA2">
        <w:rPr>
          <w:color w:val="000000" w:themeColor="text1"/>
        </w:rPr>
        <w:t>APHIS engaged in productive consultations with the following individuals concerning the information collection activities associated with this program</w:t>
      </w:r>
      <w:r w:rsidR="002A0CA2">
        <w:rPr>
          <w:color w:val="000000" w:themeColor="text1"/>
        </w:rPr>
        <w:t xml:space="preserve">. </w:t>
      </w:r>
      <w:r w:rsidRPr="006A337B" w:rsidR="002A0CA2">
        <w:t>Discussed were how the Agency and the respondents obtain the necessary data and how frequently; how much data is available; the convenience and clarity of reporting formats and other collection instruments; and the clarity of, and necessity for, any recordkeeping requirements. The consulted individuals had no concerns with any of these items and had no further recommendations.</w:t>
      </w:r>
    </w:p>
    <w:p w:rsidRPr="002A0CA2" w:rsidR="00F31524" w:rsidP="008B1872" w:rsidRDefault="00F31524" w14:paraId="63D85A2A" w14:textId="77777777">
      <w:pPr>
        <w:autoSpaceDE w:val="0"/>
        <w:autoSpaceDN w:val="0"/>
        <w:adjustRightInd w:val="0"/>
        <w:rPr>
          <w:color w:val="000000" w:themeColor="text1"/>
        </w:rPr>
      </w:pPr>
    </w:p>
    <w:p w:rsidRPr="002A0CA2" w:rsidR="00C633E2" w:rsidP="008B1872" w:rsidRDefault="002905E5" w14:paraId="667810DE" w14:textId="41E3629D">
      <w:pPr>
        <w:autoSpaceDE w:val="0"/>
        <w:autoSpaceDN w:val="0"/>
        <w:adjustRightInd w:val="0"/>
        <w:rPr>
          <w:color w:val="000000" w:themeColor="text1"/>
        </w:rPr>
      </w:pPr>
      <w:r w:rsidRPr="002A0CA2">
        <w:rPr>
          <w:color w:val="000000" w:themeColor="text1"/>
        </w:rPr>
        <w:t>Dr. Will McCauley</w:t>
      </w:r>
      <w:r w:rsidRPr="002A0CA2">
        <w:rPr>
          <w:color w:val="000000" w:themeColor="text1"/>
          <w:sz w:val="22"/>
          <w:szCs w:val="22"/>
        </w:rPr>
        <w:t xml:space="preserve"> </w:t>
      </w:r>
      <w:r w:rsidRPr="002A0CA2" w:rsidR="00C633E2">
        <w:rPr>
          <w:color w:val="000000" w:themeColor="text1"/>
        </w:rPr>
        <w:t>Animal Health Institute</w:t>
      </w:r>
    </w:p>
    <w:p w:rsidRPr="002A0CA2" w:rsidR="00C633E2" w:rsidP="008B1872" w:rsidRDefault="00C633E2" w14:paraId="5B88A1A8" w14:textId="732F6523">
      <w:pPr>
        <w:autoSpaceDE w:val="0"/>
        <w:autoSpaceDN w:val="0"/>
        <w:adjustRightInd w:val="0"/>
        <w:rPr>
          <w:color w:val="000000" w:themeColor="text1"/>
        </w:rPr>
      </w:pPr>
      <w:r w:rsidRPr="002A0CA2">
        <w:rPr>
          <w:color w:val="000000" w:themeColor="text1"/>
        </w:rPr>
        <w:t>1325 G St</w:t>
      </w:r>
      <w:r w:rsidRPr="002A0CA2" w:rsidR="0085565E">
        <w:rPr>
          <w:color w:val="000000" w:themeColor="text1"/>
        </w:rPr>
        <w:t>reet</w:t>
      </w:r>
      <w:r w:rsidRPr="002A0CA2">
        <w:rPr>
          <w:color w:val="000000" w:themeColor="text1"/>
        </w:rPr>
        <w:t xml:space="preserve"> NW</w:t>
      </w:r>
      <w:r w:rsidRPr="002A0CA2" w:rsidR="0085565E">
        <w:rPr>
          <w:color w:val="000000" w:themeColor="text1"/>
        </w:rPr>
        <w:t>,</w:t>
      </w:r>
      <w:r w:rsidRPr="002A0CA2">
        <w:rPr>
          <w:color w:val="000000" w:themeColor="text1"/>
        </w:rPr>
        <w:t xml:space="preserve"> S</w:t>
      </w:r>
      <w:r w:rsidRPr="002A0CA2" w:rsidR="0085565E">
        <w:rPr>
          <w:color w:val="000000" w:themeColor="text1"/>
        </w:rPr>
        <w:t>ui</w:t>
      </w:r>
      <w:r w:rsidRPr="002A0CA2">
        <w:rPr>
          <w:color w:val="000000" w:themeColor="text1"/>
        </w:rPr>
        <w:t>te 700</w:t>
      </w:r>
    </w:p>
    <w:p w:rsidRPr="002A0CA2" w:rsidR="00C633E2" w:rsidP="008B1872" w:rsidRDefault="00C633E2" w14:paraId="7DA8FE45" w14:textId="66374992">
      <w:pPr>
        <w:autoSpaceDE w:val="0"/>
        <w:autoSpaceDN w:val="0"/>
        <w:adjustRightInd w:val="0"/>
        <w:rPr>
          <w:color w:val="000000" w:themeColor="text1"/>
        </w:rPr>
      </w:pPr>
      <w:r w:rsidRPr="002A0CA2">
        <w:rPr>
          <w:color w:val="000000" w:themeColor="text1"/>
        </w:rPr>
        <w:t xml:space="preserve">Washington, DC </w:t>
      </w:r>
      <w:r w:rsidRPr="002A0CA2" w:rsidR="00081DED">
        <w:rPr>
          <w:color w:val="000000" w:themeColor="text1"/>
        </w:rPr>
        <w:t xml:space="preserve"> </w:t>
      </w:r>
      <w:r w:rsidRPr="002A0CA2">
        <w:rPr>
          <w:color w:val="000000" w:themeColor="text1"/>
        </w:rPr>
        <w:t>20005</w:t>
      </w:r>
    </w:p>
    <w:p w:rsidRPr="002A0CA2" w:rsidR="006A00DA" w:rsidP="008B1872" w:rsidRDefault="008950AE" w14:paraId="16631CA2" w14:textId="682224B6">
      <w:pPr>
        <w:autoSpaceDE w:val="0"/>
        <w:autoSpaceDN w:val="0"/>
        <w:adjustRightInd w:val="0"/>
        <w:rPr>
          <w:color w:val="000000" w:themeColor="text1"/>
          <w:highlight w:val="yellow"/>
        </w:rPr>
      </w:pPr>
      <w:hyperlink w:history="1" r:id="rId14">
        <w:r w:rsidRPr="002A0CA2" w:rsidR="002905E5">
          <w:rPr>
            <w:rStyle w:val="Hyperlink"/>
            <w:color w:val="000000" w:themeColor="text1"/>
          </w:rPr>
          <w:t>wmccauley@ahi.org</w:t>
        </w:r>
      </w:hyperlink>
      <w:r w:rsidRPr="002A0CA2" w:rsidR="002905E5">
        <w:rPr>
          <w:color w:val="000000" w:themeColor="text1"/>
          <w:sz w:val="22"/>
          <w:szCs w:val="22"/>
        </w:rPr>
        <w:t xml:space="preserve"> </w:t>
      </w:r>
    </w:p>
    <w:p w:rsidRPr="002A0CA2" w:rsidR="00BA3DA1" w:rsidP="008B1872" w:rsidRDefault="00BA3DA1" w14:paraId="032881E4" w14:textId="77777777">
      <w:pPr>
        <w:pStyle w:val="DefaultText"/>
        <w:rPr>
          <w:color w:val="000000" w:themeColor="text1"/>
          <w:szCs w:val="24"/>
        </w:rPr>
      </w:pPr>
    </w:p>
    <w:p w:rsidRPr="002A0CA2" w:rsidR="002905E5" w:rsidP="008B1872" w:rsidRDefault="002905E5" w14:paraId="33904370" w14:textId="440BCC3D">
      <w:pPr>
        <w:pStyle w:val="DefaultText"/>
        <w:rPr>
          <w:rStyle w:val="Hyperlink"/>
          <w:color w:val="000000" w:themeColor="text1"/>
          <w:szCs w:val="24"/>
        </w:rPr>
      </w:pPr>
      <w:r w:rsidRPr="002A0CA2">
        <w:rPr>
          <w:color w:val="000000" w:themeColor="text1"/>
          <w:szCs w:val="24"/>
        </w:rPr>
        <w:t>George Dowel</w:t>
      </w:r>
      <w:r w:rsidRPr="002A0CA2" w:rsidR="00BA3DA1">
        <w:rPr>
          <w:color w:val="000000" w:themeColor="text1"/>
          <w:szCs w:val="24"/>
        </w:rPr>
        <w:t>l</w:t>
      </w:r>
    </w:p>
    <w:p w:rsidRPr="002A0CA2" w:rsidR="002905E5" w:rsidP="00081DED" w:rsidRDefault="002905E5" w14:paraId="4926F2B5" w14:textId="77777777">
      <w:pPr>
        <w:pStyle w:val="ListParagraph"/>
        <w:ind w:left="0"/>
        <w:rPr>
          <w:color w:val="000000" w:themeColor="text1"/>
          <w:sz w:val="22"/>
          <w:szCs w:val="22"/>
        </w:rPr>
      </w:pPr>
      <w:r w:rsidRPr="002A0CA2">
        <w:rPr>
          <w:color w:val="000000" w:themeColor="text1"/>
        </w:rPr>
        <w:t>Association of Veterinary Biologics Companies</w:t>
      </w:r>
    </w:p>
    <w:p w:rsidRPr="002A0CA2" w:rsidR="002905E5" w:rsidP="00081DED" w:rsidRDefault="002905E5" w14:paraId="7639F280" w14:textId="77777777">
      <w:pPr>
        <w:pStyle w:val="ListParagraph"/>
        <w:ind w:left="0"/>
        <w:rPr>
          <w:color w:val="000000" w:themeColor="text1"/>
        </w:rPr>
      </w:pPr>
      <w:r w:rsidRPr="002A0CA2">
        <w:rPr>
          <w:color w:val="000000" w:themeColor="text1"/>
        </w:rPr>
        <w:t>6849 Old Dominion Drive, Suite 225</w:t>
      </w:r>
    </w:p>
    <w:p w:rsidRPr="002A0CA2" w:rsidR="002905E5" w:rsidP="002905E5" w:rsidRDefault="002905E5" w14:paraId="28191628" w14:textId="12752783">
      <w:pPr>
        <w:pStyle w:val="ListParagraph"/>
        <w:ind w:left="0"/>
        <w:rPr>
          <w:color w:val="000000" w:themeColor="text1"/>
        </w:rPr>
      </w:pPr>
      <w:r w:rsidRPr="002A0CA2">
        <w:rPr>
          <w:color w:val="000000" w:themeColor="text1"/>
        </w:rPr>
        <w:t xml:space="preserve">McLean, </w:t>
      </w:r>
      <w:r w:rsidRPr="002A0CA2" w:rsidR="00081DED">
        <w:rPr>
          <w:color w:val="000000" w:themeColor="text1"/>
        </w:rPr>
        <w:t xml:space="preserve">VA  </w:t>
      </w:r>
      <w:r w:rsidRPr="002A0CA2">
        <w:rPr>
          <w:color w:val="000000" w:themeColor="text1"/>
        </w:rPr>
        <w:t>22101</w:t>
      </w:r>
    </w:p>
    <w:p w:rsidRPr="002A0CA2" w:rsidR="00BA3DA1" w:rsidP="00BA3DA1" w:rsidRDefault="008950AE" w14:paraId="28295973" w14:textId="67855D6C">
      <w:pPr>
        <w:rPr>
          <w:color w:val="000000" w:themeColor="text1"/>
        </w:rPr>
      </w:pPr>
      <w:hyperlink w:tgtFrame="_blank" w:tooltip="mailto:george@langethomas.com" w:history="1" r:id="rId15">
        <w:r w:rsidRPr="002A0CA2" w:rsidR="00BA3DA1">
          <w:rPr>
            <w:color w:val="000000" w:themeColor="text1"/>
          </w:rPr>
          <w:t>george@langethomas.com</w:t>
        </w:r>
      </w:hyperlink>
    </w:p>
    <w:p w:rsidRPr="002A0CA2" w:rsidR="00BA3DA1" w:rsidP="00BA3DA1" w:rsidRDefault="00BA3DA1" w14:paraId="025DD8D2" w14:textId="6553A8EF">
      <w:pPr>
        <w:rPr>
          <w:color w:val="000000" w:themeColor="text1"/>
        </w:rPr>
      </w:pPr>
    </w:p>
    <w:p w:rsidRPr="002A0CA2" w:rsidR="00BA3DA1" w:rsidP="00BA3DA1" w:rsidRDefault="00BA3DA1" w14:paraId="5584BEF4" w14:textId="55A9D47D">
      <w:pPr>
        <w:rPr>
          <w:color w:val="000000" w:themeColor="text1"/>
        </w:rPr>
      </w:pPr>
      <w:r w:rsidRPr="002A0CA2">
        <w:rPr>
          <w:color w:val="000000" w:themeColor="text1"/>
        </w:rPr>
        <w:lastRenderedPageBreak/>
        <w:t>Dr. Thomas Evans</w:t>
      </w:r>
    </w:p>
    <w:p w:rsidRPr="002A0CA2" w:rsidR="00BA3DA1" w:rsidP="00BA3DA1" w:rsidRDefault="00BA3DA1" w14:paraId="6F49A8E8" w14:textId="56D94185">
      <w:pPr>
        <w:rPr>
          <w:color w:val="000000" w:themeColor="text1"/>
        </w:rPr>
      </w:pPr>
      <w:r w:rsidRPr="002A0CA2">
        <w:rPr>
          <w:color w:val="000000" w:themeColor="text1"/>
        </w:rPr>
        <w:t>Zoetis Inc.</w:t>
      </w:r>
    </w:p>
    <w:p w:rsidRPr="002A0CA2" w:rsidR="00BA3DA1" w:rsidP="00BA3DA1" w:rsidRDefault="00BA3DA1" w14:paraId="4C9AF843" w14:textId="115B707C">
      <w:pPr>
        <w:rPr>
          <w:color w:val="000000" w:themeColor="text1"/>
        </w:rPr>
      </w:pPr>
      <w:r w:rsidRPr="002A0CA2">
        <w:rPr>
          <w:color w:val="000000" w:themeColor="text1"/>
        </w:rPr>
        <w:t>601 West Cornhusker Highway</w:t>
      </w:r>
    </w:p>
    <w:p w:rsidRPr="002A0CA2" w:rsidR="00BA3DA1" w:rsidP="00BA3DA1" w:rsidRDefault="00BA3DA1" w14:paraId="7BF701E3" w14:textId="33798516">
      <w:pPr>
        <w:rPr>
          <w:color w:val="000000" w:themeColor="text1"/>
        </w:rPr>
      </w:pPr>
      <w:r w:rsidRPr="002A0CA2">
        <w:rPr>
          <w:color w:val="000000" w:themeColor="text1"/>
        </w:rPr>
        <w:t xml:space="preserve">Lincoln, NE </w:t>
      </w:r>
      <w:r w:rsidRPr="002A0CA2" w:rsidR="00081DED">
        <w:rPr>
          <w:color w:val="000000" w:themeColor="text1"/>
        </w:rPr>
        <w:t xml:space="preserve"> </w:t>
      </w:r>
      <w:r w:rsidRPr="002A0CA2">
        <w:rPr>
          <w:color w:val="000000" w:themeColor="text1"/>
        </w:rPr>
        <w:t>68521-3577</w:t>
      </w:r>
    </w:p>
    <w:p w:rsidRPr="002A0CA2" w:rsidR="00BA3DA1" w:rsidP="00081DED" w:rsidRDefault="008950AE" w14:paraId="0BAEC56A" w14:textId="4143EF11">
      <w:pPr>
        <w:pStyle w:val="ListParagraph"/>
        <w:ind w:left="0"/>
        <w:rPr>
          <w:color w:val="000000" w:themeColor="text1"/>
        </w:rPr>
      </w:pPr>
      <w:hyperlink w:history="1" r:id="rId16">
        <w:r w:rsidRPr="002A0CA2" w:rsidR="00081DED">
          <w:rPr>
            <w:rStyle w:val="Hyperlink"/>
            <w:color w:val="000000" w:themeColor="text1"/>
          </w:rPr>
          <w:t>tom.evans@zoetis.com</w:t>
        </w:r>
      </w:hyperlink>
    </w:p>
    <w:p w:rsidRPr="002A0CA2" w:rsidR="00F81E4C" w:rsidP="002905E5" w:rsidRDefault="00F81E4C" w14:paraId="15BFF137" w14:textId="77777777">
      <w:pPr>
        <w:pStyle w:val="DefaultText"/>
        <w:rPr>
          <w:rStyle w:val="Hyperlink"/>
          <w:color w:val="000000" w:themeColor="text1"/>
          <w:szCs w:val="24"/>
        </w:rPr>
      </w:pPr>
    </w:p>
    <w:p w:rsidRPr="006C1C66" w:rsidR="002A0CA2" w:rsidP="002A0CA2" w:rsidRDefault="002A0CA2" w14:paraId="7027E51F" w14:textId="75667553">
      <w:r w:rsidRPr="006C1C66">
        <w:t xml:space="preserve">On </w:t>
      </w:r>
      <w:r>
        <w:t>Wednesday, July 28, 2021</w:t>
      </w:r>
      <w:r w:rsidRPr="006C1C66">
        <w:t xml:space="preserve">, APHIS published in the Federal Register on pages </w:t>
      </w:r>
      <w:r>
        <w:t xml:space="preserve">40446 and 40447 (see 86 FR 40446) </w:t>
      </w:r>
      <w:r w:rsidRPr="006C1C66">
        <w:t xml:space="preserve">a 60-day notice seeking public comments on its plans to request a 3-year renewal of this collection of information. No comments from the public were received.  </w:t>
      </w:r>
    </w:p>
    <w:p w:rsidRPr="002A0CA2" w:rsidR="002A0CA2" w:rsidP="008B1872" w:rsidRDefault="002A0CA2" w14:paraId="4CE9512C" w14:textId="2DDBDFE0">
      <w:pPr>
        <w:pStyle w:val="DefaultText"/>
        <w:rPr>
          <w:rStyle w:val="InitialStyle"/>
          <w:rFonts w:ascii="Times New Roman" w:hAnsi="Times New Roman"/>
          <w:color w:val="000000" w:themeColor="text1"/>
          <w:szCs w:val="24"/>
        </w:rPr>
      </w:pPr>
    </w:p>
    <w:p w:rsidRPr="002A0CA2" w:rsidR="002A0CA2" w:rsidP="008B1872" w:rsidRDefault="002A0CA2" w14:paraId="67285483" w14:textId="77777777">
      <w:pPr>
        <w:pStyle w:val="DefaultText"/>
        <w:rPr>
          <w:rStyle w:val="InitialStyle"/>
          <w:rFonts w:ascii="Times New Roman" w:hAnsi="Times New Roman"/>
          <w:color w:val="000000" w:themeColor="text1"/>
          <w:szCs w:val="24"/>
        </w:rPr>
      </w:pPr>
    </w:p>
    <w:p w:rsidRPr="002A0CA2" w:rsidR="0008208A" w:rsidP="008B1872" w:rsidRDefault="0008208A" w14:paraId="7194A167" w14:textId="6104E687">
      <w:pPr>
        <w:autoSpaceDE w:val="0"/>
        <w:autoSpaceDN w:val="0"/>
        <w:adjustRightInd w:val="0"/>
        <w:rPr>
          <w:b/>
          <w:color w:val="000000" w:themeColor="text1"/>
        </w:rPr>
      </w:pPr>
      <w:r w:rsidRPr="002A0CA2">
        <w:rPr>
          <w:b/>
          <w:bCs/>
          <w:color w:val="000000" w:themeColor="text1"/>
        </w:rPr>
        <w:t>9.  Explain any decision to provide any payment or gift to respondents, other than reenumeration of contractors or grantees.</w:t>
      </w:r>
    </w:p>
    <w:p w:rsidRPr="002A0CA2" w:rsidR="0008208A" w:rsidRDefault="0008208A" w14:paraId="6E00DB4F" w14:textId="77777777">
      <w:pPr>
        <w:autoSpaceDE w:val="0"/>
        <w:autoSpaceDN w:val="0"/>
        <w:adjustRightInd w:val="0"/>
        <w:rPr>
          <w:color w:val="000000" w:themeColor="text1"/>
        </w:rPr>
      </w:pPr>
    </w:p>
    <w:p w:rsidRPr="002A0CA2" w:rsidR="0008208A" w:rsidRDefault="0008208A" w14:paraId="31EA5F4F" w14:textId="77777777">
      <w:pPr>
        <w:autoSpaceDE w:val="0"/>
        <w:autoSpaceDN w:val="0"/>
        <w:adjustRightInd w:val="0"/>
        <w:rPr>
          <w:color w:val="000000" w:themeColor="text1"/>
        </w:rPr>
      </w:pPr>
      <w:r w:rsidRPr="002A0CA2">
        <w:rPr>
          <w:color w:val="000000" w:themeColor="text1"/>
        </w:rPr>
        <w:t xml:space="preserve">This information collection activity involves no payments or gifts to respondents. </w:t>
      </w:r>
    </w:p>
    <w:p w:rsidRPr="002A0CA2" w:rsidR="0008208A" w:rsidRDefault="0008208A" w14:paraId="07572C0D" w14:textId="77777777">
      <w:pPr>
        <w:autoSpaceDE w:val="0"/>
        <w:autoSpaceDN w:val="0"/>
        <w:adjustRightInd w:val="0"/>
        <w:rPr>
          <w:color w:val="000000" w:themeColor="text1"/>
        </w:rPr>
      </w:pPr>
    </w:p>
    <w:p w:rsidRPr="002A0CA2" w:rsidR="0008208A" w:rsidRDefault="0008208A" w14:paraId="364193BD" w14:textId="77777777">
      <w:pPr>
        <w:autoSpaceDE w:val="0"/>
        <w:autoSpaceDN w:val="0"/>
        <w:adjustRightInd w:val="0"/>
        <w:rPr>
          <w:color w:val="000000" w:themeColor="text1"/>
        </w:rPr>
      </w:pPr>
    </w:p>
    <w:p w:rsidRPr="002A0CA2" w:rsidR="0008208A" w:rsidRDefault="0008208A" w14:paraId="0CCD892A" w14:textId="77777777">
      <w:pPr>
        <w:autoSpaceDE w:val="0"/>
        <w:autoSpaceDN w:val="0"/>
        <w:adjustRightInd w:val="0"/>
        <w:rPr>
          <w:b/>
          <w:color w:val="000000" w:themeColor="text1"/>
        </w:rPr>
      </w:pPr>
      <w:r w:rsidRPr="002A0CA2">
        <w:rPr>
          <w:b/>
          <w:bCs/>
          <w:color w:val="000000" w:themeColor="text1"/>
        </w:rPr>
        <w:t>10.  Describe any assurance of confidentiality provided to respondents and the basis for the assurance in statute, regulation, or agency policy.</w:t>
      </w:r>
    </w:p>
    <w:p w:rsidRPr="002A0CA2" w:rsidR="0008208A" w:rsidRDefault="0008208A" w14:paraId="4413B905" w14:textId="77777777">
      <w:pPr>
        <w:autoSpaceDE w:val="0"/>
        <w:autoSpaceDN w:val="0"/>
        <w:adjustRightInd w:val="0"/>
        <w:rPr>
          <w:color w:val="000000" w:themeColor="text1"/>
        </w:rPr>
      </w:pPr>
    </w:p>
    <w:p w:rsidRPr="002A0CA2" w:rsidR="000604FE" w:rsidP="00D8643C" w:rsidRDefault="000604FE" w14:paraId="6425F718" w14:textId="6C63D589">
      <w:pPr>
        <w:autoSpaceDE w:val="0"/>
        <w:autoSpaceDN w:val="0"/>
        <w:adjustRightInd w:val="0"/>
        <w:rPr>
          <w:color w:val="000000" w:themeColor="text1"/>
        </w:rPr>
      </w:pPr>
      <w:r w:rsidRPr="002A0CA2">
        <w:rPr>
          <w:color w:val="000000" w:themeColor="text1"/>
        </w:rPr>
        <w:t xml:space="preserve">Protection of confidential business information is done through </w:t>
      </w:r>
      <w:r w:rsidRPr="002A0CA2" w:rsidR="00964B5A">
        <w:rPr>
          <w:color w:val="000000" w:themeColor="text1"/>
        </w:rPr>
        <w:t>verified identity (</w:t>
      </w:r>
      <w:r w:rsidRPr="002A0CA2">
        <w:rPr>
          <w:color w:val="000000" w:themeColor="text1"/>
        </w:rPr>
        <w:t>Level 2</w:t>
      </w:r>
      <w:r w:rsidRPr="002A0CA2" w:rsidR="00964B5A">
        <w:rPr>
          <w:color w:val="000000" w:themeColor="text1"/>
        </w:rPr>
        <w:t>)</w:t>
      </w:r>
      <w:r w:rsidRPr="002A0CA2">
        <w:rPr>
          <w:color w:val="000000" w:themeColor="text1"/>
        </w:rPr>
        <w:t xml:space="preserve"> eAuthentication for all NCAH Portal users. Users only have access to information based on their user role designated on their APHIS Form 2007. </w:t>
      </w:r>
      <w:r w:rsidRPr="002A0CA2" w:rsidR="0021033E">
        <w:rPr>
          <w:color w:val="000000" w:themeColor="text1"/>
        </w:rPr>
        <w:t>APHIS uses t</w:t>
      </w:r>
      <w:r w:rsidRPr="002A0CA2">
        <w:rPr>
          <w:color w:val="000000" w:themeColor="text1"/>
        </w:rPr>
        <w:t xml:space="preserve">he NCAH Portal </w:t>
      </w:r>
      <w:r w:rsidRPr="002A0CA2" w:rsidR="0021033E">
        <w:rPr>
          <w:color w:val="000000" w:themeColor="text1"/>
        </w:rPr>
        <w:t>to trans</w:t>
      </w:r>
      <w:r w:rsidRPr="002A0CA2" w:rsidR="008061DC">
        <w:rPr>
          <w:color w:val="000000" w:themeColor="text1"/>
        </w:rPr>
        <w:t>m</w:t>
      </w:r>
      <w:r w:rsidRPr="002A0CA2" w:rsidR="0021033E">
        <w:rPr>
          <w:color w:val="000000" w:themeColor="text1"/>
        </w:rPr>
        <w:t xml:space="preserve">it </w:t>
      </w:r>
      <w:r w:rsidRPr="002A0CA2">
        <w:rPr>
          <w:color w:val="000000" w:themeColor="text1"/>
        </w:rPr>
        <w:t>information</w:t>
      </w:r>
      <w:r w:rsidRPr="002A0CA2" w:rsidR="00E06D29">
        <w:rPr>
          <w:color w:val="000000" w:themeColor="text1"/>
        </w:rPr>
        <w:t xml:space="preserve">, </w:t>
      </w:r>
      <w:r w:rsidRPr="002A0CA2">
        <w:rPr>
          <w:color w:val="000000" w:themeColor="text1"/>
        </w:rPr>
        <w:t xml:space="preserve">not </w:t>
      </w:r>
      <w:r w:rsidRPr="002A0CA2" w:rsidR="0021033E">
        <w:rPr>
          <w:color w:val="000000" w:themeColor="text1"/>
        </w:rPr>
        <w:t xml:space="preserve">to </w:t>
      </w:r>
      <w:r w:rsidRPr="002A0CA2">
        <w:rPr>
          <w:color w:val="000000" w:themeColor="text1"/>
        </w:rPr>
        <w:t>store information for the firm. All correspondence is deleted from the NCAH Portal 60 days after it has been completed.</w:t>
      </w:r>
    </w:p>
    <w:p w:rsidRPr="002A0CA2" w:rsidR="00053C4B" w:rsidP="00D8643C" w:rsidRDefault="00053C4B" w14:paraId="28611D8D" w14:textId="77777777">
      <w:pPr>
        <w:autoSpaceDE w:val="0"/>
        <w:autoSpaceDN w:val="0"/>
        <w:adjustRightInd w:val="0"/>
        <w:rPr>
          <w:color w:val="000000" w:themeColor="text1"/>
        </w:rPr>
      </w:pPr>
    </w:p>
    <w:p w:rsidRPr="002A0CA2" w:rsidR="001564F5" w:rsidP="00D8643C" w:rsidRDefault="00D8643C" w14:paraId="43ADC776" w14:textId="4D03DDCF">
      <w:pPr>
        <w:autoSpaceDE w:val="0"/>
        <w:autoSpaceDN w:val="0"/>
        <w:adjustRightInd w:val="0"/>
        <w:rPr>
          <w:color w:val="000000" w:themeColor="text1"/>
        </w:rPr>
      </w:pPr>
      <w:r w:rsidRPr="002A0CA2">
        <w:rPr>
          <w:color w:val="000000" w:themeColor="text1"/>
        </w:rPr>
        <w:t xml:space="preserve">No additional assurance of confidentiality is provided with this information collection. </w:t>
      </w:r>
      <w:r w:rsidRPr="002A0CA2" w:rsidR="00F81E4C">
        <w:rPr>
          <w:color w:val="000000" w:themeColor="text1"/>
        </w:rPr>
        <w:t xml:space="preserve">No </w:t>
      </w:r>
      <w:r w:rsidRPr="002A0CA2">
        <w:rPr>
          <w:color w:val="000000" w:themeColor="text1"/>
        </w:rPr>
        <w:t xml:space="preserve">information obtained in this collection shall be disclosed except in accordance with </w:t>
      </w:r>
    </w:p>
    <w:p w:rsidRPr="002A0CA2" w:rsidR="00D8643C" w:rsidP="00D8643C" w:rsidRDefault="00D8643C" w14:paraId="7CC9E11D" w14:textId="77777777">
      <w:pPr>
        <w:autoSpaceDE w:val="0"/>
        <w:autoSpaceDN w:val="0"/>
        <w:adjustRightInd w:val="0"/>
        <w:rPr>
          <w:color w:val="000000" w:themeColor="text1"/>
        </w:rPr>
      </w:pPr>
      <w:r w:rsidRPr="002A0CA2">
        <w:rPr>
          <w:color w:val="000000" w:themeColor="text1"/>
        </w:rPr>
        <w:t>5 U.S.C.552a.</w:t>
      </w:r>
    </w:p>
    <w:p w:rsidRPr="002A0CA2" w:rsidR="00E80304" w:rsidP="008B1872" w:rsidRDefault="00E80304" w14:paraId="67CE2146" w14:textId="77777777">
      <w:pPr>
        <w:autoSpaceDE w:val="0"/>
        <w:autoSpaceDN w:val="0"/>
        <w:adjustRightInd w:val="0"/>
        <w:rPr>
          <w:color w:val="000000" w:themeColor="text1"/>
        </w:rPr>
      </w:pPr>
    </w:p>
    <w:p w:rsidRPr="002A0CA2" w:rsidR="0008208A" w:rsidP="008B1872" w:rsidRDefault="0008208A" w14:paraId="69DF717D" w14:textId="77777777">
      <w:pPr>
        <w:autoSpaceDE w:val="0"/>
        <w:autoSpaceDN w:val="0"/>
        <w:adjustRightInd w:val="0"/>
        <w:rPr>
          <w:color w:val="000000" w:themeColor="text1"/>
        </w:rPr>
      </w:pPr>
    </w:p>
    <w:p w:rsidRPr="002A0CA2" w:rsidR="0008208A" w:rsidP="008B1872" w:rsidRDefault="0008208A" w14:paraId="3C11BA4D" w14:textId="77777777">
      <w:pPr>
        <w:autoSpaceDE w:val="0"/>
        <w:autoSpaceDN w:val="0"/>
        <w:adjustRightInd w:val="0"/>
        <w:rPr>
          <w:b/>
          <w:bCs/>
          <w:color w:val="000000" w:themeColor="text1"/>
        </w:rPr>
      </w:pPr>
      <w:r w:rsidRPr="002A0CA2">
        <w:rPr>
          <w:b/>
          <w:bCs/>
          <w:color w:val="000000" w:themeColor="text1"/>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A0CA2" w:rsidR="0008208A" w:rsidP="008B1872" w:rsidRDefault="0008208A" w14:paraId="0F24F969" w14:textId="77777777">
      <w:pPr>
        <w:autoSpaceDE w:val="0"/>
        <w:autoSpaceDN w:val="0"/>
        <w:adjustRightInd w:val="0"/>
        <w:rPr>
          <w:color w:val="000000" w:themeColor="text1"/>
        </w:rPr>
      </w:pPr>
    </w:p>
    <w:p w:rsidRPr="002A0CA2" w:rsidR="0008208A" w:rsidP="008B1872" w:rsidRDefault="0008208A" w14:paraId="1880F808" w14:textId="77777777">
      <w:pPr>
        <w:autoSpaceDE w:val="0"/>
        <w:autoSpaceDN w:val="0"/>
        <w:adjustRightInd w:val="0"/>
        <w:rPr>
          <w:color w:val="000000" w:themeColor="text1"/>
        </w:rPr>
      </w:pPr>
      <w:r w:rsidRPr="002A0CA2">
        <w:rPr>
          <w:color w:val="000000" w:themeColor="text1"/>
        </w:rPr>
        <w:t>This information collection activity will ask no questions of a personal or sensitive nature.</w:t>
      </w:r>
    </w:p>
    <w:p w:rsidRPr="002A0CA2" w:rsidR="0008208A" w:rsidP="008B1872" w:rsidRDefault="0008208A" w14:paraId="26B7F7F1" w14:textId="77777777">
      <w:pPr>
        <w:autoSpaceDE w:val="0"/>
        <w:autoSpaceDN w:val="0"/>
        <w:adjustRightInd w:val="0"/>
        <w:rPr>
          <w:color w:val="000000" w:themeColor="text1"/>
        </w:rPr>
      </w:pPr>
    </w:p>
    <w:p w:rsidR="0008208A" w:rsidP="008B1872" w:rsidRDefault="0008208A" w14:paraId="7AAF9264" w14:textId="7208F58A">
      <w:pPr>
        <w:autoSpaceDE w:val="0"/>
        <w:autoSpaceDN w:val="0"/>
        <w:adjustRightInd w:val="0"/>
        <w:rPr>
          <w:color w:val="000000" w:themeColor="text1"/>
        </w:rPr>
      </w:pPr>
    </w:p>
    <w:p w:rsidR="004113D0" w:rsidP="008B1872" w:rsidRDefault="004113D0" w14:paraId="5CC0B4A7" w14:textId="67DF5EE1">
      <w:pPr>
        <w:autoSpaceDE w:val="0"/>
        <w:autoSpaceDN w:val="0"/>
        <w:adjustRightInd w:val="0"/>
        <w:rPr>
          <w:color w:val="000000" w:themeColor="text1"/>
        </w:rPr>
      </w:pPr>
    </w:p>
    <w:p w:rsidR="004113D0" w:rsidP="008B1872" w:rsidRDefault="004113D0" w14:paraId="7F47D35F" w14:textId="0184EA76">
      <w:pPr>
        <w:autoSpaceDE w:val="0"/>
        <w:autoSpaceDN w:val="0"/>
        <w:adjustRightInd w:val="0"/>
        <w:rPr>
          <w:color w:val="000000" w:themeColor="text1"/>
        </w:rPr>
      </w:pPr>
    </w:p>
    <w:p w:rsidR="004113D0" w:rsidP="008B1872" w:rsidRDefault="004113D0" w14:paraId="63236996" w14:textId="60968C96">
      <w:pPr>
        <w:autoSpaceDE w:val="0"/>
        <w:autoSpaceDN w:val="0"/>
        <w:adjustRightInd w:val="0"/>
        <w:rPr>
          <w:color w:val="000000" w:themeColor="text1"/>
        </w:rPr>
      </w:pPr>
    </w:p>
    <w:p w:rsidRPr="00050ADF" w:rsidR="004113D0" w:rsidP="008B1872" w:rsidRDefault="004113D0" w14:paraId="0A9C4DC8" w14:textId="77777777">
      <w:pPr>
        <w:autoSpaceDE w:val="0"/>
        <w:autoSpaceDN w:val="0"/>
        <w:adjustRightInd w:val="0"/>
        <w:rPr>
          <w:color w:val="000000" w:themeColor="text1"/>
        </w:rPr>
      </w:pPr>
    </w:p>
    <w:p w:rsidRPr="00050ADF" w:rsidR="0008208A" w:rsidP="008B1872" w:rsidRDefault="0008208A" w14:paraId="3C900F39" w14:textId="77777777">
      <w:pPr>
        <w:autoSpaceDE w:val="0"/>
        <w:autoSpaceDN w:val="0"/>
        <w:adjustRightInd w:val="0"/>
        <w:rPr>
          <w:b/>
          <w:bCs/>
          <w:color w:val="000000" w:themeColor="text1"/>
        </w:rPr>
      </w:pPr>
      <w:r w:rsidRPr="00050ADF">
        <w:rPr>
          <w:b/>
          <w:bCs/>
          <w:color w:val="000000" w:themeColor="text1"/>
        </w:rPr>
        <w:lastRenderedPageBreak/>
        <w:t>12.  Provide estimates of the hour burden of the collection of information.  Indicate the number of respondents, frequency of response, annual hour burden, and an explanation of how the burden was estimated.</w:t>
      </w:r>
    </w:p>
    <w:p w:rsidRPr="00050ADF" w:rsidR="0008208A" w:rsidP="008B1872" w:rsidRDefault="0008208A" w14:paraId="7DA4D226" w14:textId="77777777">
      <w:pPr>
        <w:autoSpaceDE w:val="0"/>
        <w:autoSpaceDN w:val="0"/>
        <w:adjustRightInd w:val="0"/>
        <w:rPr>
          <w:b/>
          <w:bCs/>
          <w:color w:val="000000" w:themeColor="text1"/>
        </w:rPr>
      </w:pPr>
    </w:p>
    <w:p w:rsidRPr="00050ADF" w:rsidR="0008208A" w:rsidP="00050ADF" w:rsidRDefault="0008208A" w14:paraId="371EF0D8" w14:textId="7D62E377">
      <w:pPr>
        <w:autoSpaceDE w:val="0"/>
        <w:autoSpaceDN w:val="0"/>
        <w:adjustRightInd w:val="0"/>
        <w:ind w:left="450"/>
        <w:rPr>
          <w:b/>
          <w:bCs/>
          <w:color w:val="000000" w:themeColor="text1"/>
        </w:rPr>
      </w:pPr>
      <w:r w:rsidRPr="00050ADF">
        <w:rPr>
          <w:b/>
          <w:bCs/>
          <w:color w:val="000000" w:themeColor="text1"/>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050ADF" w:rsidR="0008208A" w:rsidP="00050ADF" w:rsidRDefault="0008208A" w14:paraId="390A5DD2" w14:textId="77777777">
      <w:pPr>
        <w:autoSpaceDE w:val="0"/>
        <w:autoSpaceDN w:val="0"/>
        <w:adjustRightInd w:val="0"/>
        <w:ind w:left="450"/>
        <w:rPr>
          <w:color w:val="000000" w:themeColor="text1"/>
        </w:rPr>
      </w:pPr>
    </w:p>
    <w:p w:rsidRPr="00050ADF" w:rsidR="0008208A" w:rsidP="00050ADF" w:rsidRDefault="0008208A" w14:paraId="5DBE027A" w14:textId="77777777">
      <w:pPr>
        <w:autoSpaceDE w:val="0"/>
        <w:autoSpaceDN w:val="0"/>
        <w:adjustRightInd w:val="0"/>
        <w:ind w:left="450"/>
        <w:rPr>
          <w:color w:val="000000" w:themeColor="text1"/>
        </w:rPr>
      </w:pPr>
      <w:r w:rsidRPr="00050ADF">
        <w:rPr>
          <w:color w:val="000000" w:themeColor="text1"/>
        </w:rPr>
        <w:t>See APHIS Form 71. Burden estimates were developed from discussions with Veterinary Services biologics field and staff personnel, biologic product manufacturers, biologic importers and exporters, researchers, shippers of biological products</w:t>
      </w:r>
      <w:r w:rsidRPr="00050ADF" w:rsidR="0011314A">
        <w:rPr>
          <w:color w:val="000000" w:themeColor="text1"/>
        </w:rPr>
        <w:t>, and Federal personnel engaged in the regulation of veterinary biologics</w:t>
      </w:r>
      <w:r w:rsidRPr="00050ADF">
        <w:rPr>
          <w:color w:val="000000" w:themeColor="text1"/>
        </w:rPr>
        <w:t>.</w:t>
      </w:r>
    </w:p>
    <w:p w:rsidRPr="00050ADF" w:rsidR="0008208A" w:rsidP="00050ADF" w:rsidRDefault="0008208A" w14:paraId="5D71DD35" w14:textId="77777777">
      <w:pPr>
        <w:autoSpaceDE w:val="0"/>
        <w:autoSpaceDN w:val="0"/>
        <w:adjustRightInd w:val="0"/>
        <w:ind w:left="450"/>
        <w:rPr>
          <w:color w:val="000000" w:themeColor="text1"/>
        </w:rPr>
      </w:pPr>
    </w:p>
    <w:p w:rsidRPr="00050ADF" w:rsidR="0008208A" w:rsidP="00050ADF" w:rsidRDefault="0008208A" w14:paraId="744020C1" w14:textId="4E9B2AEB">
      <w:pPr>
        <w:autoSpaceDE w:val="0"/>
        <w:autoSpaceDN w:val="0"/>
        <w:adjustRightInd w:val="0"/>
        <w:ind w:left="450"/>
        <w:rPr>
          <w:b/>
          <w:bCs/>
          <w:color w:val="000000" w:themeColor="text1"/>
        </w:rPr>
      </w:pPr>
      <w:r w:rsidRPr="00050ADF">
        <w:rPr>
          <w:b/>
          <w:bCs/>
          <w:color w:val="000000" w:themeColor="text1"/>
        </w:rPr>
        <w:t>Provide estimates of annualized cost to respondents for the hour burdens for collections of information, identifying and using appropriate wage rate categories.</w:t>
      </w:r>
    </w:p>
    <w:p w:rsidRPr="00050ADF" w:rsidR="0008208A" w:rsidP="00050ADF" w:rsidRDefault="0008208A" w14:paraId="5B357888" w14:textId="77777777">
      <w:pPr>
        <w:autoSpaceDE w:val="0"/>
        <w:autoSpaceDN w:val="0"/>
        <w:adjustRightInd w:val="0"/>
        <w:ind w:left="450"/>
        <w:rPr>
          <w:color w:val="000000" w:themeColor="text1"/>
        </w:rPr>
      </w:pPr>
    </w:p>
    <w:p w:rsidRPr="004C2F96" w:rsidR="00974D37" w:rsidP="00050ADF" w:rsidRDefault="0008208A" w14:paraId="01D788D3" w14:textId="360C7FD8">
      <w:pPr>
        <w:autoSpaceDE w:val="0"/>
        <w:autoSpaceDN w:val="0"/>
        <w:adjustRightInd w:val="0"/>
        <w:ind w:left="450"/>
        <w:rPr>
          <w:color w:val="000000" w:themeColor="text1"/>
        </w:rPr>
      </w:pPr>
      <w:r w:rsidRPr="00050ADF">
        <w:rPr>
          <w:color w:val="000000" w:themeColor="text1"/>
        </w:rPr>
        <w:t xml:space="preserve">Respondents are U.S. importers and exporters of veterinary biological products, shippers of veterinary biological products, State veterinary authorities, </w:t>
      </w:r>
      <w:r w:rsidRPr="00050ADF" w:rsidR="00D90A26">
        <w:rPr>
          <w:color w:val="000000" w:themeColor="text1"/>
        </w:rPr>
        <w:t xml:space="preserve">and </w:t>
      </w:r>
      <w:r w:rsidRPr="00050ADF">
        <w:rPr>
          <w:color w:val="000000" w:themeColor="text1"/>
        </w:rPr>
        <w:t xml:space="preserve">operators of establishments that produce or test veterinary biological products or that engage in product research and </w:t>
      </w:r>
      <w:r w:rsidRPr="004C2F96">
        <w:rPr>
          <w:color w:val="000000" w:themeColor="text1"/>
        </w:rPr>
        <w:t xml:space="preserve">development. </w:t>
      </w:r>
      <w:r w:rsidRPr="004C2F96" w:rsidR="007C11E3">
        <w:rPr>
          <w:color w:val="000000" w:themeColor="text1"/>
        </w:rPr>
        <w:t>APHIS</w:t>
      </w:r>
      <w:r w:rsidRPr="004C2F96">
        <w:rPr>
          <w:color w:val="000000" w:themeColor="text1"/>
        </w:rPr>
        <w:t xml:space="preserve"> estimate</w:t>
      </w:r>
      <w:r w:rsidRPr="004C2F96" w:rsidR="007C11E3">
        <w:rPr>
          <w:color w:val="000000" w:themeColor="text1"/>
        </w:rPr>
        <w:t>s</w:t>
      </w:r>
      <w:r w:rsidRPr="004C2F96">
        <w:rPr>
          <w:color w:val="000000" w:themeColor="text1"/>
        </w:rPr>
        <w:t xml:space="preserve"> the total annualized cost to the above respondents to be $</w:t>
      </w:r>
      <w:r w:rsidRPr="004C2F96" w:rsidR="004C2F96">
        <w:rPr>
          <w:color w:val="000000" w:themeColor="text1"/>
        </w:rPr>
        <w:t>2,113,24</w:t>
      </w:r>
      <w:r w:rsidR="004C2F96">
        <w:rPr>
          <w:color w:val="000000" w:themeColor="text1"/>
        </w:rPr>
        <w:t>8</w:t>
      </w:r>
      <w:r w:rsidRPr="004C2F96">
        <w:rPr>
          <w:color w:val="000000" w:themeColor="text1"/>
        </w:rPr>
        <w:t>. APHIS arrived at this figure by multiplying the hours of estimated response time (</w:t>
      </w:r>
      <w:r w:rsidRPr="004C2F96" w:rsidR="00F937AB">
        <w:rPr>
          <w:color w:val="000000" w:themeColor="text1"/>
        </w:rPr>
        <w:t>43,072</w:t>
      </w:r>
      <w:r w:rsidRPr="004C2F96" w:rsidR="00053C4B">
        <w:rPr>
          <w:color w:val="000000" w:themeColor="text1"/>
        </w:rPr>
        <w:t xml:space="preserve"> </w:t>
      </w:r>
      <w:r w:rsidRPr="004C2F96">
        <w:rPr>
          <w:color w:val="000000" w:themeColor="text1"/>
        </w:rPr>
        <w:t>hours) by the estimated average hourly wage of the above respondents ($</w:t>
      </w:r>
      <w:r w:rsidRPr="004C2F96" w:rsidR="004C2F96">
        <w:rPr>
          <w:color w:val="000000" w:themeColor="text1"/>
        </w:rPr>
        <w:t>33.86</w:t>
      </w:r>
      <w:r w:rsidRPr="004C2F96">
        <w:rPr>
          <w:color w:val="000000" w:themeColor="text1"/>
        </w:rPr>
        <w:t>)</w:t>
      </w:r>
      <w:r w:rsidRPr="004C2F96" w:rsidR="00D724E5">
        <w:rPr>
          <w:color w:val="000000" w:themeColor="text1"/>
        </w:rPr>
        <w:t xml:space="preserve"> and then multiplying the result by 1.4</w:t>
      </w:r>
      <w:r w:rsidRPr="004C2F96" w:rsidR="00053C4B">
        <w:rPr>
          <w:color w:val="000000" w:themeColor="text1"/>
        </w:rPr>
        <w:t>49</w:t>
      </w:r>
      <w:r w:rsidRPr="004C2F96" w:rsidR="00D724E5">
        <w:rPr>
          <w:color w:val="000000" w:themeColor="text1"/>
        </w:rPr>
        <w:t xml:space="preserve"> to capture benefit costs</w:t>
      </w:r>
      <w:r w:rsidRPr="004C2F96">
        <w:rPr>
          <w:color w:val="000000" w:themeColor="text1"/>
        </w:rPr>
        <w:t>.</w:t>
      </w:r>
    </w:p>
    <w:p w:rsidRPr="004C2F96" w:rsidR="00974D37" w:rsidP="00050ADF" w:rsidRDefault="00974D37" w14:paraId="153075BD" w14:textId="77777777">
      <w:pPr>
        <w:autoSpaceDE w:val="0"/>
        <w:autoSpaceDN w:val="0"/>
        <w:adjustRightInd w:val="0"/>
        <w:ind w:left="450"/>
        <w:rPr>
          <w:color w:val="000000" w:themeColor="text1"/>
        </w:rPr>
      </w:pPr>
    </w:p>
    <w:p w:rsidRPr="0095169C" w:rsidR="00313EDD" w:rsidP="00050ADF" w:rsidRDefault="00186F82" w14:paraId="72751DF7" w14:textId="36E4B893">
      <w:pPr>
        <w:autoSpaceDE w:val="0"/>
        <w:autoSpaceDN w:val="0"/>
        <w:adjustRightInd w:val="0"/>
        <w:ind w:left="450"/>
        <w:rPr>
          <w:color w:val="FF0000"/>
        </w:rPr>
      </w:pPr>
      <w:r w:rsidRPr="004C2F96">
        <w:rPr>
          <w:color w:val="000000" w:themeColor="text1"/>
        </w:rPr>
        <w:t xml:space="preserve">The average </w:t>
      </w:r>
      <w:r w:rsidRPr="00050ADF">
        <w:rPr>
          <w:color w:val="000000" w:themeColor="text1"/>
        </w:rPr>
        <w:t>hourly rate was derived from the U.S. Department of Labor, Bureau of Labor Statistics May 20</w:t>
      </w:r>
      <w:r w:rsidRPr="00050ADF" w:rsidR="00053C4B">
        <w:rPr>
          <w:color w:val="000000" w:themeColor="text1"/>
        </w:rPr>
        <w:t>20</w:t>
      </w:r>
      <w:r w:rsidRPr="00050ADF">
        <w:rPr>
          <w:color w:val="000000" w:themeColor="text1"/>
        </w:rPr>
        <w:t xml:space="preserve"> Report - Occupational Employment and Wages in the United States. (See </w:t>
      </w:r>
      <w:r w:rsidRPr="00050ADF">
        <w:rPr>
          <w:rStyle w:val="Hyperlink"/>
          <w:color w:val="000000" w:themeColor="text1"/>
          <w:u w:val="none"/>
        </w:rPr>
        <w:t>http://www.bls.gov/news.release/pdf/ocwage.pdf</w:t>
      </w:r>
      <w:r w:rsidRPr="00050ADF">
        <w:rPr>
          <w:color w:val="000000" w:themeColor="text1"/>
        </w:rPr>
        <w:t>:  Importers and exporters</w:t>
      </w:r>
      <w:r w:rsidR="004C2F96">
        <w:rPr>
          <w:color w:val="000000" w:themeColor="text1"/>
        </w:rPr>
        <w:t xml:space="preserve"> </w:t>
      </w:r>
      <w:r w:rsidRPr="00050ADF">
        <w:rPr>
          <w:color w:val="000000" w:themeColor="text1"/>
        </w:rPr>
        <w:t>[</w:t>
      </w:r>
      <w:r w:rsidR="00050ADF">
        <w:rPr>
          <w:color w:val="000000" w:themeColor="text1"/>
        </w:rPr>
        <w:t xml:space="preserve">SOCC 41-4012, </w:t>
      </w:r>
      <w:r w:rsidRPr="00050ADF">
        <w:rPr>
          <w:color w:val="000000" w:themeColor="text1"/>
        </w:rPr>
        <w:t>Sales Representatives, Wholesale and Manufacturing, Except Technical and Scientific Products</w:t>
      </w:r>
      <w:r w:rsidR="004C2F96">
        <w:rPr>
          <w:color w:val="000000" w:themeColor="text1"/>
        </w:rPr>
        <w:t>, $35.34</w:t>
      </w:r>
      <w:r w:rsidRPr="00050ADF">
        <w:rPr>
          <w:color w:val="000000" w:themeColor="text1"/>
        </w:rPr>
        <w:t>]</w:t>
      </w:r>
      <w:r w:rsidR="004C2F96">
        <w:rPr>
          <w:color w:val="000000" w:themeColor="text1"/>
        </w:rPr>
        <w:t xml:space="preserve">; </w:t>
      </w:r>
      <w:r w:rsidRPr="00050ADF">
        <w:rPr>
          <w:color w:val="000000" w:themeColor="text1"/>
        </w:rPr>
        <w:t>Shippers</w:t>
      </w:r>
      <w:r w:rsidR="004C2F96">
        <w:rPr>
          <w:color w:val="000000" w:themeColor="text1"/>
        </w:rPr>
        <w:t xml:space="preserve"> </w:t>
      </w:r>
      <w:r w:rsidRPr="00050ADF">
        <w:rPr>
          <w:color w:val="000000" w:themeColor="text1"/>
        </w:rPr>
        <w:t>[</w:t>
      </w:r>
      <w:r w:rsidR="00050ADF">
        <w:rPr>
          <w:color w:val="000000" w:themeColor="text1"/>
        </w:rPr>
        <w:t xml:space="preserve">SOCC 43-5071, </w:t>
      </w:r>
      <w:r w:rsidRPr="00050ADF">
        <w:rPr>
          <w:color w:val="000000" w:themeColor="text1"/>
        </w:rPr>
        <w:t xml:space="preserve">Shipping, Receiving, and </w:t>
      </w:r>
      <w:r w:rsidRPr="00050ADF" w:rsidR="00440D72">
        <w:rPr>
          <w:color w:val="000000" w:themeColor="text1"/>
        </w:rPr>
        <w:t xml:space="preserve">Inventory </w:t>
      </w:r>
      <w:r w:rsidRPr="00050ADF">
        <w:rPr>
          <w:color w:val="000000" w:themeColor="text1"/>
        </w:rPr>
        <w:t>Clerks</w:t>
      </w:r>
      <w:r w:rsidR="004C2F96">
        <w:rPr>
          <w:color w:val="000000" w:themeColor="text1"/>
        </w:rPr>
        <w:t>, $17.89</w:t>
      </w:r>
      <w:r w:rsidRPr="00050ADF">
        <w:rPr>
          <w:color w:val="000000" w:themeColor="text1"/>
        </w:rPr>
        <w:t>]</w:t>
      </w:r>
      <w:r w:rsidR="004C2F96">
        <w:rPr>
          <w:color w:val="000000" w:themeColor="text1"/>
        </w:rPr>
        <w:t xml:space="preserve">; </w:t>
      </w:r>
      <w:r w:rsidRPr="00050ADF">
        <w:rPr>
          <w:color w:val="000000" w:themeColor="text1"/>
        </w:rPr>
        <w:t>State Animal Health Authorities</w:t>
      </w:r>
      <w:r w:rsidR="004C2F96">
        <w:rPr>
          <w:color w:val="000000" w:themeColor="text1"/>
        </w:rPr>
        <w:t xml:space="preserve"> </w:t>
      </w:r>
      <w:r w:rsidRPr="00050ADF">
        <w:rPr>
          <w:color w:val="000000" w:themeColor="text1"/>
        </w:rPr>
        <w:t>[</w:t>
      </w:r>
      <w:r w:rsidR="004C2F96">
        <w:rPr>
          <w:color w:val="000000" w:themeColor="text1"/>
        </w:rPr>
        <w:t xml:space="preserve">SOCC 29-1131, </w:t>
      </w:r>
      <w:r w:rsidRPr="00050ADF">
        <w:rPr>
          <w:color w:val="000000" w:themeColor="text1"/>
        </w:rPr>
        <w:t>Veterinarians</w:t>
      </w:r>
      <w:r w:rsidR="004C2F96">
        <w:rPr>
          <w:color w:val="000000" w:themeColor="text1"/>
        </w:rPr>
        <w:t>, $52.09</w:t>
      </w:r>
      <w:r w:rsidRPr="00050ADF">
        <w:rPr>
          <w:color w:val="000000" w:themeColor="text1"/>
        </w:rPr>
        <w:t>]</w:t>
      </w:r>
      <w:r w:rsidR="004C2F96">
        <w:rPr>
          <w:color w:val="000000" w:themeColor="text1"/>
        </w:rPr>
        <w:t xml:space="preserve">; </w:t>
      </w:r>
      <w:r w:rsidRPr="00050ADF">
        <w:rPr>
          <w:color w:val="000000" w:themeColor="text1"/>
        </w:rPr>
        <w:t>Owners/Operators</w:t>
      </w:r>
      <w:r w:rsidR="004C2F96">
        <w:rPr>
          <w:color w:val="000000" w:themeColor="text1"/>
        </w:rPr>
        <w:t xml:space="preserve"> </w:t>
      </w:r>
      <w:r w:rsidRPr="00050ADF">
        <w:rPr>
          <w:color w:val="000000" w:themeColor="text1"/>
        </w:rPr>
        <w:t>[</w:t>
      </w:r>
      <w:r w:rsidR="004C2F96">
        <w:rPr>
          <w:color w:val="000000" w:themeColor="text1"/>
        </w:rPr>
        <w:t xml:space="preserve">SOCC 11-9013, </w:t>
      </w:r>
      <w:r w:rsidRPr="00050ADF">
        <w:rPr>
          <w:color w:val="000000" w:themeColor="text1"/>
        </w:rPr>
        <w:t>Farm</w:t>
      </w:r>
      <w:r w:rsidRPr="00050ADF" w:rsidR="00440D72">
        <w:rPr>
          <w:color w:val="000000" w:themeColor="text1"/>
        </w:rPr>
        <w:t>ers</w:t>
      </w:r>
      <w:r w:rsidRPr="00050ADF">
        <w:rPr>
          <w:color w:val="000000" w:themeColor="text1"/>
        </w:rPr>
        <w:t>, Ranch</w:t>
      </w:r>
      <w:r w:rsidRPr="00050ADF" w:rsidR="00440D72">
        <w:rPr>
          <w:color w:val="000000" w:themeColor="text1"/>
        </w:rPr>
        <w:t>ers</w:t>
      </w:r>
      <w:r w:rsidRPr="00050ADF">
        <w:rPr>
          <w:color w:val="000000" w:themeColor="text1"/>
        </w:rPr>
        <w:t>, and Other Agricultural Managers</w:t>
      </w:r>
      <w:r w:rsidR="004C2F96">
        <w:rPr>
          <w:color w:val="000000" w:themeColor="text1"/>
        </w:rPr>
        <w:t>, $36.93</w:t>
      </w:r>
      <w:r w:rsidRPr="00050ADF">
        <w:rPr>
          <w:color w:val="000000" w:themeColor="text1"/>
        </w:rPr>
        <w:t>]</w:t>
      </w:r>
      <w:r w:rsidR="00050ADF">
        <w:rPr>
          <w:color w:val="000000" w:themeColor="text1"/>
        </w:rPr>
        <w:t>, and private individuals</w:t>
      </w:r>
      <w:r w:rsidR="004C2F96">
        <w:rPr>
          <w:color w:val="000000" w:themeColor="text1"/>
        </w:rPr>
        <w:t xml:space="preserve"> [SOCC 00-0000, $27.07]</w:t>
      </w:r>
      <w:r w:rsidR="00050ADF">
        <w:rPr>
          <w:color w:val="000000" w:themeColor="text1"/>
        </w:rPr>
        <w:t>.</w:t>
      </w:r>
    </w:p>
    <w:p w:rsidRPr="004C2F96" w:rsidR="0021033E" w:rsidP="00050ADF" w:rsidRDefault="0021033E" w14:paraId="658723D5" w14:textId="6CC653A1">
      <w:pPr>
        <w:autoSpaceDE w:val="0"/>
        <w:autoSpaceDN w:val="0"/>
        <w:adjustRightInd w:val="0"/>
        <w:ind w:left="450"/>
        <w:rPr>
          <w:color w:val="000000" w:themeColor="text1"/>
        </w:rPr>
      </w:pPr>
    </w:p>
    <w:p w:rsidRPr="004C2F96" w:rsidR="0043314B" w:rsidP="00050ADF" w:rsidRDefault="0043314B" w14:paraId="204990D7" w14:textId="77777777">
      <w:pPr>
        <w:autoSpaceDE w:val="0"/>
        <w:autoSpaceDN w:val="0"/>
        <w:adjustRightInd w:val="0"/>
        <w:ind w:left="450"/>
        <w:rPr>
          <w:color w:val="000000" w:themeColor="text1"/>
        </w:rPr>
      </w:pPr>
      <w:r w:rsidRPr="004C2F96">
        <w:rPr>
          <w:color w:val="000000" w:themeColor="text1"/>
        </w:rPr>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0021033E" w:rsidP="00050ADF" w:rsidRDefault="0021033E" w14:paraId="3D81A8BA" w14:textId="2960ABBA">
      <w:pPr>
        <w:autoSpaceDE w:val="0"/>
        <w:autoSpaceDN w:val="0"/>
        <w:adjustRightInd w:val="0"/>
        <w:ind w:left="450"/>
        <w:rPr>
          <w:color w:val="000000" w:themeColor="text1"/>
        </w:rPr>
      </w:pPr>
    </w:p>
    <w:p w:rsidR="004113D0" w:rsidP="00050ADF" w:rsidRDefault="004113D0" w14:paraId="7CA8CFA4" w14:textId="7332B4F2">
      <w:pPr>
        <w:autoSpaceDE w:val="0"/>
        <w:autoSpaceDN w:val="0"/>
        <w:adjustRightInd w:val="0"/>
        <w:ind w:left="450"/>
        <w:rPr>
          <w:color w:val="000000" w:themeColor="text1"/>
        </w:rPr>
      </w:pPr>
    </w:p>
    <w:p w:rsidR="004113D0" w:rsidP="00050ADF" w:rsidRDefault="004113D0" w14:paraId="7B54972E" w14:textId="7738B5DF">
      <w:pPr>
        <w:autoSpaceDE w:val="0"/>
        <w:autoSpaceDN w:val="0"/>
        <w:adjustRightInd w:val="0"/>
        <w:ind w:left="450"/>
        <w:rPr>
          <w:color w:val="000000" w:themeColor="text1"/>
        </w:rPr>
      </w:pPr>
    </w:p>
    <w:p w:rsidR="004113D0" w:rsidP="00050ADF" w:rsidRDefault="004113D0" w14:paraId="55A61715" w14:textId="5FD07032">
      <w:pPr>
        <w:autoSpaceDE w:val="0"/>
        <w:autoSpaceDN w:val="0"/>
        <w:adjustRightInd w:val="0"/>
        <w:ind w:left="450"/>
        <w:rPr>
          <w:color w:val="000000" w:themeColor="text1"/>
        </w:rPr>
      </w:pPr>
    </w:p>
    <w:p w:rsidR="004113D0" w:rsidP="00050ADF" w:rsidRDefault="004113D0" w14:paraId="5A6D19C3" w14:textId="26822163">
      <w:pPr>
        <w:autoSpaceDE w:val="0"/>
        <w:autoSpaceDN w:val="0"/>
        <w:adjustRightInd w:val="0"/>
        <w:ind w:left="450"/>
        <w:rPr>
          <w:color w:val="000000" w:themeColor="text1"/>
        </w:rPr>
      </w:pPr>
    </w:p>
    <w:p w:rsidR="004113D0" w:rsidP="00050ADF" w:rsidRDefault="004113D0" w14:paraId="69479ABE" w14:textId="7B086BAC">
      <w:pPr>
        <w:autoSpaceDE w:val="0"/>
        <w:autoSpaceDN w:val="0"/>
        <w:adjustRightInd w:val="0"/>
        <w:ind w:left="450"/>
        <w:rPr>
          <w:color w:val="000000" w:themeColor="text1"/>
        </w:rPr>
      </w:pPr>
    </w:p>
    <w:p w:rsidRPr="004C2F96" w:rsidR="004113D0" w:rsidP="00050ADF" w:rsidRDefault="004113D0" w14:paraId="0D17A0F8" w14:textId="77777777">
      <w:pPr>
        <w:autoSpaceDE w:val="0"/>
        <w:autoSpaceDN w:val="0"/>
        <w:adjustRightInd w:val="0"/>
        <w:ind w:left="450"/>
        <w:rPr>
          <w:color w:val="000000" w:themeColor="text1"/>
        </w:rPr>
      </w:pPr>
    </w:p>
    <w:p w:rsidRPr="004C2F96" w:rsidR="00D724E5" w:rsidP="00050ADF" w:rsidRDefault="00D724E5" w14:paraId="3CEB9BF5" w14:textId="77777777">
      <w:pPr>
        <w:autoSpaceDE w:val="0"/>
        <w:autoSpaceDN w:val="0"/>
        <w:adjustRightInd w:val="0"/>
        <w:ind w:left="450"/>
        <w:rPr>
          <w:color w:val="000000" w:themeColor="text1"/>
        </w:rPr>
      </w:pPr>
    </w:p>
    <w:p w:rsidRPr="004C2F96" w:rsidR="0008208A" w:rsidP="0011314A" w:rsidRDefault="0008208A" w14:paraId="0E635E52" w14:textId="77777777">
      <w:pPr>
        <w:autoSpaceDE w:val="0"/>
        <w:autoSpaceDN w:val="0"/>
        <w:adjustRightInd w:val="0"/>
        <w:rPr>
          <w:b/>
          <w:color w:val="000000" w:themeColor="text1"/>
        </w:rPr>
      </w:pPr>
      <w:r w:rsidRPr="004C2F96">
        <w:rPr>
          <w:b/>
          <w:bCs/>
          <w:color w:val="000000" w:themeColor="text1"/>
        </w:rPr>
        <w:lastRenderedPageBreak/>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4C2F96" w:rsidR="0008208A" w:rsidP="0011314A" w:rsidRDefault="0008208A" w14:paraId="15263A0C" w14:textId="77777777">
      <w:pPr>
        <w:autoSpaceDE w:val="0"/>
        <w:autoSpaceDN w:val="0"/>
        <w:adjustRightInd w:val="0"/>
        <w:rPr>
          <w:color w:val="000000" w:themeColor="text1"/>
        </w:rPr>
      </w:pPr>
    </w:p>
    <w:p w:rsidRPr="004C2F96" w:rsidR="0008208A" w:rsidP="0011314A" w:rsidRDefault="003750A7" w14:paraId="768D920F" w14:textId="77777777">
      <w:pPr>
        <w:autoSpaceDE w:val="0"/>
        <w:autoSpaceDN w:val="0"/>
        <w:adjustRightInd w:val="0"/>
        <w:rPr>
          <w:color w:val="000000" w:themeColor="text1"/>
        </w:rPr>
      </w:pPr>
      <w:r w:rsidRPr="004C2F96">
        <w:rPr>
          <w:color w:val="000000" w:themeColor="text1"/>
        </w:rPr>
        <w:t xml:space="preserve">No </w:t>
      </w:r>
      <w:r w:rsidRPr="004C2F96" w:rsidR="0008208A">
        <w:rPr>
          <w:color w:val="000000" w:themeColor="text1"/>
        </w:rPr>
        <w:t xml:space="preserve">annual cost burden </w:t>
      </w:r>
      <w:r w:rsidRPr="004C2F96">
        <w:rPr>
          <w:color w:val="000000" w:themeColor="text1"/>
        </w:rPr>
        <w:t xml:space="preserve">is </w:t>
      </w:r>
      <w:r w:rsidRPr="004C2F96" w:rsidR="0008208A">
        <w:rPr>
          <w:color w:val="000000" w:themeColor="text1"/>
        </w:rPr>
        <w:t>associated with capital and startup costs, operation and maintenance expenditures, and purchase of services.</w:t>
      </w:r>
    </w:p>
    <w:p w:rsidRPr="004C2F96" w:rsidR="0008208A" w:rsidP="0011314A" w:rsidRDefault="0008208A" w14:paraId="30293007" w14:textId="77777777">
      <w:pPr>
        <w:autoSpaceDE w:val="0"/>
        <w:autoSpaceDN w:val="0"/>
        <w:adjustRightInd w:val="0"/>
        <w:rPr>
          <w:bCs/>
          <w:color w:val="000000" w:themeColor="text1"/>
        </w:rPr>
      </w:pPr>
    </w:p>
    <w:p w:rsidRPr="004C2F96" w:rsidR="004C2F96" w:rsidP="0011314A" w:rsidRDefault="004C2F96" w14:paraId="1888D87B" w14:textId="77777777">
      <w:pPr>
        <w:autoSpaceDE w:val="0"/>
        <w:autoSpaceDN w:val="0"/>
        <w:adjustRightInd w:val="0"/>
        <w:rPr>
          <w:color w:val="000000" w:themeColor="text1"/>
        </w:rPr>
      </w:pPr>
    </w:p>
    <w:p w:rsidRPr="004C2F96" w:rsidR="0008208A" w:rsidP="0011314A" w:rsidRDefault="0008208A" w14:paraId="062A1543" w14:textId="77777777">
      <w:pPr>
        <w:autoSpaceDE w:val="0"/>
        <w:autoSpaceDN w:val="0"/>
        <w:adjustRightInd w:val="0"/>
        <w:rPr>
          <w:b/>
          <w:bCs/>
          <w:color w:val="000000" w:themeColor="text1"/>
        </w:rPr>
      </w:pPr>
      <w:r w:rsidRPr="004C2F96">
        <w:rPr>
          <w:b/>
          <w:bCs/>
          <w:color w:val="000000" w:themeColor="text1"/>
        </w:rPr>
        <w:t>14.  Provide estimates of annualized cost to the Federal government</w:t>
      </w:r>
      <w:r w:rsidRPr="004C2F96">
        <w:rPr>
          <w:b/>
          <w:color w:val="000000" w:themeColor="text1"/>
        </w:rPr>
        <w:t xml:space="preserve">.  </w:t>
      </w:r>
      <w:r w:rsidRPr="004C2F96">
        <w:rPr>
          <w:b/>
          <w:bCs/>
          <w:color w:val="000000" w:themeColor="text1"/>
        </w:rPr>
        <w:t>Provide a description of the method used to estimate cost and any other expense that would not have been incurred without this collection of information.</w:t>
      </w:r>
    </w:p>
    <w:p w:rsidRPr="004C2F96" w:rsidR="0008208A" w:rsidP="0011314A" w:rsidRDefault="0008208A" w14:paraId="177E6869" w14:textId="77777777">
      <w:pPr>
        <w:autoSpaceDE w:val="0"/>
        <w:autoSpaceDN w:val="0"/>
        <w:adjustRightInd w:val="0"/>
        <w:rPr>
          <w:color w:val="000000" w:themeColor="text1"/>
        </w:rPr>
      </w:pPr>
    </w:p>
    <w:p w:rsidRPr="004C2F96" w:rsidR="00313EDD" w:rsidRDefault="00313EDD" w14:paraId="3C0CED75" w14:textId="6A5ECC66">
      <w:pPr>
        <w:autoSpaceDE w:val="0"/>
        <w:autoSpaceDN w:val="0"/>
        <w:adjustRightInd w:val="0"/>
        <w:rPr>
          <w:color w:val="000000" w:themeColor="text1"/>
        </w:rPr>
      </w:pPr>
      <w:r w:rsidRPr="004C2F96">
        <w:rPr>
          <w:color w:val="000000" w:themeColor="text1"/>
        </w:rPr>
        <w:t xml:space="preserve">See APHIS Form 79.  </w:t>
      </w:r>
      <w:r w:rsidRPr="004C2F96" w:rsidR="0008208A">
        <w:rPr>
          <w:color w:val="000000" w:themeColor="text1"/>
        </w:rPr>
        <w:t xml:space="preserve">The annualized cost to the Federal Government is estimated at </w:t>
      </w:r>
      <w:r w:rsidRPr="004C2F96" w:rsidR="00186F82">
        <w:rPr>
          <w:color w:val="000000" w:themeColor="text1"/>
        </w:rPr>
        <w:t>$</w:t>
      </w:r>
      <w:r w:rsidRPr="004C2F96" w:rsidR="00920B54">
        <w:rPr>
          <w:color w:val="000000" w:themeColor="text1"/>
        </w:rPr>
        <w:t>2,</w:t>
      </w:r>
      <w:r w:rsidRPr="004C2F96" w:rsidR="004C2F96">
        <w:rPr>
          <w:color w:val="000000" w:themeColor="text1"/>
        </w:rPr>
        <w:t>606,101</w:t>
      </w:r>
      <w:r w:rsidRPr="004C2F96" w:rsidR="0008208A">
        <w:rPr>
          <w:color w:val="000000" w:themeColor="text1"/>
        </w:rPr>
        <w:t>.</w:t>
      </w:r>
    </w:p>
    <w:p w:rsidRPr="004C2F96" w:rsidR="00C85429" w:rsidRDefault="00C85429" w14:paraId="6AB91E5E" w14:textId="77777777">
      <w:pPr>
        <w:autoSpaceDE w:val="0"/>
        <w:autoSpaceDN w:val="0"/>
        <w:adjustRightInd w:val="0"/>
        <w:rPr>
          <w:color w:val="000000" w:themeColor="text1"/>
        </w:rPr>
      </w:pPr>
    </w:p>
    <w:p w:rsidRPr="004C2F96" w:rsidR="00D73A85" w:rsidRDefault="00D73A85" w14:paraId="5EBE1302" w14:textId="77777777">
      <w:pPr>
        <w:autoSpaceDE w:val="0"/>
        <w:autoSpaceDN w:val="0"/>
        <w:adjustRightInd w:val="0"/>
        <w:rPr>
          <w:color w:val="000000" w:themeColor="text1"/>
        </w:rPr>
      </w:pPr>
    </w:p>
    <w:p w:rsidRPr="004C2F96" w:rsidR="0008208A" w:rsidRDefault="0008208A" w14:paraId="1E2377A3" w14:textId="77777777">
      <w:pPr>
        <w:autoSpaceDE w:val="0"/>
        <w:autoSpaceDN w:val="0"/>
        <w:adjustRightInd w:val="0"/>
        <w:rPr>
          <w:b/>
          <w:bCs/>
          <w:color w:val="000000" w:themeColor="text1"/>
        </w:rPr>
      </w:pPr>
      <w:r w:rsidRPr="004C2F96">
        <w:rPr>
          <w:b/>
          <w:bCs/>
          <w:color w:val="000000" w:themeColor="text1"/>
        </w:rPr>
        <w:t>15.  Explain the reasons for any program changes or adjustments reported in Items 13 or 14 of the OMB Form 83-1.</w:t>
      </w:r>
    </w:p>
    <w:p w:rsidRPr="004C2F96" w:rsidR="00313EDD" w:rsidRDefault="00313EDD" w14:paraId="7E7406C9" w14:textId="77777777">
      <w:pPr>
        <w:autoSpaceDE w:val="0"/>
        <w:autoSpaceDN w:val="0"/>
        <w:adjustRightInd w:val="0"/>
        <w:rPr>
          <w:color w:val="000000" w:themeColor="text1"/>
        </w:rPr>
      </w:pPr>
    </w:p>
    <w:tbl>
      <w:tblPr>
        <w:tblStyle w:val="TableGrid"/>
        <w:tblW w:w="0" w:type="auto"/>
        <w:tblLook w:val="04A0" w:firstRow="1" w:lastRow="0" w:firstColumn="1" w:lastColumn="0" w:noHBand="0" w:noVBand="1"/>
      </w:tblPr>
      <w:tblGrid>
        <w:gridCol w:w="1376"/>
        <w:gridCol w:w="1377"/>
        <w:gridCol w:w="1377"/>
        <w:gridCol w:w="1377"/>
        <w:gridCol w:w="1377"/>
        <w:gridCol w:w="1377"/>
        <w:gridCol w:w="1377"/>
      </w:tblGrid>
      <w:tr w:rsidRPr="004C2F96" w:rsidR="004C2F96" w:rsidTr="00D51471" w14:paraId="28FD57C0" w14:textId="77777777">
        <w:tc>
          <w:tcPr>
            <w:tcW w:w="1376" w:type="dxa"/>
            <w:vAlign w:val="center"/>
          </w:tcPr>
          <w:p w:rsidRPr="004C2F96" w:rsidR="00D51471" w:rsidP="00D51471" w:rsidRDefault="00D51471" w14:paraId="4A2234C8" w14:textId="6BCD9D85">
            <w:pPr>
              <w:autoSpaceDE w:val="0"/>
              <w:autoSpaceDN w:val="0"/>
              <w:adjustRightInd w:val="0"/>
              <w:jc w:val="center"/>
              <w:rPr>
                <w:b/>
                <w:bCs/>
                <w:color w:val="000000" w:themeColor="text1"/>
                <w:sz w:val="16"/>
              </w:rPr>
            </w:pPr>
          </w:p>
        </w:tc>
        <w:tc>
          <w:tcPr>
            <w:tcW w:w="1377" w:type="dxa"/>
            <w:vAlign w:val="center"/>
          </w:tcPr>
          <w:p w:rsidRPr="004C2F96" w:rsidR="00D51471" w:rsidP="00D51471" w:rsidRDefault="00D51471" w14:paraId="1D4FAD5B" w14:textId="4D60117E">
            <w:pPr>
              <w:autoSpaceDE w:val="0"/>
              <w:autoSpaceDN w:val="0"/>
              <w:adjustRightInd w:val="0"/>
              <w:jc w:val="center"/>
              <w:rPr>
                <w:b/>
                <w:bCs/>
                <w:color w:val="000000" w:themeColor="text1"/>
                <w:sz w:val="16"/>
              </w:rPr>
            </w:pPr>
            <w:r w:rsidRPr="004C2F96">
              <w:rPr>
                <w:rFonts w:ascii="Arial" w:hAnsi="Arial" w:cs="Arial"/>
                <w:b/>
                <w:bCs/>
                <w:color w:val="000000" w:themeColor="text1"/>
                <w:sz w:val="16"/>
                <w:szCs w:val="16"/>
              </w:rPr>
              <w:t>Requested</w:t>
            </w:r>
          </w:p>
        </w:tc>
        <w:tc>
          <w:tcPr>
            <w:tcW w:w="1377" w:type="dxa"/>
            <w:vAlign w:val="center"/>
          </w:tcPr>
          <w:p w:rsidRPr="004C2F96" w:rsidR="00D51471" w:rsidP="00D51471" w:rsidRDefault="00D51471" w14:paraId="14BA4797" w14:textId="798BFECA">
            <w:pPr>
              <w:autoSpaceDE w:val="0"/>
              <w:autoSpaceDN w:val="0"/>
              <w:adjustRightInd w:val="0"/>
              <w:jc w:val="center"/>
              <w:rPr>
                <w:b/>
                <w:bCs/>
                <w:color w:val="000000" w:themeColor="text1"/>
                <w:sz w:val="16"/>
              </w:rPr>
            </w:pPr>
            <w:r w:rsidRPr="004C2F96">
              <w:rPr>
                <w:rFonts w:ascii="Arial" w:hAnsi="Arial" w:cs="Arial"/>
                <w:b/>
                <w:bCs/>
                <w:color w:val="000000" w:themeColor="text1"/>
                <w:sz w:val="16"/>
                <w:szCs w:val="16"/>
              </w:rPr>
              <w:t>Program Change Due to New Statute</w:t>
            </w:r>
          </w:p>
        </w:tc>
        <w:tc>
          <w:tcPr>
            <w:tcW w:w="1377" w:type="dxa"/>
            <w:vAlign w:val="center"/>
          </w:tcPr>
          <w:p w:rsidRPr="004C2F96" w:rsidR="00D51471" w:rsidP="00D51471" w:rsidRDefault="00D51471" w14:paraId="495922ED" w14:textId="0ABA7A6E">
            <w:pPr>
              <w:autoSpaceDE w:val="0"/>
              <w:autoSpaceDN w:val="0"/>
              <w:adjustRightInd w:val="0"/>
              <w:jc w:val="center"/>
              <w:rPr>
                <w:b/>
                <w:bCs/>
                <w:color w:val="000000" w:themeColor="text1"/>
                <w:sz w:val="16"/>
              </w:rPr>
            </w:pPr>
            <w:r w:rsidRPr="004C2F96">
              <w:rPr>
                <w:rFonts w:ascii="Arial" w:hAnsi="Arial" w:cs="Arial"/>
                <w:b/>
                <w:bCs/>
                <w:color w:val="000000" w:themeColor="text1"/>
                <w:sz w:val="16"/>
                <w:szCs w:val="16"/>
              </w:rPr>
              <w:t>Program Change Due to Agency Discretion</w:t>
            </w:r>
          </w:p>
        </w:tc>
        <w:tc>
          <w:tcPr>
            <w:tcW w:w="1377" w:type="dxa"/>
            <w:vAlign w:val="center"/>
          </w:tcPr>
          <w:p w:rsidRPr="004C2F96" w:rsidR="00D51471" w:rsidP="00D51471" w:rsidRDefault="00D51471" w14:paraId="7B9DCB57" w14:textId="010D06E1">
            <w:pPr>
              <w:autoSpaceDE w:val="0"/>
              <w:autoSpaceDN w:val="0"/>
              <w:adjustRightInd w:val="0"/>
              <w:jc w:val="center"/>
              <w:rPr>
                <w:b/>
                <w:bCs/>
                <w:color w:val="000000" w:themeColor="text1"/>
                <w:sz w:val="16"/>
              </w:rPr>
            </w:pPr>
            <w:r w:rsidRPr="004C2F96">
              <w:rPr>
                <w:rFonts w:ascii="Arial" w:hAnsi="Arial" w:cs="Arial"/>
                <w:b/>
                <w:bCs/>
                <w:color w:val="000000" w:themeColor="text1"/>
                <w:sz w:val="16"/>
                <w:szCs w:val="16"/>
              </w:rPr>
              <w:t>Change Due to Adjustment in Agency Estimate</w:t>
            </w:r>
          </w:p>
        </w:tc>
        <w:tc>
          <w:tcPr>
            <w:tcW w:w="1377" w:type="dxa"/>
            <w:vAlign w:val="center"/>
          </w:tcPr>
          <w:p w:rsidRPr="004C2F96" w:rsidR="00D51471" w:rsidP="00D51471" w:rsidRDefault="00D51471" w14:paraId="6F8EC25D" w14:textId="694CEA6D">
            <w:pPr>
              <w:autoSpaceDE w:val="0"/>
              <w:autoSpaceDN w:val="0"/>
              <w:adjustRightInd w:val="0"/>
              <w:jc w:val="center"/>
              <w:rPr>
                <w:b/>
                <w:bCs/>
                <w:color w:val="000000" w:themeColor="text1"/>
                <w:sz w:val="16"/>
              </w:rPr>
            </w:pPr>
            <w:r w:rsidRPr="004C2F96">
              <w:rPr>
                <w:rFonts w:ascii="Arial" w:hAnsi="Arial" w:cs="Arial"/>
                <w:b/>
                <w:bCs/>
                <w:color w:val="000000" w:themeColor="text1"/>
                <w:sz w:val="16"/>
                <w:szCs w:val="16"/>
              </w:rPr>
              <w:t>Change Due to Potential Violation of the PRA</w:t>
            </w:r>
          </w:p>
        </w:tc>
        <w:tc>
          <w:tcPr>
            <w:tcW w:w="1377" w:type="dxa"/>
            <w:vAlign w:val="center"/>
          </w:tcPr>
          <w:p w:rsidRPr="004C2F96" w:rsidR="00D51471" w:rsidP="00D51471" w:rsidRDefault="00D51471" w14:paraId="52C34A11" w14:textId="46CA3AE1">
            <w:pPr>
              <w:autoSpaceDE w:val="0"/>
              <w:autoSpaceDN w:val="0"/>
              <w:adjustRightInd w:val="0"/>
              <w:jc w:val="center"/>
              <w:rPr>
                <w:b/>
                <w:bCs/>
                <w:color w:val="000000" w:themeColor="text1"/>
                <w:sz w:val="16"/>
              </w:rPr>
            </w:pPr>
            <w:r w:rsidRPr="004C2F96">
              <w:rPr>
                <w:rFonts w:ascii="Arial" w:hAnsi="Arial" w:cs="Arial"/>
                <w:b/>
                <w:bCs/>
                <w:color w:val="000000" w:themeColor="text1"/>
                <w:sz w:val="16"/>
                <w:szCs w:val="16"/>
              </w:rPr>
              <w:t>Previously Approved</w:t>
            </w:r>
          </w:p>
        </w:tc>
      </w:tr>
      <w:tr w:rsidRPr="004C2F96" w:rsidR="004C2F96" w:rsidTr="00D51471" w14:paraId="6BB0F07B" w14:textId="77777777">
        <w:trPr>
          <w:trHeight w:val="576"/>
        </w:trPr>
        <w:tc>
          <w:tcPr>
            <w:tcW w:w="1376" w:type="dxa"/>
            <w:vAlign w:val="center"/>
          </w:tcPr>
          <w:p w:rsidRPr="004C2F96" w:rsidR="00D51471" w:rsidP="00D51471" w:rsidRDefault="00D51471" w14:paraId="1A1C37F8" w14:textId="57419710">
            <w:pPr>
              <w:autoSpaceDE w:val="0"/>
              <w:autoSpaceDN w:val="0"/>
              <w:adjustRightInd w:val="0"/>
              <w:rPr>
                <w:b/>
                <w:bCs/>
                <w:color w:val="000000" w:themeColor="text1"/>
                <w:sz w:val="16"/>
              </w:rPr>
            </w:pPr>
            <w:r w:rsidRPr="004C2F96">
              <w:rPr>
                <w:rFonts w:ascii="Arial" w:hAnsi="Arial" w:cs="Arial"/>
                <w:color w:val="000000" w:themeColor="text1"/>
                <w:sz w:val="16"/>
                <w:szCs w:val="16"/>
              </w:rPr>
              <w:t>Annual Number of Responses</w:t>
            </w:r>
          </w:p>
        </w:tc>
        <w:tc>
          <w:tcPr>
            <w:tcW w:w="1377" w:type="dxa"/>
            <w:vAlign w:val="center"/>
          </w:tcPr>
          <w:p w:rsidRPr="004C2F96" w:rsidR="00D51471" w:rsidP="00BF238B" w:rsidRDefault="00F937AB" w14:paraId="479BE90E" w14:textId="5A2C7E71">
            <w:pPr>
              <w:autoSpaceDE w:val="0"/>
              <w:autoSpaceDN w:val="0"/>
              <w:adjustRightInd w:val="0"/>
              <w:jc w:val="right"/>
              <w:rPr>
                <w:rFonts w:ascii="Arial" w:hAnsi="Arial" w:cs="Arial"/>
                <w:color w:val="000000" w:themeColor="text1"/>
                <w:sz w:val="18"/>
              </w:rPr>
            </w:pPr>
            <w:r w:rsidRPr="004C2F96">
              <w:rPr>
                <w:rFonts w:ascii="Arial" w:hAnsi="Arial" w:cs="Arial"/>
                <w:color w:val="000000" w:themeColor="text1"/>
                <w:sz w:val="18"/>
              </w:rPr>
              <w:t>43</w:t>
            </w:r>
            <w:r w:rsidRPr="004C2F96" w:rsidR="004C2F96">
              <w:rPr>
                <w:rFonts w:ascii="Arial" w:hAnsi="Arial" w:cs="Arial"/>
                <w:color w:val="000000" w:themeColor="text1"/>
                <w:sz w:val="18"/>
              </w:rPr>
              <w:t>5</w:t>
            </w:r>
            <w:r w:rsidRPr="004C2F96">
              <w:rPr>
                <w:rFonts w:ascii="Arial" w:hAnsi="Arial" w:cs="Arial"/>
                <w:color w:val="000000" w:themeColor="text1"/>
                <w:sz w:val="18"/>
              </w:rPr>
              <w:t>,797,533</w:t>
            </w:r>
          </w:p>
        </w:tc>
        <w:tc>
          <w:tcPr>
            <w:tcW w:w="1377" w:type="dxa"/>
            <w:vAlign w:val="center"/>
          </w:tcPr>
          <w:p w:rsidRPr="004C2F96" w:rsidR="00D51471" w:rsidP="00D51471" w:rsidRDefault="00D51471" w14:paraId="43488E42" w14:textId="6E3EFD43">
            <w:pPr>
              <w:autoSpaceDE w:val="0"/>
              <w:autoSpaceDN w:val="0"/>
              <w:adjustRightInd w:val="0"/>
              <w:jc w:val="right"/>
              <w:rPr>
                <w:rFonts w:ascii="Arial" w:hAnsi="Arial" w:cs="Arial"/>
                <w:b/>
                <w:bCs/>
                <w:color w:val="000000" w:themeColor="text1"/>
                <w:sz w:val="18"/>
              </w:rPr>
            </w:pPr>
            <w:r w:rsidRPr="004C2F96">
              <w:rPr>
                <w:rFonts w:ascii="Arial" w:hAnsi="Arial" w:cs="Arial"/>
                <w:color w:val="000000" w:themeColor="text1"/>
                <w:sz w:val="18"/>
                <w:szCs w:val="16"/>
              </w:rPr>
              <w:t>0</w:t>
            </w:r>
          </w:p>
        </w:tc>
        <w:tc>
          <w:tcPr>
            <w:tcW w:w="1377" w:type="dxa"/>
            <w:vAlign w:val="center"/>
          </w:tcPr>
          <w:p w:rsidRPr="004C2F96" w:rsidR="00D51471" w:rsidP="00630D55" w:rsidRDefault="004C2F96" w14:paraId="51866174" w14:textId="764DFE6D">
            <w:pPr>
              <w:autoSpaceDE w:val="0"/>
              <w:autoSpaceDN w:val="0"/>
              <w:adjustRightInd w:val="0"/>
              <w:jc w:val="right"/>
              <w:rPr>
                <w:rFonts w:ascii="Arial" w:hAnsi="Arial" w:cs="Arial"/>
                <w:b/>
                <w:bCs/>
                <w:color w:val="000000" w:themeColor="text1"/>
                <w:sz w:val="18"/>
              </w:rPr>
            </w:pPr>
            <w:r w:rsidRPr="004C2F96">
              <w:rPr>
                <w:rFonts w:ascii="Arial" w:hAnsi="Arial" w:cs="Arial"/>
                <w:b/>
                <w:bCs/>
                <w:color w:val="000000" w:themeColor="text1"/>
                <w:sz w:val="18"/>
              </w:rPr>
              <w:t>(14,624)</w:t>
            </w:r>
          </w:p>
        </w:tc>
        <w:tc>
          <w:tcPr>
            <w:tcW w:w="1377" w:type="dxa"/>
            <w:vAlign w:val="center"/>
          </w:tcPr>
          <w:p w:rsidRPr="004C2F96" w:rsidR="00D51471" w:rsidP="00D51471" w:rsidRDefault="004C2F96" w14:paraId="2B557310" w14:textId="63230063">
            <w:pPr>
              <w:autoSpaceDE w:val="0"/>
              <w:autoSpaceDN w:val="0"/>
              <w:adjustRightInd w:val="0"/>
              <w:jc w:val="right"/>
              <w:rPr>
                <w:rFonts w:ascii="Arial" w:hAnsi="Arial" w:cs="Arial"/>
                <w:bCs/>
                <w:color w:val="000000" w:themeColor="text1"/>
                <w:sz w:val="18"/>
              </w:rPr>
            </w:pPr>
            <w:r w:rsidRPr="004C2F96">
              <w:rPr>
                <w:rFonts w:ascii="Arial" w:hAnsi="Arial" w:cs="Arial"/>
                <w:bCs/>
                <w:color w:val="000000" w:themeColor="text1"/>
                <w:sz w:val="18"/>
              </w:rPr>
              <w:t>136,991,356</w:t>
            </w:r>
          </w:p>
        </w:tc>
        <w:tc>
          <w:tcPr>
            <w:tcW w:w="1377" w:type="dxa"/>
            <w:vAlign w:val="center"/>
          </w:tcPr>
          <w:p w:rsidRPr="004C2F96" w:rsidR="00D51471" w:rsidP="00D51471" w:rsidRDefault="00D51471" w14:paraId="082BF113" w14:textId="0A806D91">
            <w:pPr>
              <w:autoSpaceDE w:val="0"/>
              <w:autoSpaceDN w:val="0"/>
              <w:adjustRightInd w:val="0"/>
              <w:jc w:val="right"/>
              <w:rPr>
                <w:bCs/>
                <w:color w:val="000000" w:themeColor="text1"/>
                <w:sz w:val="18"/>
              </w:rPr>
            </w:pPr>
            <w:r w:rsidRPr="004C2F96">
              <w:rPr>
                <w:rFonts w:ascii="Arial" w:hAnsi="Arial" w:cs="Arial"/>
                <w:color w:val="000000" w:themeColor="text1"/>
                <w:sz w:val="18"/>
                <w:szCs w:val="16"/>
              </w:rPr>
              <w:t>0</w:t>
            </w:r>
          </w:p>
        </w:tc>
        <w:tc>
          <w:tcPr>
            <w:tcW w:w="1377" w:type="dxa"/>
            <w:vAlign w:val="center"/>
          </w:tcPr>
          <w:p w:rsidRPr="004C2F96" w:rsidR="00D51471" w:rsidP="00D51471" w:rsidRDefault="00B24C03" w14:paraId="18CC2B97" w14:textId="1390982F">
            <w:pPr>
              <w:autoSpaceDE w:val="0"/>
              <w:autoSpaceDN w:val="0"/>
              <w:adjustRightInd w:val="0"/>
              <w:jc w:val="right"/>
              <w:rPr>
                <w:rFonts w:ascii="Arial" w:hAnsi="Arial" w:cs="Arial"/>
                <w:color w:val="000000" w:themeColor="text1"/>
                <w:sz w:val="18"/>
              </w:rPr>
            </w:pPr>
            <w:r w:rsidRPr="004C2F96">
              <w:rPr>
                <w:rFonts w:ascii="Arial" w:hAnsi="Arial" w:cs="Arial"/>
                <w:color w:val="000000" w:themeColor="text1"/>
                <w:sz w:val="18"/>
              </w:rPr>
              <w:t>298,820,801</w:t>
            </w:r>
          </w:p>
        </w:tc>
      </w:tr>
      <w:tr w:rsidRPr="004C2F96" w:rsidR="004C2F96" w:rsidTr="00D51471" w14:paraId="03CCAB79" w14:textId="77777777">
        <w:trPr>
          <w:trHeight w:val="576"/>
        </w:trPr>
        <w:tc>
          <w:tcPr>
            <w:tcW w:w="1376" w:type="dxa"/>
            <w:vAlign w:val="center"/>
          </w:tcPr>
          <w:p w:rsidRPr="004C2F96" w:rsidR="00D51471" w:rsidP="00D51471" w:rsidRDefault="00D51471" w14:paraId="7E069A76" w14:textId="277EE7E8">
            <w:pPr>
              <w:autoSpaceDE w:val="0"/>
              <w:autoSpaceDN w:val="0"/>
              <w:adjustRightInd w:val="0"/>
              <w:rPr>
                <w:b/>
                <w:bCs/>
                <w:color w:val="000000" w:themeColor="text1"/>
                <w:sz w:val="16"/>
              </w:rPr>
            </w:pPr>
            <w:r w:rsidRPr="004C2F96">
              <w:rPr>
                <w:rFonts w:ascii="Arial" w:hAnsi="Arial" w:cs="Arial"/>
                <w:color w:val="000000" w:themeColor="text1"/>
                <w:sz w:val="16"/>
                <w:szCs w:val="16"/>
              </w:rPr>
              <w:t>Annual Time Burden (Hours)</w:t>
            </w:r>
          </w:p>
        </w:tc>
        <w:tc>
          <w:tcPr>
            <w:tcW w:w="1377" w:type="dxa"/>
            <w:vAlign w:val="center"/>
          </w:tcPr>
          <w:p w:rsidRPr="004C2F96" w:rsidR="00D51471" w:rsidP="00186F82" w:rsidRDefault="00F937AB" w14:paraId="5E60A3C4" w14:textId="741D2E76">
            <w:pPr>
              <w:autoSpaceDE w:val="0"/>
              <w:autoSpaceDN w:val="0"/>
              <w:adjustRightInd w:val="0"/>
              <w:jc w:val="right"/>
              <w:rPr>
                <w:rFonts w:ascii="Arial" w:hAnsi="Arial" w:cs="Arial"/>
                <w:color w:val="000000" w:themeColor="text1"/>
                <w:sz w:val="18"/>
              </w:rPr>
            </w:pPr>
            <w:r w:rsidRPr="004C2F96">
              <w:rPr>
                <w:rFonts w:ascii="Arial" w:hAnsi="Arial" w:cs="Arial"/>
                <w:color w:val="000000" w:themeColor="text1"/>
                <w:sz w:val="18"/>
              </w:rPr>
              <w:t>43,072</w:t>
            </w:r>
          </w:p>
        </w:tc>
        <w:tc>
          <w:tcPr>
            <w:tcW w:w="1377" w:type="dxa"/>
            <w:vAlign w:val="center"/>
          </w:tcPr>
          <w:p w:rsidRPr="004C2F96" w:rsidR="00D51471" w:rsidP="00D51471" w:rsidRDefault="00D51471" w14:paraId="3C777CA1" w14:textId="35F12783">
            <w:pPr>
              <w:autoSpaceDE w:val="0"/>
              <w:autoSpaceDN w:val="0"/>
              <w:adjustRightInd w:val="0"/>
              <w:jc w:val="right"/>
              <w:rPr>
                <w:rFonts w:ascii="Arial" w:hAnsi="Arial" w:cs="Arial"/>
                <w:b/>
                <w:bCs/>
                <w:color w:val="000000" w:themeColor="text1"/>
                <w:sz w:val="18"/>
              </w:rPr>
            </w:pPr>
            <w:r w:rsidRPr="004C2F96">
              <w:rPr>
                <w:rFonts w:ascii="Arial" w:hAnsi="Arial" w:cs="Arial"/>
                <w:color w:val="000000" w:themeColor="text1"/>
                <w:sz w:val="18"/>
                <w:szCs w:val="16"/>
              </w:rPr>
              <w:t>0</w:t>
            </w:r>
          </w:p>
        </w:tc>
        <w:tc>
          <w:tcPr>
            <w:tcW w:w="1377" w:type="dxa"/>
            <w:vAlign w:val="center"/>
          </w:tcPr>
          <w:p w:rsidRPr="004C2F96" w:rsidR="00D51471" w:rsidP="00186F82" w:rsidRDefault="004C2F96" w14:paraId="4EF511F1" w14:textId="5EFF49BD">
            <w:pPr>
              <w:autoSpaceDE w:val="0"/>
              <w:autoSpaceDN w:val="0"/>
              <w:adjustRightInd w:val="0"/>
              <w:jc w:val="right"/>
              <w:rPr>
                <w:rFonts w:ascii="Arial" w:hAnsi="Arial" w:cs="Arial"/>
                <w:b/>
                <w:bCs/>
                <w:color w:val="000000" w:themeColor="text1"/>
                <w:sz w:val="18"/>
              </w:rPr>
            </w:pPr>
            <w:r w:rsidRPr="004C2F96">
              <w:rPr>
                <w:rFonts w:ascii="Arial" w:hAnsi="Arial" w:cs="Arial"/>
                <w:b/>
                <w:bCs/>
                <w:color w:val="000000" w:themeColor="text1"/>
                <w:sz w:val="18"/>
              </w:rPr>
              <w:t>(88,605)</w:t>
            </w:r>
          </w:p>
        </w:tc>
        <w:tc>
          <w:tcPr>
            <w:tcW w:w="1377" w:type="dxa"/>
            <w:vAlign w:val="center"/>
          </w:tcPr>
          <w:p w:rsidRPr="004C2F96" w:rsidR="00D51471" w:rsidP="00186F82" w:rsidRDefault="004C2F96" w14:paraId="2ABE2225" w14:textId="6112BD85">
            <w:pPr>
              <w:autoSpaceDE w:val="0"/>
              <w:autoSpaceDN w:val="0"/>
              <w:adjustRightInd w:val="0"/>
              <w:jc w:val="right"/>
              <w:rPr>
                <w:rFonts w:ascii="Arial" w:hAnsi="Arial" w:cs="Arial"/>
                <w:b/>
                <w:bCs/>
                <w:color w:val="000000" w:themeColor="text1"/>
                <w:sz w:val="18"/>
              </w:rPr>
            </w:pPr>
            <w:r w:rsidRPr="004C2F96">
              <w:rPr>
                <w:rFonts w:ascii="Arial" w:hAnsi="Arial" w:cs="Arial"/>
                <w:b/>
                <w:bCs/>
                <w:color w:val="000000" w:themeColor="text1"/>
                <w:sz w:val="18"/>
              </w:rPr>
              <w:t>8,679</w:t>
            </w:r>
          </w:p>
        </w:tc>
        <w:tc>
          <w:tcPr>
            <w:tcW w:w="1377" w:type="dxa"/>
            <w:vAlign w:val="center"/>
          </w:tcPr>
          <w:p w:rsidRPr="004C2F96" w:rsidR="00D51471" w:rsidP="00D51471" w:rsidRDefault="00D51471" w14:paraId="5B30A5E1" w14:textId="39B29A10">
            <w:pPr>
              <w:autoSpaceDE w:val="0"/>
              <w:autoSpaceDN w:val="0"/>
              <w:adjustRightInd w:val="0"/>
              <w:jc w:val="right"/>
              <w:rPr>
                <w:b/>
                <w:bCs/>
                <w:color w:val="000000" w:themeColor="text1"/>
                <w:sz w:val="18"/>
              </w:rPr>
            </w:pPr>
            <w:r w:rsidRPr="004C2F96">
              <w:rPr>
                <w:rFonts w:ascii="Arial" w:hAnsi="Arial" w:cs="Arial"/>
                <w:color w:val="000000" w:themeColor="text1"/>
                <w:sz w:val="18"/>
                <w:szCs w:val="16"/>
              </w:rPr>
              <w:t>0</w:t>
            </w:r>
          </w:p>
        </w:tc>
        <w:tc>
          <w:tcPr>
            <w:tcW w:w="1377" w:type="dxa"/>
            <w:vAlign w:val="center"/>
          </w:tcPr>
          <w:p w:rsidRPr="004C2F96" w:rsidR="00D51471" w:rsidP="00D51471" w:rsidRDefault="00B24C03" w14:paraId="74588AAB" w14:textId="567619EB">
            <w:pPr>
              <w:autoSpaceDE w:val="0"/>
              <w:autoSpaceDN w:val="0"/>
              <w:adjustRightInd w:val="0"/>
              <w:jc w:val="right"/>
              <w:rPr>
                <w:b/>
                <w:bCs/>
                <w:color w:val="000000" w:themeColor="text1"/>
                <w:sz w:val="18"/>
              </w:rPr>
            </w:pPr>
            <w:r w:rsidRPr="004C2F96">
              <w:rPr>
                <w:rFonts w:ascii="Arial" w:hAnsi="Arial" w:cs="Arial"/>
                <w:color w:val="000000" w:themeColor="text1"/>
                <w:sz w:val="18"/>
                <w:szCs w:val="16"/>
              </w:rPr>
              <w:t>122,998</w:t>
            </w:r>
            <w:r w:rsidRPr="004C2F96" w:rsidR="00D51471">
              <w:rPr>
                <w:rFonts w:ascii="Arial" w:hAnsi="Arial" w:cs="Arial"/>
                <w:color w:val="000000" w:themeColor="text1"/>
                <w:sz w:val="18"/>
                <w:szCs w:val="16"/>
              </w:rPr>
              <w:t xml:space="preserve"> </w:t>
            </w:r>
          </w:p>
        </w:tc>
      </w:tr>
    </w:tbl>
    <w:p w:rsidRPr="004C2F96" w:rsidR="006315D3" w:rsidP="00B17A17" w:rsidRDefault="006315D3" w14:paraId="55BFF594" w14:textId="77777777">
      <w:pPr>
        <w:autoSpaceDE w:val="0"/>
        <w:autoSpaceDN w:val="0"/>
        <w:adjustRightInd w:val="0"/>
        <w:rPr>
          <w:b/>
          <w:bCs/>
          <w:color w:val="000000" w:themeColor="text1"/>
          <w:szCs w:val="22"/>
        </w:rPr>
      </w:pPr>
    </w:p>
    <w:p w:rsidRPr="00BC358E" w:rsidR="00CC149B" w:rsidP="00CC149B" w:rsidRDefault="00CC149B" w14:paraId="205A3403" w14:textId="25B64DFB">
      <w:pPr>
        <w:spacing w:before="180"/>
        <w:rPr>
          <w:rFonts w:cs="Courier New"/>
          <w:color w:val="000000" w:themeColor="text1"/>
          <w:szCs w:val="22"/>
        </w:rPr>
      </w:pPr>
      <w:r w:rsidRPr="00BC358E">
        <w:rPr>
          <w:rFonts w:cs="Courier New"/>
          <w:color w:val="000000" w:themeColor="text1"/>
          <w:szCs w:val="22"/>
        </w:rPr>
        <w:t xml:space="preserve">In this </w:t>
      </w:r>
      <w:r w:rsidRPr="00BC358E" w:rsidR="00F94D26">
        <w:rPr>
          <w:rFonts w:cs="Courier New"/>
          <w:color w:val="000000" w:themeColor="text1"/>
          <w:szCs w:val="22"/>
        </w:rPr>
        <w:t>re</w:t>
      </w:r>
      <w:r w:rsidRPr="00BC358E" w:rsidR="00B24C03">
        <w:rPr>
          <w:rFonts w:cs="Courier New"/>
          <w:color w:val="000000" w:themeColor="text1"/>
          <w:szCs w:val="22"/>
        </w:rPr>
        <w:t>newal</w:t>
      </w:r>
      <w:r w:rsidRPr="00BC358E" w:rsidR="00F94D26">
        <w:rPr>
          <w:rFonts w:cs="Courier New"/>
          <w:color w:val="000000" w:themeColor="text1"/>
          <w:szCs w:val="22"/>
        </w:rPr>
        <w:t xml:space="preserve"> </w:t>
      </w:r>
      <w:r w:rsidRPr="00BC358E" w:rsidR="00E868F1">
        <w:rPr>
          <w:rFonts w:cs="Courier New"/>
          <w:color w:val="000000" w:themeColor="text1"/>
          <w:szCs w:val="22"/>
        </w:rPr>
        <w:t>re</w:t>
      </w:r>
      <w:r w:rsidRPr="00BC358E" w:rsidR="00FB1E26">
        <w:rPr>
          <w:rFonts w:cs="Courier New"/>
          <w:color w:val="000000" w:themeColor="text1"/>
          <w:szCs w:val="22"/>
        </w:rPr>
        <w:t>quest</w:t>
      </w:r>
      <w:r w:rsidRPr="00BC358E">
        <w:rPr>
          <w:rFonts w:cs="Courier New"/>
          <w:color w:val="000000" w:themeColor="text1"/>
          <w:szCs w:val="22"/>
        </w:rPr>
        <w:t>, the number of respondents</w:t>
      </w:r>
      <w:r w:rsidR="00AC14E6">
        <w:rPr>
          <w:rFonts w:cs="Courier New"/>
          <w:color w:val="000000" w:themeColor="text1"/>
          <w:szCs w:val="22"/>
        </w:rPr>
        <w:t xml:space="preserve"> changed from 10,183 to 478</w:t>
      </w:r>
      <w:r w:rsidRPr="00BC358E">
        <w:rPr>
          <w:rFonts w:cs="Courier New"/>
          <w:color w:val="000000" w:themeColor="text1"/>
          <w:szCs w:val="22"/>
        </w:rPr>
        <w:t xml:space="preserve">. The number of annual responses changed from </w:t>
      </w:r>
      <w:r w:rsidRPr="00BC358E" w:rsidR="00F937AB">
        <w:rPr>
          <w:rFonts w:cs="Courier New"/>
          <w:color w:val="000000" w:themeColor="text1"/>
          <w:szCs w:val="22"/>
        </w:rPr>
        <w:t>298,820,801</w:t>
      </w:r>
      <w:r w:rsidRPr="00BC358E" w:rsidR="00B24C03">
        <w:rPr>
          <w:rFonts w:cs="Courier New"/>
          <w:color w:val="000000" w:themeColor="text1"/>
          <w:szCs w:val="22"/>
        </w:rPr>
        <w:t xml:space="preserve"> </w:t>
      </w:r>
      <w:r w:rsidRPr="00BC358E">
        <w:rPr>
          <w:rFonts w:cs="Courier New"/>
          <w:color w:val="000000" w:themeColor="text1"/>
          <w:szCs w:val="22"/>
        </w:rPr>
        <w:t xml:space="preserve">to </w:t>
      </w:r>
      <w:r w:rsidRPr="00BC358E" w:rsidR="00F937AB">
        <w:rPr>
          <w:rFonts w:cs="Courier New"/>
          <w:color w:val="000000" w:themeColor="text1"/>
          <w:szCs w:val="22"/>
        </w:rPr>
        <w:t>43</w:t>
      </w:r>
      <w:r w:rsidRPr="00BC358E" w:rsidR="004C2F96">
        <w:rPr>
          <w:rFonts w:cs="Courier New"/>
          <w:color w:val="000000" w:themeColor="text1"/>
          <w:szCs w:val="22"/>
        </w:rPr>
        <w:t>5</w:t>
      </w:r>
      <w:r w:rsidRPr="00BC358E" w:rsidR="00F937AB">
        <w:rPr>
          <w:rFonts w:cs="Courier New"/>
          <w:color w:val="000000" w:themeColor="text1"/>
          <w:szCs w:val="22"/>
        </w:rPr>
        <w:t xml:space="preserve">,797,533 </w:t>
      </w:r>
      <w:r w:rsidRPr="00BC358E" w:rsidR="001E580D">
        <w:rPr>
          <w:rFonts w:cs="Courier New"/>
          <w:color w:val="000000" w:themeColor="text1"/>
          <w:szCs w:val="22"/>
        </w:rPr>
        <w:t xml:space="preserve">(an </w:t>
      </w:r>
      <w:r w:rsidRPr="00BC358E">
        <w:rPr>
          <w:rFonts w:cs="Courier New"/>
          <w:color w:val="000000" w:themeColor="text1"/>
          <w:szCs w:val="22"/>
        </w:rPr>
        <w:t xml:space="preserve">increase of </w:t>
      </w:r>
      <w:r w:rsidRPr="00BC358E" w:rsidR="00F937AB">
        <w:rPr>
          <w:rFonts w:cs="Courier New"/>
          <w:color w:val="000000" w:themeColor="text1"/>
          <w:szCs w:val="22"/>
        </w:rPr>
        <w:t>13</w:t>
      </w:r>
      <w:r w:rsidRPr="00BC358E" w:rsidR="004C2F96">
        <w:rPr>
          <w:rFonts w:cs="Courier New"/>
          <w:color w:val="000000" w:themeColor="text1"/>
          <w:szCs w:val="22"/>
        </w:rPr>
        <w:t>6</w:t>
      </w:r>
      <w:r w:rsidRPr="00BC358E" w:rsidR="00F937AB">
        <w:rPr>
          <w:rFonts w:cs="Courier New"/>
          <w:color w:val="000000" w:themeColor="text1"/>
          <w:szCs w:val="22"/>
        </w:rPr>
        <w:t>,976,732</w:t>
      </w:r>
      <w:r w:rsidRPr="00BC358E" w:rsidR="001E580D">
        <w:rPr>
          <w:rFonts w:cs="Courier New"/>
          <w:color w:val="000000" w:themeColor="text1"/>
          <w:szCs w:val="22"/>
        </w:rPr>
        <w:t>)</w:t>
      </w:r>
      <w:r w:rsidRPr="00BC358E">
        <w:rPr>
          <w:rFonts w:cs="Courier New"/>
          <w:color w:val="000000" w:themeColor="text1"/>
          <w:szCs w:val="22"/>
        </w:rPr>
        <w:t xml:space="preserve">, and the total burden hours changed from </w:t>
      </w:r>
      <w:r w:rsidRPr="00BC358E" w:rsidR="00F937AB">
        <w:rPr>
          <w:rFonts w:cs="Courier New"/>
          <w:color w:val="000000" w:themeColor="text1"/>
          <w:szCs w:val="22"/>
        </w:rPr>
        <w:t>122,998</w:t>
      </w:r>
      <w:r w:rsidRPr="00BC358E" w:rsidR="00B24C03">
        <w:rPr>
          <w:rFonts w:cs="Courier New"/>
          <w:color w:val="000000" w:themeColor="text1"/>
          <w:szCs w:val="22"/>
        </w:rPr>
        <w:t xml:space="preserve"> </w:t>
      </w:r>
      <w:r w:rsidRPr="00BC358E">
        <w:rPr>
          <w:rFonts w:cs="Courier New"/>
          <w:color w:val="000000" w:themeColor="text1"/>
          <w:szCs w:val="22"/>
        </w:rPr>
        <w:t>to</w:t>
      </w:r>
      <w:r w:rsidRPr="00BC358E" w:rsidR="001E580D">
        <w:rPr>
          <w:rFonts w:cs="Courier New"/>
          <w:color w:val="000000" w:themeColor="text1"/>
          <w:szCs w:val="22"/>
        </w:rPr>
        <w:t xml:space="preserve"> </w:t>
      </w:r>
      <w:r w:rsidRPr="00BC358E" w:rsidR="00F937AB">
        <w:rPr>
          <w:rFonts w:cs="Courier New"/>
          <w:color w:val="000000" w:themeColor="text1"/>
          <w:szCs w:val="22"/>
        </w:rPr>
        <w:t xml:space="preserve">43,072 </w:t>
      </w:r>
      <w:r w:rsidRPr="00BC358E" w:rsidR="001E580D">
        <w:rPr>
          <w:rFonts w:cs="Courier New"/>
          <w:color w:val="000000" w:themeColor="text1"/>
          <w:szCs w:val="22"/>
        </w:rPr>
        <w:t xml:space="preserve">(a </w:t>
      </w:r>
      <w:r w:rsidRPr="00BC358E" w:rsidR="00B24C03">
        <w:rPr>
          <w:rFonts w:cs="Courier New"/>
          <w:color w:val="000000" w:themeColor="text1"/>
          <w:szCs w:val="22"/>
        </w:rPr>
        <w:t>de</w:t>
      </w:r>
      <w:r w:rsidRPr="00BC358E" w:rsidR="001E580D">
        <w:rPr>
          <w:rFonts w:cs="Courier New"/>
          <w:color w:val="000000" w:themeColor="text1"/>
          <w:szCs w:val="22"/>
        </w:rPr>
        <w:t>crease o</w:t>
      </w:r>
      <w:r w:rsidRPr="00BC358E">
        <w:rPr>
          <w:rFonts w:cs="Courier New"/>
          <w:color w:val="000000" w:themeColor="text1"/>
          <w:szCs w:val="22"/>
        </w:rPr>
        <w:t xml:space="preserve">f </w:t>
      </w:r>
      <w:r w:rsidRPr="00BC358E" w:rsidR="00F937AB">
        <w:rPr>
          <w:rFonts w:cs="Courier New"/>
          <w:color w:val="000000" w:themeColor="text1"/>
          <w:szCs w:val="22"/>
        </w:rPr>
        <w:t>79,926</w:t>
      </w:r>
      <w:r w:rsidRPr="00BC358E">
        <w:rPr>
          <w:rFonts w:cs="Courier New"/>
          <w:color w:val="000000" w:themeColor="text1"/>
          <w:szCs w:val="22"/>
        </w:rPr>
        <w:t xml:space="preserve"> hours</w:t>
      </w:r>
      <w:r w:rsidRPr="00BC358E" w:rsidR="001E580D">
        <w:rPr>
          <w:rFonts w:cs="Courier New"/>
          <w:color w:val="000000" w:themeColor="text1"/>
          <w:szCs w:val="22"/>
        </w:rPr>
        <w:t>)</w:t>
      </w:r>
      <w:r w:rsidRPr="00BC358E">
        <w:rPr>
          <w:rFonts w:cs="Courier New"/>
          <w:color w:val="000000" w:themeColor="text1"/>
          <w:szCs w:val="22"/>
        </w:rPr>
        <w:t>.</w:t>
      </w:r>
      <w:r w:rsidRPr="00BC358E" w:rsidR="004D1421">
        <w:rPr>
          <w:rFonts w:cs="Courier New"/>
          <w:color w:val="000000" w:themeColor="text1"/>
          <w:szCs w:val="22"/>
        </w:rPr>
        <w:t xml:space="preserve"> </w:t>
      </w:r>
    </w:p>
    <w:p w:rsidRPr="004C2F96" w:rsidR="00133DCE" w:rsidP="00CC149B" w:rsidRDefault="002905E5" w14:paraId="1B62E0D9" w14:textId="0ED9CAB8">
      <w:pPr>
        <w:spacing w:before="180"/>
        <w:rPr>
          <w:rFonts w:cs="Courier New"/>
          <w:color w:val="000000" w:themeColor="text1"/>
          <w:szCs w:val="22"/>
        </w:rPr>
      </w:pPr>
      <w:r w:rsidRPr="00BC358E">
        <w:rPr>
          <w:rFonts w:cs="Courier New"/>
          <w:color w:val="000000" w:themeColor="text1"/>
          <w:szCs w:val="22"/>
        </w:rPr>
        <w:t xml:space="preserve">There are </w:t>
      </w:r>
      <w:r w:rsidRPr="004C2F96" w:rsidR="0076769E">
        <w:rPr>
          <w:rFonts w:cs="Courier New"/>
          <w:color w:val="000000" w:themeColor="text1"/>
          <w:szCs w:val="22"/>
        </w:rPr>
        <w:t>47</w:t>
      </w:r>
      <w:r w:rsidRPr="004C2F96">
        <w:rPr>
          <w:rFonts w:cs="Courier New"/>
          <w:color w:val="000000" w:themeColor="text1"/>
          <w:szCs w:val="22"/>
        </w:rPr>
        <w:t xml:space="preserve"> activities and </w:t>
      </w:r>
      <w:r w:rsidRPr="004C2F96" w:rsidR="00CC4EE6">
        <w:rPr>
          <w:rFonts w:cs="Courier New"/>
          <w:color w:val="000000" w:themeColor="text1"/>
          <w:szCs w:val="22"/>
        </w:rPr>
        <w:t>2</w:t>
      </w:r>
      <w:r w:rsidRPr="004C2F96" w:rsidR="00A87489">
        <w:rPr>
          <w:rFonts w:cs="Courier New"/>
          <w:color w:val="000000" w:themeColor="text1"/>
          <w:szCs w:val="22"/>
        </w:rPr>
        <w:t>7</w:t>
      </w:r>
      <w:r w:rsidRPr="004C2F96">
        <w:rPr>
          <w:rFonts w:cs="Courier New"/>
          <w:color w:val="000000" w:themeColor="text1"/>
          <w:szCs w:val="22"/>
        </w:rPr>
        <w:t xml:space="preserve"> have no</w:t>
      </w:r>
      <w:r w:rsidRPr="004C2F96" w:rsidR="00CC4EE6">
        <w:rPr>
          <w:rFonts w:cs="Courier New"/>
          <w:color w:val="000000" w:themeColor="text1"/>
          <w:szCs w:val="22"/>
        </w:rPr>
        <w:t xml:space="preserve"> significant</w:t>
      </w:r>
      <w:r w:rsidRPr="004C2F96">
        <w:rPr>
          <w:rFonts w:cs="Courier New"/>
          <w:color w:val="000000" w:themeColor="text1"/>
          <w:szCs w:val="22"/>
        </w:rPr>
        <w:t xml:space="preserve"> change in their responses or burden hours. </w:t>
      </w:r>
    </w:p>
    <w:p w:rsidRPr="004C2F96" w:rsidR="00CC149B" w:rsidP="00CC149B" w:rsidRDefault="00CC149B" w14:paraId="56917B42" w14:textId="10EFFE75">
      <w:pPr>
        <w:autoSpaceDE w:val="0"/>
        <w:autoSpaceDN w:val="0"/>
        <w:adjustRightInd w:val="0"/>
        <w:rPr>
          <w:bCs/>
          <w:color w:val="000000" w:themeColor="text1"/>
          <w:szCs w:val="22"/>
          <w:highlight w:val="yellow"/>
        </w:rPr>
      </w:pPr>
    </w:p>
    <w:p w:rsidRPr="004C2F96" w:rsidR="00A421CF" w:rsidP="00CC149B" w:rsidRDefault="00A421CF" w14:paraId="61BFF5DB" w14:textId="43E3DCE7">
      <w:pPr>
        <w:autoSpaceDE w:val="0"/>
        <w:autoSpaceDN w:val="0"/>
        <w:adjustRightInd w:val="0"/>
        <w:rPr>
          <w:bCs/>
          <w:color w:val="000000" w:themeColor="text1"/>
          <w:szCs w:val="22"/>
        </w:rPr>
      </w:pPr>
      <w:r w:rsidRPr="004C2F96">
        <w:rPr>
          <w:bCs/>
          <w:color w:val="000000" w:themeColor="text1"/>
          <w:szCs w:val="22"/>
        </w:rPr>
        <w:t xml:space="preserve">Items that changed significantly did so because of </w:t>
      </w:r>
      <w:r w:rsidRPr="004C2F96" w:rsidR="00D054EF">
        <w:rPr>
          <w:bCs/>
          <w:color w:val="000000" w:themeColor="text1"/>
          <w:szCs w:val="22"/>
        </w:rPr>
        <w:t xml:space="preserve">program </w:t>
      </w:r>
      <w:r w:rsidRPr="004C2F96" w:rsidR="00FF2233">
        <w:rPr>
          <w:bCs/>
          <w:color w:val="000000" w:themeColor="text1"/>
          <w:szCs w:val="22"/>
        </w:rPr>
        <w:t xml:space="preserve">and industry </w:t>
      </w:r>
      <w:r w:rsidRPr="004C2F96" w:rsidR="00D054EF">
        <w:rPr>
          <w:bCs/>
          <w:color w:val="000000" w:themeColor="text1"/>
          <w:szCs w:val="22"/>
        </w:rPr>
        <w:t xml:space="preserve">changes. </w:t>
      </w:r>
      <w:r w:rsidRPr="004C2F96">
        <w:rPr>
          <w:bCs/>
          <w:color w:val="000000" w:themeColor="text1"/>
          <w:szCs w:val="22"/>
        </w:rPr>
        <w:t xml:space="preserve">No States </w:t>
      </w:r>
      <w:r w:rsidRPr="004C2F96" w:rsidR="00D054EF">
        <w:rPr>
          <w:bCs/>
          <w:color w:val="000000" w:themeColor="text1"/>
          <w:szCs w:val="22"/>
        </w:rPr>
        <w:t xml:space="preserve">issue or terminate veterinary biological products. </w:t>
      </w:r>
      <w:r w:rsidRPr="004C2F96">
        <w:rPr>
          <w:bCs/>
          <w:color w:val="000000" w:themeColor="text1"/>
          <w:szCs w:val="22"/>
        </w:rPr>
        <w:t xml:space="preserve">Fluctuation in </w:t>
      </w:r>
      <w:r w:rsidRPr="004C2F96" w:rsidR="00D054EF">
        <w:rPr>
          <w:bCs/>
          <w:color w:val="000000" w:themeColor="text1"/>
          <w:szCs w:val="22"/>
        </w:rPr>
        <w:t xml:space="preserve">certificates of licensing and inspection </w:t>
      </w:r>
      <w:r w:rsidRPr="004C2F96">
        <w:rPr>
          <w:bCs/>
          <w:color w:val="000000" w:themeColor="text1"/>
          <w:szCs w:val="22"/>
        </w:rPr>
        <w:t xml:space="preserve">occurred because of dip in domestic certificates </w:t>
      </w:r>
      <w:r w:rsidRPr="004C2F96" w:rsidR="00D054EF">
        <w:rPr>
          <w:bCs/>
          <w:color w:val="000000" w:themeColor="text1"/>
          <w:szCs w:val="22"/>
        </w:rPr>
        <w:t>but the regular cycle of foreign registration of veterinary biologics</w:t>
      </w:r>
      <w:r w:rsidRPr="004C2F96">
        <w:rPr>
          <w:bCs/>
          <w:color w:val="000000" w:themeColor="text1"/>
          <w:szCs w:val="22"/>
        </w:rPr>
        <w:t xml:space="preserve"> somewhat compensated</w:t>
      </w:r>
      <w:r w:rsidRPr="004C2F96" w:rsidR="00D054EF">
        <w:rPr>
          <w:bCs/>
          <w:color w:val="000000" w:themeColor="text1"/>
          <w:szCs w:val="22"/>
        </w:rPr>
        <w:t xml:space="preserve">. The third party labeling increased due to more </w:t>
      </w:r>
      <w:r w:rsidRPr="004C2F96">
        <w:rPr>
          <w:bCs/>
          <w:color w:val="000000" w:themeColor="text1"/>
          <w:szCs w:val="22"/>
        </w:rPr>
        <w:t>“</w:t>
      </w:r>
      <w:r w:rsidRPr="004C2F96" w:rsidR="00D054EF">
        <w:rPr>
          <w:bCs/>
          <w:color w:val="000000" w:themeColor="text1"/>
          <w:szCs w:val="22"/>
        </w:rPr>
        <w:t>for further manufacture</w:t>
      </w:r>
      <w:r w:rsidRPr="004C2F96">
        <w:rPr>
          <w:bCs/>
          <w:color w:val="000000" w:themeColor="text1"/>
          <w:szCs w:val="22"/>
        </w:rPr>
        <w:t>”</w:t>
      </w:r>
      <w:r w:rsidRPr="004C2F96" w:rsidR="00D054EF">
        <w:rPr>
          <w:bCs/>
          <w:color w:val="000000" w:themeColor="text1"/>
          <w:szCs w:val="22"/>
        </w:rPr>
        <w:t xml:space="preserve"> licensed product being </w:t>
      </w:r>
      <w:r w:rsidRPr="004C2F96" w:rsidR="00FF2233">
        <w:rPr>
          <w:bCs/>
          <w:color w:val="000000" w:themeColor="text1"/>
          <w:szCs w:val="22"/>
        </w:rPr>
        <w:t>prepared</w:t>
      </w:r>
      <w:r w:rsidRPr="004C2F96" w:rsidR="00D054EF">
        <w:rPr>
          <w:bCs/>
          <w:color w:val="000000" w:themeColor="text1"/>
          <w:szCs w:val="22"/>
        </w:rPr>
        <w:t>.</w:t>
      </w:r>
      <w:r w:rsidRPr="004C2F96" w:rsidR="00FF2233">
        <w:rPr>
          <w:bCs/>
          <w:color w:val="000000" w:themeColor="text1"/>
          <w:szCs w:val="22"/>
        </w:rPr>
        <w:t xml:space="preserve"> APHIS Form 2015 use decreased because it is only used by firms submitting hard copy and due to the increased use of the NCAH Portal by the regulated industry. </w:t>
      </w:r>
      <w:r w:rsidRPr="004C2F96">
        <w:rPr>
          <w:bCs/>
          <w:color w:val="000000" w:themeColor="text1"/>
          <w:szCs w:val="22"/>
        </w:rPr>
        <w:t xml:space="preserve">The CVB is now receiving about </w:t>
      </w:r>
      <w:r w:rsidRPr="004C2F96" w:rsidR="00FF2233">
        <w:rPr>
          <w:bCs/>
          <w:color w:val="000000" w:themeColor="text1"/>
          <w:szCs w:val="22"/>
        </w:rPr>
        <w:t>93</w:t>
      </w:r>
      <w:r w:rsidRPr="004C2F96">
        <w:rPr>
          <w:bCs/>
          <w:color w:val="000000" w:themeColor="text1"/>
          <w:szCs w:val="22"/>
        </w:rPr>
        <w:t xml:space="preserve"> percent</w:t>
      </w:r>
      <w:r w:rsidRPr="004C2F96" w:rsidR="00FF2233">
        <w:rPr>
          <w:bCs/>
          <w:color w:val="000000" w:themeColor="text1"/>
          <w:szCs w:val="22"/>
        </w:rPr>
        <w:t xml:space="preserve"> of </w:t>
      </w:r>
      <w:r w:rsidRPr="004C2F96">
        <w:rPr>
          <w:bCs/>
          <w:color w:val="000000" w:themeColor="text1"/>
          <w:szCs w:val="22"/>
        </w:rPr>
        <w:t xml:space="preserve">its </w:t>
      </w:r>
      <w:r w:rsidRPr="004C2F96" w:rsidR="00FF2233">
        <w:rPr>
          <w:bCs/>
          <w:color w:val="000000" w:themeColor="text1"/>
          <w:szCs w:val="22"/>
        </w:rPr>
        <w:t xml:space="preserve">submissions </w:t>
      </w:r>
      <w:r w:rsidRPr="004C2F96" w:rsidR="00040076">
        <w:rPr>
          <w:bCs/>
          <w:color w:val="000000" w:themeColor="text1"/>
          <w:szCs w:val="22"/>
        </w:rPr>
        <w:t xml:space="preserve">electronically </w:t>
      </w:r>
      <w:r w:rsidRPr="004C2F96" w:rsidR="00FF2233">
        <w:rPr>
          <w:bCs/>
          <w:color w:val="000000" w:themeColor="text1"/>
          <w:szCs w:val="22"/>
        </w:rPr>
        <w:t>via the NCAH Portal.</w:t>
      </w:r>
    </w:p>
    <w:p w:rsidRPr="004C2F96" w:rsidR="00A421CF" w:rsidP="00CC149B" w:rsidRDefault="00A421CF" w14:paraId="08E6661B" w14:textId="77777777">
      <w:pPr>
        <w:autoSpaceDE w:val="0"/>
        <w:autoSpaceDN w:val="0"/>
        <w:adjustRightInd w:val="0"/>
        <w:rPr>
          <w:bCs/>
          <w:color w:val="000000" w:themeColor="text1"/>
          <w:szCs w:val="22"/>
        </w:rPr>
      </w:pPr>
    </w:p>
    <w:p w:rsidRPr="004C2F96" w:rsidR="00A87489" w:rsidP="00CC149B" w:rsidRDefault="00FF2233" w14:paraId="109F14F5" w14:textId="2A323D2D">
      <w:pPr>
        <w:autoSpaceDE w:val="0"/>
        <w:autoSpaceDN w:val="0"/>
        <w:adjustRightInd w:val="0"/>
        <w:rPr>
          <w:bCs/>
          <w:color w:val="000000" w:themeColor="text1"/>
          <w:szCs w:val="22"/>
        </w:rPr>
      </w:pPr>
      <w:r w:rsidRPr="004C2F96">
        <w:rPr>
          <w:bCs/>
          <w:color w:val="000000" w:themeColor="text1"/>
          <w:szCs w:val="22"/>
        </w:rPr>
        <w:t xml:space="preserve">The export market </w:t>
      </w:r>
      <w:r w:rsidRPr="004C2F96" w:rsidR="00A421CF">
        <w:rPr>
          <w:bCs/>
          <w:color w:val="000000" w:themeColor="text1"/>
          <w:szCs w:val="22"/>
        </w:rPr>
        <w:t>for</w:t>
      </w:r>
      <w:r w:rsidRPr="004C2F96">
        <w:rPr>
          <w:bCs/>
          <w:color w:val="000000" w:themeColor="text1"/>
          <w:szCs w:val="22"/>
        </w:rPr>
        <w:t xml:space="preserve"> licensed veterinary biologicals explain</w:t>
      </w:r>
      <w:r w:rsidRPr="004C2F96" w:rsidR="00A421CF">
        <w:rPr>
          <w:bCs/>
          <w:color w:val="000000" w:themeColor="text1"/>
          <w:szCs w:val="22"/>
        </w:rPr>
        <w:t>s</w:t>
      </w:r>
      <w:r w:rsidRPr="004C2F96">
        <w:rPr>
          <w:bCs/>
          <w:color w:val="000000" w:themeColor="text1"/>
          <w:szCs w:val="22"/>
        </w:rPr>
        <w:t xml:space="preserve"> the increase in export</w:t>
      </w:r>
      <w:r w:rsidRPr="004C2F96" w:rsidR="00A421CF">
        <w:rPr>
          <w:bCs/>
          <w:color w:val="000000" w:themeColor="text1"/>
          <w:szCs w:val="22"/>
        </w:rPr>
        <w:t>-</w:t>
      </w:r>
      <w:r w:rsidRPr="004C2F96">
        <w:rPr>
          <w:bCs/>
          <w:color w:val="000000" w:themeColor="text1"/>
          <w:szCs w:val="22"/>
        </w:rPr>
        <w:t xml:space="preserve">only labeling and the submission of APHIS Form 2017s, </w:t>
      </w:r>
      <w:r w:rsidRPr="004C2F96" w:rsidR="00A421CF">
        <w:rPr>
          <w:bCs/>
          <w:color w:val="000000" w:themeColor="text1"/>
          <w:szCs w:val="22"/>
        </w:rPr>
        <w:t xml:space="preserve">as this form </w:t>
      </w:r>
      <w:r w:rsidRPr="004C2F96">
        <w:rPr>
          <w:bCs/>
          <w:color w:val="000000" w:themeColor="text1"/>
          <w:szCs w:val="22"/>
        </w:rPr>
        <w:t>certif</w:t>
      </w:r>
      <w:r w:rsidRPr="004C2F96" w:rsidR="00040076">
        <w:rPr>
          <w:bCs/>
          <w:color w:val="000000" w:themeColor="text1"/>
          <w:szCs w:val="22"/>
        </w:rPr>
        <w:t>ies</w:t>
      </w:r>
      <w:r w:rsidRPr="004C2F96">
        <w:rPr>
          <w:bCs/>
          <w:color w:val="000000" w:themeColor="text1"/>
          <w:szCs w:val="22"/>
        </w:rPr>
        <w:t xml:space="preserve"> a specific serial of product being exported has been licensed and released for sale and distribution by the CVB. The reduction in requests to submit master seeds could be due to multiple factors</w:t>
      </w:r>
      <w:r w:rsidRPr="004C2F96" w:rsidR="00A421CF">
        <w:rPr>
          <w:bCs/>
          <w:color w:val="000000" w:themeColor="text1"/>
          <w:szCs w:val="22"/>
        </w:rPr>
        <w:t>,</w:t>
      </w:r>
      <w:r w:rsidRPr="004C2F96">
        <w:rPr>
          <w:bCs/>
          <w:color w:val="000000" w:themeColor="text1"/>
          <w:szCs w:val="22"/>
        </w:rPr>
        <w:t xml:space="preserve"> but </w:t>
      </w:r>
      <w:r w:rsidRPr="004C2F96" w:rsidR="00A421CF">
        <w:rPr>
          <w:bCs/>
          <w:color w:val="000000" w:themeColor="text1"/>
          <w:szCs w:val="22"/>
        </w:rPr>
        <w:t xml:space="preserve">the </w:t>
      </w:r>
      <w:r w:rsidRPr="004C2F96">
        <w:rPr>
          <w:bCs/>
          <w:color w:val="000000" w:themeColor="text1"/>
          <w:szCs w:val="22"/>
        </w:rPr>
        <w:t xml:space="preserve">COVID-19 </w:t>
      </w:r>
      <w:r w:rsidRPr="004C2F96" w:rsidR="00040076">
        <w:rPr>
          <w:bCs/>
          <w:color w:val="000000" w:themeColor="text1"/>
          <w:szCs w:val="22"/>
        </w:rPr>
        <w:t xml:space="preserve">pandemic </w:t>
      </w:r>
      <w:r w:rsidRPr="004C2F96">
        <w:rPr>
          <w:bCs/>
          <w:color w:val="000000" w:themeColor="text1"/>
          <w:szCs w:val="22"/>
        </w:rPr>
        <w:lastRenderedPageBreak/>
        <w:t xml:space="preserve">likely caused a reduction in research and development of new novel veterinary biologics. There was a reduction in requests for extension of dating and this would indicate that the manufacturers didn’t have surplus inventory that needed to </w:t>
      </w:r>
      <w:r w:rsidRPr="004C2F96" w:rsidR="002B4405">
        <w:rPr>
          <w:bCs/>
          <w:color w:val="000000" w:themeColor="text1"/>
          <w:szCs w:val="22"/>
        </w:rPr>
        <w:t xml:space="preserve">be sold. VS Memorandum 800.69 changed the policy for autogenous products and allowed for all isolates to be used for 24 months without requesting authorization from </w:t>
      </w:r>
      <w:r w:rsidRPr="004C2F96" w:rsidR="00A421CF">
        <w:rPr>
          <w:bCs/>
          <w:color w:val="000000" w:themeColor="text1"/>
          <w:szCs w:val="22"/>
        </w:rPr>
        <w:t xml:space="preserve">the </w:t>
      </w:r>
      <w:r w:rsidRPr="004C2F96" w:rsidR="002B4405">
        <w:rPr>
          <w:bCs/>
          <w:color w:val="000000" w:themeColor="text1"/>
          <w:szCs w:val="22"/>
        </w:rPr>
        <w:t xml:space="preserve">CVB and allowed distribution to nonadjacent herds without requesting authorization from </w:t>
      </w:r>
      <w:r w:rsidRPr="004C2F96" w:rsidR="00A421CF">
        <w:rPr>
          <w:bCs/>
          <w:color w:val="000000" w:themeColor="text1"/>
          <w:szCs w:val="22"/>
        </w:rPr>
        <w:t xml:space="preserve">the </w:t>
      </w:r>
      <w:r w:rsidRPr="004C2F96" w:rsidR="002B4405">
        <w:rPr>
          <w:bCs/>
          <w:color w:val="000000" w:themeColor="text1"/>
          <w:szCs w:val="22"/>
        </w:rPr>
        <w:t>CVB, as long as the records were available at the firm for review during on-site inspections. There was a significant increase in the use of APHIS Forms 2048 and 2049 with the increased use of the NCAH Portal for CVB submissions.</w:t>
      </w:r>
    </w:p>
    <w:p w:rsidRPr="004C2F96" w:rsidR="00A87489" w:rsidP="00CC149B" w:rsidRDefault="00A87489" w14:paraId="3DE685EE" w14:textId="77777777">
      <w:pPr>
        <w:autoSpaceDE w:val="0"/>
        <w:autoSpaceDN w:val="0"/>
        <w:adjustRightInd w:val="0"/>
        <w:rPr>
          <w:bCs/>
          <w:color w:val="000000" w:themeColor="text1"/>
          <w:szCs w:val="22"/>
        </w:rPr>
      </w:pPr>
    </w:p>
    <w:p w:rsidR="00D054EF" w:rsidP="00CC149B" w:rsidRDefault="00A421CF" w14:paraId="62018C8B" w14:textId="1730914A">
      <w:pPr>
        <w:autoSpaceDE w:val="0"/>
        <w:autoSpaceDN w:val="0"/>
        <w:adjustRightInd w:val="0"/>
        <w:rPr>
          <w:bCs/>
          <w:color w:val="000000" w:themeColor="text1"/>
          <w:szCs w:val="22"/>
        </w:rPr>
      </w:pPr>
      <w:r w:rsidRPr="004C2F96">
        <w:rPr>
          <w:bCs/>
          <w:color w:val="000000" w:themeColor="text1"/>
          <w:szCs w:val="22"/>
        </w:rPr>
        <w:t xml:space="preserve">In </w:t>
      </w:r>
      <w:r w:rsidRPr="004C2F96" w:rsidR="00A87489">
        <w:rPr>
          <w:bCs/>
          <w:color w:val="000000" w:themeColor="text1"/>
          <w:szCs w:val="22"/>
        </w:rPr>
        <w:t xml:space="preserve">February 2021, </w:t>
      </w:r>
      <w:r w:rsidRPr="004C2F96">
        <w:rPr>
          <w:bCs/>
          <w:color w:val="000000" w:themeColor="text1"/>
          <w:szCs w:val="22"/>
        </w:rPr>
        <w:t xml:space="preserve">the </w:t>
      </w:r>
      <w:r w:rsidRPr="004C2F96" w:rsidR="00A87489">
        <w:rPr>
          <w:bCs/>
          <w:color w:val="000000" w:themeColor="text1"/>
          <w:szCs w:val="22"/>
        </w:rPr>
        <w:t>CVB implemented mandatory reporting of adverse reports, as per VS Memorandum 800.125</w:t>
      </w:r>
      <w:r w:rsidRPr="004C2F96">
        <w:rPr>
          <w:bCs/>
          <w:color w:val="000000" w:themeColor="text1"/>
          <w:szCs w:val="22"/>
        </w:rPr>
        <w:t>, which affected the numbers for this action</w:t>
      </w:r>
      <w:r w:rsidRPr="004C2F96" w:rsidR="00A87489">
        <w:rPr>
          <w:bCs/>
          <w:color w:val="000000" w:themeColor="text1"/>
          <w:szCs w:val="22"/>
        </w:rPr>
        <w:t xml:space="preserve">. </w:t>
      </w:r>
      <w:r w:rsidR="00AC14E6">
        <w:rPr>
          <w:bCs/>
          <w:color w:val="000000" w:themeColor="text1"/>
          <w:szCs w:val="22"/>
        </w:rPr>
        <w:t xml:space="preserve">Because of the implementation of the mandatory reporting requirement, the CVB was able to move from the previously estimated 9.999 respondents for the APHIS 2080 to a more accurately estimated number, 333 (a tenth of the original estimate). </w:t>
      </w:r>
      <w:r w:rsidRPr="004C2F96" w:rsidR="00A87489">
        <w:rPr>
          <w:bCs/>
          <w:color w:val="000000" w:themeColor="text1"/>
          <w:szCs w:val="22"/>
        </w:rPr>
        <w:t xml:space="preserve">During the next information collection period in 2023, this number will see a significant increase. Mandatory reporting of adverse events can be </w:t>
      </w:r>
      <w:r w:rsidRPr="004C2F96" w:rsidR="008404CF">
        <w:rPr>
          <w:bCs/>
          <w:color w:val="000000" w:themeColor="text1"/>
          <w:szCs w:val="22"/>
        </w:rPr>
        <w:t>submitted</w:t>
      </w:r>
      <w:r w:rsidRPr="004C2F96" w:rsidR="00A87489">
        <w:rPr>
          <w:bCs/>
          <w:color w:val="000000" w:themeColor="text1"/>
          <w:szCs w:val="22"/>
        </w:rPr>
        <w:t xml:space="preserve"> electronically by PV Express or PV Work</w:t>
      </w:r>
      <w:r w:rsidRPr="004C2F96">
        <w:rPr>
          <w:bCs/>
          <w:color w:val="000000" w:themeColor="text1"/>
          <w:szCs w:val="22"/>
        </w:rPr>
        <w:t>s</w:t>
      </w:r>
      <w:r w:rsidRPr="004C2F96" w:rsidR="00A87489">
        <w:rPr>
          <w:bCs/>
          <w:color w:val="000000" w:themeColor="text1"/>
          <w:szCs w:val="22"/>
        </w:rPr>
        <w:t xml:space="preserve"> or by using the fillable PDF form of APHIS Form 2080.</w:t>
      </w:r>
    </w:p>
    <w:p w:rsidR="00C42733" w:rsidP="00CC149B" w:rsidRDefault="00C42733" w14:paraId="57C06187" w14:textId="0A6A5F5F">
      <w:pPr>
        <w:autoSpaceDE w:val="0"/>
        <w:autoSpaceDN w:val="0"/>
        <w:adjustRightInd w:val="0"/>
        <w:rPr>
          <w:bCs/>
          <w:color w:val="000000" w:themeColor="text1"/>
          <w:szCs w:val="22"/>
        </w:rPr>
      </w:pPr>
    </w:p>
    <w:p w:rsidR="00C42733" w:rsidP="00CC149B" w:rsidRDefault="00C42733" w14:paraId="6E6A849F" w14:textId="7CCAB22A">
      <w:pPr>
        <w:autoSpaceDE w:val="0"/>
        <w:autoSpaceDN w:val="0"/>
        <w:adjustRightInd w:val="0"/>
        <w:rPr>
          <w:bCs/>
          <w:color w:val="000000" w:themeColor="text1"/>
          <w:szCs w:val="22"/>
        </w:rPr>
      </w:pPr>
      <w:r>
        <w:rPr>
          <w:bCs/>
          <w:color w:val="000000" w:themeColor="text1"/>
          <w:szCs w:val="22"/>
        </w:rPr>
        <w:t xml:space="preserve">The 3 activities </w:t>
      </w:r>
      <w:r w:rsidRPr="004C2F96">
        <w:rPr>
          <w:bCs/>
          <w:color w:val="000000" w:themeColor="text1"/>
          <w:szCs w:val="22"/>
        </w:rPr>
        <w:t>APHIS Form 2081</w:t>
      </w:r>
      <w:r>
        <w:rPr>
          <w:bCs/>
          <w:color w:val="000000" w:themeColor="text1"/>
          <w:szCs w:val="22"/>
        </w:rPr>
        <w:t>,</w:t>
      </w:r>
      <w:r w:rsidRPr="004C2F96">
        <w:rPr>
          <w:bCs/>
          <w:color w:val="000000" w:themeColor="text1"/>
          <w:szCs w:val="22"/>
        </w:rPr>
        <w:t xml:space="preserve"> </w:t>
      </w:r>
      <w:r>
        <w:rPr>
          <w:bCs/>
          <w:color w:val="000000" w:themeColor="text1"/>
          <w:szCs w:val="22"/>
        </w:rPr>
        <w:t xml:space="preserve">Request for Authorization to Prepare an Autogenous Biologic, and </w:t>
      </w:r>
      <w:r w:rsidRPr="00C42733">
        <w:rPr>
          <w:bCs/>
        </w:rPr>
        <w:t>State Notification of each Establishment and Product License Issued or Terminated</w:t>
      </w:r>
      <w:r>
        <w:rPr>
          <w:bCs/>
          <w:color w:val="000000" w:themeColor="text1"/>
          <w:szCs w:val="22"/>
        </w:rPr>
        <w:t xml:space="preserve"> were </w:t>
      </w:r>
      <w:r w:rsidRPr="004C2F96">
        <w:rPr>
          <w:bCs/>
          <w:color w:val="000000" w:themeColor="text1"/>
          <w:szCs w:val="22"/>
        </w:rPr>
        <w:t>discontinued.</w:t>
      </w:r>
      <w:r w:rsidR="00AC14E6">
        <w:rPr>
          <w:bCs/>
          <w:color w:val="000000" w:themeColor="text1"/>
          <w:szCs w:val="22"/>
        </w:rPr>
        <w:t xml:space="preserve"> The respondents for these activities were correspondingly deleted.</w:t>
      </w:r>
    </w:p>
    <w:p w:rsidRPr="004C2F96" w:rsidR="00A87489" w:rsidP="00CC149B" w:rsidRDefault="00A87489" w14:paraId="65D912CB" w14:textId="53B2D5E1">
      <w:pPr>
        <w:autoSpaceDE w:val="0"/>
        <w:autoSpaceDN w:val="0"/>
        <w:adjustRightInd w:val="0"/>
        <w:rPr>
          <w:bCs/>
          <w:color w:val="000000" w:themeColor="text1"/>
          <w:szCs w:val="22"/>
        </w:rPr>
      </w:pPr>
    </w:p>
    <w:p w:rsidRPr="004C2F96" w:rsidR="00A87489" w:rsidP="00CC149B" w:rsidRDefault="00A87489" w14:paraId="0EC3F44E" w14:textId="7DC8398D">
      <w:pPr>
        <w:autoSpaceDE w:val="0"/>
        <w:autoSpaceDN w:val="0"/>
        <w:adjustRightInd w:val="0"/>
        <w:rPr>
          <w:bCs/>
          <w:color w:val="000000" w:themeColor="text1"/>
          <w:szCs w:val="22"/>
        </w:rPr>
      </w:pPr>
      <w:r w:rsidRPr="004C2F96">
        <w:rPr>
          <w:bCs/>
          <w:color w:val="000000" w:themeColor="text1"/>
          <w:szCs w:val="22"/>
        </w:rPr>
        <w:t>Due to COVID-19</w:t>
      </w:r>
      <w:r w:rsidRPr="004C2F96" w:rsidR="00C92F66">
        <w:rPr>
          <w:bCs/>
          <w:color w:val="000000" w:themeColor="text1"/>
          <w:szCs w:val="22"/>
        </w:rPr>
        <w:t xml:space="preserve">, </w:t>
      </w:r>
      <w:r w:rsidRPr="004C2F96" w:rsidR="00A421CF">
        <w:rPr>
          <w:bCs/>
          <w:color w:val="000000" w:themeColor="text1"/>
          <w:szCs w:val="22"/>
        </w:rPr>
        <w:t xml:space="preserve">the </w:t>
      </w:r>
      <w:r w:rsidRPr="004C2F96" w:rsidR="00C92F66">
        <w:rPr>
          <w:bCs/>
          <w:color w:val="000000" w:themeColor="text1"/>
          <w:szCs w:val="22"/>
        </w:rPr>
        <w:t>CVB was not able to perform on-site inspections of the manufacturers that normally would have happened</w:t>
      </w:r>
      <w:r w:rsidRPr="004C2F96" w:rsidR="00A421CF">
        <w:rPr>
          <w:bCs/>
          <w:color w:val="000000" w:themeColor="text1"/>
          <w:szCs w:val="22"/>
        </w:rPr>
        <w:t xml:space="preserve"> to appraise test, label, and seed records recordkeeping</w:t>
      </w:r>
      <w:r w:rsidRPr="004C2F96" w:rsidR="00C92F66">
        <w:rPr>
          <w:bCs/>
          <w:color w:val="000000" w:themeColor="text1"/>
          <w:szCs w:val="22"/>
        </w:rPr>
        <w:t>. There was an initiative to start performing virtual records inspections</w:t>
      </w:r>
      <w:r w:rsidRPr="004C2F96" w:rsidR="00040076">
        <w:rPr>
          <w:bCs/>
          <w:color w:val="000000" w:themeColor="text1"/>
          <w:szCs w:val="22"/>
        </w:rPr>
        <w:t>,</w:t>
      </w:r>
      <w:r w:rsidRPr="004C2F96" w:rsidR="00C92F66">
        <w:rPr>
          <w:bCs/>
          <w:color w:val="000000" w:themeColor="text1"/>
          <w:szCs w:val="22"/>
        </w:rPr>
        <w:t xml:space="preserve"> but that process wasn’t initiated until early 2021.</w:t>
      </w:r>
    </w:p>
    <w:p w:rsidRPr="004C2F96" w:rsidR="00BE5C30" w:rsidP="00CC149B" w:rsidRDefault="00BE5C30" w14:paraId="1A734940" w14:textId="77777777">
      <w:pPr>
        <w:autoSpaceDE w:val="0"/>
        <w:autoSpaceDN w:val="0"/>
        <w:adjustRightInd w:val="0"/>
        <w:rPr>
          <w:bCs/>
          <w:color w:val="000000" w:themeColor="text1"/>
          <w:szCs w:val="22"/>
        </w:rPr>
      </w:pPr>
    </w:p>
    <w:p w:rsidRPr="004C2F96" w:rsidR="004D1421" w:rsidP="00CC149B" w:rsidRDefault="004D1421" w14:paraId="2C8B5240" w14:textId="6EEAC136">
      <w:pPr>
        <w:rPr>
          <w:color w:val="000000" w:themeColor="text1"/>
        </w:rPr>
      </w:pPr>
      <w:r w:rsidRPr="004C2F96">
        <w:rPr>
          <w:color w:val="000000" w:themeColor="text1"/>
        </w:rPr>
        <w:t xml:space="preserve">All of these changes </w:t>
      </w:r>
      <w:r w:rsidRPr="004C2F96" w:rsidR="00A97001">
        <w:rPr>
          <w:color w:val="000000" w:themeColor="text1"/>
        </w:rPr>
        <w:t xml:space="preserve">with figures </w:t>
      </w:r>
      <w:r w:rsidRPr="004C2F96">
        <w:rPr>
          <w:color w:val="000000" w:themeColor="text1"/>
        </w:rPr>
        <w:t xml:space="preserve">are </w:t>
      </w:r>
      <w:r w:rsidRPr="004C2F96" w:rsidR="00A97001">
        <w:rPr>
          <w:color w:val="000000" w:themeColor="text1"/>
        </w:rPr>
        <w:t xml:space="preserve">presented </w:t>
      </w:r>
      <w:r w:rsidRPr="004C2F96">
        <w:rPr>
          <w:color w:val="000000" w:themeColor="text1"/>
        </w:rPr>
        <w:t xml:space="preserve">in the following </w:t>
      </w:r>
      <w:r w:rsidRPr="004C2F96" w:rsidR="00A97001">
        <w:rPr>
          <w:color w:val="000000" w:themeColor="text1"/>
        </w:rPr>
        <w:t xml:space="preserve">two </w:t>
      </w:r>
      <w:r w:rsidRPr="004C2F96">
        <w:rPr>
          <w:color w:val="000000" w:themeColor="text1"/>
        </w:rPr>
        <w:t>tables.</w:t>
      </w:r>
    </w:p>
    <w:p w:rsidRPr="004C2F96" w:rsidR="00E06D29" w:rsidP="00CC149B" w:rsidRDefault="00E06D29" w14:paraId="49355E51" w14:textId="77777777">
      <w:pPr>
        <w:rPr>
          <w:color w:val="000000" w:themeColor="text1"/>
        </w:rPr>
      </w:pPr>
    </w:p>
    <w:tbl>
      <w:tblPr>
        <w:tblW w:w="10859" w:type="dxa"/>
        <w:jc w:val="center"/>
        <w:tblLook w:val="04A0" w:firstRow="1" w:lastRow="0" w:firstColumn="1" w:lastColumn="0" w:noHBand="0" w:noVBand="1"/>
      </w:tblPr>
      <w:tblGrid>
        <w:gridCol w:w="1107"/>
        <w:gridCol w:w="2765"/>
        <w:gridCol w:w="1467"/>
        <w:gridCol w:w="1380"/>
        <w:gridCol w:w="1380"/>
        <w:gridCol w:w="1380"/>
        <w:gridCol w:w="1380"/>
      </w:tblGrid>
      <w:tr w:rsidRPr="005D2EE7" w:rsidR="005D2EE7" w:rsidTr="005D2EE7" w14:paraId="01493737" w14:textId="77777777">
        <w:trPr>
          <w:trHeight w:val="300"/>
          <w:jc w:val="center"/>
        </w:trPr>
        <w:tc>
          <w:tcPr>
            <w:tcW w:w="10859" w:type="dxa"/>
            <w:gridSpan w:val="7"/>
            <w:tcBorders>
              <w:top w:val="nil"/>
              <w:left w:val="nil"/>
              <w:bottom w:val="nil"/>
            </w:tcBorders>
            <w:shd w:val="clear" w:color="auto" w:fill="auto"/>
            <w:noWrap/>
            <w:vAlign w:val="center"/>
            <w:hideMark/>
          </w:tcPr>
          <w:p w:rsidRPr="005D2EE7" w:rsidR="005D2EE7" w:rsidP="005D2EE7" w:rsidRDefault="005D2EE7" w14:paraId="7EB50336" w14:textId="6553DE4B">
            <w:pPr>
              <w:jc w:val="center"/>
              <w:rPr>
                <w:sz w:val="20"/>
                <w:szCs w:val="20"/>
              </w:rPr>
            </w:pPr>
            <w:r w:rsidRPr="005D2EE7">
              <w:rPr>
                <w:rFonts w:ascii="Arial" w:hAnsi="Arial" w:cs="Arial"/>
                <w:b/>
                <w:bCs/>
                <w:sz w:val="18"/>
                <w:szCs w:val="18"/>
              </w:rPr>
              <w:t>CHANGES IN RESPONSES</w:t>
            </w:r>
          </w:p>
        </w:tc>
      </w:tr>
      <w:tr w:rsidRPr="005D2EE7" w:rsidR="005D2EE7" w:rsidTr="005D2EE7" w14:paraId="21162621" w14:textId="77777777">
        <w:trPr>
          <w:trHeight w:val="300"/>
          <w:jc w:val="center"/>
        </w:trPr>
        <w:tc>
          <w:tcPr>
            <w:tcW w:w="1107" w:type="dxa"/>
            <w:tcBorders>
              <w:top w:val="nil"/>
              <w:left w:val="nil"/>
              <w:bottom w:val="nil"/>
              <w:right w:val="nil"/>
            </w:tcBorders>
            <w:shd w:val="clear" w:color="auto" w:fill="auto"/>
            <w:noWrap/>
            <w:vAlign w:val="bottom"/>
            <w:hideMark/>
          </w:tcPr>
          <w:p w:rsidRPr="005D2EE7" w:rsidR="005D2EE7" w:rsidP="005D2EE7" w:rsidRDefault="005D2EE7" w14:paraId="70D7F18C" w14:textId="77777777">
            <w:pPr>
              <w:rPr>
                <w:sz w:val="20"/>
                <w:szCs w:val="20"/>
              </w:rPr>
            </w:pPr>
          </w:p>
        </w:tc>
        <w:tc>
          <w:tcPr>
            <w:tcW w:w="2765" w:type="dxa"/>
            <w:tcBorders>
              <w:top w:val="nil"/>
              <w:left w:val="nil"/>
              <w:bottom w:val="nil"/>
              <w:right w:val="nil"/>
            </w:tcBorders>
            <w:shd w:val="clear" w:color="auto" w:fill="auto"/>
            <w:noWrap/>
            <w:vAlign w:val="bottom"/>
            <w:hideMark/>
          </w:tcPr>
          <w:p w:rsidRPr="005D2EE7" w:rsidR="005D2EE7" w:rsidP="005D2EE7" w:rsidRDefault="005D2EE7" w14:paraId="275A8D62" w14:textId="77777777">
            <w:pPr>
              <w:rPr>
                <w:sz w:val="20"/>
                <w:szCs w:val="20"/>
              </w:rPr>
            </w:pPr>
          </w:p>
        </w:tc>
        <w:tc>
          <w:tcPr>
            <w:tcW w:w="1467" w:type="dxa"/>
            <w:tcBorders>
              <w:top w:val="nil"/>
              <w:left w:val="nil"/>
              <w:bottom w:val="nil"/>
              <w:right w:val="nil"/>
            </w:tcBorders>
            <w:shd w:val="clear" w:color="auto" w:fill="auto"/>
            <w:noWrap/>
            <w:vAlign w:val="bottom"/>
            <w:hideMark/>
          </w:tcPr>
          <w:p w:rsidRPr="005D2EE7" w:rsidR="005D2EE7" w:rsidP="005D2EE7" w:rsidRDefault="005D2EE7" w14:paraId="57EEC1D7" w14:textId="77777777">
            <w:pPr>
              <w:rPr>
                <w:sz w:val="20"/>
                <w:szCs w:val="20"/>
              </w:rPr>
            </w:pP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D8F3BC1" w14:textId="77777777">
            <w:pPr>
              <w:jc w:val="center"/>
              <w:rPr>
                <w:rFonts w:ascii="Arial" w:hAnsi="Arial" w:cs="Arial"/>
                <w:b/>
                <w:bCs/>
                <w:sz w:val="18"/>
                <w:szCs w:val="18"/>
              </w:rPr>
            </w:pPr>
            <w:r w:rsidRPr="005D2EE7">
              <w:rPr>
                <w:rFonts w:ascii="Arial" w:hAnsi="Arial" w:cs="Arial"/>
                <w:b/>
                <w:bCs/>
                <w:sz w:val="18"/>
                <w:szCs w:val="18"/>
              </w:rPr>
              <w:t>CURRENT</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AF45578" w14:textId="77777777">
            <w:pPr>
              <w:jc w:val="center"/>
              <w:rPr>
                <w:rFonts w:ascii="Arial" w:hAnsi="Arial" w:cs="Arial"/>
                <w:b/>
                <w:bCs/>
                <w:sz w:val="18"/>
                <w:szCs w:val="18"/>
              </w:rPr>
            </w:pPr>
            <w:r w:rsidRPr="005D2EE7">
              <w:rPr>
                <w:rFonts w:ascii="Arial" w:hAnsi="Arial" w:cs="Arial"/>
                <w:b/>
                <w:bCs/>
                <w:sz w:val="18"/>
                <w:szCs w:val="18"/>
              </w:rPr>
              <w:t>PREVIOUS</w:t>
            </w: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0A7FCE43" w14:textId="77777777">
            <w:pPr>
              <w:jc w:val="center"/>
              <w:rPr>
                <w:rFonts w:ascii="Arial" w:hAnsi="Arial" w:cs="Arial"/>
                <w:b/>
                <w:bCs/>
                <w:sz w:val="18"/>
                <w:szCs w:val="18"/>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6418A8F2" w14:textId="77777777">
            <w:pPr>
              <w:rPr>
                <w:rFonts w:ascii="Arial" w:hAnsi="Arial" w:cs="Arial"/>
                <w:b/>
                <w:bCs/>
                <w:sz w:val="18"/>
                <w:szCs w:val="18"/>
              </w:rPr>
            </w:pPr>
            <w:r w:rsidRPr="005D2EE7">
              <w:rPr>
                <w:rFonts w:ascii="Arial" w:hAnsi="Arial" w:cs="Arial"/>
                <w:b/>
                <w:bCs/>
                <w:sz w:val="18"/>
                <w:szCs w:val="18"/>
              </w:rPr>
              <w:t>TYPE OF</w:t>
            </w:r>
          </w:p>
        </w:tc>
      </w:tr>
      <w:tr w:rsidRPr="005D2EE7" w:rsidR="005D2EE7" w:rsidTr="005D2EE7" w14:paraId="65BCD7CA"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9C18E23" w14:textId="77777777">
            <w:pPr>
              <w:rPr>
                <w:rFonts w:ascii="Arial" w:hAnsi="Arial" w:cs="Arial"/>
                <w:b/>
                <w:bCs/>
                <w:sz w:val="18"/>
                <w:szCs w:val="18"/>
                <w:u w:val="single"/>
              </w:rPr>
            </w:pPr>
            <w:r w:rsidRPr="005D2EE7">
              <w:rPr>
                <w:rFonts w:ascii="Arial" w:hAnsi="Arial" w:cs="Arial"/>
                <w:b/>
                <w:bCs/>
                <w:sz w:val="18"/>
                <w:szCs w:val="18"/>
                <w:u w:val="single"/>
              </w:rPr>
              <w:t>9 CFR</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176BFDD" w14:textId="77777777">
            <w:pPr>
              <w:rPr>
                <w:rFonts w:ascii="Arial" w:hAnsi="Arial" w:cs="Arial"/>
                <w:b/>
                <w:bCs/>
                <w:sz w:val="18"/>
                <w:szCs w:val="18"/>
                <w:u w:val="single"/>
              </w:rPr>
            </w:pPr>
            <w:r w:rsidRPr="005D2EE7">
              <w:rPr>
                <w:rFonts w:ascii="Arial" w:hAnsi="Arial" w:cs="Arial"/>
                <w:b/>
                <w:bCs/>
                <w:sz w:val="18"/>
                <w:szCs w:val="18"/>
                <w:u w:val="single"/>
              </w:rPr>
              <w:t>ACTIVITY</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3AB5163" w14:textId="77777777">
            <w:pPr>
              <w:rPr>
                <w:rFonts w:ascii="Arial" w:hAnsi="Arial" w:cs="Arial"/>
                <w:b/>
                <w:bCs/>
                <w:sz w:val="18"/>
                <w:szCs w:val="18"/>
                <w:u w:val="single"/>
              </w:rPr>
            </w:pPr>
            <w:r w:rsidRPr="005D2EE7">
              <w:rPr>
                <w:rFonts w:ascii="Arial" w:hAnsi="Arial" w:cs="Arial"/>
                <w:b/>
                <w:bCs/>
                <w:sz w:val="18"/>
                <w:szCs w:val="18"/>
                <w:u w:val="single"/>
              </w:rPr>
              <w:t>RESPONDENT</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E5DFD1C" w14:textId="77777777">
            <w:pPr>
              <w:jc w:val="center"/>
              <w:rPr>
                <w:rFonts w:ascii="Arial" w:hAnsi="Arial" w:cs="Arial"/>
                <w:b/>
                <w:bCs/>
                <w:sz w:val="18"/>
                <w:szCs w:val="18"/>
                <w:u w:val="single"/>
              </w:rPr>
            </w:pPr>
            <w:r w:rsidRPr="005D2EE7">
              <w:rPr>
                <w:rFonts w:ascii="Arial" w:hAnsi="Arial" w:cs="Arial"/>
                <w:b/>
                <w:bCs/>
                <w:sz w:val="18"/>
                <w:szCs w:val="18"/>
                <w:u w:val="single"/>
              </w:rPr>
              <w:t>RESPONSES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6C3F336" w14:textId="77777777">
            <w:pPr>
              <w:jc w:val="center"/>
              <w:rPr>
                <w:rFonts w:ascii="Arial" w:hAnsi="Arial" w:cs="Arial"/>
                <w:b/>
                <w:bCs/>
                <w:sz w:val="18"/>
                <w:szCs w:val="18"/>
                <w:u w:val="single"/>
              </w:rPr>
            </w:pPr>
            <w:r w:rsidRPr="005D2EE7">
              <w:rPr>
                <w:rFonts w:ascii="Arial" w:hAnsi="Arial" w:cs="Arial"/>
                <w:b/>
                <w:bCs/>
                <w:sz w:val="18"/>
                <w:szCs w:val="18"/>
                <w:u w:val="single"/>
              </w:rPr>
              <w:t>RESPONSES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65648DE" w14:textId="77777777">
            <w:pPr>
              <w:jc w:val="center"/>
              <w:rPr>
                <w:rFonts w:ascii="Arial" w:hAnsi="Arial" w:cs="Arial"/>
                <w:b/>
                <w:bCs/>
                <w:sz w:val="18"/>
                <w:szCs w:val="18"/>
                <w:u w:val="single"/>
              </w:rPr>
            </w:pPr>
            <w:r w:rsidRPr="005D2EE7">
              <w:rPr>
                <w:rFonts w:ascii="Arial" w:hAnsi="Arial" w:cs="Arial"/>
                <w:b/>
                <w:bCs/>
                <w:sz w:val="18"/>
                <w:szCs w:val="18"/>
                <w:u w:val="single"/>
              </w:rPr>
              <w:t>CHANGE</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73635DB" w14:textId="77777777">
            <w:pPr>
              <w:rPr>
                <w:rFonts w:ascii="Arial" w:hAnsi="Arial" w:cs="Arial"/>
                <w:b/>
                <w:bCs/>
                <w:sz w:val="18"/>
                <w:szCs w:val="18"/>
                <w:u w:val="single"/>
              </w:rPr>
            </w:pPr>
            <w:r w:rsidRPr="005D2EE7">
              <w:rPr>
                <w:rFonts w:ascii="Arial" w:hAnsi="Arial" w:cs="Arial"/>
                <w:b/>
                <w:bCs/>
                <w:sz w:val="18"/>
                <w:szCs w:val="18"/>
                <w:u w:val="single"/>
              </w:rPr>
              <w:t>CHANGE</w:t>
            </w:r>
          </w:p>
        </w:tc>
      </w:tr>
      <w:tr w:rsidRPr="005D2EE7" w:rsidR="005D2EE7" w:rsidTr="005D2EE7" w14:paraId="1711EF98"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18AF5A4B" w14:textId="77777777">
            <w:pPr>
              <w:rPr>
                <w:rFonts w:ascii="Arial" w:hAnsi="Arial" w:cs="Arial"/>
                <w:b/>
                <w:bCs/>
                <w:sz w:val="18"/>
                <w:szCs w:val="18"/>
                <w:u w:val="single"/>
              </w:rPr>
            </w:pP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A27B708" w14:textId="77777777">
            <w:pPr>
              <w:rPr>
                <w:rFonts w:ascii="Arial" w:hAnsi="Arial" w:cs="Arial"/>
                <w:sz w:val="18"/>
                <w:szCs w:val="18"/>
              </w:rPr>
            </w:pPr>
            <w:r w:rsidRPr="005D2EE7">
              <w:rPr>
                <w:rFonts w:ascii="Arial" w:hAnsi="Arial" w:cs="Arial"/>
                <w:sz w:val="18"/>
                <w:szCs w:val="18"/>
              </w:rPr>
              <w:t>Rqst for Authorization to Prepare</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0A561D6"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3A6FD7F" w14:textId="77777777">
            <w:pPr>
              <w:jc w:val="center"/>
              <w:rPr>
                <w:rFonts w:ascii="Arial" w:hAnsi="Arial" w:cs="Arial"/>
                <w:sz w:val="18"/>
                <w:szCs w:val="18"/>
              </w:rPr>
            </w:pPr>
            <w:r w:rsidRPr="005D2EE7">
              <w:rPr>
                <w:rFonts w:ascii="Arial" w:hAnsi="Arial" w:cs="Arial"/>
                <w:sz w:val="18"/>
                <w:szCs w:val="18"/>
              </w:rPr>
              <w:t xml:space="preserve">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857D82B" w14:textId="77777777">
            <w:pPr>
              <w:jc w:val="center"/>
              <w:rPr>
                <w:rFonts w:ascii="Arial" w:hAnsi="Arial" w:cs="Arial"/>
                <w:sz w:val="18"/>
                <w:szCs w:val="18"/>
              </w:rPr>
            </w:pPr>
            <w:r w:rsidRPr="005D2EE7">
              <w:rPr>
                <w:rFonts w:ascii="Arial" w:hAnsi="Arial" w:cs="Arial"/>
                <w:sz w:val="18"/>
                <w:szCs w:val="18"/>
              </w:rPr>
              <w:t xml:space="preserve">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D0C9F31" w14:textId="77777777">
            <w:pPr>
              <w:jc w:val="center"/>
              <w:rPr>
                <w:rFonts w:ascii="Arial" w:hAnsi="Arial" w:cs="Arial"/>
                <w:sz w:val="18"/>
                <w:szCs w:val="18"/>
              </w:rPr>
            </w:pPr>
            <w:r w:rsidRPr="005D2EE7">
              <w:rPr>
                <w:rFonts w:ascii="Arial" w:hAnsi="Arial" w:cs="Arial"/>
                <w:sz w:val="18"/>
                <w:szCs w:val="18"/>
              </w:rPr>
              <w:t>(20)</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8441621" w14:textId="77777777">
            <w:pPr>
              <w:rPr>
                <w:rFonts w:ascii="Arial" w:hAnsi="Arial" w:cs="Arial"/>
                <w:sz w:val="18"/>
                <w:szCs w:val="18"/>
              </w:rPr>
            </w:pPr>
            <w:r w:rsidRPr="005D2EE7">
              <w:rPr>
                <w:rFonts w:ascii="Arial" w:hAnsi="Arial" w:cs="Arial"/>
                <w:sz w:val="18"/>
                <w:szCs w:val="18"/>
              </w:rPr>
              <w:t>discontinue</w:t>
            </w:r>
          </w:p>
        </w:tc>
      </w:tr>
      <w:tr w:rsidRPr="005D2EE7" w:rsidR="005D2EE7" w:rsidTr="005D2EE7" w14:paraId="436A4D23"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6215A82" w14:textId="77777777">
            <w:pPr>
              <w:rPr>
                <w:rFonts w:ascii="Arial" w:hAnsi="Arial" w:cs="Arial"/>
                <w:sz w:val="18"/>
                <w:szCs w:val="18"/>
              </w:rPr>
            </w:pP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689A0138" w14:textId="77777777">
            <w:pPr>
              <w:rPr>
                <w:rFonts w:ascii="Arial" w:hAnsi="Arial" w:cs="Arial"/>
                <w:sz w:val="18"/>
                <w:szCs w:val="18"/>
              </w:rPr>
            </w:pPr>
            <w:r w:rsidRPr="005D2EE7">
              <w:rPr>
                <w:rFonts w:ascii="Arial" w:hAnsi="Arial" w:cs="Arial"/>
                <w:sz w:val="18"/>
                <w:szCs w:val="18"/>
              </w:rPr>
              <w:t>State Notification License</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772DB2EF" w14:textId="77777777">
            <w:pPr>
              <w:rPr>
                <w:rFonts w:ascii="Arial" w:hAnsi="Arial" w:cs="Arial"/>
                <w:sz w:val="18"/>
                <w:szCs w:val="18"/>
              </w:rPr>
            </w:pPr>
            <w:r w:rsidRPr="005D2EE7">
              <w:rPr>
                <w:rFonts w:ascii="Arial" w:hAnsi="Arial" w:cs="Arial"/>
                <w:sz w:val="18"/>
                <w:szCs w:val="18"/>
              </w:rPr>
              <w:t>State</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F3662C0" w14:textId="77777777">
            <w:pPr>
              <w:jc w:val="center"/>
              <w:rPr>
                <w:rFonts w:ascii="Arial" w:hAnsi="Arial" w:cs="Arial"/>
                <w:sz w:val="18"/>
                <w:szCs w:val="18"/>
              </w:rPr>
            </w:pPr>
            <w:r w:rsidRPr="005D2EE7">
              <w:rPr>
                <w:rFonts w:ascii="Arial" w:hAnsi="Arial" w:cs="Arial"/>
                <w:sz w:val="18"/>
                <w:szCs w:val="18"/>
              </w:rPr>
              <w:t xml:space="preserve">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4773731"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C8D2BAA" w14:textId="77777777">
            <w:pPr>
              <w:jc w:val="center"/>
              <w:rPr>
                <w:rFonts w:ascii="Arial" w:hAnsi="Arial" w:cs="Arial"/>
                <w:sz w:val="18"/>
                <w:szCs w:val="18"/>
              </w:rPr>
            </w:pPr>
            <w:r w:rsidRPr="005D2EE7">
              <w:rPr>
                <w:rFonts w:ascii="Arial" w:hAnsi="Arial" w:cs="Arial"/>
                <w:sz w:val="18"/>
                <w:szCs w:val="18"/>
              </w:rPr>
              <w:t>(1)</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ED102EE" w14:textId="77777777">
            <w:pPr>
              <w:rPr>
                <w:rFonts w:ascii="Arial" w:hAnsi="Arial" w:cs="Arial"/>
                <w:sz w:val="18"/>
                <w:szCs w:val="18"/>
              </w:rPr>
            </w:pPr>
            <w:r w:rsidRPr="005D2EE7">
              <w:rPr>
                <w:rFonts w:ascii="Arial" w:hAnsi="Arial" w:cs="Arial"/>
                <w:sz w:val="18"/>
                <w:szCs w:val="18"/>
              </w:rPr>
              <w:t>discontinue</w:t>
            </w:r>
          </w:p>
        </w:tc>
      </w:tr>
      <w:tr w:rsidRPr="005D2EE7" w:rsidR="005D2EE7" w:rsidTr="005D2EE7" w14:paraId="594D558F"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01E0809" w14:textId="77777777">
            <w:pPr>
              <w:rPr>
                <w:rFonts w:ascii="Arial" w:hAnsi="Arial" w:cs="Arial"/>
                <w:sz w:val="18"/>
                <w:szCs w:val="18"/>
              </w:rPr>
            </w:pP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7B2736AE" w14:textId="77777777">
            <w:pPr>
              <w:rPr>
                <w:rFonts w:ascii="Arial" w:hAnsi="Arial" w:cs="Arial"/>
                <w:sz w:val="18"/>
                <w:szCs w:val="18"/>
              </w:rPr>
            </w:pPr>
            <w:r w:rsidRPr="005D2EE7">
              <w:rPr>
                <w:rFonts w:ascii="Arial" w:hAnsi="Arial" w:cs="Arial"/>
                <w:sz w:val="18"/>
                <w:szCs w:val="18"/>
              </w:rPr>
              <w:t>APHIS 2081</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A69A341" w14:textId="77777777">
            <w:pPr>
              <w:rPr>
                <w:rFonts w:ascii="Arial" w:hAnsi="Arial" w:cs="Arial"/>
                <w:sz w:val="18"/>
                <w:szCs w:val="18"/>
              </w:rPr>
            </w:pPr>
            <w:r w:rsidRPr="005D2EE7">
              <w:rPr>
                <w:rFonts w:ascii="Arial" w:hAnsi="Arial" w:cs="Arial"/>
                <w:sz w:val="18"/>
                <w:szCs w:val="18"/>
              </w:rPr>
              <w:t>Bus, State, Indiv</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1A8B9C6" w14:textId="77777777">
            <w:pPr>
              <w:jc w:val="center"/>
              <w:rPr>
                <w:rFonts w:ascii="Arial" w:hAnsi="Arial" w:cs="Arial"/>
                <w:sz w:val="18"/>
                <w:szCs w:val="18"/>
              </w:rPr>
            </w:pPr>
            <w:r w:rsidRPr="005D2EE7">
              <w:rPr>
                <w:rFonts w:ascii="Arial" w:hAnsi="Arial" w:cs="Arial"/>
                <w:sz w:val="18"/>
                <w:szCs w:val="18"/>
              </w:rPr>
              <w:t xml:space="preserve">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0EBAD82" w14:textId="77777777">
            <w:pPr>
              <w:jc w:val="center"/>
              <w:rPr>
                <w:rFonts w:ascii="Arial" w:hAnsi="Arial" w:cs="Arial"/>
                <w:sz w:val="18"/>
                <w:szCs w:val="18"/>
              </w:rPr>
            </w:pPr>
            <w:r w:rsidRPr="005D2EE7">
              <w:rPr>
                <w:rFonts w:ascii="Arial" w:hAnsi="Arial" w:cs="Arial"/>
                <w:sz w:val="18"/>
                <w:szCs w:val="18"/>
              </w:rPr>
              <w:t xml:space="preserve">6,000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C6C2021" w14:textId="77777777">
            <w:pPr>
              <w:jc w:val="center"/>
              <w:rPr>
                <w:rFonts w:ascii="Arial" w:hAnsi="Arial" w:cs="Arial"/>
                <w:sz w:val="18"/>
                <w:szCs w:val="18"/>
              </w:rPr>
            </w:pPr>
            <w:r w:rsidRPr="005D2EE7">
              <w:rPr>
                <w:rFonts w:ascii="Arial" w:hAnsi="Arial" w:cs="Arial"/>
                <w:sz w:val="18"/>
                <w:szCs w:val="18"/>
              </w:rPr>
              <w:t>(6,000)</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B196BE7" w14:textId="77777777">
            <w:pPr>
              <w:rPr>
                <w:rFonts w:ascii="Arial" w:hAnsi="Arial" w:cs="Arial"/>
                <w:sz w:val="18"/>
                <w:szCs w:val="18"/>
              </w:rPr>
            </w:pPr>
            <w:r w:rsidRPr="005D2EE7">
              <w:rPr>
                <w:rFonts w:ascii="Arial" w:hAnsi="Arial" w:cs="Arial"/>
                <w:sz w:val="18"/>
                <w:szCs w:val="18"/>
              </w:rPr>
              <w:t>discontinue</w:t>
            </w:r>
          </w:p>
        </w:tc>
      </w:tr>
      <w:tr w:rsidRPr="005D2EE7" w:rsidR="005D2EE7" w:rsidTr="005D2EE7" w14:paraId="7A85A7AA"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6D82439" w14:textId="77777777">
            <w:pPr>
              <w:rPr>
                <w:rFonts w:ascii="Arial" w:hAnsi="Arial" w:cs="Arial"/>
                <w:sz w:val="18"/>
                <w:szCs w:val="18"/>
              </w:rPr>
            </w:pPr>
            <w:r w:rsidRPr="005D2EE7">
              <w:rPr>
                <w:rFonts w:ascii="Arial" w:hAnsi="Arial" w:cs="Arial"/>
                <w:sz w:val="18"/>
                <w:szCs w:val="18"/>
              </w:rPr>
              <w:t>102.1, 108.2</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CF246F2" w14:textId="77777777">
            <w:pPr>
              <w:rPr>
                <w:rFonts w:ascii="Arial" w:hAnsi="Arial" w:cs="Arial"/>
                <w:sz w:val="18"/>
                <w:szCs w:val="18"/>
              </w:rPr>
            </w:pPr>
            <w:r w:rsidRPr="005D2EE7">
              <w:rPr>
                <w:rFonts w:ascii="Arial" w:hAnsi="Arial" w:cs="Arial"/>
                <w:sz w:val="18"/>
                <w:szCs w:val="18"/>
              </w:rPr>
              <w:t>APHIS Form 2001</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65987A25"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592BB2E" w14:textId="77777777">
            <w:pPr>
              <w:jc w:val="center"/>
              <w:rPr>
                <w:rFonts w:ascii="Arial" w:hAnsi="Arial" w:cs="Arial"/>
                <w:sz w:val="18"/>
                <w:szCs w:val="18"/>
              </w:rPr>
            </w:pPr>
            <w:r w:rsidRPr="005D2EE7">
              <w:rPr>
                <w:rFonts w:ascii="Arial" w:hAnsi="Arial" w:cs="Arial"/>
                <w:sz w:val="18"/>
                <w:szCs w:val="18"/>
              </w:rPr>
              <w:t xml:space="preserve">22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923901B" w14:textId="77777777">
            <w:pPr>
              <w:jc w:val="center"/>
              <w:rPr>
                <w:rFonts w:ascii="Arial" w:hAnsi="Arial" w:cs="Arial"/>
                <w:sz w:val="18"/>
                <w:szCs w:val="18"/>
              </w:rPr>
            </w:pPr>
            <w:r w:rsidRPr="005D2EE7">
              <w:rPr>
                <w:rFonts w:ascii="Arial" w:hAnsi="Arial" w:cs="Arial"/>
                <w:sz w:val="18"/>
                <w:szCs w:val="18"/>
              </w:rPr>
              <w:t xml:space="preserve">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45C1EB8" w14:textId="77777777">
            <w:pPr>
              <w:jc w:val="center"/>
              <w:rPr>
                <w:rFonts w:ascii="Arial" w:hAnsi="Arial" w:cs="Arial"/>
                <w:sz w:val="18"/>
                <w:szCs w:val="18"/>
              </w:rPr>
            </w:pPr>
            <w:r w:rsidRPr="005D2EE7">
              <w:rPr>
                <w:rFonts w:ascii="Arial" w:hAnsi="Arial" w:cs="Arial"/>
                <w:sz w:val="18"/>
                <w:szCs w:val="18"/>
              </w:rPr>
              <w:t xml:space="preserve">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D135A8D"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45213D42"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747E19CB" w14:textId="77777777">
            <w:pPr>
              <w:rPr>
                <w:rFonts w:ascii="Arial" w:hAnsi="Arial" w:cs="Arial"/>
                <w:sz w:val="18"/>
                <w:szCs w:val="18"/>
              </w:rPr>
            </w:pPr>
            <w:r w:rsidRPr="005D2EE7">
              <w:rPr>
                <w:rFonts w:ascii="Arial" w:hAnsi="Arial" w:cs="Arial"/>
                <w:sz w:val="18"/>
                <w:szCs w:val="18"/>
              </w:rPr>
              <w:t>102.1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4B07676" w14:textId="77777777">
            <w:pPr>
              <w:rPr>
                <w:rFonts w:ascii="Arial" w:hAnsi="Arial" w:cs="Arial"/>
                <w:sz w:val="18"/>
                <w:szCs w:val="18"/>
              </w:rPr>
            </w:pPr>
            <w:r w:rsidRPr="005D2EE7">
              <w:rPr>
                <w:rFonts w:ascii="Arial" w:hAnsi="Arial" w:cs="Arial"/>
                <w:sz w:val="18"/>
                <w:szCs w:val="18"/>
              </w:rPr>
              <w:t>APHIS Form 2009</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0BD4E22"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96B29D9" w14:textId="77777777">
            <w:pPr>
              <w:jc w:val="center"/>
              <w:rPr>
                <w:rFonts w:ascii="Arial" w:hAnsi="Arial" w:cs="Arial"/>
                <w:sz w:val="18"/>
                <w:szCs w:val="18"/>
              </w:rPr>
            </w:pPr>
            <w:r w:rsidRPr="005D2EE7">
              <w:rPr>
                <w:rFonts w:ascii="Arial" w:hAnsi="Arial" w:cs="Arial"/>
                <w:sz w:val="18"/>
                <w:szCs w:val="18"/>
              </w:rPr>
              <w:t xml:space="preserve">46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F3125DA"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B85E2A0" w14:textId="77777777">
            <w:pPr>
              <w:jc w:val="center"/>
              <w:rPr>
                <w:rFonts w:ascii="Arial" w:hAnsi="Arial" w:cs="Arial"/>
                <w:sz w:val="18"/>
                <w:szCs w:val="18"/>
              </w:rPr>
            </w:pPr>
            <w:r w:rsidRPr="005D2EE7">
              <w:rPr>
                <w:rFonts w:ascii="Arial" w:hAnsi="Arial" w:cs="Arial"/>
                <w:sz w:val="18"/>
                <w:szCs w:val="18"/>
              </w:rPr>
              <w:t xml:space="preserve">45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A540A70"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58CB1CD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737ED43" w14:textId="77777777">
            <w:pPr>
              <w:rPr>
                <w:rFonts w:ascii="Arial" w:hAnsi="Arial" w:cs="Arial"/>
                <w:sz w:val="18"/>
                <w:szCs w:val="18"/>
              </w:rPr>
            </w:pPr>
            <w:r w:rsidRPr="005D2EE7">
              <w:rPr>
                <w:rFonts w:ascii="Arial" w:hAnsi="Arial" w:cs="Arial"/>
                <w:sz w:val="18"/>
                <w:szCs w:val="18"/>
              </w:rPr>
              <w:t>102.1</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795E67A" w14:textId="77777777">
            <w:pPr>
              <w:rPr>
                <w:rFonts w:ascii="Arial" w:hAnsi="Arial" w:cs="Arial"/>
                <w:sz w:val="18"/>
                <w:szCs w:val="18"/>
              </w:rPr>
            </w:pPr>
            <w:r w:rsidRPr="005D2EE7">
              <w:rPr>
                <w:rFonts w:ascii="Arial" w:hAnsi="Arial" w:cs="Arial"/>
                <w:sz w:val="18"/>
                <w:szCs w:val="18"/>
              </w:rPr>
              <w:t>APHIS Form 2003</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3CB7A692"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C7DF71E" w14:textId="77777777">
            <w:pPr>
              <w:jc w:val="center"/>
              <w:rPr>
                <w:rFonts w:ascii="Arial" w:hAnsi="Arial" w:cs="Arial"/>
                <w:sz w:val="18"/>
                <w:szCs w:val="18"/>
              </w:rPr>
            </w:pPr>
            <w:r w:rsidRPr="005D2EE7">
              <w:rPr>
                <w:rFonts w:ascii="Arial" w:hAnsi="Arial" w:cs="Arial"/>
                <w:sz w:val="18"/>
                <w:szCs w:val="18"/>
              </w:rPr>
              <w:t xml:space="preserve">88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77E3010" w14:textId="77777777">
            <w:pPr>
              <w:jc w:val="center"/>
              <w:rPr>
                <w:rFonts w:ascii="Arial" w:hAnsi="Arial" w:cs="Arial"/>
                <w:sz w:val="18"/>
                <w:szCs w:val="18"/>
              </w:rPr>
            </w:pPr>
            <w:r w:rsidRPr="005D2EE7">
              <w:rPr>
                <w:rFonts w:ascii="Arial" w:hAnsi="Arial" w:cs="Arial"/>
                <w:sz w:val="18"/>
                <w:szCs w:val="18"/>
              </w:rPr>
              <w:t xml:space="preserve">75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F069A85" w14:textId="77777777">
            <w:pPr>
              <w:jc w:val="center"/>
              <w:rPr>
                <w:rFonts w:ascii="Arial" w:hAnsi="Arial" w:cs="Arial"/>
                <w:sz w:val="18"/>
                <w:szCs w:val="18"/>
              </w:rPr>
            </w:pPr>
            <w:r w:rsidRPr="005D2EE7">
              <w:rPr>
                <w:rFonts w:ascii="Arial" w:hAnsi="Arial" w:cs="Arial"/>
                <w:sz w:val="18"/>
                <w:szCs w:val="18"/>
              </w:rPr>
              <w:t xml:space="preserve">13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B62CFCF"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3F9715E2"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31DC8B0" w14:textId="77777777">
            <w:pPr>
              <w:rPr>
                <w:rFonts w:ascii="Arial" w:hAnsi="Arial" w:cs="Arial"/>
                <w:sz w:val="18"/>
                <w:szCs w:val="18"/>
              </w:rPr>
            </w:pPr>
            <w:r w:rsidRPr="005D2EE7">
              <w:rPr>
                <w:rFonts w:ascii="Arial" w:hAnsi="Arial" w:cs="Arial"/>
                <w:sz w:val="18"/>
                <w:szCs w:val="18"/>
              </w:rPr>
              <w:t>102.4</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8A8A8FC" w14:textId="77777777">
            <w:pPr>
              <w:rPr>
                <w:rFonts w:ascii="Arial" w:hAnsi="Arial" w:cs="Arial"/>
                <w:sz w:val="18"/>
                <w:szCs w:val="18"/>
              </w:rPr>
            </w:pPr>
            <w:r w:rsidRPr="005D2EE7">
              <w:rPr>
                <w:rFonts w:ascii="Arial" w:hAnsi="Arial" w:cs="Arial"/>
                <w:sz w:val="18"/>
                <w:szCs w:val="18"/>
              </w:rPr>
              <w:t>APHIS 2046, 2047</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696782FE"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3194B00" w14:textId="77777777">
            <w:pPr>
              <w:jc w:val="center"/>
              <w:rPr>
                <w:rFonts w:ascii="Arial" w:hAnsi="Arial" w:cs="Arial"/>
                <w:sz w:val="18"/>
                <w:szCs w:val="18"/>
              </w:rPr>
            </w:pPr>
            <w:r w:rsidRPr="005D2EE7">
              <w:rPr>
                <w:rFonts w:ascii="Arial" w:hAnsi="Arial" w:cs="Arial"/>
                <w:sz w:val="18"/>
                <w:szCs w:val="18"/>
              </w:rPr>
              <w:t xml:space="preserve">1,240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C5F1B16" w14:textId="77777777">
            <w:pPr>
              <w:jc w:val="center"/>
              <w:rPr>
                <w:rFonts w:ascii="Arial" w:hAnsi="Arial" w:cs="Arial"/>
                <w:sz w:val="18"/>
                <w:szCs w:val="18"/>
              </w:rPr>
            </w:pPr>
            <w:r w:rsidRPr="005D2EE7">
              <w:rPr>
                <w:rFonts w:ascii="Arial" w:hAnsi="Arial" w:cs="Arial"/>
                <w:sz w:val="18"/>
                <w:szCs w:val="18"/>
              </w:rPr>
              <w:t xml:space="preserve">3,500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79EFDE6" w14:textId="77777777">
            <w:pPr>
              <w:jc w:val="center"/>
              <w:rPr>
                <w:rFonts w:ascii="Arial" w:hAnsi="Arial" w:cs="Arial"/>
                <w:sz w:val="18"/>
                <w:szCs w:val="18"/>
              </w:rPr>
            </w:pPr>
            <w:r w:rsidRPr="005D2EE7">
              <w:rPr>
                <w:rFonts w:ascii="Arial" w:hAnsi="Arial" w:cs="Arial"/>
                <w:sz w:val="18"/>
                <w:szCs w:val="18"/>
              </w:rPr>
              <w:t>(2,260)</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97F3168"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2E91975A"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22F544C" w14:textId="77777777">
            <w:pPr>
              <w:rPr>
                <w:rFonts w:ascii="Arial" w:hAnsi="Arial" w:cs="Arial"/>
                <w:sz w:val="18"/>
                <w:szCs w:val="18"/>
              </w:rPr>
            </w:pPr>
            <w:r w:rsidRPr="005D2EE7">
              <w:rPr>
                <w:rFonts w:ascii="Arial" w:hAnsi="Arial" w:cs="Arial"/>
                <w:sz w:val="18"/>
                <w:szCs w:val="18"/>
              </w:rPr>
              <w:t xml:space="preserve">102.4, 114.7 </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CC1AF3F" w14:textId="77777777">
            <w:pPr>
              <w:rPr>
                <w:rFonts w:ascii="Arial" w:hAnsi="Arial" w:cs="Arial"/>
                <w:sz w:val="18"/>
                <w:szCs w:val="18"/>
              </w:rPr>
            </w:pPr>
            <w:r w:rsidRPr="005D2EE7">
              <w:rPr>
                <w:rFonts w:ascii="Arial" w:hAnsi="Arial" w:cs="Arial"/>
                <w:sz w:val="18"/>
                <w:szCs w:val="18"/>
              </w:rPr>
              <w:t>APHIS Form 2007</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7D6CA9DF"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CBDD3BC" w14:textId="77777777">
            <w:pPr>
              <w:jc w:val="center"/>
              <w:rPr>
                <w:rFonts w:ascii="Arial" w:hAnsi="Arial" w:cs="Arial"/>
                <w:sz w:val="18"/>
                <w:szCs w:val="18"/>
              </w:rPr>
            </w:pPr>
            <w:r w:rsidRPr="005D2EE7">
              <w:rPr>
                <w:rFonts w:ascii="Arial" w:hAnsi="Arial" w:cs="Arial"/>
                <w:sz w:val="18"/>
                <w:szCs w:val="18"/>
              </w:rPr>
              <w:t xml:space="preserve">1,170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970B9BA" w14:textId="77777777">
            <w:pPr>
              <w:jc w:val="center"/>
              <w:rPr>
                <w:rFonts w:ascii="Arial" w:hAnsi="Arial" w:cs="Arial"/>
                <w:sz w:val="18"/>
                <w:szCs w:val="18"/>
              </w:rPr>
            </w:pPr>
            <w:r w:rsidRPr="005D2EE7">
              <w:rPr>
                <w:rFonts w:ascii="Arial" w:hAnsi="Arial" w:cs="Arial"/>
                <w:sz w:val="18"/>
                <w:szCs w:val="18"/>
              </w:rPr>
              <w:t xml:space="preserve">720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491D3A8" w14:textId="77777777">
            <w:pPr>
              <w:jc w:val="center"/>
              <w:rPr>
                <w:rFonts w:ascii="Arial" w:hAnsi="Arial" w:cs="Arial"/>
                <w:sz w:val="18"/>
                <w:szCs w:val="18"/>
              </w:rPr>
            </w:pPr>
            <w:r w:rsidRPr="005D2EE7">
              <w:rPr>
                <w:rFonts w:ascii="Arial" w:hAnsi="Arial" w:cs="Arial"/>
                <w:sz w:val="18"/>
                <w:szCs w:val="18"/>
              </w:rPr>
              <w:t xml:space="preserve">450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971D1FC"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02D1E98D"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2681344" w14:textId="77777777">
            <w:pPr>
              <w:rPr>
                <w:rFonts w:ascii="Arial" w:hAnsi="Arial" w:cs="Arial"/>
                <w:sz w:val="18"/>
                <w:szCs w:val="18"/>
              </w:rPr>
            </w:pPr>
            <w:r w:rsidRPr="005D2EE7">
              <w:rPr>
                <w:rFonts w:ascii="Arial" w:hAnsi="Arial" w:cs="Arial"/>
                <w:sz w:val="18"/>
                <w:szCs w:val="18"/>
              </w:rPr>
              <w:t>102.6</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DB7DAB1" w14:textId="77777777">
            <w:pPr>
              <w:rPr>
                <w:rFonts w:ascii="Arial" w:hAnsi="Arial" w:cs="Arial"/>
                <w:sz w:val="18"/>
                <w:szCs w:val="18"/>
              </w:rPr>
            </w:pPr>
            <w:r w:rsidRPr="005D2EE7">
              <w:rPr>
                <w:rFonts w:ascii="Arial" w:hAnsi="Arial" w:cs="Arial"/>
                <w:sz w:val="18"/>
                <w:szCs w:val="18"/>
              </w:rPr>
              <w:t>Petition for Reissue</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614D7A9C"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465A95B" w14:textId="77777777">
            <w:pPr>
              <w:jc w:val="center"/>
              <w:rPr>
                <w:rFonts w:ascii="Arial" w:hAnsi="Arial" w:cs="Arial"/>
                <w:sz w:val="18"/>
                <w:szCs w:val="18"/>
              </w:rPr>
            </w:pPr>
            <w:r w:rsidRPr="005D2EE7">
              <w:rPr>
                <w:rFonts w:ascii="Arial" w:hAnsi="Arial" w:cs="Arial"/>
                <w:sz w:val="18"/>
                <w:szCs w:val="18"/>
              </w:rPr>
              <w:t xml:space="preserve">24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B1EFD78" w14:textId="77777777">
            <w:pPr>
              <w:jc w:val="center"/>
              <w:rPr>
                <w:rFonts w:ascii="Arial" w:hAnsi="Arial" w:cs="Arial"/>
                <w:sz w:val="18"/>
                <w:szCs w:val="18"/>
              </w:rPr>
            </w:pPr>
            <w:r w:rsidRPr="005D2EE7">
              <w:rPr>
                <w:rFonts w:ascii="Arial" w:hAnsi="Arial" w:cs="Arial"/>
                <w:sz w:val="18"/>
                <w:szCs w:val="18"/>
              </w:rPr>
              <w:t xml:space="preserve">10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EEED6B5" w14:textId="77777777">
            <w:pPr>
              <w:jc w:val="center"/>
              <w:rPr>
                <w:rFonts w:ascii="Arial" w:hAnsi="Arial" w:cs="Arial"/>
                <w:sz w:val="18"/>
                <w:szCs w:val="18"/>
              </w:rPr>
            </w:pPr>
            <w:r w:rsidRPr="005D2EE7">
              <w:rPr>
                <w:rFonts w:ascii="Arial" w:hAnsi="Arial" w:cs="Arial"/>
                <w:sz w:val="18"/>
                <w:szCs w:val="18"/>
              </w:rPr>
              <w:t xml:space="preserve">14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BAFD02B"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06968628"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9F9773A" w14:textId="77777777">
            <w:pPr>
              <w:rPr>
                <w:rFonts w:ascii="Arial" w:hAnsi="Arial" w:cs="Arial"/>
                <w:sz w:val="18"/>
                <w:szCs w:val="18"/>
              </w:rPr>
            </w:pPr>
            <w:r w:rsidRPr="005D2EE7">
              <w:rPr>
                <w:rFonts w:ascii="Arial" w:hAnsi="Arial" w:cs="Arial"/>
                <w:sz w:val="18"/>
                <w:szCs w:val="18"/>
              </w:rPr>
              <w:t>103.1</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25FBDF9" w14:textId="77777777">
            <w:pPr>
              <w:rPr>
                <w:rFonts w:ascii="Arial" w:hAnsi="Arial" w:cs="Arial"/>
                <w:sz w:val="18"/>
                <w:szCs w:val="18"/>
              </w:rPr>
            </w:pPr>
            <w:r w:rsidRPr="005D2EE7">
              <w:rPr>
                <w:rFonts w:ascii="Arial" w:hAnsi="Arial" w:cs="Arial"/>
                <w:sz w:val="18"/>
                <w:szCs w:val="18"/>
              </w:rPr>
              <w:t>Application to Produce</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E07B208"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84595B3" w14:textId="77777777">
            <w:pPr>
              <w:jc w:val="center"/>
              <w:rPr>
                <w:rFonts w:ascii="Arial" w:hAnsi="Arial" w:cs="Arial"/>
                <w:sz w:val="18"/>
                <w:szCs w:val="18"/>
              </w:rPr>
            </w:pPr>
            <w:r w:rsidRPr="005D2EE7">
              <w:rPr>
                <w:rFonts w:ascii="Arial" w:hAnsi="Arial" w:cs="Arial"/>
                <w:sz w:val="18"/>
                <w:szCs w:val="18"/>
              </w:rPr>
              <w:t xml:space="preserve">112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08CFF19" w14:textId="77777777">
            <w:pPr>
              <w:jc w:val="center"/>
              <w:rPr>
                <w:rFonts w:ascii="Arial" w:hAnsi="Arial" w:cs="Arial"/>
                <w:sz w:val="18"/>
                <w:szCs w:val="18"/>
              </w:rPr>
            </w:pPr>
            <w:r w:rsidRPr="005D2EE7">
              <w:rPr>
                <w:rFonts w:ascii="Arial" w:hAnsi="Arial" w:cs="Arial"/>
                <w:sz w:val="18"/>
                <w:szCs w:val="18"/>
              </w:rPr>
              <w:t xml:space="preserve">50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C231A5A" w14:textId="77777777">
            <w:pPr>
              <w:jc w:val="center"/>
              <w:rPr>
                <w:rFonts w:ascii="Arial" w:hAnsi="Arial" w:cs="Arial"/>
                <w:sz w:val="18"/>
                <w:szCs w:val="18"/>
              </w:rPr>
            </w:pPr>
            <w:r w:rsidRPr="005D2EE7">
              <w:rPr>
                <w:rFonts w:ascii="Arial" w:hAnsi="Arial" w:cs="Arial"/>
                <w:sz w:val="18"/>
                <w:szCs w:val="18"/>
              </w:rPr>
              <w:t xml:space="preserve">62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9B6D858"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43C4970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7A56C5E" w14:textId="77777777">
            <w:pPr>
              <w:rPr>
                <w:rFonts w:ascii="Arial" w:hAnsi="Arial" w:cs="Arial"/>
                <w:sz w:val="18"/>
                <w:szCs w:val="18"/>
              </w:rPr>
            </w:pPr>
            <w:r w:rsidRPr="005D2EE7">
              <w:rPr>
                <w:rFonts w:ascii="Arial" w:hAnsi="Arial" w:cs="Arial"/>
                <w:sz w:val="18"/>
                <w:szCs w:val="18"/>
              </w:rPr>
              <w:t>103.3</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03B4910" w14:textId="77777777">
            <w:pPr>
              <w:rPr>
                <w:rFonts w:ascii="Arial" w:hAnsi="Arial" w:cs="Arial"/>
                <w:sz w:val="18"/>
                <w:szCs w:val="18"/>
              </w:rPr>
            </w:pPr>
            <w:r w:rsidRPr="005D2EE7">
              <w:rPr>
                <w:rFonts w:ascii="Arial" w:hAnsi="Arial" w:cs="Arial"/>
                <w:sz w:val="18"/>
                <w:szCs w:val="18"/>
              </w:rPr>
              <w:t>App for Authorization</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7D6EA866"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93F5D1A" w14:textId="77777777">
            <w:pPr>
              <w:jc w:val="center"/>
              <w:rPr>
                <w:rFonts w:ascii="Arial" w:hAnsi="Arial" w:cs="Arial"/>
                <w:sz w:val="18"/>
                <w:szCs w:val="18"/>
              </w:rPr>
            </w:pPr>
            <w:r w:rsidRPr="005D2EE7">
              <w:rPr>
                <w:rFonts w:ascii="Arial" w:hAnsi="Arial" w:cs="Arial"/>
                <w:sz w:val="18"/>
                <w:szCs w:val="18"/>
              </w:rPr>
              <w:t xml:space="preserve">315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EE35CAD" w14:textId="77777777">
            <w:pPr>
              <w:jc w:val="center"/>
              <w:rPr>
                <w:rFonts w:ascii="Arial" w:hAnsi="Arial" w:cs="Arial"/>
                <w:sz w:val="18"/>
                <w:szCs w:val="18"/>
              </w:rPr>
            </w:pPr>
            <w:r w:rsidRPr="005D2EE7">
              <w:rPr>
                <w:rFonts w:ascii="Arial" w:hAnsi="Arial" w:cs="Arial"/>
                <w:sz w:val="18"/>
                <w:szCs w:val="18"/>
              </w:rPr>
              <w:t xml:space="preserve">360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3673575" w14:textId="77777777">
            <w:pPr>
              <w:jc w:val="center"/>
              <w:rPr>
                <w:rFonts w:ascii="Arial" w:hAnsi="Arial" w:cs="Arial"/>
                <w:sz w:val="18"/>
                <w:szCs w:val="18"/>
              </w:rPr>
            </w:pPr>
            <w:r w:rsidRPr="005D2EE7">
              <w:rPr>
                <w:rFonts w:ascii="Arial" w:hAnsi="Arial" w:cs="Arial"/>
                <w:sz w:val="18"/>
                <w:szCs w:val="18"/>
              </w:rPr>
              <w:t>(45)</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97AB6D4"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30A0D99F"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7E2508A" w14:textId="77777777">
            <w:pPr>
              <w:rPr>
                <w:rFonts w:ascii="Arial" w:hAnsi="Arial" w:cs="Arial"/>
                <w:sz w:val="18"/>
                <w:szCs w:val="18"/>
              </w:rPr>
            </w:pPr>
            <w:r w:rsidRPr="005D2EE7">
              <w:rPr>
                <w:rFonts w:ascii="Arial" w:hAnsi="Arial" w:cs="Arial"/>
                <w:sz w:val="18"/>
                <w:szCs w:val="18"/>
              </w:rPr>
              <w:t>104.5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7038A109" w14:textId="77777777">
            <w:pPr>
              <w:rPr>
                <w:rFonts w:ascii="Arial" w:hAnsi="Arial" w:cs="Arial"/>
                <w:sz w:val="18"/>
                <w:szCs w:val="18"/>
              </w:rPr>
            </w:pPr>
            <w:r w:rsidRPr="005D2EE7">
              <w:rPr>
                <w:rFonts w:ascii="Arial" w:hAnsi="Arial" w:cs="Arial"/>
                <w:sz w:val="18"/>
                <w:szCs w:val="18"/>
              </w:rPr>
              <w:t>APHIS Form 2005</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786CD7B"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985C13A" w14:textId="77777777">
            <w:pPr>
              <w:jc w:val="center"/>
              <w:rPr>
                <w:rFonts w:ascii="Arial" w:hAnsi="Arial" w:cs="Arial"/>
                <w:sz w:val="18"/>
                <w:szCs w:val="18"/>
              </w:rPr>
            </w:pPr>
            <w:r w:rsidRPr="005D2EE7">
              <w:rPr>
                <w:rFonts w:ascii="Arial" w:hAnsi="Arial" w:cs="Arial"/>
                <w:sz w:val="18"/>
                <w:szCs w:val="18"/>
              </w:rPr>
              <w:t xml:space="preserve">540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B5283DF" w14:textId="77777777">
            <w:pPr>
              <w:jc w:val="center"/>
              <w:rPr>
                <w:rFonts w:ascii="Arial" w:hAnsi="Arial" w:cs="Arial"/>
                <w:sz w:val="18"/>
                <w:szCs w:val="18"/>
              </w:rPr>
            </w:pPr>
            <w:r w:rsidRPr="005D2EE7">
              <w:rPr>
                <w:rFonts w:ascii="Arial" w:hAnsi="Arial" w:cs="Arial"/>
                <w:sz w:val="18"/>
                <w:szCs w:val="18"/>
              </w:rPr>
              <w:t xml:space="preserve">220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799C585" w14:textId="77777777">
            <w:pPr>
              <w:jc w:val="center"/>
              <w:rPr>
                <w:rFonts w:ascii="Arial" w:hAnsi="Arial" w:cs="Arial"/>
                <w:sz w:val="18"/>
                <w:szCs w:val="18"/>
              </w:rPr>
            </w:pPr>
            <w:r w:rsidRPr="005D2EE7">
              <w:rPr>
                <w:rFonts w:ascii="Arial" w:hAnsi="Arial" w:cs="Arial"/>
                <w:sz w:val="18"/>
                <w:szCs w:val="18"/>
              </w:rPr>
              <w:t xml:space="preserve">320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13B7269"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00A59D35"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5C97A6F" w14:textId="77777777">
            <w:pPr>
              <w:rPr>
                <w:rFonts w:ascii="Arial" w:hAnsi="Arial" w:cs="Arial"/>
                <w:sz w:val="18"/>
                <w:szCs w:val="18"/>
              </w:rPr>
            </w:pPr>
            <w:r w:rsidRPr="005D2EE7">
              <w:rPr>
                <w:rFonts w:ascii="Arial" w:hAnsi="Arial" w:cs="Arial"/>
                <w:sz w:val="18"/>
                <w:szCs w:val="18"/>
              </w:rPr>
              <w:t>105.4</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D6ACDB7" w14:textId="77777777">
            <w:pPr>
              <w:rPr>
                <w:rFonts w:ascii="Arial" w:hAnsi="Arial" w:cs="Arial"/>
                <w:sz w:val="18"/>
                <w:szCs w:val="18"/>
              </w:rPr>
            </w:pPr>
            <w:r w:rsidRPr="005D2EE7">
              <w:rPr>
                <w:rFonts w:ascii="Arial" w:hAnsi="Arial" w:cs="Arial"/>
                <w:sz w:val="18"/>
                <w:szCs w:val="18"/>
              </w:rPr>
              <w:t>Show Intent/Production</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562B3B5"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694F281" w14:textId="77777777">
            <w:pPr>
              <w:jc w:val="center"/>
              <w:rPr>
                <w:rFonts w:ascii="Arial" w:hAnsi="Arial" w:cs="Arial"/>
                <w:sz w:val="18"/>
                <w:szCs w:val="18"/>
              </w:rPr>
            </w:pPr>
            <w:r w:rsidRPr="005D2EE7">
              <w:rPr>
                <w:rFonts w:ascii="Arial" w:hAnsi="Arial" w:cs="Arial"/>
                <w:sz w:val="18"/>
                <w:szCs w:val="18"/>
              </w:rPr>
              <w:t xml:space="preserve">9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B283134" w14:textId="77777777">
            <w:pPr>
              <w:jc w:val="center"/>
              <w:rPr>
                <w:rFonts w:ascii="Arial" w:hAnsi="Arial" w:cs="Arial"/>
                <w:sz w:val="18"/>
                <w:szCs w:val="18"/>
              </w:rPr>
            </w:pPr>
            <w:r w:rsidRPr="005D2EE7">
              <w:rPr>
                <w:rFonts w:ascii="Arial" w:hAnsi="Arial" w:cs="Arial"/>
                <w:sz w:val="18"/>
                <w:szCs w:val="18"/>
              </w:rPr>
              <w:t xml:space="preserve">50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FF478EC" w14:textId="77777777">
            <w:pPr>
              <w:jc w:val="center"/>
              <w:rPr>
                <w:rFonts w:ascii="Arial" w:hAnsi="Arial" w:cs="Arial"/>
                <w:sz w:val="18"/>
                <w:szCs w:val="18"/>
              </w:rPr>
            </w:pPr>
            <w:r w:rsidRPr="005D2EE7">
              <w:rPr>
                <w:rFonts w:ascii="Arial" w:hAnsi="Arial" w:cs="Arial"/>
                <w:sz w:val="18"/>
                <w:szCs w:val="18"/>
              </w:rPr>
              <w:t>(41)</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0CFD831" w14:textId="77777777">
            <w:pPr>
              <w:rPr>
                <w:rFonts w:ascii="Arial" w:hAnsi="Arial" w:cs="Arial"/>
                <w:sz w:val="18"/>
                <w:szCs w:val="18"/>
              </w:rPr>
            </w:pPr>
            <w:r w:rsidRPr="005D2EE7">
              <w:rPr>
                <w:rFonts w:ascii="Arial" w:hAnsi="Arial" w:cs="Arial"/>
                <w:sz w:val="18"/>
                <w:szCs w:val="18"/>
              </w:rPr>
              <w:t>estimate</w:t>
            </w:r>
          </w:p>
        </w:tc>
      </w:tr>
      <w:tr w:rsidRPr="005D2EE7" w:rsidR="008950AE" w:rsidTr="00987774" w14:paraId="4DA57583" w14:textId="77777777">
        <w:trPr>
          <w:trHeight w:val="300"/>
          <w:jc w:val="center"/>
        </w:trPr>
        <w:tc>
          <w:tcPr>
            <w:tcW w:w="1107" w:type="dxa"/>
            <w:tcBorders>
              <w:top w:val="nil"/>
              <w:left w:val="nil"/>
              <w:bottom w:val="nil"/>
              <w:right w:val="nil"/>
            </w:tcBorders>
            <w:shd w:val="clear" w:color="auto" w:fill="auto"/>
            <w:noWrap/>
            <w:vAlign w:val="bottom"/>
            <w:hideMark/>
          </w:tcPr>
          <w:p w:rsidRPr="005D2EE7" w:rsidR="008950AE" w:rsidP="00987774" w:rsidRDefault="008950AE" w14:paraId="19AC8554" w14:textId="77777777">
            <w:pPr>
              <w:rPr>
                <w:sz w:val="20"/>
                <w:szCs w:val="20"/>
              </w:rPr>
            </w:pPr>
          </w:p>
        </w:tc>
        <w:tc>
          <w:tcPr>
            <w:tcW w:w="2765" w:type="dxa"/>
            <w:tcBorders>
              <w:top w:val="nil"/>
              <w:left w:val="nil"/>
              <w:bottom w:val="nil"/>
              <w:right w:val="nil"/>
            </w:tcBorders>
            <w:shd w:val="clear" w:color="auto" w:fill="auto"/>
            <w:noWrap/>
            <w:vAlign w:val="bottom"/>
            <w:hideMark/>
          </w:tcPr>
          <w:p w:rsidRPr="005D2EE7" w:rsidR="008950AE" w:rsidP="00987774" w:rsidRDefault="008950AE" w14:paraId="0A83A7BC" w14:textId="77777777">
            <w:pPr>
              <w:rPr>
                <w:sz w:val="20"/>
                <w:szCs w:val="20"/>
              </w:rPr>
            </w:pPr>
          </w:p>
        </w:tc>
        <w:tc>
          <w:tcPr>
            <w:tcW w:w="1467" w:type="dxa"/>
            <w:tcBorders>
              <w:top w:val="nil"/>
              <w:left w:val="nil"/>
              <w:bottom w:val="nil"/>
              <w:right w:val="nil"/>
            </w:tcBorders>
            <w:shd w:val="clear" w:color="auto" w:fill="auto"/>
            <w:noWrap/>
            <w:vAlign w:val="bottom"/>
            <w:hideMark/>
          </w:tcPr>
          <w:p w:rsidRPr="005D2EE7" w:rsidR="008950AE" w:rsidP="00987774" w:rsidRDefault="008950AE" w14:paraId="77C67DF5" w14:textId="77777777">
            <w:pPr>
              <w:rPr>
                <w:sz w:val="20"/>
                <w:szCs w:val="20"/>
              </w:rPr>
            </w:pP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14DB15B8" w14:textId="77777777">
            <w:pPr>
              <w:jc w:val="center"/>
              <w:rPr>
                <w:rFonts w:ascii="Arial" w:hAnsi="Arial" w:cs="Arial"/>
                <w:b/>
                <w:bCs/>
                <w:sz w:val="18"/>
                <w:szCs w:val="18"/>
              </w:rPr>
            </w:pPr>
            <w:r w:rsidRPr="005D2EE7">
              <w:rPr>
                <w:rFonts w:ascii="Arial" w:hAnsi="Arial" w:cs="Arial"/>
                <w:b/>
                <w:bCs/>
                <w:sz w:val="18"/>
                <w:szCs w:val="18"/>
              </w:rPr>
              <w:t>CURRENT</w:t>
            </w: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33DCF51B" w14:textId="77777777">
            <w:pPr>
              <w:jc w:val="center"/>
              <w:rPr>
                <w:rFonts w:ascii="Arial" w:hAnsi="Arial" w:cs="Arial"/>
                <w:b/>
                <w:bCs/>
                <w:sz w:val="18"/>
                <w:szCs w:val="18"/>
              </w:rPr>
            </w:pPr>
            <w:r w:rsidRPr="005D2EE7">
              <w:rPr>
                <w:rFonts w:ascii="Arial" w:hAnsi="Arial" w:cs="Arial"/>
                <w:b/>
                <w:bCs/>
                <w:sz w:val="18"/>
                <w:szCs w:val="18"/>
              </w:rPr>
              <w:t>PREVIOUS</w:t>
            </w:r>
          </w:p>
        </w:tc>
        <w:tc>
          <w:tcPr>
            <w:tcW w:w="1380" w:type="dxa"/>
            <w:tcBorders>
              <w:top w:val="nil"/>
              <w:left w:val="nil"/>
              <w:bottom w:val="nil"/>
              <w:right w:val="nil"/>
            </w:tcBorders>
            <w:shd w:val="clear" w:color="auto" w:fill="auto"/>
            <w:noWrap/>
            <w:vAlign w:val="bottom"/>
            <w:hideMark/>
          </w:tcPr>
          <w:p w:rsidRPr="005D2EE7" w:rsidR="008950AE" w:rsidP="00987774" w:rsidRDefault="008950AE" w14:paraId="3EB3EEAA" w14:textId="77777777">
            <w:pPr>
              <w:jc w:val="center"/>
              <w:rPr>
                <w:rFonts w:ascii="Arial" w:hAnsi="Arial" w:cs="Arial"/>
                <w:b/>
                <w:bCs/>
                <w:sz w:val="18"/>
                <w:szCs w:val="18"/>
              </w:rPr>
            </w:pPr>
          </w:p>
        </w:tc>
        <w:tc>
          <w:tcPr>
            <w:tcW w:w="1380" w:type="dxa"/>
            <w:tcBorders>
              <w:top w:val="nil"/>
              <w:left w:val="nil"/>
              <w:bottom w:val="nil"/>
              <w:right w:val="nil"/>
            </w:tcBorders>
            <w:shd w:val="clear" w:color="auto" w:fill="auto"/>
            <w:noWrap/>
            <w:vAlign w:val="bottom"/>
            <w:hideMark/>
          </w:tcPr>
          <w:p w:rsidRPr="005D2EE7" w:rsidR="008950AE" w:rsidP="00987774" w:rsidRDefault="008950AE" w14:paraId="17D7D224" w14:textId="77777777">
            <w:pPr>
              <w:rPr>
                <w:rFonts w:ascii="Arial" w:hAnsi="Arial" w:cs="Arial"/>
                <w:b/>
                <w:bCs/>
                <w:sz w:val="18"/>
                <w:szCs w:val="18"/>
              </w:rPr>
            </w:pPr>
            <w:r w:rsidRPr="005D2EE7">
              <w:rPr>
                <w:rFonts w:ascii="Arial" w:hAnsi="Arial" w:cs="Arial"/>
                <w:b/>
                <w:bCs/>
                <w:sz w:val="18"/>
                <w:szCs w:val="18"/>
              </w:rPr>
              <w:t>TYPE OF</w:t>
            </w:r>
          </w:p>
        </w:tc>
      </w:tr>
      <w:tr w:rsidRPr="005D2EE7" w:rsidR="008950AE" w:rsidTr="00987774" w14:paraId="5762AA9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8950AE" w:rsidP="00987774" w:rsidRDefault="008950AE" w14:paraId="5F99F289" w14:textId="77777777">
            <w:pPr>
              <w:rPr>
                <w:rFonts w:ascii="Arial" w:hAnsi="Arial" w:cs="Arial"/>
                <w:b/>
                <w:bCs/>
                <w:sz w:val="18"/>
                <w:szCs w:val="18"/>
                <w:u w:val="single"/>
              </w:rPr>
            </w:pPr>
            <w:r w:rsidRPr="005D2EE7">
              <w:rPr>
                <w:rFonts w:ascii="Arial" w:hAnsi="Arial" w:cs="Arial"/>
                <w:b/>
                <w:bCs/>
                <w:sz w:val="18"/>
                <w:szCs w:val="18"/>
                <w:u w:val="single"/>
              </w:rPr>
              <w:t>9 CFR</w:t>
            </w:r>
          </w:p>
        </w:tc>
        <w:tc>
          <w:tcPr>
            <w:tcW w:w="2765" w:type="dxa"/>
            <w:tcBorders>
              <w:top w:val="nil"/>
              <w:left w:val="nil"/>
              <w:bottom w:val="nil"/>
              <w:right w:val="nil"/>
            </w:tcBorders>
            <w:shd w:val="clear" w:color="auto" w:fill="auto"/>
            <w:noWrap/>
            <w:vAlign w:val="center"/>
            <w:hideMark/>
          </w:tcPr>
          <w:p w:rsidRPr="005D2EE7" w:rsidR="008950AE" w:rsidP="00987774" w:rsidRDefault="008950AE" w14:paraId="2FFA6AB5" w14:textId="77777777">
            <w:pPr>
              <w:rPr>
                <w:rFonts w:ascii="Arial" w:hAnsi="Arial" w:cs="Arial"/>
                <w:b/>
                <w:bCs/>
                <w:sz w:val="18"/>
                <w:szCs w:val="18"/>
                <w:u w:val="single"/>
              </w:rPr>
            </w:pPr>
            <w:r w:rsidRPr="005D2EE7">
              <w:rPr>
                <w:rFonts w:ascii="Arial" w:hAnsi="Arial" w:cs="Arial"/>
                <w:b/>
                <w:bCs/>
                <w:sz w:val="18"/>
                <w:szCs w:val="18"/>
                <w:u w:val="single"/>
              </w:rPr>
              <w:t>ACTIVITY</w:t>
            </w:r>
          </w:p>
        </w:tc>
        <w:tc>
          <w:tcPr>
            <w:tcW w:w="1467" w:type="dxa"/>
            <w:tcBorders>
              <w:top w:val="nil"/>
              <w:left w:val="nil"/>
              <w:bottom w:val="nil"/>
              <w:right w:val="nil"/>
            </w:tcBorders>
            <w:shd w:val="clear" w:color="auto" w:fill="auto"/>
            <w:noWrap/>
            <w:vAlign w:val="center"/>
            <w:hideMark/>
          </w:tcPr>
          <w:p w:rsidRPr="005D2EE7" w:rsidR="008950AE" w:rsidP="00987774" w:rsidRDefault="008950AE" w14:paraId="34DC5BAD" w14:textId="77777777">
            <w:pPr>
              <w:rPr>
                <w:rFonts w:ascii="Arial" w:hAnsi="Arial" w:cs="Arial"/>
                <w:b/>
                <w:bCs/>
                <w:sz w:val="18"/>
                <w:szCs w:val="18"/>
                <w:u w:val="single"/>
              </w:rPr>
            </w:pPr>
            <w:r w:rsidRPr="005D2EE7">
              <w:rPr>
                <w:rFonts w:ascii="Arial" w:hAnsi="Arial" w:cs="Arial"/>
                <w:b/>
                <w:bCs/>
                <w:sz w:val="18"/>
                <w:szCs w:val="18"/>
                <w:u w:val="single"/>
              </w:rPr>
              <w:t>RESPONDENT</w:t>
            </w: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04B5BEFD" w14:textId="77777777">
            <w:pPr>
              <w:jc w:val="center"/>
              <w:rPr>
                <w:rFonts w:ascii="Arial" w:hAnsi="Arial" w:cs="Arial"/>
                <w:b/>
                <w:bCs/>
                <w:sz w:val="18"/>
                <w:szCs w:val="18"/>
                <w:u w:val="single"/>
              </w:rPr>
            </w:pPr>
            <w:r w:rsidRPr="005D2EE7">
              <w:rPr>
                <w:rFonts w:ascii="Arial" w:hAnsi="Arial" w:cs="Arial"/>
                <w:b/>
                <w:bCs/>
                <w:sz w:val="18"/>
                <w:szCs w:val="18"/>
                <w:u w:val="single"/>
              </w:rPr>
              <w:t>RESPONSES</w:t>
            </w: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4B6C99CB" w14:textId="77777777">
            <w:pPr>
              <w:jc w:val="center"/>
              <w:rPr>
                <w:rFonts w:ascii="Arial" w:hAnsi="Arial" w:cs="Arial"/>
                <w:b/>
                <w:bCs/>
                <w:sz w:val="18"/>
                <w:szCs w:val="18"/>
                <w:u w:val="single"/>
              </w:rPr>
            </w:pPr>
            <w:r w:rsidRPr="005D2EE7">
              <w:rPr>
                <w:rFonts w:ascii="Arial" w:hAnsi="Arial" w:cs="Arial"/>
                <w:b/>
                <w:bCs/>
                <w:sz w:val="18"/>
                <w:szCs w:val="18"/>
                <w:u w:val="single"/>
              </w:rPr>
              <w:t>RESPONSES</w:t>
            </w: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2054EF31" w14:textId="77777777">
            <w:pPr>
              <w:jc w:val="center"/>
              <w:rPr>
                <w:rFonts w:ascii="Arial" w:hAnsi="Arial" w:cs="Arial"/>
                <w:b/>
                <w:bCs/>
                <w:sz w:val="18"/>
                <w:szCs w:val="18"/>
                <w:u w:val="single"/>
              </w:rPr>
            </w:pPr>
            <w:r w:rsidRPr="005D2EE7">
              <w:rPr>
                <w:rFonts w:ascii="Arial" w:hAnsi="Arial" w:cs="Arial"/>
                <w:b/>
                <w:bCs/>
                <w:sz w:val="18"/>
                <w:szCs w:val="18"/>
                <w:u w:val="single"/>
              </w:rPr>
              <w:t>CHANGE</w:t>
            </w: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7568FA99" w14:textId="77777777">
            <w:pPr>
              <w:rPr>
                <w:rFonts w:ascii="Arial" w:hAnsi="Arial" w:cs="Arial"/>
                <w:b/>
                <w:bCs/>
                <w:sz w:val="18"/>
                <w:szCs w:val="18"/>
                <w:u w:val="single"/>
              </w:rPr>
            </w:pPr>
            <w:r w:rsidRPr="005D2EE7">
              <w:rPr>
                <w:rFonts w:ascii="Arial" w:hAnsi="Arial" w:cs="Arial"/>
                <w:b/>
                <w:bCs/>
                <w:sz w:val="18"/>
                <w:szCs w:val="18"/>
                <w:u w:val="single"/>
              </w:rPr>
              <w:t>CHANGE</w:t>
            </w:r>
          </w:p>
        </w:tc>
      </w:tr>
      <w:tr w:rsidRPr="005D2EE7" w:rsidR="005D2EE7" w:rsidTr="005D2EE7" w14:paraId="6B54BE83"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C8C9FB7" w14:textId="77777777">
            <w:pPr>
              <w:rPr>
                <w:rFonts w:ascii="Arial" w:hAnsi="Arial" w:cs="Arial"/>
                <w:sz w:val="18"/>
                <w:szCs w:val="18"/>
              </w:rPr>
            </w:pPr>
            <w:r w:rsidRPr="005D2EE7">
              <w:rPr>
                <w:rFonts w:ascii="Arial" w:hAnsi="Arial" w:cs="Arial"/>
                <w:sz w:val="18"/>
                <w:szCs w:val="18"/>
              </w:rPr>
              <w:t>112.1</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69D828CA" w14:textId="77777777">
            <w:pPr>
              <w:rPr>
                <w:rFonts w:ascii="Arial" w:hAnsi="Arial" w:cs="Arial"/>
                <w:sz w:val="18"/>
                <w:szCs w:val="18"/>
              </w:rPr>
            </w:pPr>
            <w:r w:rsidRPr="005D2EE7">
              <w:rPr>
                <w:rFonts w:ascii="Arial" w:hAnsi="Arial" w:cs="Arial"/>
                <w:sz w:val="18"/>
                <w:szCs w:val="18"/>
              </w:rPr>
              <w:t>Package Labelling</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4A1B5C3"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AC6AE4A" w14:textId="77777777">
            <w:pPr>
              <w:jc w:val="center"/>
              <w:rPr>
                <w:rFonts w:ascii="Arial" w:hAnsi="Arial" w:cs="Arial"/>
                <w:sz w:val="18"/>
                <w:szCs w:val="18"/>
              </w:rPr>
            </w:pPr>
            <w:r w:rsidRPr="005D2EE7">
              <w:rPr>
                <w:rFonts w:ascii="Arial" w:hAnsi="Arial" w:cs="Arial"/>
                <w:sz w:val="18"/>
                <w:szCs w:val="18"/>
              </w:rPr>
              <w:t xml:space="preserve">435,749,193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3192C6A" w14:textId="77777777">
            <w:pPr>
              <w:jc w:val="center"/>
              <w:rPr>
                <w:rFonts w:ascii="Arial" w:hAnsi="Arial" w:cs="Arial"/>
                <w:sz w:val="18"/>
                <w:szCs w:val="18"/>
              </w:rPr>
            </w:pPr>
            <w:r w:rsidRPr="005D2EE7">
              <w:rPr>
                <w:rFonts w:ascii="Arial" w:hAnsi="Arial" w:cs="Arial"/>
                <w:sz w:val="18"/>
                <w:szCs w:val="18"/>
              </w:rPr>
              <w:t xml:space="preserve">298,763,700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7C9CF20" w14:textId="77777777">
            <w:pPr>
              <w:jc w:val="center"/>
              <w:rPr>
                <w:rFonts w:ascii="Arial" w:hAnsi="Arial" w:cs="Arial"/>
                <w:sz w:val="18"/>
                <w:szCs w:val="18"/>
              </w:rPr>
            </w:pPr>
            <w:r w:rsidRPr="005D2EE7">
              <w:rPr>
                <w:rFonts w:ascii="Arial" w:hAnsi="Arial" w:cs="Arial"/>
                <w:sz w:val="18"/>
                <w:szCs w:val="18"/>
              </w:rPr>
              <w:t xml:space="preserve">136,985,493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41BD8B0"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1BDF5538"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D1D9B0E" w14:textId="77777777">
            <w:pPr>
              <w:rPr>
                <w:rFonts w:ascii="Arial" w:hAnsi="Arial" w:cs="Arial"/>
                <w:sz w:val="18"/>
                <w:szCs w:val="18"/>
              </w:rPr>
            </w:pPr>
            <w:r w:rsidRPr="005D2EE7">
              <w:rPr>
                <w:rFonts w:ascii="Arial" w:hAnsi="Arial" w:cs="Arial"/>
                <w:sz w:val="18"/>
                <w:szCs w:val="18"/>
              </w:rPr>
              <w:t>112.2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63D23E7A" w14:textId="77777777">
            <w:pPr>
              <w:rPr>
                <w:rFonts w:ascii="Arial" w:hAnsi="Arial" w:cs="Arial"/>
                <w:sz w:val="18"/>
                <w:szCs w:val="18"/>
              </w:rPr>
            </w:pPr>
            <w:r w:rsidRPr="005D2EE7">
              <w:rPr>
                <w:rFonts w:ascii="Arial" w:hAnsi="Arial" w:cs="Arial"/>
                <w:sz w:val="18"/>
                <w:szCs w:val="18"/>
              </w:rPr>
              <w:t>APHIS Form 2015</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3B3B8B9"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0C241FC" w14:textId="77777777">
            <w:pPr>
              <w:jc w:val="center"/>
              <w:rPr>
                <w:rFonts w:ascii="Arial" w:hAnsi="Arial" w:cs="Arial"/>
                <w:sz w:val="18"/>
                <w:szCs w:val="18"/>
              </w:rPr>
            </w:pPr>
            <w:r w:rsidRPr="005D2EE7">
              <w:rPr>
                <w:rFonts w:ascii="Arial" w:hAnsi="Arial" w:cs="Arial"/>
                <w:sz w:val="18"/>
                <w:szCs w:val="18"/>
              </w:rPr>
              <w:t xml:space="preserve">156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76A43E6" w14:textId="77777777">
            <w:pPr>
              <w:jc w:val="center"/>
              <w:rPr>
                <w:rFonts w:ascii="Arial" w:hAnsi="Arial" w:cs="Arial"/>
                <w:sz w:val="18"/>
                <w:szCs w:val="18"/>
              </w:rPr>
            </w:pPr>
            <w:r w:rsidRPr="005D2EE7">
              <w:rPr>
                <w:rFonts w:ascii="Arial" w:hAnsi="Arial" w:cs="Arial"/>
                <w:sz w:val="18"/>
                <w:szCs w:val="18"/>
              </w:rPr>
              <w:t xml:space="preserve">4,800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2BBC95C" w14:textId="77777777">
            <w:pPr>
              <w:jc w:val="center"/>
              <w:rPr>
                <w:rFonts w:ascii="Arial" w:hAnsi="Arial" w:cs="Arial"/>
                <w:sz w:val="18"/>
                <w:szCs w:val="18"/>
              </w:rPr>
            </w:pPr>
            <w:r w:rsidRPr="005D2EE7">
              <w:rPr>
                <w:rFonts w:ascii="Arial" w:hAnsi="Arial" w:cs="Arial"/>
                <w:sz w:val="18"/>
                <w:szCs w:val="18"/>
              </w:rPr>
              <w:t>(4,644)</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928C376"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4FB251C3"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1D50688" w14:textId="77777777">
            <w:pPr>
              <w:rPr>
                <w:rFonts w:ascii="Arial" w:hAnsi="Arial" w:cs="Arial"/>
                <w:sz w:val="18"/>
                <w:szCs w:val="18"/>
              </w:rPr>
            </w:pPr>
            <w:r w:rsidRPr="005D2EE7">
              <w:rPr>
                <w:rFonts w:ascii="Arial" w:hAnsi="Arial" w:cs="Arial"/>
                <w:sz w:val="18"/>
                <w:szCs w:val="18"/>
              </w:rPr>
              <w:t>112.2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4686A4B" w14:textId="77777777">
            <w:pPr>
              <w:rPr>
                <w:rFonts w:ascii="Arial" w:hAnsi="Arial" w:cs="Arial"/>
                <w:sz w:val="18"/>
                <w:szCs w:val="18"/>
              </w:rPr>
            </w:pPr>
            <w:r w:rsidRPr="005D2EE7">
              <w:rPr>
                <w:rFonts w:ascii="Arial" w:hAnsi="Arial" w:cs="Arial"/>
                <w:sz w:val="18"/>
                <w:szCs w:val="18"/>
              </w:rPr>
              <w:t>Written Authorization</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74C2A5BF" w14:textId="77777777">
            <w:pPr>
              <w:rPr>
                <w:rFonts w:ascii="Arial" w:hAnsi="Arial" w:cs="Arial"/>
                <w:sz w:val="18"/>
                <w:szCs w:val="18"/>
              </w:rPr>
            </w:pPr>
            <w:r w:rsidRPr="005D2EE7">
              <w:rPr>
                <w:rFonts w:ascii="Arial" w:hAnsi="Arial" w:cs="Arial"/>
                <w:sz w:val="18"/>
                <w:szCs w:val="18"/>
              </w:rPr>
              <w:t>FG</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A5D7CCE" w14:textId="77777777">
            <w:pPr>
              <w:jc w:val="center"/>
              <w:rPr>
                <w:rFonts w:ascii="Arial" w:hAnsi="Arial" w:cs="Arial"/>
                <w:sz w:val="18"/>
                <w:szCs w:val="18"/>
              </w:rPr>
            </w:pPr>
            <w:r w:rsidRPr="005D2EE7">
              <w:rPr>
                <w:rFonts w:ascii="Arial" w:hAnsi="Arial" w:cs="Arial"/>
                <w:sz w:val="18"/>
                <w:szCs w:val="18"/>
              </w:rPr>
              <w:t xml:space="preserve">2,475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F89E4BF" w14:textId="77777777">
            <w:pPr>
              <w:jc w:val="center"/>
              <w:rPr>
                <w:rFonts w:ascii="Arial" w:hAnsi="Arial" w:cs="Arial"/>
                <w:sz w:val="18"/>
                <w:szCs w:val="18"/>
              </w:rPr>
            </w:pPr>
            <w:r w:rsidRPr="005D2EE7">
              <w:rPr>
                <w:rFonts w:ascii="Arial" w:hAnsi="Arial" w:cs="Arial"/>
                <w:sz w:val="18"/>
                <w:szCs w:val="18"/>
              </w:rPr>
              <w:t xml:space="preserve">800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8193B2C" w14:textId="77777777">
            <w:pPr>
              <w:jc w:val="center"/>
              <w:rPr>
                <w:rFonts w:ascii="Arial" w:hAnsi="Arial" w:cs="Arial"/>
                <w:sz w:val="18"/>
                <w:szCs w:val="18"/>
              </w:rPr>
            </w:pPr>
            <w:r w:rsidRPr="005D2EE7">
              <w:rPr>
                <w:rFonts w:ascii="Arial" w:hAnsi="Arial" w:cs="Arial"/>
                <w:sz w:val="18"/>
                <w:szCs w:val="18"/>
              </w:rPr>
              <w:t xml:space="preserve">1,675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AFFBAE9"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610D5832"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6F78CDF" w14:textId="77777777">
            <w:pPr>
              <w:rPr>
                <w:rFonts w:ascii="Arial" w:hAnsi="Arial" w:cs="Arial"/>
                <w:sz w:val="18"/>
                <w:szCs w:val="18"/>
              </w:rPr>
            </w:pPr>
            <w:r w:rsidRPr="005D2EE7">
              <w:rPr>
                <w:rFonts w:ascii="Arial" w:hAnsi="Arial" w:cs="Arial"/>
                <w:sz w:val="18"/>
                <w:szCs w:val="18"/>
              </w:rPr>
              <w:t>112.5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61E3F11F" w14:textId="77777777">
            <w:pPr>
              <w:rPr>
                <w:rFonts w:ascii="Arial" w:hAnsi="Arial" w:cs="Arial"/>
                <w:sz w:val="18"/>
                <w:szCs w:val="18"/>
              </w:rPr>
            </w:pPr>
            <w:r w:rsidRPr="005D2EE7">
              <w:rPr>
                <w:rFonts w:ascii="Arial" w:hAnsi="Arial" w:cs="Arial"/>
                <w:sz w:val="18"/>
                <w:szCs w:val="18"/>
              </w:rPr>
              <w:t>List of Approved Labels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0A60F40"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DA3CDAF" w14:textId="77777777">
            <w:pPr>
              <w:jc w:val="center"/>
              <w:rPr>
                <w:rFonts w:ascii="Arial" w:hAnsi="Arial" w:cs="Arial"/>
                <w:sz w:val="18"/>
                <w:szCs w:val="18"/>
              </w:rPr>
            </w:pPr>
            <w:r w:rsidRPr="005D2EE7">
              <w:rPr>
                <w:rFonts w:ascii="Arial" w:hAnsi="Arial" w:cs="Arial"/>
                <w:sz w:val="18"/>
                <w:szCs w:val="18"/>
              </w:rPr>
              <w:t xml:space="preserve">83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0169EB3" w14:textId="77777777">
            <w:pPr>
              <w:jc w:val="center"/>
              <w:rPr>
                <w:rFonts w:ascii="Arial" w:hAnsi="Arial" w:cs="Arial"/>
                <w:sz w:val="18"/>
                <w:szCs w:val="18"/>
              </w:rPr>
            </w:pPr>
            <w:r w:rsidRPr="005D2EE7">
              <w:rPr>
                <w:rFonts w:ascii="Arial" w:hAnsi="Arial" w:cs="Arial"/>
                <w:sz w:val="18"/>
                <w:szCs w:val="18"/>
              </w:rPr>
              <w:t xml:space="preserve">48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ED2FC3D" w14:textId="77777777">
            <w:pPr>
              <w:jc w:val="center"/>
              <w:rPr>
                <w:rFonts w:ascii="Arial" w:hAnsi="Arial" w:cs="Arial"/>
                <w:sz w:val="18"/>
                <w:szCs w:val="18"/>
              </w:rPr>
            </w:pPr>
            <w:r w:rsidRPr="005D2EE7">
              <w:rPr>
                <w:rFonts w:ascii="Arial" w:hAnsi="Arial" w:cs="Arial"/>
                <w:sz w:val="18"/>
                <w:szCs w:val="18"/>
              </w:rPr>
              <w:t xml:space="preserve">35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F238761"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335BC20A"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7FD6CB3" w14:textId="77777777">
            <w:pPr>
              <w:rPr>
                <w:rFonts w:ascii="Arial" w:hAnsi="Arial" w:cs="Arial"/>
                <w:sz w:val="18"/>
                <w:szCs w:val="18"/>
              </w:rPr>
            </w:pPr>
            <w:r w:rsidRPr="005D2EE7">
              <w:rPr>
                <w:rFonts w:ascii="Arial" w:hAnsi="Arial" w:cs="Arial"/>
                <w:sz w:val="18"/>
                <w:szCs w:val="18"/>
              </w:rPr>
              <w:t>112.47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03FF681" w14:textId="77777777">
            <w:pPr>
              <w:rPr>
                <w:rFonts w:ascii="Arial" w:hAnsi="Arial" w:cs="Arial"/>
                <w:sz w:val="18"/>
                <w:szCs w:val="18"/>
              </w:rPr>
            </w:pPr>
            <w:r w:rsidRPr="005D2EE7">
              <w:rPr>
                <w:rFonts w:ascii="Arial" w:hAnsi="Arial" w:cs="Arial"/>
                <w:sz w:val="18"/>
                <w:szCs w:val="18"/>
              </w:rPr>
              <w:t>APHIS Form 2017</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0E086C9"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09F9147" w14:textId="77777777">
            <w:pPr>
              <w:jc w:val="center"/>
              <w:rPr>
                <w:rFonts w:ascii="Arial" w:hAnsi="Arial" w:cs="Arial"/>
                <w:sz w:val="18"/>
                <w:szCs w:val="18"/>
              </w:rPr>
            </w:pPr>
            <w:r w:rsidRPr="005D2EE7">
              <w:rPr>
                <w:rFonts w:ascii="Arial" w:hAnsi="Arial" w:cs="Arial"/>
                <w:sz w:val="18"/>
                <w:szCs w:val="18"/>
              </w:rPr>
              <w:t xml:space="preserve">1,860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4953CD6" w14:textId="77777777">
            <w:pPr>
              <w:jc w:val="center"/>
              <w:rPr>
                <w:rFonts w:ascii="Arial" w:hAnsi="Arial" w:cs="Arial"/>
                <w:sz w:val="18"/>
                <w:szCs w:val="18"/>
              </w:rPr>
            </w:pPr>
            <w:r w:rsidRPr="005D2EE7">
              <w:rPr>
                <w:rFonts w:ascii="Arial" w:hAnsi="Arial" w:cs="Arial"/>
                <w:sz w:val="18"/>
                <w:szCs w:val="18"/>
              </w:rPr>
              <w:t xml:space="preserve">1,000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C4BDB19" w14:textId="77777777">
            <w:pPr>
              <w:jc w:val="center"/>
              <w:rPr>
                <w:rFonts w:ascii="Arial" w:hAnsi="Arial" w:cs="Arial"/>
                <w:sz w:val="18"/>
                <w:szCs w:val="18"/>
              </w:rPr>
            </w:pPr>
            <w:r w:rsidRPr="005D2EE7">
              <w:rPr>
                <w:rFonts w:ascii="Arial" w:hAnsi="Arial" w:cs="Arial"/>
                <w:sz w:val="18"/>
                <w:szCs w:val="18"/>
              </w:rPr>
              <w:t xml:space="preserve">860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5212381"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1F7ED2DD"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22FB99F" w14:textId="77777777">
            <w:pPr>
              <w:rPr>
                <w:rFonts w:ascii="Arial" w:hAnsi="Arial" w:cs="Arial"/>
                <w:sz w:val="18"/>
                <w:szCs w:val="18"/>
              </w:rPr>
            </w:pPr>
            <w:r w:rsidRPr="005D2EE7">
              <w:rPr>
                <w:rFonts w:ascii="Arial" w:hAnsi="Arial" w:cs="Arial"/>
                <w:sz w:val="18"/>
                <w:szCs w:val="18"/>
              </w:rPr>
              <w:t>113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5BF0E73F" w14:textId="77777777">
            <w:pPr>
              <w:rPr>
                <w:rFonts w:ascii="Arial" w:hAnsi="Arial" w:cs="Arial"/>
                <w:sz w:val="18"/>
                <w:szCs w:val="18"/>
              </w:rPr>
            </w:pPr>
            <w:r w:rsidRPr="005D2EE7">
              <w:rPr>
                <w:rFonts w:ascii="Arial" w:hAnsi="Arial" w:cs="Arial"/>
                <w:sz w:val="18"/>
                <w:szCs w:val="18"/>
              </w:rPr>
              <w:t>APHIS Form 2018</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3E43799"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535CF03" w14:textId="77777777">
            <w:pPr>
              <w:jc w:val="center"/>
              <w:rPr>
                <w:rFonts w:ascii="Arial" w:hAnsi="Arial" w:cs="Arial"/>
                <w:sz w:val="18"/>
                <w:szCs w:val="18"/>
              </w:rPr>
            </w:pPr>
            <w:r w:rsidRPr="005D2EE7">
              <w:rPr>
                <w:rFonts w:ascii="Arial" w:hAnsi="Arial" w:cs="Arial"/>
                <w:sz w:val="18"/>
                <w:szCs w:val="18"/>
              </w:rPr>
              <w:t xml:space="preserve">352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C53652F" w14:textId="77777777">
            <w:pPr>
              <w:jc w:val="center"/>
              <w:rPr>
                <w:rFonts w:ascii="Arial" w:hAnsi="Arial" w:cs="Arial"/>
                <w:sz w:val="18"/>
                <w:szCs w:val="18"/>
              </w:rPr>
            </w:pPr>
            <w:r w:rsidRPr="005D2EE7">
              <w:rPr>
                <w:rFonts w:ascii="Arial" w:hAnsi="Arial" w:cs="Arial"/>
                <w:sz w:val="18"/>
                <w:szCs w:val="18"/>
              </w:rPr>
              <w:t xml:space="preserve">400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65D6D4D" w14:textId="77777777">
            <w:pPr>
              <w:jc w:val="center"/>
              <w:rPr>
                <w:rFonts w:ascii="Arial" w:hAnsi="Arial" w:cs="Arial"/>
                <w:sz w:val="18"/>
                <w:szCs w:val="18"/>
              </w:rPr>
            </w:pPr>
            <w:r w:rsidRPr="005D2EE7">
              <w:rPr>
                <w:rFonts w:ascii="Arial" w:hAnsi="Arial" w:cs="Arial"/>
                <w:sz w:val="18"/>
                <w:szCs w:val="18"/>
              </w:rPr>
              <w:t>(48)</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93709C7"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588C747C"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F6C2B45" w14:textId="77777777">
            <w:pPr>
              <w:rPr>
                <w:rFonts w:ascii="Arial" w:hAnsi="Arial" w:cs="Arial"/>
                <w:sz w:val="18"/>
                <w:szCs w:val="18"/>
              </w:rPr>
            </w:pPr>
            <w:r w:rsidRPr="005D2EE7">
              <w:rPr>
                <w:rFonts w:ascii="Arial" w:hAnsi="Arial" w:cs="Arial"/>
                <w:sz w:val="18"/>
                <w:szCs w:val="18"/>
              </w:rPr>
              <w:t>113.3</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53C4DEBE" w14:textId="77777777">
            <w:pPr>
              <w:rPr>
                <w:rFonts w:ascii="Arial" w:hAnsi="Arial" w:cs="Arial"/>
                <w:sz w:val="18"/>
                <w:szCs w:val="18"/>
              </w:rPr>
            </w:pPr>
            <w:r w:rsidRPr="005D2EE7">
              <w:rPr>
                <w:rFonts w:ascii="Arial" w:hAnsi="Arial" w:cs="Arial"/>
                <w:sz w:val="18"/>
                <w:szCs w:val="18"/>
              </w:rPr>
              <w:t>APHIS Form 2020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2A1EF59"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967F861" w14:textId="77777777">
            <w:pPr>
              <w:jc w:val="center"/>
              <w:rPr>
                <w:rFonts w:ascii="Arial" w:hAnsi="Arial" w:cs="Arial"/>
                <w:sz w:val="18"/>
                <w:szCs w:val="18"/>
              </w:rPr>
            </w:pPr>
            <w:r w:rsidRPr="005D2EE7">
              <w:rPr>
                <w:rFonts w:ascii="Arial" w:hAnsi="Arial" w:cs="Arial"/>
                <w:sz w:val="18"/>
                <w:szCs w:val="18"/>
              </w:rPr>
              <w:t xml:space="preserve">13,500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4B09348" w14:textId="77777777">
            <w:pPr>
              <w:jc w:val="center"/>
              <w:rPr>
                <w:rFonts w:ascii="Arial" w:hAnsi="Arial" w:cs="Arial"/>
                <w:sz w:val="18"/>
                <w:szCs w:val="18"/>
              </w:rPr>
            </w:pPr>
            <w:r w:rsidRPr="005D2EE7">
              <w:rPr>
                <w:rFonts w:ascii="Arial" w:hAnsi="Arial" w:cs="Arial"/>
                <w:sz w:val="18"/>
                <w:szCs w:val="18"/>
              </w:rPr>
              <w:t xml:space="preserve">11,500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50EF62B" w14:textId="77777777">
            <w:pPr>
              <w:jc w:val="center"/>
              <w:rPr>
                <w:rFonts w:ascii="Arial" w:hAnsi="Arial" w:cs="Arial"/>
                <w:sz w:val="18"/>
                <w:szCs w:val="18"/>
              </w:rPr>
            </w:pPr>
            <w:r w:rsidRPr="005D2EE7">
              <w:rPr>
                <w:rFonts w:ascii="Arial" w:hAnsi="Arial" w:cs="Arial"/>
                <w:sz w:val="18"/>
                <w:szCs w:val="18"/>
              </w:rPr>
              <w:t xml:space="preserve">2,000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A068E43"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75E432B7"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1F5D9237" w14:textId="77777777">
            <w:pPr>
              <w:rPr>
                <w:rFonts w:ascii="Arial" w:hAnsi="Arial" w:cs="Arial"/>
                <w:sz w:val="18"/>
                <w:szCs w:val="18"/>
              </w:rPr>
            </w:pPr>
            <w:r w:rsidRPr="005D2EE7">
              <w:rPr>
                <w:rFonts w:ascii="Arial" w:hAnsi="Arial" w:cs="Arial"/>
                <w:sz w:val="18"/>
                <w:szCs w:val="18"/>
              </w:rPr>
              <w:t>113.3, 113.6</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63BF014C" w14:textId="77777777">
            <w:pPr>
              <w:rPr>
                <w:rFonts w:ascii="Arial" w:hAnsi="Arial" w:cs="Arial"/>
                <w:sz w:val="18"/>
                <w:szCs w:val="18"/>
              </w:rPr>
            </w:pPr>
            <w:r w:rsidRPr="005D2EE7">
              <w:rPr>
                <w:rFonts w:ascii="Arial" w:hAnsi="Arial" w:cs="Arial"/>
                <w:sz w:val="18"/>
                <w:szCs w:val="18"/>
              </w:rPr>
              <w:t>APHIS 2072</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31A1BF17"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52CA036" w14:textId="77777777">
            <w:pPr>
              <w:jc w:val="center"/>
              <w:rPr>
                <w:rFonts w:ascii="Arial" w:hAnsi="Arial" w:cs="Arial"/>
                <w:sz w:val="18"/>
                <w:szCs w:val="18"/>
              </w:rPr>
            </w:pPr>
            <w:r w:rsidRPr="005D2EE7">
              <w:rPr>
                <w:rFonts w:ascii="Arial" w:hAnsi="Arial" w:cs="Arial"/>
                <w:sz w:val="18"/>
                <w:szCs w:val="18"/>
              </w:rPr>
              <w:t xml:space="preserve">32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C0AFCB4" w14:textId="77777777">
            <w:pPr>
              <w:jc w:val="center"/>
              <w:rPr>
                <w:rFonts w:ascii="Arial" w:hAnsi="Arial" w:cs="Arial"/>
                <w:sz w:val="18"/>
                <w:szCs w:val="18"/>
              </w:rPr>
            </w:pPr>
            <w:r w:rsidRPr="005D2EE7">
              <w:rPr>
                <w:rFonts w:ascii="Arial" w:hAnsi="Arial" w:cs="Arial"/>
                <w:sz w:val="18"/>
                <w:szCs w:val="18"/>
              </w:rPr>
              <w:t xml:space="preserve">48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C8D4B01" w14:textId="77777777">
            <w:pPr>
              <w:jc w:val="center"/>
              <w:rPr>
                <w:rFonts w:ascii="Arial" w:hAnsi="Arial" w:cs="Arial"/>
                <w:sz w:val="18"/>
                <w:szCs w:val="18"/>
              </w:rPr>
            </w:pPr>
            <w:r w:rsidRPr="005D2EE7">
              <w:rPr>
                <w:rFonts w:ascii="Arial" w:hAnsi="Arial" w:cs="Arial"/>
                <w:sz w:val="18"/>
                <w:szCs w:val="18"/>
              </w:rPr>
              <w:t>(16)</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3830F07"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0A10DB90"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E7A9901" w14:textId="77777777">
            <w:pPr>
              <w:rPr>
                <w:rFonts w:ascii="Arial" w:hAnsi="Arial" w:cs="Arial"/>
                <w:sz w:val="18"/>
                <w:szCs w:val="18"/>
              </w:rPr>
            </w:pPr>
            <w:r w:rsidRPr="005D2EE7">
              <w:rPr>
                <w:rFonts w:ascii="Arial" w:hAnsi="Arial" w:cs="Arial"/>
                <w:sz w:val="18"/>
                <w:szCs w:val="18"/>
              </w:rPr>
              <w:t>114.18</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504CA563" w14:textId="77777777">
            <w:pPr>
              <w:rPr>
                <w:rFonts w:ascii="Arial" w:hAnsi="Arial" w:cs="Arial"/>
                <w:sz w:val="18"/>
                <w:szCs w:val="18"/>
              </w:rPr>
            </w:pPr>
            <w:r w:rsidRPr="005D2EE7">
              <w:rPr>
                <w:rFonts w:ascii="Arial" w:hAnsi="Arial" w:cs="Arial"/>
                <w:sz w:val="18"/>
                <w:szCs w:val="18"/>
              </w:rPr>
              <w:t>APHIS 2008&amp;2008A</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771A1A1"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D526F16" w14:textId="77777777">
            <w:pPr>
              <w:jc w:val="center"/>
              <w:rPr>
                <w:rFonts w:ascii="Arial" w:hAnsi="Arial" w:cs="Arial"/>
                <w:sz w:val="18"/>
                <w:szCs w:val="18"/>
              </w:rPr>
            </w:pPr>
            <w:r w:rsidRPr="005D2EE7">
              <w:rPr>
                <w:rFonts w:ascii="Arial" w:hAnsi="Arial" w:cs="Arial"/>
                <w:sz w:val="18"/>
                <w:szCs w:val="18"/>
              </w:rPr>
              <w:t xml:space="preserve">16,312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E7C7169" w14:textId="77777777">
            <w:pPr>
              <w:jc w:val="center"/>
              <w:rPr>
                <w:rFonts w:ascii="Arial" w:hAnsi="Arial" w:cs="Arial"/>
                <w:sz w:val="18"/>
                <w:szCs w:val="18"/>
              </w:rPr>
            </w:pPr>
            <w:r w:rsidRPr="005D2EE7">
              <w:rPr>
                <w:rFonts w:ascii="Arial" w:hAnsi="Arial" w:cs="Arial"/>
                <w:sz w:val="18"/>
                <w:szCs w:val="18"/>
              </w:rPr>
              <w:t xml:space="preserve">16,030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717C1DB" w14:textId="77777777">
            <w:pPr>
              <w:jc w:val="center"/>
              <w:rPr>
                <w:rFonts w:ascii="Arial" w:hAnsi="Arial" w:cs="Arial"/>
                <w:sz w:val="18"/>
                <w:szCs w:val="18"/>
              </w:rPr>
            </w:pPr>
            <w:r w:rsidRPr="005D2EE7">
              <w:rPr>
                <w:rFonts w:ascii="Arial" w:hAnsi="Arial" w:cs="Arial"/>
                <w:sz w:val="18"/>
                <w:szCs w:val="18"/>
              </w:rPr>
              <w:t xml:space="preserve">282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574BA03"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09296335"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3C3C7F4" w14:textId="77777777">
            <w:pPr>
              <w:rPr>
                <w:rFonts w:ascii="Arial" w:hAnsi="Arial" w:cs="Arial"/>
                <w:sz w:val="18"/>
                <w:szCs w:val="18"/>
              </w:rPr>
            </w:pPr>
            <w:r w:rsidRPr="005D2EE7">
              <w:rPr>
                <w:rFonts w:ascii="Arial" w:hAnsi="Arial" w:cs="Arial"/>
                <w:sz w:val="18"/>
                <w:szCs w:val="18"/>
              </w:rPr>
              <w:t>113.52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8DAAEA9" w14:textId="77777777">
            <w:pPr>
              <w:rPr>
                <w:rFonts w:ascii="Arial" w:hAnsi="Arial" w:cs="Arial"/>
                <w:sz w:val="18"/>
                <w:szCs w:val="18"/>
              </w:rPr>
            </w:pPr>
            <w:r w:rsidRPr="005D2EE7">
              <w:rPr>
                <w:rFonts w:ascii="Arial" w:hAnsi="Arial" w:cs="Arial"/>
                <w:sz w:val="18"/>
                <w:szCs w:val="18"/>
              </w:rPr>
              <w:t>APHIS 2070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86B6D21"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C463566" w14:textId="77777777">
            <w:pPr>
              <w:jc w:val="center"/>
              <w:rPr>
                <w:rFonts w:ascii="Arial" w:hAnsi="Arial" w:cs="Arial"/>
                <w:sz w:val="18"/>
                <w:szCs w:val="18"/>
              </w:rPr>
            </w:pPr>
            <w:r w:rsidRPr="005D2EE7">
              <w:rPr>
                <w:rFonts w:ascii="Arial" w:hAnsi="Arial" w:cs="Arial"/>
                <w:sz w:val="18"/>
                <w:szCs w:val="18"/>
              </w:rPr>
              <w:t xml:space="preserve">14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C7B5C8D" w14:textId="77777777">
            <w:pPr>
              <w:jc w:val="center"/>
              <w:rPr>
                <w:rFonts w:ascii="Arial" w:hAnsi="Arial" w:cs="Arial"/>
                <w:sz w:val="18"/>
                <w:szCs w:val="18"/>
              </w:rPr>
            </w:pPr>
            <w:r w:rsidRPr="005D2EE7">
              <w:rPr>
                <w:rFonts w:ascii="Arial" w:hAnsi="Arial" w:cs="Arial"/>
                <w:sz w:val="18"/>
                <w:szCs w:val="18"/>
              </w:rPr>
              <w:t xml:space="preserve">120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39A668A" w14:textId="77777777">
            <w:pPr>
              <w:jc w:val="center"/>
              <w:rPr>
                <w:rFonts w:ascii="Arial" w:hAnsi="Arial" w:cs="Arial"/>
                <w:sz w:val="18"/>
                <w:szCs w:val="18"/>
              </w:rPr>
            </w:pPr>
            <w:r w:rsidRPr="005D2EE7">
              <w:rPr>
                <w:rFonts w:ascii="Arial" w:hAnsi="Arial" w:cs="Arial"/>
                <w:sz w:val="18"/>
                <w:szCs w:val="18"/>
              </w:rPr>
              <w:t>(106)</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55C8364"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25E4515C"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13CF8D7F" w14:textId="77777777">
            <w:pPr>
              <w:rPr>
                <w:rFonts w:ascii="Arial" w:hAnsi="Arial" w:cs="Arial"/>
                <w:sz w:val="18"/>
                <w:szCs w:val="18"/>
              </w:rPr>
            </w:pPr>
            <w:r w:rsidRPr="005D2EE7">
              <w:rPr>
                <w:rFonts w:ascii="Arial" w:hAnsi="Arial" w:cs="Arial"/>
                <w:sz w:val="18"/>
                <w:szCs w:val="18"/>
              </w:rPr>
              <w:t>114.14</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C73FF2E" w14:textId="77777777">
            <w:pPr>
              <w:rPr>
                <w:rFonts w:ascii="Arial" w:hAnsi="Arial" w:cs="Arial"/>
                <w:sz w:val="18"/>
                <w:szCs w:val="18"/>
              </w:rPr>
            </w:pPr>
            <w:r w:rsidRPr="005D2EE7">
              <w:rPr>
                <w:rFonts w:ascii="Arial" w:hAnsi="Arial" w:cs="Arial"/>
                <w:sz w:val="18"/>
                <w:szCs w:val="18"/>
              </w:rPr>
              <w:t>Request for Extension</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9114A79"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762D7BB" w14:textId="77777777">
            <w:pPr>
              <w:jc w:val="center"/>
              <w:rPr>
                <w:rFonts w:ascii="Arial" w:hAnsi="Arial" w:cs="Arial"/>
                <w:sz w:val="18"/>
                <w:szCs w:val="18"/>
              </w:rPr>
            </w:pPr>
            <w:r w:rsidRPr="005D2EE7">
              <w:rPr>
                <w:rFonts w:ascii="Arial" w:hAnsi="Arial" w:cs="Arial"/>
                <w:sz w:val="18"/>
                <w:szCs w:val="18"/>
              </w:rPr>
              <w:t xml:space="preserve">33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5FAD742" w14:textId="77777777">
            <w:pPr>
              <w:jc w:val="center"/>
              <w:rPr>
                <w:rFonts w:ascii="Arial" w:hAnsi="Arial" w:cs="Arial"/>
                <w:sz w:val="18"/>
                <w:szCs w:val="18"/>
              </w:rPr>
            </w:pPr>
            <w:r w:rsidRPr="005D2EE7">
              <w:rPr>
                <w:rFonts w:ascii="Arial" w:hAnsi="Arial" w:cs="Arial"/>
                <w:sz w:val="18"/>
                <w:szCs w:val="18"/>
              </w:rPr>
              <w:t xml:space="preserve">500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320CCE7" w14:textId="77777777">
            <w:pPr>
              <w:jc w:val="center"/>
              <w:rPr>
                <w:rFonts w:ascii="Arial" w:hAnsi="Arial" w:cs="Arial"/>
                <w:sz w:val="18"/>
                <w:szCs w:val="18"/>
              </w:rPr>
            </w:pPr>
            <w:r w:rsidRPr="005D2EE7">
              <w:rPr>
                <w:rFonts w:ascii="Arial" w:hAnsi="Arial" w:cs="Arial"/>
                <w:sz w:val="18"/>
                <w:szCs w:val="18"/>
              </w:rPr>
              <w:t>(467)</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C619029"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5D1E5395"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311EF71" w14:textId="77777777">
            <w:pPr>
              <w:rPr>
                <w:rFonts w:ascii="Arial" w:hAnsi="Arial" w:cs="Arial"/>
                <w:sz w:val="18"/>
                <w:szCs w:val="18"/>
              </w:rPr>
            </w:pPr>
            <w:r w:rsidRPr="005D2EE7">
              <w:rPr>
                <w:rFonts w:ascii="Arial" w:hAnsi="Arial" w:cs="Arial"/>
                <w:sz w:val="18"/>
                <w:szCs w:val="18"/>
              </w:rPr>
              <w:t>115.2</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21BA4A9" w14:textId="77777777">
            <w:pPr>
              <w:rPr>
                <w:rFonts w:ascii="Arial" w:hAnsi="Arial" w:cs="Arial"/>
                <w:sz w:val="18"/>
                <w:szCs w:val="18"/>
              </w:rPr>
            </w:pPr>
            <w:r w:rsidRPr="005D2EE7">
              <w:rPr>
                <w:rFonts w:ascii="Arial" w:hAnsi="Arial" w:cs="Arial"/>
                <w:sz w:val="18"/>
                <w:szCs w:val="18"/>
              </w:rPr>
              <w:t>Wholesaler Notifications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9889C5F"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8E3AC19"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14E0EC7" w14:textId="77777777">
            <w:pPr>
              <w:jc w:val="center"/>
              <w:rPr>
                <w:rFonts w:ascii="Arial" w:hAnsi="Arial" w:cs="Arial"/>
                <w:sz w:val="18"/>
                <w:szCs w:val="18"/>
              </w:rPr>
            </w:pPr>
            <w:r w:rsidRPr="005D2EE7">
              <w:rPr>
                <w:rFonts w:ascii="Arial" w:hAnsi="Arial" w:cs="Arial"/>
                <w:sz w:val="18"/>
                <w:szCs w:val="18"/>
              </w:rPr>
              <w:t xml:space="preserve">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A99BE02" w14:textId="77777777">
            <w:pPr>
              <w:jc w:val="center"/>
              <w:rPr>
                <w:rFonts w:ascii="Arial" w:hAnsi="Arial" w:cs="Arial"/>
                <w:sz w:val="18"/>
                <w:szCs w:val="18"/>
              </w:rPr>
            </w:pPr>
            <w:r w:rsidRPr="005D2EE7">
              <w:rPr>
                <w:rFonts w:ascii="Arial" w:hAnsi="Arial" w:cs="Arial"/>
                <w:sz w:val="18"/>
                <w:szCs w:val="18"/>
              </w:rPr>
              <w:t>(4)</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71B4B23"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35C07198"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F795B1C" w14:textId="77777777">
            <w:pPr>
              <w:rPr>
                <w:rFonts w:ascii="Arial" w:hAnsi="Arial" w:cs="Arial"/>
                <w:sz w:val="18"/>
                <w:szCs w:val="18"/>
              </w:rPr>
            </w:pPr>
            <w:r w:rsidRPr="005D2EE7">
              <w:rPr>
                <w:rFonts w:ascii="Arial" w:hAnsi="Arial" w:cs="Arial"/>
                <w:sz w:val="18"/>
                <w:szCs w:val="18"/>
              </w:rPr>
              <w:t xml:space="preserve">115.2(b)(3) </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DA9352A" w14:textId="77777777">
            <w:pPr>
              <w:rPr>
                <w:rFonts w:ascii="Arial" w:hAnsi="Arial" w:cs="Arial"/>
                <w:sz w:val="18"/>
                <w:szCs w:val="18"/>
              </w:rPr>
            </w:pPr>
            <w:r w:rsidRPr="005D2EE7">
              <w:rPr>
                <w:rFonts w:ascii="Arial" w:hAnsi="Arial" w:cs="Arial"/>
                <w:sz w:val="18"/>
                <w:szCs w:val="18"/>
              </w:rPr>
              <w:t>Inventory/Lic/Permittees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7F6946A0"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4C75513"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E177192" w14:textId="77777777">
            <w:pPr>
              <w:jc w:val="center"/>
              <w:rPr>
                <w:rFonts w:ascii="Arial" w:hAnsi="Arial" w:cs="Arial"/>
                <w:sz w:val="18"/>
                <w:szCs w:val="18"/>
              </w:rPr>
            </w:pPr>
            <w:r w:rsidRPr="005D2EE7">
              <w:rPr>
                <w:rFonts w:ascii="Arial" w:hAnsi="Arial" w:cs="Arial"/>
                <w:sz w:val="18"/>
                <w:szCs w:val="18"/>
              </w:rPr>
              <w:t xml:space="preserve">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46CECAC" w14:textId="77777777">
            <w:pPr>
              <w:jc w:val="center"/>
              <w:rPr>
                <w:rFonts w:ascii="Arial" w:hAnsi="Arial" w:cs="Arial"/>
                <w:sz w:val="18"/>
                <w:szCs w:val="18"/>
              </w:rPr>
            </w:pPr>
            <w:r w:rsidRPr="005D2EE7">
              <w:rPr>
                <w:rFonts w:ascii="Arial" w:hAnsi="Arial" w:cs="Arial"/>
                <w:sz w:val="18"/>
                <w:szCs w:val="18"/>
              </w:rPr>
              <w:t>(4)</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1C03510"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7AC72816"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2D29256" w14:textId="77777777">
            <w:pPr>
              <w:rPr>
                <w:rFonts w:ascii="Arial" w:hAnsi="Arial" w:cs="Arial"/>
                <w:sz w:val="18"/>
                <w:szCs w:val="18"/>
              </w:rPr>
            </w:pPr>
            <w:r w:rsidRPr="005D2EE7">
              <w:rPr>
                <w:rFonts w:ascii="Arial" w:hAnsi="Arial" w:cs="Arial"/>
                <w:sz w:val="18"/>
                <w:szCs w:val="18"/>
              </w:rPr>
              <w:t>115.2(b)(4)</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5344B6F9" w14:textId="77777777">
            <w:pPr>
              <w:rPr>
                <w:rFonts w:ascii="Arial" w:hAnsi="Arial" w:cs="Arial"/>
                <w:sz w:val="18"/>
                <w:szCs w:val="18"/>
              </w:rPr>
            </w:pPr>
            <w:r w:rsidRPr="005D2EE7">
              <w:rPr>
                <w:rFonts w:ascii="Arial" w:hAnsi="Arial" w:cs="Arial"/>
                <w:sz w:val="18"/>
                <w:szCs w:val="18"/>
              </w:rPr>
              <w:t>Accounting of Inventory</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E2C3E1C"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2576EDE"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F452B69" w14:textId="77777777">
            <w:pPr>
              <w:jc w:val="center"/>
              <w:rPr>
                <w:rFonts w:ascii="Arial" w:hAnsi="Arial" w:cs="Arial"/>
                <w:sz w:val="18"/>
                <w:szCs w:val="18"/>
              </w:rPr>
            </w:pPr>
            <w:r w:rsidRPr="005D2EE7">
              <w:rPr>
                <w:rFonts w:ascii="Arial" w:hAnsi="Arial" w:cs="Arial"/>
                <w:sz w:val="18"/>
                <w:szCs w:val="18"/>
              </w:rPr>
              <w:t xml:space="preserve">50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B9F6983" w14:textId="77777777">
            <w:pPr>
              <w:jc w:val="center"/>
              <w:rPr>
                <w:rFonts w:ascii="Arial" w:hAnsi="Arial" w:cs="Arial"/>
                <w:sz w:val="18"/>
                <w:szCs w:val="18"/>
              </w:rPr>
            </w:pPr>
            <w:r w:rsidRPr="005D2EE7">
              <w:rPr>
                <w:rFonts w:ascii="Arial" w:hAnsi="Arial" w:cs="Arial"/>
                <w:sz w:val="18"/>
                <w:szCs w:val="18"/>
              </w:rPr>
              <w:t>(49)</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D9F7E90"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3C8AB3A8"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559C2A9" w14:textId="77777777">
            <w:pPr>
              <w:rPr>
                <w:rFonts w:ascii="Arial" w:hAnsi="Arial" w:cs="Arial"/>
                <w:sz w:val="18"/>
                <w:szCs w:val="18"/>
              </w:rPr>
            </w:pPr>
            <w:r w:rsidRPr="005D2EE7">
              <w:rPr>
                <w:rFonts w:ascii="Arial" w:hAnsi="Arial" w:cs="Arial"/>
                <w:sz w:val="18"/>
                <w:szCs w:val="18"/>
              </w:rPr>
              <w:t>116.5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F8DB22D" w14:textId="77777777">
            <w:pPr>
              <w:rPr>
                <w:rFonts w:ascii="Arial" w:hAnsi="Arial" w:cs="Arial"/>
                <w:sz w:val="18"/>
                <w:szCs w:val="18"/>
              </w:rPr>
            </w:pPr>
            <w:r w:rsidRPr="005D2EE7">
              <w:rPr>
                <w:rFonts w:ascii="Arial" w:hAnsi="Arial" w:cs="Arial"/>
                <w:sz w:val="18"/>
                <w:szCs w:val="18"/>
              </w:rPr>
              <w:t>APHIS Form 2048</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9F92797"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6708B06" w14:textId="77777777">
            <w:pPr>
              <w:jc w:val="center"/>
              <w:rPr>
                <w:rFonts w:ascii="Arial" w:hAnsi="Arial" w:cs="Arial"/>
                <w:sz w:val="18"/>
                <w:szCs w:val="18"/>
              </w:rPr>
            </w:pPr>
            <w:r w:rsidRPr="005D2EE7">
              <w:rPr>
                <w:rFonts w:ascii="Arial" w:hAnsi="Arial" w:cs="Arial"/>
                <w:sz w:val="18"/>
                <w:szCs w:val="18"/>
              </w:rPr>
              <w:t xml:space="preserve">900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6921D61" w14:textId="77777777">
            <w:pPr>
              <w:jc w:val="center"/>
              <w:rPr>
                <w:rFonts w:ascii="Arial" w:hAnsi="Arial" w:cs="Arial"/>
                <w:sz w:val="18"/>
                <w:szCs w:val="18"/>
              </w:rPr>
            </w:pPr>
            <w:r w:rsidRPr="005D2EE7">
              <w:rPr>
                <w:rFonts w:ascii="Arial" w:hAnsi="Arial" w:cs="Arial"/>
                <w:sz w:val="18"/>
                <w:szCs w:val="18"/>
              </w:rPr>
              <w:t xml:space="preserve">25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E7DCE8E" w14:textId="77777777">
            <w:pPr>
              <w:jc w:val="center"/>
              <w:rPr>
                <w:rFonts w:ascii="Arial" w:hAnsi="Arial" w:cs="Arial"/>
                <w:sz w:val="18"/>
                <w:szCs w:val="18"/>
              </w:rPr>
            </w:pPr>
            <w:r w:rsidRPr="005D2EE7">
              <w:rPr>
                <w:rFonts w:ascii="Arial" w:hAnsi="Arial" w:cs="Arial"/>
                <w:sz w:val="18"/>
                <w:szCs w:val="18"/>
              </w:rPr>
              <w:t xml:space="preserve">875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B69FFE4"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38391E9F"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01B081A" w14:textId="77777777">
            <w:pPr>
              <w:rPr>
                <w:rFonts w:ascii="Arial" w:hAnsi="Arial" w:cs="Arial"/>
                <w:sz w:val="18"/>
                <w:szCs w:val="18"/>
              </w:rPr>
            </w:pPr>
            <w:r w:rsidRPr="005D2EE7">
              <w:rPr>
                <w:rFonts w:ascii="Arial" w:hAnsi="Arial" w:cs="Arial"/>
                <w:sz w:val="18"/>
                <w:szCs w:val="18"/>
              </w:rPr>
              <w:t>116.5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8129FA5" w14:textId="77777777">
            <w:pPr>
              <w:rPr>
                <w:rFonts w:ascii="Arial" w:hAnsi="Arial" w:cs="Arial"/>
                <w:sz w:val="18"/>
                <w:szCs w:val="18"/>
              </w:rPr>
            </w:pPr>
            <w:r w:rsidRPr="005D2EE7">
              <w:rPr>
                <w:rFonts w:ascii="Arial" w:hAnsi="Arial" w:cs="Arial"/>
                <w:sz w:val="18"/>
                <w:szCs w:val="18"/>
              </w:rPr>
              <w:t>APHIS Form 2049</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D833A63"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E639958" w14:textId="77777777">
            <w:pPr>
              <w:jc w:val="center"/>
              <w:rPr>
                <w:rFonts w:ascii="Arial" w:hAnsi="Arial" w:cs="Arial"/>
                <w:sz w:val="18"/>
                <w:szCs w:val="18"/>
              </w:rPr>
            </w:pPr>
            <w:r w:rsidRPr="005D2EE7">
              <w:rPr>
                <w:rFonts w:ascii="Arial" w:hAnsi="Arial" w:cs="Arial"/>
                <w:sz w:val="18"/>
                <w:szCs w:val="18"/>
              </w:rPr>
              <w:t xml:space="preserve">6,930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DFE9358" w14:textId="77777777">
            <w:pPr>
              <w:jc w:val="center"/>
              <w:rPr>
                <w:rFonts w:ascii="Arial" w:hAnsi="Arial" w:cs="Arial"/>
                <w:sz w:val="18"/>
                <w:szCs w:val="18"/>
              </w:rPr>
            </w:pPr>
            <w:r w:rsidRPr="005D2EE7">
              <w:rPr>
                <w:rFonts w:ascii="Arial" w:hAnsi="Arial" w:cs="Arial"/>
                <w:sz w:val="18"/>
                <w:szCs w:val="18"/>
              </w:rPr>
              <w:t xml:space="preserve">25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A6770A9" w14:textId="77777777">
            <w:pPr>
              <w:jc w:val="center"/>
              <w:rPr>
                <w:rFonts w:ascii="Arial" w:hAnsi="Arial" w:cs="Arial"/>
                <w:sz w:val="18"/>
                <w:szCs w:val="18"/>
              </w:rPr>
            </w:pPr>
            <w:r w:rsidRPr="005D2EE7">
              <w:rPr>
                <w:rFonts w:ascii="Arial" w:hAnsi="Arial" w:cs="Arial"/>
                <w:sz w:val="18"/>
                <w:szCs w:val="18"/>
              </w:rPr>
              <w:t xml:space="preserve">6,905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D59C721"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6988A102"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258873E" w14:textId="77777777">
            <w:pPr>
              <w:rPr>
                <w:rFonts w:ascii="Arial" w:hAnsi="Arial" w:cs="Arial"/>
                <w:sz w:val="18"/>
                <w:szCs w:val="18"/>
              </w:rPr>
            </w:pPr>
            <w:r w:rsidRPr="005D2EE7">
              <w:rPr>
                <w:rFonts w:ascii="Arial" w:hAnsi="Arial" w:cs="Arial"/>
                <w:sz w:val="18"/>
                <w:szCs w:val="18"/>
              </w:rPr>
              <w:t>116.9</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94901F5" w14:textId="77777777">
            <w:pPr>
              <w:rPr>
                <w:rFonts w:ascii="Arial" w:hAnsi="Arial" w:cs="Arial"/>
                <w:sz w:val="18"/>
                <w:szCs w:val="18"/>
              </w:rPr>
            </w:pPr>
            <w:r w:rsidRPr="005D2EE7">
              <w:rPr>
                <w:rFonts w:ascii="Arial" w:hAnsi="Arial" w:cs="Arial"/>
                <w:sz w:val="18"/>
                <w:szCs w:val="18"/>
              </w:rPr>
              <w:t>APHIS Form 2080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0DCE2D5"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4F6D327" w14:textId="77777777">
            <w:pPr>
              <w:jc w:val="center"/>
              <w:rPr>
                <w:rFonts w:ascii="Arial" w:hAnsi="Arial" w:cs="Arial"/>
                <w:sz w:val="18"/>
                <w:szCs w:val="18"/>
              </w:rPr>
            </w:pPr>
            <w:r w:rsidRPr="005D2EE7">
              <w:rPr>
                <w:rFonts w:ascii="Arial" w:hAnsi="Arial" w:cs="Arial"/>
                <w:sz w:val="18"/>
                <w:szCs w:val="18"/>
              </w:rPr>
              <w:t xml:space="preserve">11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C0F6DD7" w14:textId="77777777">
            <w:pPr>
              <w:jc w:val="center"/>
              <w:rPr>
                <w:rFonts w:ascii="Arial" w:hAnsi="Arial" w:cs="Arial"/>
                <w:sz w:val="18"/>
                <w:szCs w:val="18"/>
              </w:rPr>
            </w:pPr>
            <w:r w:rsidRPr="005D2EE7">
              <w:rPr>
                <w:rFonts w:ascii="Arial" w:hAnsi="Arial" w:cs="Arial"/>
                <w:sz w:val="18"/>
                <w:szCs w:val="18"/>
              </w:rPr>
              <w:t xml:space="preserve">3,333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6F58F73" w14:textId="77777777">
            <w:pPr>
              <w:jc w:val="center"/>
              <w:rPr>
                <w:rFonts w:ascii="Arial" w:hAnsi="Arial" w:cs="Arial"/>
                <w:sz w:val="18"/>
                <w:szCs w:val="18"/>
              </w:rPr>
            </w:pPr>
            <w:r w:rsidRPr="005D2EE7">
              <w:rPr>
                <w:rFonts w:ascii="Arial" w:hAnsi="Arial" w:cs="Arial"/>
                <w:sz w:val="18"/>
                <w:szCs w:val="18"/>
              </w:rPr>
              <w:t>(3,322)</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58CE70C"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43BD84EA"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995A7EA" w14:textId="77777777">
            <w:pPr>
              <w:rPr>
                <w:rFonts w:ascii="Arial" w:hAnsi="Arial" w:cs="Arial"/>
                <w:sz w:val="18"/>
                <w:szCs w:val="18"/>
              </w:rPr>
            </w:pPr>
            <w:r w:rsidRPr="005D2EE7">
              <w:rPr>
                <w:rFonts w:ascii="Arial" w:hAnsi="Arial" w:cs="Arial"/>
                <w:sz w:val="18"/>
                <w:szCs w:val="18"/>
              </w:rPr>
              <w:t>116.9</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D577BD9" w14:textId="77777777">
            <w:pPr>
              <w:rPr>
                <w:rFonts w:ascii="Arial" w:hAnsi="Arial" w:cs="Arial"/>
                <w:sz w:val="18"/>
                <w:szCs w:val="18"/>
              </w:rPr>
            </w:pPr>
            <w:r w:rsidRPr="005D2EE7">
              <w:rPr>
                <w:rFonts w:ascii="Arial" w:hAnsi="Arial" w:cs="Arial"/>
                <w:sz w:val="18"/>
                <w:szCs w:val="18"/>
              </w:rPr>
              <w:t>APHIS Form 2080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60370461" w14:textId="77777777">
            <w:pPr>
              <w:rPr>
                <w:rFonts w:ascii="Arial" w:hAnsi="Arial" w:cs="Arial"/>
                <w:sz w:val="18"/>
                <w:szCs w:val="18"/>
              </w:rPr>
            </w:pPr>
            <w:r w:rsidRPr="005D2EE7">
              <w:rPr>
                <w:rFonts w:ascii="Arial" w:hAnsi="Arial" w:cs="Arial"/>
                <w:sz w:val="18"/>
                <w:szCs w:val="18"/>
              </w:rPr>
              <w:t>State</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9AFE131"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B5EFA7B" w14:textId="77777777">
            <w:pPr>
              <w:jc w:val="center"/>
              <w:rPr>
                <w:rFonts w:ascii="Arial" w:hAnsi="Arial" w:cs="Arial"/>
                <w:sz w:val="18"/>
                <w:szCs w:val="18"/>
              </w:rPr>
            </w:pPr>
            <w:r w:rsidRPr="005D2EE7">
              <w:rPr>
                <w:rFonts w:ascii="Arial" w:hAnsi="Arial" w:cs="Arial"/>
                <w:sz w:val="18"/>
                <w:szCs w:val="18"/>
              </w:rPr>
              <w:t xml:space="preserve">3,333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5BC06D0" w14:textId="77777777">
            <w:pPr>
              <w:jc w:val="center"/>
              <w:rPr>
                <w:rFonts w:ascii="Arial" w:hAnsi="Arial" w:cs="Arial"/>
                <w:sz w:val="18"/>
                <w:szCs w:val="18"/>
              </w:rPr>
            </w:pPr>
            <w:r w:rsidRPr="005D2EE7">
              <w:rPr>
                <w:rFonts w:ascii="Arial" w:hAnsi="Arial" w:cs="Arial"/>
                <w:sz w:val="18"/>
                <w:szCs w:val="18"/>
              </w:rPr>
              <w:t>(3,332)</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95E5A5D"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1026B2DB"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8A0EAC2" w14:textId="77777777">
            <w:pPr>
              <w:rPr>
                <w:rFonts w:ascii="Arial" w:hAnsi="Arial" w:cs="Arial"/>
                <w:sz w:val="18"/>
                <w:szCs w:val="18"/>
              </w:rPr>
            </w:pPr>
            <w:r w:rsidRPr="005D2EE7">
              <w:rPr>
                <w:rFonts w:ascii="Arial" w:hAnsi="Arial" w:cs="Arial"/>
                <w:sz w:val="18"/>
                <w:szCs w:val="18"/>
              </w:rPr>
              <w:t>116.9</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05B07F1" w14:textId="77777777">
            <w:pPr>
              <w:rPr>
                <w:rFonts w:ascii="Arial" w:hAnsi="Arial" w:cs="Arial"/>
                <w:sz w:val="18"/>
                <w:szCs w:val="18"/>
              </w:rPr>
            </w:pPr>
            <w:r w:rsidRPr="005D2EE7">
              <w:rPr>
                <w:rFonts w:ascii="Arial" w:hAnsi="Arial" w:cs="Arial"/>
                <w:sz w:val="18"/>
                <w:szCs w:val="18"/>
              </w:rPr>
              <w:t>APHIS Form 2080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F4C7EDF" w14:textId="77777777">
            <w:pPr>
              <w:rPr>
                <w:rFonts w:ascii="Arial" w:hAnsi="Arial" w:cs="Arial"/>
                <w:sz w:val="18"/>
                <w:szCs w:val="18"/>
              </w:rPr>
            </w:pPr>
            <w:r w:rsidRPr="005D2EE7">
              <w:rPr>
                <w:rFonts w:ascii="Arial" w:hAnsi="Arial" w:cs="Arial"/>
                <w:sz w:val="18"/>
                <w:szCs w:val="18"/>
              </w:rPr>
              <w:t>Indiv</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4ABEE15" w14:textId="77777777">
            <w:pPr>
              <w:jc w:val="center"/>
              <w:rPr>
                <w:rFonts w:ascii="Arial" w:hAnsi="Arial" w:cs="Arial"/>
                <w:sz w:val="18"/>
                <w:szCs w:val="18"/>
              </w:rPr>
            </w:pPr>
            <w:r w:rsidRPr="005D2EE7">
              <w:rPr>
                <w:rFonts w:ascii="Arial" w:hAnsi="Arial" w:cs="Arial"/>
                <w:sz w:val="18"/>
                <w:szCs w:val="18"/>
              </w:rPr>
              <w:t xml:space="preserve">332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2D95087" w14:textId="77777777">
            <w:pPr>
              <w:jc w:val="center"/>
              <w:rPr>
                <w:rFonts w:ascii="Arial" w:hAnsi="Arial" w:cs="Arial"/>
                <w:sz w:val="18"/>
                <w:szCs w:val="18"/>
              </w:rPr>
            </w:pPr>
            <w:r w:rsidRPr="005D2EE7">
              <w:rPr>
                <w:rFonts w:ascii="Arial" w:hAnsi="Arial" w:cs="Arial"/>
                <w:sz w:val="18"/>
                <w:szCs w:val="18"/>
              </w:rPr>
              <w:t xml:space="preserve">3,333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5F32E07" w14:textId="77777777">
            <w:pPr>
              <w:jc w:val="center"/>
              <w:rPr>
                <w:rFonts w:ascii="Arial" w:hAnsi="Arial" w:cs="Arial"/>
                <w:sz w:val="18"/>
                <w:szCs w:val="18"/>
              </w:rPr>
            </w:pPr>
            <w:r w:rsidRPr="005D2EE7">
              <w:rPr>
                <w:rFonts w:ascii="Arial" w:hAnsi="Arial" w:cs="Arial"/>
                <w:sz w:val="18"/>
                <w:szCs w:val="18"/>
              </w:rPr>
              <w:t>(3,001)</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D397412"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6FE428D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7A826A5" w14:textId="77777777">
            <w:pPr>
              <w:rPr>
                <w:rFonts w:ascii="Arial" w:hAnsi="Arial" w:cs="Arial"/>
                <w:sz w:val="18"/>
                <w:szCs w:val="18"/>
              </w:rPr>
            </w:pPr>
            <w:r w:rsidRPr="005D2EE7">
              <w:rPr>
                <w:rFonts w:ascii="Arial" w:hAnsi="Arial" w:cs="Arial"/>
                <w:sz w:val="18"/>
                <w:szCs w:val="18"/>
              </w:rPr>
              <w:t>109.2</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8DF4C6D" w14:textId="77777777">
            <w:pPr>
              <w:rPr>
                <w:rFonts w:ascii="Arial" w:hAnsi="Arial" w:cs="Arial"/>
                <w:sz w:val="18"/>
                <w:szCs w:val="18"/>
              </w:rPr>
            </w:pPr>
            <w:r w:rsidRPr="005D2EE7">
              <w:rPr>
                <w:rFonts w:ascii="Arial" w:hAnsi="Arial" w:cs="Arial"/>
                <w:sz w:val="18"/>
                <w:szCs w:val="18"/>
              </w:rPr>
              <w:t>Steriliz./Pasteur. Records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3983CC30"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03D1812" w14:textId="77777777">
            <w:pPr>
              <w:jc w:val="center"/>
              <w:rPr>
                <w:rFonts w:ascii="Arial" w:hAnsi="Arial" w:cs="Arial"/>
                <w:sz w:val="18"/>
                <w:szCs w:val="18"/>
              </w:rPr>
            </w:pPr>
            <w:r w:rsidRPr="005D2EE7">
              <w:rPr>
                <w:rFonts w:ascii="Arial" w:hAnsi="Arial" w:cs="Arial"/>
                <w:sz w:val="18"/>
                <w:szCs w:val="18"/>
              </w:rPr>
              <w:t xml:space="preserve">61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2D11AB9" w14:textId="77777777">
            <w:pPr>
              <w:jc w:val="center"/>
              <w:rPr>
                <w:rFonts w:ascii="Arial" w:hAnsi="Arial" w:cs="Arial"/>
                <w:sz w:val="18"/>
                <w:szCs w:val="18"/>
              </w:rPr>
            </w:pPr>
            <w:r w:rsidRPr="005D2EE7">
              <w:rPr>
                <w:rFonts w:ascii="Arial" w:hAnsi="Arial" w:cs="Arial"/>
                <w:sz w:val="18"/>
                <w:szCs w:val="18"/>
              </w:rPr>
              <w:t xml:space="preserve">100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AFAD6D0" w14:textId="77777777">
            <w:pPr>
              <w:jc w:val="center"/>
              <w:rPr>
                <w:rFonts w:ascii="Arial" w:hAnsi="Arial" w:cs="Arial"/>
                <w:sz w:val="18"/>
                <w:szCs w:val="18"/>
              </w:rPr>
            </w:pPr>
            <w:r w:rsidRPr="005D2EE7">
              <w:rPr>
                <w:rFonts w:ascii="Arial" w:hAnsi="Arial" w:cs="Arial"/>
                <w:sz w:val="18"/>
                <w:szCs w:val="18"/>
              </w:rPr>
              <w:t>(39)</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40FDED4"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441E21C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1EFF479A" w14:textId="77777777">
            <w:pPr>
              <w:rPr>
                <w:rFonts w:ascii="Arial" w:hAnsi="Arial" w:cs="Arial"/>
                <w:sz w:val="18"/>
                <w:szCs w:val="18"/>
              </w:rPr>
            </w:pPr>
            <w:r w:rsidRPr="005D2EE7">
              <w:rPr>
                <w:rFonts w:ascii="Arial" w:hAnsi="Arial" w:cs="Arial"/>
                <w:sz w:val="18"/>
                <w:szCs w:val="18"/>
              </w:rPr>
              <w:t>113.5, 113.6</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26A98B7" w14:textId="77777777">
            <w:pPr>
              <w:rPr>
                <w:rFonts w:ascii="Arial" w:hAnsi="Arial" w:cs="Arial"/>
                <w:sz w:val="18"/>
                <w:szCs w:val="18"/>
              </w:rPr>
            </w:pPr>
            <w:r w:rsidRPr="005D2EE7">
              <w:rPr>
                <w:rFonts w:ascii="Arial" w:hAnsi="Arial" w:cs="Arial"/>
                <w:sz w:val="18"/>
                <w:szCs w:val="18"/>
              </w:rPr>
              <w:t>Records of All Tests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E71800C"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349FE7D" w14:textId="77777777">
            <w:pPr>
              <w:jc w:val="center"/>
              <w:rPr>
                <w:rFonts w:ascii="Arial" w:hAnsi="Arial" w:cs="Arial"/>
                <w:sz w:val="18"/>
                <w:szCs w:val="18"/>
              </w:rPr>
            </w:pPr>
            <w:r w:rsidRPr="005D2EE7">
              <w:rPr>
                <w:rFonts w:ascii="Arial" w:hAnsi="Arial" w:cs="Arial"/>
                <w:sz w:val="18"/>
                <w:szCs w:val="18"/>
              </w:rPr>
              <w:t xml:space="preserve">88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8B4C8BE" w14:textId="77777777">
            <w:pPr>
              <w:jc w:val="center"/>
              <w:rPr>
                <w:rFonts w:ascii="Arial" w:hAnsi="Arial" w:cs="Arial"/>
                <w:sz w:val="18"/>
                <w:szCs w:val="18"/>
              </w:rPr>
            </w:pPr>
            <w:r w:rsidRPr="005D2EE7">
              <w:rPr>
                <w:rFonts w:ascii="Arial" w:hAnsi="Arial" w:cs="Arial"/>
                <w:sz w:val="18"/>
                <w:szCs w:val="18"/>
              </w:rPr>
              <w:t xml:space="preserve">100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A85F7DE" w14:textId="77777777">
            <w:pPr>
              <w:jc w:val="center"/>
              <w:rPr>
                <w:rFonts w:ascii="Arial" w:hAnsi="Arial" w:cs="Arial"/>
                <w:sz w:val="18"/>
                <w:szCs w:val="18"/>
              </w:rPr>
            </w:pPr>
            <w:r w:rsidRPr="005D2EE7">
              <w:rPr>
                <w:rFonts w:ascii="Arial" w:hAnsi="Arial" w:cs="Arial"/>
                <w:sz w:val="18"/>
                <w:szCs w:val="18"/>
              </w:rPr>
              <w:t>(12)</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082C721"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28E90E3D"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30241CE" w14:textId="77777777">
            <w:pPr>
              <w:rPr>
                <w:rFonts w:ascii="Arial" w:hAnsi="Arial" w:cs="Arial"/>
                <w:sz w:val="18"/>
                <w:szCs w:val="18"/>
              </w:rPr>
            </w:pPr>
            <w:r w:rsidRPr="005D2EE7">
              <w:rPr>
                <w:rFonts w:ascii="Arial" w:hAnsi="Arial" w:cs="Arial"/>
                <w:sz w:val="18"/>
                <w:szCs w:val="18"/>
              </w:rPr>
              <w:t>113.45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8A3615E" w14:textId="77777777">
            <w:pPr>
              <w:rPr>
                <w:rFonts w:ascii="Arial" w:hAnsi="Arial" w:cs="Arial"/>
                <w:sz w:val="18"/>
                <w:szCs w:val="18"/>
              </w:rPr>
            </w:pPr>
            <w:r w:rsidRPr="005D2EE7">
              <w:rPr>
                <w:rFonts w:ascii="Arial" w:hAnsi="Arial" w:cs="Arial"/>
                <w:sz w:val="18"/>
                <w:szCs w:val="18"/>
              </w:rPr>
              <w:t>Records/Serum/Pasteur.</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EDB0B58"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44F11A6" w14:textId="77777777">
            <w:pPr>
              <w:jc w:val="center"/>
              <w:rPr>
                <w:rFonts w:ascii="Arial" w:hAnsi="Arial" w:cs="Arial"/>
                <w:sz w:val="18"/>
                <w:szCs w:val="18"/>
              </w:rPr>
            </w:pPr>
            <w:r w:rsidRPr="005D2EE7">
              <w:rPr>
                <w:rFonts w:ascii="Arial" w:hAnsi="Arial" w:cs="Arial"/>
                <w:sz w:val="18"/>
                <w:szCs w:val="18"/>
              </w:rPr>
              <w:t xml:space="preserve">1,172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864EF9D" w14:textId="77777777">
            <w:pPr>
              <w:jc w:val="center"/>
              <w:rPr>
                <w:rFonts w:ascii="Arial" w:hAnsi="Arial" w:cs="Arial"/>
                <w:sz w:val="18"/>
                <w:szCs w:val="18"/>
              </w:rPr>
            </w:pPr>
            <w:r w:rsidRPr="005D2EE7">
              <w:rPr>
                <w:rFonts w:ascii="Arial" w:hAnsi="Arial" w:cs="Arial"/>
                <w:sz w:val="18"/>
                <w:szCs w:val="18"/>
              </w:rPr>
              <w:t xml:space="preserve">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3491980" w14:textId="77777777">
            <w:pPr>
              <w:jc w:val="center"/>
              <w:rPr>
                <w:rFonts w:ascii="Arial" w:hAnsi="Arial" w:cs="Arial"/>
                <w:sz w:val="18"/>
                <w:szCs w:val="18"/>
              </w:rPr>
            </w:pPr>
            <w:r w:rsidRPr="005D2EE7">
              <w:rPr>
                <w:rFonts w:ascii="Arial" w:hAnsi="Arial" w:cs="Arial"/>
                <w:sz w:val="18"/>
                <w:szCs w:val="18"/>
              </w:rPr>
              <w:t xml:space="preserve">1,152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6641791"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69DF89A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FD3F79B" w14:textId="77777777">
            <w:pPr>
              <w:rPr>
                <w:rFonts w:ascii="Arial" w:hAnsi="Arial" w:cs="Arial"/>
                <w:sz w:val="18"/>
                <w:szCs w:val="18"/>
              </w:rPr>
            </w:pPr>
            <w:r w:rsidRPr="005D2EE7">
              <w:rPr>
                <w:rFonts w:ascii="Arial" w:hAnsi="Arial" w:cs="Arial"/>
                <w:sz w:val="18"/>
                <w:szCs w:val="18"/>
              </w:rPr>
              <w:t>114.5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51CEA6B0" w14:textId="77777777">
            <w:pPr>
              <w:rPr>
                <w:rFonts w:ascii="Arial" w:hAnsi="Arial" w:cs="Arial"/>
                <w:sz w:val="18"/>
                <w:szCs w:val="18"/>
              </w:rPr>
            </w:pPr>
            <w:r w:rsidRPr="005D2EE7">
              <w:rPr>
                <w:rFonts w:ascii="Arial" w:hAnsi="Arial" w:cs="Arial"/>
                <w:sz w:val="18"/>
                <w:szCs w:val="18"/>
              </w:rPr>
              <w:t>Records/Microorg. Used</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7FDD7C4F"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EF6E2C0" w14:textId="77777777">
            <w:pPr>
              <w:jc w:val="center"/>
              <w:rPr>
                <w:rFonts w:ascii="Arial" w:hAnsi="Arial" w:cs="Arial"/>
                <w:sz w:val="18"/>
                <w:szCs w:val="18"/>
              </w:rPr>
            </w:pPr>
            <w:r w:rsidRPr="005D2EE7">
              <w:rPr>
                <w:rFonts w:ascii="Arial" w:hAnsi="Arial" w:cs="Arial"/>
                <w:sz w:val="18"/>
                <w:szCs w:val="18"/>
              </w:rPr>
              <w:t xml:space="preserve">95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065C9ED" w14:textId="77777777">
            <w:pPr>
              <w:jc w:val="center"/>
              <w:rPr>
                <w:rFonts w:ascii="Arial" w:hAnsi="Arial" w:cs="Arial"/>
                <w:sz w:val="18"/>
                <w:szCs w:val="18"/>
              </w:rPr>
            </w:pPr>
            <w:r w:rsidRPr="005D2EE7">
              <w:rPr>
                <w:rFonts w:ascii="Arial" w:hAnsi="Arial" w:cs="Arial"/>
                <w:sz w:val="18"/>
                <w:szCs w:val="18"/>
              </w:rPr>
              <w:t xml:space="preserve">100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C004B69" w14:textId="77777777">
            <w:pPr>
              <w:jc w:val="center"/>
              <w:rPr>
                <w:rFonts w:ascii="Arial" w:hAnsi="Arial" w:cs="Arial"/>
                <w:sz w:val="18"/>
                <w:szCs w:val="18"/>
              </w:rPr>
            </w:pPr>
            <w:r w:rsidRPr="005D2EE7">
              <w:rPr>
                <w:rFonts w:ascii="Arial" w:hAnsi="Arial" w:cs="Arial"/>
                <w:sz w:val="18"/>
                <w:szCs w:val="18"/>
              </w:rPr>
              <w:t>(5)</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259CB78"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5CCA36FF"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FB04A9F" w14:textId="77777777">
            <w:pPr>
              <w:rPr>
                <w:rFonts w:ascii="Arial" w:hAnsi="Arial" w:cs="Arial"/>
                <w:sz w:val="18"/>
                <w:szCs w:val="18"/>
              </w:rPr>
            </w:pPr>
            <w:r w:rsidRPr="005D2EE7">
              <w:rPr>
                <w:rFonts w:ascii="Arial" w:hAnsi="Arial" w:cs="Arial"/>
                <w:sz w:val="18"/>
                <w:szCs w:val="18"/>
              </w:rPr>
              <w:t>114.6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692B7AC5" w14:textId="77777777">
            <w:pPr>
              <w:rPr>
                <w:rFonts w:ascii="Arial" w:hAnsi="Arial" w:cs="Arial"/>
                <w:sz w:val="18"/>
                <w:szCs w:val="18"/>
              </w:rPr>
            </w:pPr>
            <w:r w:rsidRPr="005D2EE7">
              <w:rPr>
                <w:rFonts w:ascii="Arial" w:hAnsi="Arial" w:cs="Arial"/>
                <w:sz w:val="18"/>
                <w:szCs w:val="18"/>
              </w:rPr>
              <w:t>Records of Production</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411BC92"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77C012E" w14:textId="77777777">
            <w:pPr>
              <w:jc w:val="center"/>
              <w:rPr>
                <w:rFonts w:ascii="Arial" w:hAnsi="Arial" w:cs="Arial"/>
                <w:sz w:val="18"/>
                <w:szCs w:val="18"/>
              </w:rPr>
            </w:pPr>
            <w:r w:rsidRPr="005D2EE7">
              <w:rPr>
                <w:rFonts w:ascii="Arial" w:hAnsi="Arial" w:cs="Arial"/>
                <w:sz w:val="18"/>
                <w:szCs w:val="18"/>
              </w:rPr>
              <w:t xml:space="preserve">88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B46413D" w14:textId="77777777">
            <w:pPr>
              <w:jc w:val="center"/>
              <w:rPr>
                <w:rFonts w:ascii="Arial" w:hAnsi="Arial" w:cs="Arial"/>
                <w:sz w:val="18"/>
                <w:szCs w:val="18"/>
              </w:rPr>
            </w:pPr>
            <w:r w:rsidRPr="005D2EE7">
              <w:rPr>
                <w:rFonts w:ascii="Arial" w:hAnsi="Arial" w:cs="Arial"/>
                <w:sz w:val="18"/>
                <w:szCs w:val="18"/>
              </w:rPr>
              <w:t xml:space="preserve">100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141A0FF" w14:textId="77777777">
            <w:pPr>
              <w:jc w:val="center"/>
              <w:rPr>
                <w:rFonts w:ascii="Arial" w:hAnsi="Arial" w:cs="Arial"/>
                <w:sz w:val="18"/>
                <w:szCs w:val="18"/>
              </w:rPr>
            </w:pPr>
            <w:r w:rsidRPr="005D2EE7">
              <w:rPr>
                <w:rFonts w:ascii="Arial" w:hAnsi="Arial" w:cs="Arial"/>
                <w:sz w:val="18"/>
                <w:szCs w:val="18"/>
              </w:rPr>
              <w:t>(12)</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DCA1666"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6EF2D409"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4ACC82D" w14:textId="77777777">
            <w:pPr>
              <w:rPr>
                <w:rFonts w:ascii="Arial" w:hAnsi="Arial" w:cs="Arial"/>
                <w:sz w:val="18"/>
                <w:szCs w:val="18"/>
              </w:rPr>
            </w:pPr>
            <w:r w:rsidRPr="005D2EE7">
              <w:rPr>
                <w:rFonts w:ascii="Arial" w:hAnsi="Arial" w:cs="Arial"/>
                <w:sz w:val="18"/>
                <w:szCs w:val="18"/>
              </w:rPr>
              <w:t>112.2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38843A3" w14:textId="77777777">
            <w:pPr>
              <w:rPr>
                <w:rFonts w:ascii="Arial" w:hAnsi="Arial" w:cs="Arial"/>
                <w:sz w:val="18"/>
                <w:szCs w:val="18"/>
              </w:rPr>
            </w:pPr>
            <w:r w:rsidRPr="005D2EE7">
              <w:rPr>
                <w:rFonts w:ascii="Arial" w:hAnsi="Arial" w:cs="Arial"/>
                <w:sz w:val="18"/>
                <w:szCs w:val="18"/>
              </w:rPr>
              <w:t>Label Records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D977D2A"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7A96988" w14:textId="77777777">
            <w:pPr>
              <w:jc w:val="center"/>
              <w:rPr>
                <w:rFonts w:ascii="Arial" w:hAnsi="Arial" w:cs="Arial"/>
                <w:sz w:val="18"/>
                <w:szCs w:val="18"/>
              </w:rPr>
            </w:pPr>
            <w:r w:rsidRPr="005D2EE7">
              <w:rPr>
                <w:rFonts w:ascii="Arial" w:hAnsi="Arial" w:cs="Arial"/>
                <w:sz w:val="18"/>
                <w:szCs w:val="18"/>
              </w:rPr>
              <w:t xml:space="preserve">88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94265DE" w14:textId="77777777">
            <w:pPr>
              <w:jc w:val="center"/>
              <w:rPr>
                <w:rFonts w:ascii="Arial" w:hAnsi="Arial" w:cs="Arial"/>
                <w:sz w:val="18"/>
                <w:szCs w:val="18"/>
              </w:rPr>
            </w:pPr>
            <w:r w:rsidRPr="005D2EE7">
              <w:rPr>
                <w:rFonts w:ascii="Arial" w:hAnsi="Arial" w:cs="Arial"/>
                <w:sz w:val="18"/>
                <w:szCs w:val="18"/>
              </w:rPr>
              <w:t xml:space="preserve">100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34AB8DC" w14:textId="77777777">
            <w:pPr>
              <w:jc w:val="center"/>
              <w:rPr>
                <w:rFonts w:ascii="Arial" w:hAnsi="Arial" w:cs="Arial"/>
                <w:sz w:val="18"/>
                <w:szCs w:val="18"/>
              </w:rPr>
            </w:pPr>
            <w:r w:rsidRPr="005D2EE7">
              <w:rPr>
                <w:rFonts w:ascii="Arial" w:hAnsi="Arial" w:cs="Arial"/>
                <w:sz w:val="18"/>
                <w:szCs w:val="18"/>
              </w:rPr>
              <w:t>(12)</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4A2A724"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54C144D2"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74BD53CE" w14:textId="77777777">
            <w:pPr>
              <w:rPr>
                <w:rFonts w:ascii="Arial" w:hAnsi="Arial" w:cs="Arial"/>
                <w:sz w:val="18"/>
                <w:szCs w:val="18"/>
              </w:rPr>
            </w:pPr>
            <w:r w:rsidRPr="005D2EE7">
              <w:rPr>
                <w:rFonts w:ascii="Arial" w:hAnsi="Arial" w:cs="Arial"/>
                <w:sz w:val="18"/>
                <w:szCs w:val="18"/>
              </w:rPr>
              <w:t>116.6, 117</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E44ED77" w14:textId="77777777">
            <w:pPr>
              <w:rPr>
                <w:rFonts w:ascii="Arial" w:hAnsi="Arial" w:cs="Arial"/>
                <w:sz w:val="18"/>
                <w:szCs w:val="18"/>
              </w:rPr>
            </w:pPr>
            <w:r w:rsidRPr="005D2EE7">
              <w:rPr>
                <w:rFonts w:ascii="Arial" w:hAnsi="Arial" w:cs="Arial"/>
                <w:sz w:val="18"/>
                <w:szCs w:val="18"/>
              </w:rPr>
              <w:t>Animal Records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5556A9CC"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single" w:color="auto" w:sz="4" w:space="0"/>
              <w:right w:val="nil"/>
            </w:tcBorders>
            <w:shd w:val="clear" w:color="auto" w:fill="auto"/>
            <w:noWrap/>
            <w:vAlign w:val="center"/>
            <w:hideMark/>
          </w:tcPr>
          <w:p w:rsidRPr="005D2EE7" w:rsidR="005D2EE7" w:rsidP="005D2EE7" w:rsidRDefault="005D2EE7" w14:paraId="78BCE075" w14:textId="77777777">
            <w:pPr>
              <w:jc w:val="center"/>
              <w:rPr>
                <w:rFonts w:ascii="Arial" w:hAnsi="Arial" w:cs="Arial"/>
                <w:sz w:val="18"/>
                <w:szCs w:val="18"/>
              </w:rPr>
            </w:pPr>
            <w:r w:rsidRPr="005D2EE7">
              <w:rPr>
                <w:rFonts w:ascii="Arial" w:hAnsi="Arial" w:cs="Arial"/>
                <w:sz w:val="18"/>
                <w:szCs w:val="18"/>
              </w:rPr>
              <w:t xml:space="preserve">88 </w:t>
            </w:r>
          </w:p>
        </w:tc>
        <w:tc>
          <w:tcPr>
            <w:tcW w:w="1380" w:type="dxa"/>
            <w:tcBorders>
              <w:top w:val="nil"/>
              <w:left w:val="nil"/>
              <w:bottom w:val="single" w:color="auto" w:sz="4" w:space="0"/>
              <w:right w:val="nil"/>
            </w:tcBorders>
            <w:shd w:val="clear" w:color="auto" w:fill="auto"/>
            <w:noWrap/>
            <w:vAlign w:val="center"/>
            <w:hideMark/>
          </w:tcPr>
          <w:p w:rsidRPr="005D2EE7" w:rsidR="005D2EE7" w:rsidP="005D2EE7" w:rsidRDefault="005D2EE7" w14:paraId="00FBD12F" w14:textId="77777777">
            <w:pPr>
              <w:jc w:val="center"/>
              <w:rPr>
                <w:rFonts w:ascii="Arial" w:hAnsi="Arial" w:cs="Arial"/>
                <w:sz w:val="18"/>
                <w:szCs w:val="18"/>
              </w:rPr>
            </w:pPr>
            <w:r w:rsidRPr="005D2EE7">
              <w:rPr>
                <w:rFonts w:ascii="Arial" w:hAnsi="Arial" w:cs="Arial"/>
                <w:sz w:val="18"/>
                <w:szCs w:val="18"/>
              </w:rPr>
              <w:t xml:space="preserve">100 </w:t>
            </w:r>
          </w:p>
        </w:tc>
        <w:tc>
          <w:tcPr>
            <w:tcW w:w="1380" w:type="dxa"/>
            <w:tcBorders>
              <w:top w:val="nil"/>
              <w:left w:val="nil"/>
              <w:bottom w:val="single" w:color="auto" w:sz="4" w:space="0"/>
              <w:right w:val="nil"/>
            </w:tcBorders>
            <w:shd w:val="clear" w:color="auto" w:fill="auto"/>
            <w:noWrap/>
            <w:vAlign w:val="center"/>
            <w:hideMark/>
          </w:tcPr>
          <w:p w:rsidRPr="005D2EE7" w:rsidR="005D2EE7" w:rsidP="005D2EE7" w:rsidRDefault="005D2EE7" w14:paraId="5794A21C" w14:textId="77777777">
            <w:pPr>
              <w:jc w:val="center"/>
              <w:rPr>
                <w:rFonts w:ascii="Arial" w:hAnsi="Arial" w:cs="Arial"/>
                <w:sz w:val="18"/>
                <w:szCs w:val="18"/>
              </w:rPr>
            </w:pPr>
            <w:r w:rsidRPr="005D2EE7">
              <w:rPr>
                <w:rFonts w:ascii="Arial" w:hAnsi="Arial" w:cs="Arial"/>
                <w:sz w:val="18"/>
                <w:szCs w:val="18"/>
              </w:rPr>
              <w:t>(12)</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C1BE230"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526C06F6" w14:textId="77777777">
        <w:trPr>
          <w:trHeight w:val="300"/>
          <w:jc w:val="center"/>
        </w:trPr>
        <w:tc>
          <w:tcPr>
            <w:tcW w:w="1107" w:type="dxa"/>
            <w:tcBorders>
              <w:top w:val="nil"/>
              <w:left w:val="nil"/>
              <w:bottom w:val="nil"/>
              <w:right w:val="nil"/>
            </w:tcBorders>
            <w:shd w:val="clear" w:color="auto" w:fill="auto"/>
            <w:noWrap/>
            <w:vAlign w:val="bottom"/>
            <w:hideMark/>
          </w:tcPr>
          <w:p w:rsidRPr="005D2EE7" w:rsidR="005D2EE7" w:rsidP="005D2EE7" w:rsidRDefault="005D2EE7" w14:paraId="157A1006" w14:textId="77777777">
            <w:pPr>
              <w:rPr>
                <w:rFonts w:ascii="Arial" w:hAnsi="Arial" w:cs="Arial"/>
                <w:sz w:val="18"/>
                <w:szCs w:val="18"/>
              </w:rPr>
            </w:pPr>
          </w:p>
        </w:tc>
        <w:tc>
          <w:tcPr>
            <w:tcW w:w="2765" w:type="dxa"/>
            <w:tcBorders>
              <w:top w:val="nil"/>
              <w:left w:val="nil"/>
              <w:bottom w:val="nil"/>
              <w:right w:val="nil"/>
            </w:tcBorders>
            <w:shd w:val="clear" w:color="auto" w:fill="auto"/>
            <w:noWrap/>
            <w:vAlign w:val="bottom"/>
            <w:hideMark/>
          </w:tcPr>
          <w:p w:rsidRPr="005D2EE7" w:rsidR="005D2EE7" w:rsidP="005D2EE7" w:rsidRDefault="005D2EE7" w14:paraId="06C56098" w14:textId="77777777">
            <w:pPr>
              <w:rPr>
                <w:sz w:val="20"/>
                <w:szCs w:val="20"/>
              </w:rPr>
            </w:pPr>
          </w:p>
        </w:tc>
        <w:tc>
          <w:tcPr>
            <w:tcW w:w="1467" w:type="dxa"/>
            <w:tcBorders>
              <w:top w:val="nil"/>
              <w:left w:val="nil"/>
              <w:bottom w:val="nil"/>
              <w:right w:val="nil"/>
            </w:tcBorders>
            <w:shd w:val="clear" w:color="auto" w:fill="auto"/>
            <w:noWrap/>
            <w:vAlign w:val="bottom"/>
            <w:hideMark/>
          </w:tcPr>
          <w:p w:rsidRPr="005D2EE7" w:rsidR="005D2EE7" w:rsidP="005D2EE7" w:rsidRDefault="005D2EE7" w14:paraId="5D17535A" w14:textId="77777777">
            <w:pPr>
              <w:rPr>
                <w:sz w:val="20"/>
                <w:szCs w:val="20"/>
              </w:rPr>
            </w:pP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2E57D02" w14:textId="77777777">
            <w:pPr>
              <w:jc w:val="center"/>
              <w:rPr>
                <w:rFonts w:ascii="Arial" w:hAnsi="Arial" w:cs="Arial"/>
                <w:sz w:val="18"/>
                <w:szCs w:val="18"/>
              </w:rPr>
            </w:pPr>
            <w:r w:rsidRPr="005D2EE7">
              <w:rPr>
                <w:rFonts w:ascii="Arial" w:hAnsi="Arial" w:cs="Arial"/>
                <w:sz w:val="18"/>
                <w:szCs w:val="18"/>
              </w:rPr>
              <w:t xml:space="preserve">435,797,433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8F9A359" w14:textId="77777777">
            <w:pPr>
              <w:jc w:val="center"/>
              <w:rPr>
                <w:rFonts w:ascii="Arial" w:hAnsi="Arial" w:cs="Arial"/>
                <w:sz w:val="18"/>
                <w:szCs w:val="18"/>
              </w:rPr>
            </w:pPr>
            <w:r w:rsidRPr="005D2EE7">
              <w:rPr>
                <w:rFonts w:ascii="Arial" w:hAnsi="Arial" w:cs="Arial"/>
                <w:sz w:val="18"/>
                <w:szCs w:val="18"/>
              </w:rPr>
              <w:t xml:space="preserve">298,820,702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BFC5D35" w14:textId="77777777">
            <w:pPr>
              <w:jc w:val="center"/>
              <w:rPr>
                <w:rFonts w:ascii="Arial" w:hAnsi="Arial" w:cs="Arial"/>
                <w:sz w:val="18"/>
                <w:szCs w:val="18"/>
              </w:rPr>
            </w:pPr>
            <w:r w:rsidRPr="005D2EE7">
              <w:rPr>
                <w:rFonts w:ascii="Arial" w:hAnsi="Arial" w:cs="Arial"/>
                <w:sz w:val="18"/>
                <w:szCs w:val="18"/>
              </w:rPr>
              <w:t xml:space="preserve">136,976,731 </w:t>
            </w: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5B9085DB" w14:textId="77777777">
            <w:pPr>
              <w:jc w:val="center"/>
              <w:rPr>
                <w:rFonts w:ascii="Arial" w:hAnsi="Arial" w:cs="Arial"/>
                <w:sz w:val="18"/>
                <w:szCs w:val="18"/>
              </w:rPr>
            </w:pPr>
          </w:p>
        </w:tc>
      </w:tr>
      <w:tr w:rsidRPr="005D2EE7" w:rsidR="005D2EE7" w:rsidTr="005D2EE7" w14:paraId="658B2211"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1553F47F" w14:textId="77777777">
            <w:pPr>
              <w:rPr>
                <w:sz w:val="20"/>
                <w:szCs w:val="20"/>
              </w:rPr>
            </w:pPr>
          </w:p>
        </w:tc>
        <w:tc>
          <w:tcPr>
            <w:tcW w:w="2765" w:type="dxa"/>
            <w:tcBorders>
              <w:top w:val="nil"/>
              <w:left w:val="nil"/>
              <w:bottom w:val="nil"/>
              <w:right w:val="nil"/>
            </w:tcBorders>
            <w:shd w:val="clear" w:color="auto" w:fill="auto"/>
            <w:noWrap/>
            <w:vAlign w:val="bottom"/>
            <w:hideMark/>
          </w:tcPr>
          <w:p w:rsidRPr="005D2EE7" w:rsidR="005D2EE7" w:rsidP="005D2EE7" w:rsidRDefault="005D2EE7" w14:paraId="50D7598B" w14:textId="77777777">
            <w:pPr>
              <w:rPr>
                <w:sz w:val="20"/>
                <w:szCs w:val="20"/>
              </w:rPr>
            </w:pPr>
          </w:p>
        </w:tc>
        <w:tc>
          <w:tcPr>
            <w:tcW w:w="1467" w:type="dxa"/>
            <w:tcBorders>
              <w:top w:val="nil"/>
              <w:left w:val="nil"/>
              <w:bottom w:val="nil"/>
              <w:right w:val="nil"/>
            </w:tcBorders>
            <w:shd w:val="clear" w:color="auto" w:fill="auto"/>
            <w:noWrap/>
            <w:vAlign w:val="bottom"/>
            <w:hideMark/>
          </w:tcPr>
          <w:p w:rsidRPr="005D2EE7" w:rsidR="005D2EE7" w:rsidP="005D2EE7" w:rsidRDefault="005D2EE7" w14:paraId="7093062E" w14:textId="77777777">
            <w:pPr>
              <w:rPr>
                <w:sz w:val="20"/>
                <w:szCs w:val="20"/>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53610700" w14:textId="77777777">
            <w:pPr>
              <w:rPr>
                <w:sz w:val="20"/>
                <w:szCs w:val="20"/>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4C56613E" w14:textId="77777777">
            <w:pPr>
              <w:jc w:val="center"/>
              <w:rPr>
                <w:sz w:val="20"/>
                <w:szCs w:val="20"/>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28DD63FD" w14:textId="77777777">
            <w:pPr>
              <w:jc w:val="center"/>
              <w:rPr>
                <w:sz w:val="20"/>
                <w:szCs w:val="20"/>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505199EE" w14:textId="77777777">
            <w:pPr>
              <w:jc w:val="center"/>
              <w:rPr>
                <w:sz w:val="20"/>
                <w:szCs w:val="20"/>
              </w:rPr>
            </w:pPr>
          </w:p>
        </w:tc>
      </w:tr>
      <w:tr w:rsidRPr="005D2EE7" w:rsidR="005D2EE7" w:rsidTr="005D2EE7" w14:paraId="6918AC32"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5A6C184" w14:textId="77777777">
            <w:pPr>
              <w:rPr>
                <w:sz w:val="20"/>
                <w:szCs w:val="20"/>
              </w:rPr>
            </w:pPr>
          </w:p>
        </w:tc>
        <w:tc>
          <w:tcPr>
            <w:tcW w:w="2765" w:type="dxa"/>
            <w:tcBorders>
              <w:top w:val="nil"/>
              <w:left w:val="nil"/>
              <w:bottom w:val="nil"/>
              <w:right w:val="nil"/>
            </w:tcBorders>
            <w:shd w:val="clear" w:color="auto" w:fill="auto"/>
            <w:noWrap/>
            <w:vAlign w:val="bottom"/>
            <w:hideMark/>
          </w:tcPr>
          <w:p w:rsidRPr="005D2EE7" w:rsidR="005D2EE7" w:rsidP="005D2EE7" w:rsidRDefault="005D2EE7" w14:paraId="095AA88B" w14:textId="77777777">
            <w:pPr>
              <w:rPr>
                <w:sz w:val="20"/>
                <w:szCs w:val="20"/>
              </w:rPr>
            </w:pPr>
          </w:p>
        </w:tc>
        <w:tc>
          <w:tcPr>
            <w:tcW w:w="1467" w:type="dxa"/>
            <w:tcBorders>
              <w:top w:val="nil"/>
              <w:left w:val="nil"/>
              <w:bottom w:val="nil"/>
              <w:right w:val="nil"/>
            </w:tcBorders>
            <w:shd w:val="clear" w:color="auto" w:fill="auto"/>
            <w:noWrap/>
            <w:vAlign w:val="bottom"/>
            <w:hideMark/>
          </w:tcPr>
          <w:p w:rsidRPr="005D2EE7" w:rsidR="005D2EE7" w:rsidP="005D2EE7" w:rsidRDefault="005D2EE7" w14:paraId="760089D3" w14:textId="77777777">
            <w:pPr>
              <w:rPr>
                <w:sz w:val="20"/>
                <w:szCs w:val="20"/>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0DB45FBD" w14:textId="77777777">
            <w:pPr>
              <w:rPr>
                <w:sz w:val="20"/>
                <w:szCs w:val="20"/>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5BC98158" w14:textId="77777777">
            <w:pPr>
              <w:jc w:val="center"/>
              <w:rPr>
                <w:sz w:val="20"/>
                <w:szCs w:val="20"/>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5C73E2D6" w14:textId="77777777">
            <w:pPr>
              <w:jc w:val="center"/>
              <w:rPr>
                <w:sz w:val="20"/>
                <w:szCs w:val="20"/>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64D20BB9" w14:textId="77777777">
            <w:pPr>
              <w:jc w:val="center"/>
              <w:rPr>
                <w:sz w:val="20"/>
                <w:szCs w:val="20"/>
              </w:rPr>
            </w:pPr>
          </w:p>
        </w:tc>
      </w:tr>
      <w:tr w:rsidRPr="005D2EE7" w:rsidR="005D2EE7" w:rsidTr="00CF0517" w14:paraId="61A6494A" w14:textId="77777777">
        <w:trPr>
          <w:trHeight w:val="300"/>
          <w:jc w:val="center"/>
        </w:trPr>
        <w:tc>
          <w:tcPr>
            <w:tcW w:w="10859" w:type="dxa"/>
            <w:gridSpan w:val="7"/>
            <w:tcBorders>
              <w:top w:val="nil"/>
              <w:left w:val="nil"/>
              <w:bottom w:val="nil"/>
            </w:tcBorders>
            <w:shd w:val="clear" w:color="auto" w:fill="auto"/>
            <w:noWrap/>
            <w:vAlign w:val="center"/>
            <w:hideMark/>
          </w:tcPr>
          <w:p w:rsidRPr="005D2EE7" w:rsidR="005D2EE7" w:rsidP="005D2EE7" w:rsidRDefault="005D2EE7" w14:paraId="2801A1BB" w14:textId="7B71E77A">
            <w:pPr>
              <w:jc w:val="center"/>
              <w:rPr>
                <w:sz w:val="20"/>
                <w:szCs w:val="20"/>
              </w:rPr>
            </w:pPr>
            <w:r w:rsidRPr="005D2EE7">
              <w:rPr>
                <w:rFonts w:ascii="Arial" w:hAnsi="Arial" w:cs="Arial"/>
                <w:b/>
                <w:bCs/>
                <w:sz w:val="18"/>
                <w:szCs w:val="18"/>
              </w:rPr>
              <w:t>CHANGES IN BURDEN HOURS</w:t>
            </w:r>
          </w:p>
        </w:tc>
      </w:tr>
      <w:tr w:rsidRPr="005D2EE7" w:rsidR="005D2EE7" w:rsidTr="005D2EE7" w14:paraId="326EC983" w14:textId="77777777">
        <w:trPr>
          <w:trHeight w:val="300"/>
          <w:jc w:val="center"/>
        </w:trPr>
        <w:tc>
          <w:tcPr>
            <w:tcW w:w="1107" w:type="dxa"/>
            <w:tcBorders>
              <w:top w:val="nil"/>
              <w:left w:val="nil"/>
              <w:bottom w:val="nil"/>
              <w:right w:val="nil"/>
            </w:tcBorders>
            <w:shd w:val="clear" w:color="auto" w:fill="auto"/>
            <w:noWrap/>
            <w:vAlign w:val="bottom"/>
            <w:hideMark/>
          </w:tcPr>
          <w:p w:rsidRPr="005D2EE7" w:rsidR="005D2EE7" w:rsidP="005D2EE7" w:rsidRDefault="005D2EE7" w14:paraId="43568B3A" w14:textId="77777777">
            <w:pPr>
              <w:rPr>
                <w:sz w:val="20"/>
                <w:szCs w:val="20"/>
              </w:rPr>
            </w:pPr>
          </w:p>
        </w:tc>
        <w:tc>
          <w:tcPr>
            <w:tcW w:w="2765" w:type="dxa"/>
            <w:tcBorders>
              <w:top w:val="nil"/>
              <w:left w:val="nil"/>
              <w:bottom w:val="nil"/>
              <w:right w:val="nil"/>
            </w:tcBorders>
            <w:shd w:val="clear" w:color="auto" w:fill="auto"/>
            <w:noWrap/>
            <w:vAlign w:val="bottom"/>
            <w:hideMark/>
          </w:tcPr>
          <w:p w:rsidRPr="005D2EE7" w:rsidR="005D2EE7" w:rsidP="005D2EE7" w:rsidRDefault="005D2EE7" w14:paraId="6A2806C3" w14:textId="77777777">
            <w:pPr>
              <w:rPr>
                <w:sz w:val="20"/>
                <w:szCs w:val="20"/>
              </w:rPr>
            </w:pP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C9846C0" w14:textId="77777777">
            <w:pPr>
              <w:rPr>
                <w:sz w:val="20"/>
                <w:szCs w:val="20"/>
              </w:rPr>
            </w:pP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8DEFA69" w14:textId="77777777">
            <w:pPr>
              <w:jc w:val="center"/>
              <w:rPr>
                <w:rFonts w:ascii="Arial" w:hAnsi="Arial" w:cs="Arial"/>
                <w:b/>
                <w:bCs/>
                <w:sz w:val="18"/>
                <w:szCs w:val="18"/>
              </w:rPr>
            </w:pPr>
            <w:r w:rsidRPr="005D2EE7">
              <w:rPr>
                <w:rFonts w:ascii="Arial" w:hAnsi="Arial" w:cs="Arial"/>
                <w:b/>
                <w:bCs/>
                <w:sz w:val="18"/>
                <w:szCs w:val="18"/>
              </w:rPr>
              <w:t>CURRENT</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D394CA3" w14:textId="77777777">
            <w:pPr>
              <w:jc w:val="center"/>
              <w:rPr>
                <w:rFonts w:ascii="Arial" w:hAnsi="Arial" w:cs="Arial"/>
                <w:b/>
                <w:bCs/>
                <w:sz w:val="18"/>
                <w:szCs w:val="18"/>
              </w:rPr>
            </w:pPr>
            <w:r w:rsidRPr="005D2EE7">
              <w:rPr>
                <w:rFonts w:ascii="Arial" w:hAnsi="Arial" w:cs="Arial"/>
                <w:b/>
                <w:bCs/>
                <w:sz w:val="18"/>
                <w:szCs w:val="18"/>
              </w:rPr>
              <w:t>PREVIOUS</w:t>
            </w: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5A3DCF6C" w14:textId="77777777">
            <w:pPr>
              <w:jc w:val="center"/>
              <w:rPr>
                <w:rFonts w:ascii="Arial" w:hAnsi="Arial" w:cs="Arial"/>
                <w:b/>
                <w:bCs/>
                <w:sz w:val="18"/>
                <w:szCs w:val="18"/>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104B43A5" w14:textId="77777777">
            <w:pPr>
              <w:rPr>
                <w:rFonts w:ascii="Arial" w:hAnsi="Arial" w:cs="Arial"/>
                <w:b/>
                <w:bCs/>
                <w:sz w:val="18"/>
                <w:szCs w:val="18"/>
              </w:rPr>
            </w:pPr>
            <w:r w:rsidRPr="005D2EE7">
              <w:rPr>
                <w:rFonts w:ascii="Arial" w:hAnsi="Arial" w:cs="Arial"/>
                <w:b/>
                <w:bCs/>
                <w:sz w:val="18"/>
                <w:szCs w:val="18"/>
              </w:rPr>
              <w:t>TYPE OF</w:t>
            </w:r>
          </w:p>
        </w:tc>
      </w:tr>
      <w:tr w:rsidRPr="005D2EE7" w:rsidR="005D2EE7" w:rsidTr="005D2EE7" w14:paraId="2EDB71C1"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F3585BF" w14:textId="77777777">
            <w:pPr>
              <w:rPr>
                <w:rFonts w:ascii="Arial" w:hAnsi="Arial" w:cs="Arial"/>
                <w:b/>
                <w:bCs/>
                <w:sz w:val="18"/>
                <w:szCs w:val="18"/>
                <w:u w:val="single"/>
              </w:rPr>
            </w:pPr>
            <w:r w:rsidRPr="005D2EE7">
              <w:rPr>
                <w:rFonts w:ascii="Arial" w:hAnsi="Arial" w:cs="Arial"/>
                <w:b/>
                <w:bCs/>
                <w:sz w:val="18"/>
                <w:szCs w:val="18"/>
                <w:u w:val="single"/>
              </w:rPr>
              <w:t>9 CFR</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358E474" w14:textId="77777777">
            <w:pPr>
              <w:rPr>
                <w:rFonts w:ascii="Arial" w:hAnsi="Arial" w:cs="Arial"/>
                <w:b/>
                <w:bCs/>
                <w:sz w:val="18"/>
                <w:szCs w:val="18"/>
                <w:u w:val="single"/>
              </w:rPr>
            </w:pPr>
            <w:r w:rsidRPr="005D2EE7">
              <w:rPr>
                <w:rFonts w:ascii="Arial" w:hAnsi="Arial" w:cs="Arial"/>
                <w:b/>
                <w:bCs/>
                <w:sz w:val="18"/>
                <w:szCs w:val="18"/>
                <w:u w:val="single"/>
              </w:rPr>
              <w:t>ACTIVITY</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440F77B" w14:textId="77777777">
            <w:pPr>
              <w:rPr>
                <w:rFonts w:ascii="Arial" w:hAnsi="Arial" w:cs="Arial"/>
                <w:b/>
                <w:bCs/>
                <w:sz w:val="18"/>
                <w:szCs w:val="18"/>
                <w:u w:val="single"/>
              </w:rPr>
            </w:pPr>
            <w:r w:rsidRPr="005D2EE7">
              <w:rPr>
                <w:rFonts w:ascii="Arial" w:hAnsi="Arial" w:cs="Arial"/>
                <w:b/>
                <w:bCs/>
                <w:sz w:val="18"/>
                <w:szCs w:val="18"/>
                <w:u w:val="single"/>
              </w:rPr>
              <w:t>RESPONDENT</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B62EC25" w14:textId="77777777">
            <w:pPr>
              <w:jc w:val="center"/>
              <w:rPr>
                <w:rFonts w:ascii="Arial" w:hAnsi="Arial" w:cs="Arial"/>
                <w:b/>
                <w:bCs/>
                <w:sz w:val="18"/>
                <w:szCs w:val="18"/>
                <w:u w:val="single"/>
              </w:rPr>
            </w:pPr>
            <w:r w:rsidRPr="005D2EE7">
              <w:rPr>
                <w:rFonts w:ascii="Arial" w:hAnsi="Arial" w:cs="Arial"/>
                <w:b/>
                <w:bCs/>
                <w:sz w:val="18"/>
                <w:szCs w:val="18"/>
                <w:u w:val="single"/>
              </w:rPr>
              <w:t>BURDEN</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D0A25B3" w14:textId="77777777">
            <w:pPr>
              <w:jc w:val="center"/>
              <w:rPr>
                <w:rFonts w:ascii="Arial" w:hAnsi="Arial" w:cs="Arial"/>
                <w:b/>
                <w:bCs/>
                <w:sz w:val="18"/>
                <w:szCs w:val="18"/>
                <w:u w:val="single"/>
              </w:rPr>
            </w:pPr>
            <w:r w:rsidRPr="005D2EE7">
              <w:rPr>
                <w:rFonts w:ascii="Arial" w:hAnsi="Arial" w:cs="Arial"/>
                <w:b/>
                <w:bCs/>
                <w:sz w:val="18"/>
                <w:szCs w:val="18"/>
                <w:u w:val="single"/>
              </w:rPr>
              <w:t>BURDEN</w:t>
            </w: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1955315A" w14:textId="77777777">
            <w:pPr>
              <w:jc w:val="center"/>
              <w:rPr>
                <w:rFonts w:ascii="Arial" w:hAnsi="Arial" w:cs="Arial"/>
                <w:b/>
                <w:bCs/>
                <w:sz w:val="18"/>
                <w:szCs w:val="18"/>
                <w:u w:val="single"/>
              </w:rPr>
            </w:pPr>
            <w:r w:rsidRPr="005D2EE7">
              <w:rPr>
                <w:rFonts w:ascii="Arial" w:hAnsi="Arial" w:cs="Arial"/>
                <w:b/>
                <w:bCs/>
                <w:sz w:val="18"/>
                <w:szCs w:val="18"/>
                <w:u w:val="single"/>
              </w:rPr>
              <w:t>CHANGE</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452FDB1" w14:textId="77777777">
            <w:pPr>
              <w:rPr>
                <w:rFonts w:ascii="Arial" w:hAnsi="Arial" w:cs="Arial"/>
                <w:b/>
                <w:bCs/>
                <w:sz w:val="18"/>
                <w:szCs w:val="18"/>
                <w:u w:val="single"/>
              </w:rPr>
            </w:pPr>
            <w:r w:rsidRPr="005D2EE7">
              <w:rPr>
                <w:rFonts w:ascii="Arial" w:hAnsi="Arial" w:cs="Arial"/>
                <w:b/>
                <w:bCs/>
                <w:sz w:val="18"/>
                <w:szCs w:val="18"/>
                <w:u w:val="single"/>
              </w:rPr>
              <w:t>CHANGE</w:t>
            </w:r>
          </w:p>
        </w:tc>
      </w:tr>
      <w:tr w:rsidRPr="005D2EE7" w:rsidR="005D2EE7" w:rsidTr="005D2EE7" w14:paraId="1B8AB7A3"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3A7B5BB" w14:textId="77777777">
            <w:pPr>
              <w:rPr>
                <w:rFonts w:ascii="Arial" w:hAnsi="Arial" w:cs="Arial"/>
                <w:b/>
                <w:bCs/>
                <w:sz w:val="18"/>
                <w:szCs w:val="18"/>
                <w:u w:val="single"/>
              </w:rPr>
            </w:pP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3F39EC0" w14:textId="297C92C5">
            <w:pPr>
              <w:rPr>
                <w:rFonts w:ascii="Arial" w:hAnsi="Arial" w:cs="Arial"/>
                <w:sz w:val="18"/>
                <w:szCs w:val="18"/>
              </w:rPr>
            </w:pPr>
            <w:r w:rsidRPr="005D2EE7">
              <w:rPr>
                <w:rFonts w:ascii="Arial" w:hAnsi="Arial" w:cs="Arial"/>
                <w:sz w:val="18"/>
                <w:szCs w:val="18"/>
              </w:rPr>
              <w:t>Rqst for Auth</w:t>
            </w:r>
            <w:r w:rsidR="009F4764">
              <w:rPr>
                <w:rFonts w:ascii="Arial" w:hAnsi="Arial" w:cs="Arial"/>
                <w:sz w:val="18"/>
                <w:szCs w:val="18"/>
              </w:rPr>
              <w:t xml:space="preserve"> </w:t>
            </w:r>
            <w:r w:rsidRPr="005D2EE7">
              <w:rPr>
                <w:rFonts w:ascii="Arial" w:hAnsi="Arial" w:cs="Arial"/>
                <w:sz w:val="18"/>
                <w:szCs w:val="18"/>
              </w:rPr>
              <w:t>to Prepare</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741E0117" w14:textId="77777777">
            <w:pPr>
              <w:rPr>
                <w:rFonts w:ascii="Arial" w:hAnsi="Arial" w:cs="Arial"/>
                <w:sz w:val="18"/>
                <w:szCs w:val="18"/>
              </w:rPr>
            </w:pP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E1CCB4A" w14:textId="77777777">
            <w:pPr>
              <w:jc w:val="center"/>
              <w:rPr>
                <w:rFonts w:ascii="Arial" w:hAnsi="Arial" w:cs="Arial"/>
                <w:sz w:val="18"/>
                <w:szCs w:val="18"/>
              </w:rPr>
            </w:pPr>
            <w:r w:rsidRPr="005D2EE7">
              <w:rPr>
                <w:rFonts w:ascii="Arial" w:hAnsi="Arial" w:cs="Arial"/>
                <w:sz w:val="18"/>
                <w:szCs w:val="18"/>
              </w:rPr>
              <w:t xml:space="preserve">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1AF9A24" w14:textId="77777777">
            <w:pPr>
              <w:jc w:val="center"/>
              <w:rPr>
                <w:rFonts w:ascii="Arial" w:hAnsi="Arial" w:cs="Arial"/>
                <w:sz w:val="18"/>
                <w:szCs w:val="18"/>
              </w:rPr>
            </w:pPr>
            <w:r w:rsidRPr="005D2EE7">
              <w:rPr>
                <w:rFonts w:ascii="Arial" w:hAnsi="Arial" w:cs="Arial"/>
                <w:sz w:val="18"/>
                <w:szCs w:val="18"/>
              </w:rPr>
              <w:t xml:space="preserve">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8B9431F" w14:textId="77777777">
            <w:pPr>
              <w:jc w:val="center"/>
              <w:rPr>
                <w:rFonts w:ascii="Arial" w:hAnsi="Arial" w:cs="Arial"/>
                <w:sz w:val="18"/>
                <w:szCs w:val="18"/>
              </w:rPr>
            </w:pPr>
            <w:r w:rsidRPr="005D2EE7">
              <w:rPr>
                <w:rFonts w:ascii="Arial" w:hAnsi="Arial" w:cs="Arial"/>
                <w:sz w:val="18"/>
                <w:szCs w:val="18"/>
              </w:rPr>
              <w:t>(5)</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650F9C3" w14:textId="77777777">
            <w:pPr>
              <w:rPr>
                <w:rFonts w:ascii="Arial" w:hAnsi="Arial" w:cs="Arial"/>
                <w:sz w:val="18"/>
                <w:szCs w:val="18"/>
              </w:rPr>
            </w:pPr>
            <w:r w:rsidRPr="005D2EE7">
              <w:rPr>
                <w:rFonts w:ascii="Arial" w:hAnsi="Arial" w:cs="Arial"/>
                <w:sz w:val="18"/>
                <w:szCs w:val="18"/>
              </w:rPr>
              <w:t>discontinue</w:t>
            </w:r>
          </w:p>
        </w:tc>
      </w:tr>
      <w:tr w:rsidRPr="005D2EE7" w:rsidR="005D2EE7" w:rsidTr="005D2EE7" w14:paraId="1371146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3B39D31" w14:textId="77777777">
            <w:pPr>
              <w:rPr>
                <w:rFonts w:ascii="Arial" w:hAnsi="Arial" w:cs="Arial"/>
                <w:sz w:val="18"/>
                <w:szCs w:val="18"/>
              </w:rPr>
            </w:pP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CA22464" w14:textId="77777777">
            <w:pPr>
              <w:rPr>
                <w:rFonts w:ascii="Arial" w:hAnsi="Arial" w:cs="Arial"/>
                <w:sz w:val="18"/>
                <w:szCs w:val="18"/>
              </w:rPr>
            </w:pPr>
            <w:r w:rsidRPr="005D2EE7">
              <w:rPr>
                <w:rFonts w:ascii="Arial" w:hAnsi="Arial" w:cs="Arial"/>
                <w:sz w:val="18"/>
                <w:szCs w:val="18"/>
              </w:rPr>
              <w:t>State Notification License</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35ABDA9" w14:textId="77777777">
            <w:pPr>
              <w:rPr>
                <w:rFonts w:ascii="Arial" w:hAnsi="Arial" w:cs="Arial"/>
                <w:sz w:val="18"/>
                <w:szCs w:val="18"/>
              </w:rPr>
            </w:pP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B2AD21E" w14:textId="77777777">
            <w:pPr>
              <w:jc w:val="center"/>
              <w:rPr>
                <w:rFonts w:ascii="Arial" w:hAnsi="Arial" w:cs="Arial"/>
                <w:sz w:val="18"/>
                <w:szCs w:val="18"/>
              </w:rPr>
            </w:pPr>
            <w:r w:rsidRPr="005D2EE7">
              <w:rPr>
                <w:rFonts w:ascii="Arial" w:hAnsi="Arial" w:cs="Arial"/>
                <w:sz w:val="18"/>
                <w:szCs w:val="18"/>
              </w:rPr>
              <w:t xml:space="preserve">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4CB7496"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C444E00" w14:textId="77777777">
            <w:pPr>
              <w:jc w:val="center"/>
              <w:rPr>
                <w:rFonts w:ascii="Arial" w:hAnsi="Arial" w:cs="Arial"/>
                <w:sz w:val="18"/>
                <w:szCs w:val="18"/>
              </w:rPr>
            </w:pPr>
            <w:r w:rsidRPr="005D2EE7">
              <w:rPr>
                <w:rFonts w:ascii="Arial" w:hAnsi="Arial" w:cs="Arial"/>
                <w:sz w:val="18"/>
                <w:szCs w:val="18"/>
              </w:rPr>
              <w:t>(1)</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3710F9F" w14:textId="77777777">
            <w:pPr>
              <w:rPr>
                <w:rFonts w:ascii="Arial" w:hAnsi="Arial" w:cs="Arial"/>
                <w:sz w:val="18"/>
                <w:szCs w:val="18"/>
              </w:rPr>
            </w:pPr>
            <w:r w:rsidRPr="005D2EE7">
              <w:rPr>
                <w:rFonts w:ascii="Arial" w:hAnsi="Arial" w:cs="Arial"/>
                <w:sz w:val="18"/>
                <w:szCs w:val="18"/>
              </w:rPr>
              <w:t>discontinue</w:t>
            </w:r>
          </w:p>
        </w:tc>
      </w:tr>
      <w:tr w:rsidRPr="005D2EE7" w:rsidR="005D2EE7" w:rsidTr="005D2EE7" w14:paraId="24E26A0B"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7427FAB2" w14:textId="77777777">
            <w:pPr>
              <w:rPr>
                <w:rFonts w:ascii="Arial" w:hAnsi="Arial" w:cs="Arial"/>
                <w:sz w:val="18"/>
                <w:szCs w:val="18"/>
              </w:rPr>
            </w:pP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CC96B9C" w14:textId="77777777">
            <w:pPr>
              <w:rPr>
                <w:rFonts w:ascii="Arial" w:hAnsi="Arial" w:cs="Arial"/>
                <w:sz w:val="18"/>
                <w:szCs w:val="18"/>
              </w:rPr>
            </w:pPr>
            <w:r w:rsidRPr="005D2EE7">
              <w:rPr>
                <w:rFonts w:ascii="Arial" w:hAnsi="Arial" w:cs="Arial"/>
                <w:sz w:val="18"/>
                <w:szCs w:val="18"/>
              </w:rPr>
              <w:t>APHIS 2081</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6321DB6" w14:textId="77777777">
            <w:pPr>
              <w:rPr>
                <w:rFonts w:ascii="Arial" w:hAnsi="Arial" w:cs="Arial"/>
                <w:sz w:val="18"/>
                <w:szCs w:val="18"/>
              </w:rPr>
            </w:pP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BAA8106" w14:textId="77777777">
            <w:pPr>
              <w:jc w:val="center"/>
              <w:rPr>
                <w:rFonts w:ascii="Arial" w:hAnsi="Arial" w:cs="Arial"/>
                <w:sz w:val="18"/>
                <w:szCs w:val="18"/>
              </w:rPr>
            </w:pPr>
            <w:r w:rsidRPr="005D2EE7">
              <w:rPr>
                <w:rFonts w:ascii="Arial" w:hAnsi="Arial" w:cs="Arial"/>
                <w:sz w:val="18"/>
                <w:szCs w:val="18"/>
              </w:rPr>
              <w:t xml:space="preserve">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724759A" w14:textId="77777777">
            <w:pPr>
              <w:jc w:val="center"/>
              <w:rPr>
                <w:rFonts w:ascii="Arial" w:hAnsi="Arial" w:cs="Arial"/>
                <w:sz w:val="18"/>
                <w:szCs w:val="18"/>
              </w:rPr>
            </w:pPr>
            <w:r w:rsidRPr="005D2EE7">
              <w:rPr>
                <w:rFonts w:ascii="Arial" w:hAnsi="Arial" w:cs="Arial"/>
                <w:sz w:val="18"/>
                <w:szCs w:val="18"/>
              </w:rPr>
              <w:t xml:space="preserve">12,000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CC09E83" w14:textId="77777777">
            <w:pPr>
              <w:jc w:val="center"/>
              <w:rPr>
                <w:rFonts w:ascii="Arial" w:hAnsi="Arial" w:cs="Arial"/>
                <w:sz w:val="18"/>
                <w:szCs w:val="18"/>
              </w:rPr>
            </w:pPr>
            <w:r w:rsidRPr="005D2EE7">
              <w:rPr>
                <w:rFonts w:ascii="Arial" w:hAnsi="Arial" w:cs="Arial"/>
                <w:sz w:val="18"/>
                <w:szCs w:val="18"/>
              </w:rPr>
              <w:t>(12,000)</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48DF450" w14:textId="77777777">
            <w:pPr>
              <w:rPr>
                <w:rFonts w:ascii="Arial" w:hAnsi="Arial" w:cs="Arial"/>
                <w:sz w:val="18"/>
                <w:szCs w:val="18"/>
              </w:rPr>
            </w:pPr>
            <w:r w:rsidRPr="005D2EE7">
              <w:rPr>
                <w:rFonts w:ascii="Arial" w:hAnsi="Arial" w:cs="Arial"/>
                <w:sz w:val="18"/>
                <w:szCs w:val="18"/>
              </w:rPr>
              <w:t>discontinue</w:t>
            </w:r>
          </w:p>
        </w:tc>
      </w:tr>
      <w:tr w:rsidRPr="005D2EE7" w:rsidR="005D2EE7" w:rsidTr="005D2EE7" w14:paraId="0548777E"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1D0AFEB1" w14:textId="77777777">
            <w:pPr>
              <w:rPr>
                <w:rFonts w:ascii="Arial" w:hAnsi="Arial" w:cs="Arial"/>
                <w:sz w:val="18"/>
                <w:szCs w:val="18"/>
              </w:rPr>
            </w:pPr>
            <w:r w:rsidRPr="005D2EE7">
              <w:rPr>
                <w:rFonts w:ascii="Arial" w:hAnsi="Arial" w:cs="Arial"/>
                <w:sz w:val="18"/>
                <w:szCs w:val="18"/>
              </w:rPr>
              <w:t>102.1, 108.2</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9D985D8" w14:textId="77777777">
            <w:pPr>
              <w:rPr>
                <w:rFonts w:ascii="Arial" w:hAnsi="Arial" w:cs="Arial"/>
                <w:sz w:val="18"/>
                <w:szCs w:val="18"/>
              </w:rPr>
            </w:pPr>
            <w:r w:rsidRPr="005D2EE7">
              <w:rPr>
                <w:rFonts w:ascii="Arial" w:hAnsi="Arial" w:cs="Arial"/>
                <w:sz w:val="18"/>
                <w:szCs w:val="18"/>
              </w:rPr>
              <w:t>APHIS Form 2001</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38F09C7D"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1B04C45" w14:textId="77777777">
            <w:pPr>
              <w:jc w:val="center"/>
              <w:rPr>
                <w:rFonts w:ascii="Arial" w:hAnsi="Arial" w:cs="Arial"/>
                <w:sz w:val="18"/>
                <w:szCs w:val="18"/>
              </w:rPr>
            </w:pPr>
            <w:r w:rsidRPr="005D2EE7">
              <w:rPr>
                <w:rFonts w:ascii="Arial" w:hAnsi="Arial" w:cs="Arial"/>
                <w:sz w:val="18"/>
                <w:szCs w:val="18"/>
              </w:rPr>
              <w:t xml:space="preserve">22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36A92E9" w14:textId="77777777">
            <w:pPr>
              <w:jc w:val="center"/>
              <w:rPr>
                <w:rFonts w:ascii="Arial" w:hAnsi="Arial" w:cs="Arial"/>
                <w:sz w:val="18"/>
                <w:szCs w:val="18"/>
              </w:rPr>
            </w:pPr>
            <w:r w:rsidRPr="005D2EE7">
              <w:rPr>
                <w:rFonts w:ascii="Arial" w:hAnsi="Arial" w:cs="Arial"/>
                <w:sz w:val="18"/>
                <w:szCs w:val="18"/>
              </w:rPr>
              <w:t xml:space="preserve">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A92D60F" w14:textId="77777777">
            <w:pPr>
              <w:jc w:val="center"/>
              <w:rPr>
                <w:rFonts w:ascii="Arial" w:hAnsi="Arial" w:cs="Arial"/>
                <w:sz w:val="18"/>
                <w:szCs w:val="18"/>
              </w:rPr>
            </w:pPr>
            <w:r w:rsidRPr="005D2EE7">
              <w:rPr>
                <w:rFonts w:ascii="Arial" w:hAnsi="Arial" w:cs="Arial"/>
                <w:sz w:val="18"/>
                <w:szCs w:val="18"/>
              </w:rPr>
              <w:t xml:space="preserve">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E2AA6A9"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4252034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81CC4EF" w14:textId="77777777">
            <w:pPr>
              <w:rPr>
                <w:rFonts w:ascii="Arial" w:hAnsi="Arial" w:cs="Arial"/>
                <w:sz w:val="18"/>
                <w:szCs w:val="18"/>
              </w:rPr>
            </w:pPr>
            <w:r w:rsidRPr="005D2EE7">
              <w:rPr>
                <w:rFonts w:ascii="Arial" w:hAnsi="Arial" w:cs="Arial"/>
                <w:sz w:val="18"/>
                <w:szCs w:val="18"/>
              </w:rPr>
              <w:t>102.1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2BBEC74" w14:textId="77777777">
            <w:pPr>
              <w:rPr>
                <w:rFonts w:ascii="Arial" w:hAnsi="Arial" w:cs="Arial"/>
                <w:sz w:val="18"/>
                <w:szCs w:val="18"/>
              </w:rPr>
            </w:pPr>
            <w:r w:rsidRPr="005D2EE7">
              <w:rPr>
                <w:rFonts w:ascii="Arial" w:hAnsi="Arial" w:cs="Arial"/>
                <w:sz w:val="18"/>
                <w:szCs w:val="18"/>
              </w:rPr>
              <w:t>APHIS Form 2009</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E6AD9A2"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42BFE3B" w14:textId="77777777">
            <w:pPr>
              <w:jc w:val="center"/>
              <w:rPr>
                <w:rFonts w:ascii="Arial" w:hAnsi="Arial" w:cs="Arial"/>
                <w:sz w:val="18"/>
                <w:szCs w:val="18"/>
              </w:rPr>
            </w:pPr>
            <w:r w:rsidRPr="005D2EE7">
              <w:rPr>
                <w:rFonts w:ascii="Arial" w:hAnsi="Arial" w:cs="Arial"/>
                <w:sz w:val="18"/>
                <w:szCs w:val="18"/>
              </w:rPr>
              <w:t xml:space="preserve">7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6C50A3A"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0264961" w14:textId="77777777">
            <w:pPr>
              <w:jc w:val="center"/>
              <w:rPr>
                <w:rFonts w:ascii="Arial" w:hAnsi="Arial" w:cs="Arial"/>
                <w:sz w:val="18"/>
                <w:szCs w:val="18"/>
              </w:rPr>
            </w:pPr>
            <w:r w:rsidRPr="005D2EE7">
              <w:rPr>
                <w:rFonts w:ascii="Arial" w:hAnsi="Arial" w:cs="Arial"/>
                <w:sz w:val="18"/>
                <w:szCs w:val="18"/>
              </w:rPr>
              <w:t xml:space="preserve">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7DA072C"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727CFFBC"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F543133" w14:textId="77777777">
            <w:pPr>
              <w:rPr>
                <w:rFonts w:ascii="Arial" w:hAnsi="Arial" w:cs="Arial"/>
                <w:sz w:val="18"/>
                <w:szCs w:val="18"/>
              </w:rPr>
            </w:pPr>
            <w:r w:rsidRPr="005D2EE7">
              <w:rPr>
                <w:rFonts w:ascii="Arial" w:hAnsi="Arial" w:cs="Arial"/>
                <w:sz w:val="18"/>
                <w:szCs w:val="18"/>
              </w:rPr>
              <w:t>102.1</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BF06824" w14:textId="77777777">
            <w:pPr>
              <w:rPr>
                <w:rFonts w:ascii="Arial" w:hAnsi="Arial" w:cs="Arial"/>
                <w:sz w:val="18"/>
                <w:szCs w:val="18"/>
              </w:rPr>
            </w:pPr>
            <w:r w:rsidRPr="005D2EE7">
              <w:rPr>
                <w:rFonts w:ascii="Arial" w:hAnsi="Arial" w:cs="Arial"/>
                <w:sz w:val="18"/>
                <w:szCs w:val="18"/>
              </w:rPr>
              <w:t>APHIS Form 2003</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0D7F52A"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7E4F5B1" w14:textId="77777777">
            <w:pPr>
              <w:jc w:val="center"/>
              <w:rPr>
                <w:rFonts w:ascii="Arial" w:hAnsi="Arial" w:cs="Arial"/>
                <w:sz w:val="18"/>
                <w:szCs w:val="18"/>
              </w:rPr>
            </w:pPr>
            <w:r w:rsidRPr="005D2EE7">
              <w:rPr>
                <w:rFonts w:ascii="Arial" w:hAnsi="Arial" w:cs="Arial"/>
                <w:sz w:val="18"/>
                <w:szCs w:val="18"/>
              </w:rPr>
              <w:t xml:space="preserve">88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5B2724D" w14:textId="77777777">
            <w:pPr>
              <w:jc w:val="center"/>
              <w:rPr>
                <w:rFonts w:ascii="Arial" w:hAnsi="Arial" w:cs="Arial"/>
                <w:sz w:val="18"/>
                <w:szCs w:val="18"/>
              </w:rPr>
            </w:pPr>
            <w:r w:rsidRPr="005D2EE7">
              <w:rPr>
                <w:rFonts w:ascii="Arial" w:hAnsi="Arial" w:cs="Arial"/>
                <w:sz w:val="18"/>
                <w:szCs w:val="18"/>
              </w:rPr>
              <w:t xml:space="preserve">75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9D7B623" w14:textId="77777777">
            <w:pPr>
              <w:jc w:val="center"/>
              <w:rPr>
                <w:rFonts w:ascii="Arial" w:hAnsi="Arial" w:cs="Arial"/>
                <w:sz w:val="18"/>
                <w:szCs w:val="18"/>
              </w:rPr>
            </w:pPr>
            <w:r w:rsidRPr="005D2EE7">
              <w:rPr>
                <w:rFonts w:ascii="Arial" w:hAnsi="Arial" w:cs="Arial"/>
                <w:sz w:val="18"/>
                <w:szCs w:val="18"/>
              </w:rPr>
              <w:t xml:space="preserve">13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3731F1B"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51C02976"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06BC097" w14:textId="77777777">
            <w:pPr>
              <w:rPr>
                <w:rFonts w:ascii="Arial" w:hAnsi="Arial" w:cs="Arial"/>
                <w:sz w:val="18"/>
                <w:szCs w:val="18"/>
              </w:rPr>
            </w:pPr>
            <w:r w:rsidRPr="005D2EE7">
              <w:rPr>
                <w:rFonts w:ascii="Arial" w:hAnsi="Arial" w:cs="Arial"/>
                <w:sz w:val="18"/>
                <w:szCs w:val="18"/>
              </w:rPr>
              <w:t>102.4</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0C82CE9" w14:textId="77777777">
            <w:pPr>
              <w:rPr>
                <w:rFonts w:ascii="Arial" w:hAnsi="Arial" w:cs="Arial"/>
                <w:sz w:val="18"/>
                <w:szCs w:val="18"/>
              </w:rPr>
            </w:pPr>
            <w:r w:rsidRPr="005D2EE7">
              <w:rPr>
                <w:rFonts w:ascii="Arial" w:hAnsi="Arial" w:cs="Arial"/>
                <w:sz w:val="18"/>
                <w:szCs w:val="18"/>
              </w:rPr>
              <w:t>APHIS 2046, 2047</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A6FA822"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891F0C0" w14:textId="77777777">
            <w:pPr>
              <w:jc w:val="center"/>
              <w:rPr>
                <w:rFonts w:ascii="Arial" w:hAnsi="Arial" w:cs="Arial"/>
                <w:sz w:val="18"/>
                <w:szCs w:val="18"/>
              </w:rPr>
            </w:pPr>
            <w:r w:rsidRPr="005D2EE7">
              <w:rPr>
                <w:rFonts w:ascii="Arial" w:hAnsi="Arial" w:cs="Arial"/>
                <w:sz w:val="18"/>
                <w:szCs w:val="18"/>
              </w:rPr>
              <w:t xml:space="preserve">413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1CDD745" w14:textId="77777777">
            <w:pPr>
              <w:jc w:val="center"/>
              <w:rPr>
                <w:rFonts w:ascii="Arial" w:hAnsi="Arial" w:cs="Arial"/>
                <w:sz w:val="18"/>
                <w:szCs w:val="18"/>
              </w:rPr>
            </w:pPr>
            <w:r w:rsidRPr="005D2EE7">
              <w:rPr>
                <w:rFonts w:ascii="Arial" w:hAnsi="Arial" w:cs="Arial"/>
                <w:sz w:val="18"/>
                <w:szCs w:val="18"/>
              </w:rPr>
              <w:t xml:space="preserve">1,166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0C8483B" w14:textId="77777777">
            <w:pPr>
              <w:jc w:val="center"/>
              <w:rPr>
                <w:rFonts w:ascii="Arial" w:hAnsi="Arial" w:cs="Arial"/>
                <w:sz w:val="18"/>
                <w:szCs w:val="18"/>
              </w:rPr>
            </w:pPr>
            <w:r w:rsidRPr="005D2EE7">
              <w:rPr>
                <w:rFonts w:ascii="Arial" w:hAnsi="Arial" w:cs="Arial"/>
                <w:sz w:val="18"/>
                <w:szCs w:val="18"/>
              </w:rPr>
              <w:t>(753)</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E87FB4A" w14:textId="77777777">
            <w:pPr>
              <w:rPr>
                <w:rFonts w:ascii="Arial" w:hAnsi="Arial" w:cs="Arial"/>
                <w:sz w:val="18"/>
                <w:szCs w:val="18"/>
              </w:rPr>
            </w:pPr>
            <w:r w:rsidRPr="005D2EE7">
              <w:rPr>
                <w:rFonts w:ascii="Arial" w:hAnsi="Arial" w:cs="Arial"/>
                <w:sz w:val="18"/>
                <w:szCs w:val="18"/>
              </w:rPr>
              <w:t>estimate</w:t>
            </w:r>
          </w:p>
        </w:tc>
      </w:tr>
      <w:tr w:rsidRPr="005D2EE7" w:rsidR="008950AE" w:rsidTr="005D2EE7" w14:paraId="0D58CAAD" w14:textId="77777777">
        <w:trPr>
          <w:trHeight w:val="300"/>
          <w:jc w:val="center"/>
        </w:trPr>
        <w:tc>
          <w:tcPr>
            <w:tcW w:w="1107" w:type="dxa"/>
            <w:tcBorders>
              <w:top w:val="nil"/>
              <w:left w:val="nil"/>
              <w:bottom w:val="nil"/>
              <w:right w:val="nil"/>
            </w:tcBorders>
            <w:shd w:val="clear" w:color="auto" w:fill="auto"/>
            <w:noWrap/>
            <w:vAlign w:val="center"/>
          </w:tcPr>
          <w:p w:rsidRPr="005D2EE7" w:rsidR="008950AE" w:rsidP="005D2EE7" w:rsidRDefault="008950AE" w14:paraId="61962E1A" w14:textId="77777777">
            <w:pPr>
              <w:rPr>
                <w:rFonts w:ascii="Arial" w:hAnsi="Arial" w:cs="Arial"/>
                <w:sz w:val="18"/>
                <w:szCs w:val="18"/>
              </w:rPr>
            </w:pPr>
          </w:p>
        </w:tc>
        <w:tc>
          <w:tcPr>
            <w:tcW w:w="2765" w:type="dxa"/>
            <w:tcBorders>
              <w:top w:val="nil"/>
              <w:left w:val="nil"/>
              <w:bottom w:val="nil"/>
              <w:right w:val="nil"/>
            </w:tcBorders>
            <w:shd w:val="clear" w:color="auto" w:fill="auto"/>
            <w:noWrap/>
            <w:vAlign w:val="center"/>
          </w:tcPr>
          <w:p w:rsidRPr="005D2EE7" w:rsidR="008950AE" w:rsidP="005D2EE7" w:rsidRDefault="008950AE" w14:paraId="59737462" w14:textId="77777777">
            <w:pPr>
              <w:rPr>
                <w:rFonts w:ascii="Arial" w:hAnsi="Arial" w:cs="Arial"/>
                <w:sz w:val="18"/>
                <w:szCs w:val="18"/>
              </w:rPr>
            </w:pPr>
          </w:p>
        </w:tc>
        <w:tc>
          <w:tcPr>
            <w:tcW w:w="1467" w:type="dxa"/>
            <w:tcBorders>
              <w:top w:val="nil"/>
              <w:left w:val="nil"/>
              <w:bottom w:val="nil"/>
              <w:right w:val="nil"/>
            </w:tcBorders>
            <w:shd w:val="clear" w:color="auto" w:fill="auto"/>
            <w:noWrap/>
            <w:vAlign w:val="center"/>
          </w:tcPr>
          <w:p w:rsidRPr="005D2EE7" w:rsidR="008950AE" w:rsidP="005D2EE7" w:rsidRDefault="008950AE" w14:paraId="3D44C4BE" w14:textId="77777777">
            <w:pPr>
              <w:rPr>
                <w:rFonts w:ascii="Arial" w:hAnsi="Arial" w:cs="Arial"/>
                <w:sz w:val="18"/>
                <w:szCs w:val="18"/>
              </w:rPr>
            </w:pPr>
          </w:p>
        </w:tc>
        <w:tc>
          <w:tcPr>
            <w:tcW w:w="1380" w:type="dxa"/>
            <w:tcBorders>
              <w:top w:val="nil"/>
              <w:left w:val="nil"/>
              <w:bottom w:val="nil"/>
              <w:right w:val="nil"/>
            </w:tcBorders>
            <w:shd w:val="clear" w:color="auto" w:fill="auto"/>
            <w:noWrap/>
            <w:vAlign w:val="center"/>
          </w:tcPr>
          <w:p w:rsidRPr="005D2EE7" w:rsidR="008950AE" w:rsidP="005D2EE7" w:rsidRDefault="008950AE" w14:paraId="123C9181" w14:textId="77777777">
            <w:pPr>
              <w:jc w:val="center"/>
              <w:rPr>
                <w:rFonts w:ascii="Arial" w:hAnsi="Arial" w:cs="Arial"/>
                <w:sz w:val="18"/>
                <w:szCs w:val="18"/>
              </w:rPr>
            </w:pPr>
          </w:p>
        </w:tc>
        <w:tc>
          <w:tcPr>
            <w:tcW w:w="1380" w:type="dxa"/>
            <w:tcBorders>
              <w:top w:val="nil"/>
              <w:left w:val="nil"/>
              <w:bottom w:val="nil"/>
              <w:right w:val="nil"/>
            </w:tcBorders>
            <w:shd w:val="clear" w:color="auto" w:fill="auto"/>
            <w:noWrap/>
            <w:vAlign w:val="center"/>
          </w:tcPr>
          <w:p w:rsidRPr="005D2EE7" w:rsidR="008950AE" w:rsidP="005D2EE7" w:rsidRDefault="008950AE" w14:paraId="38A6CB98" w14:textId="77777777">
            <w:pPr>
              <w:jc w:val="center"/>
              <w:rPr>
                <w:rFonts w:ascii="Arial" w:hAnsi="Arial" w:cs="Arial"/>
                <w:sz w:val="18"/>
                <w:szCs w:val="18"/>
              </w:rPr>
            </w:pPr>
          </w:p>
        </w:tc>
        <w:tc>
          <w:tcPr>
            <w:tcW w:w="1380" w:type="dxa"/>
            <w:tcBorders>
              <w:top w:val="nil"/>
              <w:left w:val="nil"/>
              <w:bottom w:val="nil"/>
              <w:right w:val="nil"/>
            </w:tcBorders>
            <w:shd w:val="clear" w:color="auto" w:fill="auto"/>
            <w:noWrap/>
            <w:vAlign w:val="center"/>
          </w:tcPr>
          <w:p w:rsidRPr="005D2EE7" w:rsidR="008950AE" w:rsidP="005D2EE7" w:rsidRDefault="008950AE" w14:paraId="71DD55DD" w14:textId="77777777">
            <w:pPr>
              <w:jc w:val="center"/>
              <w:rPr>
                <w:rFonts w:ascii="Arial" w:hAnsi="Arial" w:cs="Arial"/>
                <w:sz w:val="18"/>
                <w:szCs w:val="18"/>
              </w:rPr>
            </w:pPr>
          </w:p>
        </w:tc>
        <w:tc>
          <w:tcPr>
            <w:tcW w:w="1380" w:type="dxa"/>
            <w:tcBorders>
              <w:top w:val="nil"/>
              <w:left w:val="nil"/>
              <w:bottom w:val="nil"/>
              <w:right w:val="nil"/>
            </w:tcBorders>
            <w:shd w:val="clear" w:color="auto" w:fill="auto"/>
            <w:noWrap/>
            <w:vAlign w:val="center"/>
          </w:tcPr>
          <w:p w:rsidRPr="005D2EE7" w:rsidR="008950AE" w:rsidP="005D2EE7" w:rsidRDefault="008950AE" w14:paraId="533402B5" w14:textId="77777777">
            <w:pPr>
              <w:rPr>
                <w:rFonts w:ascii="Arial" w:hAnsi="Arial" w:cs="Arial"/>
                <w:sz w:val="18"/>
                <w:szCs w:val="18"/>
              </w:rPr>
            </w:pPr>
          </w:p>
        </w:tc>
      </w:tr>
      <w:tr w:rsidRPr="005D2EE7" w:rsidR="008950AE" w:rsidTr="00987774" w14:paraId="12D825EA" w14:textId="77777777">
        <w:trPr>
          <w:trHeight w:val="300"/>
          <w:jc w:val="center"/>
        </w:trPr>
        <w:tc>
          <w:tcPr>
            <w:tcW w:w="1107" w:type="dxa"/>
            <w:tcBorders>
              <w:top w:val="nil"/>
              <w:left w:val="nil"/>
              <w:bottom w:val="nil"/>
              <w:right w:val="nil"/>
            </w:tcBorders>
            <w:shd w:val="clear" w:color="auto" w:fill="auto"/>
            <w:noWrap/>
            <w:vAlign w:val="bottom"/>
            <w:hideMark/>
          </w:tcPr>
          <w:p w:rsidRPr="005D2EE7" w:rsidR="008950AE" w:rsidP="00987774" w:rsidRDefault="008950AE" w14:paraId="437FB24B" w14:textId="77777777">
            <w:pPr>
              <w:rPr>
                <w:sz w:val="20"/>
                <w:szCs w:val="20"/>
              </w:rPr>
            </w:pPr>
          </w:p>
        </w:tc>
        <w:tc>
          <w:tcPr>
            <w:tcW w:w="2765" w:type="dxa"/>
            <w:tcBorders>
              <w:top w:val="nil"/>
              <w:left w:val="nil"/>
              <w:bottom w:val="nil"/>
              <w:right w:val="nil"/>
            </w:tcBorders>
            <w:shd w:val="clear" w:color="auto" w:fill="auto"/>
            <w:noWrap/>
            <w:vAlign w:val="bottom"/>
            <w:hideMark/>
          </w:tcPr>
          <w:p w:rsidRPr="005D2EE7" w:rsidR="008950AE" w:rsidP="00987774" w:rsidRDefault="008950AE" w14:paraId="14E7D1CC" w14:textId="77777777">
            <w:pPr>
              <w:rPr>
                <w:sz w:val="20"/>
                <w:szCs w:val="20"/>
              </w:rPr>
            </w:pPr>
          </w:p>
        </w:tc>
        <w:tc>
          <w:tcPr>
            <w:tcW w:w="1467" w:type="dxa"/>
            <w:tcBorders>
              <w:top w:val="nil"/>
              <w:left w:val="nil"/>
              <w:bottom w:val="nil"/>
              <w:right w:val="nil"/>
            </w:tcBorders>
            <w:shd w:val="clear" w:color="auto" w:fill="auto"/>
            <w:noWrap/>
            <w:vAlign w:val="center"/>
            <w:hideMark/>
          </w:tcPr>
          <w:p w:rsidRPr="005D2EE7" w:rsidR="008950AE" w:rsidP="00987774" w:rsidRDefault="008950AE" w14:paraId="1C683DD4" w14:textId="77777777">
            <w:pPr>
              <w:rPr>
                <w:sz w:val="20"/>
                <w:szCs w:val="20"/>
              </w:rPr>
            </w:pP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6618A2C3" w14:textId="77777777">
            <w:pPr>
              <w:jc w:val="center"/>
              <w:rPr>
                <w:rFonts w:ascii="Arial" w:hAnsi="Arial" w:cs="Arial"/>
                <w:b/>
                <w:bCs/>
                <w:sz w:val="18"/>
                <w:szCs w:val="18"/>
              </w:rPr>
            </w:pPr>
            <w:r w:rsidRPr="005D2EE7">
              <w:rPr>
                <w:rFonts w:ascii="Arial" w:hAnsi="Arial" w:cs="Arial"/>
                <w:b/>
                <w:bCs/>
                <w:sz w:val="18"/>
                <w:szCs w:val="18"/>
              </w:rPr>
              <w:t>CURRENT</w:t>
            </w: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5A290E3F" w14:textId="77777777">
            <w:pPr>
              <w:jc w:val="center"/>
              <w:rPr>
                <w:rFonts w:ascii="Arial" w:hAnsi="Arial" w:cs="Arial"/>
                <w:b/>
                <w:bCs/>
                <w:sz w:val="18"/>
                <w:szCs w:val="18"/>
              </w:rPr>
            </w:pPr>
            <w:r w:rsidRPr="005D2EE7">
              <w:rPr>
                <w:rFonts w:ascii="Arial" w:hAnsi="Arial" w:cs="Arial"/>
                <w:b/>
                <w:bCs/>
                <w:sz w:val="18"/>
                <w:szCs w:val="18"/>
              </w:rPr>
              <w:t>PREVIOUS</w:t>
            </w:r>
          </w:p>
        </w:tc>
        <w:tc>
          <w:tcPr>
            <w:tcW w:w="1380" w:type="dxa"/>
            <w:tcBorders>
              <w:top w:val="nil"/>
              <w:left w:val="nil"/>
              <w:bottom w:val="nil"/>
              <w:right w:val="nil"/>
            </w:tcBorders>
            <w:shd w:val="clear" w:color="auto" w:fill="auto"/>
            <w:noWrap/>
            <w:vAlign w:val="bottom"/>
            <w:hideMark/>
          </w:tcPr>
          <w:p w:rsidRPr="005D2EE7" w:rsidR="008950AE" w:rsidP="00987774" w:rsidRDefault="008950AE" w14:paraId="741466F1" w14:textId="77777777">
            <w:pPr>
              <w:jc w:val="center"/>
              <w:rPr>
                <w:rFonts w:ascii="Arial" w:hAnsi="Arial" w:cs="Arial"/>
                <w:b/>
                <w:bCs/>
                <w:sz w:val="18"/>
                <w:szCs w:val="18"/>
              </w:rPr>
            </w:pPr>
          </w:p>
        </w:tc>
        <w:tc>
          <w:tcPr>
            <w:tcW w:w="1380" w:type="dxa"/>
            <w:tcBorders>
              <w:top w:val="nil"/>
              <w:left w:val="nil"/>
              <w:bottom w:val="nil"/>
              <w:right w:val="nil"/>
            </w:tcBorders>
            <w:shd w:val="clear" w:color="auto" w:fill="auto"/>
            <w:noWrap/>
            <w:vAlign w:val="bottom"/>
            <w:hideMark/>
          </w:tcPr>
          <w:p w:rsidRPr="005D2EE7" w:rsidR="008950AE" w:rsidP="00987774" w:rsidRDefault="008950AE" w14:paraId="4DBE2682" w14:textId="77777777">
            <w:pPr>
              <w:rPr>
                <w:rFonts w:ascii="Arial" w:hAnsi="Arial" w:cs="Arial"/>
                <w:b/>
                <w:bCs/>
                <w:sz w:val="18"/>
                <w:szCs w:val="18"/>
              </w:rPr>
            </w:pPr>
            <w:r w:rsidRPr="005D2EE7">
              <w:rPr>
                <w:rFonts w:ascii="Arial" w:hAnsi="Arial" w:cs="Arial"/>
                <w:b/>
                <w:bCs/>
                <w:sz w:val="18"/>
                <w:szCs w:val="18"/>
              </w:rPr>
              <w:t>TYPE OF</w:t>
            </w:r>
          </w:p>
        </w:tc>
      </w:tr>
      <w:tr w:rsidRPr="005D2EE7" w:rsidR="008950AE" w:rsidTr="00987774" w14:paraId="0345264F"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8950AE" w:rsidP="00987774" w:rsidRDefault="008950AE" w14:paraId="09334FF0" w14:textId="77777777">
            <w:pPr>
              <w:rPr>
                <w:rFonts w:ascii="Arial" w:hAnsi="Arial" w:cs="Arial"/>
                <w:b/>
                <w:bCs/>
                <w:sz w:val="18"/>
                <w:szCs w:val="18"/>
                <w:u w:val="single"/>
              </w:rPr>
            </w:pPr>
            <w:r w:rsidRPr="005D2EE7">
              <w:rPr>
                <w:rFonts w:ascii="Arial" w:hAnsi="Arial" w:cs="Arial"/>
                <w:b/>
                <w:bCs/>
                <w:sz w:val="18"/>
                <w:szCs w:val="18"/>
                <w:u w:val="single"/>
              </w:rPr>
              <w:t>9 CFR</w:t>
            </w:r>
          </w:p>
        </w:tc>
        <w:tc>
          <w:tcPr>
            <w:tcW w:w="2765" w:type="dxa"/>
            <w:tcBorders>
              <w:top w:val="nil"/>
              <w:left w:val="nil"/>
              <w:bottom w:val="nil"/>
              <w:right w:val="nil"/>
            </w:tcBorders>
            <w:shd w:val="clear" w:color="auto" w:fill="auto"/>
            <w:noWrap/>
            <w:vAlign w:val="center"/>
            <w:hideMark/>
          </w:tcPr>
          <w:p w:rsidRPr="005D2EE7" w:rsidR="008950AE" w:rsidP="00987774" w:rsidRDefault="008950AE" w14:paraId="108E5A12" w14:textId="77777777">
            <w:pPr>
              <w:rPr>
                <w:rFonts w:ascii="Arial" w:hAnsi="Arial" w:cs="Arial"/>
                <w:b/>
                <w:bCs/>
                <w:sz w:val="18"/>
                <w:szCs w:val="18"/>
                <w:u w:val="single"/>
              </w:rPr>
            </w:pPr>
            <w:r w:rsidRPr="005D2EE7">
              <w:rPr>
                <w:rFonts w:ascii="Arial" w:hAnsi="Arial" w:cs="Arial"/>
                <w:b/>
                <w:bCs/>
                <w:sz w:val="18"/>
                <w:szCs w:val="18"/>
                <w:u w:val="single"/>
              </w:rPr>
              <w:t>ACTIVITY</w:t>
            </w:r>
          </w:p>
        </w:tc>
        <w:tc>
          <w:tcPr>
            <w:tcW w:w="1467" w:type="dxa"/>
            <w:tcBorders>
              <w:top w:val="nil"/>
              <w:left w:val="nil"/>
              <w:bottom w:val="nil"/>
              <w:right w:val="nil"/>
            </w:tcBorders>
            <w:shd w:val="clear" w:color="auto" w:fill="auto"/>
            <w:noWrap/>
            <w:vAlign w:val="center"/>
            <w:hideMark/>
          </w:tcPr>
          <w:p w:rsidRPr="005D2EE7" w:rsidR="008950AE" w:rsidP="00987774" w:rsidRDefault="008950AE" w14:paraId="40221AA3" w14:textId="77777777">
            <w:pPr>
              <w:rPr>
                <w:rFonts w:ascii="Arial" w:hAnsi="Arial" w:cs="Arial"/>
                <w:b/>
                <w:bCs/>
                <w:sz w:val="18"/>
                <w:szCs w:val="18"/>
                <w:u w:val="single"/>
              </w:rPr>
            </w:pPr>
            <w:r w:rsidRPr="005D2EE7">
              <w:rPr>
                <w:rFonts w:ascii="Arial" w:hAnsi="Arial" w:cs="Arial"/>
                <w:b/>
                <w:bCs/>
                <w:sz w:val="18"/>
                <w:szCs w:val="18"/>
                <w:u w:val="single"/>
              </w:rPr>
              <w:t>RESPONDENT</w:t>
            </w: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7764BE98" w14:textId="77777777">
            <w:pPr>
              <w:jc w:val="center"/>
              <w:rPr>
                <w:rFonts w:ascii="Arial" w:hAnsi="Arial" w:cs="Arial"/>
                <w:b/>
                <w:bCs/>
                <w:sz w:val="18"/>
                <w:szCs w:val="18"/>
                <w:u w:val="single"/>
              </w:rPr>
            </w:pPr>
            <w:r w:rsidRPr="005D2EE7">
              <w:rPr>
                <w:rFonts w:ascii="Arial" w:hAnsi="Arial" w:cs="Arial"/>
                <w:b/>
                <w:bCs/>
                <w:sz w:val="18"/>
                <w:szCs w:val="18"/>
                <w:u w:val="single"/>
              </w:rPr>
              <w:t>BURDEN</w:t>
            </w: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6EF0D62F" w14:textId="77777777">
            <w:pPr>
              <w:jc w:val="center"/>
              <w:rPr>
                <w:rFonts w:ascii="Arial" w:hAnsi="Arial" w:cs="Arial"/>
                <w:b/>
                <w:bCs/>
                <w:sz w:val="18"/>
                <w:szCs w:val="18"/>
                <w:u w:val="single"/>
              </w:rPr>
            </w:pPr>
            <w:r w:rsidRPr="005D2EE7">
              <w:rPr>
                <w:rFonts w:ascii="Arial" w:hAnsi="Arial" w:cs="Arial"/>
                <w:b/>
                <w:bCs/>
                <w:sz w:val="18"/>
                <w:szCs w:val="18"/>
                <w:u w:val="single"/>
              </w:rPr>
              <w:t>BURDEN</w:t>
            </w:r>
          </w:p>
        </w:tc>
        <w:tc>
          <w:tcPr>
            <w:tcW w:w="1380" w:type="dxa"/>
            <w:tcBorders>
              <w:top w:val="nil"/>
              <w:left w:val="nil"/>
              <w:bottom w:val="nil"/>
              <w:right w:val="nil"/>
            </w:tcBorders>
            <w:shd w:val="clear" w:color="auto" w:fill="auto"/>
            <w:noWrap/>
            <w:vAlign w:val="bottom"/>
            <w:hideMark/>
          </w:tcPr>
          <w:p w:rsidRPr="005D2EE7" w:rsidR="008950AE" w:rsidP="00987774" w:rsidRDefault="008950AE" w14:paraId="2855CAC7" w14:textId="77777777">
            <w:pPr>
              <w:jc w:val="center"/>
              <w:rPr>
                <w:rFonts w:ascii="Arial" w:hAnsi="Arial" w:cs="Arial"/>
                <w:b/>
                <w:bCs/>
                <w:sz w:val="18"/>
                <w:szCs w:val="18"/>
                <w:u w:val="single"/>
              </w:rPr>
            </w:pPr>
            <w:r w:rsidRPr="005D2EE7">
              <w:rPr>
                <w:rFonts w:ascii="Arial" w:hAnsi="Arial" w:cs="Arial"/>
                <w:b/>
                <w:bCs/>
                <w:sz w:val="18"/>
                <w:szCs w:val="18"/>
                <w:u w:val="single"/>
              </w:rPr>
              <w:t>CHANGE</w:t>
            </w:r>
          </w:p>
        </w:tc>
        <w:tc>
          <w:tcPr>
            <w:tcW w:w="1380" w:type="dxa"/>
            <w:tcBorders>
              <w:top w:val="nil"/>
              <w:left w:val="nil"/>
              <w:bottom w:val="nil"/>
              <w:right w:val="nil"/>
            </w:tcBorders>
            <w:shd w:val="clear" w:color="auto" w:fill="auto"/>
            <w:noWrap/>
            <w:vAlign w:val="center"/>
            <w:hideMark/>
          </w:tcPr>
          <w:p w:rsidRPr="005D2EE7" w:rsidR="008950AE" w:rsidP="00987774" w:rsidRDefault="008950AE" w14:paraId="7E50F7F3" w14:textId="77777777">
            <w:pPr>
              <w:rPr>
                <w:rFonts w:ascii="Arial" w:hAnsi="Arial" w:cs="Arial"/>
                <w:b/>
                <w:bCs/>
                <w:sz w:val="18"/>
                <w:szCs w:val="18"/>
                <w:u w:val="single"/>
              </w:rPr>
            </w:pPr>
            <w:r w:rsidRPr="005D2EE7">
              <w:rPr>
                <w:rFonts w:ascii="Arial" w:hAnsi="Arial" w:cs="Arial"/>
                <w:b/>
                <w:bCs/>
                <w:sz w:val="18"/>
                <w:szCs w:val="18"/>
                <w:u w:val="single"/>
              </w:rPr>
              <w:t>CHANGE</w:t>
            </w:r>
          </w:p>
        </w:tc>
      </w:tr>
      <w:tr w:rsidRPr="005D2EE7" w:rsidR="005D2EE7" w:rsidTr="005D2EE7" w14:paraId="4023615C"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4037D11" w14:textId="77777777">
            <w:pPr>
              <w:rPr>
                <w:rFonts w:ascii="Arial" w:hAnsi="Arial" w:cs="Arial"/>
                <w:sz w:val="18"/>
                <w:szCs w:val="18"/>
              </w:rPr>
            </w:pPr>
            <w:r w:rsidRPr="005D2EE7">
              <w:rPr>
                <w:rFonts w:ascii="Arial" w:hAnsi="Arial" w:cs="Arial"/>
                <w:sz w:val="18"/>
                <w:szCs w:val="18"/>
              </w:rPr>
              <w:t xml:space="preserve">102.4, 114.7 </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4E1CFEA" w14:textId="77777777">
            <w:pPr>
              <w:rPr>
                <w:rFonts w:ascii="Arial" w:hAnsi="Arial" w:cs="Arial"/>
                <w:sz w:val="18"/>
                <w:szCs w:val="18"/>
              </w:rPr>
            </w:pPr>
            <w:r w:rsidRPr="005D2EE7">
              <w:rPr>
                <w:rFonts w:ascii="Arial" w:hAnsi="Arial" w:cs="Arial"/>
                <w:sz w:val="18"/>
                <w:szCs w:val="18"/>
              </w:rPr>
              <w:t>APHIS Form 2007</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5F21C94"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43F01B4" w14:textId="77777777">
            <w:pPr>
              <w:jc w:val="center"/>
              <w:rPr>
                <w:rFonts w:ascii="Arial" w:hAnsi="Arial" w:cs="Arial"/>
                <w:sz w:val="18"/>
                <w:szCs w:val="18"/>
              </w:rPr>
            </w:pPr>
            <w:r w:rsidRPr="005D2EE7">
              <w:rPr>
                <w:rFonts w:ascii="Arial" w:hAnsi="Arial" w:cs="Arial"/>
                <w:sz w:val="18"/>
                <w:szCs w:val="18"/>
              </w:rPr>
              <w:t xml:space="preserve">234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031291C" w14:textId="77777777">
            <w:pPr>
              <w:jc w:val="center"/>
              <w:rPr>
                <w:rFonts w:ascii="Arial" w:hAnsi="Arial" w:cs="Arial"/>
                <w:sz w:val="18"/>
                <w:szCs w:val="18"/>
              </w:rPr>
            </w:pPr>
            <w:r w:rsidRPr="005D2EE7">
              <w:rPr>
                <w:rFonts w:ascii="Arial" w:hAnsi="Arial" w:cs="Arial"/>
                <w:sz w:val="18"/>
                <w:szCs w:val="18"/>
              </w:rPr>
              <w:t xml:space="preserve">144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9030565" w14:textId="77777777">
            <w:pPr>
              <w:jc w:val="center"/>
              <w:rPr>
                <w:rFonts w:ascii="Arial" w:hAnsi="Arial" w:cs="Arial"/>
                <w:sz w:val="18"/>
                <w:szCs w:val="18"/>
              </w:rPr>
            </w:pPr>
            <w:r w:rsidRPr="005D2EE7">
              <w:rPr>
                <w:rFonts w:ascii="Arial" w:hAnsi="Arial" w:cs="Arial"/>
                <w:sz w:val="18"/>
                <w:szCs w:val="18"/>
              </w:rPr>
              <w:t xml:space="preserve">90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3F2AEA8"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18EFB610"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85AE9DA" w14:textId="77777777">
            <w:pPr>
              <w:rPr>
                <w:rFonts w:ascii="Arial" w:hAnsi="Arial" w:cs="Arial"/>
                <w:sz w:val="18"/>
                <w:szCs w:val="18"/>
              </w:rPr>
            </w:pPr>
            <w:r w:rsidRPr="005D2EE7">
              <w:rPr>
                <w:rFonts w:ascii="Arial" w:hAnsi="Arial" w:cs="Arial"/>
                <w:sz w:val="18"/>
                <w:szCs w:val="18"/>
              </w:rPr>
              <w:t>102.6</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2CA2B75" w14:textId="77777777">
            <w:pPr>
              <w:rPr>
                <w:rFonts w:ascii="Arial" w:hAnsi="Arial" w:cs="Arial"/>
                <w:sz w:val="18"/>
                <w:szCs w:val="18"/>
              </w:rPr>
            </w:pPr>
            <w:r w:rsidRPr="005D2EE7">
              <w:rPr>
                <w:rFonts w:ascii="Arial" w:hAnsi="Arial" w:cs="Arial"/>
                <w:sz w:val="18"/>
                <w:szCs w:val="18"/>
              </w:rPr>
              <w:t>Petition for Reissue</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60F20A7C"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0890EDD" w14:textId="77777777">
            <w:pPr>
              <w:jc w:val="center"/>
              <w:rPr>
                <w:rFonts w:ascii="Arial" w:hAnsi="Arial" w:cs="Arial"/>
                <w:sz w:val="18"/>
                <w:szCs w:val="18"/>
              </w:rPr>
            </w:pPr>
            <w:r w:rsidRPr="005D2EE7">
              <w:rPr>
                <w:rFonts w:ascii="Arial" w:hAnsi="Arial" w:cs="Arial"/>
                <w:sz w:val="18"/>
                <w:szCs w:val="18"/>
              </w:rPr>
              <w:t xml:space="preserve">24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50C09A0" w14:textId="77777777">
            <w:pPr>
              <w:jc w:val="center"/>
              <w:rPr>
                <w:rFonts w:ascii="Arial" w:hAnsi="Arial" w:cs="Arial"/>
                <w:sz w:val="18"/>
                <w:szCs w:val="18"/>
              </w:rPr>
            </w:pPr>
            <w:r w:rsidRPr="005D2EE7">
              <w:rPr>
                <w:rFonts w:ascii="Arial" w:hAnsi="Arial" w:cs="Arial"/>
                <w:sz w:val="18"/>
                <w:szCs w:val="18"/>
              </w:rPr>
              <w:t xml:space="preserve">10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9DA3B0F" w14:textId="77777777">
            <w:pPr>
              <w:jc w:val="center"/>
              <w:rPr>
                <w:rFonts w:ascii="Arial" w:hAnsi="Arial" w:cs="Arial"/>
                <w:sz w:val="18"/>
                <w:szCs w:val="18"/>
              </w:rPr>
            </w:pPr>
            <w:r w:rsidRPr="005D2EE7">
              <w:rPr>
                <w:rFonts w:ascii="Arial" w:hAnsi="Arial" w:cs="Arial"/>
                <w:sz w:val="18"/>
                <w:szCs w:val="18"/>
              </w:rPr>
              <w:t xml:space="preserve">14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418728F"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7AFB98D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F283CAF" w14:textId="77777777">
            <w:pPr>
              <w:rPr>
                <w:rFonts w:ascii="Arial" w:hAnsi="Arial" w:cs="Arial"/>
                <w:sz w:val="18"/>
                <w:szCs w:val="18"/>
              </w:rPr>
            </w:pPr>
            <w:r w:rsidRPr="005D2EE7">
              <w:rPr>
                <w:rFonts w:ascii="Arial" w:hAnsi="Arial" w:cs="Arial"/>
                <w:sz w:val="18"/>
                <w:szCs w:val="18"/>
              </w:rPr>
              <w:t>103.1</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5ACDA3F" w14:textId="77777777">
            <w:pPr>
              <w:rPr>
                <w:rFonts w:ascii="Arial" w:hAnsi="Arial" w:cs="Arial"/>
                <w:sz w:val="18"/>
                <w:szCs w:val="18"/>
              </w:rPr>
            </w:pPr>
            <w:r w:rsidRPr="005D2EE7">
              <w:rPr>
                <w:rFonts w:ascii="Arial" w:hAnsi="Arial" w:cs="Arial"/>
                <w:sz w:val="18"/>
                <w:szCs w:val="18"/>
              </w:rPr>
              <w:t>Application to Produce</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533D601A"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49CAEA4" w14:textId="77777777">
            <w:pPr>
              <w:jc w:val="center"/>
              <w:rPr>
                <w:rFonts w:ascii="Arial" w:hAnsi="Arial" w:cs="Arial"/>
                <w:sz w:val="18"/>
                <w:szCs w:val="18"/>
              </w:rPr>
            </w:pPr>
            <w:r w:rsidRPr="005D2EE7">
              <w:rPr>
                <w:rFonts w:ascii="Arial" w:hAnsi="Arial" w:cs="Arial"/>
                <w:sz w:val="18"/>
                <w:szCs w:val="18"/>
              </w:rPr>
              <w:t xml:space="preserve">56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9E4CAAE" w14:textId="77777777">
            <w:pPr>
              <w:jc w:val="center"/>
              <w:rPr>
                <w:rFonts w:ascii="Arial" w:hAnsi="Arial" w:cs="Arial"/>
                <w:sz w:val="18"/>
                <w:szCs w:val="18"/>
              </w:rPr>
            </w:pPr>
            <w:r w:rsidRPr="005D2EE7">
              <w:rPr>
                <w:rFonts w:ascii="Arial" w:hAnsi="Arial" w:cs="Arial"/>
                <w:sz w:val="18"/>
                <w:szCs w:val="18"/>
              </w:rPr>
              <w:t xml:space="preserve">25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9404DDB" w14:textId="77777777">
            <w:pPr>
              <w:jc w:val="center"/>
              <w:rPr>
                <w:rFonts w:ascii="Arial" w:hAnsi="Arial" w:cs="Arial"/>
                <w:sz w:val="18"/>
                <w:szCs w:val="18"/>
              </w:rPr>
            </w:pPr>
            <w:r w:rsidRPr="005D2EE7">
              <w:rPr>
                <w:rFonts w:ascii="Arial" w:hAnsi="Arial" w:cs="Arial"/>
                <w:sz w:val="18"/>
                <w:szCs w:val="18"/>
              </w:rPr>
              <w:t xml:space="preserve">31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2F77976"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0DDBCE47"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122EB9D" w14:textId="77777777">
            <w:pPr>
              <w:rPr>
                <w:rFonts w:ascii="Arial" w:hAnsi="Arial" w:cs="Arial"/>
                <w:sz w:val="18"/>
                <w:szCs w:val="18"/>
              </w:rPr>
            </w:pPr>
            <w:r w:rsidRPr="005D2EE7">
              <w:rPr>
                <w:rFonts w:ascii="Arial" w:hAnsi="Arial" w:cs="Arial"/>
                <w:sz w:val="18"/>
                <w:szCs w:val="18"/>
              </w:rPr>
              <w:t>103.3</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53B59D68" w14:textId="77777777">
            <w:pPr>
              <w:rPr>
                <w:rFonts w:ascii="Arial" w:hAnsi="Arial" w:cs="Arial"/>
                <w:sz w:val="18"/>
                <w:szCs w:val="18"/>
              </w:rPr>
            </w:pPr>
            <w:r w:rsidRPr="005D2EE7">
              <w:rPr>
                <w:rFonts w:ascii="Arial" w:hAnsi="Arial" w:cs="Arial"/>
                <w:sz w:val="18"/>
                <w:szCs w:val="18"/>
              </w:rPr>
              <w:t>APHIS Form 2071</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79648189"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FCA4E0C" w14:textId="77777777">
            <w:pPr>
              <w:jc w:val="center"/>
              <w:rPr>
                <w:rFonts w:ascii="Arial" w:hAnsi="Arial" w:cs="Arial"/>
                <w:sz w:val="18"/>
                <w:szCs w:val="18"/>
              </w:rPr>
            </w:pPr>
            <w:r w:rsidRPr="005D2EE7">
              <w:rPr>
                <w:rFonts w:ascii="Arial" w:hAnsi="Arial" w:cs="Arial"/>
                <w:sz w:val="18"/>
                <w:szCs w:val="18"/>
              </w:rPr>
              <w:t xml:space="preserve">315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F20DDC7" w14:textId="77777777">
            <w:pPr>
              <w:jc w:val="center"/>
              <w:rPr>
                <w:rFonts w:ascii="Arial" w:hAnsi="Arial" w:cs="Arial"/>
                <w:sz w:val="18"/>
                <w:szCs w:val="18"/>
              </w:rPr>
            </w:pPr>
            <w:r w:rsidRPr="005D2EE7">
              <w:rPr>
                <w:rFonts w:ascii="Arial" w:hAnsi="Arial" w:cs="Arial"/>
                <w:sz w:val="18"/>
                <w:szCs w:val="18"/>
              </w:rPr>
              <w:t xml:space="preserve">360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AE8F6B5" w14:textId="77777777">
            <w:pPr>
              <w:jc w:val="center"/>
              <w:rPr>
                <w:rFonts w:ascii="Arial" w:hAnsi="Arial" w:cs="Arial"/>
                <w:sz w:val="18"/>
                <w:szCs w:val="18"/>
              </w:rPr>
            </w:pPr>
            <w:r w:rsidRPr="005D2EE7">
              <w:rPr>
                <w:rFonts w:ascii="Arial" w:hAnsi="Arial" w:cs="Arial"/>
                <w:sz w:val="18"/>
                <w:szCs w:val="18"/>
              </w:rPr>
              <w:t>(45)</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64D484E"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2E64C2C2"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48529AC" w14:textId="77777777">
            <w:pPr>
              <w:rPr>
                <w:rFonts w:ascii="Arial" w:hAnsi="Arial" w:cs="Arial"/>
                <w:sz w:val="18"/>
                <w:szCs w:val="18"/>
              </w:rPr>
            </w:pPr>
            <w:r w:rsidRPr="005D2EE7">
              <w:rPr>
                <w:rFonts w:ascii="Arial" w:hAnsi="Arial" w:cs="Arial"/>
                <w:sz w:val="18"/>
                <w:szCs w:val="18"/>
              </w:rPr>
              <w:t>104.5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39C87F2" w14:textId="77777777">
            <w:pPr>
              <w:rPr>
                <w:rFonts w:ascii="Arial" w:hAnsi="Arial" w:cs="Arial"/>
                <w:sz w:val="18"/>
                <w:szCs w:val="18"/>
              </w:rPr>
            </w:pPr>
            <w:r w:rsidRPr="005D2EE7">
              <w:rPr>
                <w:rFonts w:ascii="Arial" w:hAnsi="Arial" w:cs="Arial"/>
                <w:sz w:val="18"/>
                <w:szCs w:val="18"/>
              </w:rPr>
              <w:t>APHIS Form 2005</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67182E4C"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5B4FC38" w14:textId="77777777">
            <w:pPr>
              <w:jc w:val="center"/>
              <w:rPr>
                <w:rFonts w:ascii="Arial" w:hAnsi="Arial" w:cs="Arial"/>
                <w:sz w:val="18"/>
                <w:szCs w:val="18"/>
              </w:rPr>
            </w:pPr>
            <w:r w:rsidRPr="005D2EE7">
              <w:rPr>
                <w:rFonts w:ascii="Arial" w:hAnsi="Arial" w:cs="Arial"/>
                <w:sz w:val="18"/>
                <w:szCs w:val="18"/>
              </w:rPr>
              <w:t xml:space="preserve">540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B3CA552" w14:textId="77777777">
            <w:pPr>
              <w:jc w:val="center"/>
              <w:rPr>
                <w:rFonts w:ascii="Arial" w:hAnsi="Arial" w:cs="Arial"/>
                <w:sz w:val="18"/>
                <w:szCs w:val="18"/>
              </w:rPr>
            </w:pPr>
            <w:r w:rsidRPr="005D2EE7">
              <w:rPr>
                <w:rFonts w:ascii="Arial" w:hAnsi="Arial" w:cs="Arial"/>
                <w:sz w:val="18"/>
                <w:szCs w:val="18"/>
              </w:rPr>
              <w:t xml:space="preserve">220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09EFE60" w14:textId="77777777">
            <w:pPr>
              <w:jc w:val="center"/>
              <w:rPr>
                <w:rFonts w:ascii="Arial" w:hAnsi="Arial" w:cs="Arial"/>
                <w:sz w:val="18"/>
                <w:szCs w:val="18"/>
              </w:rPr>
            </w:pPr>
            <w:r w:rsidRPr="005D2EE7">
              <w:rPr>
                <w:rFonts w:ascii="Arial" w:hAnsi="Arial" w:cs="Arial"/>
                <w:sz w:val="18"/>
                <w:szCs w:val="18"/>
              </w:rPr>
              <w:t xml:space="preserve">320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E917C91"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4A7D510C"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A905E85" w14:textId="77777777">
            <w:pPr>
              <w:rPr>
                <w:rFonts w:ascii="Arial" w:hAnsi="Arial" w:cs="Arial"/>
                <w:sz w:val="18"/>
                <w:szCs w:val="18"/>
              </w:rPr>
            </w:pPr>
            <w:r w:rsidRPr="005D2EE7">
              <w:rPr>
                <w:rFonts w:ascii="Arial" w:hAnsi="Arial" w:cs="Arial"/>
                <w:sz w:val="18"/>
                <w:szCs w:val="18"/>
              </w:rPr>
              <w:t>105.4</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F87108C" w14:textId="77777777">
            <w:pPr>
              <w:rPr>
                <w:rFonts w:ascii="Arial" w:hAnsi="Arial" w:cs="Arial"/>
                <w:sz w:val="18"/>
                <w:szCs w:val="18"/>
              </w:rPr>
            </w:pPr>
            <w:r w:rsidRPr="005D2EE7">
              <w:rPr>
                <w:rFonts w:ascii="Arial" w:hAnsi="Arial" w:cs="Arial"/>
                <w:sz w:val="18"/>
                <w:szCs w:val="18"/>
              </w:rPr>
              <w:t>Show Intent/Production</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3B92AAD8"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4B0EE19" w14:textId="77777777">
            <w:pPr>
              <w:jc w:val="center"/>
              <w:rPr>
                <w:rFonts w:ascii="Arial" w:hAnsi="Arial" w:cs="Arial"/>
                <w:sz w:val="18"/>
                <w:szCs w:val="18"/>
              </w:rPr>
            </w:pPr>
            <w:r w:rsidRPr="005D2EE7">
              <w:rPr>
                <w:rFonts w:ascii="Arial" w:hAnsi="Arial" w:cs="Arial"/>
                <w:sz w:val="18"/>
                <w:szCs w:val="18"/>
              </w:rPr>
              <w:t xml:space="preserve">9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2AAEF74" w14:textId="77777777">
            <w:pPr>
              <w:jc w:val="center"/>
              <w:rPr>
                <w:rFonts w:ascii="Arial" w:hAnsi="Arial" w:cs="Arial"/>
                <w:sz w:val="18"/>
                <w:szCs w:val="18"/>
              </w:rPr>
            </w:pPr>
            <w:r w:rsidRPr="005D2EE7">
              <w:rPr>
                <w:rFonts w:ascii="Arial" w:hAnsi="Arial" w:cs="Arial"/>
                <w:sz w:val="18"/>
                <w:szCs w:val="18"/>
              </w:rPr>
              <w:t xml:space="preserve">50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2B0FBB9" w14:textId="77777777">
            <w:pPr>
              <w:jc w:val="center"/>
              <w:rPr>
                <w:rFonts w:ascii="Arial" w:hAnsi="Arial" w:cs="Arial"/>
                <w:sz w:val="18"/>
                <w:szCs w:val="18"/>
              </w:rPr>
            </w:pPr>
            <w:r w:rsidRPr="005D2EE7">
              <w:rPr>
                <w:rFonts w:ascii="Arial" w:hAnsi="Arial" w:cs="Arial"/>
                <w:sz w:val="18"/>
                <w:szCs w:val="18"/>
              </w:rPr>
              <w:t>(41)</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AB5C618"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3FF65635"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49B1A64" w14:textId="77777777">
            <w:pPr>
              <w:rPr>
                <w:rFonts w:ascii="Arial" w:hAnsi="Arial" w:cs="Arial"/>
                <w:sz w:val="18"/>
                <w:szCs w:val="18"/>
              </w:rPr>
            </w:pPr>
            <w:r w:rsidRPr="005D2EE7">
              <w:rPr>
                <w:rFonts w:ascii="Arial" w:hAnsi="Arial" w:cs="Arial"/>
                <w:sz w:val="18"/>
                <w:szCs w:val="18"/>
              </w:rPr>
              <w:t>112.1</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D5050CA" w14:textId="77777777">
            <w:pPr>
              <w:rPr>
                <w:rFonts w:ascii="Arial" w:hAnsi="Arial" w:cs="Arial"/>
                <w:sz w:val="18"/>
                <w:szCs w:val="18"/>
              </w:rPr>
            </w:pPr>
            <w:r w:rsidRPr="005D2EE7">
              <w:rPr>
                <w:rFonts w:ascii="Arial" w:hAnsi="Arial" w:cs="Arial"/>
                <w:sz w:val="18"/>
                <w:szCs w:val="18"/>
              </w:rPr>
              <w:t>Package Labelling</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5D37FC6B"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7DB8710" w14:textId="77777777">
            <w:pPr>
              <w:jc w:val="center"/>
              <w:rPr>
                <w:rFonts w:ascii="Arial" w:hAnsi="Arial" w:cs="Arial"/>
                <w:sz w:val="18"/>
                <w:szCs w:val="18"/>
              </w:rPr>
            </w:pPr>
            <w:r w:rsidRPr="005D2EE7">
              <w:rPr>
                <w:rFonts w:ascii="Arial" w:hAnsi="Arial" w:cs="Arial"/>
                <w:sz w:val="18"/>
                <w:szCs w:val="18"/>
              </w:rPr>
              <w:t xml:space="preserve">12,201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BD943C2" w14:textId="77777777">
            <w:pPr>
              <w:jc w:val="center"/>
              <w:rPr>
                <w:rFonts w:ascii="Arial" w:hAnsi="Arial" w:cs="Arial"/>
                <w:sz w:val="18"/>
                <w:szCs w:val="18"/>
              </w:rPr>
            </w:pPr>
            <w:r w:rsidRPr="005D2EE7">
              <w:rPr>
                <w:rFonts w:ascii="Arial" w:hAnsi="Arial" w:cs="Arial"/>
                <w:sz w:val="18"/>
                <w:szCs w:val="18"/>
              </w:rPr>
              <w:t xml:space="preserve">8,365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909463C" w14:textId="77777777">
            <w:pPr>
              <w:jc w:val="center"/>
              <w:rPr>
                <w:rFonts w:ascii="Arial" w:hAnsi="Arial" w:cs="Arial"/>
                <w:sz w:val="18"/>
                <w:szCs w:val="18"/>
              </w:rPr>
            </w:pPr>
            <w:r w:rsidRPr="005D2EE7">
              <w:rPr>
                <w:rFonts w:ascii="Arial" w:hAnsi="Arial" w:cs="Arial"/>
                <w:sz w:val="18"/>
                <w:szCs w:val="18"/>
              </w:rPr>
              <w:t xml:space="preserve">3,836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3D8670E"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1440594D"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8560C17" w14:textId="77777777">
            <w:pPr>
              <w:rPr>
                <w:rFonts w:ascii="Arial" w:hAnsi="Arial" w:cs="Arial"/>
                <w:sz w:val="18"/>
                <w:szCs w:val="18"/>
              </w:rPr>
            </w:pPr>
            <w:r w:rsidRPr="005D2EE7">
              <w:rPr>
                <w:rFonts w:ascii="Arial" w:hAnsi="Arial" w:cs="Arial"/>
                <w:sz w:val="18"/>
                <w:szCs w:val="18"/>
              </w:rPr>
              <w:t>112.2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81AAA38" w14:textId="77777777">
            <w:pPr>
              <w:rPr>
                <w:rFonts w:ascii="Arial" w:hAnsi="Arial" w:cs="Arial"/>
                <w:sz w:val="18"/>
                <w:szCs w:val="18"/>
              </w:rPr>
            </w:pPr>
            <w:r w:rsidRPr="005D2EE7">
              <w:rPr>
                <w:rFonts w:ascii="Arial" w:hAnsi="Arial" w:cs="Arial"/>
                <w:sz w:val="18"/>
                <w:szCs w:val="18"/>
              </w:rPr>
              <w:t>APHIS Form 2015</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200F458"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9AAB12E" w14:textId="77777777">
            <w:pPr>
              <w:jc w:val="center"/>
              <w:rPr>
                <w:rFonts w:ascii="Arial" w:hAnsi="Arial" w:cs="Arial"/>
                <w:sz w:val="18"/>
                <w:szCs w:val="18"/>
              </w:rPr>
            </w:pPr>
            <w:r w:rsidRPr="005D2EE7">
              <w:rPr>
                <w:rFonts w:ascii="Arial" w:hAnsi="Arial" w:cs="Arial"/>
                <w:sz w:val="18"/>
                <w:szCs w:val="18"/>
              </w:rPr>
              <w:t xml:space="preserve">8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45C0A0D" w14:textId="77777777">
            <w:pPr>
              <w:jc w:val="center"/>
              <w:rPr>
                <w:rFonts w:ascii="Arial" w:hAnsi="Arial" w:cs="Arial"/>
                <w:sz w:val="18"/>
                <w:szCs w:val="18"/>
              </w:rPr>
            </w:pPr>
            <w:r w:rsidRPr="005D2EE7">
              <w:rPr>
                <w:rFonts w:ascii="Arial" w:hAnsi="Arial" w:cs="Arial"/>
                <w:sz w:val="18"/>
                <w:szCs w:val="18"/>
              </w:rPr>
              <w:t xml:space="preserve">240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9FA747B" w14:textId="77777777">
            <w:pPr>
              <w:jc w:val="center"/>
              <w:rPr>
                <w:rFonts w:ascii="Arial" w:hAnsi="Arial" w:cs="Arial"/>
                <w:sz w:val="18"/>
                <w:szCs w:val="18"/>
              </w:rPr>
            </w:pPr>
            <w:r w:rsidRPr="005D2EE7">
              <w:rPr>
                <w:rFonts w:ascii="Arial" w:hAnsi="Arial" w:cs="Arial"/>
                <w:sz w:val="18"/>
                <w:szCs w:val="18"/>
              </w:rPr>
              <w:t>(232)</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85371C4"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4E47E870"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3AEA46F" w14:textId="77777777">
            <w:pPr>
              <w:rPr>
                <w:rFonts w:ascii="Arial" w:hAnsi="Arial" w:cs="Arial"/>
                <w:sz w:val="18"/>
                <w:szCs w:val="18"/>
              </w:rPr>
            </w:pPr>
            <w:r w:rsidRPr="005D2EE7">
              <w:rPr>
                <w:rFonts w:ascii="Arial" w:hAnsi="Arial" w:cs="Arial"/>
                <w:sz w:val="18"/>
                <w:szCs w:val="18"/>
              </w:rPr>
              <w:t>112.2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5DE6F869" w14:textId="77777777">
            <w:pPr>
              <w:rPr>
                <w:rFonts w:ascii="Arial" w:hAnsi="Arial" w:cs="Arial"/>
                <w:sz w:val="18"/>
                <w:szCs w:val="18"/>
              </w:rPr>
            </w:pPr>
            <w:r w:rsidRPr="005D2EE7">
              <w:rPr>
                <w:rFonts w:ascii="Arial" w:hAnsi="Arial" w:cs="Arial"/>
                <w:sz w:val="18"/>
                <w:szCs w:val="18"/>
              </w:rPr>
              <w:t>Written Authorization</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0D4B5EE" w14:textId="77777777">
            <w:pPr>
              <w:rPr>
                <w:rFonts w:ascii="Arial" w:hAnsi="Arial" w:cs="Arial"/>
                <w:sz w:val="18"/>
                <w:szCs w:val="18"/>
              </w:rPr>
            </w:pPr>
            <w:r w:rsidRPr="005D2EE7">
              <w:rPr>
                <w:rFonts w:ascii="Arial" w:hAnsi="Arial" w:cs="Arial"/>
                <w:sz w:val="18"/>
                <w:szCs w:val="18"/>
              </w:rPr>
              <w:t>FG</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B542082" w14:textId="77777777">
            <w:pPr>
              <w:jc w:val="center"/>
              <w:rPr>
                <w:rFonts w:ascii="Arial" w:hAnsi="Arial" w:cs="Arial"/>
                <w:sz w:val="18"/>
                <w:szCs w:val="18"/>
              </w:rPr>
            </w:pPr>
            <w:r w:rsidRPr="005D2EE7">
              <w:rPr>
                <w:rFonts w:ascii="Arial" w:hAnsi="Arial" w:cs="Arial"/>
                <w:sz w:val="18"/>
                <w:szCs w:val="18"/>
              </w:rPr>
              <w:t xml:space="preserve">124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5700C25" w14:textId="77777777">
            <w:pPr>
              <w:jc w:val="center"/>
              <w:rPr>
                <w:rFonts w:ascii="Arial" w:hAnsi="Arial" w:cs="Arial"/>
                <w:sz w:val="18"/>
                <w:szCs w:val="18"/>
              </w:rPr>
            </w:pPr>
            <w:r w:rsidRPr="005D2EE7">
              <w:rPr>
                <w:rFonts w:ascii="Arial" w:hAnsi="Arial" w:cs="Arial"/>
                <w:sz w:val="18"/>
                <w:szCs w:val="18"/>
              </w:rPr>
              <w:t xml:space="preserve">40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68EC2A2" w14:textId="77777777">
            <w:pPr>
              <w:jc w:val="center"/>
              <w:rPr>
                <w:rFonts w:ascii="Arial" w:hAnsi="Arial" w:cs="Arial"/>
                <w:sz w:val="18"/>
                <w:szCs w:val="18"/>
              </w:rPr>
            </w:pPr>
            <w:r w:rsidRPr="005D2EE7">
              <w:rPr>
                <w:rFonts w:ascii="Arial" w:hAnsi="Arial" w:cs="Arial"/>
                <w:sz w:val="18"/>
                <w:szCs w:val="18"/>
              </w:rPr>
              <w:t xml:space="preserve">84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DCD767F"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6CB4AFC5"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7ACE5BB" w14:textId="77777777">
            <w:pPr>
              <w:rPr>
                <w:rFonts w:ascii="Arial" w:hAnsi="Arial" w:cs="Arial"/>
                <w:sz w:val="18"/>
                <w:szCs w:val="18"/>
              </w:rPr>
            </w:pPr>
            <w:r w:rsidRPr="005D2EE7">
              <w:rPr>
                <w:rFonts w:ascii="Arial" w:hAnsi="Arial" w:cs="Arial"/>
                <w:sz w:val="18"/>
                <w:szCs w:val="18"/>
              </w:rPr>
              <w:t>112.5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7EF616FD" w14:textId="77777777">
            <w:pPr>
              <w:rPr>
                <w:rFonts w:ascii="Arial" w:hAnsi="Arial" w:cs="Arial"/>
                <w:sz w:val="18"/>
                <w:szCs w:val="18"/>
              </w:rPr>
            </w:pPr>
            <w:r w:rsidRPr="005D2EE7">
              <w:rPr>
                <w:rFonts w:ascii="Arial" w:hAnsi="Arial" w:cs="Arial"/>
                <w:sz w:val="18"/>
                <w:szCs w:val="18"/>
              </w:rPr>
              <w:t>List of Approved Labels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1DCE2DE"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1F83B55" w14:textId="77777777">
            <w:pPr>
              <w:jc w:val="center"/>
              <w:rPr>
                <w:rFonts w:ascii="Arial" w:hAnsi="Arial" w:cs="Arial"/>
                <w:sz w:val="18"/>
                <w:szCs w:val="18"/>
              </w:rPr>
            </w:pPr>
            <w:r w:rsidRPr="005D2EE7">
              <w:rPr>
                <w:rFonts w:ascii="Arial" w:hAnsi="Arial" w:cs="Arial"/>
                <w:sz w:val="18"/>
                <w:szCs w:val="18"/>
              </w:rPr>
              <w:t xml:space="preserve">21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B09202B" w14:textId="77777777">
            <w:pPr>
              <w:jc w:val="center"/>
              <w:rPr>
                <w:rFonts w:ascii="Arial" w:hAnsi="Arial" w:cs="Arial"/>
                <w:sz w:val="18"/>
                <w:szCs w:val="18"/>
              </w:rPr>
            </w:pPr>
            <w:r w:rsidRPr="005D2EE7">
              <w:rPr>
                <w:rFonts w:ascii="Arial" w:hAnsi="Arial" w:cs="Arial"/>
                <w:sz w:val="18"/>
                <w:szCs w:val="18"/>
              </w:rPr>
              <w:t xml:space="preserve">12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823E7DD" w14:textId="77777777">
            <w:pPr>
              <w:jc w:val="center"/>
              <w:rPr>
                <w:rFonts w:ascii="Arial" w:hAnsi="Arial" w:cs="Arial"/>
                <w:sz w:val="18"/>
                <w:szCs w:val="18"/>
              </w:rPr>
            </w:pPr>
            <w:r w:rsidRPr="005D2EE7">
              <w:rPr>
                <w:rFonts w:ascii="Arial" w:hAnsi="Arial" w:cs="Arial"/>
                <w:sz w:val="18"/>
                <w:szCs w:val="18"/>
              </w:rPr>
              <w:t xml:space="preserve">9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482E5BF"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42B572D9"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AC7FB2B" w14:textId="77777777">
            <w:pPr>
              <w:rPr>
                <w:rFonts w:ascii="Arial" w:hAnsi="Arial" w:cs="Arial"/>
                <w:sz w:val="18"/>
                <w:szCs w:val="18"/>
              </w:rPr>
            </w:pPr>
            <w:r w:rsidRPr="005D2EE7">
              <w:rPr>
                <w:rFonts w:ascii="Arial" w:hAnsi="Arial" w:cs="Arial"/>
                <w:sz w:val="18"/>
                <w:szCs w:val="18"/>
              </w:rPr>
              <w:t>112.47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4FBA253" w14:textId="77777777">
            <w:pPr>
              <w:rPr>
                <w:rFonts w:ascii="Arial" w:hAnsi="Arial" w:cs="Arial"/>
                <w:sz w:val="18"/>
                <w:szCs w:val="18"/>
              </w:rPr>
            </w:pPr>
            <w:r w:rsidRPr="005D2EE7">
              <w:rPr>
                <w:rFonts w:ascii="Arial" w:hAnsi="Arial" w:cs="Arial"/>
                <w:sz w:val="18"/>
                <w:szCs w:val="18"/>
              </w:rPr>
              <w:t>APHIS Form 2017</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48F0DD1"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F11BF3A" w14:textId="77777777">
            <w:pPr>
              <w:jc w:val="center"/>
              <w:rPr>
                <w:rFonts w:ascii="Arial" w:hAnsi="Arial" w:cs="Arial"/>
                <w:sz w:val="18"/>
                <w:szCs w:val="18"/>
              </w:rPr>
            </w:pPr>
            <w:r w:rsidRPr="005D2EE7">
              <w:rPr>
                <w:rFonts w:ascii="Arial" w:hAnsi="Arial" w:cs="Arial"/>
                <w:sz w:val="18"/>
                <w:szCs w:val="18"/>
              </w:rPr>
              <w:t xml:space="preserve">1,860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6E1E5AA" w14:textId="77777777">
            <w:pPr>
              <w:jc w:val="center"/>
              <w:rPr>
                <w:rFonts w:ascii="Arial" w:hAnsi="Arial" w:cs="Arial"/>
                <w:sz w:val="18"/>
                <w:szCs w:val="18"/>
              </w:rPr>
            </w:pPr>
            <w:r w:rsidRPr="005D2EE7">
              <w:rPr>
                <w:rFonts w:ascii="Arial" w:hAnsi="Arial" w:cs="Arial"/>
                <w:sz w:val="18"/>
                <w:szCs w:val="18"/>
              </w:rPr>
              <w:t xml:space="preserve">1,000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334A38B" w14:textId="77777777">
            <w:pPr>
              <w:jc w:val="center"/>
              <w:rPr>
                <w:rFonts w:ascii="Arial" w:hAnsi="Arial" w:cs="Arial"/>
                <w:sz w:val="18"/>
                <w:szCs w:val="18"/>
              </w:rPr>
            </w:pPr>
            <w:r w:rsidRPr="005D2EE7">
              <w:rPr>
                <w:rFonts w:ascii="Arial" w:hAnsi="Arial" w:cs="Arial"/>
                <w:sz w:val="18"/>
                <w:szCs w:val="18"/>
              </w:rPr>
              <w:t xml:space="preserve">860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572DDD8"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2EB98021"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4603BE55" w14:textId="77777777">
            <w:pPr>
              <w:rPr>
                <w:rFonts w:ascii="Arial" w:hAnsi="Arial" w:cs="Arial"/>
                <w:sz w:val="18"/>
                <w:szCs w:val="18"/>
              </w:rPr>
            </w:pPr>
            <w:r w:rsidRPr="005D2EE7">
              <w:rPr>
                <w:rFonts w:ascii="Arial" w:hAnsi="Arial" w:cs="Arial"/>
                <w:sz w:val="18"/>
                <w:szCs w:val="18"/>
              </w:rPr>
              <w:t>113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8A99202" w14:textId="77777777">
            <w:pPr>
              <w:rPr>
                <w:rFonts w:ascii="Arial" w:hAnsi="Arial" w:cs="Arial"/>
                <w:sz w:val="18"/>
                <w:szCs w:val="18"/>
              </w:rPr>
            </w:pPr>
            <w:r w:rsidRPr="005D2EE7">
              <w:rPr>
                <w:rFonts w:ascii="Arial" w:hAnsi="Arial" w:cs="Arial"/>
                <w:sz w:val="18"/>
                <w:szCs w:val="18"/>
              </w:rPr>
              <w:t>APHIS Form 2018</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3C530302"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7A74AFA" w14:textId="77777777">
            <w:pPr>
              <w:jc w:val="center"/>
              <w:rPr>
                <w:rFonts w:ascii="Arial" w:hAnsi="Arial" w:cs="Arial"/>
                <w:sz w:val="18"/>
                <w:szCs w:val="18"/>
              </w:rPr>
            </w:pPr>
            <w:r w:rsidRPr="005D2EE7">
              <w:rPr>
                <w:rFonts w:ascii="Arial" w:hAnsi="Arial" w:cs="Arial"/>
                <w:sz w:val="18"/>
                <w:szCs w:val="18"/>
              </w:rPr>
              <w:t xml:space="preserve">36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7F43E33" w14:textId="77777777">
            <w:pPr>
              <w:jc w:val="center"/>
              <w:rPr>
                <w:rFonts w:ascii="Arial" w:hAnsi="Arial" w:cs="Arial"/>
                <w:sz w:val="18"/>
                <w:szCs w:val="18"/>
              </w:rPr>
            </w:pPr>
            <w:r w:rsidRPr="005D2EE7">
              <w:rPr>
                <w:rFonts w:ascii="Arial" w:hAnsi="Arial" w:cs="Arial"/>
                <w:sz w:val="18"/>
                <w:szCs w:val="18"/>
              </w:rPr>
              <w:t xml:space="preserve">40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002FB28" w14:textId="77777777">
            <w:pPr>
              <w:jc w:val="center"/>
              <w:rPr>
                <w:rFonts w:ascii="Arial" w:hAnsi="Arial" w:cs="Arial"/>
                <w:sz w:val="18"/>
                <w:szCs w:val="18"/>
              </w:rPr>
            </w:pPr>
            <w:r w:rsidRPr="005D2EE7">
              <w:rPr>
                <w:rFonts w:ascii="Arial" w:hAnsi="Arial" w:cs="Arial"/>
                <w:sz w:val="18"/>
                <w:szCs w:val="18"/>
              </w:rPr>
              <w:t>(4)</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D69CBBB"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04A54045"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1D754653" w14:textId="77777777">
            <w:pPr>
              <w:rPr>
                <w:rFonts w:ascii="Arial" w:hAnsi="Arial" w:cs="Arial"/>
                <w:sz w:val="18"/>
                <w:szCs w:val="18"/>
              </w:rPr>
            </w:pPr>
            <w:r w:rsidRPr="005D2EE7">
              <w:rPr>
                <w:rFonts w:ascii="Arial" w:hAnsi="Arial" w:cs="Arial"/>
                <w:sz w:val="18"/>
                <w:szCs w:val="18"/>
              </w:rPr>
              <w:t>113.3</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7178F32" w14:textId="77777777">
            <w:pPr>
              <w:rPr>
                <w:rFonts w:ascii="Arial" w:hAnsi="Arial" w:cs="Arial"/>
                <w:sz w:val="18"/>
                <w:szCs w:val="18"/>
              </w:rPr>
            </w:pPr>
            <w:r w:rsidRPr="005D2EE7">
              <w:rPr>
                <w:rFonts w:ascii="Arial" w:hAnsi="Arial" w:cs="Arial"/>
                <w:sz w:val="18"/>
                <w:szCs w:val="18"/>
              </w:rPr>
              <w:t>APHIS Form 2020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DDD335E"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A084FCD" w14:textId="77777777">
            <w:pPr>
              <w:jc w:val="center"/>
              <w:rPr>
                <w:rFonts w:ascii="Arial" w:hAnsi="Arial" w:cs="Arial"/>
                <w:sz w:val="18"/>
                <w:szCs w:val="18"/>
              </w:rPr>
            </w:pPr>
            <w:r w:rsidRPr="005D2EE7">
              <w:rPr>
                <w:rFonts w:ascii="Arial" w:hAnsi="Arial" w:cs="Arial"/>
                <w:sz w:val="18"/>
                <w:szCs w:val="18"/>
              </w:rPr>
              <w:t xml:space="preserve">4,455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BEA3D38" w14:textId="77777777">
            <w:pPr>
              <w:jc w:val="center"/>
              <w:rPr>
                <w:rFonts w:ascii="Arial" w:hAnsi="Arial" w:cs="Arial"/>
                <w:sz w:val="18"/>
                <w:szCs w:val="18"/>
              </w:rPr>
            </w:pPr>
            <w:r w:rsidRPr="005D2EE7">
              <w:rPr>
                <w:rFonts w:ascii="Arial" w:hAnsi="Arial" w:cs="Arial"/>
                <w:sz w:val="18"/>
                <w:szCs w:val="18"/>
              </w:rPr>
              <w:t xml:space="preserve">3,450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43B6DB4" w14:textId="77777777">
            <w:pPr>
              <w:jc w:val="center"/>
              <w:rPr>
                <w:rFonts w:ascii="Arial" w:hAnsi="Arial" w:cs="Arial"/>
                <w:sz w:val="18"/>
                <w:szCs w:val="18"/>
              </w:rPr>
            </w:pPr>
            <w:r w:rsidRPr="005D2EE7">
              <w:rPr>
                <w:rFonts w:ascii="Arial" w:hAnsi="Arial" w:cs="Arial"/>
                <w:sz w:val="18"/>
                <w:szCs w:val="18"/>
              </w:rPr>
              <w:t xml:space="preserve">1,005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6EC5C7F"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4B4D79A6"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29F3928" w14:textId="77777777">
            <w:pPr>
              <w:rPr>
                <w:rFonts w:ascii="Arial" w:hAnsi="Arial" w:cs="Arial"/>
                <w:sz w:val="18"/>
                <w:szCs w:val="18"/>
              </w:rPr>
            </w:pPr>
            <w:r w:rsidRPr="005D2EE7">
              <w:rPr>
                <w:rFonts w:ascii="Arial" w:hAnsi="Arial" w:cs="Arial"/>
                <w:sz w:val="18"/>
                <w:szCs w:val="18"/>
              </w:rPr>
              <w:t>113.3, 113.6</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160A62C" w14:textId="77777777">
            <w:pPr>
              <w:rPr>
                <w:rFonts w:ascii="Arial" w:hAnsi="Arial" w:cs="Arial"/>
                <w:sz w:val="18"/>
                <w:szCs w:val="18"/>
              </w:rPr>
            </w:pPr>
            <w:r w:rsidRPr="005D2EE7">
              <w:rPr>
                <w:rFonts w:ascii="Arial" w:hAnsi="Arial" w:cs="Arial"/>
                <w:sz w:val="18"/>
                <w:szCs w:val="18"/>
              </w:rPr>
              <w:t>APHIS 2072</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33D3BC61"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CEE9946" w14:textId="77777777">
            <w:pPr>
              <w:jc w:val="center"/>
              <w:rPr>
                <w:rFonts w:ascii="Arial" w:hAnsi="Arial" w:cs="Arial"/>
                <w:sz w:val="18"/>
                <w:szCs w:val="18"/>
              </w:rPr>
            </w:pPr>
            <w:r w:rsidRPr="005D2EE7">
              <w:rPr>
                <w:rFonts w:ascii="Arial" w:hAnsi="Arial" w:cs="Arial"/>
                <w:sz w:val="18"/>
                <w:szCs w:val="18"/>
              </w:rPr>
              <w:t xml:space="preserve">32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87AE992" w14:textId="77777777">
            <w:pPr>
              <w:jc w:val="center"/>
              <w:rPr>
                <w:rFonts w:ascii="Arial" w:hAnsi="Arial" w:cs="Arial"/>
                <w:sz w:val="18"/>
                <w:szCs w:val="18"/>
              </w:rPr>
            </w:pPr>
            <w:r w:rsidRPr="005D2EE7">
              <w:rPr>
                <w:rFonts w:ascii="Arial" w:hAnsi="Arial" w:cs="Arial"/>
                <w:sz w:val="18"/>
                <w:szCs w:val="18"/>
              </w:rPr>
              <w:t xml:space="preserve">48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E5F6965" w14:textId="77777777">
            <w:pPr>
              <w:jc w:val="center"/>
              <w:rPr>
                <w:rFonts w:ascii="Arial" w:hAnsi="Arial" w:cs="Arial"/>
                <w:sz w:val="18"/>
                <w:szCs w:val="18"/>
              </w:rPr>
            </w:pPr>
            <w:r w:rsidRPr="005D2EE7">
              <w:rPr>
                <w:rFonts w:ascii="Arial" w:hAnsi="Arial" w:cs="Arial"/>
                <w:sz w:val="18"/>
                <w:szCs w:val="18"/>
              </w:rPr>
              <w:t>(16)</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D5B1BFD"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31A1DEB7"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7640ACBE" w14:textId="77777777">
            <w:pPr>
              <w:rPr>
                <w:rFonts w:ascii="Arial" w:hAnsi="Arial" w:cs="Arial"/>
                <w:sz w:val="18"/>
                <w:szCs w:val="18"/>
              </w:rPr>
            </w:pPr>
            <w:r w:rsidRPr="005D2EE7">
              <w:rPr>
                <w:rFonts w:ascii="Arial" w:hAnsi="Arial" w:cs="Arial"/>
                <w:sz w:val="18"/>
                <w:szCs w:val="18"/>
              </w:rPr>
              <w:t>114.18</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A2FF441" w14:textId="77777777">
            <w:pPr>
              <w:rPr>
                <w:rFonts w:ascii="Arial" w:hAnsi="Arial" w:cs="Arial"/>
                <w:sz w:val="18"/>
                <w:szCs w:val="18"/>
              </w:rPr>
            </w:pPr>
            <w:r w:rsidRPr="005D2EE7">
              <w:rPr>
                <w:rFonts w:ascii="Arial" w:hAnsi="Arial" w:cs="Arial"/>
                <w:sz w:val="18"/>
                <w:szCs w:val="18"/>
              </w:rPr>
              <w:t>APHIS 2008&amp;2008A</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CBA2594"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C404893" w14:textId="77777777">
            <w:pPr>
              <w:jc w:val="center"/>
              <w:rPr>
                <w:rFonts w:ascii="Arial" w:hAnsi="Arial" w:cs="Arial"/>
                <w:sz w:val="18"/>
                <w:szCs w:val="18"/>
              </w:rPr>
            </w:pPr>
            <w:r w:rsidRPr="005D2EE7">
              <w:rPr>
                <w:rFonts w:ascii="Arial" w:hAnsi="Arial" w:cs="Arial"/>
                <w:sz w:val="18"/>
                <w:szCs w:val="18"/>
              </w:rPr>
              <w:t xml:space="preserve">16,312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92D16E1" w14:textId="77777777">
            <w:pPr>
              <w:jc w:val="center"/>
              <w:rPr>
                <w:rFonts w:ascii="Arial" w:hAnsi="Arial" w:cs="Arial"/>
                <w:sz w:val="18"/>
                <w:szCs w:val="18"/>
              </w:rPr>
            </w:pPr>
            <w:r w:rsidRPr="005D2EE7">
              <w:rPr>
                <w:rFonts w:ascii="Arial" w:hAnsi="Arial" w:cs="Arial"/>
                <w:sz w:val="18"/>
                <w:szCs w:val="18"/>
              </w:rPr>
              <w:t xml:space="preserve">16,030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1D389A8" w14:textId="77777777">
            <w:pPr>
              <w:jc w:val="center"/>
              <w:rPr>
                <w:rFonts w:ascii="Arial" w:hAnsi="Arial" w:cs="Arial"/>
                <w:sz w:val="18"/>
                <w:szCs w:val="18"/>
              </w:rPr>
            </w:pPr>
            <w:r w:rsidRPr="005D2EE7">
              <w:rPr>
                <w:rFonts w:ascii="Arial" w:hAnsi="Arial" w:cs="Arial"/>
                <w:sz w:val="18"/>
                <w:szCs w:val="18"/>
              </w:rPr>
              <w:t xml:space="preserve">282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B54DCA7"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36DF4CA5"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9E9E9A0" w14:textId="77777777">
            <w:pPr>
              <w:rPr>
                <w:rFonts w:ascii="Arial" w:hAnsi="Arial" w:cs="Arial"/>
                <w:sz w:val="18"/>
                <w:szCs w:val="18"/>
              </w:rPr>
            </w:pPr>
            <w:r w:rsidRPr="005D2EE7">
              <w:rPr>
                <w:rFonts w:ascii="Arial" w:hAnsi="Arial" w:cs="Arial"/>
                <w:sz w:val="18"/>
                <w:szCs w:val="18"/>
              </w:rPr>
              <w:t>113.52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DB45C1F" w14:textId="77777777">
            <w:pPr>
              <w:rPr>
                <w:rFonts w:ascii="Arial" w:hAnsi="Arial" w:cs="Arial"/>
                <w:sz w:val="18"/>
                <w:szCs w:val="18"/>
              </w:rPr>
            </w:pPr>
            <w:r w:rsidRPr="005D2EE7">
              <w:rPr>
                <w:rFonts w:ascii="Arial" w:hAnsi="Arial" w:cs="Arial"/>
                <w:sz w:val="18"/>
                <w:szCs w:val="18"/>
              </w:rPr>
              <w:t>APHIS 2070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5B3EBF31"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139A1E8" w14:textId="77777777">
            <w:pPr>
              <w:jc w:val="center"/>
              <w:rPr>
                <w:rFonts w:ascii="Arial" w:hAnsi="Arial" w:cs="Arial"/>
                <w:sz w:val="18"/>
                <w:szCs w:val="18"/>
              </w:rPr>
            </w:pPr>
            <w:r w:rsidRPr="005D2EE7">
              <w:rPr>
                <w:rFonts w:ascii="Arial" w:hAnsi="Arial" w:cs="Arial"/>
                <w:sz w:val="18"/>
                <w:szCs w:val="18"/>
              </w:rPr>
              <w:t xml:space="preserve">14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B04F25B" w14:textId="77777777">
            <w:pPr>
              <w:jc w:val="center"/>
              <w:rPr>
                <w:rFonts w:ascii="Arial" w:hAnsi="Arial" w:cs="Arial"/>
                <w:sz w:val="18"/>
                <w:szCs w:val="18"/>
              </w:rPr>
            </w:pPr>
            <w:r w:rsidRPr="005D2EE7">
              <w:rPr>
                <w:rFonts w:ascii="Arial" w:hAnsi="Arial" w:cs="Arial"/>
                <w:sz w:val="18"/>
                <w:szCs w:val="18"/>
              </w:rPr>
              <w:t xml:space="preserve">120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7D28C4A" w14:textId="77777777">
            <w:pPr>
              <w:jc w:val="center"/>
              <w:rPr>
                <w:rFonts w:ascii="Arial" w:hAnsi="Arial" w:cs="Arial"/>
                <w:sz w:val="18"/>
                <w:szCs w:val="18"/>
              </w:rPr>
            </w:pPr>
            <w:r w:rsidRPr="005D2EE7">
              <w:rPr>
                <w:rFonts w:ascii="Arial" w:hAnsi="Arial" w:cs="Arial"/>
                <w:sz w:val="18"/>
                <w:szCs w:val="18"/>
              </w:rPr>
              <w:t>(106)</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35CB6D8"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2CF9E831"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2F8C170E" w14:textId="77777777">
            <w:pPr>
              <w:rPr>
                <w:rFonts w:ascii="Arial" w:hAnsi="Arial" w:cs="Arial"/>
                <w:sz w:val="18"/>
                <w:szCs w:val="18"/>
              </w:rPr>
            </w:pPr>
            <w:r w:rsidRPr="005D2EE7">
              <w:rPr>
                <w:rFonts w:ascii="Arial" w:hAnsi="Arial" w:cs="Arial"/>
                <w:sz w:val="18"/>
                <w:szCs w:val="18"/>
              </w:rPr>
              <w:t>114.14</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C5D4802" w14:textId="77777777">
            <w:pPr>
              <w:rPr>
                <w:rFonts w:ascii="Arial" w:hAnsi="Arial" w:cs="Arial"/>
                <w:sz w:val="18"/>
                <w:szCs w:val="18"/>
              </w:rPr>
            </w:pPr>
            <w:r w:rsidRPr="005D2EE7">
              <w:rPr>
                <w:rFonts w:ascii="Arial" w:hAnsi="Arial" w:cs="Arial"/>
                <w:sz w:val="18"/>
                <w:szCs w:val="18"/>
              </w:rPr>
              <w:t>Request for Extension</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11A038FD"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AB70798" w14:textId="77777777">
            <w:pPr>
              <w:jc w:val="center"/>
              <w:rPr>
                <w:rFonts w:ascii="Arial" w:hAnsi="Arial" w:cs="Arial"/>
                <w:sz w:val="18"/>
                <w:szCs w:val="18"/>
              </w:rPr>
            </w:pPr>
            <w:r w:rsidRPr="005D2EE7">
              <w:rPr>
                <w:rFonts w:ascii="Arial" w:hAnsi="Arial" w:cs="Arial"/>
                <w:sz w:val="18"/>
                <w:szCs w:val="18"/>
              </w:rPr>
              <w:t xml:space="preserve">33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AAB2935" w14:textId="77777777">
            <w:pPr>
              <w:jc w:val="center"/>
              <w:rPr>
                <w:rFonts w:ascii="Arial" w:hAnsi="Arial" w:cs="Arial"/>
                <w:sz w:val="18"/>
                <w:szCs w:val="18"/>
              </w:rPr>
            </w:pPr>
            <w:r w:rsidRPr="005D2EE7">
              <w:rPr>
                <w:rFonts w:ascii="Arial" w:hAnsi="Arial" w:cs="Arial"/>
                <w:sz w:val="18"/>
                <w:szCs w:val="18"/>
              </w:rPr>
              <w:t xml:space="preserve">500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358D209" w14:textId="77777777">
            <w:pPr>
              <w:jc w:val="center"/>
              <w:rPr>
                <w:rFonts w:ascii="Arial" w:hAnsi="Arial" w:cs="Arial"/>
                <w:sz w:val="18"/>
                <w:szCs w:val="18"/>
              </w:rPr>
            </w:pPr>
            <w:r w:rsidRPr="005D2EE7">
              <w:rPr>
                <w:rFonts w:ascii="Arial" w:hAnsi="Arial" w:cs="Arial"/>
                <w:sz w:val="18"/>
                <w:szCs w:val="18"/>
              </w:rPr>
              <w:t>(467)</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17E7FCE"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3F46CC76"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A4D57ED" w14:textId="77777777">
            <w:pPr>
              <w:rPr>
                <w:rFonts w:ascii="Arial" w:hAnsi="Arial" w:cs="Arial"/>
                <w:sz w:val="18"/>
                <w:szCs w:val="18"/>
              </w:rPr>
            </w:pPr>
            <w:r w:rsidRPr="005D2EE7">
              <w:rPr>
                <w:rFonts w:ascii="Arial" w:hAnsi="Arial" w:cs="Arial"/>
                <w:sz w:val="18"/>
                <w:szCs w:val="18"/>
              </w:rPr>
              <w:t>115.2</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5432D472" w14:textId="77777777">
            <w:pPr>
              <w:rPr>
                <w:rFonts w:ascii="Arial" w:hAnsi="Arial" w:cs="Arial"/>
                <w:sz w:val="18"/>
                <w:szCs w:val="18"/>
              </w:rPr>
            </w:pPr>
            <w:r w:rsidRPr="005D2EE7">
              <w:rPr>
                <w:rFonts w:ascii="Arial" w:hAnsi="Arial" w:cs="Arial"/>
                <w:sz w:val="18"/>
                <w:szCs w:val="18"/>
              </w:rPr>
              <w:t>Wholesaler Notifications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3D0CFFD7"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6BFC08F"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54B058A"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A2065EF" w14:textId="77777777">
            <w:pPr>
              <w:jc w:val="center"/>
              <w:rPr>
                <w:rFonts w:ascii="Arial" w:hAnsi="Arial" w:cs="Arial"/>
                <w:sz w:val="18"/>
                <w:szCs w:val="18"/>
              </w:rPr>
            </w:pPr>
            <w:r w:rsidRPr="005D2EE7">
              <w:rPr>
                <w:rFonts w:ascii="Arial" w:hAnsi="Arial" w:cs="Arial"/>
                <w:sz w:val="18"/>
                <w:szCs w:val="18"/>
              </w:rPr>
              <w:t xml:space="preserve">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7F363C2"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58E74A1A"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1A1EB38B" w14:textId="77777777">
            <w:pPr>
              <w:rPr>
                <w:rFonts w:ascii="Arial" w:hAnsi="Arial" w:cs="Arial"/>
                <w:sz w:val="18"/>
                <w:szCs w:val="18"/>
              </w:rPr>
            </w:pPr>
            <w:r w:rsidRPr="005D2EE7">
              <w:rPr>
                <w:rFonts w:ascii="Arial" w:hAnsi="Arial" w:cs="Arial"/>
                <w:sz w:val="18"/>
                <w:szCs w:val="18"/>
              </w:rPr>
              <w:t xml:space="preserve">115.2(b)(3) </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6DAABD2" w14:textId="77777777">
            <w:pPr>
              <w:rPr>
                <w:rFonts w:ascii="Arial" w:hAnsi="Arial" w:cs="Arial"/>
                <w:sz w:val="18"/>
                <w:szCs w:val="18"/>
              </w:rPr>
            </w:pPr>
            <w:r w:rsidRPr="005D2EE7">
              <w:rPr>
                <w:rFonts w:ascii="Arial" w:hAnsi="Arial" w:cs="Arial"/>
                <w:sz w:val="18"/>
                <w:szCs w:val="18"/>
              </w:rPr>
              <w:t>Inventory/Lic/Permittees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DFE6657"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3A8E349" w14:textId="77777777">
            <w:pPr>
              <w:jc w:val="center"/>
              <w:rPr>
                <w:rFonts w:ascii="Arial" w:hAnsi="Arial" w:cs="Arial"/>
                <w:sz w:val="18"/>
                <w:szCs w:val="18"/>
              </w:rPr>
            </w:pPr>
            <w:r w:rsidRPr="005D2EE7">
              <w:rPr>
                <w:rFonts w:ascii="Arial" w:hAnsi="Arial" w:cs="Arial"/>
                <w:sz w:val="18"/>
                <w:szCs w:val="18"/>
              </w:rPr>
              <w:t xml:space="preserve">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1242C87" w14:textId="77777777">
            <w:pPr>
              <w:jc w:val="center"/>
              <w:rPr>
                <w:rFonts w:ascii="Arial" w:hAnsi="Arial" w:cs="Arial"/>
                <w:sz w:val="18"/>
                <w:szCs w:val="18"/>
              </w:rPr>
            </w:pPr>
            <w:r w:rsidRPr="005D2EE7">
              <w:rPr>
                <w:rFonts w:ascii="Arial" w:hAnsi="Arial" w:cs="Arial"/>
                <w:sz w:val="18"/>
                <w:szCs w:val="18"/>
              </w:rPr>
              <w:t xml:space="preserve">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3CD1C0B" w14:textId="77777777">
            <w:pPr>
              <w:jc w:val="center"/>
              <w:rPr>
                <w:rFonts w:ascii="Arial" w:hAnsi="Arial" w:cs="Arial"/>
                <w:sz w:val="18"/>
                <w:szCs w:val="18"/>
              </w:rPr>
            </w:pPr>
            <w:r w:rsidRPr="005D2EE7">
              <w:rPr>
                <w:rFonts w:ascii="Arial" w:hAnsi="Arial" w:cs="Arial"/>
                <w:sz w:val="18"/>
                <w:szCs w:val="18"/>
              </w:rPr>
              <w:t>(3)</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EB9CC82"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00357140"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C12AE19" w14:textId="77777777">
            <w:pPr>
              <w:rPr>
                <w:rFonts w:ascii="Arial" w:hAnsi="Arial" w:cs="Arial"/>
                <w:sz w:val="18"/>
                <w:szCs w:val="18"/>
              </w:rPr>
            </w:pPr>
            <w:r w:rsidRPr="005D2EE7">
              <w:rPr>
                <w:rFonts w:ascii="Arial" w:hAnsi="Arial" w:cs="Arial"/>
                <w:sz w:val="18"/>
                <w:szCs w:val="18"/>
              </w:rPr>
              <w:t>115.2(b)(4)</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3ADC914" w14:textId="77777777">
            <w:pPr>
              <w:rPr>
                <w:rFonts w:ascii="Arial" w:hAnsi="Arial" w:cs="Arial"/>
                <w:sz w:val="18"/>
                <w:szCs w:val="18"/>
              </w:rPr>
            </w:pPr>
            <w:r w:rsidRPr="005D2EE7">
              <w:rPr>
                <w:rFonts w:ascii="Arial" w:hAnsi="Arial" w:cs="Arial"/>
                <w:sz w:val="18"/>
                <w:szCs w:val="18"/>
              </w:rPr>
              <w:t>Accounting of Inventory</w:t>
            </w:r>
          </w:p>
        </w:tc>
        <w:tc>
          <w:tcPr>
            <w:tcW w:w="1467" w:type="dxa"/>
            <w:tcBorders>
              <w:top w:val="nil"/>
              <w:left w:val="nil"/>
              <w:bottom w:val="nil"/>
              <w:right w:val="nil"/>
            </w:tcBorders>
            <w:shd w:val="clear" w:color="auto" w:fill="auto"/>
            <w:noWrap/>
            <w:vAlign w:val="bottom"/>
            <w:hideMark/>
          </w:tcPr>
          <w:p w:rsidRPr="005D2EE7" w:rsidR="005D2EE7" w:rsidP="005D2EE7" w:rsidRDefault="005D2EE7" w14:paraId="2D07CF7F"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1FAFFCB4" w14:textId="77777777">
            <w:pPr>
              <w:jc w:val="center"/>
              <w:rPr>
                <w:rFonts w:ascii="Arial" w:hAnsi="Arial" w:cs="Arial"/>
                <w:sz w:val="18"/>
                <w:szCs w:val="18"/>
              </w:rPr>
            </w:pPr>
            <w:r w:rsidRPr="005D2EE7">
              <w:rPr>
                <w:rFonts w:ascii="Arial" w:hAnsi="Arial" w:cs="Arial"/>
                <w:sz w:val="18"/>
                <w:szCs w:val="18"/>
              </w:rPr>
              <w:t xml:space="preserve">2 </w:t>
            </w: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3D7E3665" w14:textId="77777777">
            <w:pPr>
              <w:jc w:val="center"/>
              <w:rPr>
                <w:rFonts w:ascii="Arial" w:hAnsi="Arial" w:cs="Arial"/>
                <w:sz w:val="18"/>
                <w:szCs w:val="18"/>
              </w:rPr>
            </w:pPr>
            <w:r w:rsidRPr="005D2EE7">
              <w:rPr>
                <w:rFonts w:ascii="Arial" w:hAnsi="Arial" w:cs="Arial"/>
                <w:sz w:val="18"/>
                <w:szCs w:val="18"/>
              </w:rPr>
              <w:t xml:space="preserve">100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DF99297" w14:textId="77777777">
            <w:pPr>
              <w:jc w:val="center"/>
              <w:rPr>
                <w:rFonts w:ascii="Arial" w:hAnsi="Arial" w:cs="Arial"/>
                <w:sz w:val="18"/>
                <w:szCs w:val="18"/>
              </w:rPr>
            </w:pPr>
            <w:r w:rsidRPr="005D2EE7">
              <w:rPr>
                <w:rFonts w:ascii="Arial" w:hAnsi="Arial" w:cs="Arial"/>
                <w:sz w:val="18"/>
                <w:szCs w:val="18"/>
              </w:rPr>
              <w:t>(98)</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A7972C9"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2FE21801"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1D464AC4" w14:textId="77777777">
            <w:pPr>
              <w:rPr>
                <w:rFonts w:ascii="Arial" w:hAnsi="Arial" w:cs="Arial"/>
                <w:sz w:val="18"/>
                <w:szCs w:val="18"/>
              </w:rPr>
            </w:pPr>
            <w:r w:rsidRPr="005D2EE7">
              <w:rPr>
                <w:rFonts w:ascii="Arial" w:hAnsi="Arial" w:cs="Arial"/>
                <w:sz w:val="18"/>
                <w:szCs w:val="18"/>
              </w:rPr>
              <w:t>116.5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CAF029E" w14:textId="77777777">
            <w:pPr>
              <w:rPr>
                <w:rFonts w:ascii="Arial" w:hAnsi="Arial" w:cs="Arial"/>
                <w:sz w:val="18"/>
                <w:szCs w:val="18"/>
              </w:rPr>
            </w:pPr>
            <w:r w:rsidRPr="005D2EE7">
              <w:rPr>
                <w:rFonts w:ascii="Arial" w:hAnsi="Arial" w:cs="Arial"/>
                <w:sz w:val="18"/>
                <w:szCs w:val="18"/>
              </w:rPr>
              <w:t>APHIS Form 2048</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51043F37"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AF9F653" w14:textId="77777777">
            <w:pPr>
              <w:jc w:val="center"/>
              <w:rPr>
                <w:rFonts w:ascii="Arial" w:hAnsi="Arial" w:cs="Arial"/>
                <w:sz w:val="18"/>
                <w:szCs w:val="18"/>
              </w:rPr>
            </w:pPr>
            <w:r w:rsidRPr="005D2EE7">
              <w:rPr>
                <w:rFonts w:ascii="Arial" w:hAnsi="Arial" w:cs="Arial"/>
                <w:sz w:val="18"/>
                <w:szCs w:val="18"/>
              </w:rPr>
              <w:t xml:space="preserve">450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26BA3B8" w14:textId="77777777">
            <w:pPr>
              <w:jc w:val="center"/>
              <w:rPr>
                <w:rFonts w:ascii="Arial" w:hAnsi="Arial" w:cs="Arial"/>
                <w:sz w:val="18"/>
                <w:szCs w:val="18"/>
              </w:rPr>
            </w:pPr>
            <w:r w:rsidRPr="005D2EE7">
              <w:rPr>
                <w:rFonts w:ascii="Arial" w:hAnsi="Arial" w:cs="Arial"/>
                <w:sz w:val="18"/>
                <w:szCs w:val="18"/>
              </w:rPr>
              <w:t xml:space="preserve">13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674B452" w14:textId="77777777">
            <w:pPr>
              <w:jc w:val="center"/>
              <w:rPr>
                <w:rFonts w:ascii="Arial" w:hAnsi="Arial" w:cs="Arial"/>
                <w:sz w:val="18"/>
                <w:szCs w:val="18"/>
              </w:rPr>
            </w:pPr>
            <w:r w:rsidRPr="005D2EE7">
              <w:rPr>
                <w:rFonts w:ascii="Arial" w:hAnsi="Arial" w:cs="Arial"/>
                <w:sz w:val="18"/>
                <w:szCs w:val="18"/>
              </w:rPr>
              <w:t xml:space="preserve">437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6366589"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04950A2F"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FBFB309" w14:textId="77777777">
            <w:pPr>
              <w:rPr>
                <w:rFonts w:ascii="Arial" w:hAnsi="Arial" w:cs="Arial"/>
                <w:sz w:val="18"/>
                <w:szCs w:val="18"/>
              </w:rPr>
            </w:pPr>
            <w:r w:rsidRPr="005D2EE7">
              <w:rPr>
                <w:rFonts w:ascii="Arial" w:hAnsi="Arial" w:cs="Arial"/>
                <w:sz w:val="18"/>
                <w:szCs w:val="18"/>
              </w:rPr>
              <w:t>116.5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8441D7C" w14:textId="77777777">
            <w:pPr>
              <w:rPr>
                <w:rFonts w:ascii="Arial" w:hAnsi="Arial" w:cs="Arial"/>
                <w:sz w:val="18"/>
                <w:szCs w:val="18"/>
              </w:rPr>
            </w:pPr>
            <w:r w:rsidRPr="005D2EE7">
              <w:rPr>
                <w:rFonts w:ascii="Arial" w:hAnsi="Arial" w:cs="Arial"/>
                <w:sz w:val="18"/>
                <w:szCs w:val="18"/>
              </w:rPr>
              <w:t>APHIS Form 2049</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782C073E"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C1ED6A0" w14:textId="77777777">
            <w:pPr>
              <w:jc w:val="center"/>
              <w:rPr>
                <w:rFonts w:ascii="Arial" w:hAnsi="Arial" w:cs="Arial"/>
                <w:sz w:val="18"/>
                <w:szCs w:val="18"/>
              </w:rPr>
            </w:pPr>
            <w:r w:rsidRPr="005D2EE7">
              <w:rPr>
                <w:rFonts w:ascii="Arial" w:hAnsi="Arial" w:cs="Arial"/>
                <w:sz w:val="18"/>
                <w:szCs w:val="18"/>
              </w:rPr>
              <w:t xml:space="preserve">3,465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61C90C4" w14:textId="77777777">
            <w:pPr>
              <w:jc w:val="center"/>
              <w:rPr>
                <w:rFonts w:ascii="Arial" w:hAnsi="Arial" w:cs="Arial"/>
                <w:sz w:val="18"/>
                <w:szCs w:val="18"/>
              </w:rPr>
            </w:pPr>
            <w:r w:rsidRPr="005D2EE7">
              <w:rPr>
                <w:rFonts w:ascii="Arial" w:hAnsi="Arial" w:cs="Arial"/>
                <w:sz w:val="18"/>
                <w:szCs w:val="18"/>
              </w:rPr>
              <w:t xml:space="preserve">13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0EA8479" w14:textId="77777777">
            <w:pPr>
              <w:jc w:val="center"/>
              <w:rPr>
                <w:rFonts w:ascii="Arial" w:hAnsi="Arial" w:cs="Arial"/>
                <w:sz w:val="18"/>
                <w:szCs w:val="18"/>
              </w:rPr>
            </w:pPr>
            <w:r w:rsidRPr="005D2EE7">
              <w:rPr>
                <w:rFonts w:ascii="Arial" w:hAnsi="Arial" w:cs="Arial"/>
                <w:sz w:val="18"/>
                <w:szCs w:val="18"/>
              </w:rPr>
              <w:t xml:space="preserve">3,452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FE8E48E" w14:textId="77777777">
            <w:pPr>
              <w:rPr>
                <w:rFonts w:ascii="Arial" w:hAnsi="Arial" w:cs="Arial"/>
                <w:sz w:val="18"/>
                <w:szCs w:val="18"/>
              </w:rPr>
            </w:pPr>
            <w:r w:rsidRPr="005D2EE7">
              <w:rPr>
                <w:rFonts w:ascii="Arial" w:hAnsi="Arial" w:cs="Arial"/>
                <w:sz w:val="18"/>
                <w:szCs w:val="18"/>
              </w:rPr>
              <w:t>estimate</w:t>
            </w:r>
          </w:p>
        </w:tc>
      </w:tr>
      <w:tr w:rsidRPr="005D2EE7" w:rsidR="005D2EE7" w:rsidTr="005D2EE7" w14:paraId="67D79357"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4B46472" w14:textId="77777777">
            <w:pPr>
              <w:rPr>
                <w:rFonts w:ascii="Arial" w:hAnsi="Arial" w:cs="Arial"/>
                <w:sz w:val="18"/>
                <w:szCs w:val="18"/>
              </w:rPr>
            </w:pPr>
            <w:r w:rsidRPr="005D2EE7">
              <w:rPr>
                <w:rFonts w:ascii="Arial" w:hAnsi="Arial" w:cs="Arial"/>
                <w:sz w:val="18"/>
                <w:szCs w:val="18"/>
              </w:rPr>
              <w:t>116.9</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777E4C2B" w14:textId="77777777">
            <w:pPr>
              <w:rPr>
                <w:rFonts w:ascii="Arial" w:hAnsi="Arial" w:cs="Arial"/>
                <w:sz w:val="18"/>
                <w:szCs w:val="18"/>
              </w:rPr>
            </w:pPr>
            <w:r w:rsidRPr="005D2EE7">
              <w:rPr>
                <w:rFonts w:ascii="Arial" w:hAnsi="Arial" w:cs="Arial"/>
                <w:sz w:val="18"/>
                <w:szCs w:val="18"/>
              </w:rPr>
              <w:t>APHIS Form 2080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33CF6E5"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4D890FA" w14:textId="77777777">
            <w:pPr>
              <w:jc w:val="center"/>
              <w:rPr>
                <w:rFonts w:ascii="Arial" w:hAnsi="Arial" w:cs="Arial"/>
                <w:sz w:val="18"/>
                <w:szCs w:val="18"/>
              </w:rPr>
            </w:pPr>
            <w:r w:rsidRPr="005D2EE7">
              <w:rPr>
                <w:rFonts w:ascii="Arial" w:hAnsi="Arial" w:cs="Arial"/>
                <w:sz w:val="18"/>
                <w:szCs w:val="18"/>
              </w:rPr>
              <w:t xml:space="preserve">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33E7BDE" w14:textId="77777777">
            <w:pPr>
              <w:jc w:val="center"/>
              <w:rPr>
                <w:rFonts w:ascii="Arial" w:hAnsi="Arial" w:cs="Arial"/>
                <w:sz w:val="18"/>
                <w:szCs w:val="18"/>
              </w:rPr>
            </w:pPr>
            <w:r w:rsidRPr="005D2EE7">
              <w:rPr>
                <w:rFonts w:ascii="Arial" w:hAnsi="Arial" w:cs="Arial"/>
                <w:sz w:val="18"/>
                <w:szCs w:val="18"/>
              </w:rPr>
              <w:t xml:space="preserve">6,666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F22E491" w14:textId="77777777">
            <w:pPr>
              <w:jc w:val="center"/>
              <w:rPr>
                <w:rFonts w:ascii="Arial" w:hAnsi="Arial" w:cs="Arial"/>
                <w:sz w:val="18"/>
                <w:szCs w:val="18"/>
              </w:rPr>
            </w:pPr>
            <w:r w:rsidRPr="005D2EE7">
              <w:rPr>
                <w:rFonts w:ascii="Arial" w:hAnsi="Arial" w:cs="Arial"/>
                <w:sz w:val="18"/>
                <w:szCs w:val="18"/>
              </w:rPr>
              <w:t>(6,662)</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8A75E41"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31F65000"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43C657E" w14:textId="77777777">
            <w:pPr>
              <w:rPr>
                <w:rFonts w:ascii="Arial" w:hAnsi="Arial" w:cs="Arial"/>
                <w:sz w:val="18"/>
                <w:szCs w:val="18"/>
              </w:rPr>
            </w:pPr>
            <w:r w:rsidRPr="005D2EE7">
              <w:rPr>
                <w:rFonts w:ascii="Arial" w:hAnsi="Arial" w:cs="Arial"/>
                <w:sz w:val="18"/>
                <w:szCs w:val="18"/>
              </w:rPr>
              <w:t>116.9</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2C0E7A67" w14:textId="77777777">
            <w:pPr>
              <w:rPr>
                <w:rFonts w:ascii="Arial" w:hAnsi="Arial" w:cs="Arial"/>
                <w:sz w:val="18"/>
                <w:szCs w:val="18"/>
              </w:rPr>
            </w:pPr>
            <w:r w:rsidRPr="005D2EE7">
              <w:rPr>
                <w:rFonts w:ascii="Arial" w:hAnsi="Arial" w:cs="Arial"/>
                <w:sz w:val="18"/>
                <w:szCs w:val="18"/>
              </w:rPr>
              <w:t>APHIS Form 2080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427A7CE9" w14:textId="77777777">
            <w:pPr>
              <w:rPr>
                <w:rFonts w:ascii="Arial" w:hAnsi="Arial" w:cs="Arial"/>
                <w:sz w:val="18"/>
                <w:szCs w:val="18"/>
              </w:rPr>
            </w:pPr>
            <w:r w:rsidRPr="005D2EE7">
              <w:rPr>
                <w:rFonts w:ascii="Arial" w:hAnsi="Arial" w:cs="Arial"/>
                <w:sz w:val="18"/>
                <w:szCs w:val="18"/>
              </w:rPr>
              <w:t>State</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016D906" w14:textId="77777777">
            <w:pPr>
              <w:jc w:val="center"/>
              <w:rPr>
                <w:rFonts w:ascii="Arial" w:hAnsi="Arial" w:cs="Arial"/>
                <w:sz w:val="18"/>
                <w:szCs w:val="18"/>
              </w:rPr>
            </w:pPr>
            <w:r w:rsidRPr="005D2EE7">
              <w:rPr>
                <w:rFonts w:ascii="Arial" w:hAnsi="Arial" w:cs="Arial"/>
                <w:sz w:val="18"/>
                <w:szCs w:val="18"/>
              </w:rPr>
              <w:t xml:space="preserve">1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790A7FA" w14:textId="77777777">
            <w:pPr>
              <w:jc w:val="center"/>
              <w:rPr>
                <w:rFonts w:ascii="Arial" w:hAnsi="Arial" w:cs="Arial"/>
                <w:sz w:val="18"/>
                <w:szCs w:val="18"/>
              </w:rPr>
            </w:pPr>
            <w:r w:rsidRPr="005D2EE7">
              <w:rPr>
                <w:rFonts w:ascii="Arial" w:hAnsi="Arial" w:cs="Arial"/>
                <w:sz w:val="18"/>
                <w:szCs w:val="18"/>
              </w:rPr>
              <w:t xml:space="preserve">6,666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388F1C5" w14:textId="77777777">
            <w:pPr>
              <w:jc w:val="center"/>
              <w:rPr>
                <w:rFonts w:ascii="Arial" w:hAnsi="Arial" w:cs="Arial"/>
                <w:sz w:val="18"/>
                <w:szCs w:val="18"/>
              </w:rPr>
            </w:pPr>
            <w:r w:rsidRPr="005D2EE7">
              <w:rPr>
                <w:rFonts w:ascii="Arial" w:hAnsi="Arial" w:cs="Arial"/>
                <w:sz w:val="18"/>
                <w:szCs w:val="18"/>
              </w:rPr>
              <w:t>(6,665)</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7AFE522"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66A1B643"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167D336" w14:textId="77777777">
            <w:pPr>
              <w:rPr>
                <w:rFonts w:ascii="Arial" w:hAnsi="Arial" w:cs="Arial"/>
                <w:sz w:val="18"/>
                <w:szCs w:val="18"/>
              </w:rPr>
            </w:pPr>
            <w:r w:rsidRPr="005D2EE7">
              <w:rPr>
                <w:rFonts w:ascii="Arial" w:hAnsi="Arial" w:cs="Arial"/>
                <w:sz w:val="18"/>
                <w:szCs w:val="18"/>
              </w:rPr>
              <w:t>116.9</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71E95D6" w14:textId="77777777">
            <w:pPr>
              <w:rPr>
                <w:rFonts w:ascii="Arial" w:hAnsi="Arial" w:cs="Arial"/>
                <w:sz w:val="18"/>
                <w:szCs w:val="18"/>
              </w:rPr>
            </w:pPr>
            <w:r w:rsidRPr="005D2EE7">
              <w:rPr>
                <w:rFonts w:ascii="Arial" w:hAnsi="Arial" w:cs="Arial"/>
                <w:sz w:val="18"/>
                <w:szCs w:val="18"/>
              </w:rPr>
              <w:t>APHIS Form 2080</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B66F6B5" w14:textId="77777777">
            <w:pPr>
              <w:rPr>
                <w:rFonts w:ascii="Arial" w:hAnsi="Arial" w:cs="Arial"/>
                <w:sz w:val="18"/>
                <w:szCs w:val="18"/>
              </w:rPr>
            </w:pPr>
            <w:r w:rsidRPr="005D2EE7">
              <w:rPr>
                <w:rFonts w:ascii="Arial" w:hAnsi="Arial" w:cs="Arial"/>
                <w:sz w:val="18"/>
                <w:szCs w:val="18"/>
              </w:rPr>
              <w:t>Indiv</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8132791" w14:textId="77777777">
            <w:pPr>
              <w:jc w:val="center"/>
              <w:rPr>
                <w:rFonts w:ascii="Arial" w:hAnsi="Arial" w:cs="Arial"/>
                <w:sz w:val="18"/>
                <w:szCs w:val="18"/>
              </w:rPr>
            </w:pPr>
            <w:r w:rsidRPr="005D2EE7">
              <w:rPr>
                <w:rFonts w:ascii="Arial" w:hAnsi="Arial" w:cs="Arial"/>
                <w:sz w:val="18"/>
                <w:szCs w:val="18"/>
              </w:rPr>
              <w:t xml:space="preserve">110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1E1A6C9" w14:textId="77777777">
            <w:pPr>
              <w:jc w:val="center"/>
              <w:rPr>
                <w:rFonts w:ascii="Arial" w:hAnsi="Arial" w:cs="Arial"/>
                <w:sz w:val="18"/>
                <w:szCs w:val="18"/>
              </w:rPr>
            </w:pPr>
            <w:r w:rsidRPr="005D2EE7">
              <w:rPr>
                <w:rFonts w:ascii="Arial" w:hAnsi="Arial" w:cs="Arial"/>
                <w:sz w:val="18"/>
                <w:szCs w:val="18"/>
              </w:rPr>
              <w:t xml:space="preserve">6,666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8C8674E" w14:textId="77777777">
            <w:pPr>
              <w:jc w:val="center"/>
              <w:rPr>
                <w:rFonts w:ascii="Arial" w:hAnsi="Arial" w:cs="Arial"/>
                <w:sz w:val="18"/>
                <w:szCs w:val="18"/>
              </w:rPr>
            </w:pPr>
            <w:r w:rsidRPr="005D2EE7">
              <w:rPr>
                <w:rFonts w:ascii="Arial" w:hAnsi="Arial" w:cs="Arial"/>
                <w:sz w:val="18"/>
                <w:szCs w:val="18"/>
              </w:rPr>
              <w:t>(6,556)</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B2FDF99"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5684BABB"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64DA25B1" w14:textId="77777777">
            <w:pPr>
              <w:rPr>
                <w:rFonts w:ascii="Arial" w:hAnsi="Arial" w:cs="Arial"/>
                <w:sz w:val="18"/>
                <w:szCs w:val="18"/>
              </w:rPr>
            </w:pPr>
            <w:r w:rsidRPr="005D2EE7">
              <w:rPr>
                <w:rFonts w:ascii="Arial" w:hAnsi="Arial" w:cs="Arial"/>
                <w:sz w:val="18"/>
                <w:szCs w:val="18"/>
              </w:rPr>
              <w:t>109.2</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1FE4F316" w14:textId="77777777">
            <w:pPr>
              <w:rPr>
                <w:rFonts w:ascii="Arial" w:hAnsi="Arial" w:cs="Arial"/>
                <w:sz w:val="18"/>
                <w:szCs w:val="18"/>
              </w:rPr>
            </w:pPr>
            <w:r w:rsidRPr="005D2EE7">
              <w:rPr>
                <w:rFonts w:ascii="Arial" w:hAnsi="Arial" w:cs="Arial"/>
                <w:sz w:val="18"/>
                <w:szCs w:val="18"/>
              </w:rPr>
              <w:t>Steriliz./Pasteur. Records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D4E492B"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F59B69C" w14:textId="77777777">
            <w:pPr>
              <w:jc w:val="center"/>
              <w:rPr>
                <w:rFonts w:ascii="Arial" w:hAnsi="Arial" w:cs="Arial"/>
                <w:sz w:val="18"/>
                <w:szCs w:val="18"/>
              </w:rPr>
            </w:pPr>
            <w:r w:rsidRPr="005D2EE7">
              <w:rPr>
                <w:rFonts w:ascii="Arial" w:hAnsi="Arial" w:cs="Arial"/>
                <w:sz w:val="18"/>
                <w:szCs w:val="18"/>
              </w:rPr>
              <w:t xml:space="preserve">244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FBF5D29" w14:textId="77777777">
            <w:pPr>
              <w:jc w:val="center"/>
              <w:rPr>
                <w:rFonts w:ascii="Arial" w:hAnsi="Arial" w:cs="Arial"/>
                <w:sz w:val="18"/>
                <w:szCs w:val="18"/>
              </w:rPr>
            </w:pPr>
            <w:r w:rsidRPr="005D2EE7">
              <w:rPr>
                <w:rFonts w:ascii="Arial" w:hAnsi="Arial" w:cs="Arial"/>
                <w:sz w:val="18"/>
                <w:szCs w:val="18"/>
              </w:rPr>
              <w:t xml:space="preserve">950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B65A33F" w14:textId="77777777">
            <w:pPr>
              <w:jc w:val="center"/>
              <w:rPr>
                <w:rFonts w:ascii="Arial" w:hAnsi="Arial" w:cs="Arial"/>
                <w:sz w:val="18"/>
                <w:szCs w:val="18"/>
              </w:rPr>
            </w:pPr>
            <w:r w:rsidRPr="005D2EE7">
              <w:rPr>
                <w:rFonts w:ascii="Arial" w:hAnsi="Arial" w:cs="Arial"/>
                <w:sz w:val="18"/>
                <w:szCs w:val="18"/>
              </w:rPr>
              <w:t>(706)</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53467F3"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03CA6341"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3CFC6F86" w14:textId="77777777">
            <w:pPr>
              <w:rPr>
                <w:rFonts w:ascii="Arial" w:hAnsi="Arial" w:cs="Arial"/>
                <w:sz w:val="18"/>
                <w:szCs w:val="18"/>
              </w:rPr>
            </w:pPr>
            <w:r w:rsidRPr="005D2EE7">
              <w:rPr>
                <w:rFonts w:ascii="Arial" w:hAnsi="Arial" w:cs="Arial"/>
                <w:sz w:val="18"/>
                <w:szCs w:val="18"/>
              </w:rPr>
              <w:t>113.5, 113.6</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3B4F4E7B" w14:textId="77777777">
            <w:pPr>
              <w:rPr>
                <w:rFonts w:ascii="Arial" w:hAnsi="Arial" w:cs="Arial"/>
                <w:sz w:val="18"/>
                <w:szCs w:val="18"/>
              </w:rPr>
            </w:pPr>
            <w:r w:rsidRPr="005D2EE7">
              <w:rPr>
                <w:rFonts w:ascii="Arial" w:hAnsi="Arial" w:cs="Arial"/>
                <w:sz w:val="18"/>
                <w:szCs w:val="18"/>
              </w:rPr>
              <w:t>Records of All Tests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6C82A69D"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B3EBE62" w14:textId="77777777">
            <w:pPr>
              <w:jc w:val="center"/>
              <w:rPr>
                <w:rFonts w:ascii="Arial" w:hAnsi="Arial" w:cs="Arial"/>
                <w:sz w:val="18"/>
                <w:szCs w:val="18"/>
              </w:rPr>
            </w:pPr>
            <w:r w:rsidRPr="005D2EE7">
              <w:rPr>
                <w:rFonts w:ascii="Arial" w:hAnsi="Arial" w:cs="Arial"/>
                <w:sz w:val="18"/>
                <w:szCs w:val="18"/>
              </w:rPr>
              <w:t xml:space="preserve">176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11A9E6D" w14:textId="77777777">
            <w:pPr>
              <w:jc w:val="center"/>
              <w:rPr>
                <w:rFonts w:ascii="Arial" w:hAnsi="Arial" w:cs="Arial"/>
                <w:sz w:val="18"/>
                <w:szCs w:val="18"/>
              </w:rPr>
            </w:pPr>
            <w:r w:rsidRPr="005D2EE7">
              <w:rPr>
                <w:rFonts w:ascii="Arial" w:hAnsi="Arial" w:cs="Arial"/>
                <w:sz w:val="18"/>
                <w:szCs w:val="18"/>
              </w:rPr>
              <w:t xml:space="preserve">17,200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53C99EE" w14:textId="77777777">
            <w:pPr>
              <w:jc w:val="center"/>
              <w:rPr>
                <w:rFonts w:ascii="Arial" w:hAnsi="Arial" w:cs="Arial"/>
                <w:sz w:val="18"/>
                <w:szCs w:val="18"/>
              </w:rPr>
            </w:pPr>
            <w:r w:rsidRPr="005D2EE7">
              <w:rPr>
                <w:rFonts w:ascii="Arial" w:hAnsi="Arial" w:cs="Arial"/>
                <w:sz w:val="18"/>
                <w:szCs w:val="18"/>
              </w:rPr>
              <w:t>(17,024)</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0EA339A"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4EDEC224"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64E72F5" w14:textId="77777777">
            <w:pPr>
              <w:rPr>
                <w:rFonts w:ascii="Arial" w:hAnsi="Arial" w:cs="Arial"/>
                <w:sz w:val="18"/>
                <w:szCs w:val="18"/>
              </w:rPr>
            </w:pPr>
            <w:r w:rsidRPr="005D2EE7">
              <w:rPr>
                <w:rFonts w:ascii="Arial" w:hAnsi="Arial" w:cs="Arial"/>
                <w:sz w:val="18"/>
                <w:szCs w:val="18"/>
              </w:rPr>
              <w:t>113.45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A9CD947" w14:textId="77777777">
            <w:pPr>
              <w:rPr>
                <w:rFonts w:ascii="Arial" w:hAnsi="Arial" w:cs="Arial"/>
                <w:sz w:val="18"/>
                <w:szCs w:val="18"/>
              </w:rPr>
            </w:pPr>
            <w:r w:rsidRPr="005D2EE7">
              <w:rPr>
                <w:rFonts w:ascii="Arial" w:hAnsi="Arial" w:cs="Arial"/>
                <w:sz w:val="18"/>
                <w:szCs w:val="18"/>
              </w:rPr>
              <w:t>Records/Serum/Pasteur.</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3E483C14"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435A973" w14:textId="77777777">
            <w:pPr>
              <w:jc w:val="center"/>
              <w:rPr>
                <w:rFonts w:ascii="Arial" w:hAnsi="Arial" w:cs="Arial"/>
                <w:sz w:val="18"/>
                <w:szCs w:val="18"/>
              </w:rPr>
            </w:pPr>
            <w:r w:rsidRPr="005D2EE7">
              <w:rPr>
                <w:rFonts w:ascii="Arial" w:hAnsi="Arial" w:cs="Arial"/>
                <w:sz w:val="18"/>
                <w:szCs w:val="18"/>
              </w:rPr>
              <w:t xml:space="preserve">586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49B286FB" w14:textId="77777777">
            <w:pPr>
              <w:jc w:val="center"/>
              <w:rPr>
                <w:rFonts w:ascii="Arial" w:hAnsi="Arial" w:cs="Arial"/>
                <w:sz w:val="18"/>
                <w:szCs w:val="18"/>
              </w:rPr>
            </w:pPr>
            <w:r w:rsidRPr="005D2EE7">
              <w:rPr>
                <w:rFonts w:ascii="Arial" w:hAnsi="Arial" w:cs="Arial"/>
                <w:sz w:val="18"/>
                <w:szCs w:val="18"/>
              </w:rPr>
              <w:t xml:space="preserve">920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0F11BBB" w14:textId="77777777">
            <w:pPr>
              <w:jc w:val="center"/>
              <w:rPr>
                <w:rFonts w:ascii="Arial" w:hAnsi="Arial" w:cs="Arial"/>
                <w:sz w:val="18"/>
                <w:szCs w:val="18"/>
              </w:rPr>
            </w:pPr>
            <w:r w:rsidRPr="005D2EE7">
              <w:rPr>
                <w:rFonts w:ascii="Arial" w:hAnsi="Arial" w:cs="Arial"/>
                <w:sz w:val="18"/>
                <w:szCs w:val="18"/>
              </w:rPr>
              <w:t>(334)</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1CC1B8E4"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4E610F89"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52CACB93" w14:textId="77777777">
            <w:pPr>
              <w:rPr>
                <w:rFonts w:ascii="Arial" w:hAnsi="Arial" w:cs="Arial"/>
                <w:sz w:val="18"/>
                <w:szCs w:val="18"/>
              </w:rPr>
            </w:pPr>
            <w:r w:rsidRPr="005D2EE7">
              <w:rPr>
                <w:rFonts w:ascii="Arial" w:hAnsi="Arial" w:cs="Arial"/>
                <w:sz w:val="18"/>
                <w:szCs w:val="18"/>
              </w:rPr>
              <w:t>114.5</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8F0A0D7" w14:textId="77777777">
            <w:pPr>
              <w:rPr>
                <w:rFonts w:ascii="Arial" w:hAnsi="Arial" w:cs="Arial"/>
                <w:sz w:val="18"/>
                <w:szCs w:val="18"/>
              </w:rPr>
            </w:pPr>
            <w:r w:rsidRPr="005D2EE7">
              <w:rPr>
                <w:rFonts w:ascii="Arial" w:hAnsi="Arial" w:cs="Arial"/>
                <w:sz w:val="18"/>
                <w:szCs w:val="18"/>
              </w:rPr>
              <w:t>Records/Microorg. Used</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52573B29"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778572AD" w14:textId="77777777">
            <w:pPr>
              <w:jc w:val="center"/>
              <w:rPr>
                <w:rFonts w:ascii="Arial" w:hAnsi="Arial" w:cs="Arial"/>
                <w:sz w:val="18"/>
                <w:szCs w:val="18"/>
              </w:rPr>
            </w:pPr>
            <w:r w:rsidRPr="005D2EE7">
              <w:rPr>
                <w:rFonts w:ascii="Arial" w:hAnsi="Arial" w:cs="Arial"/>
                <w:sz w:val="18"/>
                <w:szCs w:val="18"/>
              </w:rPr>
              <w:t xml:space="preserve">475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58D4E6F" w14:textId="77777777">
            <w:pPr>
              <w:jc w:val="center"/>
              <w:rPr>
                <w:rFonts w:ascii="Arial" w:hAnsi="Arial" w:cs="Arial"/>
                <w:sz w:val="18"/>
                <w:szCs w:val="18"/>
              </w:rPr>
            </w:pPr>
            <w:r w:rsidRPr="005D2EE7">
              <w:rPr>
                <w:rFonts w:ascii="Arial" w:hAnsi="Arial" w:cs="Arial"/>
                <w:sz w:val="18"/>
                <w:szCs w:val="18"/>
              </w:rPr>
              <w:t xml:space="preserve">14,300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2906CE45" w14:textId="77777777">
            <w:pPr>
              <w:jc w:val="center"/>
              <w:rPr>
                <w:rFonts w:ascii="Arial" w:hAnsi="Arial" w:cs="Arial"/>
                <w:sz w:val="18"/>
                <w:szCs w:val="18"/>
              </w:rPr>
            </w:pPr>
            <w:r w:rsidRPr="005D2EE7">
              <w:rPr>
                <w:rFonts w:ascii="Arial" w:hAnsi="Arial" w:cs="Arial"/>
                <w:sz w:val="18"/>
                <w:szCs w:val="18"/>
              </w:rPr>
              <w:t>(13,825)</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523EDA9"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4AD58AA6"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7C9DDBE0" w14:textId="77777777">
            <w:pPr>
              <w:rPr>
                <w:rFonts w:ascii="Arial" w:hAnsi="Arial" w:cs="Arial"/>
                <w:sz w:val="18"/>
                <w:szCs w:val="18"/>
              </w:rPr>
            </w:pPr>
            <w:r w:rsidRPr="005D2EE7">
              <w:rPr>
                <w:rFonts w:ascii="Arial" w:hAnsi="Arial" w:cs="Arial"/>
                <w:sz w:val="18"/>
                <w:szCs w:val="18"/>
              </w:rPr>
              <w:t>114.6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4F0909CC" w14:textId="77777777">
            <w:pPr>
              <w:rPr>
                <w:rFonts w:ascii="Arial" w:hAnsi="Arial" w:cs="Arial"/>
                <w:sz w:val="18"/>
                <w:szCs w:val="18"/>
              </w:rPr>
            </w:pPr>
            <w:r w:rsidRPr="005D2EE7">
              <w:rPr>
                <w:rFonts w:ascii="Arial" w:hAnsi="Arial" w:cs="Arial"/>
                <w:sz w:val="18"/>
                <w:szCs w:val="18"/>
              </w:rPr>
              <w:t>Records of Production</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28C9C6D4"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FDD862F" w14:textId="77777777">
            <w:pPr>
              <w:jc w:val="center"/>
              <w:rPr>
                <w:rFonts w:ascii="Arial" w:hAnsi="Arial" w:cs="Arial"/>
                <w:sz w:val="18"/>
                <w:szCs w:val="18"/>
              </w:rPr>
            </w:pPr>
            <w:r w:rsidRPr="005D2EE7">
              <w:rPr>
                <w:rFonts w:ascii="Arial" w:hAnsi="Arial" w:cs="Arial"/>
                <w:sz w:val="18"/>
                <w:szCs w:val="18"/>
              </w:rPr>
              <w:t xml:space="preserve">264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071AABD" w14:textId="77777777">
            <w:pPr>
              <w:jc w:val="center"/>
              <w:rPr>
                <w:rFonts w:ascii="Arial" w:hAnsi="Arial" w:cs="Arial"/>
                <w:sz w:val="18"/>
                <w:szCs w:val="18"/>
              </w:rPr>
            </w:pPr>
            <w:r w:rsidRPr="005D2EE7">
              <w:rPr>
                <w:rFonts w:ascii="Arial" w:hAnsi="Arial" w:cs="Arial"/>
                <w:sz w:val="18"/>
                <w:szCs w:val="18"/>
              </w:rPr>
              <w:t xml:space="preserve">525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3B0038E" w14:textId="77777777">
            <w:pPr>
              <w:jc w:val="center"/>
              <w:rPr>
                <w:rFonts w:ascii="Arial" w:hAnsi="Arial" w:cs="Arial"/>
                <w:sz w:val="18"/>
                <w:szCs w:val="18"/>
              </w:rPr>
            </w:pPr>
            <w:r w:rsidRPr="005D2EE7">
              <w:rPr>
                <w:rFonts w:ascii="Arial" w:hAnsi="Arial" w:cs="Arial"/>
                <w:sz w:val="18"/>
                <w:szCs w:val="18"/>
              </w:rPr>
              <w:t>(261)</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028531D6"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038B231B"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7D34ED14" w14:textId="77777777">
            <w:pPr>
              <w:rPr>
                <w:rFonts w:ascii="Arial" w:hAnsi="Arial" w:cs="Arial"/>
                <w:sz w:val="18"/>
                <w:szCs w:val="18"/>
              </w:rPr>
            </w:pPr>
            <w:r w:rsidRPr="005D2EE7">
              <w:rPr>
                <w:rFonts w:ascii="Arial" w:hAnsi="Arial" w:cs="Arial"/>
                <w:sz w:val="18"/>
                <w:szCs w:val="18"/>
              </w:rPr>
              <w:t>112.2 et al</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727802E3" w14:textId="77777777">
            <w:pPr>
              <w:rPr>
                <w:rFonts w:ascii="Arial" w:hAnsi="Arial" w:cs="Arial"/>
                <w:sz w:val="18"/>
                <w:szCs w:val="18"/>
              </w:rPr>
            </w:pPr>
            <w:r w:rsidRPr="005D2EE7">
              <w:rPr>
                <w:rFonts w:ascii="Arial" w:hAnsi="Arial" w:cs="Arial"/>
                <w:sz w:val="18"/>
                <w:szCs w:val="18"/>
              </w:rPr>
              <w:t>Label Records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0113AA97"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A841A86" w14:textId="77777777">
            <w:pPr>
              <w:jc w:val="center"/>
              <w:rPr>
                <w:rFonts w:ascii="Arial" w:hAnsi="Arial" w:cs="Arial"/>
                <w:sz w:val="18"/>
                <w:szCs w:val="18"/>
              </w:rPr>
            </w:pPr>
            <w:r w:rsidRPr="005D2EE7">
              <w:rPr>
                <w:rFonts w:ascii="Arial" w:hAnsi="Arial" w:cs="Arial"/>
                <w:sz w:val="18"/>
                <w:szCs w:val="18"/>
              </w:rPr>
              <w:t xml:space="preserve">264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8FA854F" w14:textId="77777777">
            <w:pPr>
              <w:jc w:val="center"/>
              <w:rPr>
                <w:rFonts w:ascii="Arial" w:hAnsi="Arial" w:cs="Arial"/>
                <w:sz w:val="18"/>
                <w:szCs w:val="18"/>
              </w:rPr>
            </w:pPr>
            <w:r w:rsidRPr="005D2EE7">
              <w:rPr>
                <w:rFonts w:ascii="Arial" w:hAnsi="Arial" w:cs="Arial"/>
                <w:sz w:val="18"/>
                <w:szCs w:val="18"/>
              </w:rPr>
              <w:t xml:space="preserve">25,000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6DD90BF3" w14:textId="77777777">
            <w:pPr>
              <w:jc w:val="center"/>
              <w:rPr>
                <w:rFonts w:ascii="Arial" w:hAnsi="Arial" w:cs="Arial"/>
                <w:sz w:val="18"/>
                <w:szCs w:val="18"/>
              </w:rPr>
            </w:pPr>
            <w:r w:rsidRPr="005D2EE7">
              <w:rPr>
                <w:rFonts w:ascii="Arial" w:hAnsi="Arial" w:cs="Arial"/>
                <w:sz w:val="18"/>
                <w:szCs w:val="18"/>
              </w:rPr>
              <w:t>(24,736)</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3AAC6AD4"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58492417" w14:textId="77777777">
        <w:trPr>
          <w:trHeight w:val="300"/>
          <w:jc w:val="center"/>
        </w:trPr>
        <w:tc>
          <w:tcPr>
            <w:tcW w:w="1107" w:type="dxa"/>
            <w:tcBorders>
              <w:top w:val="nil"/>
              <w:left w:val="nil"/>
              <w:bottom w:val="nil"/>
              <w:right w:val="nil"/>
            </w:tcBorders>
            <w:shd w:val="clear" w:color="auto" w:fill="auto"/>
            <w:noWrap/>
            <w:vAlign w:val="center"/>
            <w:hideMark/>
          </w:tcPr>
          <w:p w:rsidRPr="005D2EE7" w:rsidR="005D2EE7" w:rsidP="005D2EE7" w:rsidRDefault="005D2EE7" w14:paraId="0BCE7F5B" w14:textId="77777777">
            <w:pPr>
              <w:rPr>
                <w:rFonts w:ascii="Arial" w:hAnsi="Arial" w:cs="Arial"/>
                <w:sz w:val="18"/>
                <w:szCs w:val="18"/>
              </w:rPr>
            </w:pPr>
            <w:r w:rsidRPr="005D2EE7">
              <w:rPr>
                <w:rFonts w:ascii="Arial" w:hAnsi="Arial" w:cs="Arial"/>
                <w:sz w:val="18"/>
                <w:szCs w:val="18"/>
              </w:rPr>
              <w:t>116.6, 117</w:t>
            </w:r>
          </w:p>
        </w:tc>
        <w:tc>
          <w:tcPr>
            <w:tcW w:w="2765" w:type="dxa"/>
            <w:tcBorders>
              <w:top w:val="nil"/>
              <w:left w:val="nil"/>
              <w:bottom w:val="nil"/>
              <w:right w:val="nil"/>
            </w:tcBorders>
            <w:shd w:val="clear" w:color="auto" w:fill="auto"/>
            <w:noWrap/>
            <w:vAlign w:val="center"/>
            <w:hideMark/>
          </w:tcPr>
          <w:p w:rsidRPr="005D2EE7" w:rsidR="005D2EE7" w:rsidP="005D2EE7" w:rsidRDefault="005D2EE7" w14:paraId="0BF8708C" w14:textId="77777777">
            <w:pPr>
              <w:rPr>
                <w:rFonts w:ascii="Arial" w:hAnsi="Arial" w:cs="Arial"/>
                <w:sz w:val="18"/>
                <w:szCs w:val="18"/>
              </w:rPr>
            </w:pPr>
            <w:r w:rsidRPr="005D2EE7">
              <w:rPr>
                <w:rFonts w:ascii="Arial" w:hAnsi="Arial" w:cs="Arial"/>
                <w:sz w:val="18"/>
                <w:szCs w:val="18"/>
              </w:rPr>
              <w:t>Animal Records</w:t>
            </w:r>
          </w:p>
        </w:tc>
        <w:tc>
          <w:tcPr>
            <w:tcW w:w="1467" w:type="dxa"/>
            <w:tcBorders>
              <w:top w:val="nil"/>
              <w:left w:val="nil"/>
              <w:bottom w:val="nil"/>
              <w:right w:val="nil"/>
            </w:tcBorders>
            <w:shd w:val="clear" w:color="auto" w:fill="auto"/>
            <w:noWrap/>
            <w:vAlign w:val="center"/>
            <w:hideMark/>
          </w:tcPr>
          <w:p w:rsidRPr="005D2EE7" w:rsidR="005D2EE7" w:rsidP="005D2EE7" w:rsidRDefault="005D2EE7" w14:paraId="55025DF6" w14:textId="77777777">
            <w:pPr>
              <w:rPr>
                <w:rFonts w:ascii="Arial" w:hAnsi="Arial" w:cs="Arial"/>
                <w:sz w:val="18"/>
                <w:szCs w:val="18"/>
              </w:rPr>
            </w:pPr>
            <w:r w:rsidRPr="005D2EE7">
              <w:rPr>
                <w:rFonts w:ascii="Arial" w:hAnsi="Arial" w:cs="Arial"/>
                <w:sz w:val="18"/>
                <w:szCs w:val="18"/>
              </w:rPr>
              <w:t>Bus</w:t>
            </w:r>
          </w:p>
        </w:tc>
        <w:tc>
          <w:tcPr>
            <w:tcW w:w="1380" w:type="dxa"/>
            <w:tcBorders>
              <w:top w:val="nil"/>
              <w:left w:val="nil"/>
              <w:bottom w:val="single" w:color="auto" w:sz="4" w:space="0"/>
              <w:right w:val="nil"/>
            </w:tcBorders>
            <w:shd w:val="clear" w:color="auto" w:fill="auto"/>
            <w:noWrap/>
            <w:vAlign w:val="center"/>
            <w:hideMark/>
          </w:tcPr>
          <w:p w:rsidRPr="005D2EE7" w:rsidR="005D2EE7" w:rsidP="005D2EE7" w:rsidRDefault="005D2EE7" w14:paraId="56DB7B8F" w14:textId="77777777">
            <w:pPr>
              <w:jc w:val="center"/>
              <w:rPr>
                <w:rFonts w:ascii="Arial" w:hAnsi="Arial" w:cs="Arial"/>
                <w:sz w:val="18"/>
                <w:szCs w:val="18"/>
              </w:rPr>
            </w:pPr>
            <w:r w:rsidRPr="005D2EE7">
              <w:rPr>
                <w:rFonts w:ascii="Arial" w:hAnsi="Arial" w:cs="Arial"/>
                <w:sz w:val="18"/>
                <w:szCs w:val="18"/>
              </w:rPr>
              <w:t xml:space="preserve">176 </w:t>
            </w:r>
          </w:p>
        </w:tc>
        <w:tc>
          <w:tcPr>
            <w:tcW w:w="1380" w:type="dxa"/>
            <w:tcBorders>
              <w:top w:val="nil"/>
              <w:left w:val="nil"/>
              <w:bottom w:val="single" w:color="auto" w:sz="4" w:space="0"/>
              <w:right w:val="nil"/>
            </w:tcBorders>
            <w:shd w:val="clear" w:color="auto" w:fill="auto"/>
            <w:noWrap/>
            <w:vAlign w:val="center"/>
            <w:hideMark/>
          </w:tcPr>
          <w:p w:rsidRPr="005D2EE7" w:rsidR="005D2EE7" w:rsidP="005D2EE7" w:rsidRDefault="005D2EE7" w14:paraId="3D200AF2" w14:textId="77777777">
            <w:pPr>
              <w:jc w:val="center"/>
              <w:rPr>
                <w:rFonts w:ascii="Arial" w:hAnsi="Arial" w:cs="Arial"/>
                <w:sz w:val="18"/>
                <w:szCs w:val="18"/>
              </w:rPr>
            </w:pPr>
            <w:r w:rsidRPr="005D2EE7">
              <w:rPr>
                <w:rFonts w:ascii="Arial" w:hAnsi="Arial" w:cs="Arial"/>
                <w:sz w:val="18"/>
                <w:szCs w:val="18"/>
              </w:rPr>
              <w:t xml:space="preserve">3 </w:t>
            </w:r>
          </w:p>
        </w:tc>
        <w:tc>
          <w:tcPr>
            <w:tcW w:w="1380" w:type="dxa"/>
            <w:tcBorders>
              <w:top w:val="nil"/>
              <w:left w:val="nil"/>
              <w:bottom w:val="single" w:color="auto" w:sz="4" w:space="0"/>
              <w:right w:val="nil"/>
            </w:tcBorders>
            <w:shd w:val="clear" w:color="auto" w:fill="auto"/>
            <w:noWrap/>
            <w:vAlign w:val="center"/>
            <w:hideMark/>
          </w:tcPr>
          <w:p w:rsidRPr="005D2EE7" w:rsidR="005D2EE7" w:rsidP="005D2EE7" w:rsidRDefault="005D2EE7" w14:paraId="1150B245" w14:textId="77777777">
            <w:pPr>
              <w:jc w:val="center"/>
              <w:rPr>
                <w:rFonts w:ascii="Arial" w:hAnsi="Arial" w:cs="Arial"/>
                <w:sz w:val="18"/>
                <w:szCs w:val="18"/>
              </w:rPr>
            </w:pPr>
            <w:r w:rsidRPr="005D2EE7">
              <w:rPr>
                <w:rFonts w:ascii="Arial" w:hAnsi="Arial" w:cs="Arial"/>
                <w:sz w:val="18"/>
                <w:szCs w:val="18"/>
              </w:rPr>
              <w:t xml:space="preserve">173 </w:t>
            </w:r>
          </w:p>
        </w:tc>
        <w:tc>
          <w:tcPr>
            <w:tcW w:w="1380" w:type="dxa"/>
            <w:tcBorders>
              <w:top w:val="nil"/>
              <w:left w:val="nil"/>
              <w:bottom w:val="nil"/>
              <w:right w:val="nil"/>
            </w:tcBorders>
            <w:shd w:val="clear" w:color="auto" w:fill="auto"/>
            <w:noWrap/>
            <w:vAlign w:val="center"/>
            <w:hideMark/>
          </w:tcPr>
          <w:p w:rsidRPr="005D2EE7" w:rsidR="005D2EE7" w:rsidP="005D2EE7" w:rsidRDefault="005D2EE7" w14:paraId="5FD3B810" w14:textId="77777777">
            <w:pPr>
              <w:rPr>
                <w:rFonts w:ascii="Arial" w:hAnsi="Arial" w:cs="Arial"/>
                <w:sz w:val="18"/>
                <w:szCs w:val="18"/>
              </w:rPr>
            </w:pPr>
            <w:r w:rsidRPr="005D2EE7">
              <w:rPr>
                <w:rFonts w:ascii="Arial" w:hAnsi="Arial" w:cs="Arial"/>
                <w:sz w:val="18"/>
                <w:szCs w:val="18"/>
              </w:rPr>
              <w:t>discretionary</w:t>
            </w:r>
          </w:p>
        </w:tc>
      </w:tr>
      <w:tr w:rsidRPr="005D2EE7" w:rsidR="005D2EE7" w:rsidTr="005D2EE7" w14:paraId="5E438EE4" w14:textId="77777777">
        <w:trPr>
          <w:trHeight w:val="300"/>
          <w:jc w:val="center"/>
        </w:trPr>
        <w:tc>
          <w:tcPr>
            <w:tcW w:w="1107" w:type="dxa"/>
            <w:tcBorders>
              <w:top w:val="nil"/>
              <w:left w:val="nil"/>
              <w:bottom w:val="nil"/>
              <w:right w:val="nil"/>
            </w:tcBorders>
            <w:shd w:val="clear" w:color="auto" w:fill="auto"/>
            <w:noWrap/>
            <w:vAlign w:val="bottom"/>
            <w:hideMark/>
          </w:tcPr>
          <w:p w:rsidRPr="005D2EE7" w:rsidR="005D2EE7" w:rsidP="005D2EE7" w:rsidRDefault="005D2EE7" w14:paraId="08FA5DE0" w14:textId="77777777">
            <w:pPr>
              <w:rPr>
                <w:rFonts w:ascii="Arial" w:hAnsi="Arial" w:cs="Arial"/>
                <w:sz w:val="18"/>
                <w:szCs w:val="18"/>
              </w:rPr>
            </w:pPr>
          </w:p>
        </w:tc>
        <w:tc>
          <w:tcPr>
            <w:tcW w:w="2765" w:type="dxa"/>
            <w:tcBorders>
              <w:top w:val="nil"/>
              <w:left w:val="nil"/>
              <w:bottom w:val="nil"/>
              <w:right w:val="nil"/>
            </w:tcBorders>
            <w:shd w:val="clear" w:color="auto" w:fill="auto"/>
            <w:noWrap/>
            <w:vAlign w:val="bottom"/>
            <w:hideMark/>
          </w:tcPr>
          <w:p w:rsidRPr="005D2EE7" w:rsidR="005D2EE7" w:rsidP="005D2EE7" w:rsidRDefault="005D2EE7" w14:paraId="07F013D9" w14:textId="77777777">
            <w:pPr>
              <w:rPr>
                <w:sz w:val="20"/>
                <w:szCs w:val="20"/>
              </w:rPr>
            </w:pPr>
          </w:p>
        </w:tc>
        <w:tc>
          <w:tcPr>
            <w:tcW w:w="1467" w:type="dxa"/>
            <w:tcBorders>
              <w:top w:val="nil"/>
              <w:left w:val="nil"/>
              <w:bottom w:val="nil"/>
              <w:right w:val="nil"/>
            </w:tcBorders>
            <w:shd w:val="clear" w:color="auto" w:fill="auto"/>
            <w:noWrap/>
            <w:vAlign w:val="bottom"/>
            <w:hideMark/>
          </w:tcPr>
          <w:p w:rsidRPr="005D2EE7" w:rsidR="005D2EE7" w:rsidP="005D2EE7" w:rsidRDefault="005D2EE7" w14:paraId="20362B86" w14:textId="77777777">
            <w:pPr>
              <w:rPr>
                <w:sz w:val="20"/>
                <w:szCs w:val="20"/>
              </w:rPr>
            </w:pP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5930764A" w14:textId="77777777">
            <w:pPr>
              <w:jc w:val="center"/>
              <w:rPr>
                <w:rFonts w:ascii="Arial" w:hAnsi="Arial" w:cs="Arial"/>
                <w:sz w:val="18"/>
                <w:szCs w:val="18"/>
              </w:rPr>
            </w:pPr>
            <w:r w:rsidRPr="005D2EE7">
              <w:rPr>
                <w:rFonts w:ascii="Arial" w:hAnsi="Arial" w:cs="Arial"/>
                <w:sz w:val="18"/>
                <w:szCs w:val="18"/>
              </w:rPr>
              <w:t xml:space="preserve">43,024 </w:t>
            </w: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3336E115" w14:textId="77777777">
            <w:pPr>
              <w:jc w:val="center"/>
              <w:rPr>
                <w:rFonts w:ascii="Arial" w:hAnsi="Arial" w:cs="Arial"/>
                <w:sz w:val="18"/>
                <w:szCs w:val="18"/>
              </w:rPr>
            </w:pPr>
            <w:r w:rsidRPr="005D2EE7">
              <w:rPr>
                <w:rFonts w:ascii="Arial" w:hAnsi="Arial" w:cs="Arial"/>
                <w:sz w:val="18"/>
                <w:szCs w:val="18"/>
              </w:rPr>
              <w:t xml:space="preserve">122,950 </w:t>
            </w: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5B65A131" w14:textId="77777777">
            <w:pPr>
              <w:jc w:val="center"/>
              <w:rPr>
                <w:rFonts w:ascii="Arial" w:hAnsi="Arial" w:cs="Arial"/>
                <w:sz w:val="18"/>
                <w:szCs w:val="18"/>
              </w:rPr>
            </w:pPr>
            <w:r w:rsidRPr="005D2EE7">
              <w:rPr>
                <w:rFonts w:ascii="Arial" w:hAnsi="Arial" w:cs="Arial"/>
                <w:sz w:val="18"/>
                <w:szCs w:val="18"/>
              </w:rPr>
              <w:t>(79,926)</w:t>
            </w:r>
          </w:p>
        </w:tc>
        <w:tc>
          <w:tcPr>
            <w:tcW w:w="1380" w:type="dxa"/>
            <w:tcBorders>
              <w:top w:val="nil"/>
              <w:left w:val="nil"/>
              <w:bottom w:val="nil"/>
              <w:right w:val="nil"/>
            </w:tcBorders>
            <w:shd w:val="clear" w:color="auto" w:fill="auto"/>
            <w:noWrap/>
            <w:vAlign w:val="bottom"/>
            <w:hideMark/>
          </w:tcPr>
          <w:p w:rsidRPr="005D2EE7" w:rsidR="005D2EE7" w:rsidP="005D2EE7" w:rsidRDefault="005D2EE7" w14:paraId="64E5C857" w14:textId="77777777">
            <w:pPr>
              <w:jc w:val="center"/>
              <w:rPr>
                <w:rFonts w:ascii="Arial" w:hAnsi="Arial" w:cs="Arial"/>
                <w:sz w:val="18"/>
                <w:szCs w:val="18"/>
              </w:rPr>
            </w:pPr>
          </w:p>
        </w:tc>
      </w:tr>
    </w:tbl>
    <w:p w:rsidR="00B832DC" w:rsidP="00A05256" w:rsidRDefault="00B832DC" w14:paraId="34171EAE" w14:textId="10B43C8F">
      <w:pPr>
        <w:tabs>
          <w:tab w:val="left" w:pos="990"/>
          <w:tab w:val="left" w:pos="3150"/>
          <w:tab w:val="right" w:pos="4680"/>
          <w:tab w:val="right" w:pos="5760"/>
          <w:tab w:val="right" w:pos="7110"/>
          <w:tab w:val="left" w:pos="7560"/>
        </w:tabs>
        <w:ind w:right="-72"/>
        <w:rPr>
          <w:color w:val="FF0000"/>
          <w:szCs w:val="18"/>
        </w:rPr>
      </w:pPr>
    </w:p>
    <w:p w:rsidR="009F4764" w:rsidP="00A05256" w:rsidRDefault="009F4764" w14:paraId="6D84004E" w14:textId="15046C05">
      <w:pPr>
        <w:tabs>
          <w:tab w:val="left" w:pos="990"/>
          <w:tab w:val="left" w:pos="3150"/>
          <w:tab w:val="right" w:pos="4680"/>
          <w:tab w:val="right" w:pos="5760"/>
          <w:tab w:val="right" w:pos="7110"/>
          <w:tab w:val="left" w:pos="7560"/>
        </w:tabs>
        <w:ind w:right="-72"/>
        <w:rPr>
          <w:color w:val="FF0000"/>
          <w:szCs w:val="18"/>
        </w:rPr>
      </w:pPr>
    </w:p>
    <w:p w:rsidR="008950AE" w:rsidP="00A05256" w:rsidRDefault="008950AE" w14:paraId="65B0BEE0" w14:textId="48978705">
      <w:pPr>
        <w:tabs>
          <w:tab w:val="left" w:pos="990"/>
          <w:tab w:val="left" w:pos="3150"/>
          <w:tab w:val="right" w:pos="4680"/>
          <w:tab w:val="right" w:pos="5760"/>
          <w:tab w:val="right" w:pos="7110"/>
          <w:tab w:val="left" w:pos="7560"/>
        </w:tabs>
        <w:ind w:right="-72"/>
        <w:rPr>
          <w:color w:val="FF0000"/>
          <w:szCs w:val="18"/>
        </w:rPr>
      </w:pPr>
    </w:p>
    <w:p w:rsidR="008950AE" w:rsidP="00A05256" w:rsidRDefault="008950AE" w14:paraId="78239704" w14:textId="08656A3E">
      <w:pPr>
        <w:tabs>
          <w:tab w:val="left" w:pos="990"/>
          <w:tab w:val="left" w:pos="3150"/>
          <w:tab w:val="right" w:pos="4680"/>
          <w:tab w:val="right" w:pos="5760"/>
          <w:tab w:val="right" w:pos="7110"/>
          <w:tab w:val="left" w:pos="7560"/>
        </w:tabs>
        <w:ind w:right="-72"/>
        <w:rPr>
          <w:color w:val="FF0000"/>
          <w:szCs w:val="18"/>
        </w:rPr>
      </w:pPr>
    </w:p>
    <w:p w:rsidR="008950AE" w:rsidP="00A05256" w:rsidRDefault="008950AE" w14:paraId="35A994AE" w14:textId="45B9ADFA">
      <w:pPr>
        <w:tabs>
          <w:tab w:val="left" w:pos="990"/>
          <w:tab w:val="left" w:pos="3150"/>
          <w:tab w:val="right" w:pos="4680"/>
          <w:tab w:val="right" w:pos="5760"/>
          <w:tab w:val="right" w:pos="7110"/>
          <w:tab w:val="left" w:pos="7560"/>
        </w:tabs>
        <w:ind w:right="-72"/>
        <w:rPr>
          <w:color w:val="FF0000"/>
          <w:szCs w:val="18"/>
        </w:rPr>
      </w:pPr>
    </w:p>
    <w:p w:rsidRPr="0095169C" w:rsidR="008950AE" w:rsidP="00A05256" w:rsidRDefault="008950AE" w14:paraId="7F5436B1" w14:textId="77777777">
      <w:pPr>
        <w:tabs>
          <w:tab w:val="left" w:pos="990"/>
          <w:tab w:val="left" w:pos="3150"/>
          <w:tab w:val="right" w:pos="4680"/>
          <w:tab w:val="right" w:pos="5760"/>
          <w:tab w:val="right" w:pos="7110"/>
          <w:tab w:val="left" w:pos="7560"/>
        </w:tabs>
        <w:ind w:right="-72"/>
        <w:rPr>
          <w:color w:val="FF0000"/>
          <w:szCs w:val="18"/>
        </w:rPr>
      </w:pPr>
    </w:p>
    <w:p w:rsidRPr="00050ADF" w:rsidR="0008208A" w:rsidP="00B17A17" w:rsidRDefault="0008208A" w14:paraId="01F5A32C" w14:textId="77777777">
      <w:pPr>
        <w:autoSpaceDE w:val="0"/>
        <w:autoSpaceDN w:val="0"/>
        <w:adjustRightInd w:val="0"/>
        <w:rPr>
          <w:b/>
          <w:color w:val="000000" w:themeColor="text1"/>
        </w:rPr>
      </w:pPr>
      <w:r w:rsidRPr="00050ADF">
        <w:rPr>
          <w:b/>
          <w:bCs/>
          <w:color w:val="000000" w:themeColor="text1"/>
        </w:rPr>
        <w:lastRenderedPageBreak/>
        <w:t>16.  For collections of information whose results are planned to be published, outline plans for tabulation and publication.</w:t>
      </w:r>
    </w:p>
    <w:p w:rsidRPr="00050ADF" w:rsidR="0008208A" w:rsidP="00C64A4F" w:rsidRDefault="0008208A" w14:paraId="4781835C" w14:textId="77777777">
      <w:pPr>
        <w:autoSpaceDE w:val="0"/>
        <w:autoSpaceDN w:val="0"/>
        <w:adjustRightInd w:val="0"/>
        <w:rPr>
          <w:color w:val="000000" w:themeColor="text1"/>
        </w:rPr>
      </w:pPr>
    </w:p>
    <w:p w:rsidRPr="00050ADF" w:rsidR="0008208A" w:rsidP="00C64A4F" w:rsidRDefault="00DD3AE9" w14:paraId="44485FE5" w14:textId="7C0C9FAD">
      <w:pPr>
        <w:autoSpaceDE w:val="0"/>
        <w:autoSpaceDN w:val="0"/>
        <w:adjustRightInd w:val="0"/>
        <w:rPr>
          <w:color w:val="000000" w:themeColor="text1"/>
        </w:rPr>
      </w:pPr>
      <w:r w:rsidRPr="00050ADF">
        <w:rPr>
          <w:color w:val="000000" w:themeColor="text1"/>
        </w:rPr>
        <w:t xml:space="preserve">A list of licensed establishments and licensed biological products, and a public annual report on the annual doses of biological products produced and destroyed, are published on the </w:t>
      </w:r>
      <w:r w:rsidRPr="00050ADF" w:rsidR="009E1675">
        <w:rPr>
          <w:color w:val="000000" w:themeColor="text1"/>
        </w:rPr>
        <w:t xml:space="preserve">APHIS </w:t>
      </w:r>
      <w:r w:rsidRPr="00050ADF" w:rsidR="00313EDD">
        <w:rPr>
          <w:color w:val="000000" w:themeColor="text1"/>
        </w:rPr>
        <w:t>w</w:t>
      </w:r>
      <w:r w:rsidRPr="00050ADF" w:rsidR="009E1675">
        <w:rPr>
          <w:color w:val="000000" w:themeColor="text1"/>
        </w:rPr>
        <w:t>ebsite</w:t>
      </w:r>
      <w:r w:rsidRPr="00050ADF">
        <w:rPr>
          <w:color w:val="000000" w:themeColor="text1"/>
        </w:rPr>
        <w:t xml:space="preserve">s </w:t>
      </w:r>
      <w:r w:rsidRPr="00050ADF" w:rsidR="00C82B72">
        <w:rPr>
          <w:color w:val="000000" w:themeColor="text1"/>
        </w:rPr>
        <w:t>http://www.aphis.usda.gov/animal_health/vet_biologics/publications/CurrentProdCodeBook.pdf</w:t>
      </w:r>
      <w:r w:rsidRPr="00050ADF">
        <w:rPr>
          <w:rStyle w:val="Hyperlink"/>
          <w:color w:val="000000" w:themeColor="text1"/>
          <w:u w:val="none"/>
        </w:rPr>
        <w:t xml:space="preserve"> and </w:t>
      </w:r>
      <w:r w:rsidRPr="00050ADF" w:rsidR="00E97DB9">
        <w:rPr>
          <w:color w:val="000000" w:themeColor="text1"/>
        </w:rPr>
        <w:t>https://www.aphis.usda.gov/animal_health/vet_biologics/publications/notice_8</w:t>
      </w:r>
      <w:r w:rsidRPr="00050ADF" w:rsidR="008061DC">
        <w:rPr>
          <w:color w:val="000000" w:themeColor="text1"/>
        </w:rPr>
        <w:t>8</w:t>
      </w:r>
      <w:r w:rsidRPr="00050ADF" w:rsidR="00E97DB9">
        <w:rPr>
          <w:color w:val="000000" w:themeColor="text1"/>
        </w:rPr>
        <w:t>.pdf</w:t>
      </w:r>
      <w:r w:rsidRPr="00050ADF" w:rsidR="00EF28EE">
        <w:rPr>
          <w:color w:val="000000" w:themeColor="text1"/>
        </w:rPr>
        <w:t>.</w:t>
      </w:r>
    </w:p>
    <w:p w:rsidR="009709D9" w:rsidP="00C64A4F" w:rsidRDefault="009709D9" w14:paraId="2793B560" w14:textId="0EDB5016">
      <w:pPr>
        <w:autoSpaceDE w:val="0"/>
        <w:autoSpaceDN w:val="0"/>
        <w:adjustRightInd w:val="0"/>
        <w:rPr>
          <w:color w:val="000000" w:themeColor="text1"/>
        </w:rPr>
      </w:pPr>
    </w:p>
    <w:p w:rsidRPr="00050ADF" w:rsidR="008950AE" w:rsidP="00C64A4F" w:rsidRDefault="008950AE" w14:paraId="0E9C15FE" w14:textId="77777777">
      <w:pPr>
        <w:autoSpaceDE w:val="0"/>
        <w:autoSpaceDN w:val="0"/>
        <w:adjustRightInd w:val="0"/>
        <w:rPr>
          <w:color w:val="000000" w:themeColor="text1"/>
        </w:rPr>
      </w:pPr>
    </w:p>
    <w:p w:rsidRPr="00050ADF" w:rsidR="0008208A" w:rsidP="00CA459E" w:rsidRDefault="0008208A" w14:paraId="68A1EDE7" w14:textId="77777777">
      <w:pPr>
        <w:autoSpaceDE w:val="0"/>
        <w:autoSpaceDN w:val="0"/>
        <w:adjustRightInd w:val="0"/>
        <w:rPr>
          <w:b/>
          <w:color w:val="000000" w:themeColor="text1"/>
        </w:rPr>
      </w:pPr>
      <w:r w:rsidRPr="00050ADF">
        <w:rPr>
          <w:b/>
          <w:bCs/>
          <w:color w:val="000000" w:themeColor="text1"/>
        </w:rPr>
        <w:t>17.  If seeking approval to not display the expiration date for OMB approval of the information collection, explain the reasons that display would be inappropriate.</w:t>
      </w:r>
    </w:p>
    <w:p w:rsidRPr="00050ADF" w:rsidR="0008208A" w:rsidP="00CA459E" w:rsidRDefault="0008208A" w14:paraId="2730A271" w14:textId="77777777">
      <w:pPr>
        <w:autoSpaceDE w:val="0"/>
        <w:autoSpaceDN w:val="0"/>
        <w:adjustRightInd w:val="0"/>
        <w:rPr>
          <w:color w:val="000000" w:themeColor="text1"/>
        </w:rPr>
      </w:pPr>
    </w:p>
    <w:p w:rsidRPr="00050ADF" w:rsidR="0020083D" w:rsidP="00CA459E" w:rsidRDefault="00050ADF" w14:paraId="0FD495A1" w14:textId="21B16031">
      <w:pPr>
        <w:pStyle w:val="DefaultText"/>
        <w:rPr>
          <w:rStyle w:val="InitialStyle"/>
          <w:rFonts w:ascii="Times New Roman" w:hAnsi="Times New Roman"/>
          <w:color w:val="000000" w:themeColor="text1"/>
          <w:szCs w:val="24"/>
        </w:rPr>
      </w:pPr>
      <w:r>
        <w:rPr>
          <w:rStyle w:val="InitialStyle"/>
          <w:rFonts w:ascii="Times New Roman" w:hAnsi="Times New Roman"/>
          <w:color w:val="000000" w:themeColor="text1"/>
          <w:szCs w:val="24"/>
        </w:rPr>
        <w:t>The OMB approval expiration date will be displayed.</w:t>
      </w:r>
    </w:p>
    <w:p w:rsidRPr="00050ADF" w:rsidR="0008208A" w:rsidP="00E521EA" w:rsidRDefault="0008208A" w14:paraId="697D0D63" w14:textId="77777777">
      <w:pPr>
        <w:autoSpaceDE w:val="0"/>
        <w:autoSpaceDN w:val="0"/>
        <w:adjustRightInd w:val="0"/>
        <w:rPr>
          <w:color w:val="000000" w:themeColor="text1"/>
        </w:rPr>
      </w:pPr>
    </w:p>
    <w:p w:rsidRPr="00050ADF" w:rsidR="0008208A" w:rsidP="00B2150F" w:rsidRDefault="0008208A" w14:paraId="7D778F3D" w14:textId="77777777">
      <w:pPr>
        <w:autoSpaceDE w:val="0"/>
        <w:autoSpaceDN w:val="0"/>
        <w:adjustRightInd w:val="0"/>
        <w:rPr>
          <w:color w:val="000000" w:themeColor="text1"/>
        </w:rPr>
      </w:pPr>
    </w:p>
    <w:p w:rsidRPr="00050ADF" w:rsidR="0008208A" w:rsidP="00BA06BE" w:rsidRDefault="0008208A" w14:paraId="6EBF1629" w14:textId="77777777">
      <w:pPr>
        <w:autoSpaceDE w:val="0"/>
        <w:autoSpaceDN w:val="0"/>
        <w:adjustRightInd w:val="0"/>
        <w:rPr>
          <w:b/>
          <w:color w:val="000000" w:themeColor="text1"/>
        </w:rPr>
      </w:pPr>
      <w:r w:rsidRPr="00050ADF">
        <w:rPr>
          <w:b/>
          <w:bCs/>
          <w:color w:val="000000" w:themeColor="text1"/>
        </w:rPr>
        <w:t>18.  Explain each exception to the certification statement identified in the "Certification for Paperwork Reduction Act."</w:t>
      </w:r>
    </w:p>
    <w:p w:rsidRPr="00050ADF" w:rsidR="0008208A" w:rsidP="00BA06BE" w:rsidRDefault="0008208A" w14:paraId="33C21E9A" w14:textId="77777777">
      <w:pPr>
        <w:autoSpaceDE w:val="0"/>
        <w:autoSpaceDN w:val="0"/>
        <w:adjustRightInd w:val="0"/>
        <w:rPr>
          <w:color w:val="000000" w:themeColor="text1"/>
        </w:rPr>
      </w:pPr>
    </w:p>
    <w:p w:rsidRPr="00050ADF" w:rsidR="0008208A" w:rsidP="008B1872" w:rsidRDefault="0008208A" w14:paraId="391CCF97" w14:textId="1CFD83DA">
      <w:pPr>
        <w:autoSpaceDE w:val="0"/>
        <w:autoSpaceDN w:val="0"/>
        <w:adjustRightInd w:val="0"/>
        <w:rPr>
          <w:color w:val="000000" w:themeColor="text1"/>
        </w:rPr>
      </w:pPr>
      <w:r w:rsidRPr="00050ADF">
        <w:rPr>
          <w:color w:val="000000" w:themeColor="text1"/>
        </w:rPr>
        <w:t>APHIS can certify compliance with all provisions under the Act.</w:t>
      </w:r>
    </w:p>
    <w:p w:rsidRPr="00050ADF" w:rsidR="0008208A" w:rsidP="008B1872" w:rsidRDefault="0008208A" w14:paraId="466210D0" w14:textId="77777777">
      <w:pPr>
        <w:autoSpaceDE w:val="0"/>
        <w:autoSpaceDN w:val="0"/>
        <w:adjustRightInd w:val="0"/>
        <w:rPr>
          <w:color w:val="000000" w:themeColor="text1"/>
        </w:rPr>
      </w:pPr>
    </w:p>
    <w:p w:rsidRPr="00050ADF" w:rsidR="0071500E" w:rsidP="008B1872" w:rsidRDefault="0071500E" w14:paraId="363FA005" w14:textId="77777777">
      <w:pPr>
        <w:autoSpaceDE w:val="0"/>
        <w:autoSpaceDN w:val="0"/>
        <w:adjustRightInd w:val="0"/>
        <w:rPr>
          <w:color w:val="000000" w:themeColor="text1"/>
        </w:rPr>
      </w:pPr>
    </w:p>
    <w:p w:rsidRPr="00050ADF" w:rsidR="0008208A" w:rsidP="008B1872" w:rsidRDefault="0008208A" w14:paraId="3B2BDB2C" w14:textId="77777777">
      <w:pPr>
        <w:autoSpaceDE w:val="0"/>
        <w:autoSpaceDN w:val="0"/>
        <w:adjustRightInd w:val="0"/>
        <w:rPr>
          <w:b/>
          <w:color w:val="000000" w:themeColor="text1"/>
        </w:rPr>
      </w:pPr>
      <w:r w:rsidRPr="00050ADF">
        <w:rPr>
          <w:b/>
          <w:bCs/>
          <w:color w:val="000000" w:themeColor="text1"/>
        </w:rPr>
        <w:t>B.  Collections of Information Employing Statistical Methods</w:t>
      </w:r>
    </w:p>
    <w:p w:rsidRPr="00050ADF" w:rsidR="0008208A" w:rsidP="0011314A" w:rsidRDefault="0008208A" w14:paraId="1C83F822" w14:textId="77777777">
      <w:pPr>
        <w:autoSpaceDE w:val="0"/>
        <w:autoSpaceDN w:val="0"/>
        <w:adjustRightInd w:val="0"/>
        <w:rPr>
          <w:color w:val="000000" w:themeColor="text1"/>
        </w:rPr>
      </w:pPr>
    </w:p>
    <w:p w:rsidRPr="00050ADF" w:rsidR="00BE3705" w:rsidP="0011314A" w:rsidRDefault="0008208A" w14:paraId="0DD2FF54" w14:textId="77777777">
      <w:pPr>
        <w:autoSpaceDE w:val="0"/>
        <w:autoSpaceDN w:val="0"/>
        <w:adjustRightInd w:val="0"/>
        <w:rPr>
          <w:color w:val="000000" w:themeColor="text1"/>
        </w:rPr>
      </w:pPr>
      <w:r w:rsidRPr="00050ADF">
        <w:rPr>
          <w:color w:val="000000" w:themeColor="text1"/>
        </w:rPr>
        <w:t xml:space="preserve">There are no statistical methods associated with the information collection activities used in this program. </w:t>
      </w:r>
    </w:p>
    <w:sectPr w:rsidRPr="00050ADF" w:rsidR="00BE3705" w:rsidSect="0071500E">
      <w:footerReference w:type="default" r:id="rId17"/>
      <w:pgSz w:w="12240" w:h="15840"/>
      <w:pgMar w:top="1440" w:right="1296" w:bottom="1170"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C302" w14:textId="77777777" w:rsidR="00BC7450" w:rsidRDefault="00BC7450">
      <w:r>
        <w:separator/>
      </w:r>
    </w:p>
  </w:endnote>
  <w:endnote w:type="continuationSeparator" w:id="0">
    <w:p w14:paraId="507CA0EA" w14:textId="77777777" w:rsidR="00BC7450" w:rsidRDefault="00B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242181"/>
      <w:docPartObj>
        <w:docPartGallery w:val="Page Numbers (Bottom of Page)"/>
        <w:docPartUnique/>
      </w:docPartObj>
    </w:sdtPr>
    <w:sdtEndPr>
      <w:rPr>
        <w:noProof/>
      </w:rPr>
    </w:sdtEndPr>
    <w:sdtContent>
      <w:p w14:paraId="2C61F779" w14:textId="77777777" w:rsidR="00BC7450" w:rsidRDefault="00BC7450">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55F9561" w14:textId="77777777" w:rsidR="00BC7450" w:rsidRDefault="00BC7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795A" w14:textId="77777777" w:rsidR="00BC7450" w:rsidRDefault="00BC7450">
      <w:r>
        <w:separator/>
      </w:r>
    </w:p>
  </w:footnote>
  <w:footnote w:type="continuationSeparator" w:id="0">
    <w:p w14:paraId="5BDE562B" w14:textId="77777777" w:rsidR="00BC7450" w:rsidRDefault="00BC7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195"/>
    <w:multiLevelType w:val="hybridMultilevel"/>
    <w:tmpl w:val="7CAA17A2"/>
    <w:lvl w:ilvl="0" w:tplc="04090001">
      <w:start w:val="1"/>
      <w:numFmt w:val="bullet"/>
      <w:lvlText w:val=""/>
      <w:lvlJc w:val="left"/>
      <w:pPr>
        <w:ind w:left="20430" w:hanging="360"/>
      </w:pPr>
      <w:rPr>
        <w:rFonts w:ascii="Symbol" w:hAnsi="Symbol" w:hint="default"/>
      </w:rPr>
    </w:lvl>
    <w:lvl w:ilvl="1" w:tplc="04090003">
      <w:start w:val="1"/>
      <w:numFmt w:val="bullet"/>
      <w:lvlText w:val="o"/>
      <w:lvlJc w:val="left"/>
      <w:pPr>
        <w:ind w:left="21150" w:hanging="360"/>
      </w:pPr>
      <w:rPr>
        <w:rFonts w:ascii="Courier New" w:hAnsi="Courier New" w:cs="Courier New" w:hint="default"/>
      </w:rPr>
    </w:lvl>
    <w:lvl w:ilvl="2" w:tplc="04090005" w:tentative="1">
      <w:start w:val="1"/>
      <w:numFmt w:val="bullet"/>
      <w:lvlText w:val=""/>
      <w:lvlJc w:val="left"/>
      <w:pPr>
        <w:ind w:left="21870" w:hanging="360"/>
      </w:pPr>
      <w:rPr>
        <w:rFonts w:ascii="Wingdings" w:hAnsi="Wingdings" w:hint="default"/>
      </w:rPr>
    </w:lvl>
    <w:lvl w:ilvl="3" w:tplc="04090001" w:tentative="1">
      <w:start w:val="1"/>
      <w:numFmt w:val="bullet"/>
      <w:lvlText w:val=""/>
      <w:lvlJc w:val="left"/>
      <w:pPr>
        <w:ind w:left="22590" w:hanging="360"/>
      </w:pPr>
      <w:rPr>
        <w:rFonts w:ascii="Symbol" w:hAnsi="Symbol" w:hint="default"/>
      </w:rPr>
    </w:lvl>
    <w:lvl w:ilvl="4" w:tplc="04090003" w:tentative="1">
      <w:start w:val="1"/>
      <w:numFmt w:val="bullet"/>
      <w:lvlText w:val="o"/>
      <w:lvlJc w:val="left"/>
      <w:pPr>
        <w:ind w:left="23310" w:hanging="360"/>
      </w:pPr>
      <w:rPr>
        <w:rFonts w:ascii="Courier New" w:hAnsi="Courier New" w:cs="Courier New" w:hint="default"/>
      </w:rPr>
    </w:lvl>
    <w:lvl w:ilvl="5" w:tplc="04090005" w:tentative="1">
      <w:start w:val="1"/>
      <w:numFmt w:val="bullet"/>
      <w:lvlText w:val=""/>
      <w:lvlJc w:val="left"/>
      <w:pPr>
        <w:ind w:left="24030" w:hanging="360"/>
      </w:pPr>
      <w:rPr>
        <w:rFonts w:ascii="Wingdings" w:hAnsi="Wingdings" w:hint="default"/>
      </w:rPr>
    </w:lvl>
    <w:lvl w:ilvl="6" w:tplc="04090001" w:tentative="1">
      <w:start w:val="1"/>
      <w:numFmt w:val="bullet"/>
      <w:lvlText w:val=""/>
      <w:lvlJc w:val="left"/>
      <w:pPr>
        <w:ind w:left="24750" w:hanging="360"/>
      </w:pPr>
      <w:rPr>
        <w:rFonts w:ascii="Symbol" w:hAnsi="Symbol" w:hint="default"/>
      </w:rPr>
    </w:lvl>
    <w:lvl w:ilvl="7" w:tplc="04090003" w:tentative="1">
      <w:start w:val="1"/>
      <w:numFmt w:val="bullet"/>
      <w:lvlText w:val="o"/>
      <w:lvlJc w:val="left"/>
      <w:pPr>
        <w:ind w:left="25470" w:hanging="360"/>
      </w:pPr>
      <w:rPr>
        <w:rFonts w:ascii="Courier New" w:hAnsi="Courier New" w:cs="Courier New" w:hint="default"/>
      </w:rPr>
    </w:lvl>
    <w:lvl w:ilvl="8" w:tplc="04090005" w:tentative="1">
      <w:start w:val="1"/>
      <w:numFmt w:val="bullet"/>
      <w:lvlText w:val=""/>
      <w:lvlJc w:val="left"/>
      <w:pPr>
        <w:ind w:left="26190" w:hanging="360"/>
      </w:pPr>
      <w:rPr>
        <w:rFonts w:ascii="Wingdings" w:hAnsi="Wingdings" w:hint="default"/>
      </w:rPr>
    </w:lvl>
  </w:abstractNum>
  <w:abstractNum w:abstractNumId="1" w15:restartNumberingAfterBreak="0">
    <w:nsid w:val="05FC54FE"/>
    <w:multiLevelType w:val="hybridMultilevel"/>
    <w:tmpl w:val="6024A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A7AA8"/>
    <w:multiLevelType w:val="hybridMultilevel"/>
    <w:tmpl w:val="33129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1D38B8"/>
    <w:multiLevelType w:val="hybridMultilevel"/>
    <w:tmpl w:val="3906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AD40AC"/>
    <w:multiLevelType w:val="hybridMultilevel"/>
    <w:tmpl w:val="A3A20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D66C5"/>
    <w:multiLevelType w:val="hybridMultilevel"/>
    <w:tmpl w:val="8C809704"/>
    <w:lvl w:ilvl="0" w:tplc="E22AE226">
      <w:start w:val="9"/>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87B55"/>
    <w:multiLevelType w:val="hybridMultilevel"/>
    <w:tmpl w:val="931AC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F173CD"/>
    <w:multiLevelType w:val="hybridMultilevel"/>
    <w:tmpl w:val="7BF60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4"/>
  </w:num>
  <w:num w:numId="3">
    <w:abstractNumId w:val="13"/>
  </w:num>
  <w:num w:numId="4">
    <w:abstractNumId w:val="10"/>
  </w:num>
  <w:num w:numId="5">
    <w:abstractNumId w:val="4"/>
  </w:num>
  <w:num w:numId="6">
    <w:abstractNumId w:val="9"/>
  </w:num>
  <w:num w:numId="7">
    <w:abstractNumId w:val="11"/>
  </w:num>
  <w:num w:numId="8">
    <w:abstractNumId w:val="12"/>
  </w:num>
  <w:num w:numId="9">
    <w:abstractNumId w:val="7"/>
  </w:num>
  <w:num w:numId="10">
    <w:abstractNumId w:val="0"/>
  </w:num>
  <w:num w:numId="11">
    <w:abstractNumId w:val="1"/>
  </w:num>
  <w:num w:numId="12">
    <w:abstractNumId w:val="5"/>
  </w:num>
  <w:num w:numId="13">
    <w:abstractNumId w:val="3"/>
  </w:num>
  <w:num w:numId="14">
    <w:abstractNumId w:val="6"/>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8A"/>
    <w:rsid w:val="00000272"/>
    <w:rsid w:val="0000120B"/>
    <w:rsid w:val="00003C47"/>
    <w:rsid w:val="000052B7"/>
    <w:rsid w:val="000123AA"/>
    <w:rsid w:val="0001638F"/>
    <w:rsid w:val="000219E7"/>
    <w:rsid w:val="00026B34"/>
    <w:rsid w:val="00036B61"/>
    <w:rsid w:val="00037064"/>
    <w:rsid w:val="00040076"/>
    <w:rsid w:val="00042AE9"/>
    <w:rsid w:val="0004459B"/>
    <w:rsid w:val="0004576A"/>
    <w:rsid w:val="00050ADF"/>
    <w:rsid w:val="00053C4B"/>
    <w:rsid w:val="00053E16"/>
    <w:rsid w:val="00056AD9"/>
    <w:rsid w:val="0005789A"/>
    <w:rsid w:val="00057BAB"/>
    <w:rsid w:val="000604FE"/>
    <w:rsid w:val="00062574"/>
    <w:rsid w:val="00062D93"/>
    <w:rsid w:val="0006714E"/>
    <w:rsid w:val="00072263"/>
    <w:rsid w:val="00081CD7"/>
    <w:rsid w:val="00081DED"/>
    <w:rsid w:val="0008208A"/>
    <w:rsid w:val="00083C24"/>
    <w:rsid w:val="00087D23"/>
    <w:rsid w:val="00093C1F"/>
    <w:rsid w:val="00094D68"/>
    <w:rsid w:val="00096374"/>
    <w:rsid w:val="0009675B"/>
    <w:rsid w:val="000B2E7B"/>
    <w:rsid w:val="000B46C2"/>
    <w:rsid w:val="000B63E8"/>
    <w:rsid w:val="000B6408"/>
    <w:rsid w:val="000C564C"/>
    <w:rsid w:val="000D07EA"/>
    <w:rsid w:val="000D5618"/>
    <w:rsid w:val="000D7F3A"/>
    <w:rsid w:val="000E5553"/>
    <w:rsid w:val="000E574E"/>
    <w:rsid w:val="000F0C8D"/>
    <w:rsid w:val="000F2EB9"/>
    <w:rsid w:val="000F7501"/>
    <w:rsid w:val="00101A1E"/>
    <w:rsid w:val="00103C76"/>
    <w:rsid w:val="00106D9E"/>
    <w:rsid w:val="00106F8A"/>
    <w:rsid w:val="0011314A"/>
    <w:rsid w:val="00115156"/>
    <w:rsid w:val="001169D5"/>
    <w:rsid w:val="00126F24"/>
    <w:rsid w:val="00130A6F"/>
    <w:rsid w:val="001314FE"/>
    <w:rsid w:val="00133DCE"/>
    <w:rsid w:val="0013432F"/>
    <w:rsid w:val="00134411"/>
    <w:rsid w:val="00136A62"/>
    <w:rsid w:val="00137489"/>
    <w:rsid w:val="001564F5"/>
    <w:rsid w:val="001620F3"/>
    <w:rsid w:val="00172BA3"/>
    <w:rsid w:val="00173998"/>
    <w:rsid w:val="00181E3D"/>
    <w:rsid w:val="0018282D"/>
    <w:rsid w:val="001830C8"/>
    <w:rsid w:val="001843FD"/>
    <w:rsid w:val="00186F82"/>
    <w:rsid w:val="00195286"/>
    <w:rsid w:val="001A5508"/>
    <w:rsid w:val="001A6E1F"/>
    <w:rsid w:val="001A7F02"/>
    <w:rsid w:val="001B7E5F"/>
    <w:rsid w:val="001C1550"/>
    <w:rsid w:val="001D0669"/>
    <w:rsid w:val="001E19B3"/>
    <w:rsid w:val="001E580D"/>
    <w:rsid w:val="001E73E8"/>
    <w:rsid w:val="001E79A3"/>
    <w:rsid w:val="001F2689"/>
    <w:rsid w:val="001F4B61"/>
    <w:rsid w:val="001F6BBF"/>
    <w:rsid w:val="0020083D"/>
    <w:rsid w:val="00203C69"/>
    <w:rsid w:val="0021033E"/>
    <w:rsid w:val="00211D2E"/>
    <w:rsid w:val="00220222"/>
    <w:rsid w:val="0022160D"/>
    <w:rsid w:val="002241DA"/>
    <w:rsid w:val="00234B8A"/>
    <w:rsid w:val="00245A5C"/>
    <w:rsid w:val="00246865"/>
    <w:rsid w:val="00246D53"/>
    <w:rsid w:val="00254885"/>
    <w:rsid w:val="002554CD"/>
    <w:rsid w:val="0026485E"/>
    <w:rsid w:val="002738D6"/>
    <w:rsid w:val="00284AC1"/>
    <w:rsid w:val="002905E5"/>
    <w:rsid w:val="00294EE0"/>
    <w:rsid w:val="002951F7"/>
    <w:rsid w:val="002A040F"/>
    <w:rsid w:val="002A0CA2"/>
    <w:rsid w:val="002A2A3F"/>
    <w:rsid w:val="002A41FA"/>
    <w:rsid w:val="002B4405"/>
    <w:rsid w:val="002B655A"/>
    <w:rsid w:val="002B68E7"/>
    <w:rsid w:val="002B7D0D"/>
    <w:rsid w:val="002B7E61"/>
    <w:rsid w:val="002C0E50"/>
    <w:rsid w:val="002C2394"/>
    <w:rsid w:val="002C3ACC"/>
    <w:rsid w:val="002D2350"/>
    <w:rsid w:val="002D39CA"/>
    <w:rsid w:val="002D3F4D"/>
    <w:rsid w:val="002D549C"/>
    <w:rsid w:val="002D5580"/>
    <w:rsid w:val="002E0749"/>
    <w:rsid w:val="002E3077"/>
    <w:rsid w:val="002E3A5D"/>
    <w:rsid w:val="002E7EC3"/>
    <w:rsid w:val="002F0A20"/>
    <w:rsid w:val="002F7185"/>
    <w:rsid w:val="00300B6F"/>
    <w:rsid w:val="00303DBB"/>
    <w:rsid w:val="00305B39"/>
    <w:rsid w:val="00312539"/>
    <w:rsid w:val="003125EC"/>
    <w:rsid w:val="00312C6F"/>
    <w:rsid w:val="00312F4E"/>
    <w:rsid w:val="00313107"/>
    <w:rsid w:val="00313EDD"/>
    <w:rsid w:val="0031550C"/>
    <w:rsid w:val="00323D83"/>
    <w:rsid w:val="003247EE"/>
    <w:rsid w:val="00326715"/>
    <w:rsid w:val="0032691D"/>
    <w:rsid w:val="00331739"/>
    <w:rsid w:val="003317E7"/>
    <w:rsid w:val="003328DA"/>
    <w:rsid w:val="00335450"/>
    <w:rsid w:val="00341FA9"/>
    <w:rsid w:val="00343B3B"/>
    <w:rsid w:val="003458C2"/>
    <w:rsid w:val="003462D8"/>
    <w:rsid w:val="003529A8"/>
    <w:rsid w:val="00356DA3"/>
    <w:rsid w:val="00372637"/>
    <w:rsid w:val="00374EBD"/>
    <w:rsid w:val="003750A7"/>
    <w:rsid w:val="0037624F"/>
    <w:rsid w:val="00380306"/>
    <w:rsid w:val="00394DBB"/>
    <w:rsid w:val="00396C89"/>
    <w:rsid w:val="003A202F"/>
    <w:rsid w:val="003A2915"/>
    <w:rsid w:val="003B79AC"/>
    <w:rsid w:val="003C05BD"/>
    <w:rsid w:val="003C0DDA"/>
    <w:rsid w:val="003C4C61"/>
    <w:rsid w:val="003C5B36"/>
    <w:rsid w:val="003E4836"/>
    <w:rsid w:val="003E5F3F"/>
    <w:rsid w:val="003F01CD"/>
    <w:rsid w:val="003F191F"/>
    <w:rsid w:val="003F389A"/>
    <w:rsid w:val="003F3E20"/>
    <w:rsid w:val="004022AE"/>
    <w:rsid w:val="004113D0"/>
    <w:rsid w:val="004313BA"/>
    <w:rsid w:val="0043314B"/>
    <w:rsid w:val="0043594A"/>
    <w:rsid w:val="004375BF"/>
    <w:rsid w:val="00440D72"/>
    <w:rsid w:val="00456F36"/>
    <w:rsid w:val="004606AF"/>
    <w:rsid w:val="0046131C"/>
    <w:rsid w:val="00462CD8"/>
    <w:rsid w:val="00467516"/>
    <w:rsid w:val="00467F49"/>
    <w:rsid w:val="0047365C"/>
    <w:rsid w:val="004842BB"/>
    <w:rsid w:val="00487E58"/>
    <w:rsid w:val="00497003"/>
    <w:rsid w:val="0049760F"/>
    <w:rsid w:val="00497A5F"/>
    <w:rsid w:val="004A1006"/>
    <w:rsid w:val="004A2DB7"/>
    <w:rsid w:val="004A4BFC"/>
    <w:rsid w:val="004A5DAF"/>
    <w:rsid w:val="004A6522"/>
    <w:rsid w:val="004A6958"/>
    <w:rsid w:val="004B0B4A"/>
    <w:rsid w:val="004B1B65"/>
    <w:rsid w:val="004B4C38"/>
    <w:rsid w:val="004B4E0C"/>
    <w:rsid w:val="004B5839"/>
    <w:rsid w:val="004C14C9"/>
    <w:rsid w:val="004C2F96"/>
    <w:rsid w:val="004C4092"/>
    <w:rsid w:val="004C477D"/>
    <w:rsid w:val="004D1421"/>
    <w:rsid w:val="004D28AF"/>
    <w:rsid w:val="004D32B1"/>
    <w:rsid w:val="004E37C5"/>
    <w:rsid w:val="004E6449"/>
    <w:rsid w:val="004E64E0"/>
    <w:rsid w:val="0050080F"/>
    <w:rsid w:val="005032D9"/>
    <w:rsid w:val="005040D1"/>
    <w:rsid w:val="00513FB2"/>
    <w:rsid w:val="005157C4"/>
    <w:rsid w:val="005171B7"/>
    <w:rsid w:val="00522584"/>
    <w:rsid w:val="0052349F"/>
    <w:rsid w:val="0052365C"/>
    <w:rsid w:val="0052464E"/>
    <w:rsid w:val="00531655"/>
    <w:rsid w:val="005361EE"/>
    <w:rsid w:val="00553DF3"/>
    <w:rsid w:val="0055464C"/>
    <w:rsid w:val="00560EF8"/>
    <w:rsid w:val="005710CB"/>
    <w:rsid w:val="005712E6"/>
    <w:rsid w:val="00574EFA"/>
    <w:rsid w:val="00584B69"/>
    <w:rsid w:val="00590ADD"/>
    <w:rsid w:val="00592DA9"/>
    <w:rsid w:val="00594368"/>
    <w:rsid w:val="005C1337"/>
    <w:rsid w:val="005C2304"/>
    <w:rsid w:val="005C3C2B"/>
    <w:rsid w:val="005C4459"/>
    <w:rsid w:val="005D1990"/>
    <w:rsid w:val="005D2EE7"/>
    <w:rsid w:val="005D4042"/>
    <w:rsid w:val="005D682D"/>
    <w:rsid w:val="005D7F61"/>
    <w:rsid w:val="005E0CE7"/>
    <w:rsid w:val="005E3157"/>
    <w:rsid w:val="005E4971"/>
    <w:rsid w:val="005E5260"/>
    <w:rsid w:val="005F45D7"/>
    <w:rsid w:val="005F60F6"/>
    <w:rsid w:val="006034ED"/>
    <w:rsid w:val="0060455E"/>
    <w:rsid w:val="00605911"/>
    <w:rsid w:val="0060666E"/>
    <w:rsid w:val="006157BA"/>
    <w:rsid w:val="00630D55"/>
    <w:rsid w:val="006315D3"/>
    <w:rsid w:val="00633C77"/>
    <w:rsid w:val="00634AD1"/>
    <w:rsid w:val="006365A9"/>
    <w:rsid w:val="006379F7"/>
    <w:rsid w:val="006400D6"/>
    <w:rsid w:val="00650230"/>
    <w:rsid w:val="0066548F"/>
    <w:rsid w:val="00671348"/>
    <w:rsid w:val="00673216"/>
    <w:rsid w:val="006803FF"/>
    <w:rsid w:val="00680731"/>
    <w:rsid w:val="00687D3B"/>
    <w:rsid w:val="00695A9A"/>
    <w:rsid w:val="006A00DA"/>
    <w:rsid w:val="006C1C66"/>
    <w:rsid w:val="006C38CD"/>
    <w:rsid w:val="006D179E"/>
    <w:rsid w:val="006D182B"/>
    <w:rsid w:val="006D1942"/>
    <w:rsid w:val="006D467E"/>
    <w:rsid w:val="006E071D"/>
    <w:rsid w:val="006E0E10"/>
    <w:rsid w:val="006F07DD"/>
    <w:rsid w:val="006F1DF7"/>
    <w:rsid w:val="006F45B6"/>
    <w:rsid w:val="006F4CCB"/>
    <w:rsid w:val="006F75C6"/>
    <w:rsid w:val="007027E8"/>
    <w:rsid w:val="00703944"/>
    <w:rsid w:val="00703EF4"/>
    <w:rsid w:val="00705148"/>
    <w:rsid w:val="007055BB"/>
    <w:rsid w:val="007075D4"/>
    <w:rsid w:val="00711C7E"/>
    <w:rsid w:val="007121AE"/>
    <w:rsid w:val="00712A34"/>
    <w:rsid w:val="0071500E"/>
    <w:rsid w:val="00734B4E"/>
    <w:rsid w:val="0073639A"/>
    <w:rsid w:val="00737158"/>
    <w:rsid w:val="00740034"/>
    <w:rsid w:val="00742800"/>
    <w:rsid w:val="00743819"/>
    <w:rsid w:val="00743B68"/>
    <w:rsid w:val="007452E7"/>
    <w:rsid w:val="00745986"/>
    <w:rsid w:val="007479BF"/>
    <w:rsid w:val="00756125"/>
    <w:rsid w:val="00762C14"/>
    <w:rsid w:val="007634F2"/>
    <w:rsid w:val="0076769E"/>
    <w:rsid w:val="00767BC6"/>
    <w:rsid w:val="007815A6"/>
    <w:rsid w:val="00784136"/>
    <w:rsid w:val="007841A8"/>
    <w:rsid w:val="007A41DB"/>
    <w:rsid w:val="007B00F6"/>
    <w:rsid w:val="007B3A7F"/>
    <w:rsid w:val="007C1066"/>
    <w:rsid w:val="007C11E3"/>
    <w:rsid w:val="007C5839"/>
    <w:rsid w:val="007D02CB"/>
    <w:rsid w:val="007D4D8C"/>
    <w:rsid w:val="007D5527"/>
    <w:rsid w:val="007D5748"/>
    <w:rsid w:val="007E693C"/>
    <w:rsid w:val="007F0E35"/>
    <w:rsid w:val="007F45BC"/>
    <w:rsid w:val="007F4B17"/>
    <w:rsid w:val="007F5484"/>
    <w:rsid w:val="007F5F30"/>
    <w:rsid w:val="0080153B"/>
    <w:rsid w:val="00802409"/>
    <w:rsid w:val="008050FE"/>
    <w:rsid w:val="008061DC"/>
    <w:rsid w:val="00806A1D"/>
    <w:rsid w:val="008123F4"/>
    <w:rsid w:val="0081741A"/>
    <w:rsid w:val="0082013B"/>
    <w:rsid w:val="00825557"/>
    <w:rsid w:val="008259C3"/>
    <w:rsid w:val="00826A27"/>
    <w:rsid w:val="00827567"/>
    <w:rsid w:val="0083238E"/>
    <w:rsid w:val="00833AAC"/>
    <w:rsid w:val="008359B8"/>
    <w:rsid w:val="00837364"/>
    <w:rsid w:val="008404CF"/>
    <w:rsid w:val="00841E30"/>
    <w:rsid w:val="008432C2"/>
    <w:rsid w:val="00847B5D"/>
    <w:rsid w:val="00850A45"/>
    <w:rsid w:val="00850AB2"/>
    <w:rsid w:val="0085165D"/>
    <w:rsid w:val="0085340A"/>
    <w:rsid w:val="00854D2F"/>
    <w:rsid w:val="0085565E"/>
    <w:rsid w:val="00862A58"/>
    <w:rsid w:val="00864176"/>
    <w:rsid w:val="00871C7D"/>
    <w:rsid w:val="00875961"/>
    <w:rsid w:val="0088075C"/>
    <w:rsid w:val="0088221F"/>
    <w:rsid w:val="00883557"/>
    <w:rsid w:val="00885563"/>
    <w:rsid w:val="00885FDF"/>
    <w:rsid w:val="008950AE"/>
    <w:rsid w:val="008975B8"/>
    <w:rsid w:val="008A3B49"/>
    <w:rsid w:val="008A6DF6"/>
    <w:rsid w:val="008A7CEB"/>
    <w:rsid w:val="008B1872"/>
    <w:rsid w:val="008B6882"/>
    <w:rsid w:val="008C110D"/>
    <w:rsid w:val="008D080F"/>
    <w:rsid w:val="008D41AC"/>
    <w:rsid w:val="008E0A74"/>
    <w:rsid w:val="008E7E93"/>
    <w:rsid w:val="008F2533"/>
    <w:rsid w:val="0090416C"/>
    <w:rsid w:val="009052E2"/>
    <w:rsid w:val="00906D42"/>
    <w:rsid w:val="009130FE"/>
    <w:rsid w:val="00920B54"/>
    <w:rsid w:val="0093047A"/>
    <w:rsid w:val="009321ED"/>
    <w:rsid w:val="00936D72"/>
    <w:rsid w:val="0094322B"/>
    <w:rsid w:val="00946FDA"/>
    <w:rsid w:val="0095169C"/>
    <w:rsid w:val="0095511B"/>
    <w:rsid w:val="00955197"/>
    <w:rsid w:val="0096297C"/>
    <w:rsid w:val="00964B5A"/>
    <w:rsid w:val="009679AB"/>
    <w:rsid w:val="009709D9"/>
    <w:rsid w:val="00971DAD"/>
    <w:rsid w:val="00974D37"/>
    <w:rsid w:val="00977C41"/>
    <w:rsid w:val="0098024A"/>
    <w:rsid w:val="00992A7B"/>
    <w:rsid w:val="00995D46"/>
    <w:rsid w:val="00997213"/>
    <w:rsid w:val="00997866"/>
    <w:rsid w:val="009A4A4A"/>
    <w:rsid w:val="009A4D94"/>
    <w:rsid w:val="009B6460"/>
    <w:rsid w:val="009C26D2"/>
    <w:rsid w:val="009D0D45"/>
    <w:rsid w:val="009D4179"/>
    <w:rsid w:val="009D41EC"/>
    <w:rsid w:val="009D7B43"/>
    <w:rsid w:val="009E1675"/>
    <w:rsid w:val="009E1A58"/>
    <w:rsid w:val="009F4764"/>
    <w:rsid w:val="009F5A40"/>
    <w:rsid w:val="009F6D3E"/>
    <w:rsid w:val="00A007CC"/>
    <w:rsid w:val="00A0087D"/>
    <w:rsid w:val="00A00AF3"/>
    <w:rsid w:val="00A015BF"/>
    <w:rsid w:val="00A01679"/>
    <w:rsid w:val="00A037A1"/>
    <w:rsid w:val="00A04B88"/>
    <w:rsid w:val="00A05256"/>
    <w:rsid w:val="00A148B9"/>
    <w:rsid w:val="00A26966"/>
    <w:rsid w:val="00A421CF"/>
    <w:rsid w:val="00A525B8"/>
    <w:rsid w:val="00A54DA7"/>
    <w:rsid w:val="00A57C62"/>
    <w:rsid w:val="00A6499A"/>
    <w:rsid w:val="00A6601A"/>
    <w:rsid w:val="00A6659B"/>
    <w:rsid w:val="00A710E7"/>
    <w:rsid w:val="00A7130A"/>
    <w:rsid w:val="00A80907"/>
    <w:rsid w:val="00A84011"/>
    <w:rsid w:val="00A86371"/>
    <w:rsid w:val="00A87489"/>
    <w:rsid w:val="00A909B6"/>
    <w:rsid w:val="00A9311E"/>
    <w:rsid w:val="00A93A5D"/>
    <w:rsid w:val="00A967A8"/>
    <w:rsid w:val="00A97001"/>
    <w:rsid w:val="00AA4B59"/>
    <w:rsid w:val="00AA7F39"/>
    <w:rsid w:val="00AB4BC1"/>
    <w:rsid w:val="00AB73E3"/>
    <w:rsid w:val="00AC14E6"/>
    <w:rsid w:val="00AC32FB"/>
    <w:rsid w:val="00AD2A56"/>
    <w:rsid w:val="00AE0120"/>
    <w:rsid w:val="00AE01EA"/>
    <w:rsid w:val="00AE4B2C"/>
    <w:rsid w:val="00AE4ECE"/>
    <w:rsid w:val="00AF0C1A"/>
    <w:rsid w:val="00B00847"/>
    <w:rsid w:val="00B04DE5"/>
    <w:rsid w:val="00B17A17"/>
    <w:rsid w:val="00B2150F"/>
    <w:rsid w:val="00B24C03"/>
    <w:rsid w:val="00B31638"/>
    <w:rsid w:val="00B33AC5"/>
    <w:rsid w:val="00B34C47"/>
    <w:rsid w:val="00B36B51"/>
    <w:rsid w:val="00B36D6F"/>
    <w:rsid w:val="00B378F5"/>
    <w:rsid w:val="00B37F37"/>
    <w:rsid w:val="00B4565B"/>
    <w:rsid w:val="00B46C01"/>
    <w:rsid w:val="00B55059"/>
    <w:rsid w:val="00B56676"/>
    <w:rsid w:val="00B61AF8"/>
    <w:rsid w:val="00B64E4E"/>
    <w:rsid w:val="00B77028"/>
    <w:rsid w:val="00B832DC"/>
    <w:rsid w:val="00B90A09"/>
    <w:rsid w:val="00B91D2E"/>
    <w:rsid w:val="00B9792A"/>
    <w:rsid w:val="00BA06BE"/>
    <w:rsid w:val="00BA31EC"/>
    <w:rsid w:val="00BA3DA1"/>
    <w:rsid w:val="00BA6A25"/>
    <w:rsid w:val="00BB20C2"/>
    <w:rsid w:val="00BB4005"/>
    <w:rsid w:val="00BB57A6"/>
    <w:rsid w:val="00BC358E"/>
    <w:rsid w:val="00BC7450"/>
    <w:rsid w:val="00BC76C7"/>
    <w:rsid w:val="00BD3F1C"/>
    <w:rsid w:val="00BD6E02"/>
    <w:rsid w:val="00BE3705"/>
    <w:rsid w:val="00BE47BD"/>
    <w:rsid w:val="00BE5C30"/>
    <w:rsid w:val="00BF17D1"/>
    <w:rsid w:val="00BF238B"/>
    <w:rsid w:val="00BF52D8"/>
    <w:rsid w:val="00C0743B"/>
    <w:rsid w:val="00C12235"/>
    <w:rsid w:val="00C125D3"/>
    <w:rsid w:val="00C17A3A"/>
    <w:rsid w:val="00C241EF"/>
    <w:rsid w:val="00C27E70"/>
    <w:rsid w:val="00C37EB2"/>
    <w:rsid w:val="00C4235F"/>
    <w:rsid w:val="00C42733"/>
    <w:rsid w:val="00C454FB"/>
    <w:rsid w:val="00C47622"/>
    <w:rsid w:val="00C47E05"/>
    <w:rsid w:val="00C544C0"/>
    <w:rsid w:val="00C633E2"/>
    <w:rsid w:val="00C64A4F"/>
    <w:rsid w:val="00C7037B"/>
    <w:rsid w:val="00C80037"/>
    <w:rsid w:val="00C81EF7"/>
    <w:rsid w:val="00C821B2"/>
    <w:rsid w:val="00C82B72"/>
    <w:rsid w:val="00C82F37"/>
    <w:rsid w:val="00C85429"/>
    <w:rsid w:val="00C86071"/>
    <w:rsid w:val="00C866D4"/>
    <w:rsid w:val="00C86D71"/>
    <w:rsid w:val="00C92F66"/>
    <w:rsid w:val="00C93438"/>
    <w:rsid w:val="00C93995"/>
    <w:rsid w:val="00CA1EE7"/>
    <w:rsid w:val="00CA459E"/>
    <w:rsid w:val="00CA5F10"/>
    <w:rsid w:val="00CB1C06"/>
    <w:rsid w:val="00CB38A8"/>
    <w:rsid w:val="00CB7011"/>
    <w:rsid w:val="00CC049C"/>
    <w:rsid w:val="00CC149B"/>
    <w:rsid w:val="00CC4EE6"/>
    <w:rsid w:val="00CC7AC5"/>
    <w:rsid w:val="00CD072A"/>
    <w:rsid w:val="00CD35D9"/>
    <w:rsid w:val="00CD4D40"/>
    <w:rsid w:val="00CE58D0"/>
    <w:rsid w:val="00CE6571"/>
    <w:rsid w:val="00CF2F4E"/>
    <w:rsid w:val="00CF4371"/>
    <w:rsid w:val="00CF6D6A"/>
    <w:rsid w:val="00D04191"/>
    <w:rsid w:val="00D054EF"/>
    <w:rsid w:val="00D10060"/>
    <w:rsid w:val="00D1235B"/>
    <w:rsid w:val="00D12FA4"/>
    <w:rsid w:val="00D2740A"/>
    <w:rsid w:val="00D307A2"/>
    <w:rsid w:val="00D314B5"/>
    <w:rsid w:val="00D40E7B"/>
    <w:rsid w:val="00D43015"/>
    <w:rsid w:val="00D51471"/>
    <w:rsid w:val="00D5416A"/>
    <w:rsid w:val="00D608B0"/>
    <w:rsid w:val="00D61282"/>
    <w:rsid w:val="00D627B3"/>
    <w:rsid w:val="00D654FD"/>
    <w:rsid w:val="00D67192"/>
    <w:rsid w:val="00D67D5B"/>
    <w:rsid w:val="00D724E5"/>
    <w:rsid w:val="00D73A85"/>
    <w:rsid w:val="00D77279"/>
    <w:rsid w:val="00D801D1"/>
    <w:rsid w:val="00D835B0"/>
    <w:rsid w:val="00D8430C"/>
    <w:rsid w:val="00D84795"/>
    <w:rsid w:val="00D8643C"/>
    <w:rsid w:val="00D90A26"/>
    <w:rsid w:val="00D92F78"/>
    <w:rsid w:val="00D938F2"/>
    <w:rsid w:val="00D93CAF"/>
    <w:rsid w:val="00DA3C25"/>
    <w:rsid w:val="00DB367E"/>
    <w:rsid w:val="00DC733B"/>
    <w:rsid w:val="00DD0B99"/>
    <w:rsid w:val="00DD17E5"/>
    <w:rsid w:val="00DD1BB0"/>
    <w:rsid w:val="00DD3AE9"/>
    <w:rsid w:val="00DD446F"/>
    <w:rsid w:val="00DE3695"/>
    <w:rsid w:val="00DE4F02"/>
    <w:rsid w:val="00DE634F"/>
    <w:rsid w:val="00DF0125"/>
    <w:rsid w:val="00DF0A31"/>
    <w:rsid w:val="00E00E72"/>
    <w:rsid w:val="00E06258"/>
    <w:rsid w:val="00E067ED"/>
    <w:rsid w:val="00E06A0B"/>
    <w:rsid w:val="00E06D29"/>
    <w:rsid w:val="00E13B72"/>
    <w:rsid w:val="00E17CDB"/>
    <w:rsid w:val="00E2449A"/>
    <w:rsid w:val="00E24921"/>
    <w:rsid w:val="00E24959"/>
    <w:rsid w:val="00E24B5E"/>
    <w:rsid w:val="00E31216"/>
    <w:rsid w:val="00E33662"/>
    <w:rsid w:val="00E356E6"/>
    <w:rsid w:val="00E375C6"/>
    <w:rsid w:val="00E521EA"/>
    <w:rsid w:val="00E57DD0"/>
    <w:rsid w:val="00E6284D"/>
    <w:rsid w:val="00E74509"/>
    <w:rsid w:val="00E74DCD"/>
    <w:rsid w:val="00E76A65"/>
    <w:rsid w:val="00E77937"/>
    <w:rsid w:val="00E80304"/>
    <w:rsid w:val="00E868F1"/>
    <w:rsid w:val="00E95091"/>
    <w:rsid w:val="00E96799"/>
    <w:rsid w:val="00E97DB9"/>
    <w:rsid w:val="00EA2BC5"/>
    <w:rsid w:val="00EA3295"/>
    <w:rsid w:val="00EA5CD7"/>
    <w:rsid w:val="00EA7522"/>
    <w:rsid w:val="00EB0253"/>
    <w:rsid w:val="00EC1129"/>
    <w:rsid w:val="00EC2520"/>
    <w:rsid w:val="00EC32C3"/>
    <w:rsid w:val="00EC446F"/>
    <w:rsid w:val="00EE3096"/>
    <w:rsid w:val="00EE5E3E"/>
    <w:rsid w:val="00EF13A6"/>
    <w:rsid w:val="00EF217E"/>
    <w:rsid w:val="00EF28EE"/>
    <w:rsid w:val="00EF49E9"/>
    <w:rsid w:val="00F013C1"/>
    <w:rsid w:val="00F03958"/>
    <w:rsid w:val="00F06F4A"/>
    <w:rsid w:val="00F11BB2"/>
    <w:rsid w:val="00F21F77"/>
    <w:rsid w:val="00F22602"/>
    <w:rsid w:val="00F26A3E"/>
    <w:rsid w:val="00F27284"/>
    <w:rsid w:val="00F27ACE"/>
    <w:rsid w:val="00F31524"/>
    <w:rsid w:val="00F428A9"/>
    <w:rsid w:val="00F44513"/>
    <w:rsid w:val="00F45596"/>
    <w:rsid w:val="00F50E36"/>
    <w:rsid w:val="00F510A4"/>
    <w:rsid w:val="00F56FEA"/>
    <w:rsid w:val="00F617A2"/>
    <w:rsid w:val="00F63C89"/>
    <w:rsid w:val="00F6448F"/>
    <w:rsid w:val="00F67C12"/>
    <w:rsid w:val="00F67C27"/>
    <w:rsid w:val="00F803AC"/>
    <w:rsid w:val="00F8065D"/>
    <w:rsid w:val="00F81E4C"/>
    <w:rsid w:val="00F84FAF"/>
    <w:rsid w:val="00F850A8"/>
    <w:rsid w:val="00F85570"/>
    <w:rsid w:val="00F937AB"/>
    <w:rsid w:val="00F94D26"/>
    <w:rsid w:val="00F9619F"/>
    <w:rsid w:val="00FA0D41"/>
    <w:rsid w:val="00FA2BA1"/>
    <w:rsid w:val="00FB0442"/>
    <w:rsid w:val="00FB1E26"/>
    <w:rsid w:val="00FB399A"/>
    <w:rsid w:val="00FC1007"/>
    <w:rsid w:val="00FD33C1"/>
    <w:rsid w:val="00FD483D"/>
    <w:rsid w:val="00FD5A9E"/>
    <w:rsid w:val="00FE1F79"/>
    <w:rsid w:val="00FE4412"/>
    <w:rsid w:val="00FE6045"/>
    <w:rsid w:val="00FE6563"/>
    <w:rsid w:val="00FE6F4A"/>
    <w:rsid w:val="00FE7482"/>
    <w:rsid w:val="00FF2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488C"/>
  <w15:docId w15:val="{DCC30271-F9A3-4CA2-A96F-12B9E547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4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08208A"/>
    <w:rPr>
      <w:rFonts w:ascii="Courier New" w:hAnsi="Courier New"/>
      <w:color w:val="auto"/>
      <w:spacing w:val="0"/>
      <w:sz w:val="24"/>
    </w:rPr>
  </w:style>
  <w:style w:type="paragraph" w:customStyle="1" w:styleId="DefaultText">
    <w:name w:val="Default Text"/>
    <w:basedOn w:val="Normal"/>
    <w:rsid w:val="0008208A"/>
    <w:pPr>
      <w:overflowPunct w:val="0"/>
      <w:autoSpaceDE w:val="0"/>
      <w:autoSpaceDN w:val="0"/>
      <w:adjustRightInd w:val="0"/>
      <w:textAlignment w:val="baseline"/>
    </w:pPr>
    <w:rPr>
      <w:szCs w:val="20"/>
    </w:rPr>
  </w:style>
  <w:style w:type="paragraph" w:styleId="Header">
    <w:name w:val="header"/>
    <w:basedOn w:val="Normal"/>
    <w:link w:val="HeaderChar"/>
    <w:rsid w:val="0008208A"/>
    <w:pPr>
      <w:tabs>
        <w:tab w:val="center" w:pos="4680"/>
        <w:tab w:val="right" w:pos="9360"/>
      </w:tabs>
    </w:pPr>
  </w:style>
  <w:style w:type="character" w:customStyle="1" w:styleId="HeaderChar">
    <w:name w:val="Header Char"/>
    <w:basedOn w:val="DefaultParagraphFont"/>
    <w:link w:val="Header"/>
    <w:rsid w:val="0008208A"/>
    <w:rPr>
      <w:rFonts w:ascii="Times New Roman" w:eastAsia="Times New Roman" w:hAnsi="Times New Roman" w:cs="Times New Roman"/>
      <w:sz w:val="24"/>
      <w:szCs w:val="24"/>
    </w:rPr>
  </w:style>
  <w:style w:type="paragraph" w:styleId="Footer">
    <w:name w:val="footer"/>
    <w:basedOn w:val="Normal"/>
    <w:link w:val="FooterChar"/>
    <w:uiPriority w:val="99"/>
    <w:rsid w:val="0008208A"/>
    <w:pPr>
      <w:tabs>
        <w:tab w:val="center" w:pos="4680"/>
        <w:tab w:val="right" w:pos="9360"/>
      </w:tabs>
    </w:pPr>
  </w:style>
  <w:style w:type="character" w:customStyle="1" w:styleId="FooterChar">
    <w:name w:val="Footer Char"/>
    <w:basedOn w:val="DefaultParagraphFont"/>
    <w:link w:val="Footer"/>
    <w:uiPriority w:val="99"/>
    <w:rsid w:val="0008208A"/>
    <w:rPr>
      <w:rFonts w:ascii="Times New Roman" w:eastAsia="Times New Roman" w:hAnsi="Times New Roman" w:cs="Times New Roman"/>
      <w:sz w:val="24"/>
      <w:szCs w:val="24"/>
    </w:rPr>
  </w:style>
  <w:style w:type="paragraph" w:customStyle="1" w:styleId="DefaultText1">
    <w:name w:val="Default Text:1"/>
    <w:basedOn w:val="Normal"/>
    <w:rsid w:val="00EC32C3"/>
    <w:pPr>
      <w:overflowPunct w:val="0"/>
      <w:autoSpaceDE w:val="0"/>
      <w:autoSpaceDN w:val="0"/>
      <w:adjustRightInd w:val="0"/>
      <w:textAlignment w:val="baseline"/>
    </w:pPr>
    <w:rPr>
      <w:szCs w:val="20"/>
    </w:rPr>
  </w:style>
  <w:style w:type="character" w:styleId="Hyperlink">
    <w:name w:val="Hyperlink"/>
    <w:basedOn w:val="DefaultParagraphFont"/>
    <w:uiPriority w:val="99"/>
    <w:unhideWhenUsed/>
    <w:rsid w:val="000D7F3A"/>
    <w:rPr>
      <w:color w:val="0000FF" w:themeColor="hyperlink"/>
      <w:u w:val="single"/>
    </w:rPr>
  </w:style>
  <w:style w:type="character" w:styleId="FollowedHyperlink">
    <w:name w:val="FollowedHyperlink"/>
    <w:basedOn w:val="DefaultParagraphFont"/>
    <w:uiPriority w:val="99"/>
    <w:semiHidden/>
    <w:unhideWhenUsed/>
    <w:rsid w:val="000D7F3A"/>
    <w:rPr>
      <w:color w:val="800080" w:themeColor="followedHyperlink"/>
      <w:u w:val="single"/>
    </w:rPr>
  </w:style>
  <w:style w:type="paragraph" w:styleId="BalloonText">
    <w:name w:val="Balloon Text"/>
    <w:basedOn w:val="Normal"/>
    <w:link w:val="BalloonTextChar"/>
    <w:uiPriority w:val="99"/>
    <w:semiHidden/>
    <w:unhideWhenUsed/>
    <w:rsid w:val="00EA2BC5"/>
    <w:rPr>
      <w:rFonts w:ascii="Tahoma" w:hAnsi="Tahoma" w:cs="Tahoma"/>
      <w:sz w:val="16"/>
      <w:szCs w:val="16"/>
    </w:rPr>
  </w:style>
  <w:style w:type="character" w:customStyle="1" w:styleId="BalloonTextChar">
    <w:name w:val="Balloon Text Char"/>
    <w:basedOn w:val="DefaultParagraphFont"/>
    <w:link w:val="BalloonText"/>
    <w:uiPriority w:val="99"/>
    <w:semiHidden/>
    <w:rsid w:val="00EA2BC5"/>
    <w:rPr>
      <w:rFonts w:ascii="Tahoma" w:eastAsia="Times New Roman" w:hAnsi="Tahoma" w:cs="Tahoma"/>
      <w:sz w:val="16"/>
      <w:szCs w:val="16"/>
    </w:rPr>
  </w:style>
  <w:style w:type="paragraph" w:styleId="ListParagraph">
    <w:name w:val="List Paragraph"/>
    <w:basedOn w:val="Normal"/>
    <w:uiPriority w:val="34"/>
    <w:qFormat/>
    <w:rsid w:val="00F22602"/>
    <w:pPr>
      <w:ind w:left="720"/>
      <w:contextualSpacing/>
    </w:pPr>
  </w:style>
  <w:style w:type="character" w:styleId="CommentReference">
    <w:name w:val="annotation reference"/>
    <w:basedOn w:val="DefaultParagraphFont"/>
    <w:uiPriority w:val="99"/>
    <w:semiHidden/>
    <w:unhideWhenUsed/>
    <w:rsid w:val="009F6D3E"/>
    <w:rPr>
      <w:sz w:val="16"/>
      <w:szCs w:val="16"/>
    </w:rPr>
  </w:style>
  <w:style w:type="paragraph" w:styleId="CommentText">
    <w:name w:val="annotation text"/>
    <w:basedOn w:val="Normal"/>
    <w:link w:val="CommentTextChar"/>
    <w:uiPriority w:val="99"/>
    <w:semiHidden/>
    <w:unhideWhenUsed/>
    <w:rsid w:val="009F6D3E"/>
    <w:rPr>
      <w:sz w:val="20"/>
      <w:szCs w:val="20"/>
    </w:rPr>
  </w:style>
  <w:style w:type="character" w:customStyle="1" w:styleId="CommentTextChar">
    <w:name w:val="Comment Text Char"/>
    <w:basedOn w:val="DefaultParagraphFont"/>
    <w:link w:val="CommentText"/>
    <w:uiPriority w:val="99"/>
    <w:semiHidden/>
    <w:rsid w:val="009F6D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F6D3E"/>
    <w:rPr>
      <w:b/>
      <w:bCs/>
    </w:rPr>
  </w:style>
  <w:style w:type="character" w:customStyle="1" w:styleId="CommentSubjectChar">
    <w:name w:val="Comment Subject Char"/>
    <w:basedOn w:val="CommentTextChar"/>
    <w:link w:val="CommentSubject"/>
    <w:uiPriority w:val="99"/>
    <w:semiHidden/>
    <w:rsid w:val="009F6D3E"/>
    <w:rPr>
      <w:rFonts w:ascii="Times New Roman" w:eastAsia="Times New Roman" w:hAnsi="Times New Roman" w:cs="Times New Roman"/>
      <w:b/>
      <w:bCs/>
      <w:sz w:val="20"/>
      <w:szCs w:val="20"/>
    </w:rPr>
  </w:style>
  <w:style w:type="paragraph" w:styleId="Revision">
    <w:name w:val="Revision"/>
    <w:hidden/>
    <w:uiPriority w:val="99"/>
    <w:semiHidden/>
    <w:rsid w:val="009F6D3E"/>
    <w:pPr>
      <w:spacing w:after="0" w:line="240" w:lineRule="auto"/>
    </w:pPr>
    <w:rPr>
      <w:rFonts w:ascii="Times New Roman" w:eastAsia="Times New Roman" w:hAnsi="Times New Roman" w:cs="Times New Roman"/>
      <w:sz w:val="24"/>
      <w:szCs w:val="24"/>
    </w:rPr>
  </w:style>
  <w:style w:type="paragraph" w:customStyle="1" w:styleId="300">
    <w:name w:val="300"/>
    <w:basedOn w:val="Normal"/>
    <w:rsid w:val="00D8643C"/>
    <w:pPr>
      <w:overflowPunct w:val="0"/>
      <w:autoSpaceDE w:val="0"/>
      <w:autoSpaceDN w:val="0"/>
      <w:adjustRightInd w:val="0"/>
      <w:textAlignment w:val="baseline"/>
    </w:pPr>
    <w:rPr>
      <w:sz w:val="20"/>
      <w:szCs w:val="20"/>
    </w:rPr>
  </w:style>
  <w:style w:type="table" w:styleId="TableGrid">
    <w:name w:val="Table Grid"/>
    <w:basedOn w:val="TableNormal"/>
    <w:uiPriority w:val="59"/>
    <w:rsid w:val="00D51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0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4722">
      <w:bodyDiv w:val="1"/>
      <w:marLeft w:val="0"/>
      <w:marRight w:val="0"/>
      <w:marTop w:val="0"/>
      <w:marBottom w:val="0"/>
      <w:divBdr>
        <w:top w:val="none" w:sz="0" w:space="0" w:color="auto"/>
        <w:left w:val="none" w:sz="0" w:space="0" w:color="auto"/>
        <w:bottom w:val="none" w:sz="0" w:space="0" w:color="auto"/>
        <w:right w:val="none" w:sz="0" w:space="0" w:color="auto"/>
      </w:divBdr>
    </w:div>
    <w:div w:id="109856731">
      <w:bodyDiv w:val="1"/>
      <w:marLeft w:val="0"/>
      <w:marRight w:val="0"/>
      <w:marTop w:val="0"/>
      <w:marBottom w:val="0"/>
      <w:divBdr>
        <w:top w:val="none" w:sz="0" w:space="0" w:color="auto"/>
        <w:left w:val="none" w:sz="0" w:space="0" w:color="auto"/>
        <w:bottom w:val="none" w:sz="0" w:space="0" w:color="auto"/>
        <w:right w:val="none" w:sz="0" w:space="0" w:color="auto"/>
      </w:divBdr>
    </w:div>
    <w:div w:id="219563344">
      <w:bodyDiv w:val="1"/>
      <w:marLeft w:val="0"/>
      <w:marRight w:val="0"/>
      <w:marTop w:val="0"/>
      <w:marBottom w:val="0"/>
      <w:divBdr>
        <w:top w:val="none" w:sz="0" w:space="0" w:color="auto"/>
        <w:left w:val="none" w:sz="0" w:space="0" w:color="auto"/>
        <w:bottom w:val="none" w:sz="0" w:space="0" w:color="auto"/>
        <w:right w:val="none" w:sz="0" w:space="0" w:color="auto"/>
      </w:divBdr>
    </w:div>
    <w:div w:id="533233044">
      <w:bodyDiv w:val="1"/>
      <w:marLeft w:val="0"/>
      <w:marRight w:val="0"/>
      <w:marTop w:val="0"/>
      <w:marBottom w:val="450"/>
      <w:divBdr>
        <w:top w:val="none" w:sz="0" w:space="0" w:color="auto"/>
        <w:left w:val="none" w:sz="0" w:space="0" w:color="auto"/>
        <w:bottom w:val="none" w:sz="0" w:space="0" w:color="auto"/>
        <w:right w:val="none" w:sz="0" w:space="0" w:color="auto"/>
      </w:divBdr>
      <w:divsChild>
        <w:div w:id="1793591554">
          <w:marLeft w:val="0"/>
          <w:marRight w:val="0"/>
          <w:marTop w:val="0"/>
          <w:marBottom w:val="0"/>
          <w:divBdr>
            <w:top w:val="none" w:sz="0" w:space="0" w:color="auto"/>
            <w:left w:val="none" w:sz="0" w:space="0" w:color="auto"/>
            <w:bottom w:val="none" w:sz="0" w:space="0" w:color="auto"/>
            <w:right w:val="none" w:sz="0" w:space="0" w:color="auto"/>
          </w:divBdr>
          <w:divsChild>
            <w:div w:id="203942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1948">
      <w:bodyDiv w:val="1"/>
      <w:marLeft w:val="0"/>
      <w:marRight w:val="0"/>
      <w:marTop w:val="0"/>
      <w:marBottom w:val="450"/>
      <w:divBdr>
        <w:top w:val="none" w:sz="0" w:space="0" w:color="auto"/>
        <w:left w:val="none" w:sz="0" w:space="0" w:color="auto"/>
        <w:bottom w:val="none" w:sz="0" w:space="0" w:color="auto"/>
        <w:right w:val="none" w:sz="0" w:space="0" w:color="auto"/>
      </w:divBdr>
      <w:divsChild>
        <w:div w:id="1898081906">
          <w:marLeft w:val="0"/>
          <w:marRight w:val="0"/>
          <w:marTop w:val="0"/>
          <w:marBottom w:val="0"/>
          <w:divBdr>
            <w:top w:val="none" w:sz="0" w:space="0" w:color="auto"/>
            <w:left w:val="none" w:sz="0" w:space="0" w:color="auto"/>
            <w:bottom w:val="none" w:sz="0" w:space="0" w:color="auto"/>
            <w:right w:val="none" w:sz="0" w:space="0" w:color="auto"/>
          </w:divBdr>
          <w:divsChild>
            <w:div w:id="17612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69806">
      <w:bodyDiv w:val="1"/>
      <w:marLeft w:val="0"/>
      <w:marRight w:val="0"/>
      <w:marTop w:val="0"/>
      <w:marBottom w:val="0"/>
      <w:divBdr>
        <w:top w:val="none" w:sz="0" w:space="0" w:color="auto"/>
        <w:left w:val="none" w:sz="0" w:space="0" w:color="auto"/>
        <w:bottom w:val="none" w:sz="0" w:space="0" w:color="auto"/>
        <w:right w:val="none" w:sz="0" w:space="0" w:color="auto"/>
      </w:divBdr>
    </w:div>
    <w:div w:id="966592814">
      <w:bodyDiv w:val="1"/>
      <w:marLeft w:val="0"/>
      <w:marRight w:val="0"/>
      <w:marTop w:val="0"/>
      <w:marBottom w:val="450"/>
      <w:divBdr>
        <w:top w:val="none" w:sz="0" w:space="0" w:color="auto"/>
        <w:left w:val="none" w:sz="0" w:space="0" w:color="auto"/>
        <w:bottom w:val="none" w:sz="0" w:space="0" w:color="auto"/>
        <w:right w:val="none" w:sz="0" w:space="0" w:color="auto"/>
      </w:divBdr>
      <w:divsChild>
        <w:div w:id="213544505">
          <w:marLeft w:val="0"/>
          <w:marRight w:val="0"/>
          <w:marTop w:val="0"/>
          <w:marBottom w:val="0"/>
          <w:divBdr>
            <w:top w:val="none" w:sz="0" w:space="0" w:color="auto"/>
            <w:left w:val="none" w:sz="0" w:space="0" w:color="auto"/>
            <w:bottom w:val="none" w:sz="0" w:space="0" w:color="auto"/>
            <w:right w:val="none" w:sz="0" w:space="0" w:color="auto"/>
          </w:divBdr>
          <w:divsChild>
            <w:div w:id="125725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0433">
      <w:bodyDiv w:val="1"/>
      <w:marLeft w:val="0"/>
      <w:marRight w:val="0"/>
      <w:marTop w:val="0"/>
      <w:marBottom w:val="450"/>
      <w:divBdr>
        <w:top w:val="none" w:sz="0" w:space="0" w:color="auto"/>
        <w:left w:val="none" w:sz="0" w:space="0" w:color="auto"/>
        <w:bottom w:val="none" w:sz="0" w:space="0" w:color="auto"/>
        <w:right w:val="none" w:sz="0" w:space="0" w:color="auto"/>
      </w:divBdr>
      <w:divsChild>
        <w:div w:id="1351027024">
          <w:marLeft w:val="0"/>
          <w:marRight w:val="0"/>
          <w:marTop w:val="0"/>
          <w:marBottom w:val="0"/>
          <w:divBdr>
            <w:top w:val="none" w:sz="0" w:space="0" w:color="auto"/>
            <w:left w:val="none" w:sz="0" w:space="0" w:color="auto"/>
            <w:bottom w:val="none" w:sz="0" w:space="0" w:color="auto"/>
            <w:right w:val="none" w:sz="0" w:space="0" w:color="auto"/>
          </w:divBdr>
          <w:divsChild>
            <w:div w:id="18625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4142">
      <w:bodyDiv w:val="1"/>
      <w:marLeft w:val="0"/>
      <w:marRight w:val="0"/>
      <w:marTop w:val="0"/>
      <w:marBottom w:val="0"/>
      <w:divBdr>
        <w:top w:val="none" w:sz="0" w:space="0" w:color="auto"/>
        <w:left w:val="none" w:sz="0" w:space="0" w:color="auto"/>
        <w:bottom w:val="none" w:sz="0" w:space="0" w:color="auto"/>
        <w:right w:val="none" w:sz="0" w:space="0" w:color="auto"/>
      </w:divBdr>
      <w:divsChild>
        <w:div w:id="1972595681">
          <w:marLeft w:val="0"/>
          <w:marRight w:val="0"/>
          <w:marTop w:val="0"/>
          <w:marBottom w:val="0"/>
          <w:divBdr>
            <w:top w:val="none" w:sz="0" w:space="0" w:color="auto"/>
            <w:left w:val="none" w:sz="0" w:space="0" w:color="auto"/>
            <w:bottom w:val="none" w:sz="0" w:space="0" w:color="auto"/>
            <w:right w:val="none" w:sz="0" w:space="0" w:color="auto"/>
          </w:divBdr>
        </w:div>
      </w:divsChild>
    </w:div>
    <w:div w:id="1252349885">
      <w:bodyDiv w:val="1"/>
      <w:marLeft w:val="0"/>
      <w:marRight w:val="0"/>
      <w:marTop w:val="0"/>
      <w:marBottom w:val="0"/>
      <w:divBdr>
        <w:top w:val="none" w:sz="0" w:space="0" w:color="auto"/>
        <w:left w:val="none" w:sz="0" w:space="0" w:color="auto"/>
        <w:bottom w:val="none" w:sz="0" w:space="0" w:color="auto"/>
        <w:right w:val="none" w:sz="0" w:space="0" w:color="auto"/>
      </w:divBdr>
    </w:div>
    <w:div w:id="1420365677">
      <w:bodyDiv w:val="1"/>
      <w:marLeft w:val="0"/>
      <w:marRight w:val="0"/>
      <w:marTop w:val="0"/>
      <w:marBottom w:val="0"/>
      <w:divBdr>
        <w:top w:val="none" w:sz="0" w:space="0" w:color="auto"/>
        <w:left w:val="none" w:sz="0" w:space="0" w:color="auto"/>
        <w:bottom w:val="none" w:sz="0" w:space="0" w:color="auto"/>
        <w:right w:val="none" w:sz="0" w:space="0" w:color="auto"/>
      </w:divBdr>
    </w:div>
    <w:div w:id="1475414381">
      <w:bodyDiv w:val="1"/>
      <w:marLeft w:val="0"/>
      <w:marRight w:val="0"/>
      <w:marTop w:val="0"/>
      <w:marBottom w:val="0"/>
      <w:divBdr>
        <w:top w:val="none" w:sz="0" w:space="0" w:color="auto"/>
        <w:left w:val="none" w:sz="0" w:space="0" w:color="auto"/>
        <w:bottom w:val="none" w:sz="0" w:space="0" w:color="auto"/>
        <w:right w:val="none" w:sz="0" w:space="0" w:color="auto"/>
      </w:divBdr>
    </w:div>
    <w:div w:id="1510556706">
      <w:bodyDiv w:val="1"/>
      <w:marLeft w:val="0"/>
      <w:marRight w:val="0"/>
      <w:marTop w:val="0"/>
      <w:marBottom w:val="0"/>
      <w:divBdr>
        <w:top w:val="none" w:sz="0" w:space="0" w:color="auto"/>
        <w:left w:val="none" w:sz="0" w:space="0" w:color="auto"/>
        <w:bottom w:val="none" w:sz="0" w:space="0" w:color="auto"/>
        <w:right w:val="none" w:sz="0" w:space="0" w:color="auto"/>
      </w:divBdr>
    </w:div>
    <w:div w:id="1636715012">
      <w:bodyDiv w:val="1"/>
      <w:marLeft w:val="0"/>
      <w:marRight w:val="0"/>
      <w:marTop w:val="0"/>
      <w:marBottom w:val="0"/>
      <w:divBdr>
        <w:top w:val="none" w:sz="0" w:space="0" w:color="auto"/>
        <w:left w:val="none" w:sz="0" w:space="0" w:color="auto"/>
        <w:bottom w:val="none" w:sz="0" w:space="0" w:color="auto"/>
        <w:right w:val="none" w:sz="0" w:space="0" w:color="auto"/>
      </w:divBdr>
    </w:div>
    <w:div w:id="1639148496">
      <w:bodyDiv w:val="1"/>
      <w:marLeft w:val="0"/>
      <w:marRight w:val="0"/>
      <w:marTop w:val="0"/>
      <w:marBottom w:val="450"/>
      <w:divBdr>
        <w:top w:val="none" w:sz="0" w:space="0" w:color="auto"/>
        <w:left w:val="none" w:sz="0" w:space="0" w:color="auto"/>
        <w:bottom w:val="none" w:sz="0" w:space="0" w:color="auto"/>
        <w:right w:val="none" w:sz="0" w:space="0" w:color="auto"/>
      </w:divBdr>
      <w:divsChild>
        <w:div w:id="1006791139">
          <w:marLeft w:val="0"/>
          <w:marRight w:val="0"/>
          <w:marTop w:val="0"/>
          <w:marBottom w:val="0"/>
          <w:divBdr>
            <w:top w:val="none" w:sz="0" w:space="0" w:color="auto"/>
            <w:left w:val="none" w:sz="0" w:space="0" w:color="auto"/>
            <w:bottom w:val="none" w:sz="0" w:space="0" w:color="auto"/>
            <w:right w:val="none" w:sz="0" w:space="0" w:color="auto"/>
          </w:divBdr>
          <w:divsChild>
            <w:div w:id="174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is.usda.gov/aphis/ourfocus/animalhealth/veterinary-biologics/sa_ncah_portal_guidance/ct_cvb_portal_guidance" TargetMode="External"/><Relationship Id="rId13" Type="http://schemas.openxmlformats.org/officeDocument/2006/relationships/hyperlink" Target="https://www.aphis.usda.gov/aphis/ourfocus/animalhealth/veterinary-biologics/adverse-event-reporting/ct-vb-adverseeventsindustr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his.usda.gov/aphis/ourfocus/animalhealth/veterinary-biologics/adverse-event-reporting/ct_vb_adverse_ev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om.evans@zoet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bpv.aphis.usda.gov/PVXClient/index.html" TargetMode="External"/><Relationship Id="rId5" Type="http://schemas.openxmlformats.org/officeDocument/2006/relationships/webSettings" Target="webSettings.xml"/><Relationship Id="rId15" Type="http://schemas.openxmlformats.org/officeDocument/2006/relationships/hyperlink" Target="mailto:george@langethomas.com" TargetMode="External"/><Relationship Id="rId10" Type="http://schemas.openxmlformats.org/officeDocument/2006/relationships/hyperlink" Target="https://www.aphis.usda.gov/aphis/ourfocus/animalhealth/veterinary-biologics/sa_ncah_portal_guidance/ct_vb_ncah_portal_vide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his.usda.gov/aphis/ourfocus/animalhealth/veterinary-biologics/sa_ncah_portal_guidance/ct_vb_ncah_portal_user_guides" TargetMode="External"/><Relationship Id="rId14" Type="http://schemas.openxmlformats.org/officeDocument/2006/relationships/hyperlink" Target="mailto:wmccauley@ah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8EE18-2ECF-49CD-AA81-4B74DE26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9304</Words>
  <Characters>53034</Characters>
  <Application>Microsoft Office Word</Application>
  <DocSecurity>4</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smharris</dc:creator>
  <cp:lastModifiedBy>Moxey, Joseph  - APHIS</cp:lastModifiedBy>
  <cp:revision>2</cp:revision>
  <cp:lastPrinted>2018-04-11T18:13:00Z</cp:lastPrinted>
  <dcterms:created xsi:type="dcterms:W3CDTF">2022-02-16T20:32:00Z</dcterms:created>
  <dcterms:modified xsi:type="dcterms:W3CDTF">2022-02-16T20:32:00Z</dcterms:modified>
</cp:coreProperties>
</file>