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A71B9" w:rsidR="009E142C" w:rsidP="009E142C" w:rsidRDefault="009E142C" w14:paraId="4D990EF4" w14:textId="1608F50F">
      <w:pPr>
        <w:pStyle w:val="NoSpacing"/>
        <w:jc w:val="center"/>
        <w:rPr>
          <w:b/>
          <w:sz w:val="24"/>
          <w:szCs w:val="24"/>
        </w:rPr>
      </w:pPr>
      <w:r w:rsidRPr="008A71B9">
        <w:rPr>
          <w:b/>
          <w:sz w:val="24"/>
          <w:szCs w:val="24"/>
        </w:rPr>
        <w:t xml:space="preserve">Attachment </w:t>
      </w:r>
      <w:r w:rsidR="00303AFE">
        <w:rPr>
          <w:b/>
          <w:sz w:val="24"/>
          <w:szCs w:val="24"/>
        </w:rPr>
        <w:t>K</w:t>
      </w:r>
    </w:p>
    <w:p w:rsidRPr="008A71B9" w:rsidR="009E142C" w:rsidP="009E142C" w:rsidRDefault="009E142C" w14:paraId="03DF91B8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9E142C" w:rsidP="009E142C" w:rsidRDefault="009E142C" w14:paraId="32E5E29D" w14:textId="77777777">
      <w:pPr>
        <w:pStyle w:val="NoSpacing"/>
        <w:jc w:val="center"/>
        <w:rPr>
          <w:b/>
          <w:sz w:val="24"/>
          <w:szCs w:val="24"/>
        </w:rPr>
      </w:pPr>
      <w:r w:rsidRPr="008A71B9">
        <w:rPr>
          <w:b/>
          <w:sz w:val="24"/>
          <w:szCs w:val="24"/>
        </w:rPr>
        <w:t>Department of Commerce</w:t>
      </w:r>
    </w:p>
    <w:p w:rsidRPr="008A71B9" w:rsidR="009E142C" w:rsidP="009E142C" w:rsidRDefault="009E142C" w14:paraId="38335F4D" w14:textId="77777777">
      <w:pPr>
        <w:pStyle w:val="NoSpacing"/>
        <w:jc w:val="center"/>
        <w:rPr>
          <w:b/>
          <w:sz w:val="24"/>
          <w:szCs w:val="24"/>
        </w:rPr>
      </w:pPr>
      <w:r w:rsidRPr="008A71B9">
        <w:rPr>
          <w:b/>
          <w:sz w:val="24"/>
          <w:szCs w:val="24"/>
        </w:rPr>
        <w:t>United States Census Bureau</w:t>
      </w:r>
    </w:p>
    <w:p w:rsidRPr="008A71B9" w:rsidR="009E142C" w:rsidP="009E142C" w:rsidRDefault="009E142C" w14:paraId="25DBE4A4" w14:textId="77777777">
      <w:pPr>
        <w:pStyle w:val="NoSpacing"/>
        <w:jc w:val="center"/>
        <w:rPr>
          <w:b/>
          <w:sz w:val="24"/>
          <w:szCs w:val="24"/>
        </w:rPr>
      </w:pPr>
      <w:r w:rsidRPr="008A71B9">
        <w:rPr>
          <w:b/>
          <w:sz w:val="24"/>
          <w:szCs w:val="24"/>
        </w:rPr>
        <w:t>OMB Information Collection Request</w:t>
      </w:r>
    </w:p>
    <w:p w:rsidRPr="008A71B9" w:rsidR="009E142C" w:rsidP="009E142C" w:rsidRDefault="009E142C" w14:paraId="7FDF2EFB" w14:textId="5CCA5BD3">
      <w:pPr>
        <w:pStyle w:val="NoSpacing"/>
        <w:jc w:val="center"/>
        <w:rPr>
          <w:b/>
          <w:sz w:val="24"/>
          <w:szCs w:val="24"/>
        </w:rPr>
      </w:pPr>
      <w:r w:rsidRPr="008A71B9">
        <w:rPr>
          <w:b/>
          <w:sz w:val="24"/>
          <w:szCs w:val="24"/>
        </w:rPr>
        <w:t>20</w:t>
      </w:r>
      <w:r w:rsidRPr="008A71B9" w:rsidR="00050249">
        <w:rPr>
          <w:b/>
          <w:sz w:val="24"/>
          <w:szCs w:val="24"/>
        </w:rPr>
        <w:t>22</w:t>
      </w:r>
      <w:r w:rsidRPr="008A71B9">
        <w:rPr>
          <w:b/>
          <w:sz w:val="24"/>
          <w:szCs w:val="24"/>
        </w:rPr>
        <w:t xml:space="preserve"> Economic Census</w:t>
      </w:r>
    </w:p>
    <w:p w:rsidRPr="008A71B9" w:rsidR="009E142C" w:rsidP="009E142C" w:rsidRDefault="009E142C" w14:paraId="301A575C" w14:textId="241855E1">
      <w:pPr>
        <w:pStyle w:val="NoSpacing"/>
        <w:jc w:val="center"/>
        <w:rPr>
          <w:b/>
          <w:sz w:val="24"/>
          <w:szCs w:val="24"/>
        </w:rPr>
      </w:pPr>
      <w:r w:rsidRPr="008A71B9">
        <w:rPr>
          <w:b/>
          <w:sz w:val="24"/>
          <w:szCs w:val="24"/>
        </w:rPr>
        <w:t>OMB Control Number 0607-</w:t>
      </w:r>
      <w:r w:rsidR="00900C97">
        <w:rPr>
          <w:b/>
          <w:sz w:val="24"/>
          <w:szCs w:val="24"/>
        </w:rPr>
        <w:t>0998</w:t>
      </w:r>
    </w:p>
    <w:p w:rsidRPr="008A71B9" w:rsidR="009E142C" w:rsidP="009E142C" w:rsidRDefault="009E142C" w14:paraId="7D9627C7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9E142C" w:rsidP="009E142C" w:rsidRDefault="00BB20C6" w14:paraId="048108D0" w14:textId="66CE9679">
      <w:pPr>
        <w:pStyle w:val="NoSpacing"/>
        <w:jc w:val="center"/>
        <w:rPr>
          <w:b/>
          <w:sz w:val="24"/>
          <w:szCs w:val="24"/>
        </w:rPr>
      </w:pPr>
      <w:r w:rsidRPr="008A71B9">
        <w:rPr>
          <w:b/>
          <w:sz w:val="24"/>
          <w:szCs w:val="24"/>
        </w:rPr>
        <w:t>Contact Strategies Testing</w:t>
      </w:r>
    </w:p>
    <w:p w:rsidRPr="008A71B9" w:rsidR="005C1786" w:rsidP="009E142C" w:rsidRDefault="005C1786" w14:paraId="653BCF6E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42918DD2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64FA897A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7A790581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0FD50D31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7B67D6DB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59AA8964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7E65A8A7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1D03FB04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3CC1951B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6981FFAD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3B3A8C01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5019DB61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0B01E9FD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637A48E7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654BB662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24A0C018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45F6212D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0E6387A1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1B56DB85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6E304159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4C47F0D6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5C1786" w:rsidP="009E142C" w:rsidRDefault="005C1786" w14:paraId="7EEF252B" w14:textId="77777777">
      <w:pPr>
        <w:pStyle w:val="NoSpacing"/>
        <w:jc w:val="center"/>
        <w:rPr>
          <w:b/>
          <w:sz w:val="24"/>
          <w:szCs w:val="24"/>
        </w:rPr>
      </w:pPr>
    </w:p>
    <w:p w:rsidRPr="008A71B9" w:rsidR="00281FEE" w:rsidRDefault="00900C97" w14:paraId="3771E43F" w14:textId="77777777"/>
    <w:tbl>
      <w:tblPr>
        <w:tblStyle w:val="MediumShading1-Accent1"/>
        <w:tblW w:w="10015" w:type="dxa"/>
        <w:tblLook w:val="04A0" w:firstRow="1" w:lastRow="0" w:firstColumn="1" w:lastColumn="0" w:noHBand="0" w:noVBand="1"/>
      </w:tblPr>
      <w:tblGrid>
        <w:gridCol w:w="1887"/>
        <w:gridCol w:w="83"/>
        <w:gridCol w:w="3060"/>
        <w:gridCol w:w="2257"/>
        <w:gridCol w:w="186"/>
        <w:gridCol w:w="2542"/>
      </w:tblGrid>
      <w:tr w:rsidRPr="008A71B9" w:rsidR="005C1786" w:rsidTr="00561AD5" w14:paraId="7FA36C2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  <w:tcBorders>
              <w:top w:val="double" w:color="auto" w:sz="4" w:space="0"/>
              <w:bottom w:val="doub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8A71B9" w:rsidR="005C1786" w:rsidP="00561AD5" w:rsidRDefault="005C1786" w14:paraId="274E2805" w14:textId="77777777">
            <w:pPr>
              <w:rPr>
                <w:rFonts w:ascii="Times New Roman" w:hAnsi="Times New Roman"/>
                <w:b w:val="0"/>
                <w:color w:val="auto"/>
                <w:szCs w:val="24"/>
              </w:rPr>
            </w:pPr>
            <w:r w:rsidRPr="008A71B9">
              <w:rPr>
                <w:rFonts w:ascii="Times New Roman" w:hAnsi="Times New Roman"/>
                <w:b w:val="0"/>
                <w:color w:val="auto"/>
                <w:szCs w:val="24"/>
              </w:rPr>
              <w:lastRenderedPageBreak/>
              <w:t>Component of the Collection Strategy</w:t>
            </w:r>
          </w:p>
        </w:tc>
        <w:tc>
          <w:tcPr>
            <w:tcW w:w="3143" w:type="dxa"/>
            <w:gridSpan w:val="2"/>
            <w:tcBorders>
              <w:top w:val="double" w:color="auto" w:sz="4" w:space="0"/>
              <w:bottom w:val="double" w:color="auto" w:sz="4" w:space="0"/>
            </w:tcBorders>
            <w:shd w:val="clear" w:color="auto" w:fill="F2F2F2" w:themeFill="background1" w:themeFillShade="F2"/>
            <w:vAlign w:val="center"/>
          </w:tcPr>
          <w:p w:rsidRPr="008A71B9" w:rsidR="005C1786" w:rsidP="00561AD5" w:rsidRDefault="005C1786" w14:paraId="7C62073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Cs w:val="24"/>
              </w:rPr>
            </w:pPr>
            <w:r w:rsidRPr="008A71B9">
              <w:rPr>
                <w:rFonts w:ascii="Times New Roman" w:hAnsi="Times New Roman"/>
                <w:b w:val="0"/>
                <w:color w:val="auto"/>
                <w:szCs w:val="24"/>
              </w:rPr>
              <w:t>Survey Collection and Treatment(s) Tested</w:t>
            </w:r>
          </w:p>
        </w:tc>
        <w:tc>
          <w:tcPr>
            <w:tcW w:w="2443" w:type="dxa"/>
            <w:gridSpan w:val="2"/>
            <w:tcBorders>
              <w:top w:val="double" w:color="auto" w:sz="4" w:space="0"/>
              <w:bottom w:val="double" w:color="auto" w:sz="4" w:space="0"/>
            </w:tcBorders>
            <w:shd w:val="clear" w:color="auto" w:fill="F2F2F2" w:themeFill="background1" w:themeFillShade="F2"/>
            <w:vAlign w:val="center"/>
          </w:tcPr>
          <w:p w:rsidRPr="008A71B9" w:rsidR="005C1786" w:rsidP="00561AD5" w:rsidRDefault="005C1786" w14:paraId="57BB495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Cs w:val="24"/>
              </w:rPr>
            </w:pPr>
            <w:r w:rsidRPr="008A71B9">
              <w:rPr>
                <w:rFonts w:ascii="Times New Roman" w:hAnsi="Times New Roman"/>
                <w:b w:val="0"/>
                <w:color w:val="auto"/>
                <w:szCs w:val="24"/>
              </w:rPr>
              <w:t>Summary of Results</w:t>
            </w:r>
          </w:p>
        </w:tc>
        <w:tc>
          <w:tcPr>
            <w:tcW w:w="2542" w:type="dxa"/>
            <w:tcBorders>
              <w:top w:val="double" w:color="auto" w:sz="4" w:space="0"/>
              <w:bottom w:val="doub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8A71B9" w:rsidR="005C1786" w:rsidP="00561AD5" w:rsidRDefault="005C1786" w14:paraId="46F9FE7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Cs w:val="24"/>
              </w:rPr>
            </w:pPr>
            <w:r w:rsidRPr="008A71B9">
              <w:rPr>
                <w:rFonts w:ascii="Times New Roman" w:hAnsi="Times New Roman"/>
                <w:b w:val="0"/>
                <w:color w:val="auto"/>
                <w:szCs w:val="24"/>
              </w:rPr>
              <w:t>Implementation Decision</w:t>
            </w:r>
          </w:p>
        </w:tc>
      </w:tr>
      <w:tr w:rsidRPr="008A71B9" w:rsidR="005C1786" w:rsidTr="00561AD5" w14:paraId="6D8AFE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  <w:tcBorders>
              <w:top w:val="double" w:color="auto" w:sz="4" w:space="0"/>
            </w:tcBorders>
            <w:shd w:val="clear" w:color="auto" w:fill="F2F2F2" w:themeFill="background1" w:themeFillShade="F2"/>
            <w:hideMark/>
          </w:tcPr>
          <w:p w:rsidRPr="008A71B9" w:rsidR="005C1786" w:rsidP="00561AD5" w:rsidRDefault="005C1786" w14:paraId="3B79D17D" w14:textId="16AD590F">
            <w:pPr>
              <w:rPr>
                <w:rFonts w:ascii="Times New Roman" w:hAnsi="Times New Roman"/>
                <w:i/>
                <w:szCs w:val="24"/>
              </w:rPr>
            </w:pPr>
            <w:r w:rsidRPr="008A71B9">
              <w:rPr>
                <w:rFonts w:ascii="Times New Roman" w:hAnsi="Times New Roman"/>
                <w:i/>
                <w:szCs w:val="24"/>
              </w:rPr>
              <w:t>Advance notice</w:t>
            </w:r>
            <w:r w:rsidRPr="008A71B9" w:rsidR="002503D6">
              <w:rPr>
                <w:rStyle w:val="FootnoteReference"/>
                <w:rFonts w:ascii="Times New Roman" w:hAnsi="Times New Roman"/>
                <w:i/>
                <w:szCs w:val="24"/>
              </w:rPr>
              <w:footnoteReference w:id="1"/>
            </w:r>
          </w:p>
        </w:tc>
        <w:tc>
          <w:tcPr>
            <w:tcW w:w="3143" w:type="dxa"/>
            <w:gridSpan w:val="2"/>
            <w:tcBorders>
              <w:top w:val="double" w:color="auto" w:sz="4" w:space="0"/>
            </w:tcBorders>
            <w:shd w:val="clear" w:color="auto" w:fill="F2F2F2" w:themeFill="background1" w:themeFillShade="F2"/>
          </w:tcPr>
          <w:p w:rsidRPr="008A71B9" w:rsidR="005C1786" w:rsidP="00561AD5" w:rsidRDefault="005C1786" w14:paraId="4B668BD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2012 Economic Census:</w:t>
            </w:r>
          </w:p>
          <w:p w:rsidRPr="008A71B9" w:rsidR="005C1786" w:rsidP="00561AD5" w:rsidRDefault="005C1786" w14:paraId="380F925E" w14:textId="77777777">
            <w:pPr>
              <w:numPr>
                <w:ilvl w:val="0"/>
                <w:numId w:val="7"/>
              </w:numPr>
              <w:ind w:left="156" w:hanging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Advance letter tested among SUs in industries with historically low response rates.</w:t>
            </w:r>
          </w:p>
          <w:p w:rsidRPr="008A71B9" w:rsidR="005C1786" w:rsidP="00561AD5" w:rsidRDefault="005C1786" w14:paraId="486F0321" w14:textId="77777777">
            <w:pPr>
              <w:numPr>
                <w:ilvl w:val="0"/>
                <w:numId w:val="7"/>
              </w:numPr>
              <w:ind w:left="156" w:hanging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 xml:space="preserve">Advance request to verify contact information tested among MUs with fewer than 1,000 employees.  </w:t>
            </w:r>
          </w:p>
        </w:tc>
        <w:tc>
          <w:tcPr>
            <w:tcW w:w="2443" w:type="dxa"/>
            <w:gridSpan w:val="2"/>
            <w:tcBorders>
              <w:top w:val="double" w:color="auto" w:sz="4" w:space="0"/>
            </w:tcBorders>
            <w:shd w:val="clear" w:color="auto" w:fill="F2F2F2" w:themeFill="background1" w:themeFillShade="F2"/>
          </w:tcPr>
          <w:p w:rsidRPr="008A71B9" w:rsidR="005C1786" w:rsidP="00561AD5" w:rsidRDefault="005C1786" w14:paraId="65D7E0C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Differences in check-in rates were not statistically significant for either experiment.</w:t>
            </w:r>
          </w:p>
        </w:tc>
        <w:tc>
          <w:tcPr>
            <w:tcW w:w="2542" w:type="dxa"/>
            <w:tcBorders>
              <w:top w:val="double" w:color="auto" w:sz="4" w:space="0"/>
            </w:tcBorders>
            <w:shd w:val="clear" w:color="auto" w:fill="F2F2F2" w:themeFill="background1" w:themeFillShade="F2"/>
            <w:hideMark/>
          </w:tcPr>
          <w:p w:rsidRPr="008A71B9" w:rsidR="005C1786" w:rsidP="00561AD5" w:rsidRDefault="005C1786" w14:paraId="25D8142E" w14:textId="278AF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No.  However, Account Managers will contact selected MUs in advance of mailout. (See Section 3 subsection on “Outreach”)</w:t>
            </w:r>
          </w:p>
        </w:tc>
      </w:tr>
      <w:tr w:rsidRPr="008A71B9" w:rsidR="005C1786" w:rsidTr="00561AD5" w14:paraId="2989A84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  <w:hideMark/>
          </w:tcPr>
          <w:p w:rsidRPr="008A71B9" w:rsidR="005C1786" w:rsidP="00561AD5" w:rsidRDefault="005C1786" w14:paraId="0849D445" w14:textId="77777777">
            <w:pPr>
              <w:rPr>
                <w:rFonts w:ascii="Times New Roman" w:hAnsi="Times New Roman"/>
                <w:i/>
                <w:szCs w:val="24"/>
              </w:rPr>
            </w:pPr>
            <w:r w:rsidRPr="008A71B9">
              <w:rPr>
                <w:rFonts w:ascii="Times New Roman" w:hAnsi="Times New Roman"/>
                <w:i/>
                <w:szCs w:val="24"/>
              </w:rPr>
              <w:t>Full-scale pilot of later mailout and due date</w:t>
            </w:r>
          </w:p>
        </w:tc>
        <w:tc>
          <w:tcPr>
            <w:tcW w:w="3143" w:type="dxa"/>
            <w:gridSpan w:val="2"/>
          </w:tcPr>
          <w:p w:rsidRPr="008A71B9" w:rsidR="005C1786" w:rsidP="00561AD5" w:rsidRDefault="005C1786" w14:paraId="136112E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 xml:space="preserve">2015 ASM: </w:t>
            </w:r>
          </w:p>
          <w:p w:rsidRPr="008A71B9" w:rsidR="005C1786" w:rsidP="00561AD5" w:rsidRDefault="005C1786" w14:paraId="0E1E74AC" w14:textId="6D910228">
            <w:pPr>
              <w:numPr>
                <w:ilvl w:val="0"/>
                <w:numId w:val="1"/>
              </w:numPr>
              <w:ind w:left="156" w:hanging="15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Initial mailout date moved to Late January of year following reference year rather than Late December.</w:t>
            </w:r>
          </w:p>
          <w:p w:rsidRPr="008A71B9" w:rsidR="005C1786" w:rsidP="00561AD5" w:rsidRDefault="005C1786" w14:paraId="416E94AB" w14:textId="77777777">
            <w:pPr>
              <w:numPr>
                <w:ilvl w:val="0"/>
                <w:numId w:val="1"/>
              </w:numPr>
              <w:ind w:left="156" w:hanging="15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 xml:space="preserve">Selected large MUs were offered a later due date (in May 2016) than SUs and smaller MUs, whose due date was mid-March 2016.  </w:t>
            </w:r>
          </w:p>
        </w:tc>
        <w:tc>
          <w:tcPr>
            <w:tcW w:w="2443" w:type="dxa"/>
            <w:gridSpan w:val="2"/>
          </w:tcPr>
          <w:p w:rsidRPr="008A71B9" w:rsidR="005C1786" w:rsidP="00561AD5" w:rsidRDefault="005C1786" w14:paraId="4A4A481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 xml:space="preserve">May 2016 due date for large MUs resulted in later 2015 ASM responses compared to 2014 ASM reporting. </w:t>
            </w:r>
          </w:p>
        </w:tc>
        <w:tc>
          <w:tcPr>
            <w:tcW w:w="2542" w:type="dxa"/>
            <w:hideMark/>
          </w:tcPr>
          <w:p w:rsidRPr="008A71B9" w:rsidR="005C1786" w:rsidP="00561AD5" w:rsidRDefault="005C1786" w14:paraId="1EBBE695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Partial implementation, consisting of late January mailout and mid-March due date for all units.</w:t>
            </w:r>
          </w:p>
        </w:tc>
      </w:tr>
      <w:tr w:rsidRPr="008A71B9" w:rsidR="007478F3" w:rsidTr="004C4D61" w14:paraId="79DBEE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  <w:shd w:val="clear" w:color="auto" w:fill="F2F2F2" w:themeFill="background1" w:themeFillShade="F2"/>
          </w:tcPr>
          <w:p w:rsidRPr="008A71B9" w:rsidR="007478F3" w:rsidP="007478F3" w:rsidRDefault="007478F3" w14:paraId="06596342" w14:textId="6CFC2F98">
            <w:pPr>
              <w:rPr>
                <w:rFonts w:ascii="Times New Roman" w:hAnsi="Times New Roman"/>
                <w:i/>
                <w:szCs w:val="24"/>
              </w:rPr>
            </w:pPr>
            <w:r w:rsidRPr="008A71B9">
              <w:rPr>
                <w:rFonts w:ascii="Times New Roman" w:hAnsi="Times New Roman"/>
                <w:i/>
                <w:szCs w:val="24"/>
              </w:rPr>
              <w:t>Rolling extension dates</w:t>
            </w:r>
          </w:p>
        </w:tc>
        <w:tc>
          <w:tcPr>
            <w:tcW w:w="3143" w:type="dxa"/>
            <w:gridSpan w:val="2"/>
            <w:shd w:val="clear" w:color="auto" w:fill="F2F2F2" w:themeFill="background1" w:themeFillShade="F2"/>
          </w:tcPr>
          <w:p w:rsidRPr="008A71B9" w:rsidR="007478F3" w:rsidP="007478F3" w:rsidRDefault="007478F3" w14:paraId="21BAC85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2020 BERD, COS/ASM:</w:t>
            </w:r>
          </w:p>
          <w:p w:rsidRPr="008A71B9" w:rsidR="007478F3" w:rsidP="00EF5CE8" w:rsidRDefault="007478F3" w14:paraId="2E41925A" w14:textId="4C0EC3F7">
            <w:pPr>
              <w:pStyle w:val="ListParagraph"/>
              <w:numPr>
                <w:ilvl w:val="0"/>
                <w:numId w:val="15"/>
              </w:numPr>
              <w:ind w:left="156" w:hanging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 xml:space="preserve">Full-scale pilot allowing respondents to choose extension date within upcoming 2 weeks throughout extension window to avoid clustering of extensions around fixed </w:t>
            </w:r>
            <w:r w:rsidRPr="008A71B9" w:rsidR="00050249">
              <w:rPr>
                <w:rFonts w:ascii="Times New Roman" w:hAnsi="Times New Roman"/>
                <w:szCs w:val="24"/>
              </w:rPr>
              <w:t xml:space="preserve">max </w:t>
            </w:r>
            <w:r w:rsidRPr="008A71B9">
              <w:rPr>
                <w:rFonts w:ascii="Times New Roman" w:hAnsi="Times New Roman"/>
                <w:szCs w:val="24"/>
              </w:rPr>
              <w:t>extension dates.</w:t>
            </w:r>
          </w:p>
        </w:tc>
        <w:tc>
          <w:tcPr>
            <w:tcW w:w="2443" w:type="dxa"/>
            <w:gridSpan w:val="2"/>
            <w:shd w:val="clear" w:color="auto" w:fill="F2F2F2" w:themeFill="background1" w:themeFillShade="F2"/>
          </w:tcPr>
          <w:p w:rsidRPr="008A71B9" w:rsidR="007478F3" w:rsidP="007478F3" w:rsidRDefault="007478F3" w14:paraId="24984317" w14:textId="071BD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Smoothed out incoming call spikes and data processing of completed responses throughout data collection.</w:t>
            </w:r>
          </w:p>
        </w:tc>
        <w:tc>
          <w:tcPr>
            <w:tcW w:w="2542" w:type="dxa"/>
            <w:shd w:val="clear" w:color="auto" w:fill="F2F2F2" w:themeFill="background1" w:themeFillShade="F2"/>
          </w:tcPr>
          <w:p w:rsidRPr="008A71B9" w:rsidR="007478F3" w:rsidP="007478F3" w:rsidRDefault="007478F3" w14:paraId="00528C45" w14:textId="52313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Yes. Rolling time extensions will be used to improve flow of incoming calls and completed cases for data processing.</w:t>
            </w:r>
          </w:p>
        </w:tc>
      </w:tr>
      <w:tr w:rsidRPr="008A71B9" w:rsidR="007478F3" w:rsidTr="004C4D61" w14:paraId="41D7A85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  <w:shd w:val="clear" w:color="auto" w:fill="F2F2F2" w:themeFill="background1" w:themeFillShade="F2"/>
            <w:hideMark/>
          </w:tcPr>
          <w:p w:rsidRPr="008A71B9" w:rsidR="007478F3" w:rsidP="007478F3" w:rsidRDefault="007478F3" w14:paraId="05CA17D3" w14:textId="5EFAB893">
            <w:pPr>
              <w:rPr>
                <w:rFonts w:ascii="Times New Roman" w:hAnsi="Times New Roman"/>
                <w:i/>
                <w:szCs w:val="24"/>
              </w:rPr>
            </w:pPr>
            <w:r w:rsidRPr="008A71B9">
              <w:rPr>
                <w:rFonts w:ascii="Times New Roman" w:hAnsi="Times New Roman"/>
                <w:i/>
                <w:szCs w:val="24"/>
              </w:rPr>
              <w:t>Messaging</w:t>
            </w:r>
            <w:r w:rsidRPr="008A71B9" w:rsidR="002A4332">
              <w:rPr>
                <w:rFonts w:ascii="Times New Roman" w:hAnsi="Times New Roman"/>
                <w:i/>
                <w:szCs w:val="24"/>
              </w:rPr>
              <w:t xml:space="preserve"> in Mailings</w:t>
            </w:r>
          </w:p>
        </w:tc>
        <w:tc>
          <w:tcPr>
            <w:tcW w:w="3143" w:type="dxa"/>
            <w:gridSpan w:val="2"/>
            <w:shd w:val="clear" w:color="auto" w:fill="F2F2F2" w:themeFill="background1" w:themeFillShade="F2"/>
          </w:tcPr>
          <w:p w:rsidRPr="008A71B9" w:rsidR="007478F3" w:rsidP="007478F3" w:rsidRDefault="007478F3" w14:paraId="3500ABA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2014 COS/ASM:</w:t>
            </w:r>
          </w:p>
          <w:p w:rsidRPr="008A71B9" w:rsidR="007478F3" w:rsidP="007478F3" w:rsidRDefault="007478F3" w14:paraId="75C51F3E" w14:textId="77777777">
            <w:pPr>
              <w:numPr>
                <w:ilvl w:val="0"/>
                <w:numId w:val="8"/>
              </w:numPr>
              <w:ind w:left="246" w:hanging="2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Emphasis on electronic reporting options versus standard messaging in letters</w:t>
            </w:r>
          </w:p>
          <w:p w:rsidRPr="008A71B9" w:rsidR="007478F3" w:rsidP="007478F3" w:rsidRDefault="007478F3" w14:paraId="264C92F9" w14:textId="27D76BFE">
            <w:pPr>
              <w:numPr>
                <w:ilvl w:val="0"/>
                <w:numId w:val="8"/>
              </w:numPr>
              <w:ind w:left="246" w:hanging="2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Emphasis on electronic reporting options explained in letters versus placed in flyers.</w:t>
            </w:r>
          </w:p>
        </w:tc>
        <w:tc>
          <w:tcPr>
            <w:tcW w:w="2443" w:type="dxa"/>
            <w:gridSpan w:val="2"/>
            <w:shd w:val="clear" w:color="auto" w:fill="F2F2F2" w:themeFill="background1" w:themeFillShade="F2"/>
          </w:tcPr>
          <w:p w:rsidRPr="008A71B9" w:rsidR="007478F3" w:rsidP="007478F3" w:rsidRDefault="007478F3" w14:paraId="62AF214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General improvement in uptake of electronic mode and decrease in requests for paper forms; statistical significance varies depending on whether cases are in COS only, in both COS and ASM, as well as employment size.</w:t>
            </w:r>
          </w:p>
        </w:tc>
        <w:tc>
          <w:tcPr>
            <w:tcW w:w="2542" w:type="dxa"/>
            <w:shd w:val="clear" w:color="auto" w:fill="F2F2F2" w:themeFill="background1" w:themeFillShade="F2"/>
            <w:hideMark/>
          </w:tcPr>
          <w:p w:rsidRPr="008A71B9" w:rsidR="007478F3" w:rsidP="007478F3" w:rsidRDefault="007478F3" w14:paraId="739BFA2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Yes. Electronic reporting will be emphasized in letters, along with mandatory requirement, confidentiality pledges, purpose &amp; uses of data collected, per OMB requirements.</w:t>
            </w:r>
          </w:p>
        </w:tc>
      </w:tr>
      <w:tr w:rsidRPr="008A71B9" w:rsidR="001E4BDA" w:rsidTr="004C4D61" w14:paraId="457A4F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  <w:shd w:val="clear" w:color="auto" w:fill="F2F2F2" w:themeFill="background1" w:themeFillShade="F2"/>
          </w:tcPr>
          <w:p w:rsidRPr="008A71B9" w:rsidR="001E4BDA" w:rsidP="001E4BDA" w:rsidRDefault="001E4BDA" w14:paraId="03F7E98D" w14:textId="3E28BEB0">
            <w:pPr>
              <w:rPr>
                <w:rFonts w:ascii="Times New Roman" w:hAnsi="Times New Roman"/>
                <w:i/>
                <w:szCs w:val="24"/>
              </w:rPr>
            </w:pPr>
            <w:r w:rsidRPr="008A71B9">
              <w:rPr>
                <w:rFonts w:ascii="Times New Roman" w:hAnsi="Times New Roman"/>
                <w:i/>
                <w:szCs w:val="24"/>
              </w:rPr>
              <w:lastRenderedPageBreak/>
              <w:t>Automated Messaging using Respondent Portal</w:t>
            </w:r>
          </w:p>
        </w:tc>
        <w:tc>
          <w:tcPr>
            <w:tcW w:w="3143" w:type="dxa"/>
            <w:gridSpan w:val="2"/>
            <w:shd w:val="clear" w:color="auto" w:fill="F2F2F2" w:themeFill="background1" w:themeFillShade="F2"/>
          </w:tcPr>
          <w:p w:rsidRPr="008A71B9" w:rsidR="001E4BDA" w:rsidP="001E4BDA" w:rsidRDefault="001E4BDA" w14:paraId="3C283643" w14:textId="77777777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2020 ACES, BERD:</w:t>
            </w:r>
          </w:p>
          <w:p w:rsidRPr="008A71B9" w:rsidR="001E4BDA" w:rsidP="001E4BDA" w:rsidRDefault="001E4BDA" w14:paraId="6DB67763" w14:textId="77777777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Customized content on the Respondent Dashboard</w:t>
            </w:r>
          </w:p>
          <w:p w:rsidRPr="008A71B9" w:rsidR="001E4BDA" w:rsidP="001E4BDA" w:rsidRDefault="001E4BDA" w14:paraId="0C0F0302" w14:textId="77777777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Email customized Welcome Packet after respondent first accesses survey</w:t>
            </w:r>
          </w:p>
          <w:p w:rsidRPr="008A71B9" w:rsidR="001E4BDA" w:rsidP="001E4BDA" w:rsidRDefault="001E4BDA" w14:paraId="36F328E3" w14:textId="77777777">
            <w:pPr>
              <w:numPr>
                <w:ilvl w:val="0"/>
                <w:numId w:val="9"/>
              </w:numPr>
              <w:ind w:left="156" w:hanging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 xml:space="preserve">Thankyou email after respondent completes survey </w:t>
            </w:r>
          </w:p>
          <w:p w:rsidRPr="008A71B9" w:rsidR="001E4BDA" w:rsidP="00FD47A2" w:rsidRDefault="001E4BDA" w14:paraId="2974590B" w14:textId="77777777">
            <w:pPr>
              <w:ind w:left="-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2021 ARTS:</w:t>
            </w:r>
          </w:p>
          <w:p w:rsidRPr="008A71B9" w:rsidR="001E4BDA" w:rsidP="00FD47A2" w:rsidRDefault="001E4BDA" w14:paraId="58C7664A" w14:textId="6F88C6E5">
            <w:pPr>
              <w:pStyle w:val="ListParagraph"/>
              <w:numPr>
                <w:ilvl w:val="0"/>
                <w:numId w:val="9"/>
              </w:numPr>
              <w:ind w:left="24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After TFU contact, email to follow-up on the call</w:t>
            </w:r>
          </w:p>
        </w:tc>
        <w:tc>
          <w:tcPr>
            <w:tcW w:w="2443" w:type="dxa"/>
            <w:gridSpan w:val="2"/>
            <w:shd w:val="clear" w:color="auto" w:fill="F2F2F2" w:themeFill="background1" w:themeFillShade="F2"/>
          </w:tcPr>
          <w:p w:rsidRPr="008A71B9" w:rsidR="001E4BDA" w:rsidP="001E4BDA" w:rsidRDefault="003C1215" w14:paraId="74AC1B31" w14:textId="59BA8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TBD</w:t>
            </w:r>
          </w:p>
        </w:tc>
        <w:tc>
          <w:tcPr>
            <w:tcW w:w="2542" w:type="dxa"/>
            <w:shd w:val="clear" w:color="auto" w:fill="F2F2F2" w:themeFill="background1" w:themeFillShade="F2"/>
          </w:tcPr>
          <w:p w:rsidRPr="008A71B9" w:rsidR="001E4BDA" w:rsidP="001E4BDA" w:rsidRDefault="003C1215" w14:paraId="099C1FBD" w14:textId="31BA1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TBD, pending results of 2020 ACE</w:t>
            </w:r>
            <w:r w:rsidRPr="008A71B9" w:rsidR="00FD47A2">
              <w:rPr>
                <w:rFonts w:ascii="Times New Roman" w:hAnsi="Times New Roman"/>
                <w:szCs w:val="24"/>
              </w:rPr>
              <w:t xml:space="preserve">S, BERD and 2021 ARTS </w:t>
            </w:r>
            <w:r w:rsidRPr="008A71B9">
              <w:rPr>
                <w:rFonts w:ascii="Times New Roman" w:hAnsi="Times New Roman"/>
                <w:szCs w:val="24"/>
              </w:rPr>
              <w:t>research</w:t>
            </w:r>
          </w:p>
        </w:tc>
      </w:tr>
      <w:tr w:rsidRPr="008A71B9" w:rsidR="001E4BDA" w:rsidTr="004C4D61" w14:paraId="43A1608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gridSpan w:val="2"/>
            <w:hideMark/>
          </w:tcPr>
          <w:p w:rsidRPr="008A71B9" w:rsidR="001E4BDA" w:rsidP="001E4BDA" w:rsidRDefault="001E4BDA" w14:paraId="3748DB2F" w14:textId="77777777">
            <w:pPr>
              <w:rPr>
                <w:rFonts w:ascii="Times New Roman" w:hAnsi="Times New Roman"/>
                <w:i/>
                <w:szCs w:val="24"/>
              </w:rPr>
            </w:pPr>
            <w:r w:rsidRPr="008A71B9">
              <w:rPr>
                <w:rFonts w:ascii="Times New Roman" w:hAnsi="Times New Roman"/>
                <w:i/>
                <w:szCs w:val="24"/>
              </w:rPr>
              <w:t>Flyers</w:t>
            </w:r>
            <w:r w:rsidRPr="008A71B9">
              <w:rPr>
                <w:rFonts w:ascii="Times New Roman" w:hAnsi="Times New Roman"/>
                <w:i/>
                <w:szCs w:val="24"/>
                <w:vertAlign w:val="superscript"/>
              </w:rPr>
              <w:t>2</w:t>
            </w:r>
          </w:p>
        </w:tc>
        <w:tc>
          <w:tcPr>
            <w:tcW w:w="3060" w:type="dxa"/>
          </w:tcPr>
          <w:p w:rsidRPr="008A71B9" w:rsidR="001E4BDA" w:rsidP="001E4BDA" w:rsidRDefault="001E4BDA" w14:paraId="010D7CA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2015 SAS:</w:t>
            </w:r>
          </w:p>
          <w:p w:rsidRPr="008A71B9" w:rsidR="001E4BDA" w:rsidP="001E4BDA" w:rsidRDefault="001E4BDA" w14:paraId="7D74FA8C" w14:textId="510B1946">
            <w:pPr>
              <w:numPr>
                <w:ilvl w:val="0"/>
                <w:numId w:val="9"/>
              </w:numPr>
              <w:ind w:left="156" w:hanging="15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Three treatments consisted of different flyers, each with a different type of motivational message, enclosed with initial and follow-up mailings.</w:t>
            </w:r>
          </w:p>
          <w:p w:rsidRPr="008A71B9" w:rsidR="00542DA3" w:rsidP="00542DA3" w:rsidRDefault="00542DA3" w14:paraId="628231E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2021 ACES:</w:t>
            </w:r>
          </w:p>
          <w:p w:rsidRPr="008A71B9" w:rsidR="001E4BDA" w:rsidP="00542DA3" w:rsidRDefault="00542DA3" w14:paraId="61BE026E" w14:textId="7412E3DD">
            <w:pPr>
              <w:pStyle w:val="ListParagraph"/>
              <w:numPr>
                <w:ilvl w:val="0"/>
                <w:numId w:val="9"/>
              </w:numPr>
              <w:ind w:left="162" w:hanging="1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For initial mailing, three treatments to new sample cases with 1/3 sheet insert containing graphics and information about respondent portal, uses of data, or both</w:t>
            </w:r>
          </w:p>
        </w:tc>
        <w:tc>
          <w:tcPr>
            <w:tcW w:w="2257" w:type="dxa"/>
          </w:tcPr>
          <w:p w:rsidRPr="008A71B9" w:rsidR="001E4BDA" w:rsidP="001E4BDA" w:rsidRDefault="001E4BDA" w14:paraId="517030F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2015 SAS:</w:t>
            </w:r>
          </w:p>
          <w:p w:rsidRPr="008A71B9" w:rsidR="001E4BDA" w:rsidP="001E4BDA" w:rsidRDefault="001E4BDA" w14:paraId="581463DA" w14:textId="77777777">
            <w:pPr>
              <w:numPr>
                <w:ilvl w:val="0"/>
                <w:numId w:val="6"/>
              </w:numPr>
              <w:ind w:left="113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No statistically significant effect of flyers on check-in rates amongst prior NR or respondents.</w:t>
            </w:r>
          </w:p>
          <w:p w:rsidRPr="008A71B9" w:rsidR="001E4BDA" w:rsidP="001E4BDA" w:rsidRDefault="001E4BDA" w14:paraId="21478B66" w14:textId="77777777">
            <w:pPr>
              <w:numPr>
                <w:ilvl w:val="0"/>
                <w:numId w:val="6"/>
              </w:numPr>
              <w:ind w:left="113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Some inconsistent, small statistically significant improvements in check-in rates or response times for different flyers amongst different subgroups.</w:t>
            </w:r>
          </w:p>
        </w:tc>
        <w:tc>
          <w:tcPr>
            <w:tcW w:w="2728" w:type="dxa"/>
            <w:gridSpan w:val="2"/>
            <w:hideMark/>
          </w:tcPr>
          <w:p w:rsidRPr="008A71B9" w:rsidR="001E4BDA" w:rsidP="001E4BDA" w:rsidRDefault="003736B8" w14:paraId="50BB7C6E" w14:textId="18E2B5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TBD, pending results of 2021 ACES research.</w:t>
            </w:r>
            <w:r w:rsidRPr="008A71B9" w:rsidR="001E4BDA">
              <w:rPr>
                <w:rFonts w:ascii="Times New Roman" w:hAnsi="Times New Roman"/>
                <w:szCs w:val="24"/>
              </w:rPr>
              <w:t xml:space="preserve">  Including flyers in all 2015 SAS mail contacts did not improve overall response.  Mixed results of different flyers with different industry subgroups</w:t>
            </w:r>
            <w:r w:rsidRPr="008A71B9" w:rsidR="009C658D">
              <w:rPr>
                <w:rFonts w:ascii="Times New Roman" w:hAnsi="Times New Roman"/>
                <w:szCs w:val="24"/>
              </w:rPr>
              <w:t xml:space="preserve"> are</w:t>
            </w:r>
            <w:r w:rsidRPr="008A71B9" w:rsidR="001E4BDA">
              <w:rPr>
                <w:rFonts w:ascii="Times New Roman" w:hAnsi="Times New Roman"/>
                <w:szCs w:val="24"/>
              </w:rPr>
              <w:t xml:space="preserve"> inefficient and not cost effective to implement in production.</w:t>
            </w:r>
          </w:p>
        </w:tc>
      </w:tr>
      <w:tr w:rsidRPr="008A71B9" w:rsidR="001E4BDA" w:rsidTr="00546C85" w14:paraId="5CDEBCA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  <w:shd w:val="clear" w:color="auto" w:fill="F2F2F2" w:themeFill="background1" w:themeFillShade="F2"/>
          </w:tcPr>
          <w:p w:rsidRPr="008A71B9" w:rsidR="001E4BDA" w:rsidP="001E4BDA" w:rsidRDefault="001E4BDA" w14:paraId="30193B85" w14:textId="5DBFE87A">
            <w:pPr>
              <w:rPr>
                <w:rFonts w:ascii="Times New Roman" w:hAnsi="Times New Roman"/>
                <w:i/>
                <w:szCs w:val="24"/>
              </w:rPr>
            </w:pPr>
            <w:r w:rsidRPr="008A71B9">
              <w:rPr>
                <w:rFonts w:ascii="Times New Roman" w:hAnsi="Times New Roman"/>
                <w:i/>
                <w:szCs w:val="24"/>
              </w:rPr>
              <w:t xml:space="preserve">Due date reminder </w:t>
            </w:r>
            <w:r w:rsidRPr="008A71B9">
              <w:rPr>
                <w:rFonts w:ascii="Times New Roman" w:hAnsi="Times New Roman"/>
                <w:i/>
                <w:szCs w:val="24"/>
                <w:vertAlign w:val="superscript"/>
              </w:rPr>
              <w:t>2</w:t>
            </w:r>
          </w:p>
        </w:tc>
        <w:tc>
          <w:tcPr>
            <w:tcW w:w="3143" w:type="dxa"/>
            <w:gridSpan w:val="2"/>
            <w:shd w:val="clear" w:color="auto" w:fill="F2F2F2" w:themeFill="background1" w:themeFillShade="F2"/>
          </w:tcPr>
          <w:p w:rsidRPr="008A71B9" w:rsidR="001E4BDA" w:rsidP="001E4BDA" w:rsidRDefault="001E4BDA" w14:paraId="26468AAE" w14:textId="46016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SQ-CLASS (2014 2</w:t>
            </w:r>
            <w:r w:rsidRPr="008A71B9">
              <w:rPr>
                <w:rFonts w:ascii="Times New Roman" w:hAnsi="Times New Roman"/>
                <w:szCs w:val="24"/>
                <w:vertAlign w:val="superscript"/>
              </w:rPr>
              <w:t>nd</w:t>
            </w:r>
            <w:r w:rsidRPr="008A71B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A71B9">
              <w:rPr>
                <w:rFonts w:ascii="Times New Roman" w:hAnsi="Times New Roman"/>
                <w:szCs w:val="24"/>
              </w:rPr>
              <w:t>qtr</w:t>
            </w:r>
            <w:proofErr w:type="spellEnd"/>
            <w:r w:rsidRPr="008A71B9">
              <w:rPr>
                <w:rFonts w:ascii="Times New Roman" w:hAnsi="Times New Roman"/>
                <w:szCs w:val="24"/>
              </w:rPr>
              <w:t>):</w:t>
            </w:r>
          </w:p>
          <w:p w:rsidRPr="008A71B9" w:rsidR="001E4BDA" w:rsidP="001E4BDA" w:rsidRDefault="001E4BDA" w14:paraId="7B430070" w14:textId="6CD75F96">
            <w:pPr>
              <w:numPr>
                <w:ilvl w:val="0"/>
                <w:numId w:val="9"/>
              </w:numPr>
              <w:ind w:left="156" w:hanging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Reminder letter mailed 3 weeks prior to due date</w:t>
            </w:r>
          </w:p>
          <w:p w:rsidRPr="008A71B9" w:rsidR="001E4BDA" w:rsidP="001E4BDA" w:rsidRDefault="001E4BDA" w14:paraId="5474B09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2014 ARTS:</w:t>
            </w:r>
          </w:p>
          <w:p w:rsidRPr="008A71B9" w:rsidR="001E4BDA" w:rsidP="001E4BDA" w:rsidRDefault="001E4BDA" w14:paraId="530D1895" w14:textId="1BA84E7B">
            <w:pPr>
              <w:pStyle w:val="ListParagraph"/>
              <w:numPr>
                <w:ilvl w:val="0"/>
                <w:numId w:val="9"/>
              </w:numPr>
              <w:ind w:left="156" w:hanging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Reminder letter mailed 2 weeks prior to due date</w:t>
            </w:r>
          </w:p>
        </w:tc>
        <w:tc>
          <w:tcPr>
            <w:tcW w:w="2257" w:type="dxa"/>
            <w:shd w:val="clear" w:color="auto" w:fill="F2F2F2" w:themeFill="background1" w:themeFillShade="F2"/>
          </w:tcPr>
          <w:p w:rsidRPr="008A71B9" w:rsidR="001E4BDA" w:rsidP="001E4BDA" w:rsidRDefault="001E4BDA" w14:paraId="3874FFF8" w14:textId="22D777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Improved timeliness and statistically significant increase in response maintained through to the end of the collection period.</w:t>
            </w:r>
          </w:p>
        </w:tc>
        <w:tc>
          <w:tcPr>
            <w:tcW w:w="2728" w:type="dxa"/>
            <w:gridSpan w:val="2"/>
            <w:shd w:val="clear" w:color="auto" w:fill="F2F2F2" w:themeFill="background1" w:themeFillShade="F2"/>
          </w:tcPr>
          <w:p w:rsidRPr="008A71B9" w:rsidR="001E4BDA" w:rsidP="001E4BDA" w:rsidRDefault="001E4BDA" w14:paraId="7B8C9FE3" w14:textId="7FBC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 xml:space="preserve">Yes. Improved check-in rate and increased timeliness of response provides cost savings, reducing cases requiring more expensive follow-up (e.g., certified mail and telephone follow-up). </w:t>
            </w:r>
          </w:p>
        </w:tc>
      </w:tr>
      <w:tr w:rsidRPr="008A71B9" w:rsidR="003736B8" w:rsidTr="004C4D61" w14:paraId="64B9D3A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gridSpan w:val="2"/>
          </w:tcPr>
          <w:p w:rsidRPr="008A71B9" w:rsidR="001E4BDA" w:rsidP="001E4BDA" w:rsidRDefault="001E4BDA" w14:paraId="3D959B5B" w14:textId="5EEB008B">
            <w:pPr>
              <w:rPr>
                <w:rFonts w:ascii="Times New Roman" w:hAnsi="Times New Roman"/>
                <w:i/>
                <w:szCs w:val="24"/>
              </w:rPr>
            </w:pPr>
            <w:r w:rsidRPr="008A71B9">
              <w:rPr>
                <w:rFonts w:ascii="Times New Roman" w:hAnsi="Times New Roman"/>
                <w:i/>
                <w:szCs w:val="24"/>
              </w:rPr>
              <w:t xml:space="preserve">Accelerated follow-up with and without due date reminder </w:t>
            </w:r>
            <w:r w:rsidRPr="008A71B9">
              <w:rPr>
                <w:rFonts w:ascii="Times New Roman" w:hAnsi="Times New Roman"/>
                <w:i/>
                <w:szCs w:val="24"/>
                <w:vertAlign w:val="superscript"/>
              </w:rPr>
              <w:t>2</w:t>
            </w:r>
          </w:p>
        </w:tc>
        <w:tc>
          <w:tcPr>
            <w:tcW w:w="3060" w:type="dxa"/>
          </w:tcPr>
          <w:p w:rsidRPr="008A71B9" w:rsidR="001E4BDA" w:rsidP="001E4BDA" w:rsidRDefault="001E4BDA" w14:paraId="7880B47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2014 ARTS:</w:t>
            </w:r>
          </w:p>
          <w:p w:rsidRPr="008A71B9" w:rsidR="001E4BDA" w:rsidP="001E4BDA" w:rsidRDefault="001E4BDA" w14:paraId="7C98A04E" w14:textId="77777777">
            <w:pPr>
              <w:numPr>
                <w:ilvl w:val="0"/>
                <w:numId w:val="2"/>
              </w:numPr>
              <w:ind w:left="156" w:hanging="15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1</w:t>
            </w:r>
            <w:r w:rsidRPr="008A71B9">
              <w:rPr>
                <w:rFonts w:ascii="Times New Roman" w:hAnsi="Times New Roman"/>
                <w:szCs w:val="24"/>
                <w:vertAlign w:val="superscript"/>
              </w:rPr>
              <w:t>st</w:t>
            </w:r>
            <w:r w:rsidRPr="008A71B9">
              <w:rPr>
                <w:rFonts w:ascii="Times New Roman" w:hAnsi="Times New Roman"/>
                <w:szCs w:val="24"/>
              </w:rPr>
              <w:t xml:space="preserve"> nonresponse post-due-date follow-up reminder letter mailed 2 weeks earlier than traditional mail follow-up</w:t>
            </w:r>
          </w:p>
          <w:p w:rsidRPr="008A71B9" w:rsidR="001E4BDA" w:rsidP="001E4BDA" w:rsidRDefault="001E4BDA" w14:paraId="2F75C4B5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7" w:type="dxa"/>
          </w:tcPr>
          <w:p w:rsidRPr="008A71B9" w:rsidR="001E4BDA" w:rsidP="001E4BDA" w:rsidRDefault="001E4BDA" w14:paraId="540814A4" w14:textId="064AD7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Improved timeliness and statistically significant increase in response maintained through to the end of the collection period.</w:t>
            </w:r>
          </w:p>
        </w:tc>
        <w:tc>
          <w:tcPr>
            <w:tcW w:w="2728" w:type="dxa"/>
            <w:gridSpan w:val="2"/>
          </w:tcPr>
          <w:p w:rsidRPr="008A71B9" w:rsidR="001E4BDA" w:rsidP="001E4BDA" w:rsidRDefault="001E4BDA" w14:paraId="550CBCF5" w14:textId="53C288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Yes. Improved check-in rate and increased timeliness of response provides cost savings, reducing cases requiring more expensive follow-up (e.g., certified mail and telephone follow-up).</w:t>
            </w:r>
          </w:p>
        </w:tc>
      </w:tr>
      <w:tr w:rsidRPr="008A71B9" w:rsidR="00546C85" w:rsidTr="004C4D61" w14:paraId="7D20D3A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  <w:shd w:val="clear" w:color="auto" w:fill="F2F2F2" w:themeFill="background1" w:themeFillShade="F2"/>
            <w:hideMark/>
          </w:tcPr>
          <w:p w:rsidRPr="008A71B9" w:rsidR="00546C85" w:rsidP="004C4D61" w:rsidRDefault="00546C85" w14:paraId="1D7B3E22" w14:textId="77777777">
            <w:pPr>
              <w:rPr>
                <w:rFonts w:ascii="Times New Roman" w:hAnsi="Times New Roman"/>
                <w:i/>
                <w:szCs w:val="24"/>
              </w:rPr>
            </w:pPr>
            <w:r w:rsidRPr="008A71B9">
              <w:rPr>
                <w:rFonts w:ascii="Times New Roman" w:hAnsi="Times New Roman"/>
                <w:i/>
                <w:szCs w:val="24"/>
              </w:rPr>
              <w:lastRenderedPageBreak/>
              <w:t xml:space="preserve">Red ink on envelopes </w:t>
            </w:r>
            <w:r w:rsidRPr="008A71B9">
              <w:rPr>
                <w:rFonts w:ascii="Times New Roman" w:hAnsi="Times New Roman"/>
                <w:i/>
                <w:szCs w:val="24"/>
                <w:vertAlign w:val="superscript"/>
              </w:rPr>
              <w:t>2</w:t>
            </w:r>
          </w:p>
        </w:tc>
        <w:tc>
          <w:tcPr>
            <w:tcW w:w="3143" w:type="dxa"/>
            <w:gridSpan w:val="2"/>
            <w:shd w:val="clear" w:color="auto" w:fill="F2F2F2" w:themeFill="background1" w:themeFillShade="F2"/>
          </w:tcPr>
          <w:p w:rsidRPr="008A71B9" w:rsidR="00546C85" w:rsidP="004C4D61" w:rsidRDefault="00546C85" w14:paraId="1C0B631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2014 AWTS:</w:t>
            </w:r>
          </w:p>
          <w:p w:rsidRPr="008A71B9" w:rsidR="00546C85" w:rsidP="004C4D61" w:rsidRDefault="00546C85" w14:paraId="7BE425F0" w14:textId="27BEDBA8">
            <w:pPr>
              <w:numPr>
                <w:ilvl w:val="0"/>
                <w:numId w:val="2"/>
              </w:numPr>
              <w:ind w:left="156" w:hanging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Using red ink versus standard black ink for imprinted due date / past due notice on the envelope.  Applied in initial mail and all follow-up reminders.</w:t>
            </w:r>
          </w:p>
          <w:p w:rsidRPr="008A71B9" w:rsidR="00546C85" w:rsidP="004C4D61" w:rsidRDefault="00546C85" w14:paraId="7A90732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  <w:p w:rsidRPr="008A71B9" w:rsidR="00546C85" w:rsidP="004C4D61" w:rsidRDefault="00546C85" w14:paraId="129F837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43" w:type="dxa"/>
            <w:gridSpan w:val="2"/>
            <w:shd w:val="clear" w:color="auto" w:fill="F2F2F2" w:themeFill="background1" w:themeFillShade="F2"/>
          </w:tcPr>
          <w:p w:rsidRPr="008A71B9" w:rsidR="00546C85" w:rsidP="004C4D61" w:rsidRDefault="00546C85" w14:paraId="0C82C79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Overall difference in check-in rates not statistically significant. However, statistically significant interaction effects of red ink treatment with selected subgroups.</w:t>
            </w:r>
          </w:p>
          <w:p w:rsidRPr="008A71B9" w:rsidR="00546C85" w:rsidP="004C4D61" w:rsidRDefault="00546C85" w14:paraId="102FCC84" w14:textId="77777777">
            <w:pPr>
              <w:ind w:left="2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42" w:type="dxa"/>
            <w:shd w:val="clear" w:color="auto" w:fill="F2F2F2" w:themeFill="background1" w:themeFillShade="F2"/>
            <w:hideMark/>
          </w:tcPr>
          <w:p w:rsidRPr="008A71B9" w:rsidR="00546C85" w:rsidP="004C4D61" w:rsidRDefault="00546C85" w14:paraId="14C5A39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Yes.  Using red ink for imprinted due date / past due notices on envelopes appears to improve response rates among certain subgroups, particularly prior NRs, without reducing response from other subgroups, and it is cost neutral.</w:t>
            </w:r>
          </w:p>
        </w:tc>
      </w:tr>
      <w:tr w:rsidRPr="008A71B9" w:rsidR="00BC3628" w:rsidTr="004C4D61" w14:paraId="3DC932F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</w:tcPr>
          <w:p w:rsidRPr="008A71B9" w:rsidR="003736B8" w:rsidP="004C4D61" w:rsidRDefault="003736B8" w14:paraId="54336F67" w14:textId="77777777">
            <w:pPr>
              <w:rPr>
                <w:rFonts w:ascii="Times New Roman" w:hAnsi="Times New Roman"/>
                <w:i/>
                <w:szCs w:val="24"/>
              </w:rPr>
            </w:pPr>
            <w:r w:rsidRPr="008A71B9">
              <w:rPr>
                <w:rFonts w:ascii="Times New Roman" w:hAnsi="Times New Roman"/>
                <w:i/>
                <w:szCs w:val="24"/>
              </w:rPr>
              <w:t>Half-page envelope size</w:t>
            </w:r>
            <w:r w:rsidRPr="008A71B9">
              <w:rPr>
                <w:rStyle w:val="FootnoteReference"/>
                <w:rFonts w:ascii="Times New Roman" w:hAnsi="Times New Roman"/>
                <w:i/>
                <w:szCs w:val="24"/>
              </w:rPr>
              <w:footnoteReference w:id="2"/>
            </w:r>
          </w:p>
        </w:tc>
        <w:tc>
          <w:tcPr>
            <w:tcW w:w="3143" w:type="dxa"/>
            <w:gridSpan w:val="2"/>
          </w:tcPr>
          <w:p w:rsidRPr="008A71B9" w:rsidR="003736B8" w:rsidP="004C4D61" w:rsidRDefault="003736B8" w14:paraId="5445925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2015 ARTS:</w:t>
            </w:r>
          </w:p>
          <w:p w:rsidRPr="008A71B9" w:rsidR="003736B8" w:rsidP="004C4D61" w:rsidRDefault="003736B8" w14:paraId="0C0CF2B9" w14:textId="73CE422D">
            <w:pPr>
              <w:numPr>
                <w:ilvl w:val="0"/>
                <w:numId w:val="3"/>
              </w:numPr>
              <w:ind w:left="156" w:hanging="15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Findings from focus groups with past E</w:t>
            </w:r>
            <w:r w:rsidRPr="008A71B9" w:rsidR="007A420C">
              <w:rPr>
                <w:rFonts w:ascii="Times New Roman" w:hAnsi="Times New Roman"/>
                <w:szCs w:val="24"/>
              </w:rPr>
              <w:t xml:space="preserve">conomic </w:t>
            </w:r>
            <w:r w:rsidRPr="008A71B9">
              <w:rPr>
                <w:rFonts w:ascii="Times New Roman" w:hAnsi="Times New Roman"/>
                <w:szCs w:val="24"/>
              </w:rPr>
              <w:t>C</w:t>
            </w:r>
            <w:r w:rsidRPr="008A71B9" w:rsidR="007A420C">
              <w:rPr>
                <w:rFonts w:ascii="Times New Roman" w:hAnsi="Times New Roman"/>
                <w:szCs w:val="24"/>
              </w:rPr>
              <w:t>ensus</w:t>
            </w:r>
            <w:r w:rsidRPr="008A71B9">
              <w:rPr>
                <w:rFonts w:ascii="Times New Roman" w:hAnsi="Times New Roman"/>
                <w:szCs w:val="24"/>
              </w:rPr>
              <w:t xml:space="preserve"> respondents suggested that a larger envelope may get respondents’ attention more effectively.  </w:t>
            </w:r>
          </w:p>
          <w:p w:rsidRPr="008A71B9" w:rsidR="003736B8" w:rsidP="004C4D61" w:rsidRDefault="003736B8" w14:paraId="67C85D20" w14:textId="77777777">
            <w:pPr>
              <w:numPr>
                <w:ilvl w:val="0"/>
                <w:numId w:val="3"/>
              </w:numPr>
              <w:ind w:left="156" w:hanging="15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Half-page-sized envelopes compared with standard letter-sized envelopes used in all mail contacts.</w:t>
            </w:r>
          </w:p>
        </w:tc>
        <w:tc>
          <w:tcPr>
            <w:tcW w:w="2443" w:type="dxa"/>
            <w:gridSpan w:val="2"/>
          </w:tcPr>
          <w:p w:rsidRPr="008A71B9" w:rsidR="003736B8" w:rsidP="004C4D61" w:rsidRDefault="003736B8" w14:paraId="0CA97E2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Some statistically significant results, but of no practical significance:</w:t>
            </w:r>
          </w:p>
          <w:p w:rsidRPr="008A71B9" w:rsidR="003736B8" w:rsidP="004C4D61" w:rsidRDefault="003736B8" w14:paraId="5D5861DF" w14:textId="77777777">
            <w:pPr>
              <w:numPr>
                <w:ilvl w:val="0"/>
                <w:numId w:val="5"/>
              </w:numPr>
              <w:ind w:left="165" w:hanging="16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Statistical significance in check-in rates only at due date, but not at close-out.</w:t>
            </w:r>
          </w:p>
          <w:p w:rsidRPr="008A71B9" w:rsidR="003736B8" w:rsidP="004C4D61" w:rsidRDefault="003736B8" w14:paraId="22AF9675" w14:textId="77777777">
            <w:pPr>
              <w:numPr>
                <w:ilvl w:val="0"/>
                <w:numId w:val="5"/>
              </w:numPr>
              <w:ind w:left="165" w:hanging="16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 xml:space="preserve">Statistically significant difference of ½ day between mail-out and receipt.   </w:t>
            </w:r>
          </w:p>
        </w:tc>
        <w:tc>
          <w:tcPr>
            <w:tcW w:w="2542" w:type="dxa"/>
          </w:tcPr>
          <w:p w:rsidRPr="008A71B9" w:rsidR="003736B8" w:rsidP="004C4D61" w:rsidRDefault="003736B8" w14:paraId="452BD64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No.  Differences, if any, in overall or subgroup response of no practical significance.</w:t>
            </w:r>
          </w:p>
        </w:tc>
      </w:tr>
      <w:tr w:rsidRPr="008A71B9" w:rsidR="00BC3628" w:rsidTr="004C4D61" w14:paraId="389BA6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  <w:hideMark/>
          </w:tcPr>
          <w:p w:rsidRPr="008A71B9" w:rsidR="001E4BDA" w:rsidP="001E4BDA" w:rsidRDefault="001E4BDA" w14:paraId="40564AE9" w14:textId="77777777">
            <w:pPr>
              <w:rPr>
                <w:rFonts w:ascii="Times New Roman" w:hAnsi="Times New Roman"/>
                <w:i/>
                <w:szCs w:val="24"/>
              </w:rPr>
            </w:pPr>
            <w:r w:rsidRPr="008A71B9">
              <w:rPr>
                <w:rFonts w:ascii="Times New Roman" w:hAnsi="Times New Roman"/>
                <w:i/>
                <w:szCs w:val="24"/>
              </w:rPr>
              <w:t>Pressure-sealed envelopes</w:t>
            </w:r>
          </w:p>
        </w:tc>
        <w:tc>
          <w:tcPr>
            <w:tcW w:w="3143" w:type="dxa"/>
            <w:gridSpan w:val="2"/>
          </w:tcPr>
          <w:p w:rsidRPr="008A71B9" w:rsidR="001E4BDA" w:rsidP="001E4BDA" w:rsidRDefault="001E4BDA" w14:paraId="4984B5E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2016 SQ-Class, Refile, ASM:</w:t>
            </w:r>
          </w:p>
          <w:p w:rsidRPr="008A71B9" w:rsidR="001E4BDA" w:rsidP="001E4BDA" w:rsidRDefault="001E4BDA" w14:paraId="0343DA15" w14:textId="638EF399">
            <w:pPr>
              <w:numPr>
                <w:ilvl w:val="0"/>
                <w:numId w:val="4"/>
              </w:numPr>
              <w:ind w:left="246" w:hanging="2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Proposed use for due-date reminders and follow-up mailings. They will not be used for initial mailout.</w:t>
            </w:r>
          </w:p>
          <w:p w:rsidRPr="008A71B9" w:rsidR="001E4BDA" w:rsidP="001E4BDA" w:rsidRDefault="001E4BDA" w14:paraId="5D1205B5" w14:textId="77777777">
            <w:pPr>
              <w:numPr>
                <w:ilvl w:val="0"/>
                <w:numId w:val="4"/>
              </w:numPr>
              <w:ind w:left="246" w:hanging="2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Using pressure-sealed will reduce time lag between producing mailing lists and mailout, improving ability to remove responding cases prior to mailout.</w:t>
            </w:r>
          </w:p>
          <w:p w:rsidRPr="008A71B9" w:rsidR="001E4BDA" w:rsidP="001E4BDA" w:rsidRDefault="001E4BDA" w14:paraId="1771E5CC" w14:textId="77777777">
            <w:pPr>
              <w:numPr>
                <w:ilvl w:val="0"/>
                <w:numId w:val="4"/>
              </w:numPr>
              <w:ind w:left="246" w:hanging="2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Concern that pressure-sealed envelopes may be perceived as “junk” mail and discarded or ignored, reducing effectiveness.</w:t>
            </w:r>
          </w:p>
        </w:tc>
        <w:tc>
          <w:tcPr>
            <w:tcW w:w="2443" w:type="dxa"/>
            <w:gridSpan w:val="2"/>
          </w:tcPr>
          <w:p w:rsidRPr="008A71B9" w:rsidR="001E4BDA" w:rsidP="001E4BDA" w:rsidRDefault="00212598" w14:paraId="078982F4" w14:textId="2847C3BA">
            <w:pPr>
              <w:ind w:hanging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Using pressure-sealed envelopes gained processing improvements with minimal effect on check-in rates</w:t>
            </w:r>
          </w:p>
        </w:tc>
        <w:tc>
          <w:tcPr>
            <w:tcW w:w="2542" w:type="dxa"/>
            <w:hideMark/>
          </w:tcPr>
          <w:p w:rsidRPr="008A71B9" w:rsidR="001E4BDA" w:rsidP="001E4BDA" w:rsidRDefault="00212598" w14:paraId="417174D3" w14:textId="1B372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Yes. Pressure-sealed mailings will be used for the Due Date Reminder and standard mail follow-ups to improve processing of the large workloads.</w:t>
            </w:r>
          </w:p>
        </w:tc>
      </w:tr>
      <w:tr w:rsidRPr="008A71B9" w:rsidR="001E4BDA" w:rsidTr="00B215C4" w14:paraId="20EC06B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  <w:tcBorders>
              <w:bottom w:val="single" w:color="84B3DF" w:themeColor="accent1" w:themeTint="BF" w:sz="8" w:space="0"/>
            </w:tcBorders>
            <w:shd w:val="clear" w:color="auto" w:fill="F2F2F2" w:themeFill="background1" w:themeFillShade="F2"/>
            <w:hideMark/>
          </w:tcPr>
          <w:p w:rsidRPr="008A71B9" w:rsidR="001E4BDA" w:rsidP="001E4BDA" w:rsidRDefault="001E4BDA" w14:paraId="3C0B4118" w14:textId="190E928A">
            <w:pPr>
              <w:rPr>
                <w:rFonts w:ascii="Times New Roman" w:hAnsi="Times New Roman"/>
                <w:i/>
                <w:szCs w:val="24"/>
              </w:rPr>
            </w:pPr>
            <w:r w:rsidRPr="008A71B9">
              <w:rPr>
                <w:rFonts w:ascii="Times New Roman" w:hAnsi="Times New Roman"/>
                <w:i/>
                <w:szCs w:val="24"/>
              </w:rPr>
              <w:lastRenderedPageBreak/>
              <w:t>Certified mail for targeted subsample of SU nonrespondents</w:t>
            </w:r>
            <w:r w:rsidRPr="008A71B9">
              <w:rPr>
                <w:rStyle w:val="FootnoteReference"/>
                <w:rFonts w:ascii="Times New Roman" w:hAnsi="Times New Roman"/>
                <w:i/>
                <w:szCs w:val="24"/>
              </w:rPr>
              <w:footnoteReference w:id="3"/>
            </w:r>
          </w:p>
        </w:tc>
        <w:tc>
          <w:tcPr>
            <w:tcW w:w="3143" w:type="dxa"/>
            <w:gridSpan w:val="2"/>
            <w:tcBorders>
              <w:bottom w:val="single" w:color="84B3DF" w:themeColor="accent1" w:themeTint="BF" w:sz="8" w:space="0"/>
            </w:tcBorders>
            <w:shd w:val="clear" w:color="auto" w:fill="F2F2F2" w:themeFill="background1" w:themeFillShade="F2"/>
          </w:tcPr>
          <w:p w:rsidRPr="008A71B9" w:rsidR="001E4BDA" w:rsidP="001E4BDA" w:rsidRDefault="001E4BDA" w14:paraId="27EEED1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2012 Economic Census:</w:t>
            </w:r>
          </w:p>
          <w:p w:rsidRPr="008A71B9" w:rsidR="001E4BDA" w:rsidP="001E4BDA" w:rsidRDefault="001E4BDA" w14:paraId="02D80CFA" w14:textId="21201D7C">
            <w:pPr>
              <w:numPr>
                <w:ilvl w:val="0"/>
                <w:numId w:val="4"/>
              </w:numPr>
              <w:ind w:left="246" w:hanging="2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Compare non-certified</w:t>
            </w:r>
            <w:r w:rsidRPr="008A71B9" w:rsidR="00DE77D3">
              <w:rPr>
                <w:rFonts w:ascii="Times New Roman" w:hAnsi="Times New Roman"/>
                <w:szCs w:val="24"/>
              </w:rPr>
              <w:t xml:space="preserve"> to certified </w:t>
            </w:r>
            <w:r w:rsidRPr="008A71B9">
              <w:rPr>
                <w:rFonts w:ascii="Times New Roman" w:hAnsi="Times New Roman"/>
                <w:szCs w:val="24"/>
              </w:rPr>
              <w:t>mail follow-up for 2</w:t>
            </w:r>
            <w:r w:rsidRPr="008A71B9">
              <w:rPr>
                <w:rFonts w:ascii="Times New Roman" w:hAnsi="Times New Roman"/>
                <w:szCs w:val="24"/>
                <w:vertAlign w:val="superscript"/>
              </w:rPr>
              <w:t xml:space="preserve">nd </w:t>
            </w:r>
            <w:r w:rsidRPr="008A71B9">
              <w:rPr>
                <w:rFonts w:ascii="Times New Roman" w:hAnsi="Times New Roman"/>
                <w:szCs w:val="24"/>
              </w:rPr>
              <w:t>or 3</w:t>
            </w:r>
            <w:r w:rsidRPr="008A71B9">
              <w:rPr>
                <w:rFonts w:ascii="Times New Roman" w:hAnsi="Times New Roman"/>
                <w:szCs w:val="24"/>
                <w:vertAlign w:val="superscript"/>
              </w:rPr>
              <w:t>rd</w:t>
            </w:r>
            <w:r w:rsidRPr="008A71B9">
              <w:rPr>
                <w:rFonts w:ascii="Times New Roman" w:hAnsi="Times New Roman"/>
                <w:szCs w:val="24"/>
              </w:rPr>
              <w:t xml:space="preserve"> Follow-up</w:t>
            </w:r>
            <w:r w:rsidRPr="008A71B9" w:rsidR="00DE77D3">
              <w:rPr>
                <w:rFonts w:ascii="Times New Roman" w:hAnsi="Times New Roman"/>
                <w:szCs w:val="24"/>
              </w:rPr>
              <w:t xml:space="preserve"> to improve response by communicating legitimacy of official survey request</w:t>
            </w:r>
          </w:p>
          <w:p w:rsidRPr="008A71B9" w:rsidR="001E4BDA" w:rsidP="001E4BDA" w:rsidRDefault="001E4BDA" w14:paraId="16CD01B3" w14:textId="374F93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 xml:space="preserve">2015 ASM: </w:t>
            </w:r>
          </w:p>
          <w:p w:rsidRPr="008A71B9" w:rsidR="001E4BDA" w:rsidP="001E4BDA" w:rsidRDefault="001E4BDA" w14:paraId="51C6EA8C" w14:textId="6278D126">
            <w:pPr>
              <w:numPr>
                <w:ilvl w:val="0"/>
                <w:numId w:val="4"/>
              </w:numPr>
              <w:ind w:left="246" w:hanging="2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Compare use of certified mail follow-up amongst a targeted subsample of SUs with non-targeted SU</w:t>
            </w:r>
            <w:r w:rsidRPr="008A71B9" w:rsidR="00F6258D">
              <w:rPr>
                <w:rFonts w:ascii="Times New Roman" w:hAnsi="Times New Roman"/>
                <w:szCs w:val="24"/>
              </w:rPr>
              <w:t>s getting</w:t>
            </w:r>
            <w:r w:rsidRPr="008A71B9">
              <w:rPr>
                <w:rFonts w:ascii="Times New Roman" w:hAnsi="Times New Roman"/>
                <w:szCs w:val="24"/>
              </w:rPr>
              <w:t xml:space="preserve"> </w:t>
            </w:r>
            <w:r w:rsidRPr="008A71B9" w:rsidR="007A420C">
              <w:rPr>
                <w:rFonts w:ascii="Times New Roman" w:hAnsi="Times New Roman"/>
                <w:szCs w:val="24"/>
              </w:rPr>
              <w:t>non-certified</w:t>
            </w:r>
            <w:r w:rsidRPr="008A71B9">
              <w:rPr>
                <w:rFonts w:ascii="Times New Roman" w:hAnsi="Times New Roman"/>
                <w:szCs w:val="24"/>
              </w:rPr>
              <w:t xml:space="preserve"> </w:t>
            </w:r>
            <w:r w:rsidRPr="008A71B9" w:rsidR="00F6258D">
              <w:rPr>
                <w:rFonts w:ascii="Times New Roman" w:hAnsi="Times New Roman"/>
                <w:szCs w:val="24"/>
              </w:rPr>
              <w:t>follow-up</w:t>
            </w:r>
            <w:r w:rsidRPr="008A71B9">
              <w:rPr>
                <w:rFonts w:ascii="Times New Roman" w:hAnsi="Times New Roman"/>
                <w:szCs w:val="24"/>
              </w:rPr>
              <w:t>.</w:t>
            </w:r>
          </w:p>
          <w:p w:rsidRPr="008A71B9" w:rsidR="001E4BDA" w:rsidP="001E4BDA" w:rsidRDefault="001E4BDA" w14:paraId="5720D161" w14:textId="6A33D1ED">
            <w:pPr>
              <w:numPr>
                <w:ilvl w:val="0"/>
                <w:numId w:val="4"/>
              </w:numPr>
              <w:ind w:left="246" w:hanging="2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 xml:space="preserve">Compare approach that combines the two approaches (targeted certified plus </w:t>
            </w:r>
            <w:r w:rsidRPr="008A71B9" w:rsidR="00F6258D">
              <w:rPr>
                <w:rFonts w:ascii="Times New Roman" w:hAnsi="Times New Roman"/>
                <w:szCs w:val="24"/>
              </w:rPr>
              <w:t xml:space="preserve">non-certified </w:t>
            </w:r>
            <w:r w:rsidRPr="008A71B9">
              <w:rPr>
                <w:rFonts w:ascii="Times New Roman" w:hAnsi="Times New Roman"/>
                <w:szCs w:val="24"/>
              </w:rPr>
              <w:t>for the remainder) with full</w:t>
            </w:r>
            <w:r w:rsidRPr="008A71B9" w:rsidR="00F6258D">
              <w:rPr>
                <w:rFonts w:ascii="Times New Roman" w:hAnsi="Times New Roman"/>
                <w:szCs w:val="24"/>
              </w:rPr>
              <w:t xml:space="preserve"> non-certified </w:t>
            </w:r>
            <w:r w:rsidRPr="008A71B9">
              <w:rPr>
                <w:rFonts w:ascii="Times New Roman" w:hAnsi="Times New Roman"/>
                <w:szCs w:val="24"/>
              </w:rPr>
              <w:t xml:space="preserve">follow-up </w:t>
            </w:r>
            <w:r w:rsidRPr="008A71B9" w:rsidR="00F6258D">
              <w:rPr>
                <w:rFonts w:ascii="Times New Roman" w:hAnsi="Times New Roman"/>
                <w:szCs w:val="24"/>
              </w:rPr>
              <w:t>for all nonresponding SUs</w:t>
            </w:r>
            <w:r w:rsidRPr="008A71B9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257" w:type="dxa"/>
            <w:tcBorders>
              <w:bottom w:val="single" w:color="84B3DF" w:themeColor="accent1" w:themeTint="BF" w:sz="8" w:space="0"/>
            </w:tcBorders>
            <w:shd w:val="clear" w:color="auto" w:fill="F2F2F2" w:themeFill="background1" w:themeFillShade="F2"/>
          </w:tcPr>
          <w:p w:rsidRPr="008A71B9" w:rsidR="001E4BDA" w:rsidP="001E4BDA" w:rsidRDefault="001E4BDA" w14:paraId="7B1710E2" w14:textId="77777777">
            <w:pPr>
              <w:ind w:lef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2012 Economic Census:</w:t>
            </w:r>
          </w:p>
          <w:p w:rsidRPr="008A71B9" w:rsidR="001E4BDA" w:rsidP="001E4BDA" w:rsidRDefault="001E4BDA" w14:paraId="24EC0B3B" w14:textId="349ECF14">
            <w:pPr>
              <w:pStyle w:val="ListParagraph"/>
              <w:numPr>
                <w:ilvl w:val="0"/>
                <w:numId w:val="12"/>
              </w:numPr>
              <w:ind w:left="72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Certified follow-up increased check-in rate more than non-certified</w:t>
            </w:r>
          </w:p>
          <w:p w:rsidRPr="008A71B9" w:rsidR="001E4BDA" w:rsidP="001E4BDA" w:rsidRDefault="001E4BDA" w14:paraId="4B7B0C54" w14:textId="7E01C4E8">
            <w:pPr>
              <w:pStyle w:val="ListParagraph"/>
              <w:numPr>
                <w:ilvl w:val="0"/>
                <w:numId w:val="12"/>
              </w:numPr>
              <w:ind w:left="72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More cost effective to use certified in later follow-up</w:t>
            </w:r>
          </w:p>
          <w:p w:rsidRPr="008A71B9" w:rsidR="001E4BDA" w:rsidP="001E4BDA" w:rsidRDefault="001E4BDA" w14:paraId="35356F5F" w14:textId="77777777">
            <w:pPr>
              <w:ind w:lef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2015 ASM:</w:t>
            </w:r>
          </w:p>
          <w:p w:rsidRPr="008A71B9" w:rsidR="001E4BDA" w:rsidP="001E4BDA" w:rsidRDefault="001E4BDA" w14:paraId="210D4BE2" w14:textId="67D017FF">
            <w:pPr>
              <w:pStyle w:val="ListParagraph"/>
              <w:numPr>
                <w:ilvl w:val="0"/>
                <w:numId w:val="11"/>
              </w:numPr>
              <w:ind w:left="72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 xml:space="preserve">The combined approach improved data quality. </w:t>
            </w:r>
          </w:p>
        </w:tc>
        <w:tc>
          <w:tcPr>
            <w:tcW w:w="2728" w:type="dxa"/>
            <w:gridSpan w:val="2"/>
            <w:tcBorders>
              <w:bottom w:val="single" w:color="84B3DF" w:themeColor="accent1" w:themeTint="BF" w:sz="8" w:space="0"/>
            </w:tcBorders>
            <w:shd w:val="clear" w:color="auto" w:fill="F2F2F2" w:themeFill="background1" w:themeFillShade="F2"/>
            <w:hideMark/>
          </w:tcPr>
          <w:p w:rsidRPr="008A71B9" w:rsidR="001E4BDA" w:rsidP="001E4BDA" w:rsidRDefault="00F6258D" w14:paraId="1624E82F" w14:textId="39803922">
            <w:pPr>
              <w:ind w:left="-10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 xml:space="preserve">Yes. </w:t>
            </w:r>
            <w:r w:rsidRPr="008A71B9" w:rsidR="001E4BDA">
              <w:rPr>
                <w:rFonts w:ascii="Times New Roman" w:hAnsi="Times New Roman"/>
                <w:szCs w:val="24"/>
              </w:rPr>
              <w:t>Targeted certified mail follow-up will be implemented amongst nonresponding SUs for the 3</w:t>
            </w:r>
            <w:r w:rsidRPr="008A71B9" w:rsidR="001E4BDA">
              <w:rPr>
                <w:rFonts w:ascii="Times New Roman" w:hAnsi="Times New Roman"/>
                <w:szCs w:val="24"/>
                <w:vertAlign w:val="superscript"/>
              </w:rPr>
              <w:t>rd</w:t>
            </w:r>
            <w:r w:rsidRPr="008A71B9" w:rsidR="001E4BDA">
              <w:rPr>
                <w:rFonts w:ascii="Times New Roman" w:hAnsi="Times New Roman"/>
                <w:szCs w:val="24"/>
              </w:rPr>
              <w:t xml:space="preserve"> Follow-up.  The nonresponding SUs not selected to receive a certified follow-up will be sent </w:t>
            </w:r>
            <w:r w:rsidRPr="008A71B9">
              <w:rPr>
                <w:rFonts w:ascii="Times New Roman" w:hAnsi="Times New Roman"/>
                <w:szCs w:val="24"/>
              </w:rPr>
              <w:t xml:space="preserve">non-certified </w:t>
            </w:r>
            <w:r w:rsidRPr="008A71B9" w:rsidR="001E4BDA">
              <w:rPr>
                <w:rFonts w:ascii="Times New Roman" w:hAnsi="Times New Roman"/>
                <w:szCs w:val="24"/>
              </w:rPr>
              <w:t>follow-up letters. </w:t>
            </w:r>
          </w:p>
        </w:tc>
      </w:tr>
      <w:tr w:rsidRPr="008A71B9" w:rsidR="00BC3628" w:rsidTr="004C4D61" w14:paraId="260DA3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</w:tcPr>
          <w:p w:rsidRPr="008A71B9" w:rsidR="001E4BDA" w:rsidP="001E4BDA" w:rsidRDefault="001E4BDA" w14:paraId="39B1D592" w14:textId="6A541DF5">
            <w:pPr>
              <w:rPr>
                <w:rFonts w:ascii="Times New Roman" w:hAnsi="Times New Roman"/>
                <w:i/>
                <w:szCs w:val="24"/>
              </w:rPr>
            </w:pPr>
            <w:r w:rsidRPr="008A71B9">
              <w:rPr>
                <w:rFonts w:ascii="Times New Roman" w:hAnsi="Times New Roman"/>
                <w:i/>
                <w:szCs w:val="24"/>
              </w:rPr>
              <w:t xml:space="preserve">Priority </w:t>
            </w:r>
            <w:r w:rsidRPr="008A71B9" w:rsidR="005E78B2">
              <w:rPr>
                <w:rFonts w:ascii="Times New Roman" w:hAnsi="Times New Roman"/>
                <w:i/>
                <w:szCs w:val="24"/>
              </w:rPr>
              <w:t>C</w:t>
            </w:r>
            <w:r w:rsidRPr="008A71B9">
              <w:rPr>
                <w:rFonts w:ascii="Times New Roman" w:hAnsi="Times New Roman"/>
                <w:i/>
                <w:szCs w:val="24"/>
              </w:rPr>
              <w:t xml:space="preserve">lass </w:t>
            </w:r>
            <w:r w:rsidRPr="008A71B9" w:rsidR="005E78B2">
              <w:rPr>
                <w:rFonts w:ascii="Times New Roman" w:hAnsi="Times New Roman"/>
                <w:i/>
                <w:szCs w:val="24"/>
              </w:rPr>
              <w:t>F</w:t>
            </w:r>
            <w:r w:rsidRPr="008A71B9">
              <w:rPr>
                <w:rFonts w:ascii="Times New Roman" w:hAnsi="Times New Roman"/>
                <w:i/>
                <w:szCs w:val="24"/>
              </w:rPr>
              <w:t>ollow-up</w:t>
            </w:r>
          </w:p>
        </w:tc>
        <w:tc>
          <w:tcPr>
            <w:tcW w:w="3143" w:type="dxa"/>
            <w:gridSpan w:val="2"/>
          </w:tcPr>
          <w:p w:rsidRPr="008A71B9" w:rsidR="001E4BDA" w:rsidP="001E4BDA" w:rsidRDefault="005E78B2" w14:paraId="03BE68FA" w14:textId="5A818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2020 ABS, 202</w:t>
            </w:r>
            <w:r w:rsidRPr="008A71B9" w:rsidR="00F90529">
              <w:rPr>
                <w:rFonts w:ascii="Times New Roman" w:hAnsi="Times New Roman"/>
                <w:szCs w:val="24"/>
              </w:rPr>
              <w:t>2 ABS</w:t>
            </w:r>
            <w:r w:rsidRPr="008A71B9">
              <w:rPr>
                <w:rFonts w:ascii="Times New Roman" w:hAnsi="Times New Roman"/>
                <w:szCs w:val="24"/>
              </w:rPr>
              <w:t>:</w:t>
            </w:r>
          </w:p>
          <w:p w:rsidRPr="008A71B9" w:rsidR="005E78B2" w:rsidP="00EF5CE8" w:rsidRDefault="005E78B2" w14:paraId="765B1D99" w14:textId="16CC0C80">
            <w:pPr>
              <w:pStyle w:val="ListParagraph"/>
              <w:numPr>
                <w:ilvl w:val="0"/>
                <w:numId w:val="11"/>
              </w:numPr>
              <w:ind w:left="246" w:hanging="2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Compare Priority Class to Certified Class to reduce Undeliverable As Addressed</w:t>
            </w:r>
            <w:r w:rsidRPr="008A71B9" w:rsidR="00743003">
              <w:rPr>
                <w:rFonts w:ascii="Times New Roman" w:hAnsi="Times New Roman"/>
                <w:szCs w:val="24"/>
              </w:rPr>
              <w:t xml:space="preserve"> (UAA)</w:t>
            </w:r>
            <w:r w:rsidRPr="008A71B9" w:rsidR="00DE77D3">
              <w:rPr>
                <w:rFonts w:ascii="Times New Roman" w:hAnsi="Times New Roman"/>
                <w:szCs w:val="24"/>
              </w:rPr>
              <w:t xml:space="preserve"> </w:t>
            </w:r>
            <w:r w:rsidRPr="008A71B9" w:rsidR="00F90529">
              <w:rPr>
                <w:rFonts w:ascii="Times New Roman" w:hAnsi="Times New Roman"/>
                <w:szCs w:val="24"/>
              </w:rPr>
              <w:t xml:space="preserve">rate </w:t>
            </w:r>
            <w:r w:rsidRPr="008A71B9" w:rsidR="00DE77D3">
              <w:rPr>
                <w:rFonts w:ascii="Times New Roman" w:hAnsi="Times New Roman"/>
                <w:szCs w:val="24"/>
              </w:rPr>
              <w:t>while still</w:t>
            </w:r>
            <w:r w:rsidRPr="008A71B9">
              <w:rPr>
                <w:rFonts w:ascii="Times New Roman" w:hAnsi="Times New Roman"/>
                <w:szCs w:val="24"/>
              </w:rPr>
              <w:t xml:space="preserve"> </w:t>
            </w:r>
            <w:r w:rsidRPr="008A71B9" w:rsidR="00DE77D3">
              <w:rPr>
                <w:rFonts w:ascii="Times New Roman" w:hAnsi="Times New Roman"/>
                <w:szCs w:val="24"/>
              </w:rPr>
              <w:t>gaining</w:t>
            </w:r>
            <w:r w:rsidRPr="008A71B9">
              <w:rPr>
                <w:rFonts w:ascii="Times New Roman" w:hAnsi="Times New Roman"/>
                <w:szCs w:val="24"/>
              </w:rPr>
              <w:t xml:space="preserve"> response by communicating legitimacy of official survey request</w:t>
            </w:r>
          </w:p>
        </w:tc>
        <w:tc>
          <w:tcPr>
            <w:tcW w:w="2443" w:type="dxa"/>
            <w:gridSpan w:val="2"/>
          </w:tcPr>
          <w:p w:rsidRPr="008A71B9" w:rsidR="00743003" w:rsidP="001E4BDA" w:rsidRDefault="00743003" w14:paraId="0A10C624" w14:textId="77777777">
            <w:pPr>
              <w:ind w:hanging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2020 ABS:</w:t>
            </w:r>
          </w:p>
          <w:p w:rsidRPr="008A71B9" w:rsidR="00743003" w:rsidP="00743003" w:rsidRDefault="00743003" w14:paraId="097AC472" w14:textId="1A36218D">
            <w:pPr>
              <w:pStyle w:val="ListParagraph"/>
              <w:numPr>
                <w:ilvl w:val="0"/>
                <w:numId w:val="11"/>
              </w:numPr>
              <w:ind w:left="72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Certified had higher check-in rate but higher UAA rate</w:t>
            </w:r>
          </w:p>
          <w:p w:rsidRPr="008A71B9" w:rsidR="00743003" w:rsidP="00743003" w:rsidRDefault="00743003" w14:paraId="76ACC526" w14:textId="77777777">
            <w:pPr>
              <w:pStyle w:val="ListParagraph"/>
              <w:numPr>
                <w:ilvl w:val="0"/>
                <w:numId w:val="11"/>
              </w:numPr>
              <w:ind w:left="72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Certified completed sooner after mailing</w:t>
            </w:r>
          </w:p>
          <w:p w:rsidRPr="008A71B9" w:rsidR="001E4BDA" w:rsidDel="00C5139C" w:rsidP="00743003" w:rsidRDefault="00743003" w14:paraId="208B7570" w14:textId="40B136DD">
            <w:pPr>
              <w:pStyle w:val="ListParagraph"/>
              <w:numPr>
                <w:ilvl w:val="0"/>
                <w:numId w:val="11"/>
              </w:numPr>
              <w:ind w:left="72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 xml:space="preserve">Given the UAA rates, have concerns about </w:t>
            </w:r>
            <w:r w:rsidRPr="008A71B9" w:rsidR="00B9015E">
              <w:rPr>
                <w:rFonts w:ascii="Times New Roman" w:hAnsi="Times New Roman"/>
                <w:szCs w:val="24"/>
              </w:rPr>
              <w:t>c</w:t>
            </w:r>
            <w:r w:rsidRPr="008A71B9">
              <w:rPr>
                <w:rFonts w:ascii="Times New Roman" w:hAnsi="Times New Roman"/>
                <w:szCs w:val="24"/>
              </w:rPr>
              <w:t>ertified, especially during COVID</w:t>
            </w:r>
          </w:p>
        </w:tc>
        <w:tc>
          <w:tcPr>
            <w:tcW w:w="2542" w:type="dxa"/>
          </w:tcPr>
          <w:p w:rsidRPr="008A71B9" w:rsidR="001E4BDA" w:rsidDel="00C5139C" w:rsidP="001E4BDA" w:rsidRDefault="00743003" w14:paraId="21251119" w14:textId="67A6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TBD, pending results of 202</w:t>
            </w:r>
            <w:r w:rsidRPr="008A71B9" w:rsidR="00F90529">
              <w:rPr>
                <w:rFonts w:ascii="Times New Roman" w:hAnsi="Times New Roman"/>
                <w:szCs w:val="24"/>
              </w:rPr>
              <w:t>2 ABS</w:t>
            </w:r>
            <w:r w:rsidRPr="008A71B9">
              <w:rPr>
                <w:rFonts w:ascii="Times New Roman" w:hAnsi="Times New Roman"/>
                <w:szCs w:val="24"/>
              </w:rPr>
              <w:t xml:space="preserve"> research</w:t>
            </w:r>
          </w:p>
        </w:tc>
      </w:tr>
      <w:tr w:rsidRPr="008A71B9" w:rsidR="00BC3628" w:rsidTr="002E7DD2" w14:paraId="443408E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</w:tcPr>
          <w:p w:rsidRPr="008A71B9" w:rsidR="001E4BDA" w:rsidP="001E4BDA" w:rsidRDefault="001E4BDA" w14:paraId="069840D0" w14:textId="66CD423E">
            <w:pPr>
              <w:rPr>
                <w:rFonts w:ascii="Times New Roman" w:hAnsi="Times New Roman"/>
                <w:i/>
                <w:szCs w:val="24"/>
              </w:rPr>
            </w:pPr>
            <w:r w:rsidRPr="008A71B9">
              <w:rPr>
                <w:rFonts w:ascii="Times New Roman" w:hAnsi="Times New Roman"/>
                <w:i/>
                <w:szCs w:val="24"/>
              </w:rPr>
              <w:t xml:space="preserve">Office of General Counsel </w:t>
            </w:r>
            <w:r w:rsidRPr="008A71B9" w:rsidR="00183BFB">
              <w:rPr>
                <w:rFonts w:ascii="Times New Roman" w:hAnsi="Times New Roman"/>
                <w:i/>
                <w:szCs w:val="24"/>
              </w:rPr>
              <w:t xml:space="preserve">(OGC) </w:t>
            </w:r>
            <w:r w:rsidRPr="008A71B9">
              <w:rPr>
                <w:rFonts w:ascii="Times New Roman" w:hAnsi="Times New Roman"/>
                <w:i/>
                <w:szCs w:val="24"/>
              </w:rPr>
              <w:t>Letter</w:t>
            </w:r>
          </w:p>
        </w:tc>
        <w:tc>
          <w:tcPr>
            <w:tcW w:w="3143" w:type="dxa"/>
            <w:gridSpan w:val="2"/>
          </w:tcPr>
          <w:p w:rsidRPr="008A71B9" w:rsidR="006B27F8" w:rsidP="001E4BDA" w:rsidRDefault="006B27F8" w14:paraId="6E0E1FD6" w14:textId="4CBC10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2020 COS/ASM:</w:t>
            </w:r>
          </w:p>
          <w:p w:rsidRPr="008A71B9" w:rsidR="006B27F8" w:rsidP="001E4BDA" w:rsidRDefault="006B27F8" w14:paraId="65C0CA0B" w14:textId="2DA249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2x2 experimental design</w:t>
            </w:r>
          </w:p>
          <w:p w:rsidRPr="008A71B9" w:rsidR="006B27F8" w:rsidP="006B27F8" w:rsidRDefault="006B27F8" w14:paraId="306B59A0" w14:textId="230B1686">
            <w:pPr>
              <w:pStyle w:val="ListParagraph"/>
              <w:numPr>
                <w:ilvl w:val="0"/>
                <w:numId w:val="11"/>
              </w:numPr>
              <w:ind w:left="246" w:hanging="2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 xml:space="preserve">Compare follow-up letter from OGC to letter that emphasizes legal reporting requirements without referring to OGC </w:t>
            </w:r>
          </w:p>
          <w:p w:rsidRPr="008A71B9" w:rsidR="001E4BDA" w:rsidP="00183BFB" w:rsidRDefault="006B27F8" w14:paraId="19FB318C" w14:textId="3643BFFD">
            <w:pPr>
              <w:pStyle w:val="ListParagraph"/>
              <w:numPr>
                <w:ilvl w:val="0"/>
                <w:numId w:val="11"/>
              </w:numPr>
              <w:ind w:left="246" w:hanging="2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Compare 1</w:t>
            </w:r>
            <w:r w:rsidRPr="008A71B9">
              <w:rPr>
                <w:rFonts w:ascii="Times New Roman" w:hAnsi="Times New Roman"/>
                <w:szCs w:val="24"/>
                <w:vertAlign w:val="superscript"/>
              </w:rPr>
              <w:t>st</w:t>
            </w:r>
            <w:r w:rsidRPr="008A71B9">
              <w:rPr>
                <w:rFonts w:ascii="Times New Roman" w:hAnsi="Times New Roman"/>
                <w:szCs w:val="24"/>
              </w:rPr>
              <w:t xml:space="preserve"> Class to Priority Class</w:t>
            </w:r>
          </w:p>
        </w:tc>
        <w:tc>
          <w:tcPr>
            <w:tcW w:w="2443" w:type="dxa"/>
            <w:gridSpan w:val="2"/>
          </w:tcPr>
          <w:p w:rsidRPr="008A71B9" w:rsidR="001E4BDA" w:rsidDel="00C5139C" w:rsidP="001E4BDA" w:rsidRDefault="004A6F1B" w14:paraId="54A8945C" w14:textId="04B71F19">
            <w:pPr>
              <w:ind w:hanging="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TBD</w:t>
            </w:r>
          </w:p>
        </w:tc>
        <w:tc>
          <w:tcPr>
            <w:tcW w:w="2542" w:type="dxa"/>
          </w:tcPr>
          <w:p w:rsidRPr="008A71B9" w:rsidR="001E4BDA" w:rsidDel="00C5139C" w:rsidP="001E4BDA" w:rsidRDefault="004A6F1B" w14:paraId="625078B8" w14:textId="6C7C6A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TBD, pending results of 2020 COS/ASM research</w:t>
            </w:r>
          </w:p>
        </w:tc>
      </w:tr>
      <w:tr w:rsidRPr="008A71B9" w:rsidR="00BC3628" w:rsidTr="002503D6" w14:paraId="767A57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</w:tcPr>
          <w:p w:rsidRPr="008A71B9" w:rsidR="001E4BDA" w:rsidP="001E4BDA" w:rsidRDefault="001E4BDA" w14:paraId="767D61D2" w14:textId="0C0D15CD">
            <w:pPr>
              <w:rPr>
                <w:rFonts w:ascii="Times New Roman" w:hAnsi="Times New Roman"/>
                <w:i/>
                <w:szCs w:val="24"/>
              </w:rPr>
            </w:pPr>
            <w:r w:rsidRPr="008A71B9">
              <w:rPr>
                <w:rFonts w:ascii="Times New Roman" w:hAnsi="Times New Roman"/>
                <w:i/>
                <w:szCs w:val="24"/>
              </w:rPr>
              <w:lastRenderedPageBreak/>
              <w:t>Email follow-up sequence</w:t>
            </w:r>
          </w:p>
        </w:tc>
        <w:tc>
          <w:tcPr>
            <w:tcW w:w="3143" w:type="dxa"/>
            <w:gridSpan w:val="2"/>
          </w:tcPr>
          <w:p w:rsidRPr="008A71B9" w:rsidR="00183BFB" w:rsidP="00183BFB" w:rsidRDefault="00183BFB" w14:paraId="73E62DBC" w14:textId="7F35A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2020 ARTS:</w:t>
            </w:r>
          </w:p>
          <w:p w:rsidRPr="008A71B9" w:rsidR="001E4BDA" w:rsidP="00EF5CE8" w:rsidRDefault="00F90529" w14:paraId="431EA65B" w14:textId="4BD22127">
            <w:pPr>
              <w:pStyle w:val="ListParagraph"/>
              <w:numPr>
                <w:ilvl w:val="0"/>
                <w:numId w:val="11"/>
              </w:num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3 panels to explore i</w:t>
            </w:r>
            <w:r w:rsidRPr="008A71B9" w:rsidR="00953011">
              <w:rPr>
                <w:rFonts w:ascii="Times New Roman" w:hAnsi="Times New Roman"/>
                <w:szCs w:val="24"/>
              </w:rPr>
              <w:t>mpact of conducting Mail and then Email Follow-up, Email and then Mail Follow-up, or Mail and Email Follow-up concurrently</w:t>
            </w:r>
          </w:p>
        </w:tc>
        <w:tc>
          <w:tcPr>
            <w:tcW w:w="2443" w:type="dxa"/>
            <w:gridSpan w:val="2"/>
          </w:tcPr>
          <w:p w:rsidRPr="008A71B9" w:rsidR="001D6772" w:rsidP="001D6772" w:rsidRDefault="001D6772" w14:paraId="45CBF31C" w14:textId="7D36781E">
            <w:pPr>
              <w:pStyle w:val="ListParagraph"/>
              <w:numPr>
                <w:ilvl w:val="0"/>
                <w:numId w:val="11"/>
              </w:numPr>
              <w:ind w:left="162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Email then mail panel had earlier bumps in response</w:t>
            </w:r>
            <w:r w:rsidRPr="008A71B9" w:rsidR="001C31FE">
              <w:rPr>
                <w:rFonts w:ascii="Times New Roman" w:hAnsi="Times New Roman"/>
                <w:szCs w:val="24"/>
              </w:rPr>
              <w:t xml:space="preserve">, </w:t>
            </w:r>
            <w:r w:rsidRPr="008A71B9">
              <w:rPr>
                <w:rFonts w:ascii="Times New Roman" w:hAnsi="Times New Roman"/>
                <w:szCs w:val="24"/>
              </w:rPr>
              <w:t>requir</w:t>
            </w:r>
            <w:r w:rsidRPr="008A71B9" w:rsidR="001C31FE">
              <w:rPr>
                <w:rFonts w:ascii="Times New Roman" w:hAnsi="Times New Roman"/>
                <w:szCs w:val="24"/>
              </w:rPr>
              <w:t>ing</w:t>
            </w:r>
            <w:r w:rsidRPr="008A71B9">
              <w:rPr>
                <w:rFonts w:ascii="Times New Roman" w:hAnsi="Times New Roman"/>
                <w:szCs w:val="24"/>
              </w:rPr>
              <w:t xml:space="preserve"> fewer mail packages</w:t>
            </w:r>
          </w:p>
          <w:p w:rsidRPr="008A71B9" w:rsidR="001D6772" w:rsidP="001D6772" w:rsidRDefault="001D6772" w14:paraId="60C03FF4" w14:textId="151B4F5E">
            <w:pPr>
              <w:pStyle w:val="ListParagraph"/>
              <w:numPr>
                <w:ilvl w:val="0"/>
                <w:numId w:val="11"/>
              </w:numPr>
              <w:ind w:left="162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 xml:space="preserve">Mail &amp; email together panel showed larger bumps than panel with mail then </w:t>
            </w:r>
            <w:r w:rsidRPr="008A71B9" w:rsidR="001C31FE">
              <w:rPr>
                <w:rFonts w:ascii="Times New Roman" w:hAnsi="Times New Roman"/>
                <w:szCs w:val="24"/>
              </w:rPr>
              <w:t>e</w:t>
            </w:r>
            <w:r w:rsidRPr="008A71B9">
              <w:rPr>
                <w:rFonts w:ascii="Times New Roman" w:hAnsi="Times New Roman"/>
                <w:szCs w:val="24"/>
              </w:rPr>
              <w:t>mail</w:t>
            </w:r>
          </w:p>
          <w:p w:rsidRPr="008A71B9" w:rsidR="001E4BDA" w:rsidDel="00C5139C" w:rsidP="001C31FE" w:rsidRDefault="001D6772" w14:paraId="09E0CEA6" w14:textId="32AA2A70">
            <w:pPr>
              <w:pStyle w:val="ListParagraph"/>
              <w:numPr>
                <w:ilvl w:val="0"/>
                <w:numId w:val="11"/>
              </w:numPr>
              <w:ind w:left="162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 xml:space="preserve">Response </w:t>
            </w:r>
            <w:r w:rsidRPr="008A71B9" w:rsidR="001C31FE">
              <w:rPr>
                <w:rFonts w:ascii="Times New Roman" w:hAnsi="Times New Roman"/>
                <w:szCs w:val="24"/>
              </w:rPr>
              <w:t xml:space="preserve">for </w:t>
            </w:r>
            <w:r w:rsidRPr="008A71B9">
              <w:rPr>
                <w:rFonts w:ascii="Times New Roman" w:hAnsi="Times New Roman"/>
                <w:szCs w:val="24"/>
              </w:rPr>
              <w:t xml:space="preserve">3 panels </w:t>
            </w:r>
            <w:r w:rsidRPr="008A71B9" w:rsidR="001C31FE">
              <w:rPr>
                <w:rFonts w:ascii="Times New Roman" w:hAnsi="Times New Roman"/>
                <w:szCs w:val="24"/>
              </w:rPr>
              <w:t xml:space="preserve">converged and </w:t>
            </w:r>
            <w:r w:rsidRPr="008A71B9">
              <w:rPr>
                <w:rFonts w:ascii="Times New Roman" w:hAnsi="Times New Roman"/>
                <w:szCs w:val="24"/>
              </w:rPr>
              <w:t>end</w:t>
            </w:r>
            <w:r w:rsidRPr="008A71B9" w:rsidR="001C31FE">
              <w:rPr>
                <w:rFonts w:ascii="Times New Roman" w:hAnsi="Times New Roman"/>
                <w:szCs w:val="24"/>
              </w:rPr>
              <w:t>ed</w:t>
            </w:r>
            <w:r w:rsidRPr="008A71B9">
              <w:rPr>
                <w:rFonts w:ascii="Times New Roman" w:hAnsi="Times New Roman"/>
                <w:szCs w:val="24"/>
              </w:rPr>
              <w:t xml:space="preserve"> about </w:t>
            </w:r>
            <w:r w:rsidRPr="008A71B9" w:rsidR="001C31FE">
              <w:rPr>
                <w:rFonts w:ascii="Times New Roman" w:hAnsi="Times New Roman"/>
                <w:szCs w:val="24"/>
              </w:rPr>
              <w:t xml:space="preserve">the </w:t>
            </w:r>
            <w:r w:rsidRPr="008A71B9">
              <w:rPr>
                <w:rFonts w:ascii="Times New Roman" w:hAnsi="Times New Roman"/>
                <w:szCs w:val="24"/>
              </w:rPr>
              <w:t>same</w:t>
            </w:r>
          </w:p>
        </w:tc>
        <w:tc>
          <w:tcPr>
            <w:tcW w:w="2542" w:type="dxa"/>
          </w:tcPr>
          <w:p w:rsidRPr="008A71B9" w:rsidR="001E4BDA" w:rsidDel="00C5139C" w:rsidP="001E4BDA" w:rsidRDefault="00E8590B" w14:paraId="106464C3" w14:textId="701A5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Use email then mail follow-up sequence.</w:t>
            </w:r>
            <w:r w:rsidRPr="008A71B9" w:rsidR="001C31FE">
              <w:rPr>
                <w:rFonts w:ascii="Times New Roman" w:hAnsi="Times New Roman"/>
                <w:szCs w:val="24"/>
              </w:rPr>
              <w:t xml:space="preserve"> Different email follow-up sequences ended with about the same response but email than mail had earlier bump in response</w:t>
            </w:r>
            <w:r w:rsidRPr="008A71B9">
              <w:rPr>
                <w:rFonts w:ascii="Times New Roman" w:hAnsi="Times New Roman"/>
                <w:szCs w:val="24"/>
              </w:rPr>
              <w:t>, reducing</w:t>
            </w:r>
            <w:r w:rsidRPr="008A71B9" w:rsidR="001C31FE">
              <w:rPr>
                <w:rFonts w:ascii="Times New Roman" w:hAnsi="Times New Roman"/>
                <w:szCs w:val="24"/>
              </w:rPr>
              <w:t xml:space="preserve"> </w:t>
            </w:r>
            <w:r w:rsidRPr="008A71B9">
              <w:rPr>
                <w:rFonts w:ascii="Times New Roman" w:hAnsi="Times New Roman"/>
                <w:szCs w:val="24"/>
              </w:rPr>
              <w:t>mail follow-up and costs</w:t>
            </w:r>
            <w:r w:rsidRPr="008A71B9" w:rsidR="001C31FE">
              <w:rPr>
                <w:rFonts w:ascii="Times New Roman" w:hAnsi="Times New Roman"/>
                <w:szCs w:val="24"/>
              </w:rPr>
              <w:t>.</w:t>
            </w:r>
          </w:p>
        </w:tc>
      </w:tr>
      <w:tr w:rsidRPr="008A71B9" w:rsidR="00B215C4" w:rsidTr="002503D6" w14:paraId="5924B86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</w:tcPr>
          <w:p w:rsidRPr="008A71B9" w:rsidR="001E4BDA" w:rsidP="001E4BDA" w:rsidRDefault="001E4BDA" w14:paraId="3C20823F" w14:textId="1340DE51">
            <w:pPr>
              <w:rPr>
                <w:rFonts w:ascii="Times New Roman" w:hAnsi="Times New Roman"/>
                <w:i/>
                <w:szCs w:val="24"/>
              </w:rPr>
            </w:pPr>
            <w:r w:rsidRPr="008A71B9">
              <w:rPr>
                <w:rFonts w:ascii="Times New Roman" w:hAnsi="Times New Roman"/>
                <w:i/>
                <w:szCs w:val="24"/>
              </w:rPr>
              <w:t>Opting into email preference</w:t>
            </w:r>
          </w:p>
        </w:tc>
        <w:tc>
          <w:tcPr>
            <w:tcW w:w="3143" w:type="dxa"/>
            <w:gridSpan w:val="2"/>
          </w:tcPr>
          <w:p w:rsidRPr="008A71B9" w:rsidR="001E4BDA" w:rsidP="001E4BDA" w:rsidRDefault="00D22C9C" w14:paraId="5114575A" w14:textId="0A7DB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 xml:space="preserve">2020 </w:t>
            </w:r>
            <w:r w:rsidRPr="008A71B9" w:rsidR="00EF5CE8">
              <w:rPr>
                <w:rFonts w:ascii="Times New Roman" w:hAnsi="Times New Roman"/>
                <w:szCs w:val="24"/>
              </w:rPr>
              <w:t>ACES,</w:t>
            </w:r>
            <w:r w:rsidRPr="008A71B9">
              <w:rPr>
                <w:rFonts w:ascii="Times New Roman" w:hAnsi="Times New Roman"/>
                <w:szCs w:val="24"/>
              </w:rPr>
              <w:t>2021 COS/ASM:</w:t>
            </w:r>
          </w:p>
          <w:p w:rsidRPr="008A71B9" w:rsidR="00D22C9C" w:rsidP="00EF5CE8" w:rsidRDefault="00CF20C6" w14:paraId="72E00D3B" w14:textId="6A7C965A">
            <w:pPr>
              <w:pStyle w:val="ListParagraph"/>
              <w:numPr>
                <w:ilvl w:val="0"/>
                <w:numId w:val="16"/>
              </w:numPr>
              <w:ind w:left="15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 xml:space="preserve">Full-scale pilot to allow respondents to </w:t>
            </w:r>
            <w:r w:rsidRPr="008A71B9" w:rsidR="005D64CE">
              <w:rPr>
                <w:rFonts w:ascii="Times New Roman" w:hAnsi="Times New Roman"/>
                <w:szCs w:val="24"/>
              </w:rPr>
              <w:t>choose email as preferred contact method (revert</w:t>
            </w:r>
            <w:r w:rsidRPr="008A71B9">
              <w:rPr>
                <w:rFonts w:ascii="Times New Roman" w:hAnsi="Times New Roman"/>
                <w:szCs w:val="24"/>
              </w:rPr>
              <w:t xml:space="preserve">ing to mail </w:t>
            </w:r>
            <w:r w:rsidRPr="008A71B9" w:rsidR="005D64CE">
              <w:rPr>
                <w:rFonts w:ascii="Times New Roman" w:hAnsi="Times New Roman"/>
                <w:szCs w:val="24"/>
              </w:rPr>
              <w:t>after 2</w:t>
            </w:r>
            <w:r w:rsidRPr="008A71B9" w:rsidR="005D64CE">
              <w:rPr>
                <w:rFonts w:ascii="Times New Roman" w:hAnsi="Times New Roman"/>
                <w:szCs w:val="24"/>
                <w:vertAlign w:val="superscript"/>
              </w:rPr>
              <w:t>nd</w:t>
            </w:r>
            <w:r w:rsidRPr="008A71B9" w:rsidR="005D64CE">
              <w:rPr>
                <w:rFonts w:ascii="Times New Roman" w:hAnsi="Times New Roman"/>
                <w:szCs w:val="24"/>
              </w:rPr>
              <w:t xml:space="preserve"> </w:t>
            </w:r>
            <w:r w:rsidRPr="008A71B9" w:rsidR="002B5D86">
              <w:rPr>
                <w:rFonts w:ascii="Times New Roman" w:hAnsi="Times New Roman"/>
                <w:szCs w:val="24"/>
              </w:rPr>
              <w:t xml:space="preserve">follow-up </w:t>
            </w:r>
            <w:r w:rsidRPr="008A71B9" w:rsidR="005D64CE">
              <w:rPr>
                <w:rFonts w:ascii="Times New Roman" w:hAnsi="Times New Roman"/>
                <w:szCs w:val="24"/>
              </w:rPr>
              <w:t>if don’t respond)</w:t>
            </w:r>
          </w:p>
          <w:p w:rsidRPr="008A71B9" w:rsidR="00EF5CE8" w:rsidP="001E4BDA" w:rsidRDefault="00EF5CE8" w14:paraId="478C9B0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2021 ACES:</w:t>
            </w:r>
          </w:p>
          <w:p w:rsidRPr="008A71B9" w:rsidR="00543E34" w:rsidP="005D64CE" w:rsidRDefault="00543E34" w14:paraId="7C6EAF83" w14:textId="77777777">
            <w:pPr>
              <w:pStyle w:val="ListParagraph"/>
              <w:numPr>
                <w:ilvl w:val="0"/>
                <w:numId w:val="16"/>
              </w:numPr>
              <w:ind w:left="15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Respondents that have previously opted into email preference will get initial email instead of letter (reverting to mail if don’t respond by due date)</w:t>
            </w:r>
          </w:p>
          <w:p w:rsidRPr="008A71B9" w:rsidR="00EF5CE8" w:rsidP="00B06EEA" w:rsidRDefault="00B06EEA" w14:paraId="46318C85" w14:textId="5551C1A3">
            <w:pPr>
              <w:pStyle w:val="ListParagraph"/>
              <w:numPr>
                <w:ilvl w:val="0"/>
                <w:numId w:val="16"/>
              </w:numPr>
              <w:ind w:left="15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 xml:space="preserve">Continue to </w:t>
            </w:r>
            <w:r w:rsidRPr="008A71B9" w:rsidR="00543E34">
              <w:rPr>
                <w:rFonts w:ascii="Times New Roman" w:hAnsi="Times New Roman"/>
                <w:szCs w:val="24"/>
              </w:rPr>
              <w:t>allow</w:t>
            </w:r>
            <w:r w:rsidRPr="008A71B9">
              <w:rPr>
                <w:rFonts w:ascii="Times New Roman" w:hAnsi="Times New Roman"/>
                <w:szCs w:val="24"/>
              </w:rPr>
              <w:t xml:space="preserve"> </w:t>
            </w:r>
            <w:r w:rsidRPr="008A71B9" w:rsidR="00543E34">
              <w:rPr>
                <w:rFonts w:ascii="Times New Roman" w:hAnsi="Times New Roman"/>
                <w:szCs w:val="24"/>
              </w:rPr>
              <w:t xml:space="preserve">respondents to opt into email only follow-up </w:t>
            </w:r>
          </w:p>
        </w:tc>
        <w:tc>
          <w:tcPr>
            <w:tcW w:w="2443" w:type="dxa"/>
            <w:gridSpan w:val="2"/>
          </w:tcPr>
          <w:p w:rsidRPr="008A71B9" w:rsidR="001E4BDA" w:rsidDel="00C5139C" w:rsidP="001E4BDA" w:rsidRDefault="00B06EEA" w14:paraId="75E897CA" w14:textId="430A14BD">
            <w:pPr>
              <w:ind w:hanging="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TBD</w:t>
            </w:r>
          </w:p>
        </w:tc>
        <w:tc>
          <w:tcPr>
            <w:tcW w:w="2542" w:type="dxa"/>
          </w:tcPr>
          <w:p w:rsidRPr="008A71B9" w:rsidR="001E4BDA" w:rsidDel="00C5139C" w:rsidP="001E4BDA" w:rsidRDefault="00B06EEA" w14:paraId="7714198A" w14:textId="2477AC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TBD, pending results of 2020 and 2021 ACES, 2021 COS/ASM research</w:t>
            </w:r>
          </w:p>
        </w:tc>
      </w:tr>
      <w:tr w:rsidRPr="008A71B9" w:rsidR="00610592" w:rsidTr="004C4D61" w14:paraId="14817D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</w:tcPr>
          <w:p w:rsidRPr="008A71B9" w:rsidR="00610592" w:rsidP="004C4D61" w:rsidRDefault="00610592" w14:paraId="33971E77" w14:textId="77777777">
            <w:pPr>
              <w:rPr>
                <w:rFonts w:ascii="Times New Roman" w:hAnsi="Times New Roman"/>
                <w:i/>
                <w:szCs w:val="24"/>
              </w:rPr>
            </w:pPr>
            <w:r w:rsidRPr="008A71B9">
              <w:rPr>
                <w:rFonts w:ascii="Times New Roman" w:hAnsi="Times New Roman"/>
                <w:i/>
                <w:szCs w:val="24"/>
              </w:rPr>
              <w:t>Follow-up Robocalls</w:t>
            </w:r>
          </w:p>
        </w:tc>
        <w:tc>
          <w:tcPr>
            <w:tcW w:w="3143" w:type="dxa"/>
            <w:gridSpan w:val="2"/>
          </w:tcPr>
          <w:p w:rsidRPr="008A71B9" w:rsidR="00610592" w:rsidP="004C4D61" w:rsidRDefault="00610592" w14:paraId="4778909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2021 COS/ASM:</w:t>
            </w:r>
          </w:p>
          <w:p w:rsidRPr="008A71B9" w:rsidR="00610592" w:rsidP="004C4D61" w:rsidRDefault="00610592" w14:paraId="774F2CF8" w14:textId="77777777">
            <w:pPr>
              <w:pStyle w:val="ListParagraph"/>
              <w:numPr>
                <w:ilvl w:val="0"/>
                <w:numId w:val="11"/>
              </w:num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Full-scale pilot pairs follow-up robocalls with email follow-up prior to TFU</w:t>
            </w:r>
          </w:p>
          <w:p w:rsidRPr="008A71B9" w:rsidR="00610592" w:rsidP="004C4D61" w:rsidRDefault="00610592" w14:paraId="337D109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2021 SAS:</w:t>
            </w:r>
          </w:p>
          <w:p w:rsidRPr="008A71B9" w:rsidR="00610592" w:rsidP="004C4D61" w:rsidRDefault="00610592" w14:paraId="5FF168DC" w14:textId="77777777">
            <w:pPr>
              <w:pStyle w:val="ListParagraph"/>
              <w:numPr>
                <w:ilvl w:val="0"/>
                <w:numId w:val="11"/>
              </w:num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Cases not selected for TFU assigned to 2 panels: 1</w:t>
            </w:r>
            <w:r w:rsidRPr="008A71B9">
              <w:rPr>
                <w:rFonts w:ascii="Times New Roman" w:hAnsi="Times New Roman"/>
                <w:szCs w:val="24"/>
                <w:vertAlign w:val="superscript"/>
              </w:rPr>
              <w:t>st</w:t>
            </w:r>
            <w:r w:rsidRPr="008A71B9">
              <w:rPr>
                <w:rFonts w:ascii="Times New Roman" w:hAnsi="Times New Roman"/>
                <w:szCs w:val="24"/>
              </w:rPr>
              <w:t xml:space="preserve"> pairs Follow-up Robocalls with Email Follow-up and 2</w:t>
            </w:r>
            <w:r w:rsidRPr="008A71B9">
              <w:rPr>
                <w:rFonts w:ascii="Times New Roman" w:hAnsi="Times New Roman"/>
                <w:szCs w:val="24"/>
                <w:vertAlign w:val="superscript"/>
              </w:rPr>
              <w:t>nd</w:t>
            </w:r>
            <w:r w:rsidRPr="008A71B9">
              <w:rPr>
                <w:rFonts w:ascii="Times New Roman" w:hAnsi="Times New Roman"/>
                <w:szCs w:val="24"/>
              </w:rPr>
              <w:t xml:space="preserve"> panel conduct Follow-up Robocalls 2 weeks after Email Follow-up</w:t>
            </w:r>
          </w:p>
        </w:tc>
        <w:tc>
          <w:tcPr>
            <w:tcW w:w="2443" w:type="dxa"/>
            <w:gridSpan w:val="2"/>
          </w:tcPr>
          <w:p w:rsidRPr="008A71B9" w:rsidR="00610592" w:rsidDel="00C5139C" w:rsidP="004C4D61" w:rsidRDefault="00610592" w14:paraId="4B50A620" w14:textId="77777777">
            <w:pPr>
              <w:ind w:hanging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TBD</w:t>
            </w:r>
          </w:p>
        </w:tc>
        <w:tc>
          <w:tcPr>
            <w:tcW w:w="2542" w:type="dxa"/>
          </w:tcPr>
          <w:p w:rsidRPr="008A71B9" w:rsidR="00610592" w:rsidDel="00C5139C" w:rsidP="004C4D61" w:rsidRDefault="00610592" w14:paraId="7001EA2C" w14:textId="67BF2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TBD, pending results of 2021 COS/ASM</w:t>
            </w:r>
            <w:r w:rsidRPr="008A71B9" w:rsidR="00CE1D5E">
              <w:rPr>
                <w:rFonts w:ascii="Times New Roman" w:hAnsi="Times New Roman"/>
                <w:szCs w:val="24"/>
              </w:rPr>
              <w:t xml:space="preserve"> and</w:t>
            </w:r>
            <w:r w:rsidRPr="008A71B9">
              <w:rPr>
                <w:rFonts w:ascii="Times New Roman" w:hAnsi="Times New Roman"/>
                <w:szCs w:val="24"/>
              </w:rPr>
              <w:t xml:space="preserve"> SAS research</w:t>
            </w:r>
          </w:p>
        </w:tc>
      </w:tr>
      <w:tr w:rsidRPr="008A71B9" w:rsidR="001F4431" w:rsidTr="004C4D61" w14:paraId="16745F3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</w:tcPr>
          <w:p w:rsidRPr="008A71B9" w:rsidR="00B215C4" w:rsidP="004C4D61" w:rsidRDefault="00B215C4" w14:paraId="04E04D8F" w14:textId="094C38D1">
            <w:pPr>
              <w:rPr>
                <w:rFonts w:ascii="Times New Roman" w:hAnsi="Times New Roman"/>
                <w:i/>
                <w:szCs w:val="24"/>
              </w:rPr>
            </w:pPr>
            <w:r w:rsidRPr="008A71B9">
              <w:rPr>
                <w:rFonts w:ascii="Times New Roman" w:hAnsi="Times New Roman"/>
                <w:i/>
                <w:szCs w:val="24"/>
              </w:rPr>
              <w:lastRenderedPageBreak/>
              <w:t xml:space="preserve">Account </w:t>
            </w:r>
            <w:r w:rsidRPr="008A71B9" w:rsidR="001F259B">
              <w:rPr>
                <w:rFonts w:ascii="Times New Roman" w:hAnsi="Times New Roman"/>
                <w:i/>
                <w:szCs w:val="24"/>
              </w:rPr>
              <w:t>m</w:t>
            </w:r>
            <w:r w:rsidRPr="008A71B9">
              <w:rPr>
                <w:rFonts w:ascii="Times New Roman" w:hAnsi="Times New Roman"/>
                <w:i/>
                <w:szCs w:val="24"/>
              </w:rPr>
              <w:t xml:space="preserve">anagers for </w:t>
            </w:r>
            <w:r w:rsidRPr="008A71B9" w:rsidR="00CE1D5E">
              <w:rPr>
                <w:rFonts w:ascii="Times New Roman" w:hAnsi="Times New Roman"/>
                <w:i/>
                <w:szCs w:val="24"/>
              </w:rPr>
              <w:t xml:space="preserve">selected </w:t>
            </w:r>
            <w:r w:rsidRPr="008A71B9" w:rsidR="001F259B">
              <w:rPr>
                <w:rFonts w:ascii="Times New Roman" w:hAnsi="Times New Roman"/>
                <w:i/>
                <w:szCs w:val="24"/>
              </w:rPr>
              <w:t>m</w:t>
            </w:r>
            <w:r w:rsidRPr="008A71B9">
              <w:rPr>
                <w:rFonts w:ascii="Times New Roman" w:hAnsi="Times New Roman"/>
                <w:i/>
                <w:szCs w:val="24"/>
              </w:rPr>
              <w:t>edium MUs</w:t>
            </w:r>
          </w:p>
        </w:tc>
        <w:tc>
          <w:tcPr>
            <w:tcW w:w="3143" w:type="dxa"/>
            <w:gridSpan w:val="2"/>
          </w:tcPr>
          <w:p w:rsidRPr="008A71B9" w:rsidR="00B215C4" w:rsidP="004C4D61" w:rsidRDefault="00B215C4" w14:paraId="2C0C1A20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2021 COS/ASM:</w:t>
            </w:r>
          </w:p>
          <w:p w:rsidRPr="008A71B9" w:rsidR="001F259B" w:rsidP="004C4D61" w:rsidRDefault="001F259B" w14:paraId="71B818FF" w14:textId="77777777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Expanding Account Manager Program to include selected Medium MUs (in addition to selected Large MUs)</w:t>
            </w:r>
          </w:p>
          <w:p w:rsidRPr="008A71B9" w:rsidR="00B215C4" w:rsidP="004C4D61" w:rsidRDefault="00B215C4" w14:paraId="675319C9" w14:textId="63D43D0F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Single point of contact to provide outstanding customer service</w:t>
            </w:r>
            <w:r w:rsidRPr="008A71B9" w:rsidR="00775DD8">
              <w:rPr>
                <w:rFonts w:ascii="Times New Roman" w:hAnsi="Times New Roman"/>
                <w:szCs w:val="24"/>
              </w:rPr>
              <w:t xml:space="preserve"> </w:t>
            </w:r>
            <w:r w:rsidRPr="008A71B9">
              <w:rPr>
                <w:rFonts w:ascii="Times New Roman" w:hAnsi="Times New Roman"/>
                <w:szCs w:val="24"/>
              </w:rPr>
              <w:t>and create customized respondent reporting arrangements</w:t>
            </w:r>
          </w:p>
        </w:tc>
        <w:tc>
          <w:tcPr>
            <w:tcW w:w="2443" w:type="dxa"/>
            <w:gridSpan w:val="2"/>
          </w:tcPr>
          <w:p w:rsidRPr="008A71B9" w:rsidR="00B215C4" w:rsidDel="00621D7A" w:rsidP="004C4D61" w:rsidRDefault="00050249" w14:paraId="7A111DE4" w14:textId="714AE95C">
            <w:pPr>
              <w:ind w:hanging="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TBD</w:t>
            </w:r>
          </w:p>
        </w:tc>
        <w:tc>
          <w:tcPr>
            <w:tcW w:w="2542" w:type="dxa"/>
          </w:tcPr>
          <w:p w:rsidRPr="008A71B9" w:rsidR="00B215C4" w:rsidDel="00621D7A" w:rsidP="004C4D61" w:rsidRDefault="00050249" w14:paraId="7DB4A6EA" w14:textId="70290E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TBD, pending results of 2021 COS/ASM research</w:t>
            </w:r>
          </w:p>
        </w:tc>
      </w:tr>
      <w:tr w:rsidRPr="008A71B9" w:rsidR="001F259B" w:rsidTr="004C4D61" w14:paraId="45E3D5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</w:tcPr>
          <w:p w:rsidRPr="008A71B9" w:rsidR="001F259B" w:rsidP="004C4D61" w:rsidRDefault="001F259B" w14:paraId="332F2D63" w14:textId="5363E085">
            <w:pPr>
              <w:rPr>
                <w:rFonts w:ascii="Times New Roman" w:hAnsi="Times New Roman"/>
                <w:i/>
                <w:szCs w:val="24"/>
              </w:rPr>
            </w:pPr>
            <w:r w:rsidRPr="008A71B9">
              <w:rPr>
                <w:rFonts w:ascii="Times New Roman" w:hAnsi="Times New Roman"/>
                <w:i/>
                <w:szCs w:val="24"/>
              </w:rPr>
              <w:t>CEO letter for selected large &amp; medium MUs</w:t>
            </w:r>
          </w:p>
        </w:tc>
        <w:tc>
          <w:tcPr>
            <w:tcW w:w="3143" w:type="dxa"/>
            <w:gridSpan w:val="2"/>
          </w:tcPr>
          <w:p w:rsidRPr="008A71B9" w:rsidR="001F259B" w:rsidP="001F259B" w:rsidRDefault="001F259B" w14:paraId="041D9A5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2021 COS/ASM:</w:t>
            </w:r>
          </w:p>
          <w:p w:rsidRPr="008A71B9" w:rsidR="00AC765B" w:rsidP="00050249" w:rsidRDefault="00B353F2" w14:paraId="33ECF087" w14:textId="687C47CE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For selected MUs, 4</w:t>
            </w:r>
            <w:r w:rsidRPr="008A71B9">
              <w:rPr>
                <w:rFonts w:ascii="Times New Roman" w:hAnsi="Times New Roman"/>
                <w:szCs w:val="24"/>
                <w:vertAlign w:val="superscript"/>
              </w:rPr>
              <w:t xml:space="preserve">th </w:t>
            </w:r>
            <w:r w:rsidRPr="008A71B9">
              <w:rPr>
                <w:rFonts w:ascii="Times New Roman" w:hAnsi="Times New Roman"/>
                <w:szCs w:val="24"/>
              </w:rPr>
              <w:t>Follow-up will be letter to CEO instead of OGC letter (some may later get an OGC</w:t>
            </w:r>
            <w:r w:rsidRPr="008A71B9" w:rsidR="00050249">
              <w:rPr>
                <w:rFonts w:ascii="Times New Roman" w:hAnsi="Times New Roman"/>
                <w:szCs w:val="24"/>
              </w:rPr>
              <w:t xml:space="preserve"> letter, if needed)</w:t>
            </w:r>
            <w:r w:rsidRPr="008A71B9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443" w:type="dxa"/>
            <w:gridSpan w:val="2"/>
          </w:tcPr>
          <w:p w:rsidRPr="008A71B9" w:rsidR="001F259B" w:rsidDel="00621D7A" w:rsidP="004C4D61" w:rsidRDefault="00050249" w14:paraId="23D44269" w14:textId="34F14931">
            <w:pPr>
              <w:ind w:hanging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TBD</w:t>
            </w:r>
          </w:p>
        </w:tc>
        <w:tc>
          <w:tcPr>
            <w:tcW w:w="2542" w:type="dxa"/>
          </w:tcPr>
          <w:p w:rsidRPr="008A71B9" w:rsidR="001F259B" w:rsidDel="00621D7A" w:rsidP="004C4D61" w:rsidRDefault="00050249" w14:paraId="2104880B" w14:textId="5EC5A5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TBD, pending results of 2021 COS/ASM research</w:t>
            </w:r>
          </w:p>
        </w:tc>
      </w:tr>
      <w:tr w:rsidRPr="009F079C" w:rsidR="001F259B" w:rsidTr="004C4D61" w14:paraId="27A40CF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</w:tcPr>
          <w:p w:rsidRPr="008A71B9" w:rsidR="001F259B" w:rsidP="004C4D61" w:rsidRDefault="001F259B" w14:paraId="70FBDD13" w14:textId="2E94299D">
            <w:pPr>
              <w:rPr>
                <w:rFonts w:ascii="Times New Roman" w:hAnsi="Times New Roman"/>
                <w:i/>
                <w:szCs w:val="24"/>
              </w:rPr>
            </w:pPr>
            <w:r w:rsidRPr="008A71B9">
              <w:rPr>
                <w:rFonts w:ascii="Times New Roman" w:hAnsi="Times New Roman"/>
                <w:i/>
                <w:szCs w:val="24"/>
              </w:rPr>
              <w:t>Overlap of large collection activities for</w:t>
            </w:r>
            <w:r w:rsidRPr="008A71B9" w:rsidR="00AC765B">
              <w:rPr>
                <w:rFonts w:ascii="Times New Roman" w:hAnsi="Times New Roman"/>
                <w:i/>
                <w:szCs w:val="24"/>
              </w:rPr>
              <w:t xml:space="preserve"> Economic Census &amp; ABS</w:t>
            </w:r>
          </w:p>
        </w:tc>
        <w:tc>
          <w:tcPr>
            <w:tcW w:w="3143" w:type="dxa"/>
            <w:gridSpan w:val="2"/>
          </w:tcPr>
          <w:p w:rsidRPr="008A71B9" w:rsidR="00AC765B" w:rsidP="00AC765B" w:rsidRDefault="00CE1D5E" w14:paraId="36CCB77D" w14:textId="3CB557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 xml:space="preserve">2022 ABS collection activities overlap with </w:t>
            </w:r>
            <w:r w:rsidRPr="008A71B9" w:rsidR="000E4045">
              <w:rPr>
                <w:rFonts w:ascii="Times New Roman" w:hAnsi="Times New Roman"/>
                <w:szCs w:val="24"/>
              </w:rPr>
              <w:t xml:space="preserve">2021 COS/ASM 4th Mail Follow-up, Targeted Telephone Follow-up, and Final Email Follow-up </w:t>
            </w:r>
            <w:r w:rsidRPr="008A71B9">
              <w:rPr>
                <w:rFonts w:ascii="Times New Roman" w:hAnsi="Times New Roman"/>
                <w:szCs w:val="24"/>
              </w:rPr>
              <w:t xml:space="preserve">(similar to </w:t>
            </w:r>
            <w:r w:rsidRPr="008A71B9" w:rsidR="00CD5FEE">
              <w:rPr>
                <w:rFonts w:ascii="Times New Roman" w:hAnsi="Times New Roman"/>
                <w:szCs w:val="24"/>
              </w:rPr>
              <w:t xml:space="preserve">ABS/ </w:t>
            </w:r>
            <w:r w:rsidRPr="008A71B9">
              <w:rPr>
                <w:rFonts w:ascii="Times New Roman" w:hAnsi="Times New Roman"/>
                <w:szCs w:val="24"/>
              </w:rPr>
              <w:t>Economic Census overlap)</w:t>
            </w:r>
            <w:r w:rsidRPr="008A71B9" w:rsidR="00AC765B">
              <w:rPr>
                <w:rFonts w:ascii="Times New Roman" w:hAnsi="Times New Roman"/>
                <w:szCs w:val="24"/>
              </w:rPr>
              <w:t>:</w:t>
            </w:r>
          </w:p>
          <w:p w:rsidRPr="008A71B9" w:rsidR="000E4045" w:rsidP="000E4045" w:rsidRDefault="00AC765B" w14:paraId="4CF6A4C7" w14:textId="2557FE4F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 xml:space="preserve">For cases in both </w:t>
            </w:r>
            <w:r w:rsidRPr="008A71B9" w:rsidR="000E4045">
              <w:rPr>
                <w:rFonts w:ascii="Times New Roman" w:hAnsi="Times New Roman"/>
                <w:szCs w:val="24"/>
              </w:rPr>
              <w:t>surveys</w:t>
            </w:r>
            <w:r w:rsidRPr="008A71B9">
              <w:rPr>
                <w:rFonts w:ascii="Times New Roman" w:hAnsi="Times New Roman"/>
                <w:szCs w:val="24"/>
              </w:rPr>
              <w:t xml:space="preserve"> (with same contact information), ABS Initial Mail, Initial Email, 1st Follow-up Email, and Respondent Portal</w:t>
            </w:r>
            <w:r w:rsidRPr="008A71B9" w:rsidR="00B353F2">
              <w:rPr>
                <w:rFonts w:ascii="Times New Roman" w:hAnsi="Times New Roman"/>
                <w:szCs w:val="24"/>
              </w:rPr>
              <w:t xml:space="preserve"> and COS/ASM TFU </w:t>
            </w:r>
            <w:r w:rsidRPr="008A71B9">
              <w:rPr>
                <w:rFonts w:ascii="Times New Roman" w:hAnsi="Times New Roman"/>
                <w:szCs w:val="24"/>
              </w:rPr>
              <w:t>will address separate survey requests so respondents know both need to be completed</w:t>
            </w:r>
          </w:p>
          <w:p w:rsidRPr="008A71B9" w:rsidR="000E4045" w:rsidP="00050249" w:rsidRDefault="000E4045" w14:paraId="095D0E8D" w14:textId="6B8AACCE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ABS and COS/ASM response priorities will be assessed to determine which overlap cases to exclude from COS/ASM 4th Mail Follow-up and Final Email Follow-up</w:t>
            </w:r>
          </w:p>
        </w:tc>
        <w:tc>
          <w:tcPr>
            <w:tcW w:w="2443" w:type="dxa"/>
            <w:gridSpan w:val="2"/>
          </w:tcPr>
          <w:p w:rsidRPr="008A71B9" w:rsidR="001F259B" w:rsidDel="00621D7A" w:rsidP="004C4D61" w:rsidRDefault="00050249" w14:paraId="5203F962" w14:textId="6AF2E55F">
            <w:pPr>
              <w:ind w:hanging="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TBD</w:t>
            </w:r>
          </w:p>
        </w:tc>
        <w:tc>
          <w:tcPr>
            <w:tcW w:w="2542" w:type="dxa"/>
          </w:tcPr>
          <w:p w:rsidRPr="00621D7A" w:rsidR="001F259B" w:rsidDel="00621D7A" w:rsidP="004C4D61" w:rsidRDefault="00050249" w14:paraId="7D830D59" w14:textId="0A1603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8A71B9">
              <w:rPr>
                <w:rFonts w:ascii="Times New Roman" w:hAnsi="Times New Roman"/>
                <w:szCs w:val="24"/>
              </w:rPr>
              <w:t>TBD, pending results of 2021 COS/ASM and 2022 ABS overlap research</w:t>
            </w:r>
          </w:p>
        </w:tc>
      </w:tr>
    </w:tbl>
    <w:p w:rsidR="005C1786" w:rsidRDefault="005C1786" w14:paraId="7E164BE1" w14:textId="77777777"/>
    <w:sectPr w:rsidR="005C1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39C2A" w14:textId="77777777" w:rsidR="002503D6" w:rsidRDefault="002503D6" w:rsidP="002503D6">
      <w:r>
        <w:separator/>
      </w:r>
    </w:p>
  </w:endnote>
  <w:endnote w:type="continuationSeparator" w:id="0">
    <w:p w14:paraId="2F1E7485" w14:textId="77777777" w:rsidR="002503D6" w:rsidRDefault="002503D6" w:rsidP="0025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68D80" w14:textId="77777777" w:rsidR="002503D6" w:rsidRDefault="002503D6" w:rsidP="002503D6">
      <w:r>
        <w:separator/>
      </w:r>
    </w:p>
  </w:footnote>
  <w:footnote w:type="continuationSeparator" w:id="0">
    <w:p w14:paraId="0D77F6F6" w14:textId="77777777" w:rsidR="002503D6" w:rsidRDefault="002503D6" w:rsidP="002503D6">
      <w:r>
        <w:continuationSeparator/>
      </w:r>
    </w:p>
  </w:footnote>
  <w:footnote w:id="1">
    <w:p w14:paraId="68AE7713" w14:textId="5BFD192A" w:rsidR="002503D6" w:rsidRDefault="002503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12F2D">
        <w:rPr>
          <w:rFonts w:ascii="Times New Roman" w:hAnsi="Times New Roman"/>
        </w:rPr>
        <w:t>Marquette, Erica, Michael E. Kornbau, and Junilsa Toribio. 2015. Testing Contact Strategies to Improve Response in the 2012 Economic Census.  In JSM Proceedings, Government Statistics Section. Alexandria, VA: American Statistical Association. 2212-2225.</w:t>
      </w:r>
    </w:p>
  </w:footnote>
  <w:footnote w:id="2">
    <w:p w14:paraId="6AB53C9E" w14:textId="77777777" w:rsidR="003736B8" w:rsidRDefault="003736B8" w:rsidP="003736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C4D61">
        <w:rPr>
          <w:rFonts w:ascii="Times New Roman" w:hAnsi="Times New Roman"/>
        </w:rPr>
        <w:t>Tuttle, Alfred D. 2016.  Experimenting with Contact Strategies to Aid Adaptive Design in Business Surveys. In JSM Proceedings, forthcoming. Alexandria, VA: American Statistical Association.</w:t>
      </w:r>
    </w:p>
  </w:footnote>
  <w:footnote w:id="3">
    <w:p w14:paraId="0A84D62A" w14:textId="095A78C0" w:rsidR="001E4BDA" w:rsidRDefault="001E4B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12F2D">
        <w:rPr>
          <w:rFonts w:ascii="Times New Roman" w:hAnsi="Times New Roman"/>
        </w:rPr>
        <w:t>Kaputa, et al., 2016 ICES-V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872B8"/>
    <w:multiLevelType w:val="hybridMultilevel"/>
    <w:tmpl w:val="9A90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1728"/>
    <w:multiLevelType w:val="hybridMultilevel"/>
    <w:tmpl w:val="00480556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0FB11992"/>
    <w:multiLevelType w:val="hybridMultilevel"/>
    <w:tmpl w:val="7DF80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0DA6"/>
    <w:multiLevelType w:val="hybridMultilevel"/>
    <w:tmpl w:val="90B87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3B2C"/>
    <w:multiLevelType w:val="hybridMultilevel"/>
    <w:tmpl w:val="B06C9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FB2C7C"/>
    <w:multiLevelType w:val="hybridMultilevel"/>
    <w:tmpl w:val="8A8C8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B55B6"/>
    <w:multiLevelType w:val="hybridMultilevel"/>
    <w:tmpl w:val="9140B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70668"/>
    <w:multiLevelType w:val="hybridMultilevel"/>
    <w:tmpl w:val="E220A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043FF"/>
    <w:multiLevelType w:val="hybridMultilevel"/>
    <w:tmpl w:val="8B76B752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 w15:restartNumberingAfterBreak="0">
    <w:nsid w:val="4DE50222"/>
    <w:multiLevelType w:val="hybridMultilevel"/>
    <w:tmpl w:val="94DE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22886"/>
    <w:multiLevelType w:val="hybridMultilevel"/>
    <w:tmpl w:val="321C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E32A2"/>
    <w:multiLevelType w:val="hybridMultilevel"/>
    <w:tmpl w:val="5DB2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F02D6"/>
    <w:multiLevelType w:val="hybridMultilevel"/>
    <w:tmpl w:val="FFAA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D0572"/>
    <w:multiLevelType w:val="hybridMultilevel"/>
    <w:tmpl w:val="F04888CE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 w15:restartNumberingAfterBreak="0">
    <w:nsid w:val="5EB351F1"/>
    <w:multiLevelType w:val="hybridMultilevel"/>
    <w:tmpl w:val="D698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34AFB"/>
    <w:multiLevelType w:val="hybridMultilevel"/>
    <w:tmpl w:val="78443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4"/>
  </w:num>
  <w:num w:numId="5">
    <w:abstractNumId w:val="7"/>
  </w:num>
  <w:num w:numId="6">
    <w:abstractNumId w:val="11"/>
  </w:num>
  <w:num w:numId="7">
    <w:abstractNumId w:val="0"/>
  </w:num>
  <w:num w:numId="8">
    <w:abstractNumId w:val="2"/>
  </w:num>
  <w:num w:numId="9">
    <w:abstractNumId w:val="9"/>
  </w:num>
  <w:num w:numId="10">
    <w:abstractNumId w:val="12"/>
  </w:num>
  <w:num w:numId="11">
    <w:abstractNumId w:val="13"/>
  </w:num>
  <w:num w:numId="12">
    <w:abstractNumId w:val="1"/>
  </w:num>
  <w:num w:numId="13">
    <w:abstractNumId w:val="5"/>
  </w:num>
  <w:num w:numId="14">
    <w:abstractNumId w:val="8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2C"/>
    <w:rsid w:val="00050249"/>
    <w:rsid w:val="000B6043"/>
    <w:rsid w:val="000E10B9"/>
    <w:rsid w:val="000E4045"/>
    <w:rsid w:val="00156B9D"/>
    <w:rsid w:val="00183BFB"/>
    <w:rsid w:val="001C1DD4"/>
    <w:rsid w:val="001C31FE"/>
    <w:rsid w:val="001D6772"/>
    <w:rsid w:val="001E4BDA"/>
    <w:rsid w:val="001F259B"/>
    <w:rsid w:val="001F4431"/>
    <w:rsid w:val="00212598"/>
    <w:rsid w:val="00216AF2"/>
    <w:rsid w:val="0022360B"/>
    <w:rsid w:val="002503D6"/>
    <w:rsid w:val="0026155B"/>
    <w:rsid w:val="002865D6"/>
    <w:rsid w:val="002A214B"/>
    <w:rsid w:val="002A4332"/>
    <w:rsid w:val="002B5D86"/>
    <w:rsid w:val="002E7DD2"/>
    <w:rsid w:val="00303AFE"/>
    <w:rsid w:val="00310C84"/>
    <w:rsid w:val="003736B8"/>
    <w:rsid w:val="003C1215"/>
    <w:rsid w:val="003D2F4A"/>
    <w:rsid w:val="004A6F1B"/>
    <w:rsid w:val="005264AD"/>
    <w:rsid w:val="00542DA3"/>
    <w:rsid w:val="00543E34"/>
    <w:rsid w:val="00546C85"/>
    <w:rsid w:val="005C1786"/>
    <w:rsid w:val="005D64CE"/>
    <w:rsid w:val="005E78B2"/>
    <w:rsid w:val="005F2FBA"/>
    <w:rsid w:val="00610592"/>
    <w:rsid w:val="00621D7A"/>
    <w:rsid w:val="00630558"/>
    <w:rsid w:val="006B27F8"/>
    <w:rsid w:val="006D5D5E"/>
    <w:rsid w:val="006E0FC0"/>
    <w:rsid w:val="00712F2D"/>
    <w:rsid w:val="00743003"/>
    <w:rsid w:val="007478F3"/>
    <w:rsid w:val="00775DD8"/>
    <w:rsid w:val="007A420C"/>
    <w:rsid w:val="007B1B4F"/>
    <w:rsid w:val="007D7E5D"/>
    <w:rsid w:val="007E3798"/>
    <w:rsid w:val="0082438A"/>
    <w:rsid w:val="00890D40"/>
    <w:rsid w:val="00896004"/>
    <w:rsid w:val="008A71B9"/>
    <w:rsid w:val="008B100F"/>
    <w:rsid w:val="008C7F2D"/>
    <w:rsid w:val="008E1649"/>
    <w:rsid w:val="00900C97"/>
    <w:rsid w:val="0091446A"/>
    <w:rsid w:val="009440D7"/>
    <w:rsid w:val="00953011"/>
    <w:rsid w:val="00990924"/>
    <w:rsid w:val="009C658D"/>
    <w:rsid w:val="009E142C"/>
    <w:rsid w:val="00A85BC9"/>
    <w:rsid w:val="00AB31F6"/>
    <w:rsid w:val="00AC765B"/>
    <w:rsid w:val="00B06EEA"/>
    <w:rsid w:val="00B128B1"/>
    <w:rsid w:val="00B17636"/>
    <w:rsid w:val="00B215C4"/>
    <w:rsid w:val="00B25184"/>
    <w:rsid w:val="00B32A5C"/>
    <w:rsid w:val="00B353F2"/>
    <w:rsid w:val="00B9015E"/>
    <w:rsid w:val="00BB20C6"/>
    <w:rsid w:val="00BC3628"/>
    <w:rsid w:val="00BF7836"/>
    <w:rsid w:val="00C40624"/>
    <w:rsid w:val="00C5139C"/>
    <w:rsid w:val="00CD5FEE"/>
    <w:rsid w:val="00CE1D5E"/>
    <w:rsid w:val="00CF09F4"/>
    <w:rsid w:val="00CF20C6"/>
    <w:rsid w:val="00D22C9C"/>
    <w:rsid w:val="00D474AC"/>
    <w:rsid w:val="00D50AA2"/>
    <w:rsid w:val="00D556D8"/>
    <w:rsid w:val="00DE77D3"/>
    <w:rsid w:val="00E10F9E"/>
    <w:rsid w:val="00E43F89"/>
    <w:rsid w:val="00E56728"/>
    <w:rsid w:val="00E8590B"/>
    <w:rsid w:val="00E8672A"/>
    <w:rsid w:val="00EF5CE8"/>
    <w:rsid w:val="00F0036B"/>
    <w:rsid w:val="00F13C53"/>
    <w:rsid w:val="00F166F4"/>
    <w:rsid w:val="00F6258D"/>
    <w:rsid w:val="00F90529"/>
    <w:rsid w:val="00FB73FC"/>
    <w:rsid w:val="00FC29B5"/>
    <w:rsid w:val="00FD47A2"/>
    <w:rsid w:val="00FD5189"/>
    <w:rsid w:val="00F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516F"/>
  <w15:chartTrackingRefBased/>
  <w15:docId w15:val="{DB9342F4-DA6D-4F55-A191-69F02AA9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78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142C"/>
    <w:pPr>
      <w:spacing w:after="0" w:line="240" w:lineRule="auto"/>
    </w:pPr>
  </w:style>
  <w:style w:type="table" w:styleId="MediumShading1-Accent1">
    <w:name w:val="Medium Shading 1 Accent 1"/>
    <w:basedOn w:val="TableNormal"/>
    <w:uiPriority w:val="63"/>
    <w:rsid w:val="005C1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9092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503D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03D6"/>
    <w:rPr>
      <w:rFonts w:ascii="Courier New" w:eastAsia="Times New Roman" w:hAnsi="Courier New" w:cs="Times New Roman"/>
      <w:snapToGrid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03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9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955C4-36DE-4FB3-82AA-92F918DA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Blynda K Metcalf (CENSUS/EWD FED)</dc:creator>
  <cp:keywords/>
  <dc:description/>
  <cp:lastModifiedBy>Amanda Rosengarth (CENSUS/EWD FED)</cp:lastModifiedBy>
  <cp:revision>5</cp:revision>
  <dcterms:created xsi:type="dcterms:W3CDTF">2021-11-10T15:05:00Z</dcterms:created>
  <dcterms:modified xsi:type="dcterms:W3CDTF">2022-01-10T13:09:00Z</dcterms:modified>
</cp:coreProperties>
</file>