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A0F" w:rsidRDefault="00606F36">
      <w:pPr>
        <w:pStyle w:val="Heading1"/>
        <w:ind w:left="0"/>
        <w:jc w:val="center"/>
      </w:pPr>
      <w:r>
        <w:t>SUPPORTING STATEMENT</w:t>
      </w:r>
    </w:p>
    <w:p w:rsidR="00574A0F" w:rsidRDefault="00606F36">
      <w:pPr>
        <w:spacing w:before="22" w:line="259" w:lineRule="auto"/>
        <w:ind w:firstLine="14"/>
        <w:jc w:val="center"/>
        <w:rPr>
          <w:b/>
        </w:rPr>
      </w:pPr>
      <w:r>
        <w:rPr>
          <w:b/>
        </w:rPr>
        <w:t>U.S. Department of Commerce</w:t>
      </w:r>
    </w:p>
    <w:p w:rsidR="00574A0F" w:rsidRDefault="00606F36">
      <w:pPr>
        <w:spacing w:before="22" w:line="259" w:lineRule="auto"/>
        <w:ind w:firstLine="14"/>
        <w:jc w:val="center"/>
        <w:rPr>
          <w:b/>
        </w:rPr>
      </w:pPr>
      <w:r>
        <w:rPr>
          <w:b/>
        </w:rPr>
        <w:t>National Oceanic &amp; Atmospheric Administration</w:t>
      </w:r>
    </w:p>
    <w:p w:rsidR="001A0D5C" w:rsidP="001A0D5C" w:rsidRDefault="001A0D5C">
      <w:pPr>
        <w:spacing w:line="259" w:lineRule="auto"/>
        <w:ind w:hanging="6"/>
        <w:jc w:val="center"/>
        <w:rPr>
          <w:b/>
        </w:rPr>
      </w:pPr>
      <w:r>
        <w:rPr>
          <w:b/>
        </w:rPr>
        <w:t>Weather and Society Survey and Using Quick Response Surveys to Build a Public Perception and Response Database</w:t>
      </w:r>
    </w:p>
    <w:p w:rsidR="00574A0F" w:rsidRDefault="00606F36">
      <w:pPr>
        <w:spacing w:line="259" w:lineRule="auto"/>
        <w:ind w:hanging="6"/>
        <w:jc w:val="center"/>
        <w:rPr>
          <w:b/>
        </w:rPr>
      </w:pPr>
      <w:r>
        <w:rPr>
          <w:b/>
        </w:rPr>
        <w:t>OMB Control No. 0648-XXXX</w:t>
      </w:r>
    </w:p>
    <w:p w:rsidR="00574A0F" w:rsidRDefault="00574A0F">
      <w:pPr>
        <w:pBdr>
          <w:top w:val="nil"/>
          <w:left w:val="nil"/>
          <w:bottom w:val="nil"/>
          <w:right w:val="nil"/>
          <w:between w:val="nil"/>
        </w:pBdr>
        <w:spacing w:before="1"/>
        <w:jc w:val="center"/>
        <w:rPr>
          <w:b/>
          <w:color w:val="000000"/>
        </w:rPr>
      </w:pPr>
    </w:p>
    <w:p w:rsidR="00574A0F" w:rsidRDefault="00606F36">
      <w:pPr>
        <w:spacing w:before="1" w:line="398" w:lineRule="auto"/>
        <w:rPr>
          <w:b/>
        </w:rPr>
      </w:pPr>
      <w:r>
        <w:rPr>
          <w:b/>
          <w:color w:val="000000"/>
        </w:rPr>
        <w:t>SUPPORTING STATEMENT PART A</w:t>
      </w:r>
    </w:p>
    <w:p w:rsidR="00574A0F" w:rsidRDefault="00606F36">
      <w:pPr>
        <w:pStyle w:val="Heading1"/>
        <w:spacing w:before="199"/>
        <w:ind w:left="0"/>
      </w:pPr>
      <w:r>
        <w:t>Abstract</w:t>
      </w:r>
    </w:p>
    <w:p w:rsidR="00574A0F" w:rsidRDefault="00574A0F"/>
    <w:p w:rsidR="00574A0F" w:rsidRDefault="00606F36">
      <w:r>
        <w:t>In alignment with the Weather Forecasting and Innovation Act of 2017 (Pub. L. 115-25), two data collections are proposed under this request. There are no other collections for which these can be merged.</w:t>
      </w:r>
    </w:p>
    <w:p w:rsidR="00574A0F" w:rsidRDefault="00574A0F"/>
    <w:p w:rsidR="00574A0F" w:rsidRDefault="00606F36">
      <w:r>
        <w:t>The first proposed information collection request is</w:t>
      </w:r>
      <w:r>
        <w:t xml:space="preserve"> sponsored by DOC/NOAA/National Weather Service (NWS)/Office of Science and Technology Integration (OSTI). Currently, NOAA lacks data and data collection instruments that articulate and explicate how individuals receive, interpret, and respond to NOAA info</w:t>
      </w:r>
      <w:r>
        <w:t>rmation, forecasts, and warnings for severe, winter, and tropical weather hazards. Furthermore, NOAA lacks thi</w:t>
      </w:r>
      <w:r w:rsidR="00A75451">
        <w:t>s type of data longitudinally (</w:t>
      </w:r>
      <w:r>
        <w:t xml:space="preserve">i.e., collected over time). </w:t>
      </w:r>
    </w:p>
    <w:p w:rsidR="00574A0F" w:rsidRDefault="00574A0F"/>
    <w:p w:rsidR="00574A0F" w:rsidRDefault="00606F36">
      <w:r>
        <w:t>The second proposed collection is sponsored through NOAA's FY2021 Weather Program Office's Social Science Program, and addresses the Social, Behavioral, and Economic Sciences (SBES) component of meeting NOA</w:t>
      </w:r>
      <w:r>
        <w:t>A's Research and Development (R&amp;D) Vision Areas (2020-2026) to integrate SBES into products, tools, and services that improve weather and air quality forecasting and societal outcomes.</w:t>
      </w:r>
    </w:p>
    <w:p w:rsidR="00A75451" w:rsidRDefault="00A75451"/>
    <w:p w:rsidR="00574A0F" w:rsidRDefault="00606F36">
      <w:pPr>
        <w:pStyle w:val="Heading1"/>
        <w:spacing w:before="124"/>
        <w:ind w:left="0"/>
      </w:pPr>
      <w:r>
        <w:t>Justification</w:t>
      </w:r>
    </w:p>
    <w:p w:rsidR="00574A0F" w:rsidRDefault="00606F36">
      <w:pPr>
        <w:pBdr>
          <w:top w:val="nil"/>
          <w:left w:val="nil"/>
          <w:bottom w:val="nil"/>
          <w:right w:val="nil"/>
          <w:between w:val="nil"/>
        </w:pBdr>
        <w:tabs>
          <w:tab w:val="left" w:pos="360"/>
        </w:tabs>
        <w:spacing w:before="182" w:line="259" w:lineRule="auto"/>
        <w:rPr>
          <w:b/>
          <w:color w:val="000000"/>
        </w:rPr>
      </w:pPr>
      <w:r>
        <w:rPr>
          <w:b/>
        </w:rPr>
        <w:t xml:space="preserve">1. </w:t>
      </w:r>
      <w:r>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w:t>
      </w:r>
      <w:r>
        <w:rPr>
          <w:b/>
          <w:color w:val="000000"/>
        </w:rPr>
        <w:t xml:space="preserve"> the collection of information.</w:t>
      </w:r>
    </w:p>
    <w:p w:rsidR="00574A0F" w:rsidRDefault="00574A0F"/>
    <w:p w:rsidR="00574A0F" w:rsidRDefault="00606F36">
      <w:r>
        <w:t xml:space="preserve">Both collections will address the Weather Research and Forecasting Innovation Act (WRFIA) of 2017. At a high level, the legislation specified that the purpose of the NOAA watch/warning system is to inform action to prevent </w:t>
      </w:r>
      <w:r>
        <w:t>loss of life and property (Sec. 406), and that any changes to the system must preserve the benefits of the current system and be guided by the findings of social scientific research. Furthermore, WRFIA (Sec. 102) directs NOAA to focus on  improving its und</w:t>
      </w:r>
      <w:r>
        <w:t>erstanding of how the public receives, interprets, and responds to warnings and forecasts of high impact weather events that endanger life and property.</w:t>
      </w:r>
    </w:p>
    <w:p w:rsidR="00574A0F" w:rsidRDefault="00574A0F"/>
    <w:p w:rsidR="00574A0F" w:rsidRDefault="00606F36">
      <w:r>
        <w:t>NOAA responded to this guidance in its 2020-2026 R&amp;D Vision by indicating reductions in societal impac</w:t>
      </w:r>
      <w:r>
        <w:t>ts from hazardous weather in Vision Area #1.  For example, Key Question 1.4 asks, “How can NOAA enhance communications, products, and services to enable informed decision-making?”  The vision document prescribes that this should be done by first understand</w:t>
      </w:r>
      <w:r>
        <w:t>ing the risk communication process that supports decision-making by the public. However, NOAA currently lacks these types of data, and more specifically, lacks data that articulates and explicates how members of the public receive, interpret, and respond t</w:t>
      </w:r>
      <w:r>
        <w:t>o NOAA information and forecasts during high impact weather events, such as severe, winter, and tropical weather hazards. Thus, NOAA’s cannot determine if its messages are widely disseminated, understood, and acted upon. Furthermore, NOAA lacks the longitu</w:t>
      </w:r>
      <w:r>
        <w:t xml:space="preserve">dinal data needed to demonstrate if progress or improvements have been made in these areas; therefore, NOAA cannot evaluate performance and satisfy the requirements of the WRFIA. </w:t>
      </w:r>
    </w:p>
    <w:p w:rsidR="00574A0F" w:rsidRDefault="00606F36">
      <w:pPr>
        <w:pBdr>
          <w:top w:val="nil"/>
          <w:left w:val="nil"/>
          <w:bottom w:val="nil"/>
          <w:right w:val="nil"/>
          <w:between w:val="nil"/>
        </w:pBdr>
        <w:spacing w:before="159" w:line="259" w:lineRule="auto"/>
      </w:pPr>
      <w:r>
        <w:t>Documents Cited:</w:t>
      </w:r>
    </w:p>
    <w:p w:rsidR="00574A0F" w:rsidRDefault="00606F36">
      <w:pPr>
        <w:pBdr>
          <w:top w:val="nil"/>
          <w:left w:val="nil"/>
          <w:bottom w:val="nil"/>
          <w:right w:val="nil"/>
          <w:between w:val="nil"/>
        </w:pBdr>
        <w:spacing w:before="159" w:line="259" w:lineRule="auto"/>
      </w:pPr>
      <w:hyperlink r:id="rId5">
        <w:r>
          <w:rPr>
            <w:color w:val="1155CC"/>
            <w:u w:val="single"/>
          </w:rPr>
          <w:t>https://www.congress.gov/bill/115th-congress/house-bill/353/text</w:t>
        </w:r>
      </w:hyperlink>
    </w:p>
    <w:p w:rsidR="00574A0F" w:rsidRDefault="00606F36">
      <w:pPr>
        <w:pBdr>
          <w:top w:val="nil"/>
          <w:left w:val="nil"/>
          <w:bottom w:val="nil"/>
          <w:right w:val="nil"/>
          <w:between w:val="nil"/>
        </w:pBdr>
        <w:spacing w:before="159" w:line="259" w:lineRule="auto"/>
        <w:rPr>
          <w:b/>
        </w:rPr>
      </w:pPr>
      <w:hyperlink r:id="rId6">
        <w:r>
          <w:rPr>
            <w:color w:val="1155CC"/>
            <w:u w:val="single"/>
          </w:rPr>
          <w:t>https://nrc.noaa.gov/LinkClick.aspx?fileticket=z4iHSl3P4KY%3d&amp;amp;port</w:t>
        </w:r>
        <w:r>
          <w:rPr>
            <w:color w:val="1155CC"/>
            <w:u w:val="single"/>
          </w:rPr>
          <w:t>alid=0</w:t>
        </w:r>
      </w:hyperlink>
    </w:p>
    <w:p w:rsidR="00574A0F" w:rsidRDefault="00574A0F">
      <w:pPr>
        <w:pBdr>
          <w:top w:val="nil"/>
          <w:left w:val="nil"/>
          <w:bottom w:val="nil"/>
          <w:right w:val="nil"/>
          <w:between w:val="nil"/>
        </w:pBdr>
        <w:spacing w:before="159" w:line="259" w:lineRule="auto"/>
        <w:rPr>
          <w:b/>
        </w:rPr>
      </w:pPr>
    </w:p>
    <w:p w:rsidR="00574A0F" w:rsidRDefault="00606F36">
      <w:pPr>
        <w:pStyle w:val="Heading1"/>
        <w:tabs>
          <w:tab w:val="left" w:pos="360"/>
        </w:tabs>
        <w:spacing w:before="197"/>
        <w:ind w:left="0"/>
      </w:pPr>
      <w:r>
        <w:t>2. Indicate how, by whom, and for what purpose the information is to be used. Except for a new collection, indicate the actual use the agency has made of the information received from the current collection.</w:t>
      </w:r>
    </w:p>
    <w:p w:rsidR="00574A0F" w:rsidRDefault="00606F36">
      <w:pPr>
        <w:pBdr>
          <w:top w:val="nil"/>
          <w:left w:val="nil"/>
          <w:bottom w:val="nil"/>
          <w:right w:val="nil"/>
          <w:between w:val="nil"/>
        </w:pBdr>
        <w:spacing w:before="161"/>
      </w:pPr>
      <w:r>
        <w:t>For the Weather and Society Survey, the data to be collected via three separate longitudinal surveys and includes questions relating to the receipt, comprehension, and response to severe, tropical, winter information provided by the National Weather Servic</w:t>
      </w:r>
      <w:r>
        <w:t xml:space="preserve">e. Each survey is expected to take 20 minutes to complete. </w:t>
      </w:r>
    </w:p>
    <w:p w:rsidR="00574A0F" w:rsidRDefault="00606F36">
      <w:pPr>
        <w:widowControl/>
        <w:spacing w:before="161"/>
      </w:pPr>
      <w:r>
        <w:t xml:space="preserve">This study will utilize data from a representative sample of US adults (age 18+) to make aggregate inferences about forecast and warning reception, reliability, and response in all county warning </w:t>
      </w:r>
      <w:r>
        <w:t>areas (CWAs) and counties in the US. The study will recruit survey participants by contracting with companies who maintain large panels of individuals who sign up to complete internet surveys, such as Qualtrics and Survey Sampling International. These data</w:t>
      </w:r>
      <w:r>
        <w:t xml:space="preserve"> will be collected annually using the web-based survey interface. This information would be collected at the Cooperative Institute for Mesoscale Meteorological Studies (CIMMS) and the University of Oklahoma's Center for Risk and Crisis Management (CRCM), T</w:t>
      </w:r>
      <w:r>
        <w:t>he dataset will be used by the National Weather Service, the National Severe Storms Laboratory, the NOAA Performance, Risk and Social Science Office and their academic partners to conduct analyses and determine the societal impact of information and produc</w:t>
      </w:r>
      <w:r>
        <w:t xml:space="preserve">ts. </w:t>
      </w:r>
    </w:p>
    <w:p w:rsidR="00560A91" w:rsidP="00560A91" w:rsidRDefault="00560A91"/>
    <w:p w:rsidR="00560A91" w:rsidP="00560A91" w:rsidRDefault="00560A91">
      <w:r>
        <w:t>Respondents will be asked questions about the ways they have received, interpreted, and responded to NWS information, forecasts, and warnings for severe, tropical, and winter weather hazards. Questions about preparedness for specific hazards such as heat waves, tornadoes, and drought may also be included. This data collection serves many purposes, including gaining a better understanding of how key factors within a given population, or organization, vary over time, location, and across different groups; the ability to detect gradual trends or abrupt changes in those factors over time or in response to particular events; and the potential to explore possible correlations and causal relationships with other observed variables of interest. These data will be used by the OSTI in NWS to develop a baseline and performance metrics to improve the information and services it provides and to help members of the weather enterprise answer basic questions about the people in the communities they serve, which is a necessary step towards customizing and improving risk communication, education, and decision support to meet the characteristics of the community, including those in vulnerable populations. The survey data and its associated dashboard will serve as interactive tools to allow NWS forecasters, partners, and policymakers to access and explore data for training and performance evaluation purposes.</w:t>
      </w:r>
    </w:p>
    <w:p w:rsidR="00574A0F" w:rsidRDefault="00606F36">
      <w:pPr>
        <w:widowControl/>
        <w:spacing w:before="161"/>
      </w:pPr>
      <w:r>
        <w:t>For the Quick Response Surveys, the University of Massachusetts Amherst is collecting information on human perception and response to four different hazards: tornados, thunderstorm winds over 70mph, flash floods, and winter weather. Surveys will be cr</w:t>
      </w:r>
      <w:r>
        <w:t>eated for each of the four hazards using common themes, but tailoring the questions for the specific hazard. The population of interest are adults ages 18 and over, who live in specified counties and metropolitan areas in the United States that are impacte</w:t>
      </w:r>
      <w:r>
        <w:t>d by the different hazards being surveyed.</w:t>
      </w:r>
    </w:p>
    <w:p w:rsidR="00574A0F" w:rsidRDefault="00606F36">
      <w:pPr>
        <w:widowControl/>
        <w:spacing w:before="160"/>
      </w:pPr>
      <w:r>
        <w:t>Online surveys will be implemented and aggregated using Qualtrics survey software that will electronically display the survey on a desktop, tablet or mobile device allowing the public to take the survey whenever a</w:t>
      </w:r>
      <w:r>
        <w:t>nd wherever they have internet access. Select forecast offices will distribute the quick response survey using web links on NWS social media and core partners’ social media or email lists to obtain a convenience sample. A random sample will also be purchas</w:t>
      </w:r>
      <w:r>
        <w:t>ed for a single event. Respondents will only be able to provide information electronically through the web-based survey.</w:t>
      </w:r>
    </w:p>
    <w:p w:rsidR="00560A91" w:rsidP="00560A91" w:rsidRDefault="00560A91"/>
    <w:p w:rsidR="00574A0F" w:rsidRDefault="00606F36">
      <w:pPr>
        <w:widowControl/>
        <w:spacing w:before="160"/>
      </w:pPr>
      <w:r>
        <w:t>The practical utility of this project will extend to multiple organizational levels within NOAA and to the research community in genera</w:t>
      </w:r>
      <w:r>
        <w:t>l. In the short term, NWS forecast offices will have access to standard reports on event specific survey results soon after the collection period ends. NWS Regional offices and NWS Headquarters will be able to aggregate data results across WFOs, hazards, o</w:t>
      </w:r>
      <w:r>
        <w:t>r even warning types, to evaluate higher level trends that could inform region-wide education, warning communications, or SBE, technology, or physical science initiatives. NWS Headquarters can use the surveys as part of NWS Service Assessments to provide a</w:t>
      </w:r>
      <w:r>
        <w:t xml:space="preserve"> consistent methodology for collecting public response data for these assessments.  Based on the transition plan and results of this effort, the data collection and survey system can be the building blocks of a multi-year, cross-sectional database which wi</w:t>
      </w:r>
      <w:r>
        <w:t>ll be publicly available, and a valuable resource for the broader research community.</w:t>
      </w:r>
    </w:p>
    <w:p w:rsidR="00574A0F" w:rsidRDefault="00606F36">
      <w:pPr>
        <w:pBdr>
          <w:top w:val="nil"/>
          <w:left w:val="nil"/>
          <w:bottom w:val="nil"/>
          <w:right w:val="nil"/>
          <w:between w:val="nil"/>
        </w:pBdr>
        <w:tabs>
          <w:tab w:val="left" w:pos="360"/>
        </w:tabs>
        <w:spacing w:before="199"/>
        <w:rPr>
          <w:b/>
          <w:color w:val="000000"/>
        </w:rPr>
      </w:pPr>
      <w:r>
        <w:rPr>
          <w:b/>
        </w:rPr>
        <w:t xml:space="preserve">3. </w:t>
      </w:r>
      <w:r>
        <w:rPr>
          <w:b/>
          <w:color w:val="000000"/>
        </w:rPr>
        <w:t>Describe whether, and to what extent, the collection of information involves the use of automated, electronic, mechanical, or other technological collection techniques</w:t>
      </w:r>
      <w:r>
        <w:rPr>
          <w:b/>
          <w:color w:val="000000"/>
        </w:rPr>
        <w:t xml:space="preserve"> or other forms of information technology, e.g. permitting electronic submission of responses, and the basis for the decision for adopting this means of collection. Also, describe any consideration of using information technology to reduce burden.</w:t>
      </w:r>
    </w:p>
    <w:p w:rsidR="00574A0F" w:rsidRDefault="00606F36">
      <w:pPr>
        <w:spacing w:before="161"/>
      </w:pPr>
      <w:r>
        <w:t>Both col</w:t>
      </w:r>
      <w:r>
        <w:t>lections will make use of electronic online platforms to collect data in keeping with the Government Paperwork Elimination Act. By using an electronic survey format, this reduces the burden on the NWS, the researchers, and the general public taking the sur</w:t>
      </w:r>
      <w:r>
        <w:t xml:space="preserve">vey. </w:t>
      </w:r>
    </w:p>
    <w:p w:rsidR="00574A0F" w:rsidRDefault="00574A0F">
      <w:pPr>
        <w:pBdr>
          <w:top w:val="nil"/>
          <w:left w:val="nil"/>
          <w:bottom w:val="nil"/>
          <w:right w:val="nil"/>
          <w:between w:val="nil"/>
        </w:pBdr>
        <w:tabs>
          <w:tab w:val="left" w:pos="360"/>
        </w:tabs>
        <w:spacing w:before="80"/>
      </w:pPr>
    </w:p>
    <w:p w:rsidR="00574A0F" w:rsidRDefault="00606F36">
      <w:pPr>
        <w:pBdr>
          <w:top w:val="nil"/>
          <w:left w:val="nil"/>
          <w:bottom w:val="nil"/>
          <w:right w:val="nil"/>
          <w:between w:val="nil"/>
        </w:pBdr>
        <w:tabs>
          <w:tab w:val="left" w:pos="360"/>
        </w:tabs>
        <w:spacing w:before="80"/>
      </w:pPr>
      <w:r>
        <w:t xml:space="preserve">4. </w:t>
      </w:r>
      <w:r>
        <w:rPr>
          <w:b/>
          <w:color w:val="000000"/>
        </w:rPr>
        <w:t>Describe efforts to identify duplication. Show specifically why any similar information already available cannot be used or modified for use for the purposes described in Question 2</w:t>
      </w:r>
    </w:p>
    <w:p w:rsidR="00574A0F" w:rsidRDefault="00606F36">
      <w:pPr>
        <w:spacing w:before="160"/>
      </w:pPr>
      <w:r>
        <w:t>No duplicate effort currently exists, nor can previous informati</w:t>
      </w:r>
      <w:r>
        <w:t>on collected be used to address the purpose of this collection. Other related collection efforts such as the NWS Customer Satisfaction Survey (CSS), is a rigorous quarterly survey that provides satisfaction metrics for NWS products and services on a nation</w:t>
      </w:r>
      <w:r>
        <w:t>al level; however, it has a national focus, and does not address public perception and response to severe weather events directly at a forecast office level, nor to specific weather events. Thus, unique to this information collection effort is the “bottom-</w:t>
      </w:r>
      <w:r>
        <w:t>up” approach to data collection, surveying actual response to severe weather events at a forecast office level, as well as this project’s potential transition into operations and publicly available database.</w:t>
      </w:r>
    </w:p>
    <w:p w:rsidR="00574A0F" w:rsidRDefault="00574A0F">
      <w:pPr>
        <w:spacing w:before="160"/>
      </w:pPr>
    </w:p>
    <w:p w:rsidR="00574A0F" w:rsidRDefault="00606F36">
      <w:pPr>
        <w:pBdr>
          <w:top w:val="nil"/>
          <w:left w:val="nil"/>
          <w:bottom w:val="nil"/>
          <w:right w:val="nil"/>
          <w:between w:val="nil"/>
        </w:pBdr>
        <w:tabs>
          <w:tab w:val="left" w:pos="360"/>
        </w:tabs>
        <w:spacing w:before="80"/>
        <w:rPr>
          <w:b/>
          <w:color w:val="000000"/>
        </w:rPr>
      </w:pPr>
      <w:r>
        <w:rPr>
          <w:b/>
        </w:rPr>
        <w:t xml:space="preserve">5. </w:t>
      </w:r>
      <w:r>
        <w:rPr>
          <w:b/>
          <w:color w:val="000000"/>
        </w:rPr>
        <w:t>If the collection of information impacts small businesses or other small entities, describe any methods used to minimize burden.</w:t>
      </w:r>
    </w:p>
    <w:p w:rsidR="00574A0F" w:rsidRDefault="00606F36">
      <w:pPr>
        <w:pBdr>
          <w:top w:val="nil"/>
          <w:left w:val="nil"/>
          <w:bottom w:val="nil"/>
          <w:right w:val="nil"/>
          <w:between w:val="nil"/>
        </w:pBdr>
        <w:spacing w:before="160"/>
      </w:pPr>
      <w:r>
        <w:t>Data will only be collected from a public sample.</w:t>
      </w:r>
      <w:r w:rsidR="00A75451">
        <w:t xml:space="preserve">  No small business or other small entities will be impacted.</w:t>
      </w:r>
    </w:p>
    <w:p w:rsidR="00574A0F" w:rsidRDefault="00574A0F">
      <w:pPr>
        <w:pBdr>
          <w:top w:val="nil"/>
          <w:left w:val="nil"/>
          <w:bottom w:val="nil"/>
          <w:right w:val="nil"/>
          <w:between w:val="nil"/>
        </w:pBdr>
        <w:spacing w:before="160"/>
      </w:pPr>
    </w:p>
    <w:p w:rsidR="00574A0F" w:rsidRDefault="00606F36">
      <w:pPr>
        <w:pBdr>
          <w:top w:val="nil"/>
          <w:left w:val="nil"/>
          <w:bottom w:val="nil"/>
          <w:right w:val="nil"/>
          <w:between w:val="nil"/>
        </w:pBdr>
        <w:tabs>
          <w:tab w:val="left" w:pos="360"/>
        </w:tabs>
        <w:spacing w:before="80"/>
        <w:rPr>
          <w:b/>
          <w:color w:val="000000"/>
        </w:rPr>
      </w:pPr>
      <w:r>
        <w:rPr>
          <w:b/>
        </w:rPr>
        <w:t xml:space="preserve">6. </w:t>
      </w:r>
      <w:r>
        <w:rPr>
          <w:b/>
          <w:color w:val="000000"/>
        </w:rPr>
        <w:t>Describe the consequence to Federal program or policy activities if the c</w:t>
      </w:r>
      <w:r>
        <w:rPr>
          <w:b/>
          <w:color w:val="000000"/>
        </w:rPr>
        <w:t>ollection is not conducted or is conducted less frequently, as well as any technical or legal obstacles to reducing burden.</w:t>
      </w:r>
    </w:p>
    <w:p w:rsidR="00574A0F" w:rsidRDefault="00606F36">
      <w:pPr>
        <w:pBdr>
          <w:top w:val="nil"/>
          <w:left w:val="nil"/>
          <w:bottom w:val="nil"/>
          <w:right w:val="nil"/>
          <w:between w:val="nil"/>
        </w:pBdr>
        <w:spacing w:before="115"/>
      </w:pPr>
      <w:r>
        <w:t>If data collection is not conducted, implementation of this new research initiative which directly addresses NOAA’s Research and Dev</w:t>
      </w:r>
      <w:r>
        <w:t xml:space="preserve">elopment (R&amp;D) Vision Areas (2020–2026), Vision Area 1 “Reducing societal impacts from hazardous weather and other environmental phenomena." If these data are not collected, NOAA will continue to be hampered in its efforts to evaluate the social impact of </w:t>
      </w:r>
      <w:r>
        <w:t xml:space="preserve">its products, information and services longitudinally. </w:t>
      </w:r>
    </w:p>
    <w:p w:rsidR="00574A0F" w:rsidRDefault="00574A0F">
      <w:pPr>
        <w:pBdr>
          <w:top w:val="nil"/>
          <w:left w:val="nil"/>
          <w:bottom w:val="nil"/>
          <w:right w:val="nil"/>
          <w:between w:val="nil"/>
        </w:pBdr>
        <w:spacing w:before="115"/>
      </w:pPr>
    </w:p>
    <w:p w:rsidR="00574A0F" w:rsidRDefault="00606F36">
      <w:pPr>
        <w:pBdr>
          <w:top w:val="nil"/>
          <w:left w:val="nil"/>
          <w:bottom w:val="nil"/>
          <w:right w:val="nil"/>
          <w:between w:val="nil"/>
        </w:pBdr>
        <w:tabs>
          <w:tab w:val="left" w:pos="360"/>
        </w:tabs>
        <w:spacing w:before="80"/>
        <w:rPr>
          <w:b/>
          <w:color w:val="000000"/>
        </w:rPr>
      </w:pPr>
      <w:r>
        <w:rPr>
          <w:b/>
        </w:rPr>
        <w:t xml:space="preserve">7. </w:t>
      </w:r>
      <w:r>
        <w:rPr>
          <w:b/>
          <w:color w:val="000000"/>
        </w:rPr>
        <w:t>Explain any special circumstances that would cause an information collection to be conducted in a manner inconsistent with OMB guidelines.</w:t>
      </w:r>
    </w:p>
    <w:p w:rsidR="00574A0F" w:rsidRDefault="00560A91">
      <w:pPr>
        <w:pBdr>
          <w:top w:val="nil"/>
          <w:left w:val="nil"/>
          <w:bottom w:val="nil"/>
          <w:right w:val="nil"/>
          <w:between w:val="nil"/>
        </w:pBdr>
        <w:spacing w:before="115"/>
      </w:pPr>
      <w:r>
        <w:t>This information collection will be conducted in a manner consistent with OMB guidelines.</w:t>
      </w:r>
    </w:p>
    <w:p w:rsidR="00574A0F" w:rsidRDefault="00574A0F">
      <w:pPr>
        <w:pBdr>
          <w:top w:val="nil"/>
          <w:left w:val="nil"/>
          <w:bottom w:val="nil"/>
          <w:right w:val="nil"/>
          <w:between w:val="nil"/>
        </w:pBdr>
        <w:spacing w:before="115"/>
      </w:pPr>
    </w:p>
    <w:p w:rsidR="00574A0F" w:rsidRDefault="00606F36">
      <w:pPr>
        <w:pBdr>
          <w:top w:val="nil"/>
          <w:left w:val="nil"/>
          <w:bottom w:val="nil"/>
          <w:right w:val="nil"/>
          <w:between w:val="nil"/>
        </w:pBdr>
        <w:tabs>
          <w:tab w:val="left" w:pos="360"/>
        </w:tabs>
        <w:spacing w:before="80"/>
        <w:rPr>
          <w:b/>
          <w:color w:val="000000"/>
        </w:rPr>
      </w:pPr>
      <w:r>
        <w:rPr>
          <w:b/>
        </w:rPr>
        <w:t xml:space="preserve">8. </w:t>
      </w:r>
      <w:r>
        <w:rPr>
          <w:b/>
          <w:color w:val="000000"/>
        </w:rPr>
        <w:t>If a</w:t>
      </w:r>
      <w:r>
        <w:rPr>
          <w:b/>
          <w:color w:val="000000"/>
        </w:rPr>
        <w:t>pplicable, provide a copy and identify the date and page number of publications in the Federal Register of the agency's notice, required by 5 CFR 1320.8 (d), soliciting comments on the information collection prior to submission to OMB. Summarize public com</w:t>
      </w:r>
      <w:r>
        <w:rPr>
          <w:b/>
          <w:color w:val="000000"/>
        </w:rPr>
        <w:t>ments received in response to that notice and describe actions taken by the agency in response to these comments. Specifically address comments received on cost and hour burden.</w:t>
      </w:r>
    </w:p>
    <w:p w:rsidR="00574A0F" w:rsidP="00A75451" w:rsidRDefault="00606F36">
      <w:pPr>
        <w:spacing w:before="160"/>
        <w:rPr>
          <w:color w:val="333333"/>
        </w:rPr>
      </w:pPr>
      <w:r>
        <w:rPr>
          <w:color w:val="333333"/>
        </w:rPr>
        <w:t xml:space="preserve">A Federal Register Notice published on September 22, 2021 </w:t>
      </w:r>
      <w:r w:rsidR="00A75451">
        <w:rPr>
          <w:color w:val="333333"/>
        </w:rPr>
        <w:t>(86 FR 52649)</w:t>
      </w:r>
      <w:r>
        <w:rPr>
          <w:color w:val="333333"/>
        </w:rPr>
        <w:t xml:space="preserve"> solicited public comments. No comments were received.</w:t>
      </w:r>
      <w:hyperlink r:id="rId7">
        <w:r>
          <w:rPr>
            <w:color w:val="333333"/>
          </w:rPr>
          <w:t xml:space="preserve"> </w:t>
        </w:r>
      </w:hyperlink>
    </w:p>
    <w:p w:rsidR="00A75451" w:rsidP="00A75451" w:rsidRDefault="00A75451">
      <w:pPr>
        <w:spacing w:before="160"/>
        <w:rPr>
          <w:color w:val="333333"/>
        </w:rPr>
      </w:pPr>
    </w:p>
    <w:p w:rsidR="00574A0F" w:rsidRDefault="00606F36">
      <w:pPr>
        <w:pBdr>
          <w:top w:val="nil"/>
          <w:left w:val="nil"/>
          <w:bottom w:val="nil"/>
          <w:right w:val="nil"/>
          <w:between w:val="nil"/>
        </w:pBdr>
        <w:tabs>
          <w:tab w:val="left" w:pos="360"/>
        </w:tabs>
        <w:spacing w:before="80"/>
        <w:rPr>
          <w:b/>
          <w:color w:val="000000"/>
        </w:rPr>
      </w:pPr>
      <w:r>
        <w:rPr>
          <w:b/>
        </w:rPr>
        <w:t>9</w:t>
      </w:r>
      <w:r>
        <w:rPr>
          <w:b/>
        </w:rPr>
        <w:t xml:space="preserve">. </w:t>
      </w:r>
      <w:r>
        <w:rPr>
          <w:b/>
          <w:color w:val="000000"/>
        </w:rPr>
        <w:t>Explain any decision to provide any payment or gift to respondents, other than remuneration of contractors or grantees.</w:t>
      </w:r>
    </w:p>
    <w:p w:rsidR="00574A0F" w:rsidRDefault="00606F36">
      <w:pPr>
        <w:pBdr>
          <w:top w:val="nil"/>
          <w:left w:val="nil"/>
          <w:bottom w:val="nil"/>
          <w:right w:val="nil"/>
          <w:between w:val="nil"/>
        </w:pBdr>
        <w:tabs>
          <w:tab w:val="left" w:pos="360"/>
        </w:tabs>
        <w:spacing w:before="80"/>
      </w:pPr>
      <w:r>
        <w:t>No incentives will be provided for participation.</w:t>
      </w:r>
    </w:p>
    <w:p w:rsidR="00574A0F" w:rsidRDefault="00574A0F">
      <w:pPr>
        <w:pBdr>
          <w:top w:val="nil"/>
          <w:left w:val="nil"/>
          <w:bottom w:val="nil"/>
          <w:right w:val="nil"/>
          <w:between w:val="nil"/>
        </w:pBdr>
        <w:tabs>
          <w:tab w:val="left" w:pos="360"/>
        </w:tabs>
        <w:spacing w:before="80"/>
        <w:rPr>
          <w:b/>
        </w:rPr>
      </w:pPr>
    </w:p>
    <w:p w:rsidR="00574A0F" w:rsidRDefault="00606F36">
      <w:pPr>
        <w:pBdr>
          <w:top w:val="nil"/>
          <w:left w:val="nil"/>
          <w:bottom w:val="nil"/>
          <w:right w:val="nil"/>
          <w:between w:val="nil"/>
        </w:pBdr>
        <w:tabs>
          <w:tab w:val="left" w:pos="360"/>
        </w:tabs>
        <w:spacing w:before="80"/>
      </w:pPr>
      <w:r>
        <w:rPr>
          <w:b/>
        </w:rPr>
        <w:t xml:space="preserve">10. </w:t>
      </w:r>
      <w:r>
        <w:rPr>
          <w:b/>
          <w:color w:val="000000"/>
        </w:rPr>
        <w:t>Describe any assur</w:t>
      </w:r>
      <w:r>
        <w:rPr>
          <w:b/>
          <w:color w:val="000000"/>
        </w:rPr>
        <w:t xml:space="preserve">ance of confidentiality provided to respondents and the basis for the assurance in statute, regulation, or agency policy. If the collection requires a systems of records notice (SORN) or privacy impact assessment (PIA), those should be cited and described </w:t>
      </w:r>
      <w:r>
        <w:rPr>
          <w:b/>
          <w:color w:val="000000"/>
        </w:rPr>
        <w:t>here.</w:t>
      </w:r>
    </w:p>
    <w:p w:rsidR="00574A0F" w:rsidRDefault="00606F36">
      <w:pPr>
        <w:spacing w:before="160"/>
      </w:pPr>
      <w:r>
        <w:t xml:space="preserve">No Personal Identifiable Information will be collected in this study. </w:t>
      </w:r>
    </w:p>
    <w:p w:rsidR="00574A0F" w:rsidRDefault="00574A0F">
      <w:pPr>
        <w:pBdr>
          <w:top w:val="nil"/>
          <w:left w:val="nil"/>
          <w:bottom w:val="nil"/>
          <w:right w:val="nil"/>
          <w:between w:val="nil"/>
        </w:pBdr>
        <w:spacing w:before="158"/>
        <w:rPr>
          <w:color w:val="2F5496"/>
        </w:rPr>
      </w:pPr>
    </w:p>
    <w:p w:rsidR="00574A0F" w:rsidRDefault="00606F36">
      <w:pPr>
        <w:pBdr>
          <w:top w:val="nil"/>
          <w:left w:val="nil"/>
          <w:bottom w:val="nil"/>
          <w:right w:val="nil"/>
          <w:between w:val="nil"/>
        </w:pBdr>
        <w:tabs>
          <w:tab w:val="left" w:pos="360"/>
        </w:tabs>
        <w:spacing w:before="80"/>
        <w:rPr>
          <w:b/>
          <w:color w:val="000000"/>
        </w:rPr>
      </w:pPr>
      <w:r>
        <w:rPr>
          <w:b/>
        </w:rPr>
        <w:t xml:space="preserve">11. </w:t>
      </w:r>
      <w:r>
        <w:rPr>
          <w:b/>
          <w:color w:val="000000"/>
        </w:rPr>
        <w:t>Provide additional justification for any questions of a sensitive nature, such as sexual behavior or attitudes, religious beliefs, and other matters that are commonly considered private. This justification should include the reasons why the agency consider</w:t>
      </w:r>
      <w:r>
        <w:rPr>
          <w:b/>
          <w:color w:val="000000"/>
        </w:rPr>
        <w:t>s the questions necessary, the specific uses to be made of the information, the explanation to be given to persons from whom the information is requested, and any steps to be taken to obtain their consent.</w:t>
      </w:r>
    </w:p>
    <w:p w:rsidR="00574A0F" w:rsidRDefault="00606F36">
      <w:pPr>
        <w:spacing w:before="115"/>
      </w:pPr>
      <w:r>
        <w:t xml:space="preserve">No information collected will not be of sensitive </w:t>
      </w:r>
      <w:r>
        <w:t>nature.</w:t>
      </w:r>
    </w:p>
    <w:p w:rsidR="00574A0F" w:rsidRDefault="00574A0F">
      <w:pPr>
        <w:spacing w:before="115"/>
        <w:sectPr w:rsidR="00574A0F">
          <w:pgSz w:w="12240" w:h="15840"/>
          <w:pgMar w:top="640" w:right="1080" w:bottom="1200" w:left="1080" w:header="0" w:footer="714" w:gutter="0"/>
          <w:pgNumType w:start="1"/>
          <w:cols w:space="720"/>
        </w:sectPr>
      </w:pPr>
    </w:p>
    <w:p w:rsidR="00574A0F" w:rsidRDefault="00574A0F">
      <w:pPr>
        <w:spacing w:line="259" w:lineRule="auto"/>
      </w:pPr>
    </w:p>
    <w:p w:rsidR="00574A0F" w:rsidRDefault="00606F36">
      <w:pPr>
        <w:pBdr>
          <w:top w:val="nil"/>
          <w:left w:val="nil"/>
          <w:bottom w:val="nil"/>
          <w:right w:val="nil"/>
          <w:between w:val="nil"/>
        </w:pBdr>
        <w:tabs>
          <w:tab w:val="left" w:pos="360"/>
        </w:tabs>
        <w:spacing w:before="80"/>
        <w:rPr>
          <w:b/>
          <w:color w:val="000000"/>
        </w:rPr>
      </w:pPr>
      <w:r>
        <w:rPr>
          <w:b/>
        </w:rPr>
        <w:t xml:space="preserve">12. </w:t>
      </w:r>
      <w:r>
        <w:rPr>
          <w:b/>
          <w:color w:val="000000"/>
        </w:rPr>
        <w:t>Provide estimates of the hour burden of the collection of information.</w:t>
      </w:r>
    </w:p>
    <w:p w:rsidR="00574A0F" w:rsidRDefault="00574A0F">
      <w:pPr>
        <w:spacing w:line="259" w:lineRule="auto"/>
        <w:ind w:hanging="43"/>
        <w:jc w:val="center"/>
        <w:rPr>
          <w:b/>
          <w:color w:val="FF0000"/>
        </w:rPr>
      </w:pPr>
    </w:p>
    <w:tbl>
      <w:tblPr>
        <w:tblStyle w:val="a4"/>
        <w:tblW w:w="14415" w:type="dxa"/>
        <w:tblInd w:w="-25" w:type="dxa"/>
        <w:tblLayout w:type="fixed"/>
        <w:tblLook w:val="0400" w:firstRow="0" w:lastRow="0" w:firstColumn="0" w:lastColumn="0" w:noHBand="0" w:noVBand="1"/>
      </w:tblPr>
      <w:tblGrid>
        <w:gridCol w:w="3560"/>
        <w:gridCol w:w="1945"/>
        <w:gridCol w:w="1530"/>
        <w:gridCol w:w="1260"/>
        <w:gridCol w:w="1170"/>
        <w:gridCol w:w="1080"/>
        <w:gridCol w:w="1137"/>
        <w:gridCol w:w="1066"/>
        <w:gridCol w:w="1667"/>
      </w:tblGrid>
      <w:tr w:rsidR="00574A0F" w:rsidTr="00A960A5">
        <w:trPr>
          <w:trHeight w:val="1365"/>
        </w:trPr>
        <w:tc>
          <w:tcPr>
            <w:tcW w:w="3560" w:type="dxa"/>
            <w:tcBorders>
              <w:top w:val="single" w:color="000000" w:sz="8" w:space="0"/>
              <w:left w:val="single" w:color="000000" w:sz="8" w:space="0"/>
              <w:bottom w:val="single" w:color="000000" w:sz="8" w:space="0"/>
              <w:right w:val="single" w:color="000000" w:sz="8" w:space="0"/>
            </w:tcBorders>
            <w:shd w:val="clear" w:color="auto" w:fill="BDD7EE"/>
            <w:vAlign w:val="center"/>
          </w:tcPr>
          <w:p w:rsidR="00574A0F" w:rsidRDefault="00606F36">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Information Collection</w:t>
            </w:r>
          </w:p>
        </w:tc>
        <w:tc>
          <w:tcPr>
            <w:tcW w:w="1945" w:type="dxa"/>
            <w:tcBorders>
              <w:top w:val="single" w:color="000000" w:sz="8" w:space="0"/>
              <w:left w:val="nil"/>
              <w:bottom w:val="single" w:color="000000" w:sz="8" w:space="0"/>
              <w:right w:val="single" w:color="000000" w:sz="8" w:space="0"/>
            </w:tcBorders>
            <w:shd w:val="clear" w:color="auto" w:fill="BDD7EE"/>
            <w:vAlign w:val="center"/>
          </w:tcPr>
          <w:p w:rsidR="00574A0F" w:rsidRDefault="00606F36">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Type of Respondent (e.g., Occupational Title)</w:t>
            </w:r>
          </w:p>
        </w:tc>
        <w:tc>
          <w:tcPr>
            <w:tcW w:w="1530" w:type="dxa"/>
            <w:tcBorders>
              <w:top w:val="single" w:color="000000" w:sz="8" w:space="0"/>
              <w:left w:val="nil"/>
              <w:bottom w:val="single" w:color="000000" w:sz="8" w:space="0"/>
              <w:right w:val="single" w:color="000000" w:sz="8" w:space="0"/>
            </w:tcBorders>
            <w:shd w:val="clear" w:color="auto" w:fill="BDD7EE"/>
            <w:vAlign w:val="center"/>
          </w:tcPr>
          <w:p w:rsidR="00574A0F" w:rsidRDefault="00606F36">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of Respondents/year</w:t>
            </w:r>
            <w:r>
              <w:rPr>
                <w:rFonts w:ascii="Calibri" w:hAnsi="Calibri" w:eastAsia="Calibri" w:cs="Calibri"/>
                <w:b/>
                <w:color w:val="000000"/>
                <w:sz w:val="16"/>
                <w:szCs w:val="16"/>
              </w:rPr>
              <w:br/>
              <w:t>(a)</w:t>
            </w:r>
          </w:p>
        </w:tc>
        <w:tc>
          <w:tcPr>
            <w:tcW w:w="1260" w:type="dxa"/>
            <w:tcBorders>
              <w:top w:val="single" w:color="000000" w:sz="8" w:space="0"/>
              <w:left w:val="nil"/>
              <w:bottom w:val="single" w:color="000000" w:sz="8" w:space="0"/>
              <w:right w:val="single" w:color="000000" w:sz="8" w:space="0"/>
            </w:tcBorders>
            <w:shd w:val="clear" w:color="auto" w:fill="BDD7EE"/>
            <w:vAlign w:val="center"/>
          </w:tcPr>
          <w:p w:rsidR="00574A0F" w:rsidRDefault="00606F36">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Annual # of Responses / Respondent</w:t>
            </w:r>
            <w:r>
              <w:rPr>
                <w:rFonts w:ascii="Calibri" w:hAnsi="Calibri" w:eastAsia="Calibri" w:cs="Calibri"/>
                <w:b/>
                <w:color w:val="000000"/>
                <w:sz w:val="16"/>
                <w:szCs w:val="16"/>
              </w:rPr>
              <w:br/>
              <w:t>(b)</w:t>
            </w:r>
          </w:p>
        </w:tc>
        <w:tc>
          <w:tcPr>
            <w:tcW w:w="1170" w:type="dxa"/>
            <w:tcBorders>
              <w:top w:val="single" w:color="000000" w:sz="8" w:space="0"/>
              <w:left w:val="nil"/>
              <w:bottom w:val="single" w:color="000000" w:sz="8" w:space="0"/>
              <w:right w:val="single" w:color="000000" w:sz="8" w:space="0"/>
            </w:tcBorders>
            <w:shd w:val="clear" w:color="auto" w:fill="BDD7EE"/>
            <w:vAlign w:val="center"/>
          </w:tcPr>
          <w:p w:rsidR="00574A0F" w:rsidRDefault="00606F36">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 Total # of Annu</w:t>
            </w:r>
            <w:r>
              <w:rPr>
                <w:rFonts w:ascii="Calibri" w:hAnsi="Calibri" w:eastAsia="Calibri" w:cs="Calibri"/>
                <w:b/>
                <w:color w:val="000000"/>
                <w:sz w:val="16"/>
                <w:szCs w:val="16"/>
              </w:rPr>
              <w:t>al Responses</w:t>
            </w:r>
            <w:r>
              <w:rPr>
                <w:rFonts w:ascii="Calibri" w:hAnsi="Calibri" w:eastAsia="Calibri" w:cs="Calibri"/>
                <w:b/>
                <w:color w:val="000000"/>
                <w:sz w:val="16"/>
                <w:szCs w:val="16"/>
              </w:rPr>
              <w:br/>
              <w:t>(c) = (a) x (b)</w:t>
            </w:r>
          </w:p>
        </w:tc>
        <w:tc>
          <w:tcPr>
            <w:tcW w:w="1080" w:type="dxa"/>
            <w:tcBorders>
              <w:top w:val="single" w:color="000000" w:sz="8" w:space="0"/>
              <w:left w:val="nil"/>
              <w:bottom w:val="single" w:color="000000" w:sz="8" w:space="0"/>
              <w:right w:val="single" w:color="000000" w:sz="8" w:space="0"/>
            </w:tcBorders>
            <w:shd w:val="clear" w:color="auto" w:fill="BDD7EE"/>
            <w:vAlign w:val="center"/>
          </w:tcPr>
          <w:p w:rsidR="00574A0F" w:rsidRDefault="00606F36">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Burden </w:t>
            </w:r>
            <w:proofErr w:type="spellStart"/>
            <w:r>
              <w:rPr>
                <w:rFonts w:ascii="Calibri" w:hAnsi="Calibri" w:eastAsia="Calibri" w:cs="Calibri"/>
                <w:b/>
                <w:color w:val="000000"/>
                <w:sz w:val="16"/>
                <w:szCs w:val="16"/>
              </w:rPr>
              <w:t>Hrs</w:t>
            </w:r>
            <w:proofErr w:type="spellEnd"/>
            <w:r>
              <w:rPr>
                <w:rFonts w:ascii="Calibri" w:hAnsi="Calibri" w:eastAsia="Calibri" w:cs="Calibri"/>
                <w:b/>
                <w:color w:val="000000"/>
                <w:sz w:val="16"/>
                <w:szCs w:val="16"/>
              </w:rPr>
              <w:t xml:space="preserve"> / Response</w:t>
            </w:r>
            <w:r>
              <w:rPr>
                <w:rFonts w:ascii="Calibri" w:hAnsi="Calibri" w:eastAsia="Calibri" w:cs="Calibri"/>
                <w:b/>
                <w:color w:val="000000"/>
                <w:sz w:val="16"/>
                <w:szCs w:val="16"/>
              </w:rPr>
              <w:br/>
              <w:t>(d)</w:t>
            </w:r>
          </w:p>
        </w:tc>
        <w:tc>
          <w:tcPr>
            <w:tcW w:w="1137" w:type="dxa"/>
            <w:tcBorders>
              <w:top w:val="single" w:color="000000" w:sz="8" w:space="0"/>
              <w:left w:val="nil"/>
              <w:bottom w:val="single" w:color="000000" w:sz="8" w:space="0"/>
              <w:right w:val="single" w:color="000000" w:sz="8" w:space="0"/>
            </w:tcBorders>
            <w:shd w:val="clear" w:color="auto" w:fill="BDD7EE"/>
            <w:vAlign w:val="center"/>
          </w:tcPr>
          <w:p w:rsidR="00574A0F" w:rsidRDefault="00606F36">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Total Annual Burden </w:t>
            </w:r>
            <w:proofErr w:type="spellStart"/>
            <w:r>
              <w:rPr>
                <w:rFonts w:ascii="Calibri" w:hAnsi="Calibri" w:eastAsia="Calibri" w:cs="Calibri"/>
                <w:b/>
                <w:color w:val="000000"/>
                <w:sz w:val="16"/>
                <w:szCs w:val="16"/>
              </w:rPr>
              <w:t>Hrs</w:t>
            </w:r>
            <w:proofErr w:type="spellEnd"/>
            <w:r>
              <w:rPr>
                <w:rFonts w:ascii="Calibri" w:hAnsi="Calibri" w:eastAsia="Calibri" w:cs="Calibri"/>
                <w:b/>
                <w:color w:val="000000"/>
                <w:sz w:val="16"/>
                <w:szCs w:val="16"/>
              </w:rPr>
              <w:br/>
              <w:t>(e)  = (c) x (d)</w:t>
            </w:r>
          </w:p>
        </w:tc>
        <w:tc>
          <w:tcPr>
            <w:tcW w:w="1066" w:type="dxa"/>
            <w:tcBorders>
              <w:top w:val="single" w:color="000000" w:sz="8" w:space="0"/>
              <w:left w:val="nil"/>
              <w:bottom w:val="single" w:color="000000" w:sz="8" w:space="0"/>
              <w:right w:val="single" w:color="000000" w:sz="8" w:space="0"/>
            </w:tcBorders>
            <w:shd w:val="clear" w:color="auto" w:fill="BDD7EE"/>
            <w:vAlign w:val="center"/>
          </w:tcPr>
          <w:p w:rsidR="00574A0F" w:rsidRDefault="00606F36">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Hourly Wage Rate  (for Type of Respondent)</w:t>
            </w:r>
            <w:r>
              <w:rPr>
                <w:rFonts w:ascii="Calibri" w:hAnsi="Calibri" w:eastAsia="Calibri" w:cs="Calibri"/>
                <w:b/>
                <w:color w:val="000000"/>
                <w:sz w:val="16"/>
                <w:szCs w:val="16"/>
              </w:rPr>
              <w:br/>
              <w:t>(f)</w:t>
            </w:r>
          </w:p>
        </w:tc>
        <w:tc>
          <w:tcPr>
            <w:tcW w:w="1667" w:type="dxa"/>
            <w:tcBorders>
              <w:top w:val="single" w:color="000000" w:sz="8" w:space="0"/>
              <w:left w:val="nil"/>
              <w:bottom w:val="single" w:color="000000" w:sz="8" w:space="0"/>
              <w:right w:val="single" w:color="000000" w:sz="8" w:space="0"/>
            </w:tcBorders>
            <w:shd w:val="clear" w:color="auto" w:fill="BDD7EE"/>
            <w:vAlign w:val="center"/>
          </w:tcPr>
          <w:p w:rsidR="00574A0F" w:rsidRDefault="00606F36">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Annual Wage Burden Costs</w:t>
            </w:r>
            <w:r>
              <w:rPr>
                <w:rFonts w:ascii="Calibri" w:hAnsi="Calibri" w:eastAsia="Calibri" w:cs="Calibri"/>
                <w:b/>
                <w:color w:val="000000"/>
                <w:sz w:val="16"/>
                <w:szCs w:val="16"/>
              </w:rPr>
              <w:br/>
              <w:t>(g) = (e) x (f)</w:t>
            </w:r>
          </w:p>
        </w:tc>
      </w:tr>
      <w:tr w:rsidR="00574A0F" w:rsidTr="00A960A5">
        <w:trPr>
          <w:trHeight w:val="300"/>
        </w:trPr>
        <w:tc>
          <w:tcPr>
            <w:tcW w:w="3560" w:type="dxa"/>
            <w:tcBorders>
              <w:top w:val="nil"/>
              <w:left w:val="single" w:color="000000" w:sz="8" w:space="0"/>
              <w:bottom w:val="single" w:color="000000" w:sz="4" w:space="0"/>
              <w:right w:val="single" w:color="000000" w:sz="4" w:space="0"/>
            </w:tcBorders>
            <w:shd w:val="clear" w:color="auto" w:fill="auto"/>
            <w:vAlign w:val="bottom"/>
          </w:tcPr>
          <w:p w:rsidR="00574A0F" w:rsidRDefault="00606F36">
            <w:pPr>
              <w:widowControl/>
              <w:rPr>
                <w:rFonts w:ascii="Calibri" w:hAnsi="Calibri" w:eastAsia="Calibri" w:cs="Calibri"/>
                <w:sz w:val="16"/>
                <w:szCs w:val="16"/>
              </w:rPr>
            </w:pPr>
            <w:r>
              <w:rPr>
                <w:rFonts w:ascii="Calibri" w:hAnsi="Calibri" w:eastAsia="Calibri" w:cs="Calibri"/>
                <w:sz w:val="16"/>
                <w:szCs w:val="16"/>
              </w:rPr>
              <w:t> Severe Weather Longitudinal Survey</w:t>
            </w:r>
          </w:p>
        </w:tc>
        <w:tc>
          <w:tcPr>
            <w:tcW w:w="1945" w:type="dxa"/>
            <w:tcBorders>
              <w:top w:val="nil"/>
              <w:left w:val="nil"/>
              <w:bottom w:val="single" w:color="000000" w:sz="4" w:space="0"/>
              <w:right w:val="single" w:color="000000" w:sz="4" w:space="0"/>
            </w:tcBorders>
            <w:shd w:val="clear" w:color="auto" w:fill="auto"/>
            <w:vAlign w:val="bottom"/>
          </w:tcPr>
          <w:p w:rsidR="00574A0F" w:rsidRDefault="00606F36">
            <w:pPr>
              <w:widowControl/>
              <w:jc w:val="center"/>
              <w:rPr>
                <w:rFonts w:ascii="Calibri" w:hAnsi="Calibri" w:eastAsia="Calibri" w:cs="Calibri"/>
                <w:sz w:val="16"/>
                <w:szCs w:val="16"/>
              </w:rPr>
            </w:pPr>
            <w:r>
              <w:rPr>
                <w:rFonts w:ascii="Calibri" w:hAnsi="Calibri" w:eastAsia="Calibri" w:cs="Calibri"/>
                <w:sz w:val="16"/>
                <w:szCs w:val="16"/>
              </w:rPr>
              <w:t>General Public</w:t>
            </w:r>
          </w:p>
        </w:tc>
        <w:tc>
          <w:tcPr>
            <w:tcW w:w="1530" w:type="dxa"/>
            <w:tcBorders>
              <w:top w:val="nil"/>
              <w:left w:val="nil"/>
              <w:bottom w:val="single" w:color="000000" w:sz="4" w:space="0"/>
              <w:right w:val="single" w:color="000000" w:sz="4" w:space="0"/>
            </w:tcBorders>
            <w:shd w:val="clear" w:color="auto" w:fill="auto"/>
            <w:vAlign w:val="bottom"/>
          </w:tcPr>
          <w:p w:rsidR="00574A0F" w:rsidP="00A960A5" w:rsidRDefault="002D3857">
            <w:pPr>
              <w:widowControl/>
              <w:jc w:val="right"/>
              <w:rPr>
                <w:rFonts w:ascii="Calibri" w:hAnsi="Calibri" w:eastAsia="Calibri" w:cs="Calibri"/>
                <w:sz w:val="16"/>
                <w:szCs w:val="16"/>
              </w:rPr>
            </w:pPr>
            <w:r>
              <w:rPr>
                <w:rFonts w:ascii="Calibri" w:hAnsi="Calibri" w:eastAsia="Calibri" w:cs="Calibri"/>
                <w:sz w:val="16"/>
                <w:szCs w:val="16"/>
              </w:rPr>
              <w:t>1550</w:t>
            </w:r>
            <w:r w:rsidR="00606F36">
              <w:rPr>
                <w:rFonts w:ascii="Calibri" w:hAnsi="Calibri" w:eastAsia="Calibri" w:cs="Calibri"/>
                <w:sz w:val="16"/>
                <w:szCs w:val="16"/>
              </w:rPr>
              <w:t> </w:t>
            </w:r>
          </w:p>
        </w:tc>
        <w:tc>
          <w:tcPr>
            <w:tcW w:w="1260" w:type="dxa"/>
            <w:tcBorders>
              <w:top w:val="nil"/>
              <w:left w:val="nil"/>
              <w:bottom w:val="single" w:color="000000" w:sz="4" w:space="0"/>
              <w:right w:val="single" w:color="000000" w:sz="4" w:space="0"/>
            </w:tcBorders>
            <w:shd w:val="clear" w:color="auto" w:fill="auto"/>
            <w:vAlign w:val="bottom"/>
          </w:tcPr>
          <w:p w:rsidR="00574A0F" w:rsidRDefault="00606F36">
            <w:pPr>
              <w:widowControl/>
              <w:jc w:val="right"/>
              <w:rPr>
                <w:rFonts w:ascii="Calibri" w:hAnsi="Calibri" w:eastAsia="Calibri" w:cs="Calibri"/>
                <w:sz w:val="16"/>
                <w:szCs w:val="16"/>
              </w:rPr>
            </w:pPr>
            <w:r>
              <w:rPr>
                <w:rFonts w:ascii="Calibri" w:hAnsi="Calibri" w:eastAsia="Calibri" w:cs="Calibri"/>
                <w:sz w:val="16"/>
                <w:szCs w:val="16"/>
              </w:rPr>
              <w:t>1</w:t>
            </w:r>
          </w:p>
        </w:tc>
        <w:tc>
          <w:tcPr>
            <w:tcW w:w="1170" w:type="dxa"/>
            <w:tcBorders>
              <w:top w:val="nil"/>
              <w:left w:val="nil"/>
              <w:bottom w:val="single" w:color="000000" w:sz="4" w:space="0"/>
              <w:right w:val="single" w:color="000000" w:sz="4" w:space="0"/>
            </w:tcBorders>
            <w:shd w:val="clear" w:color="auto" w:fill="auto"/>
            <w:vAlign w:val="bottom"/>
          </w:tcPr>
          <w:p w:rsidR="00574A0F" w:rsidP="00A960A5" w:rsidRDefault="002D3857">
            <w:pPr>
              <w:widowControl/>
              <w:jc w:val="right"/>
              <w:rPr>
                <w:rFonts w:ascii="Calibri" w:hAnsi="Calibri" w:eastAsia="Calibri" w:cs="Calibri"/>
                <w:sz w:val="16"/>
                <w:szCs w:val="16"/>
              </w:rPr>
            </w:pPr>
            <w:r>
              <w:rPr>
                <w:rFonts w:ascii="Calibri" w:hAnsi="Calibri" w:eastAsia="Calibri" w:cs="Calibri"/>
                <w:sz w:val="16"/>
                <w:szCs w:val="16"/>
              </w:rPr>
              <w:t>1550</w:t>
            </w:r>
            <w:r w:rsidR="00A960A5">
              <w:rPr>
                <w:rFonts w:ascii="Calibri" w:hAnsi="Calibri" w:eastAsia="Calibri" w:cs="Calibri"/>
                <w:sz w:val="16"/>
                <w:szCs w:val="16"/>
              </w:rPr>
              <w:t xml:space="preserve"> </w:t>
            </w:r>
          </w:p>
        </w:tc>
        <w:tc>
          <w:tcPr>
            <w:tcW w:w="1080" w:type="dxa"/>
            <w:tcBorders>
              <w:top w:val="nil"/>
              <w:left w:val="nil"/>
              <w:bottom w:val="single" w:color="000000" w:sz="4" w:space="0"/>
              <w:right w:val="single" w:color="000000" w:sz="4" w:space="0"/>
            </w:tcBorders>
            <w:shd w:val="clear" w:color="auto" w:fill="auto"/>
            <w:vAlign w:val="bottom"/>
          </w:tcPr>
          <w:p w:rsidR="00574A0F" w:rsidRDefault="00606F36">
            <w:pPr>
              <w:widowControl/>
              <w:jc w:val="right"/>
              <w:rPr>
                <w:rFonts w:ascii="Calibri" w:hAnsi="Calibri" w:eastAsia="Calibri" w:cs="Calibri"/>
                <w:sz w:val="16"/>
                <w:szCs w:val="16"/>
              </w:rPr>
            </w:pPr>
            <w:r>
              <w:rPr>
                <w:rFonts w:ascii="Calibri" w:hAnsi="Calibri" w:eastAsia="Calibri" w:cs="Calibri"/>
                <w:sz w:val="16"/>
                <w:szCs w:val="16"/>
              </w:rPr>
              <w:t>.</w:t>
            </w:r>
            <w:r>
              <w:rPr>
                <w:rFonts w:ascii="Calibri" w:hAnsi="Calibri" w:eastAsia="Calibri" w:cs="Calibri"/>
                <w:sz w:val="16"/>
                <w:szCs w:val="16"/>
              </w:rPr>
              <w:t>4</w:t>
            </w:r>
          </w:p>
        </w:tc>
        <w:tc>
          <w:tcPr>
            <w:tcW w:w="1137" w:type="dxa"/>
            <w:tcBorders>
              <w:top w:val="nil"/>
              <w:left w:val="nil"/>
              <w:bottom w:val="single" w:color="000000" w:sz="4" w:space="0"/>
              <w:right w:val="single" w:color="000000" w:sz="4" w:space="0"/>
            </w:tcBorders>
            <w:shd w:val="clear" w:color="auto" w:fill="auto"/>
            <w:vAlign w:val="bottom"/>
          </w:tcPr>
          <w:p w:rsidR="00574A0F" w:rsidRDefault="002D3857">
            <w:pPr>
              <w:widowControl/>
              <w:jc w:val="right"/>
              <w:rPr>
                <w:rFonts w:ascii="Calibri" w:hAnsi="Calibri" w:eastAsia="Calibri" w:cs="Calibri"/>
                <w:sz w:val="16"/>
                <w:szCs w:val="16"/>
              </w:rPr>
            </w:pPr>
            <w:r>
              <w:rPr>
                <w:rFonts w:ascii="Calibri" w:hAnsi="Calibri" w:eastAsia="Calibri" w:cs="Calibri"/>
                <w:sz w:val="16"/>
                <w:szCs w:val="16"/>
              </w:rPr>
              <w:t>620</w:t>
            </w:r>
          </w:p>
        </w:tc>
        <w:tc>
          <w:tcPr>
            <w:tcW w:w="1066" w:type="dxa"/>
            <w:tcBorders>
              <w:top w:val="nil"/>
              <w:left w:val="nil"/>
              <w:bottom w:val="single" w:color="000000" w:sz="4" w:space="0"/>
              <w:right w:val="single" w:color="000000" w:sz="4" w:space="0"/>
            </w:tcBorders>
            <w:shd w:val="clear" w:color="auto" w:fill="auto"/>
            <w:vAlign w:val="bottom"/>
          </w:tcPr>
          <w:p w:rsidR="00574A0F" w:rsidRDefault="00606F36">
            <w:pPr>
              <w:widowControl/>
              <w:jc w:val="right"/>
              <w:rPr>
                <w:rFonts w:ascii="Calibri" w:hAnsi="Calibri" w:eastAsia="Calibri" w:cs="Calibri"/>
                <w:sz w:val="16"/>
                <w:szCs w:val="16"/>
              </w:rPr>
            </w:pPr>
            <w:r>
              <w:rPr>
                <w:rFonts w:ascii="Calibri" w:hAnsi="Calibri" w:eastAsia="Calibri" w:cs="Calibri"/>
                <w:sz w:val="16"/>
                <w:szCs w:val="16"/>
              </w:rPr>
              <w:t>20.17 </w:t>
            </w:r>
          </w:p>
        </w:tc>
        <w:tc>
          <w:tcPr>
            <w:tcW w:w="1667" w:type="dxa"/>
            <w:tcBorders>
              <w:top w:val="nil"/>
              <w:left w:val="nil"/>
              <w:bottom w:val="single" w:color="000000" w:sz="4" w:space="0"/>
              <w:right w:val="single" w:color="000000" w:sz="8" w:space="0"/>
            </w:tcBorders>
            <w:shd w:val="clear" w:color="auto" w:fill="auto"/>
            <w:vAlign w:val="bottom"/>
          </w:tcPr>
          <w:p w:rsidR="00574A0F" w:rsidRDefault="0080496E">
            <w:pPr>
              <w:widowControl/>
              <w:jc w:val="right"/>
              <w:rPr>
                <w:rFonts w:ascii="Calibri" w:hAnsi="Calibri" w:eastAsia="Calibri" w:cs="Calibri"/>
                <w:sz w:val="16"/>
                <w:szCs w:val="16"/>
              </w:rPr>
            </w:pPr>
            <w:r>
              <w:rPr>
                <w:rFonts w:ascii="Calibri" w:hAnsi="Calibri" w:eastAsia="Calibri" w:cs="Calibri"/>
                <w:sz w:val="16"/>
                <w:szCs w:val="16"/>
              </w:rPr>
              <w:t>$12,505</w:t>
            </w:r>
            <w:r w:rsidR="00606F36">
              <w:rPr>
                <w:rFonts w:ascii="Calibri" w:hAnsi="Calibri" w:eastAsia="Calibri" w:cs="Calibri"/>
                <w:sz w:val="16"/>
                <w:szCs w:val="16"/>
              </w:rPr>
              <w:t> </w:t>
            </w:r>
          </w:p>
        </w:tc>
      </w:tr>
      <w:tr w:rsidR="0080496E" w:rsidTr="0080496E">
        <w:trPr>
          <w:trHeight w:val="300"/>
        </w:trPr>
        <w:tc>
          <w:tcPr>
            <w:tcW w:w="3560" w:type="dxa"/>
            <w:tcBorders>
              <w:top w:val="nil"/>
              <w:left w:val="single" w:color="000000" w:sz="8" w:space="0"/>
              <w:bottom w:val="single" w:color="000000" w:sz="4" w:space="0"/>
              <w:right w:val="single" w:color="000000" w:sz="4" w:space="0"/>
            </w:tcBorders>
            <w:shd w:val="clear" w:color="auto" w:fill="auto"/>
            <w:vAlign w:val="bottom"/>
          </w:tcPr>
          <w:p w:rsidR="0080496E" w:rsidP="0080496E" w:rsidRDefault="0080496E">
            <w:pPr>
              <w:widowControl/>
              <w:rPr>
                <w:rFonts w:ascii="Calibri" w:hAnsi="Calibri" w:eastAsia="Calibri" w:cs="Calibri"/>
                <w:sz w:val="16"/>
                <w:szCs w:val="16"/>
              </w:rPr>
            </w:pPr>
            <w:r>
              <w:rPr>
                <w:rFonts w:ascii="Calibri" w:hAnsi="Calibri" w:eastAsia="Calibri" w:cs="Calibri"/>
                <w:sz w:val="16"/>
                <w:szCs w:val="16"/>
              </w:rPr>
              <w:t> Winter Weather Longitudinal Survey</w:t>
            </w:r>
          </w:p>
        </w:tc>
        <w:tc>
          <w:tcPr>
            <w:tcW w:w="1945" w:type="dxa"/>
            <w:tcBorders>
              <w:top w:val="nil"/>
              <w:left w:val="nil"/>
              <w:bottom w:val="single" w:color="000000" w:sz="4" w:space="0"/>
              <w:right w:val="single" w:color="000000" w:sz="4" w:space="0"/>
            </w:tcBorders>
            <w:shd w:val="clear" w:color="auto" w:fill="auto"/>
            <w:vAlign w:val="bottom"/>
          </w:tcPr>
          <w:p w:rsidR="0080496E" w:rsidP="0080496E" w:rsidRDefault="0080496E">
            <w:pPr>
              <w:widowControl/>
              <w:jc w:val="center"/>
              <w:rPr>
                <w:rFonts w:ascii="Calibri" w:hAnsi="Calibri" w:eastAsia="Calibri" w:cs="Calibri"/>
                <w:sz w:val="16"/>
                <w:szCs w:val="16"/>
              </w:rPr>
            </w:pPr>
            <w:r>
              <w:rPr>
                <w:rFonts w:ascii="Calibri" w:hAnsi="Calibri" w:eastAsia="Calibri" w:cs="Calibri"/>
                <w:sz w:val="16"/>
                <w:szCs w:val="16"/>
              </w:rPr>
              <w:t>General Public </w:t>
            </w:r>
          </w:p>
        </w:tc>
        <w:tc>
          <w:tcPr>
            <w:tcW w:w="1530" w:type="dxa"/>
            <w:tcBorders>
              <w:top w:val="nil"/>
              <w:left w:val="nil"/>
              <w:bottom w:val="single" w:color="000000" w:sz="4" w:space="0"/>
              <w:right w:val="single" w:color="000000" w:sz="4" w:space="0"/>
            </w:tcBorders>
            <w:shd w:val="clear" w:color="auto" w:fill="auto"/>
            <w:vAlign w:val="bottom"/>
          </w:tcPr>
          <w:p w:rsidR="0080496E" w:rsidP="0080496E" w:rsidRDefault="0080496E">
            <w:pPr>
              <w:widowControl/>
              <w:jc w:val="right"/>
              <w:rPr>
                <w:rFonts w:ascii="Calibri" w:hAnsi="Calibri" w:eastAsia="Calibri" w:cs="Calibri"/>
                <w:sz w:val="16"/>
                <w:szCs w:val="16"/>
              </w:rPr>
            </w:pPr>
            <w:r>
              <w:rPr>
                <w:rFonts w:ascii="Calibri" w:hAnsi="Calibri" w:eastAsia="Calibri" w:cs="Calibri"/>
                <w:sz w:val="16"/>
                <w:szCs w:val="16"/>
              </w:rPr>
              <w:t>1550 </w:t>
            </w:r>
          </w:p>
        </w:tc>
        <w:tc>
          <w:tcPr>
            <w:tcW w:w="1260" w:type="dxa"/>
            <w:tcBorders>
              <w:top w:val="nil"/>
              <w:left w:val="nil"/>
              <w:bottom w:val="single" w:color="000000" w:sz="4" w:space="0"/>
              <w:right w:val="single" w:color="000000" w:sz="4" w:space="0"/>
            </w:tcBorders>
            <w:shd w:val="clear" w:color="auto" w:fill="auto"/>
            <w:vAlign w:val="bottom"/>
          </w:tcPr>
          <w:p w:rsidR="0080496E" w:rsidP="0080496E" w:rsidRDefault="0080496E">
            <w:pPr>
              <w:widowControl/>
              <w:jc w:val="right"/>
              <w:rPr>
                <w:rFonts w:ascii="Calibri" w:hAnsi="Calibri" w:eastAsia="Calibri" w:cs="Calibri"/>
                <w:sz w:val="16"/>
                <w:szCs w:val="16"/>
              </w:rPr>
            </w:pPr>
            <w:r>
              <w:rPr>
                <w:rFonts w:ascii="Calibri" w:hAnsi="Calibri" w:eastAsia="Calibri" w:cs="Calibri"/>
                <w:sz w:val="16"/>
                <w:szCs w:val="16"/>
              </w:rPr>
              <w:t>1</w:t>
            </w:r>
          </w:p>
        </w:tc>
        <w:tc>
          <w:tcPr>
            <w:tcW w:w="1170" w:type="dxa"/>
            <w:tcBorders>
              <w:top w:val="nil"/>
              <w:left w:val="nil"/>
              <w:bottom w:val="single" w:color="000000" w:sz="4" w:space="0"/>
              <w:right w:val="single" w:color="000000" w:sz="4" w:space="0"/>
            </w:tcBorders>
            <w:shd w:val="clear" w:color="auto" w:fill="auto"/>
            <w:vAlign w:val="bottom"/>
          </w:tcPr>
          <w:p w:rsidR="0080496E" w:rsidP="0080496E" w:rsidRDefault="0080496E">
            <w:pPr>
              <w:widowControl/>
              <w:jc w:val="right"/>
              <w:rPr>
                <w:rFonts w:ascii="Calibri" w:hAnsi="Calibri" w:eastAsia="Calibri" w:cs="Calibri"/>
                <w:sz w:val="16"/>
                <w:szCs w:val="16"/>
              </w:rPr>
            </w:pPr>
            <w:r>
              <w:rPr>
                <w:rFonts w:ascii="Calibri" w:hAnsi="Calibri" w:eastAsia="Calibri" w:cs="Calibri"/>
                <w:sz w:val="16"/>
                <w:szCs w:val="16"/>
              </w:rPr>
              <w:t>1550</w:t>
            </w:r>
          </w:p>
        </w:tc>
        <w:tc>
          <w:tcPr>
            <w:tcW w:w="1080" w:type="dxa"/>
            <w:tcBorders>
              <w:top w:val="nil"/>
              <w:left w:val="nil"/>
              <w:bottom w:val="single" w:color="000000" w:sz="4" w:space="0"/>
              <w:right w:val="single" w:color="000000" w:sz="4" w:space="0"/>
            </w:tcBorders>
            <w:shd w:val="clear" w:color="auto" w:fill="auto"/>
            <w:vAlign w:val="bottom"/>
          </w:tcPr>
          <w:p w:rsidR="0080496E" w:rsidP="0080496E" w:rsidRDefault="0080496E">
            <w:pPr>
              <w:widowControl/>
              <w:jc w:val="right"/>
              <w:rPr>
                <w:rFonts w:ascii="Calibri" w:hAnsi="Calibri" w:eastAsia="Calibri" w:cs="Calibri"/>
                <w:sz w:val="16"/>
                <w:szCs w:val="16"/>
              </w:rPr>
            </w:pPr>
            <w:r>
              <w:rPr>
                <w:rFonts w:ascii="Calibri" w:hAnsi="Calibri" w:eastAsia="Calibri" w:cs="Calibri"/>
                <w:sz w:val="16"/>
                <w:szCs w:val="16"/>
              </w:rPr>
              <w:t>.4 </w:t>
            </w:r>
          </w:p>
        </w:tc>
        <w:tc>
          <w:tcPr>
            <w:tcW w:w="1137" w:type="dxa"/>
            <w:tcBorders>
              <w:top w:val="nil"/>
              <w:left w:val="nil"/>
              <w:bottom w:val="single" w:color="000000" w:sz="4" w:space="0"/>
              <w:right w:val="single" w:color="000000" w:sz="4" w:space="0"/>
            </w:tcBorders>
            <w:shd w:val="clear" w:color="auto" w:fill="auto"/>
            <w:vAlign w:val="bottom"/>
          </w:tcPr>
          <w:p w:rsidR="0080496E" w:rsidP="0080496E" w:rsidRDefault="0080496E">
            <w:pPr>
              <w:widowControl/>
              <w:jc w:val="right"/>
              <w:rPr>
                <w:rFonts w:ascii="Calibri" w:hAnsi="Calibri" w:eastAsia="Calibri" w:cs="Calibri"/>
                <w:sz w:val="16"/>
                <w:szCs w:val="16"/>
              </w:rPr>
            </w:pPr>
            <w:r>
              <w:rPr>
                <w:rFonts w:ascii="Calibri" w:hAnsi="Calibri" w:eastAsia="Calibri" w:cs="Calibri"/>
                <w:sz w:val="16"/>
                <w:szCs w:val="16"/>
              </w:rPr>
              <w:t>620</w:t>
            </w:r>
          </w:p>
        </w:tc>
        <w:tc>
          <w:tcPr>
            <w:tcW w:w="1066" w:type="dxa"/>
            <w:tcBorders>
              <w:top w:val="nil"/>
              <w:left w:val="nil"/>
              <w:bottom w:val="single" w:color="000000" w:sz="4" w:space="0"/>
              <w:right w:val="single" w:color="000000" w:sz="4" w:space="0"/>
            </w:tcBorders>
            <w:shd w:val="clear" w:color="auto" w:fill="auto"/>
            <w:vAlign w:val="bottom"/>
          </w:tcPr>
          <w:p w:rsidR="0080496E" w:rsidP="0080496E" w:rsidRDefault="0080496E">
            <w:pPr>
              <w:widowControl/>
              <w:jc w:val="right"/>
              <w:rPr>
                <w:rFonts w:ascii="Calibri" w:hAnsi="Calibri" w:eastAsia="Calibri" w:cs="Calibri"/>
                <w:sz w:val="16"/>
                <w:szCs w:val="16"/>
              </w:rPr>
            </w:pPr>
            <w:r>
              <w:rPr>
                <w:rFonts w:ascii="Calibri" w:hAnsi="Calibri" w:eastAsia="Calibri" w:cs="Calibri"/>
                <w:sz w:val="16"/>
                <w:szCs w:val="16"/>
              </w:rPr>
              <w:t>20.17 </w:t>
            </w:r>
          </w:p>
        </w:tc>
        <w:tc>
          <w:tcPr>
            <w:tcW w:w="1667" w:type="dxa"/>
            <w:tcBorders>
              <w:top w:val="nil"/>
              <w:left w:val="nil"/>
              <w:bottom w:val="single" w:color="000000" w:sz="4" w:space="0"/>
              <w:right w:val="single" w:color="000000" w:sz="8" w:space="0"/>
            </w:tcBorders>
            <w:shd w:val="clear" w:color="auto" w:fill="auto"/>
            <w:vAlign w:val="bottom"/>
          </w:tcPr>
          <w:p w:rsidR="0080496E" w:rsidP="0080496E" w:rsidRDefault="0080496E">
            <w:pPr>
              <w:jc w:val="right"/>
            </w:pPr>
            <w:r w:rsidRPr="00C75285">
              <w:rPr>
                <w:rFonts w:ascii="Calibri" w:hAnsi="Calibri" w:eastAsia="Calibri" w:cs="Calibri"/>
                <w:sz w:val="16"/>
                <w:szCs w:val="16"/>
              </w:rPr>
              <w:t>$12,505 </w:t>
            </w:r>
          </w:p>
        </w:tc>
      </w:tr>
      <w:tr w:rsidR="0080496E" w:rsidTr="0080496E">
        <w:trPr>
          <w:trHeight w:val="300"/>
        </w:trPr>
        <w:tc>
          <w:tcPr>
            <w:tcW w:w="3560" w:type="dxa"/>
            <w:tcBorders>
              <w:top w:val="nil"/>
              <w:left w:val="single" w:color="000000" w:sz="8" w:space="0"/>
              <w:bottom w:val="single" w:color="000000" w:sz="4" w:space="0"/>
              <w:right w:val="single" w:color="000000" w:sz="4" w:space="0"/>
            </w:tcBorders>
            <w:shd w:val="clear" w:color="auto" w:fill="auto"/>
            <w:vAlign w:val="bottom"/>
          </w:tcPr>
          <w:p w:rsidR="0080496E" w:rsidP="0080496E" w:rsidRDefault="0080496E">
            <w:pPr>
              <w:widowControl/>
              <w:rPr>
                <w:rFonts w:ascii="Calibri" w:hAnsi="Calibri" w:eastAsia="Calibri" w:cs="Calibri"/>
                <w:sz w:val="16"/>
                <w:szCs w:val="16"/>
              </w:rPr>
            </w:pPr>
            <w:r>
              <w:rPr>
                <w:rFonts w:ascii="Calibri" w:hAnsi="Calibri" w:eastAsia="Calibri" w:cs="Calibri"/>
                <w:sz w:val="16"/>
                <w:szCs w:val="16"/>
              </w:rPr>
              <w:t> Tropical  Weather Longitudinal Survey</w:t>
            </w:r>
          </w:p>
        </w:tc>
        <w:tc>
          <w:tcPr>
            <w:tcW w:w="1945" w:type="dxa"/>
            <w:tcBorders>
              <w:top w:val="nil"/>
              <w:left w:val="nil"/>
              <w:bottom w:val="single" w:color="000000" w:sz="4" w:space="0"/>
              <w:right w:val="single" w:color="000000" w:sz="4" w:space="0"/>
            </w:tcBorders>
            <w:shd w:val="clear" w:color="auto" w:fill="auto"/>
            <w:vAlign w:val="bottom"/>
          </w:tcPr>
          <w:p w:rsidR="0080496E" w:rsidP="0080496E" w:rsidRDefault="0080496E">
            <w:pPr>
              <w:widowControl/>
              <w:jc w:val="center"/>
              <w:rPr>
                <w:rFonts w:ascii="Calibri" w:hAnsi="Calibri" w:eastAsia="Calibri" w:cs="Calibri"/>
                <w:sz w:val="16"/>
                <w:szCs w:val="16"/>
              </w:rPr>
            </w:pPr>
            <w:r>
              <w:rPr>
                <w:rFonts w:ascii="Calibri" w:hAnsi="Calibri" w:eastAsia="Calibri" w:cs="Calibri"/>
                <w:sz w:val="16"/>
                <w:szCs w:val="16"/>
              </w:rPr>
              <w:t>General Public </w:t>
            </w:r>
          </w:p>
        </w:tc>
        <w:tc>
          <w:tcPr>
            <w:tcW w:w="1530" w:type="dxa"/>
            <w:tcBorders>
              <w:top w:val="nil"/>
              <w:left w:val="nil"/>
              <w:bottom w:val="single" w:color="000000" w:sz="4" w:space="0"/>
              <w:right w:val="single" w:color="000000" w:sz="4" w:space="0"/>
            </w:tcBorders>
            <w:shd w:val="clear" w:color="auto" w:fill="auto"/>
            <w:vAlign w:val="bottom"/>
          </w:tcPr>
          <w:p w:rsidR="0080496E" w:rsidP="0080496E" w:rsidRDefault="0080496E">
            <w:pPr>
              <w:widowControl/>
              <w:jc w:val="right"/>
              <w:rPr>
                <w:rFonts w:ascii="Calibri" w:hAnsi="Calibri" w:eastAsia="Calibri" w:cs="Calibri"/>
                <w:sz w:val="16"/>
                <w:szCs w:val="16"/>
              </w:rPr>
            </w:pPr>
            <w:r>
              <w:rPr>
                <w:rFonts w:ascii="Calibri" w:hAnsi="Calibri" w:eastAsia="Calibri" w:cs="Calibri"/>
                <w:sz w:val="16"/>
                <w:szCs w:val="16"/>
              </w:rPr>
              <w:t xml:space="preserve">1550 </w:t>
            </w:r>
          </w:p>
        </w:tc>
        <w:tc>
          <w:tcPr>
            <w:tcW w:w="1260" w:type="dxa"/>
            <w:tcBorders>
              <w:top w:val="nil"/>
              <w:left w:val="nil"/>
              <w:bottom w:val="single" w:color="000000" w:sz="4" w:space="0"/>
              <w:right w:val="single" w:color="000000" w:sz="4" w:space="0"/>
            </w:tcBorders>
            <w:shd w:val="clear" w:color="auto" w:fill="auto"/>
            <w:vAlign w:val="bottom"/>
          </w:tcPr>
          <w:p w:rsidR="0080496E" w:rsidP="0080496E" w:rsidRDefault="0080496E">
            <w:pPr>
              <w:widowControl/>
              <w:jc w:val="right"/>
              <w:rPr>
                <w:rFonts w:ascii="Calibri" w:hAnsi="Calibri" w:eastAsia="Calibri" w:cs="Calibri"/>
                <w:sz w:val="16"/>
                <w:szCs w:val="16"/>
              </w:rPr>
            </w:pPr>
            <w:r>
              <w:rPr>
                <w:rFonts w:ascii="Calibri" w:hAnsi="Calibri" w:eastAsia="Calibri" w:cs="Calibri"/>
                <w:sz w:val="16"/>
                <w:szCs w:val="16"/>
              </w:rPr>
              <w:t>1</w:t>
            </w:r>
          </w:p>
        </w:tc>
        <w:tc>
          <w:tcPr>
            <w:tcW w:w="1170" w:type="dxa"/>
            <w:tcBorders>
              <w:top w:val="nil"/>
              <w:left w:val="nil"/>
              <w:bottom w:val="single" w:color="000000" w:sz="4" w:space="0"/>
              <w:right w:val="single" w:color="000000" w:sz="4" w:space="0"/>
            </w:tcBorders>
            <w:shd w:val="clear" w:color="auto" w:fill="auto"/>
            <w:vAlign w:val="bottom"/>
          </w:tcPr>
          <w:p w:rsidR="0080496E" w:rsidP="0080496E" w:rsidRDefault="0080496E">
            <w:pPr>
              <w:widowControl/>
              <w:jc w:val="right"/>
              <w:rPr>
                <w:rFonts w:ascii="Calibri" w:hAnsi="Calibri" w:eastAsia="Calibri" w:cs="Calibri"/>
                <w:sz w:val="16"/>
                <w:szCs w:val="16"/>
              </w:rPr>
            </w:pPr>
            <w:r>
              <w:rPr>
                <w:rFonts w:ascii="Calibri" w:hAnsi="Calibri" w:eastAsia="Calibri" w:cs="Calibri"/>
                <w:sz w:val="16"/>
                <w:szCs w:val="16"/>
              </w:rPr>
              <w:t>1550</w:t>
            </w:r>
          </w:p>
        </w:tc>
        <w:tc>
          <w:tcPr>
            <w:tcW w:w="1080" w:type="dxa"/>
            <w:tcBorders>
              <w:top w:val="nil"/>
              <w:left w:val="nil"/>
              <w:bottom w:val="single" w:color="000000" w:sz="4" w:space="0"/>
              <w:right w:val="single" w:color="000000" w:sz="4" w:space="0"/>
            </w:tcBorders>
            <w:shd w:val="clear" w:color="auto" w:fill="auto"/>
            <w:vAlign w:val="bottom"/>
          </w:tcPr>
          <w:p w:rsidR="0080496E" w:rsidP="0080496E" w:rsidRDefault="0080496E">
            <w:pPr>
              <w:widowControl/>
              <w:jc w:val="right"/>
              <w:rPr>
                <w:rFonts w:ascii="Calibri" w:hAnsi="Calibri" w:eastAsia="Calibri" w:cs="Calibri"/>
                <w:sz w:val="16"/>
                <w:szCs w:val="16"/>
              </w:rPr>
            </w:pPr>
            <w:r>
              <w:rPr>
                <w:rFonts w:ascii="Calibri" w:hAnsi="Calibri" w:eastAsia="Calibri" w:cs="Calibri"/>
                <w:sz w:val="16"/>
                <w:szCs w:val="16"/>
              </w:rPr>
              <w:t>.4 </w:t>
            </w:r>
          </w:p>
        </w:tc>
        <w:tc>
          <w:tcPr>
            <w:tcW w:w="1137" w:type="dxa"/>
            <w:tcBorders>
              <w:top w:val="nil"/>
              <w:left w:val="nil"/>
              <w:bottom w:val="single" w:color="000000" w:sz="4" w:space="0"/>
              <w:right w:val="single" w:color="000000" w:sz="4" w:space="0"/>
            </w:tcBorders>
            <w:shd w:val="clear" w:color="auto" w:fill="auto"/>
            <w:vAlign w:val="bottom"/>
          </w:tcPr>
          <w:p w:rsidR="0080496E" w:rsidP="0080496E" w:rsidRDefault="0080496E">
            <w:pPr>
              <w:widowControl/>
              <w:jc w:val="right"/>
              <w:rPr>
                <w:rFonts w:ascii="Calibri" w:hAnsi="Calibri" w:eastAsia="Calibri" w:cs="Calibri"/>
                <w:sz w:val="16"/>
                <w:szCs w:val="16"/>
              </w:rPr>
            </w:pPr>
            <w:r>
              <w:rPr>
                <w:rFonts w:ascii="Calibri" w:hAnsi="Calibri" w:eastAsia="Calibri" w:cs="Calibri"/>
                <w:sz w:val="16"/>
                <w:szCs w:val="16"/>
              </w:rPr>
              <w:t>620</w:t>
            </w:r>
          </w:p>
        </w:tc>
        <w:tc>
          <w:tcPr>
            <w:tcW w:w="1066" w:type="dxa"/>
            <w:tcBorders>
              <w:top w:val="nil"/>
              <w:left w:val="nil"/>
              <w:bottom w:val="single" w:color="000000" w:sz="4" w:space="0"/>
              <w:right w:val="single" w:color="000000" w:sz="4" w:space="0"/>
            </w:tcBorders>
            <w:shd w:val="clear" w:color="auto" w:fill="auto"/>
            <w:vAlign w:val="bottom"/>
          </w:tcPr>
          <w:p w:rsidR="0080496E" w:rsidP="0080496E" w:rsidRDefault="0080496E">
            <w:pPr>
              <w:widowControl/>
              <w:jc w:val="right"/>
              <w:rPr>
                <w:rFonts w:ascii="Calibri" w:hAnsi="Calibri" w:eastAsia="Calibri" w:cs="Calibri"/>
                <w:sz w:val="16"/>
                <w:szCs w:val="16"/>
              </w:rPr>
            </w:pPr>
            <w:r>
              <w:rPr>
                <w:rFonts w:ascii="Calibri" w:hAnsi="Calibri" w:eastAsia="Calibri" w:cs="Calibri"/>
                <w:sz w:val="16"/>
                <w:szCs w:val="16"/>
              </w:rPr>
              <w:t>20.17 </w:t>
            </w:r>
          </w:p>
        </w:tc>
        <w:tc>
          <w:tcPr>
            <w:tcW w:w="1667" w:type="dxa"/>
            <w:tcBorders>
              <w:top w:val="nil"/>
              <w:left w:val="nil"/>
              <w:bottom w:val="single" w:color="000000" w:sz="4" w:space="0"/>
              <w:right w:val="single" w:color="000000" w:sz="8" w:space="0"/>
            </w:tcBorders>
            <w:shd w:val="clear" w:color="auto" w:fill="auto"/>
            <w:vAlign w:val="bottom"/>
          </w:tcPr>
          <w:p w:rsidR="0080496E" w:rsidP="0080496E" w:rsidRDefault="0080496E">
            <w:pPr>
              <w:jc w:val="right"/>
            </w:pPr>
            <w:r w:rsidRPr="00C75285">
              <w:rPr>
                <w:rFonts w:ascii="Calibri" w:hAnsi="Calibri" w:eastAsia="Calibri" w:cs="Calibri"/>
                <w:sz w:val="16"/>
                <w:szCs w:val="16"/>
              </w:rPr>
              <w:t>$12,505 </w:t>
            </w:r>
          </w:p>
        </w:tc>
      </w:tr>
      <w:tr w:rsidRPr="00A75451" w:rsidR="00A75451" w:rsidTr="00A960A5">
        <w:trPr>
          <w:trHeight w:val="300"/>
        </w:trPr>
        <w:tc>
          <w:tcPr>
            <w:tcW w:w="3560" w:type="dxa"/>
            <w:tcBorders>
              <w:top w:val="nil"/>
              <w:left w:val="single" w:color="000000" w:sz="8" w:space="0"/>
              <w:bottom w:val="single" w:color="000000" w:sz="4" w:space="0"/>
              <w:right w:val="single" w:color="000000" w:sz="4" w:space="0"/>
            </w:tcBorders>
            <w:shd w:val="clear" w:color="auto" w:fill="auto"/>
            <w:vAlign w:val="bottom"/>
          </w:tcPr>
          <w:p w:rsidRPr="00A75451" w:rsidR="00A75451" w:rsidP="00A75451" w:rsidRDefault="00A75451">
            <w:pPr>
              <w:spacing w:line="259" w:lineRule="auto"/>
              <w:ind w:left="-20"/>
              <w:rPr>
                <w:rFonts w:ascii="Calibri" w:hAnsi="Calibri" w:eastAsia="Calibri" w:cs="Calibri"/>
                <w:sz w:val="16"/>
                <w:szCs w:val="16"/>
              </w:rPr>
            </w:pPr>
            <w:r w:rsidRPr="00A75451">
              <w:rPr>
                <w:rFonts w:ascii="Calibri" w:hAnsi="Calibri" w:eastAsia="Calibri" w:cs="Calibri"/>
                <w:sz w:val="16"/>
                <w:szCs w:val="16"/>
              </w:rPr>
              <w:t xml:space="preserve"> </w:t>
            </w:r>
            <w:r>
              <w:rPr>
                <w:rFonts w:ascii="Calibri" w:hAnsi="Calibri" w:eastAsia="Calibri" w:cs="Calibri"/>
                <w:sz w:val="16"/>
                <w:szCs w:val="16"/>
              </w:rPr>
              <w:t>QRS</w:t>
            </w:r>
            <w:r w:rsidRPr="00A75451">
              <w:rPr>
                <w:rFonts w:ascii="Calibri" w:hAnsi="Calibri" w:eastAsia="Calibri" w:cs="Calibri"/>
                <w:sz w:val="16"/>
                <w:szCs w:val="16"/>
              </w:rPr>
              <w:t xml:space="preserve"> – Tornado and Severe Thunderstorm winds 70 MPH+ combined (22%)</w:t>
            </w:r>
          </w:p>
        </w:tc>
        <w:tc>
          <w:tcPr>
            <w:tcW w:w="1945" w:type="dxa"/>
            <w:tcBorders>
              <w:top w:val="nil"/>
              <w:left w:val="nil"/>
              <w:bottom w:val="single" w:color="000000" w:sz="4" w:space="0"/>
              <w:right w:val="single" w:color="000000" w:sz="4" w:space="0"/>
            </w:tcBorders>
            <w:shd w:val="clear" w:color="auto" w:fill="auto"/>
          </w:tcPr>
          <w:p w:rsidR="00A75451" w:rsidP="00A75451" w:rsidRDefault="00A75451">
            <w:pPr>
              <w:jc w:val="center"/>
            </w:pPr>
            <w:r w:rsidRPr="00E865D0">
              <w:rPr>
                <w:rFonts w:ascii="Calibri" w:hAnsi="Calibri" w:eastAsia="Calibri" w:cs="Calibri"/>
                <w:sz w:val="16"/>
                <w:szCs w:val="16"/>
              </w:rPr>
              <w:t>General Public</w:t>
            </w:r>
          </w:p>
        </w:tc>
        <w:tc>
          <w:tcPr>
            <w:tcW w:w="1530" w:type="dxa"/>
            <w:tcBorders>
              <w:top w:val="nil"/>
              <w:left w:val="nil"/>
              <w:bottom w:val="single" w:color="000000" w:sz="4" w:space="0"/>
              <w:right w:val="single" w:color="000000" w:sz="4" w:space="0"/>
            </w:tcBorders>
            <w:shd w:val="clear" w:color="auto" w:fill="auto"/>
            <w:vAlign w:val="bottom"/>
          </w:tcPr>
          <w:p w:rsidRPr="00A75451" w:rsidR="00A75451" w:rsidP="00A75451" w:rsidRDefault="00606F36">
            <w:pPr>
              <w:spacing w:line="259" w:lineRule="auto"/>
              <w:ind w:left="-20"/>
              <w:jc w:val="right"/>
              <w:rPr>
                <w:rFonts w:ascii="Calibri" w:hAnsi="Calibri" w:eastAsia="Calibri" w:cs="Calibri"/>
                <w:sz w:val="16"/>
                <w:szCs w:val="16"/>
              </w:rPr>
            </w:pPr>
            <w:r>
              <w:rPr>
                <w:rFonts w:ascii="Calibri" w:hAnsi="Calibri" w:eastAsia="Calibri" w:cs="Calibri"/>
                <w:sz w:val="16"/>
                <w:szCs w:val="16"/>
              </w:rPr>
              <w:t>7260</w:t>
            </w:r>
            <w:r w:rsidRPr="00A75451" w:rsidR="00A75451">
              <w:rPr>
                <w:rFonts w:ascii="Calibri" w:hAnsi="Calibri" w:eastAsia="Calibri" w:cs="Calibri"/>
                <w:sz w:val="16"/>
                <w:szCs w:val="16"/>
              </w:rPr>
              <w:t xml:space="preserve"> </w:t>
            </w:r>
          </w:p>
        </w:tc>
        <w:tc>
          <w:tcPr>
            <w:tcW w:w="1260" w:type="dxa"/>
            <w:tcBorders>
              <w:top w:val="nil"/>
              <w:left w:val="nil"/>
              <w:bottom w:val="single" w:color="000000" w:sz="4" w:space="0"/>
              <w:right w:val="single" w:color="000000" w:sz="4" w:space="0"/>
            </w:tcBorders>
            <w:shd w:val="clear" w:color="auto" w:fill="auto"/>
            <w:vAlign w:val="bottom"/>
          </w:tcPr>
          <w:p w:rsidRPr="00A75451" w:rsidR="00A75451" w:rsidP="00A75451" w:rsidRDefault="00A75451">
            <w:pPr>
              <w:widowControl/>
              <w:jc w:val="right"/>
              <w:rPr>
                <w:rFonts w:ascii="Calibri" w:hAnsi="Calibri" w:eastAsia="Calibri" w:cs="Calibri"/>
                <w:sz w:val="16"/>
                <w:szCs w:val="16"/>
              </w:rPr>
            </w:pPr>
            <w:r w:rsidRPr="00A75451">
              <w:rPr>
                <w:rFonts w:ascii="Calibri" w:hAnsi="Calibri" w:eastAsia="Calibri" w:cs="Calibri"/>
                <w:sz w:val="16"/>
                <w:szCs w:val="16"/>
              </w:rPr>
              <w:t>1</w:t>
            </w:r>
          </w:p>
        </w:tc>
        <w:tc>
          <w:tcPr>
            <w:tcW w:w="1170" w:type="dxa"/>
            <w:tcBorders>
              <w:top w:val="nil"/>
              <w:left w:val="nil"/>
              <w:bottom w:val="single" w:color="000000" w:sz="4" w:space="0"/>
              <w:right w:val="single" w:color="000000" w:sz="4" w:space="0"/>
            </w:tcBorders>
            <w:shd w:val="clear" w:color="auto" w:fill="auto"/>
            <w:vAlign w:val="bottom"/>
          </w:tcPr>
          <w:p w:rsidRPr="00A75451" w:rsidR="00A75451" w:rsidP="00A75451" w:rsidRDefault="00606F36">
            <w:pPr>
              <w:spacing w:line="259" w:lineRule="auto"/>
              <w:ind w:left="-20"/>
              <w:jc w:val="right"/>
              <w:rPr>
                <w:rFonts w:ascii="Calibri" w:hAnsi="Calibri" w:eastAsia="Calibri" w:cs="Calibri"/>
                <w:sz w:val="16"/>
                <w:szCs w:val="16"/>
              </w:rPr>
            </w:pPr>
            <w:r>
              <w:rPr>
                <w:rFonts w:ascii="Calibri" w:hAnsi="Calibri" w:eastAsia="Calibri" w:cs="Calibri"/>
                <w:sz w:val="16"/>
                <w:szCs w:val="16"/>
              </w:rPr>
              <w:t>7260</w:t>
            </w:r>
          </w:p>
        </w:tc>
        <w:tc>
          <w:tcPr>
            <w:tcW w:w="1080" w:type="dxa"/>
            <w:tcBorders>
              <w:top w:val="nil"/>
              <w:left w:val="nil"/>
              <w:bottom w:val="single" w:color="000000" w:sz="4" w:space="0"/>
              <w:right w:val="single" w:color="000000" w:sz="4" w:space="0"/>
            </w:tcBorders>
            <w:shd w:val="clear" w:color="auto" w:fill="auto"/>
            <w:vAlign w:val="bottom"/>
          </w:tcPr>
          <w:p w:rsidRPr="00A75451" w:rsidR="00A75451" w:rsidP="00A75451" w:rsidRDefault="00A75451">
            <w:pPr>
              <w:widowControl/>
              <w:jc w:val="right"/>
              <w:rPr>
                <w:rFonts w:ascii="Calibri" w:hAnsi="Calibri" w:eastAsia="Calibri" w:cs="Calibri"/>
                <w:sz w:val="16"/>
                <w:szCs w:val="16"/>
              </w:rPr>
            </w:pPr>
            <w:r w:rsidRPr="00A75451">
              <w:rPr>
                <w:rFonts w:ascii="Calibri" w:hAnsi="Calibri" w:eastAsia="Calibri" w:cs="Calibri"/>
                <w:sz w:val="16"/>
                <w:szCs w:val="16"/>
              </w:rPr>
              <w:t>.16</w:t>
            </w:r>
          </w:p>
        </w:tc>
        <w:tc>
          <w:tcPr>
            <w:tcW w:w="1137" w:type="dxa"/>
            <w:tcBorders>
              <w:top w:val="nil"/>
              <w:left w:val="nil"/>
              <w:bottom w:val="single" w:color="000000" w:sz="4" w:space="0"/>
              <w:right w:val="single" w:color="000000" w:sz="4" w:space="0"/>
            </w:tcBorders>
            <w:shd w:val="clear" w:color="auto" w:fill="auto"/>
            <w:vAlign w:val="bottom"/>
          </w:tcPr>
          <w:p w:rsidRPr="00A75451" w:rsidR="00A75451" w:rsidP="00A75451" w:rsidRDefault="00606F36">
            <w:pPr>
              <w:widowControl/>
              <w:jc w:val="right"/>
              <w:rPr>
                <w:rFonts w:ascii="Calibri" w:hAnsi="Calibri" w:eastAsia="Calibri" w:cs="Calibri"/>
                <w:sz w:val="16"/>
                <w:szCs w:val="16"/>
              </w:rPr>
            </w:pPr>
            <w:r>
              <w:rPr>
                <w:rFonts w:ascii="Calibri" w:hAnsi="Calibri" w:eastAsia="Calibri" w:cs="Calibri"/>
                <w:sz w:val="16"/>
                <w:szCs w:val="16"/>
              </w:rPr>
              <w:t>1162</w:t>
            </w:r>
          </w:p>
        </w:tc>
        <w:tc>
          <w:tcPr>
            <w:tcW w:w="1066" w:type="dxa"/>
            <w:tcBorders>
              <w:top w:val="nil"/>
              <w:left w:val="nil"/>
              <w:bottom w:val="single" w:color="000000" w:sz="4" w:space="0"/>
              <w:right w:val="single" w:color="000000" w:sz="4" w:space="0"/>
            </w:tcBorders>
            <w:shd w:val="clear" w:color="auto" w:fill="auto"/>
            <w:vAlign w:val="bottom"/>
          </w:tcPr>
          <w:p w:rsidRPr="00A75451" w:rsidR="00A75451" w:rsidP="00A75451" w:rsidRDefault="00A75451">
            <w:pPr>
              <w:widowControl/>
              <w:jc w:val="right"/>
              <w:rPr>
                <w:rFonts w:ascii="Calibri" w:hAnsi="Calibri" w:eastAsia="Calibri" w:cs="Calibri"/>
                <w:sz w:val="16"/>
                <w:szCs w:val="16"/>
              </w:rPr>
            </w:pPr>
            <w:r w:rsidRPr="00A75451">
              <w:rPr>
                <w:rFonts w:ascii="Calibri" w:hAnsi="Calibri" w:eastAsia="Calibri" w:cs="Calibri"/>
                <w:sz w:val="16"/>
                <w:szCs w:val="16"/>
              </w:rPr>
              <w:t xml:space="preserve">$20.17 </w:t>
            </w:r>
          </w:p>
        </w:tc>
        <w:tc>
          <w:tcPr>
            <w:tcW w:w="1667" w:type="dxa"/>
            <w:tcBorders>
              <w:top w:val="nil"/>
              <w:left w:val="nil"/>
              <w:bottom w:val="single" w:color="000000" w:sz="4" w:space="0"/>
              <w:right w:val="single" w:color="000000" w:sz="8" w:space="0"/>
            </w:tcBorders>
            <w:shd w:val="clear" w:color="auto" w:fill="auto"/>
            <w:vAlign w:val="bottom"/>
          </w:tcPr>
          <w:p w:rsidRPr="00A75451" w:rsidR="00A75451" w:rsidP="00606F36" w:rsidRDefault="00A75451">
            <w:pPr>
              <w:widowControl/>
              <w:jc w:val="right"/>
              <w:rPr>
                <w:rFonts w:ascii="Calibri" w:hAnsi="Calibri" w:eastAsia="Calibri" w:cs="Calibri"/>
                <w:sz w:val="16"/>
                <w:szCs w:val="16"/>
              </w:rPr>
            </w:pPr>
            <w:r w:rsidRPr="00A75451">
              <w:rPr>
                <w:rFonts w:ascii="Calibri" w:hAnsi="Calibri" w:eastAsia="Calibri" w:cs="Calibri"/>
                <w:sz w:val="16"/>
                <w:szCs w:val="16"/>
              </w:rPr>
              <w:t>$</w:t>
            </w:r>
            <w:r w:rsidR="00606F36">
              <w:rPr>
                <w:rFonts w:ascii="Calibri" w:hAnsi="Calibri" w:eastAsia="Calibri" w:cs="Calibri"/>
                <w:sz w:val="16"/>
                <w:szCs w:val="16"/>
              </w:rPr>
              <w:t>23,438</w:t>
            </w:r>
          </w:p>
        </w:tc>
      </w:tr>
      <w:tr w:rsidRPr="00A75451" w:rsidR="00A75451" w:rsidTr="00A960A5">
        <w:trPr>
          <w:trHeight w:val="300"/>
        </w:trPr>
        <w:tc>
          <w:tcPr>
            <w:tcW w:w="3560" w:type="dxa"/>
            <w:tcBorders>
              <w:top w:val="nil"/>
              <w:left w:val="single" w:color="000000" w:sz="8" w:space="0"/>
              <w:bottom w:val="single" w:color="000000" w:sz="4" w:space="0"/>
              <w:right w:val="single" w:color="000000" w:sz="4" w:space="0"/>
            </w:tcBorders>
            <w:shd w:val="clear" w:color="auto" w:fill="auto"/>
            <w:vAlign w:val="bottom"/>
          </w:tcPr>
          <w:p w:rsidRPr="00A75451" w:rsidR="00A75451" w:rsidP="00A75451" w:rsidRDefault="00A75451">
            <w:pPr>
              <w:spacing w:line="259" w:lineRule="auto"/>
              <w:ind w:left="-20"/>
              <w:rPr>
                <w:rFonts w:ascii="Calibri" w:hAnsi="Calibri" w:eastAsia="Calibri" w:cs="Calibri"/>
                <w:sz w:val="16"/>
                <w:szCs w:val="16"/>
              </w:rPr>
            </w:pPr>
            <w:r w:rsidRPr="00A75451">
              <w:rPr>
                <w:rFonts w:ascii="Calibri" w:hAnsi="Calibri" w:eastAsia="Calibri" w:cs="Calibri"/>
                <w:sz w:val="16"/>
                <w:szCs w:val="16"/>
              </w:rPr>
              <w:t xml:space="preserve"> </w:t>
            </w:r>
            <w:r>
              <w:rPr>
                <w:rFonts w:ascii="Calibri" w:hAnsi="Calibri" w:eastAsia="Calibri" w:cs="Calibri"/>
                <w:sz w:val="16"/>
                <w:szCs w:val="16"/>
              </w:rPr>
              <w:t>QRS</w:t>
            </w:r>
            <w:r w:rsidRPr="00A75451">
              <w:rPr>
                <w:rFonts w:ascii="Calibri" w:hAnsi="Calibri" w:eastAsia="Calibri" w:cs="Calibri"/>
                <w:sz w:val="16"/>
                <w:szCs w:val="16"/>
              </w:rPr>
              <w:t xml:space="preserve"> – Flash Flood (30%)</w:t>
            </w:r>
          </w:p>
        </w:tc>
        <w:tc>
          <w:tcPr>
            <w:tcW w:w="1945" w:type="dxa"/>
            <w:tcBorders>
              <w:top w:val="nil"/>
              <w:left w:val="nil"/>
              <w:bottom w:val="single" w:color="000000" w:sz="4" w:space="0"/>
              <w:right w:val="single" w:color="000000" w:sz="4" w:space="0"/>
            </w:tcBorders>
            <w:shd w:val="clear" w:color="auto" w:fill="auto"/>
          </w:tcPr>
          <w:p w:rsidR="00A75451" w:rsidP="00A75451" w:rsidRDefault="00A75451">
            <w:pPr>
              <w:jc w:val="center"/>
            </w:pPr>
            <w:r w:rsidRPr="00E865D0">
              <w:rPr>
                <w:rFonts w:ascii="Calibri" w:hAnsi="Calibri" w:eastAsia="Calibri" w:cs="Calibri"/>
                <w:sz w:val="16"/>
                <w:szCs w:val="16"/>
              </w:rPr>
              <w:t>General Public</w:t>
            </w:r>
          </w:p>
        </w:tc>
        <w:tc>
          <w:tcPr>
            <w:tcW w:w="1530" w:type="dxa"/>
            <w:tcBorders>
              <w:top w:val="nil"/>
              <w:left w:val="nil"/>
              <w:bottom w:val="single" w:color="000000" w:sz="4" w:space="0"/>
              <w:right w:val="single" w:color="000000" w:sz="4" w:space="0"/>
            </w:tcBorders>
            <w:shd w:val="clear" w:color="auto" w:fill="auto"/>
            <w:vAlign w:val="bottom"/>
          </w:tcPr>
          <w:p w:rsidRPr="00A75451" w:rsidR="00A75451" w:rsidP="00A75451" w:rsidRDefault="00606F36">
            <w:pPr>
              <w:spacing w:line="259" w:lineRule="auto"/>
              <w:ind w:left="-20"/>
              <w:jc w:val="right"/>
              <w:rPr>
                <w:rFonts w:ascii="Calibri" w:hAnsi="Calibri" w:eastAsia="Calibri" w:cs="Calibri"/>
                <w:sz w:val="16"/>
                <w:szCs w:val="16"/>
              </w:rPr>
            </w:pPr>
            <w:r>
              <w:rPr>
                <w:rFonts w:ascii="Calibri" w:hAnsi="Calibri" w:eastAsia="Calibri" w:cs="Calibri"/>
                <w:sz w:val="16"/>
                <w:szCs w:val="16"/>
              </w:rPr>
              <w:t>9900</w:t>
            </w:r>
          </w:p>
        </w:tc>
        <w:tc>
          <w:tcPr>
            <w:tcW w:w="1260" w:type="dxa"/>
            <w:tcBorders>
              <w:top w:val="nil"/>
              <w:left w:val="nil"/>
              <w:bottom w:val="single" w:color="000000" w:sz="4" w:space="0"/>
              <w:right w:val="single" w:color="000000" w:sz="4" w:space="0"/>
            </w:tcBorders>
            <w:shd w:val="clear" w:color="auto" w:fill="auto"/>
            <w:vAlign w:val="bottom"/>
          </w:tcPr>
          <w:p w:rsidRPr="00A75451" w:rsidR="00A75451" w:rsidP="00A75451" w:rsidRDefault="00A75451">
            <w:pPr>
              <w:widowControl/>
              <w:jc w:val="right"/>
              <w:rPr>
                <w:rFonts w:ascii="Calibri" w:hAnsi="Calibri" w:eastAsia="Calibri" w:cs="Calibri"/>
                <w:sz w:val="16"/>
                <w:szCs w:val="16"/>
              </w:rPr>
            </w:pPr>
            <w:r w:rsidRPr="00A75451">
              <w:rPr>
                <w:rFonts w:ascii="Calibri" w:hAnsi="Calibri" w:eastAsia="Calibri" w:cs="Calibri"/>
                <w:sz w:val="16"/>
                <w:szCs w:val="16"/>
              </w:rPr>
              <w:t>1</w:t>
            </w:r>
          </w:p>
        </w:tc>
        <w:tc>
          <w:tcPr>
            <w:tcW w:w="1170" w:type="dxa"/>
            <w:tcBorders>
              <w:top w:val="nil"/>
              <w:left w:val="nil"/>
              <w:bottom w:val="single" w:color="000000" w:sz="4" w:space="0"/>
              <w:right w:val="single" w:color="000000" w:sz="4" w:space="0"/>
            </w:tcBorders>
            <w:shd w:val="clear" w:color="auto" w:fill="auto"/>
            <w:vAlign w:val="bottom"/>
          </w:tcPr>
          <w:p w:rsidRPr="00A75451" w:rsidR="00A75451" w:rsidP="00A75451" w:rsidRDefault="00606F36">
            <w:pPr>
              <w:spacing w:line="259" w:lineRule="auto"/>
              <w:ind w:left="-20"/>
              <w:jc w:val="right"/>
              <w:rPr>
                <w:rFonts w:ascii="Calibri" w:hAnsi="Calibri" w:eastAsia="Calibri" w:cs="Calibri"/>
                <w:sz w:val="16"/>
                <w:szCs w:val="16"/>
              </w:rPr>
            </w:pPr>
            <w:r>
              <w:rPr>
                <w:rFonts w:ascii="Calibri" w:hAnsi="Calibri" w:eastAsia="Calibri" w:cs="Calibri"/>
                <w:sz w:val="16"/>
                <w:szCs w:val="16"/>
              </w:rPr>
              <w:t>9900</w:t>
            </w:r>
          </w:p>
        </w:tc>
        <w:tc>
          <w:tcPr>
            <w:tcW w:w="1080" w:type="dxa"/>
            <w:tcBorders>
              <w:top w:val="nil"/>
              <w:left w:val="nil"/>
              <w:bottom w:val="single" w:color="000000" w:sz="4" w:space="0"/>
              <w:right w:val="single" w:color="000000" w:sz="4" w:space="0"/>
            </w:tcBorders>
            <w:shd w:val="clear" w:color="auto" w:fill="auto"/>
            <w:vAlign w:val="bottom"/>
          </w:tcPr>
          <w:p w:rsidRPr="00A75451" w:rsidR="00A75451" w:rsidP="00A75451" w:rsidRDefault="00A75451">
            <w:pPr>
              <w:widowControl/>
              <w:jc w:val="right"/>
              <w:rPr>
                <w:rFonts w:ascii="Calibri" w:hAnsi="Calibri" w:eastAsia="Calibri" w:cs="Calibri"/>
                <w:sz w:val="16"/>
                <w:szCs w:val="16"/>
              </w:rPr>
            </w:pPr>
            <w:r w:rsidRPr="00A75451">
              <w:rPr>
                <w:rFonts w:ascii="Calibri" w:hAnsi="Calibri" w:eastAsia="Calibri" w:cs="Calibri"/>
                <w:sz w:val="16"/>
                <w:szCs w:val="16"/>
              </w:rPr>
              <w:t>.16</w:t>
            </w:r>
          </w:p>
        </w:tc>
        <w:tc>
          <w:tcPr>
            <w:tcW w:w="1137" w:type="dxa"/>
            <w:tcBorders>
              <w:top w:val="nil"/>
              <w:left w:val="nil"/>
              <w:bottom w:val="single" w:color="000000" w:sz="4" w:space="0"/>
              <w:right w:val="single" w:color="000000" w:sz="4" w:space="0"/>
            </w:tcBorders>
            <w:shd w:val="clear" w:color="auto" w:fill="auto"/>
            <w:vAlign w:val="bottom"/>
          </w:tcPr>
          <w:p w:rsidRPr="00A75451" w:rsidR="00A75451" w:rsidP="00A75451" w:rsidRDefault="00606F36">
            <w:pPr>
              <w:widowControl/>
              <w:jc w:val="right"/>
              <w:rPr>
                <w:rFonts w:ascii="Calibri" w:hAnsi="Calibri" w:eastAsia="Calibri" w:cs="Calibri"/>
                <w:sz w:val="16"/>
                <w:szCs w:val="16"/>
              </w:rPr>
            </w:pPr>
            <w:r>
              <w:rPr>
                <w:rFonts w:ascii="Calibri" w:hAnsi="Calibri" w:eastAsia="Calibri" w:cs="Calibri"/>
                <w:sz w:val="16"/>
                <w:szCs w:val="16"/>
              </w:rPr>
              <w:t>1584</w:t>
            </w:r>
          </w:p>
        </w:tc>
        <w:tc>
          <w:tcPr>
            <w:tcW w:w="1066" w:type="dxa"/>
            <w:tcBorders>
              <w:top w:val="nil"/>
              <w:left w:val="nil"/>
              <w:bottom w:val="single" w:color="000000" w:sz="4" w:space="0"/>
              <w:right w:val="single" w:color="000000" w:sz="4" w:space="0"/>
            </w:tcBorders>
            <w:shd w:val="clear" w:color="auto" w:fill="auto"/>
            <w:vAlign w:val="bottom"/>
          </w:tcPr>
          <w:p w:rsidRPr="00A75451" w:rsidR="00A75451" w:rsidP="00A75451" w:rsidRDefault="00A75451">
            <w:pPr>
              <w:widowControl/>
              <w:jc w:val="right"/>
              <w:rPr>
                <w:rFonts w:ascii="Calibri" w:hAnsi="Calibri" w:eastAsia="Calibri" w:cs="Calibri"/>
                <w:sz w:val="16"/>
                <w:szCs w:val="16"/>
              </w:rPr>
            </w:pPr>
            <w:r w:rsidRPr="00A75451">
              <w:rPr>
                <w:rFonts w:ascii="Calibri" w:hAnsi="Calibri" w:eastAsia="Calibri" w:cs="Calibri"/>
                <w:sz w:val="16"/>
                <w:szCs w:val="16"/>
              </w:rPr>
              <w:t>$20.17</w:t>
            </w:r>
          </w:p>
        </w:tc>
        <w:tc>
          <w:tcPr>
            <w:tcW w:w="1667" w:type="dxa"/>
            <w:tcBorders>
              <w:top w:val="nil"/>
              <w:left w:val="nil"/>
              <w:bottom w:val="single" w:color="000000" w:sz="4" w:space="0"/>
              <w:right w:val="single" w:color="000000" w:sz="8" w:space="0"/>
            </w:tcBorders>
            <w:shd w:val="clear" w:color="auto" w:fill="auto"/>
            <w:vAlign w:val="bottom"/>
          </w:tcPr>
          <w:p w:rsidRPr="00A75451" w:rsidR="00A75451" w:rsidP="00606F36" w:rsidRDefault="00A75451">
            <w:pPr>
              <w:widowControl/>
              <w:jc w:val="right"/>
              <w:rPr>
                <w:rFonts w:ascii="Calibri" w:hAnsi="Calibri" w:eastAsia="Calibri" w:cs="Calibri"/>
                <w:sz w:val="16"/>
                <w:szCs w:val="16"/>
              </w:rPr>
            </w:pPr>
            <w:r w:rsidRPr="00A75451">
              <w:rPr>
                <w:rFonts w:ascii="Calibri" w:hAnsi="Calibri" w:eastAsia="Calibri" w:cs="Calibri"/>
                <w:sz w:val="16"/>
                <w:szCs w:val="16"/>
              </w:rPr>
              <w:t>$</w:t>
            </w:r>
            <w:r w:rsidR="00606F36">
              <w:rPr>
                <w:rFonts w:ascii="Calibri" w:hAnsi="Calibri" w:eastAsia="Calibri" w:cs="Calibri"/>
                <w:sz w:val="16"/>
                <w:szCs w:val="16"/>
              </w:rPr>
              <w:t>31,949</w:t>
            </w:r>
          </w:p>
        </w:tc>
      </w:tr>
      <w:tr w:rsidRPr="00A75451" w:rsidR="00A75451" w:rsidTr="00A960A5">
        <w:trPr>
          <w:trHeight w:val="300"/>
        </w:trPr>
        <w:tc>
          <w:tcPr>
            <w:tcW w:w="3560" w:type="dxa"/>
            <w:tcBorders>
              <w:top w:val="nil"/>
              <w:left w:val="single" w:color="000000" w:sz="8" w:space="0"/>
              <w:bottom w:val="single" w:color="000000" w:sz="4" w:space="0"/>
              <w:right w:val="single" w:color="000000" w:sz="4" w:space="0"/>
            </w:tcBorders>
            <w:shd w:val="clear" w:color="auto" w:fill="auto"/>
            <w:vAlign w:val="bottom"/>
          </w:tcPr>
          <w:p w:rsidRPr="00A75451" w:rsidR="00A75451" w:rsidP="00A75451" w:rsidRDefault="00A75451">
            <w:pPr>
              <w:spacing w:line="259" w:lineRule="auto"/>
              <w:ind w:left="-20"/>
              <w:rPr>
                <w:rFonts w:ascii="Calibri" w:hAnsi="Calibri" w:eastAsia="Calibri" w:cs="Calibri"/>
                <w:sz w:val="16"/>
                <w:szCs w:val="16"/>
              </w:rPr>
            </w:pPr>
            <w:r w:rsidRPr="00A75451">
              <w:rPr>
                <w:rFonts w:ascii="Calibri" w:hAnsi="Calibri" w:eastAsia="Calibri" w:cs="Calibri"/>
                <w:sz w:val="16"/>
                <w:szCs w:val="16"/>
              </w:rPr>
              <w:t xml:space="preserve"> </w:t>
            </w:r>
            <w:r>
              <w:rPr>
                <w:rFonts w:ascii="Calibri" w:hAnsi="Calibri" w:eastAsia="Calibri" w:cs="Calibri"/>
                <w:sz w:val="16"/>
                <w:szCs w:val="16"/>
              </w:rPr>
              <w:t>QRS</w:t>
            </w:r>
            <w:r w:rsidRPr="00A75451">
              <w:rPr>
                <w:rFonts w:ascii="Calibri" w:hAnsi="Calibri" w:eastAsia="Calibri" w:cs="Calibri"/>
                <w:sz w:val="16"/>
                <w:szCs w:val="16"/>
              </w:rPr>
              <w:t xml:space="preserve"> – Winter Weather (48%)</w:t>
            </w:r>
          </w:p>
        </w:tc>
        <w:tc>
          <w:tcPr>
            <w:tcW w:w="1945" w:type="dxa"/>
            <w:tcBorders>
              <w:top w:val="nil"/>
              <w:left w:val="nil"/>
              <w:bottom w:val="single" w:color="000000" w:sz="4" w:space="0"/>
              <w:right w:val="single" w:color="000000" w:sz="4" w:space="0"/>
            </w:tcBorders>
            <w:shd w:val="clear" w:color="auto" w:fill="auto"/>
          </w:tcPr>
          <w:p w:rsidR="00A75451" w:rsidP="00A75451" w:rsidRDefault="00A75451">
            <w:pPr>
              <w:jc w:val="center"/>
            </w:pPr>
            <w:r w:rsidRPr="00E865D0">
              <w:rPr>
                <w:rFonts w:ascii="Calibri" w:hAnsi="Calibri" w:eastAsia="Calibri" w:cs="Calibri"/>
                <w:sz w:val="16"/>
                <w:szCs w:val="16"/>
              </w:rPr>
              <w:t>General Public</w:t>
            </w:r>
          </w:p>
        </w:tc>
        <w:tc>
          <w:tcPr>
            <w:tcW w:w="1530" w:type="dxa"/>
            <w:tcBorders>
              <w:top w:val="nil"/>
              <w:left w:val="nil"/>
              <w:bottom w:val="single" w:color="000000" w:sz="4" w:space="0"/>
              <w:right w:val="single" w:color="000000" w:sz="4" w:space="0"/>
            </w:tcBorders>
            <w:shd w:val="clear" w:color="auto" w:fill="auto"/>
            <w:vAlign w:val="bottom"/>
          </w:tcPr>
          <w:p w:rsidRPr="00A75451" w:rsidR="00A75451" w:rsidP="00A75451" w:rsidRDefault="00606F36">
            <w:pPr>
              <w:spacing w:line="259" w:lineRule="auto"/>
              <w:ind w:left="-20"/>
              <w:jc w:val="right"/>
              <w:rPr>
                <w:rFonts w:ascii="Calibri" w:hAnsi="Calibri" w:eastAsia="Calibri" w:cs="Calibri"/>
                <w:sz w:val="16"/>
                <w:szCs w:val="16"/>
              </w:rPr>
            </w:pPr>
            <w:r>
              <w:rPr>
                <w:rFonts w:ascii="Calibri" w:hAnsi="Calibri" w:eastAsia="Calibri" w:cs="Calibri"/>
                <w:sz w:val="16"/>
                <w:szCs w:val="16"/>
              </w:rPr>
              <w:t>15840</w:t>
            </w:r>
          </w:p>
        </w:tc>
        <w:tc>
          <w:tcPr>
            <w:tcW w:w="1260" w:type="dxa"/>
            <w:tcBorders>
              <w:top w:val="nil"/>
              <w:left w:val="nil"/>
              <w:bottom w:val="single" w:color="000000" w:sz="4" w:space="0"/>
              <w:right w:val="single" w:color="000000" w:sz="4" w:space="0"/>
            </w:tcBorders>
            <w:shd w:val="clear" w:color="auto" w:fill="auto"/>
            <w:vAlign w:val="bottom"/>
          </w:tcPr>
          <w:p w:rsidRPr="00A75451" w:rsidR="00A75451" w:rsidP="00A75451" w:rsidRDefault="00A75451">
            <w:pPr>
              <w:widowControl/>
              <w:jc w:val="right"/>
              <w:rPr>
                <w:rFonts w:ascii="Calibri" w:hAnsi="Calibri" w:eastAsia="Calibri" w:cs="Calibri"/>
                <w:sz w:val="16"/>
                <w:szCs w:val="16"/>
              </w:rPr>
            </w:pPr>
            <w:r w:rsidRPr="00A75451">
              <w:rPr>
                <w:rFonts w:ascii="Calibri" w:hAnsi="Calibri" w:eastAsia="Calibri" w:cs="Calibri"/>
                <w:sz w:val="16"/>
                <w:szCs w:val="16"/>
              </w:rPr>
              <w:t>1</w:t>
            </w:r>
          </w:p>
        </w:tc>
        <w:tc>
          <w:tcPr>
            <w:tcW w:w="1170" w:type="dxa"/>
            <w:tcBorders>
              <w:top w:val="nil"/>
              <w:left w:val="nil"/>
              <w:bottom w:val="single" w:color="000000" w:sz="4" w:space="0"/>
              <w:right w:val="single" w:color="000000" w:sz="4" w:space="0"/>
            </w:tcBorders>
            <w:shd w:val="clear" w:color="auto" w:fill="auto"/>
            <w:vAlign w:val="bottom"/>
          </w:tcPr>
          <w:p w:rsidRPr="00A75451" w:rsidR="00A75451" w:rsidP="00A75451" w:rsidRDefault="00606F36">
            <w:pPr>
              <w:spacing w:line="259" w:lineRule="auto"/>
              <w:ind w:left="-20"/>
              <w:jc w:val="right"/>
              <w:rPr>
                <w:rFonts w:ascii="Calibri" w:hAnsi="Calibri" w:eastAsia="Calibri" w:cs="Calibri"/>
                <w:sz w:val="16"/>
                <w:szCs w:val="16"/>
              </w:rPr>
            </w:pPr>
            <w:r>
              <w:rPr>
                <w:rFonts w:ascii="Calibri" w:hAnsi="Calibri" w:eastAsia="Calibri" w:cs="Calibri"/>
                <w:sz w:val="16"/>
                <w:szCs w:val="16"/>
              </w:rPr>
              <w:t>15840</w:t>
            </w:r>
          </w:p>
        </w:tc>
        <w:tc>
          <w:tcPr>
            <w:tcW w:w="1080" w:type="dxa"/>
            <w:tcBorders>
              <w:top w:val="nil"/>
              <w:left w:val="nil"/>
              <w:bottom w:val="single" w:color="000000" w:sz="4" w:space="0"/>
              <w:right w:val="single" w:color="000000" w:sz="4" w:space="0"/>
            </w:tcBorders>
            <w:shd w:val="clear" w:color="auto" w:fill="auto"/>
            <w:vAlign w:val="bottom"/>
          </w:tcPr>
          <w:p w:rsidRPr="00A75451" w:rsidR="00A75451" w:rsidP="00A75451" w:rsidRDefault="00A75451">
            <w:pPr>
              <w:widowControl/>
              <w:jc w:val="right"/>
              <w:rPr>
                <w:rFonts w:ascii="Calibri" w:hAnsi="Calibri" w:eastAsia="Calibri" w:cs="Calibri"/>
                <w:sz w:val="16"/>
                <w:szCs w:val="16"/>
              </w:rPr>
            </w:pPr>
            <w:r w:rsidRPr="00A75451">
              <w:rPr>
                <w:rFonts w:ascii="Calibri" w:hAnsi="Calibri" w:eastAsia="Calibri" w:cs="Calibri"/>
                <w:sz w:val="16"/>
                <w:szCs w:val="16"/>
              </w:rPr>
              <w:t>.16</w:t>
            </w:r>
          </w:p>
        </w:tc>
        <w:tc>
          <w:tcPr>
            <w:tcW w:w="1137" w:type="dxa"/>
            <w:tcBorders>
              <w:top w:val="nil"/>
              <w:left w:val="nil"/>
              <w:bottom w:val="single" w:color="000000" w:sz="4" w:space="0"/>
              <w:right w:val="single" w:color="000000" w:sz="4" w:space="0"/>
            </w:tcBorders>
            <w:shd w:val="clear" w:color="auto" w:fill="auto"/>
            <w:vAlign w:val="bottom"/>
          </w:tcPr>
          <w:p w:rsidRPr="00A75451" w:rsidR="00A75451" w:rsidP="00A75451" w:rsidRDefault="00606F36">
            <w:pPr>
              <w:widowControl/>
              <w:jc w:val="right"/>
              <w:rPr>
                <w:rFonts w:ascii="Calibri" w:hAnsi="Calibri" w:eastAsia="Calibri" w:cs="Calibri"/>
                <w:sz w:val="16"/>
                <w:szCs w:val="16"/>
              </w:rPr>
            </w:pPr>
            <w:r>
              <w:rPr>
                <w:rFonts w:ascii="Calibri" w:hAnsi="Calibri" w:eastAsia="Calibri" w:cs="Calibri"/>
                <w:sz w:val="16"/>
                <w:szCs w:val="16"/>
              </w:rPr>
              <w:t>2534</w:t>
            </w:r>
            <w:r w:rsidRPr="00A75451" w:rsidR="00A75451">
              <w:rPr>
                <w:rFonts w:ascii="Calibri" w:hAnsi="Calibri" w:eastAsia="Calibri" w:cs="Calibri"/>
                <w:sz w:val="16"/>
                <w:szCs w:val="16"/>
              </w:rPr>
              <w:t xml:space="preserve"> </w:t>
            </w:r>
          </w:p>
        </w:tc>
        <w:tc>
          <w:tcPr>
            <w:tcW w:w="1066" w:type="dxa"/>
            <w:tcBorders>
              <w:top w:val="nil"/>
              <w:left w:val="nil"/>
              <w:bottom w:val="single" w:color="000000" w:sz="4" w:space="0"/>
              <w:right w:val="single" w:color="000000" w:sz="4" w:space="0"/>
            </w:tcBorders>
            <w:shd w:val="clear" w:color="auto" w:fill="auto"/>
            <w:vAlign w:val="bottom"/>
          </w:tcPr>
          <w:p w:rsidRPr="00A75451" w:rsidR="00A75451" w:rsidP="00A75451" w:rsidRDefault="00A75451">
            <w:pPr>
              <w:widowControl/>
              <w:jc w:val="right"/>
              <w:rPr>
                <w:rFonts w:ascii="Calibri" w:hAnsi="Calibri" w:eastAsia="Calibri" w:cs="Calibri"/>
                <w:sz w:val="16"/>
                <w:szCs w:val="16"/>
              </w:rPr>
            </w:pPr>
            <w:r w:rsidRPr="00A75451">
              <w:rPr>
                <w:rFonts w:ascii="Calibri" w:hAnsi="Calibri" w:eastAsia="Calibri" w:cs="Calibri"/>
                <w:sz w:val="16"/>
                <w:szCs w:val="16"/>
              </w:rPr>
              <w:t>$20.17</w:t>
            </w:r>
          </w:p>
        </w:tc>
        <w:tc>
          <w:tcPr>
            <w:tcW w:w="1667" w:type="dxa"/>
            <w:tcBorders>
              <w:top w:val="nil"/>
              <w:left w:val="nil"/>
              <w:bottom w:val="single" w:color="000000" w:sz="4" w:space="0"/>
              <w:right w:val="single" w:color="000000" w:sz="8" w:space="0"/>
            </w:tcBorders>
            <w:shd w:val="clear" w:color="auto" w:fill="auto"/>
            <w:vAlign w:val="bottom"/>
          </w:tcPr>
          <w:p w:rsidRPr="00A75451" w:rsidR="00A75451" w:rsidP="00606F36" w:rsidRDefault="00A75451">
            <w:pPr>
              <w:widowControl/>
              <w:jc w:val="right"/>
              <w:rPr>
                <w:rFonts w:ascii="Calibri" w:hAnsi="Calibri" w:eastAsia="Calibri" w:cs="Calibri"/>
                <w:sz w:val="16"/>
                <w:szCs w:val="16"/>
              </w:rPr>
            </w:pPr>
            <w:r w:rsidRPr="00A75451">
              <w:rPr>
                <w:rFonts w:ascii="Calibri" w:hAnsi="Calibri" w:eastAsia="Calibri" w:cs="Calibri"/>
                <w:sz w:val="16"/>
                <w:szCs w:val="16"/>
              </w:rPr>
              <w:t>$</w:t>
            </w:r>
            <w:r w:rsidR="00606F36">
              <w:rPr>
                <w:rFonts w:ascii="Calibri" w:hAnsi="Calibri" w:eastAsia="Calibri" w:cs="Calibri"/>
                <w:sz w:val="16"/>
                <w:szCs w:val="16"/>
              </w:rPr>
              <w:t>51,111</w:t>
            </w:r>
          </w:p>
        </w:tc>
      </w:tr>
      <w:tr w:rsidR="00574A0F" w:rsidTr="00A960A5">
        <w:trPr>
          <w:trHeight w:val="615"/>
        </w:trPr>
        <w:tc>
          <w:tcPr>
            <w:tcW w:w="3560" w:type="dxa"/>
            <w:tcBorders>
              <w:top w:val="nil"/>
              <w:left w:val="single" w:color="000000" w:sz="8" w:space="0"/>
              <w:bottom w:val="single" w:color="000000" w:sz="8" w:space="0"/>
              <w:right w:val="single" w:color="000000" w:sz="8" w:space="0"/>
            </w:tcBorders>
            <w:shd w:val="clear" w:color="auto" w:fill="DDEBF7"/>
            <w:vAlign w:val="bottom"/>
          </w:tcPr>
          <w:p w:rsidR="00574A0F" w:rsidRDefault="00606F36">
            <w:pPr>
              <w:widowControl/>
              <w:rPr>
                <w:rFonts w:ascii="Calibri" w:hAnsi="Calibri" w:eastAsia="Calibri" w:cs="Calibri"/>
                <w:b/>
                <w:color w:val="000000"/>
              </w:rPr>
            </w:pPr>
            <w:r>
              <w:rPr>
                <w:rFonts w:ascii="Calibri" w:hAnsi="Calibri" w:eastAsia="Calibri" w:cs="Calibri"/>
                <w:b/>
                <w:color w:val="000000"/>
              </w:rPr>
              <w:t>Totals</w:t>
            </w:r>
          </w:p>
        </w:tc>
        <w:tc>
          <w:tcPr>
            <w:tcW w:w="1945" w:type="dxa"/>
            <w:tcBorders>
              <w:top w:val="nil"/>
              <w:left w:val="nil"/>
              <w:bottom w:val="single" w:color="000000" w:sz="8" w:space="0"/>
              <w:right w:val="single" w:color="000000" w:sz="8" w:space="0"/>
            </w:tcBorders>
            <w:shd w:val="clear" w:color="auto" w:fill="000000"/>
            <w:vAlign w:val="bottom"/>
          </w:tcPr>
          <w:p w:rsidR="00574A0F" w:rsidRDefault="00606F36">
            <w:pPr>
              <w:widowControl/>
              <w:rPr>
                <w:rFonts w:ascii="Calibri" w:hAnsi="Calibri" w:eastAsia="Calibri" w:cs="Calibri"/>
                <w:b/>
                <w:color w:val="000000"/>
              </w:rPr>
            </w:pPr>
            <w:r>
              <w:rPr>
                <w:rFonts w:ascii="Calibri" w:hAnsi="Calibri" w:eastAsia="Calibri" w:cs="Calibri"/>
                <w:b/>
                <w:color w:val="000000"/>
              </w:rPr>
              <w:t> </w:t>
            </w:r>
          </w:p>
        </w:tc>
        <w:tc>
          <w:tcPr>
            <w:tcW w:w="1530" w:type="dxa"/>
            <w:tcBorders>
              <w:top w:val="nil"/>
              <w:left w:val="nil"/>
              <w:bottom w:val="single" w:color="000000" w:sz="8" w:space="0"/>
              <w:right w:val="single" w:color="000000" w:sz="8" w:space="0"/>
            </w:tcBorders>
            <w:shd w:val="clear" w:color="auto" w:fill="000000"/>
            <w:vAlign w:val="bottom"/>
          </w:tcPr>
          <w:p w:rsidR="00574A0F" w:rsidRDefault="00606F36">
            <w:pPr>
              <w:widowControl/>
              <w:rPr>
                <w:rFonts w:ascii="Calibri" w:hAnsi="Calibri" w:eastAsia="Calibri" w:cs="Calibri"/>
                <w:b/>
                <w:color w:val="000000"/>
              </w:rPr>
            </w:pPr>
            <w:r>
              <w:rPr>
                <w:rFonts w:ascii="Calibri" w:hAnsi="Calibri" w:eastAsia="Calibri" w:cs="Calibri"/>
                <w:b/>
                <w:color w:val="000000"/>
              </w:rPr>
              <w:t> </w:t>
            </w:r>
          </w:p>
        </w:tc>
        <w:tc>
          <w:tcPr>
            <w:tcW w:w="1260" w:type="dxa"/>
            <w:tcBorders>
              <w:top w:val="nil"/>
              <w:left w:val="nil"/>
              <w:bottom w:val="single" w:color="000000" w:sz="8" w:space="0"/>
              <w:right w:val="single" w:color="000000" w:sz="8" w:space="0"/>
            </w:tcBorders>
            <w:shd w:val="clear" w:color="auto" w:fill="000000"/>
            <w:vAlign w:val="bottom"/>
          </w:tcPr>
          <w:p w:rsidR="00574A0F" w:rsidRDefault="00606F36">
            <w:pPr>
              <w:widowControl/>
              <w:rPr>
                <w:rFonts w:ascii="Calibri" w:hAnsi="Calibri" w:eastAsia="Calibri" w:cs="Calibri"/>
                <w:b/>
                <w:color w:val="000000"/>
              </w:rPr>
            </w:pPr>
            <w:r>
              <w:rPr>
                <w:rFonts w:ascii="Calibri" w:hAnsi="Calibri" w:eastAsia="Calibri" w:cs="Calibri"/>
                <w:b/>
                <w:color w:val="000000"/>
              </w:rPr>
              <w:t> </w:t>
            </w:r>
          </w:p>
        </w:tc>
        <w:tc>
          <w:tcPr>
            <w:tcW w:w="1170" w:type="dxa"/>
            <w:tcBorders>
              <w:top w:val="nil"/>
              <w:left w:val="nil"/>
              <w:bottom w:val="single" w:color="000000" w:sz="8" w:space="0"/>
              <w:right w:val="single" w:color="000000" w:sz="8" w:space="0"/>
            </w:tcBorders>
            <w:shd w:val="clear" w:color="auto" w:fill="DDEBF7"/>
            <w:vAlign w:val="bottom"/>
          </w:tcPr>
          <w:p w:rsidR="00574A0F" w:rsidP="00606F36" w:rsidRDefault="00606F36">
            <w:pPr>
              <w:widowControl/>
              <w:rPr>
                <w:rFonts w:ascii="Calibri" w:hAnsi="Calibri" w:eastAsia="Calibri" w:cs="Calibri"/>
                <w:b/>
                <w:color w:val="000000"/>
              </w:rPr>
            </w:pPr>
            <w:r>
              <w:rPr>
                <w:rFonts w:ascii="Calibri" w:hAnsi="Calibri" w:eastAsia="Calibri" w:cs="Calibri"/>
                <w:b/>
                <w:color w:val="000000"/>
              </w:rPr>
              <w:t> 37,650</w:t>
            </w:r>
          </w:p>
        </w:tc>
        <w:tc>
          <w:tcPr>
            <w:tcW w:w="1080" w:type="dxa"/>
            <w:tcBorders>
              <w:top w:val="nil"/>
              <w:left w:val="nil"/>
              <w:bottom w:val="single" w:color="000000" w:sz="8" w:space="0"/>
              <w:right w:val="single" w:color="000000" w:sz="8" w:space="0"/>
            </w:tcBorders>
            <w:shd w:val="clear" w:color="auto" w:fill="000000"/>
            <w:vAlign w:val="bottom"/>
          </w:tcPr>
          <w:p w:rsidR="00574A0F" w:rsidRDefault="00606F36">
            <w:pPr>
              <w:widowControl/>
              <w:rPr>
                <w:rFonts w:ascii="Calibri" w:hAnsi="Calibri" w:eastAsia="Calibri" w:cs="Calibri"/>
                <w:b/>
                <w:color w:val="000000"/>
              </w:rPr>
            </w:pPr>
            <w:r>
              <w:rPr>
                <w:rFonts w:ascii="Calibri" w:hAnsi="Calibri" w:eastAsia="Calibri" w:cs="Calibri"/>
                <w:b/>
                <w:color w:val="000000"/>
              </w:rPr>
              <w:t> </w:t>
            </w:r>
          </w:p>
        </w:tc>
        <w:tc>
          <w:tcPr>
            <w:tcW w:w="1137" w:type="dxa"/>
            <w:tcBorders>
              <w:top w:val="nil"/>
              <w:left w:val="nil"/>
              <w:bottom w:val="single" w:color="000000" w:sz="8" w:space="0"/>
              <w:right w:val="single" w:color="000000" w:sz="8" w:space="0"/>
            </w:tcBorders>
            <w:shd w:val="clear" w:color="auto" w:fill="DDEBF7"/>
            <w:vAlign w:val="bottom"/>
          </w:tcPr>
          <w:p w:rsidR="00574A0F" w:rsidRDefault="00606F36">
            <w:pPr>
              <w:widowControl/>
              <w:rPr>
                <w:rFonts w:ascii="Calibri" w:hAnsi="Calibri" w:eastAsia="Calibri" w:cs="Calibri"/>
                <w:b/>
                <w:color w:val="000000"/>
              </w:rPr>
            </w:pPr>
            <w:r>
              <w:rPr>
                <w:rFonts w:ascii="Calibri" w:hAnsi="Calibri" w:eastAsia="Calibri" w:cs="Calibri"/>
                <w:b/>
              </w:rPr>
              <w:t>7,140</w:t>
            </w:r>
          </w:p>
        </w:tc>
        <w:tc>
          <w:tcPr>
            <w:tcW w:w="1066" w:type="dxa"/>
            <w:tcBorders>
              <w:top w:val="nil"/>
              <w:left w:val="nil"/>
              <w:bottom w:val="single" w:color="000000" w:sz="8" w:space="0"/>
              <w:right w:val="single" w:color="000000" w:sz="8" w:space="0"/>
            </w:tcBorders>
            <w:shd w:val="clear" w:color="auto" w:fill="000000"/>
            <w:vAlign w:val="bottom"/>
          </w:tcPr>
          <w:p w:rsidR="00574A0F" w:rsidRDefault="00606F36">
            <w:pPr>
              <w:widowControl/>
              <w:rPr>
                <w:rFonts w:ascii="Calibri" w:hAnsi="Calibri" w:eastAsia="Calibri" w:cs="Calibri"/>
                <w:b/>
                <w:color w:val="000000"/>
              </w:rPr>
            </w:pPr>
            <w:r>
              <w:rPr>
                <w:rFonts w:ascii="Calibri" w:hAnsi="Calibri" w:eastAsia="Calibri" w:cs="Calibri"/>
                <w:b/>
                <w:color w:val="000000"/>
              </w:rPr>
              <w:t> </w:t>
            </w:r>
          </w:p>
        </w:tc>
        <w:tc>
          <w:tcPr>
            <w:tcW w:w="1667" w:type="dxa"/>
            <w:tcBorders>
              <w:top w:val="nil"/>
              <w:left w:val="nil"/>
              <w:bottom w:val="single" w:color="000000" w:sz="8" w:space="0"/>
              <w:right w:val="single" w:color="000000" w:sz="8" w:space="0"/>
            </w:tcBorders>
            <w:shd w:val="clear" w:color="auto" w:fill="DDEBF7"/>
            <w:vAlign w:val="bottom"/>
          </w:tcPr>
          <w:p w:rsidR="00574A0F" w:rsidRDefault="00606F36">
            <w:pPr>
              <w:widowControl/>
              <w:rPr>
                <w:rFonts w:ascii="Calibri" w:hAnsi="Calibri" w:eastAsia="Calibri" w:cs="Calibri"/>
                <w:b/>
                <w:color w:val="000000"/>
              </w:rPr>
            </w:pPr>
            <w:r>
              <w:rPr>
                <w:rFonts w:ascii="Calibri" w:hAnsi="Calibri" w:eastAsia="Calibri" w:cs="Calibri"/>
                <w:b/>
              </w:rPr>
              <w:t>144,013</w:t>
            </w:r>
            <w:bookmarkStart w:name="_GoBack" w:id="0"/>
            <w:bookmarkEnd w:id="0"/>
          </w:p>
        </w:tc>
      </w:tr>
    </w:tbl>
    <w:p w:rsidR="00574A0F" w:rsidRDefault="00574A0F">
      <w:pPr>
        <w:spacing w:line="259" w:lineRule="auto"/>
        <w:rPr>
          <w:b/>
          <w:color w:val="FF0000"/>
        </w:rPr>
      </w:pPr>
    </w:p>
    <w:p w:rsidR="00574A0F" w:rsidRDefault="00574A0F">
      <w:pPr>
        <w:spacing w:line="259" w:lineRule="auto"/>
        <w:rPr>
          <w:b/>
          <w:color w:val="FF0000"/>
        </w:rPr>
        <w:sectPr w:rsidR="00574A0F">
          <w:pgSz w:w="15840" w:h="12240" w:orient="landscape"/>
          <w:pgMar w:top="1080" w:right="1200" w:bottom="1080" w:left="640" w:header="0" w:footer="1014" w:gutter="0"/>
          <w:cols w:space="720"/>
        </w:sectPr>
      </w:pPr>
    </w:p>
    <w:p w:rsidR="00574A0F" w:rsidRDefault="00606F36">
      <w:pPr>
        <w:pBdr>
          <w:top w:val="nil"/>
          <w:left w:val="nil"/>
          <w:bottom w:val="nil"/>
          <w:right w:val="nil"/>
          <w:between w:val="nil"/>
        </w:pBdr>
        <w:tabs>
          <w:tab w:val="left" w:pos="360"/>
        </w:tabs>
        <w:spacing w:before="80"/>
        <w:rPr>
          <w:b/>
          <w:color w:val="000000"/>
        </w:rPr>
      </w:pPr>
      <w:r>
        <w:rPr>
          <w:b/>
        </w:rPr>
        <w:t xml:space="preserve">13. </w:t>
      </w:r>
      <w:r>
        <w:rPr>
          <w:b/>
          <w:color w:val="000000"/>
        </w:rPr>
        <w:t>Provide an estimate for the total annual cost burden to respondents or record keepers resulting from the collection of information. (Do not include the cost of any hour burden already reflected on the burden worksheet).</w:t>
      </w:r>
    </w:p>
    <w:p w:rsidR="00574A0F" w:rsidRDefault="00574A0F">
      <w:pPr>
        <w:pBdr>
          <w:top w:val="nil"/>
          <w:left w:val="nil"/>
          <w:bottom w:val="nil"/>
          <w:right w:val="nil"/>
          <w:between w:val="nil"/>
        </w:pBdr>
        <w:spacing w:before="1"/>
        <w:rPr>
          <w:b/>
          <w:color w:val="000000"/>
        </w:rPr>
      </w:pPr>
    </w:p>
    <w:p w:rsidR="00574A0F" w:rsidRDefault="00606F36">
      <w:pPr>
        <w:rPr>
          <w:b/>
        </w:rPr>
      </w:pPr>
      <w:r>
        <w:t>There are no capital costs or operating and maintenance costs associated with this information collection.</w:t>
      </w:r>
    </w:p>
    <w:p w:rsidR="00574A0F" w:rsidRDefault="00574A0F">
      <w:pPr>
        <w:pBdr>
          <w:top w:val="nil"/>
          <w:left w:val="nil"/>
          <w:bottom w:val="nil"/>
          <w:right w:val="nil"/>
          <w:between w:val="nil"/>
        </w:pBdr>
        <w:spacing w:before="7"/>
        <w:rPr>
          <w:b/>
        </w:rPr>
      </w:pPr>
    </w:p>
    <w:p w:rsidR="00574A0F" w:rsidRDefault="00606F36">
      <w:pPr>
        <w:pBdr>
          <w:top w:val="nil"/>
          <w:left w:val="nil"/>
          <w:bottom w:val="nil"/>
          <w:right w:val="nil"/>
          <w:between w:val="nil"/>
        </w:pBdr>
        <w:tabs>
          <w:tab w:val="left" w:pos="360"/>
        </w:tabs>
        <w:spacing w:before="80"/>
        <w:rPr>
          <w:b/>
          <w:color w:val="000000"/>
        </w:rPr>
      </w:pPr>
      <w:r>
        <w:rPr>
          <w:b/>
        </w:rPr>
        <w:t xml:space="preserve">14. </w:t>
      </w:r>
      <w:r>
        <w:rPr>
          <w:b/>
          <w:color w:val="000000"/>
        </w:rPr>
        <w:t>Provide estimates of annualized cost to the Federal government. Also, provide a description of the method used to estimate cost, which should in</w:t>
      </w:r>
      <w:r>
        <w:rPr>
          <w:b/>
          <w:color w:val="000000"/>
        </w:rPr>
        <w:t>clude quantification of hours, operational expenses (such as equipment, overhead, printing, and support staff), and any other expense that would not have been incurred without this collection of information.</w:t>
      </w:r>
    </w:p>
    <w:p w:rsidR="00574A0F" w:rsidRDefault="00574A0F">
      <w:pPr>
        <w:pBdr>
          <w:top w:val="nil"/>
          <w:left w:val="nil"/>
          <w:bottom w:val="nil"/>
          <w:right w:val="nil"/>
          <w:between w:val="nil"/>
        </w:pBdr>
        <w:spacing w:before="9" w:after="1"/>
        <w:rPr>
          <w:b/>
        </w:rPr>
      </w:pPr>
    </w:p>
    <w:p w:rsidR="00574A0F" w:rsidRDefault="00574A0F">
      <w:pPr>
        <w:pBdr>
          <w:top w:val="nil"/>
          <w:left w:val="nil"/>
          <w:bottom w:val="nil"/>
          <w:right w:val="nil"/>
          <w:between w:val="nil"/>
        </w:pBdr>
        <w:spacing w:before="9" w:after="1"/>
        <w:rPr>
          <w:b/>
        </w:rPr>
      </w:pPr>
    </w:p>
    <w:tbl>
      <w:tblPr>
        <w:tblStyle w:val="a5"/>
        <w:tblW w:w="10080" w:type="dxa"/>
        <w:tblBorders>
          <w:top w:val="nil"/>
          <w:left w:val="nil"/>
          <w:bottom w:val="nil"/>
          <w:right w:val="nil"/>
          <w:insideH w:val="nil"/>
          <w:insideV w:val="nil"/>
        </w:tblBorders>
        <w:tblLayout w:type="fixed"/>
        <w:tblLook w:val="0600" w:firstRow="0" w:lastRow="0" w:firstColumn="0" w:lastColumn="0" w:noHBand="1" w:noVBand="1"/>
      </w:tblPr>
      <w:tblGrid>
        <w:gridCol w:w="2821"/>
        <w:gridCol w:w="1265"/>
        <w:gridCol w:w="1375"/>
        <w:gridCol w:w="1375"/>
        <w:gridCol w:w="1732"/>
        <w:gridCol w:w="1512"/>
      </w:tblGrid>
      <w:tr w:rsidR="00574A0F" w:rsidTr="00560A91">
        <w:trPr>
          <w:trHeight w:val="428"/>
        </w:trPr>
        <w:tc>
          <w:tcPr>
            <w:tcW w:w="2821" w:type="dxa"/>
            <w:tcBorders>
              <w:top w:val="single" w:color="000000" w:sz="8" w:space="0"/>
              <w:left w:val="single" w:color="000000" w:sz="8" w:space="0"/>
              <w:bottom w:val="nil"/>
              <w:right w:val="single" w:color="000000" w:sz="8" w:space="0"/>
            </w:tcBorders>
            <w:shd w:val="clear" w:color="auto" w:fill="BDD7EE"/>
            <w:tcMar>
              <w:top w:w="100" w:type="dxa"/>
              <w:left w:w="100" w:type="dxa"/>
              <w:bottom w:w="100" w:type="dxa"/>
              <w:right w:w="100" w:type="dxa"/>
            </w:tcMar>
          </w:tcPr>
          <w:p w:rsidR="00574A0F" w:rsidRDefault="00606F36">
            <w:pPr>
              <w:pBdr>
                <w:top w:val="nil"/>
                <w:left w:val="nil"/>
                <w:bottom w:val="nil"/>
                <w:right w:val="nil"/>
                <w:between w:val="nil"/>
              </w:pBdr>
              <w:spacing w:line="276" w:lineRule="auto"/>
              <w:rPr>
                <w:rFonts w:ascii="Calibri" w:hAnsi="Calibri" w:eastAsia="Calibri" w:cs="Calibri"/>
                <w:b/>
                <w:sz w:val="16"/>
                <w:szCs w:val="16"/>
              </w:rPr>
            </w:pPr>
            <w:r>
              <w:rPr>
                <w:rFonts w:ascii="Calibri" w:hAnsi="Calibri" w:eastAsia="Calibri" w:cs="Calibri"/>
                <w:b/>
                <w:sz w:val="16"/>
                <w:szCs w:val="16"/>
              </w:rPr>
              <w:t>Cost Descriptions</w:t>
            </w:r>
          </w:p>
        </w:tc>
        <w:tc>
          <w:tcPr>
            <w:tcW w:w="1265" w:type="dxa"/>
            <w:tcBorders>
              <w:top w:val="single" w:color="000000" w:sz="8" w:space="0"/>
              <w:left w:val="nil"/>
              <w:bottom w:val="nil"/>
              <w:right w:val="single" w:color="000000" w:sz="8" w:space="0"/>
            </w:tcBorders>
            <w:shd w:val="clear" w:color="auto" w:fill="BDD7EE"/>
            <w:tcMar>
              <w:top w:w="100" w:type="dxa"/>
              <w:left w:w="100" w:type="dxa"/>
              <w:bottom w:w="100" w:type="dxa"/>
              <w:right w:w="100" w:type="dxa"/>
            </w:tcMar>
          </w:tcPr>
          <w:p w:rsidR="00574A0F" w:rsidRDefault="00606F36">
            <w:pPr>
              <w:ind w:left="-20"/>
              <w:jc w:val="center"/>
              <w:rPr>
                <w:rFonts w:ascii="Calibri" w:hAnsi="Calibri" w:eastAsia="Calibri" w:cs="Calibri"/>
                <w:b/>
                <w:sz w:val="16"/>
                <w:szCs w:val="16"/>
              </w:rPr>
            </w:pPr>
            <w:r>
              <w:rPr>
                <w:rFonts w:ascii="Calibri" w:hAnsi="Calibri" w:eastAsia="Calibri" w:cs="Calibri"/>
                <w:b/>
                <w:sz w:val="16"/>
                <w:szCs w:val="16"/>
              </w:rPr>
              <w:t>Grade/Step</w:t>
            </w:r>
          </w:p>
        </w:tc>
        <w:tc>
          <w:tcPr>
            <w:tcW w:w="1375" w:type="dxa"/>
            <w:tcBorders>
              <w:top w:val="single" w:color="000000" w:sz="8" w:space="0"/>
              <w:left w:val="nil"/>
              <w:bottom w:val="nil"/>
              <w:right w:val="single" w:color="000000" w:sz="8" w:space="0"/>
            </w:tcBorders>
            <w:shd w:val="clear" w:color="auto" w:fill="BDD7EE"/>
            <w:tcMar>
              <w:top w:w="100" w:type="dxa"/>
              <w:left w:w="100" w:type="dxa"/>
              <w:bottom w:w="100" w:type="dxa"/>
              <w:right w:w="100" w:type="dxa"/>
            </w:tcMar>
          </w:tcPr>
          <w:p w:rsidR="00574A0F" w:rsidP="00560A91" w:rsidRDefault="00606F36">
            <w:pPr>
              <w:ind w:left="-20"/>
              <w:jc w:val="center"/>
              <w:rPr>
                <w:rFonts w:ascii="Calibri" w:hAnsi="Calibri" w:eastAsia="Calibri" w:cs="Calibri"/>
                <w:b/>
                <w:sz w:val="16"/>
                <w:szCs w:val="16"/>
              </w:rPr>
            </w:pPr>
            <w:r>
              <w:rPr>
                <w:rFonts w:ascii="Calibri" w:hAnsi="Calibri" w:eastAsia="Calibri" w:cs="Calibri"/>
                <w:b/>
                <w:sz w:val="16"/>
                <w:szCs w:val="16"/>
              </w:rPr>
              <w:t xml:space="preserve">Loaded </w:t>
            </w:r>
            <w:r w:rsidR="00560A91">
              <w:rPr>
                <w:rFonts w:ascii="Calibri" w:hAnsi="Calibri" w:eastAsia="Calibri" w:cs="Calibri"/>
                <w:b/>
                <w:sz w:val="16"/>
                <w:szCs w:val="16"/>
              </w:rPr>
              <w:t>Annual Salary</w:t>
            </w:r>
          </w:p>
        </w:tc>
        <w:tc>
          <w:tcPr>
            <w:tcW w:w="1375" w:type="dxa"/>
            <w:tcBorders>
              <w:top w:val="single" w:color="000000" w:sz="8" w:space="0"/>
              <w:left w:val="nil"/>
              <w:bottom w:val="nil"/>
              <w:right w:val="single" w:color="000000" w:sz="8" w:space="0"/>
            </w:tcBorders>
            <w:shd w:val="clear" w:color="auto" w:fill="BDD7EE"/>
            <w:tcMar>
              <w:top w:w="100" w:type="dxa"/>
              <w:left w:w="100" w:type="dxa"/>
              <w:bottom w:w="100" w:type="dxa"/>
              <w:right w:w="100" w:type="dxa"/>
            </w:tcMar>
          </w:tcPr>
          <w:p w:rsidR="00574A0F" w:rsidP="00560A91" w:rsidRDefault="00560A91">
            <w:pPr>
              <w:ind w:left="-20"/>
              <w:jc w:val="center"/>
              <w:rPr>
                <w:rFonts w:ascii="Calibri" w:hAnsi="Calibri" w:eastAsia="Calibri" w:cs="Calibri"/>
                <w:b/>
                <w:sz w:val="16"/>
                <w:szCs w:val="16"/>
              </w:rPr>
            </w:pPr>
            <w:r>
              <w:rPr>
                <w:rFonts w:ascii="Calibri" w:hAnsi="Calibri" w:eastAsia="Calibri" w:cs="Calibri"/>
                <w:b/>
                <w:sz w:val="16"/>
                <w:szCs w:val="16"/>
              </w:rPr>
              <w:t xml:space="preserve">% </w:t>
            </w:r>
            <w:r w:rsidR="00606F36">
              <w:rPr>
                <w:rFonts w:ascii="Calibri" w:hAnsi="Calibri" w:eastAsia="Calibri" w:cs="Calibri"/>
                <w:b/>
                <w:sz w:val="16"/>
                <w:szCs w:val="16"/>
              </w:rPr>
              <w:t xml:space="preserve">Effort </w:t>
            </w:r>
          </w:p>
        </w:tc>
        <w:tc>
          <w:tcPr>
            <w:tcW w:w="1732" w:type="dxa"/>
            <w:tcBorders>
              <w:top w:val="single" w:color="000000" w:sz="8" w:space="0"/>
              <w:left w:val="nil"/>
              <w:bottom w:val="nil"/>
              <w:right w:val="single" w:color="000000" w:sz="8" w:space="0"/>
            </w:tcBorders>
            <w:shd w:val="clear" w:color="auto" w:fill="BDD7EE"/>
            <w:tcMar>
              <w:top w:w="100" w:type="dxa"/>
              <w:left w:w="100" w:type="dxa"/>
              <w:bottom w:w="100" w:type="dxa"/>
              <w:right w:w="100" w:type="dxa"/>
            </w:tcMar>
          </w:tcPr>
          <w:p w:rsidR="00574A0F" w:rsidRDefault="00606F36">
            <w:pPr>
              <w:ind w:left="-20"/>
              <w:jc w:val="center"/>
              <w:rPr>
                <w:rFonts w:ascii="Calibri" w:hAnsi="Calibri" w:eastAsia="Calibri" w:cs="Calibri"/>
                <w:b/>
                <w:sz w:val="16"/>
                <w:szCs w:val="16"/>
              </w:rPr>
            </w:pPr>
            <w:r>
              <w:rPr>
                <w:rFonts w:ascii="Calibri" w:hAnsi="Calibri" w:eastAsia="Calibri" w:cs="Calibri"/>
                <w:b/>
                <w:sz w:val="16"/>
                <w:szCs w:val="16"/>
              </w:rPr>
              <w:t>F</w:t>
            </w:r>
            <w:r>
              <w:rPr>
                <w:rFonts w:ascii="Calibri" w:hAnsi="Calibri" w:eastAsia="Calibri" w:cs="Calibri"/>
                <w:b/>
                <w:sz w:val="16"/>
                <w:szCs w:val="16"/>
              </w:rPr>
              <w:t>ringe (if Applicable)</w:t>
            </w:r>
          </w:p>
        </w:tc>
        <w:tc>
          <w:tcPr>
            <w:tcW w:w="1512" w:type="dxa"/>
            <w:tcBorders>
              <w:top w:val="single" w:color="000000" w:sz="8" w:space="0"/>
              <w:left w:val="nil"/>
              <w:bottom w:val="nil"/>
              <w:right w:val="single" w:color="000000" w:sz="8" w:space="0"/>
            </w:tcBorders>
            <w:shd w:val="clear" w:color="auto" w:fill="BDD7EE"/>
            <w:tcMar>
              <w:top w:w="100" w:type="dxa"/>
              <w:left w:w="100" w:type="dxa"/>
              <w:bottom w:w="100" w:type="dxa"/>
              <w:right w:w="100" w:type="dxa"/>
            </w:tcMar>
          </w:tcPr>
          <w:p w:rsidR="00574A0F" w:rsidRDefault="00606F36">
            <w:pPr>
              <w:ind w:left="-20"/>
              <w:jc w:val="center"/>
              <w:rPr>
                <w:rFonts w:ascii="Calibri" w:hAnsi="Calibri" w:eastAsia="Calibri" w:cs="Calibri"/>
                <w:b/>
                <w:sz w:val="16"/>
                <w:szCs w:val="16"/>
              </w:rPr>
            </w:pPr>
            <w:r>
              <w:rPr>
                <w:rFonts w:ascii="Calibri" w:hAnsi="Calibri" w:eastAsia="Calibri" w:cs="Calibri"/>
                <w:b/>
                <w:sz w:val="16"/>
                <w:szCs w:val="16"/>
              </w:rPr>
              <w:t>Cost to Government [a]</w:t>
            </w:r>
          </w:p>
        </w:tc>
      </w:tr>
      <w:tr w:rsidR="00574A0F" w:rsidTr="00560A91">
        <w:trPr>
          <w:trHeight w:val="194"/>
        </w:trPr>
        <w:tc>
          <w:tcPr>
            <w:tcW w:w="2821"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bottom"/>
          </w:tcPr>
          <w:p w:rsidR="00574A0F" w:rsidP="00560A91" w:rsidRDefault="00606F36">
            <w:pPr>
              <w:ind w:left="-20"/>
              <w:rPr>
                <w:rFonts w:ascii="Calibri" w:hAnsi="Calibri" w:eastAsia="Calibri" w:cs="Calibri"/>
                <w:b/>
                <w:sz w:val="16"/>
                <w:szCs w:val="16"/>
              </w:rPr>
            </w:pPr>
            <w:r>
              <w:rPr>
                <w:rFonts w:ascii="Calibri" w:hAnsi="Calibri" w:eastAsia="Calibri" w:cs="Calibri"/>
                <w:b/>
                <w:sz w:val="16"/>
                <w:szCs w:val="16"/>
              </w:rPr>
              <w:t>Federal Oversight</w:t>
            </w:r>
          </w:p>
        </w:tc>
        <w:tc>
          <w:tcPr>
            <w:tcW w:w="1265" w:type="dxa"/>
            <w:tcBorders>
              <w:top w:val="single" w:color="000000" w:sz="8" w:space="0"/>
              <w:left w:val="nil"/>
              <w:bottom w:val="single" w:color="000000" w:sz="8" w:space="0"/>
              <w:right w:val="single" w:color="000000" w:sz="8" w:space="0"/>
            </w:tcBorders>
            <w:tcMar>
              <w:top w:w="100" w:type="dxa"/>
              <w:left w:w="100" w:type="dxa"/>
              <w:bottom w:w="100" w:type="dxa"/>
              <w:right w:w="100" w:type="dxa"/>
            </w:tcMar>
            <w:vAlign w:val="bottom"/>
          </w:tcPr>
          <w:p w:rsidR="00574A0F" w:rsidP="00560A91" w:rsidRDefault="00A960A5">
            <w:pPr>
              <w:ind w:left="-20"/>
              <w:rPr>
                <w:rFonts w:ascii="Calibri" w:hAnsi="Calibri" w:eastAsia="Calibri" w:cs="Calibri"/>
                <w:b/>
                <w:sz w:val="16"/>
                <w:szCs w:val="16"/>
              </w:rPr>
            </w:pPr>
            <w:r>
              <w:rPr>
                <w:rFonts w:ascii="Calibri" w:hAnsi="Calibri" w:eastAsia="Calibri" w:cs="Calibri"/>
                <w:b/>
                <w:sz w:val="16"/>
                <w:szCs w:val="16"/>
              </w:rPr>
              <w:t>GS-14/GS-15</w:t>
            </w:r>
            <w:r w:rsidR="00606F36">
              <w:rPr>
                <w:rFonts w:ascii="Calibri" w:hAnsi="Calibri" w:eastAsia="Calibri" w:cs="Calibri"/>
                <w:b/>
                <w:sz w:val="16"/>
                <w:szCs w:val="16"/>
              </w:rPr>
              <w:t xml:space="preserve"> </w:t>
            </w:r>
          </w:p>
        </w:tc>
        <w:tc>
          <w:tcPr>
            <w:tcW w:w="1375" w:type="dxa"/>
            <w:tcBorders>
              <w:top w:val="single" w:color="000000" w:sz="8" w:space="0"/>
              <w:left w:val="nil"/>
              <w:bottom w:val="single" w:color="000000" w:sz="8" w:space="0"/>
              <w:right w:val="single" w:color="000000" w:sz="8" w:space="0"/>
            </w:tcBorders>
            <w:tcMar>
              <w:top w:w="100" w:type="dxa"/>
              <w:left w:w="100" w:type="dxa"/>
              <w:bottom w:w="100" w:type="dxa"/>
              <w:right w:w="100" w:type="dxa"/>
            </w:tcMar>
            <w:vAlign w:val="bottom"/>
          </w:tcPr>
          <w:p w:rsidR="00574A0F" w:rsidP="00560A91" w:rsidRDefault="00A960A5">
            <w:pPr>
              <w:ind w:left="-20"/>
              <w:rPr>
                <w:rFonts w:ascii="Calibri" w:hAnsi="Calibri" w:eastAsia="Calibri" w:cs="Calibri"/>
                <w:b/>
                <w:sz w:val="16"/>
                <w:szCs w:val="16"/>
              </w:rPr>
            </w:pPr>
            <w:r>
              <w:rPr>
                <w:rFonts w:ascii="Calibri" w:hAnsi="Calibri" w:eastAsia="Calibri" w:cs="Calibri"/>
                <w:b/>
                <w:sz w:val="16"/>
                <w:szCs w:val="16"/>
              </w:rPr>
              <w:t>$226,720</w:t>
            </w:r>
          </w:p>
        </w:tc>
        <w:tc>
          <w:tcPr>
            <w:tcW w:w="1375" w:type="dxa"/>
            <w:tcBorders>
              <w:top w:val="single" w:color="000000" w:sz="8" w:space="0"/>
              <w:left w:val="nil"/>
              <w:bottom w:val="single" w:color="000000" w:sz="8" w:space="0"/>
              <w:right w:val="single" w:color="000000" w:sz="8" w:space="0"/>
            </w:tcBorders>
            <w:tcMar>
              <w:top w:w="100" w:type="dxa"/>
              <w:left w:w="100" w:type="dxa"/>
              <w:bottom w:w="100" w:type="dxa"/>
              <w:right w:w="100" w:type="dxa"/>
            </w:tcMar>
            <w:vAlign w:val="bottom"/>
          </w:tcPr>
          <w:p w:rsidR="00574A0F" w:rsidP="00560A91" w:rsidRDefault="00A960A5">
            <w:pPr>
              <w:ind w:left="-20"/>
              <w:jc w:val="center"/>
              <w:rPr>
                <w:rFonts w:ascii="Calibri" w:hAnsi="Calibri" w:eastAsia="Calibri" w:cs="Calibri"/>
                <w:b/>
                <w:sz w:val="16"/>
                <w:szCs w:val="16"/>
              </w:rPr>
            </w:pPr>
            <w:r>
              <w:rPr>
                <w:rFonts w:ascii="Calibri" w:hAnsi="Calibri" w:eastAsia="Calibri" w:cs="Calibri"/>
                <w:b/>
                <w:sz w:val="16"/>
                <w:szCs w:val="16"/>
              </w:rPr>
              <w:t>23%</w:t>
            </w:r>
          </w:p>
        </w:tc>
        <w:tc>
          <w:tcPr>
            <w:tcW w:w="1732" w:type="dxa"/>
            <w:tcBorders>
              <w:top w:val="single" w:color="000000" w:sz="8" w:space="0"/>
              <w:left w:val="nil"/>
              <w:bottom w:val="single" w:color="000000" w:sz="8" w:space="0"/>
              <w:right w:val="single" w:color="000000" w:sz="8" w:space="0"/>
            </w:tcBorders>
            <w:shd w:val="clear" w:color="auto" w:fill="808080"/>
            <w:tcMar>
              <w:top w:w="100" w:type="dxa"/>
              <w:left w:w="100" w:type="dxa"/>
              <w:bottom w:w="100" w:type="dxa"/>
              <w:right w:w="100" w:type="dxa"/>
            </w:tcMar>
            <w:vAlign w:val="bottom"/>
          </w:tcPr>
          <w:p w:rsidR="00574A0F" w:rsidP="00560A91" w:rsidRDefault="00606F36">
            <w:pPr>
              <w:ind w:left="-20"/>
              <w:rPr>
                <w:rFonts w:ascii="Calibri" w:hAnsi="Calibri" w:eastAsia="Calibri" w:cs="Calibri"/>
                <w:b/>
                <w:sz w:val="16"/>
                <w:szCs w:val="16"/>
              </w:rPr>
            </w:pPr>
            <w:r>
              <w:rPr>
                <w:rFonts w:ascii="Calibri" w:hAnsi="Calibri" w:eastAsia="Calibri" w:cs="Calibri"/>
                <w:b/>
                <w:sz w:val="16"/>
                <w:szCs w:val="16"/>
              </w:rPr>
              <w:t xml:space="preserve"> </w:t>
            </w:r>
          </w:p>
        </w:tc>
        <w:tc>
          <w:tcPr>
            <w:tcW w:w="1512" w:type="dxa"/>
            <w:tcBorders>
              <w:top w:val="single" w:color="000000" w:sz="8" w:space="0"/>
              <w:left w:val="nil"/>
              <w:bottom w:val="single" w:color="000000" w:sz="8" w:space="0"/>
              <w:right w:val="single" w:color="000000" w:sz="8" w:space="0"/>
            </w:tcBorders>
            <w:tcMar>
              <w:top w:w="100" w:type="dxa"/>
              <w:left w:w="100" w:type="dxa"/>
              <w:bottom w:w="100" w:type="dxa"/>
              <w:right w:w="100" w:type="dxa"/>
            </w:tcMar>
            <w:vAlign w:val="bottom"/>
          </w:tcPr>
          <w:p w:rsidR="00574A0F" w:rsidP="00560A91" w:rsidRDefault="00560A91">
            <w:pPr>
              <w:ind w:left="-20"/>
              <w:jc w:val="center"/>
              <w:rPr>
                <w:rFonts w:ascii="Calibri" w:hAnsi="Calibri" w:eastAsia="Calibri" w:cs="Calibri"/>
                <w:b/>
                <w:sz w:val="16"/>
                <w:szCs w:val="16"/>
              </w:rPr>
            </w:pPr>
            <w:r>
              <w:rPr>
                <w:rFonts w:ascii="Calibri" w:hAnsi="Calibri" w:eastAsia="Calibri" w:cs="Calibri"/>
                <w:b/>
                <w:sz w:val="16"/>
                <w:szCs w:val="16"/>
              </w:rPr>
              <w:t>$52,145.60</w:t>
            </w:r>
          </w:p>
        </w:tc>
      </w:tr>
      <w:tr w:rsidR="00574A0F" w:rsidTr="00560A91">
        <w:trPr>
          <w:trHeight w:val="286"/>
        </w:trPr>
        <w:tc>
          <w:tcPr>
            <w:tcW w:w="2821" w:type="dxa"/>
            <w:tcBorders>
              <w:top w:val="nil"/>
              <w:left w:val="single" w:color="000000" w:sz="8" w:space="0"/>
              <w:bottom w:val="nil"/>
              <w:right w:val="single" w:color="000000" w:sz="8" w:space="0"/>
            </w:tcBorders>
            <w:tcMar>
              <w:top w:w="100" w:type="dxa"/>
              <w:left w:w="100" w:type="dxa"/>
              <w:bottom w:w="100" w:type="dxa"/>
              <w:right w:w="100" w:type="dxa"/>
            </w:tcMar>
            <w:vAlign w:val="bottom"/>
          </w:tcPr>
          <w:p w:rsidR="00574A0F" w:rsidP="00560A91" w:rsidRDefault="00606F36">
            <w:pPr>
              <w:ind w:left="-20"/>
              <w:rPr>
                <w:rFonts w:ascii="Calibri" w:hAnsi="Calibri" w:eastAsia="Calibri" w:cs="Calibri"/>
                <w:b/>
                <w:sz w:val="16"/>
                <w:szCs w:val="16"/>
              </w:rPr>
            </w:pPr>
            <w:r>
              <w:rPr>
                <w:rFonts w:ascii="Calibri" w:hAnsi="Calibri" w:eastAsia="Calibri" w:cs="Calibri"/>
                <w:b/>
                <w:sz w:val="16"/>
                <w:szCs w:val="16"/>
              </w:rPr>
              <w:t>Total Contract Cost</w:t>
            </w:r>
          </w:p>
        </w:tc>
        <w:tc>
          <w:tcPr>
            <w:tcW w:w="1265" w:type="dxa"/>
            <w:tcBorders>
              <w:top w:val="nil"/>
              <w:left w:val="nil"/>
              <w:bottom w:val="single" w:color="000000" w:sz="8" w:space="0"/>
              <w:right w:val="single" w:color="000000" w:sz="8" w:space="0"/>
            </w:tcBorders>
            <w:shd w:val="clear" w:color="auto" w:fill="808080"/>
            <w:tcMar>
              <w:top w:w="100" w:type="dxa"/>
              <w:left w:w="100" w:type="dxa"/>
              <w:bottom w:w="100" w:type="dxa"/>
              <w:right w:w="100" w:type="dxa"/>
            </w:tcMar>
            <w:vAlign w:val="bottom"/>
          </w:tcPr>
          <w:p w:rsidR="00574A0F" w:rsidP="00560A91" w:rsidRDefault="00606F36">
            <w:pPr>
              <w:ind w:left="-20"/>
              <w:rPr>
                <w:rFonts w:ascii="Calibri" w:hAnsi="Calibri" w:eastAsia="Calibri" w:cs="Calibri"/>
                <w:b/>
                <w:sz w:val="16"/>
                <w:szCs w:val="16"/>
              </w:rPr>
            </w:pPr>
            <w:r>
              <w:rPr>
                <w:rFonts w:ascii="Calibri" w:hAnsi="Calibri" w:eastAsia="Calibri" w:cs="Calibri"/>
                <w:b/>
                <w:sz w:val="16"/>
                <w:szCs w:val="16"/>
              </w:rPr>
              <w:t xml:space="preserve"> </w:t>
            </w:r>
          </w:p>
        </w:tc>
        <w:tc>
          <w:tcPr>
            <w:tcW w:w="1375" w:type="dxa"/>
            <w:tcBorders>
              <w:top w:val="nil"/>
              <w:left w:val="nil"/>
              <w:bottom w:val="single" w:color="000000" w:sz="8" w:space="0"/>
              <w:right w:val="single" w:color="000000" w:sz="8" w:space="0"/>
            </w:tcBorders>
            <w:shd w:val="clear" w:color="auto" w:fill="808080"/>
            <w:tcMar>
              <w:top w:w="100" w:type="dxa"/>
              <w:left w:w="100" w:type="dxa"/>
              <w:bottom w:w="100" w:type="dxa"/>
              <w:right w:w="100" w:type="dxa"/>
            </w:tcMar>
            <w:vAlign w:val="bottom"/>
          </w:tcPr>
          <w:p w:rsidR="00574A0F" w:rsidP="00560A91" w:rsidRDefault="00606F36">
            <w:pPr>
              <w:ind w:left="-20"/>
              <w:rPr>
                <w:rFonts w:ascii="Calibri" w:hAnsi="Calibri" w:eastAsia="Calibri" w:cs="Calibri"/>
                <w:b/>
                <w:sz w:val="16"/>
                <w:szCs w:val="16"/>
              </w:rPr>
            </w:pPr>
            <w:r>
              <w:rPr>
                <w:rFonts w:ascii="Calibri" w:hAnsi="Calibri" w:eastAsia="Calibri" w:cs="Calibri"/>
                <w:b/>
                <w:sz w:val="16"/>
                <w:szCs w:val="16"/>
              </w:rPr>
              <w:t xml:space="preserve"> </w:t>
            </w:r>
          </w:p>
        </w:tc>
        <w:tc>
          <w:tcPr>
            <w:tcW w:w="1375" w:type="dxa"/>
            <w:tcBorders>
              <w:top w:val="nil"/>
              <w:left w:val="nil"/>
              <w:bottom w:val="single" w:color="000000" w:sz="8" w:space="0"/>
              <w:right w:val="single" w:color="000000" w:sz="8" w:space="0"/>
            </w:tcBorders>
            <w:shd w:val="clear" w:color="auto" w:fill="808080"/>
            <w:tcMar>
              <w:top w:w="100" w:type="dxa"/>
              <w:left w:w="100" w:type="dxa"/>
              <w:bottom w:w="100" w:type="dxa"/>
              <w:right w:w="100" w:type="dxa"/>
            </w:tcMar>
            <w:vAlign w:val="bottom"/>
          </w:tcPr>
          <w:p w:rsidR="00574A0F" w:rsidP="00560A91" w:rsidRDefault="00606F36">
            <w:pPr>
              <w:ind w:left="-20"/>
              <w:rPr>
                <w:rFonts w:ascii="Calibri" w:hAnsi="Calibri" w:eastAsia="Calibri" w:cs="Calibri"/>
                <w:b/>
                <w:sz w:val="16"/>
                <w:szCs w:val="16"/>
              </w:rPr>
            </w:pPr>
            <w:r>
              <w:rPr>
                <w:rFonts w:ascii="Calibri" w:hAnsi="Calibri" w:eastAsia="Calibri" w:cs="Calibri"/>
                <w:b/>
                <w:sz w:val="16"/>
                <w:szCs w:val="16"/>
              </w:rPr>
              <w:t xml:space="preserve"> </w:t>
            </w:r>
          </w:p>
        </w:tc>
        <w:tc>
          <w:tcPr>
            <w:tcW w:w="1732" w:type="dxa"/>
            <w:tcBorders>
              <w:top w:val="nil"/>
              <w:left w:val="nil"/>
              <w:bottom w:val="single" w:color="000000" w:sz="8" w:space="0"/>
              <w:right w:val="single" w:color="000000" w:sz="8" w:space="0"/>
            </w:tcBorders>
            <w:shd w:val="clear" w:color="auto" w:fill="808080"/>
            <w:tcMar>
              <w:top w:w="100" w:type="dxa"/>
              <w:left w:w="100" w:type="dxa"/>
              <w:bottom w:w="100" w:type="dxa"/>
              <w:right w:w="100" w:type="dxa"/>
            </w:tcMar>
            <w:vAlign w:val="bottom"/>
          </w:tcPr>
          <w:p w:rsidR="00574A0F" w:rsidP="00560A91" w:rsidRDefault="00606F36">
            <w:pPr>
              <w:ind w:left="-20"/>
              <w:rPr>
                <w:rFonts w:ascii="Calibri" w:hAnsi="Calibri" w:eastAsia="Calibri" w:cs="Calibri"/>
                <w:b/>
                <w:sz w:val="16"/>
                <w:szCs w:val="16"/>
              </w:rPr>
            </w:pPr>
            <w:r>
              <w:rPr>
                <w:rFonts w:ascii="Calibri" w:hAnsi="Calibri" w:eastAsia="Calibri" w:cs="Calibri"/>
                <w:b/>
                <w:sz w:val="16"/>
                <w:szCs w:val="16"/>
              </w:rPr>
              <w:t xml:space="preserve"> </w:t>
            </w:r>
          </w:p>
        </w:tc>
        <w:tc>
          <w:tcPr>
            <w:tcW w:w="1512" w:type="dxa"/>
            <w:tcBorders>
              <w:top w:val="nil"/>
              <w:left w:val="nil"/>
              <w:bottom w:val="single" w:color="000000" w:sz="8" w:space="0"/>
              <w:right w:val="single" w:color="000000" w:sz="8" w:space="0"/>
            </w:tcBorders>
            <w:tcMar>
              <w:top w:w="100" w:type="dxa"/>
              <w:left w:w="100" w:type="dxa"/>
              <w:bottom w:w="100" w:type="dxa"/>
              <w:right w:w="100" w:type="dxa"/>
            </w:tcMar>
            <w:vAlign w:val="bottom"/>
          </w:tcPr>
          <w:p w:rsidR="00574A0F" w:rsidP="00560A91" w:rsidRDefault="00606F36">
            <w:pPr>
              <w:ind w:left="-20"/>
              <w:jc w:val="center"/>
              <w:rPr>
                <w:rFonts w:ascii="Calibri" w:hAnsi="Calibri" w:eastAsia="Calibri" w:cs="Calibri"/>
                <w:b/>
                <w:sz w:val="16"/>
                <w:szCs w:val="16"/>
              </w:rPr>
            </w:pPr>
            <w:r>
              <w:rPr>
                <w:rFonts w:ascii="Calibri" w:hAnsi="Calibri" w:eastAsia="Calibri" w:cs="Calibri"/>
                <w:b/>
                <w:sz w:val="16"/>
                <w:szCs w:val="16"/>
              </w:rPr>
              <w:t>$396,855</w:t>
            </w:r>
          </w:p>
        </w:tc>
      </w:tr>
      <w:tr w:rsidR="00574A0F" w:rsidTr="00560A91">
        <w:trPr>
          <w:trHeight w:val="239"/>
        </w:trPr>
        <w:tc>
          <w:tcPr>
            <w:tcW w:w="2821" w:type="dxa"/>
            <w:tcBorders>
              <w:top w:val="single" w:color="000000" w:sz="8" w:space="0"/>
              <w:left w:val="single" w:color="000000" w:sz="8" w:space="0"/>
              <w:bottom w:val="single" w:color="000000" w:sz="8" w:space="0"/>
              <w:right w:val="single" w:color="000000" w:sz="8" w:space="0"/>
            </w:tcBorders>
            <w:shd w:val="clear" w:color="auto" w:fill="DDEBF7"/>
            <w:tcMar>
              <w:top w:w="100" w:type="dxa"/>
              <w:left w:w="100" w:type="dxa"/>
              <w:bottom w:w="100" w:type="dxa"/>
              <w:right w:w="100" w:type="dxa"/>
            </w:tcMar>
            <w:vAlign w:val="bottom"/>
          </w:tcPr>
          <w:p w:rsidR="00574A0F" w:rsidRDefault="00606F36">
            <w:pPr>
              <w:ind w:left="-20"/>
              <w:rPr>
                <w:rFonts w:ascii="Calibri" w:hAnsi="Calibri" w:eastAsia="Calibri" w:cs="Calibri"/>
                <w:b/>
                <w:sz w:val="16"/>
                <w:szCs w:val="16"/>
              </w:rPr>
            </w:pPr>
            <w:r>
              <w:rPr>
                <w:rFonts w:ascii="Calibri" w:hAnsi="Calibri" w:eastAsia="Calibri" w:cs="Calibri"/>
                <w:b/>
                <w:sz w:val="16"/>
                <w:szCs w:val="16"/>
              </w:rPr>
              <w:t>TOTAL COST TO GOVERNMENT</w:t>
            </w:r>
          </w:p>
        </w:tc>
        <w:tc>
          <w:tcPr>
            <w:tcW w:w="1265" w:type="dxa"/>
            <w:tcBorders>
              <w:top w:val="nil"/>
              <w:left w:val="nil"/>
              <w:bottom w:val="single" w:color="000000" w:sz="8" w:space="0"/>
              <w:right w:val="single" w:color="000000" w:sz="8" w:space="0"/>
            </w:tcBorders>
            <w:shd w:val="clear" w:color="auto" w:fill="808080"/>
            <w:tcMar>
              <w:top w:w="100" w:type="dxa"/>
              <w:left w:w="100" w:type="dxa"/>
              <w:bottom w:w="100" w:type="dxa"/>
              <w:right w:w="100" w:type="dxa"/>
            </w:tcMar>
            <w:vAlign w:val="bottom"/>
          </w:tcPr>
          <w:p w:rsidR="00574A0F" w:rsidRDefault="00606F36">
            <w:pPr>
              <w:ind w:left="-20"/>
              <w:jc w:val="center"/>
              <w:rPr>
                <w:rFonts w:ascii="Calibri" w:hAnsi="Calibri" w:eastAsia="Calibri" w:cs="Calibri"/>
                <w:b/>
                <w:sz w:val="16"/>
                <w:szCs w:val="16"/>
              </w:rPr>
            </w:pPr>
            <w:r>
              <w:rPr>
                <w:rFonts w:ascii="Calibri" w:hAnsi="Calibri" w:eastAsia="Calibri" w:cs="Calibri"/>
                <w:b/>
                <w:sz w:val="16"/>
                <w:szCs w:val="16"/>
              </w:rPr>
              <w:t xml:space="preserve"> </w:t>
            </w:r>
          </w:p>
        </w:tc>
        <w:tc>
          <w:tcPr>
            <w:tcW w:w="1375" w:type="dxa"/>
            <w:tcBorders>
              <w:top w:val="nil"/>
              <w:left w:val="nil"/>
              <w:bottom w:val="single" w:color="000000" w:sz="8" w:space="0"/>
              <w:right w:val="single" w:color="000000" w:sz="8" w:space="0"/>
            </w:tcBorders>
            <w:shd w:val="clear" w:color="auto" w:fill="808080"/>
            <w:tcMar>
              <w:top w:w="100" w:type="dxa"/>
              <w:left w:w="100" w:type="dxa"/>
              <w:bottom w:w="100" w:type="dxa"/>
              <w:right w:w="100" w:type="dxa"/>
            </w:tcMar>
            <w:vAlign w:val="bottom"/>
          </w:tcPr>
          <w:p w:rsidR="00574A0F" w:rsidRDefault="00606F36">
            <w:pPr>
              <w:ind w:left="-20"/>
              <w:jc w:val="center"/>
              <w:rPr>
                <w:rFonts w:ascii="Calibri" w:hAnsi="Calibri" w:eastAsia="Calibri" w:cs="Calibri"/>
                <w:b/>
                <w:sz w:val="16"/>
                <w:szCs w:val="16"/>
              </w:rPr>
            </w:pPr>
            <w:r>
              <w:rPr>
                <w:rFonts w:ascii="Calibri" w:hAnsi="Calibri" w:eastAsia="Calibri" w:cs="Calibri"/>
                <w:b/>
                <w:sz w:val="16"/>
                <w:szCs w:val="16"/>
              </w:rPr>
              <w:t xml:space="preserve"> </w:t>
            </w:r>
          </w:p>
        </w:tc>
        <w:tc>
          <w:tcPr>
            <w:tcW w:w="1375" w:type="dxa"/>
            <w:tcBorders>
              <w:top w:val="nil"/>
              <w:left w:val="nil"/>
              <w:bottom w:val="single" w:color="000000" w:sz="8" w:space="0"/>
              <w:right w:val="single" w:color="000000" w:sz="8" w:space="0"/>
            </w:tcBorders>
            <w:shd w:val="clear" w:color="auto" w:fill="757171"/>
            <w:tcMar>
              <w:top w:w="100" w:type="dxa"/>
              <w:left w:w="100" w:type="dxa"/>
              <w:bottom w:w="100" w:type="dxa"/>
              <w:right w:w="100" w:type="dxa"/>
            </w:tcMar>
            <w:vAlign w:val="bottom"/>
          </w:tcPr>
          <w:p w:rsidR="00574A0F" w:rsidRDefault="00606F36">
            <w:pPr>
              <w:ind w:left="-20"/>
              <w:jc w:val="center"/>
              <w:rPr>
                <w:rFonts w:ascii="Calibri" w:hAnsi="Calibri" w:eastAsia="Calibri" w:cs="Calibri"/>
                <w:b/>
                <w:sz w:val="16"/>
                <w:szCs w:val="16"/>
              </w:rPr>
            </w:pPr>
            <w:r>
              <w:rPr>
                <w:rFonts w:ascii="Calibri" w:hAnsi="Calibri" w:eastAsia="Calibri" w:cs="Calibri"/>
                <w:b/>
                <w:sz w:val="16"/>
                <w:szCs w:val="16"/>
              </w:rPr>
              <w:t xml:space="preserve"> </w:t>
            </w:r>
          </w:p>
        </w:tc>
        <w:tc>
          <w:tcPr>
            <w:tcW w:w="1732" w:type="dxa"/>
            <w:tcBorders>
              <w:top w:val="nil"/>
              <w:left w:val="nil"/>
              <w:bottom w:val="single" w:color="000000" w:sz="8" w:space="0"/>
              <w:right w:val="single" w:color="000000" w:sz="8" w:space="0"/>
            </w:tcBorders>
            <w:shd w:val="clear" w:color="auto" w:fill="DDEBF7"/>
            <w:tcMar>
              <w:top w:w="100" w:type="dxa"/>
              <w:left w:w="100" w:type="dxa"/>
              <w:bottom w:w="100" w:type="dxa"/>
              <w:right w:w="100" w:type="dxa"/>
            </w:tcMar>
            <w:vAlign w:val="bottom"/>
          </w:tcPr>
          <w:p w:rsidR="00574A0F" w:rsidRDefault="00606F36">
            <w:pPr>
              <w:ind w:left="-20"/>
              <w:jc w:val="center"/>
              <w:rPr>
                <w:rFonts w:ascii="Calibri" w:hAnsi="Calibri" w:eastAsia="Calibri" w:cs="Calibri"/>
                <w:b/>
                <w:sz w:val="16"/>
                <w:szCs w:val="16"/>
              </w:rPr>
            </w:pPr>
            <w:r>
              <w:rPr>
                <w:rFonts w:ascii="Calibri" w:hAnsi="Calibri" w:eastAsia="Calibri" w:cs="Calibri"/>
                <w:b/>
                <w:sz w:val="16"/>
                <w:szCs w:val="16"/>
              </w:rPr>
              <w:t xml:space="preserve"> </w:t>
            </w:r>
          </w:p>
        </w:tc>
        <w:tc>
          <w:tcPr>
            <w:tcW w:w="1512" w:type="dxa"/>
            <w:tcBorders>
              <w:top w:val="nil"/>
              <w:left w:val="nil"/>
              <w:bottom w:val="single" w:color="000000" w:sz="8" w:space="0"/>
              <w:right w:val="single" w:color="000000" w:sz="8" w:space="0"/>
            </w:tcBorders>
            <w:shd w:val="clear" w:color="auto" w:fill="DDEBF7"/>
            <w:tcMar>
              <w:top w:w="100" w:type="dxa"/>
              <w:left w:w="100" w:type="dxa"/>
              <w:bottom w:w="100" w:type="dxa"/>
              <w:right w:w="100" w:type="dxa"/>
            </w:tcMar>
            <w:vAlign w:val="bottom"/>
          </w:tcPr>
          <w:p w:rsidR="00574A0F" w:rsidP="00560A91" w:rsidRDefault="00560A91">
            <w:pPr>
              <w:ind w:left="-20"/>
              <w:jc w:val="center"/>
              <w:rPr>
                <w:rFonts w:ascii="Calibri" w:hAnsi="Calibri" w:eastAsia="Calibri" w:cs="Calibri"/>
                <w:b/>
                <w:sz w:val="16"/>
                <w:szCs w:val="16"/>
              </w:rPr>
            </w:pPr>
            <w:r>
              <w:rPr>
                <w:rFonts w:ascii="Calibri" w:hAnsi="Calibri" w:eastAsia="Calibri" w:cs="Calibri"/>
                <w:b/>
                <w:sz w:val="16"/>
                <w:szCs w:val="16"/>
              </w:rPr>
              <w:t xml:space="preserve"> $449,001</w:t>
            </w:r>
          </w:p>
        </w:tc>
      </w:tr>
    </w:tbl>
    <w:p w:rsidR="00574A0F" w:rsidRDefault="00574A0F">
      <w:pPr>
        <w:pBdr>
          <w:top w:val="nil"/>
          <w:left w:val="nil"/>
          <w:bottom w:val="nil"/>
          <w:right w:val="nil"/>
          <w:between w:val="nil"/>
        </w:pBdr>
        <w:spacing w:before="9" w:after="1"/>
        <w:rPr>
          <w:b/>
          <w:color w:val="000000"/>
        </w:rPr>
      </w:pPr>
    </w:p>
    <w:p w:rsidR="00574A0F" w:rsidRDefault="00606F36">
      <w:pPr>
        <w:pBdr>
          <w:top w:val="nil"/>
          <w:left w:val="nil"/>
          <w:bottom w:val="nil"/>
          <w:right w:val="nil"/>
          <w:between w:val="nil"/>
        </w:pBdr>
        <w:tabs>
          <w:tab w:val="left" w:pos="360"/>
        </w:tabs>
        <w:spacing w:before="80"/>
        <w:rPr>
          <w:b/>
          <w:color w:val="000000"/>
        </w:rPr>
      </w:pPr>
      <w:r>
        <w:rPr>
          <w:b/>
        </w:rPr>
        <w:t xml:space="preserve">15. </w:t>
      </w:r>
      <w:r>
        <w:rPr>
          <w:b/>
          <w:color w:val="000000"/>
        </w:rPr>
        <w:t>Explain the reasons for any program changes or adjustments reported in ROCIS.</w:t>
      </w:r>
    </w:p>
    <w:p w:rsidR="00574A0F" w:rsidRDefault="00574A0F">
      <w:pPr>
        <w:pBdr>
          <w:top w:val="nil"/>
          <w:left w:val="nil"/>
          <w:bottom w:val="nil"/>
          <w:right w:val="nil"/>
          <w:between w:val="nil"/>
        </w:pBdr>
        <w:spacing w:before="7"/>
        <w:rPr>
          <w:b/>
          <w:color w:val="000000"/>
        </w:rPr>
      </w:pPr>
    </w:p>
    <w:p w:rsidRPr="00560A91" w:rsidR="00574A0F" w:rsidRDefault="00560A91">
      <w:pPr>
        <w:pBdr>
          <w:top w:val="nil"/>
          <w:left w:val="nil"/>
          <w:bottom w:val="nil"/>
          <w:right w:val="nil"/>
          <w:between w:val="nil"/>
        </w:pBdr>
        <w:spacing w:before="7"/>
        <w:rPr>
          <w:color w:val="000000"/>
        </w:rPr>
      </w:pPr>
      <w:r w:rsidRPr="00560A91">
        <w:rPr>
          <w:color w:val="000000"/>
        </w:rPr>
        <w:t>This is a new information collection.</w:t>
      </w:r>
    </w:p>
    <w:p w:rsidR="00574A0F" w:rsidRDefault="00574A0F">
      <w:pPr>
        <w:pBdr>
          <w:top w:val="nil"/>
          <w:left w:val="nil"/>
          <w:bottom w:val="nil"/>
          <w:right w:val="nil"/>
          <w:between w:val="nil"/>
        </w:pBdr>
        <w:spacing w:before="7"/>
        <w:rPr>
          <w:b/>
          <w:color w:val="000000"/>
        </w:rPr>
      </w:pPr>
    </w:p>
    <w:p w:rsidR="00574A0F" w:rsidRDefault="00606F36">
      <w:pPr>
        <w:pBdr>
          <w:top w:val="nil"/>
          <w:left w:val="nil"/>
          <w:bottom w:val="nil"/>
          <w:right w:val="nil"/>
          <w:between w:val="nil"/>
        </w:pBdr>
        <w:tabs>
          <w:tab w:val="left" w:pos="360"/>
        </w:tabs>
        <w:spacing w:before="80"/>
        <w:rPr>
          <w:b/>
          <w:color w:val="000000"/>
        </w:rPr>
      </w:pPr>
      <w:r>
        <w:rPr>
          <w:b/>
        </w:rPr>
        <w:t xml:space="preserve">16. </w:t>
      </w:r>
      <w:r>
        <w:rPr>
          <w:b/>
          <w:color w:val="000000"/>
        </w:rPr>
        <w:t>For collections of information whose results will be published, outline plans for tabulation and publication. Address any complex analytical techniques that will be used. Provide the time schedule for the entire project, including beginning and ending date</w:t>
      </w:r>
      <w:r>
        <w:rPr>
          <w:b/>
          <w:color w:val="000000"/>
        </w:rPr>
        <w:t>s of the collection of information, completion of report, publication dates, and other actions.</w:t>
      </w:r>
    </w:p>
    <w:p w:rsidR="00574A0F" w:rsidRDefault="00606F36">
      <w:pPr>
        <w:pBdr>
          <w:top w:val="nil"/>
          <w:left w:val="nil"/>
          <w:bottom w:val="nil"/>
          <w:right w:val="nil"/>
          <w:between w:val="nil"/>
        </w:pBdr>
        <w:spacing w:before="160"/>
      </w:pPr>
      <w:r>
        <w:t xml:space="preserve">The individual pieces of information will not be published for the Weather and Society Surveys, but </w:t>
      </w:r>
      <w:r w:rsidR="00560A91">
        <w:t>t</w:t>
      </w:r>
      <w:r>
        <w:t xml:space="preserve">he NWS will maintain a webpage showing aggregate data and </w:t>
      </w:r>
      <w:r>
        <w:t>its statistics from its survey results.</w:t>
      </w:r>
    </w:p>
    <w:p w:rsidR="00574A0F" w:rsidRDefault="00606F36">
      <w:pPr>
        <w:spacing w:before="160"/>
      </w:pPr>
      <w:r>
        <w:t xml:space="preserve">Results of the Quick Response Surveys are planned to be published externally. The collection period will begin </w:t>
      </w:r>
      <w:r w:rsidR="00560A91">
        <w:t>once OMB approval is received</w:t>
      </w:r>
      <w:r>
        <w:t xml:space="preserve"> and run through June 2023. Analysis will be conducted throughout the project, with fin</w:t>
      </w:r>
      <w:r>
        <w:t>al analysis during the summer of 2023. See timeline below. Final project reports will be completed and submitted internally to NOAA by August 2023, reflective of the end of the contract award.</w:t>
      </w:r>
    </w:p>
    <w:p w:rsidR="00574A0F" w:rsidRDefault="00606F36">
      <w:pPr>
        <w:spacing w:before="160"/>
      </w:pPr>
      <w:r>
        <w:t>Research results, including methodological processes, and surve</w:t>
      </w:r>
      <w:r>
        <w:t>y topic results, will be shared externally through professional conferences in Year 2, as well as through peer reviewed journals upon completion. Results will also be published as a dataset via the NOAA National Centers Environmental Information website at</w:t>
      </w:r>
      <w:r>
        <w:t xml:space="preserve"> the completion of the project.</w:t>
      </w:r>
    </w:p>
    <w:p w:rsidR="00574A0F" w:rsidRDefault="00574A0F">
      <w:pPr>
        <w:spacing w:before="160"/>
      </w:pPr>
    </w:p>
    <w:tbl>
      <w:tblPr>
        <w:tblStyle w:val="a7"/>
        <w:tblW w:w="8880" w:type="dxa"/>
        <w:tblBorders>
          <w:top w:val="nil"/>
          <w:left w:val="nil"/>
          <w:bottom w:val="nil"/>
          <w:right w:val="nil"/>
          <w:insideH w:val="nil"/>
          <w:insideV w:val="nil"/>
        </w:tblBorders>
        <w:tblLayout w:type="fixed"/>
        <w:tblLook w:val="0600" w:firstRow="0" w:lastRow="0" w:firstColumn="0" w:lastColumn="0" w:noHBand="1" w:noVBand="1"/>
      </w:tblPr>
      <w:tblGrid>
        <w:gridCol w:w="4220"/>
        <w:gridCol w:w="990"/>
        <w:gridCol w:w="810"/>
        <w:gridCol w:w="910"/>
        <w:gridCol w:w="960"/>
        <w:gridCol w:w="990"/>
      </w:tblGrid>
      <w:tr w:rsidRPr="00C95F01" w:rsidR="00574A0F" w:rsidTr="00560A91">
        <w:trPr>
          <w:trHeight w:val="755"/>
        </w:trPr>
        <w:tc>
          <w:tcPr>
            <w:tcW w:w="42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C95F01" w:rsidR="00574A0F" w:rsidRDefault="00606F36">
            <w:pPr>
              <w:pBdr>
                <w:top w:val="nil"/>
                <w:left w:val="nil"/>
                <w:bottom w:val="nil"/>
                <w:right w:val="nil"/>
                <w:between w:val="nil"/>
              </w:pBdr>
              <w:spacing w:line="276" w:lineRule="auto"/>
              <w:rPr>
                <w:rFonts w:asciiTheme="minorHAnsi" w:hAnsiTheme="minorHAnsi" w:cstheme="minorHAnsi"/>
                <w:sz w:val="20"/>
                <w:szCs w:val="20"/>
              </w:rPr>
            </w:pPr>
            <w:r w:rsidRPr="00C95F01">
              <w:rPr>
                <w:rFonts w:asciiTheme="minorHAnsi" w:hAnsiTheme="minorHAnsi" w:cstheme="minorHAnsi"/>
                <w:sz w:val="20"/>
                <w:szCs w:val="20"/>
              </w:rPr>
              <w:t>Milestones/Outcomes</w:t>
            </w:r>
          </w:p>
        </w:tc>
        <w:tc>
          <w:tcPr>
            <w:tcW w:w="990"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rsidRPr="00C95F01" w:rsidR="00560A91" w:rsidRDefault="00606F36">
            <w:pPr>
              <w:rPr>
                <w:rFonts w:eastAsia="Calibri" w:asciiTheme="minorHAnsi" w:hAnsiTheme="minorHAnsi" w:cstheme="minorHAnsi"/>
                <w:sz w:val="20"/>
                <w:szCs w:val="20"/>
              </w:rPr>
            </w:pPr>
            <w:r w:rsidRPr="00C95F01">
              <w:rPr>
                <w:rFonts w:eastAsia="Calibri" w:asciiTheme="minorHAnsi" w:hAnsiTheme="minorHAnsi" w:cstheme="minorHAnsi"/>
                <w:sz w:val="20"/>
                <w:szCs w:val="20"/>
              </w:rPr>
              <w:t>8/21-</w:t>
            </w:r>
          </w:p>
          <w:p w:rsidRPr="00C95F01" w:rsidR="00574A0F" w:rsidRDefault="00606F36">
            <w:pPr>
              <w:rPr>
                <w:rFonts w:eastAsia="Calibri" w:asciiTheme="minorHAnsi" w:hAnsiTheme="minorHAnsi" w:cstheme="minorHAnsi"/>
                <w:sz w:val="20"/>
                <w:szCs w:val="20"/>
              </w:rPr>
            </w:pPr>
            <w:r w:rsidRPr="00C95F01">
              <w:rPr>
                <w:rFonts w:eastAsia="Calibri" w:asciiTheme="minorHAnsi" w:hAnsiTheme="minorHAnsi" w:cstheme="minorHAnsi"/>
                <w:sz w:val="20"/>
                <w:szCs w:val="20"/>
              </w:rPr>
              <w:t>2/22</w:t>
            </w:r>
          </w:p>
        </w:tc>
        <w:tc>
          <w:tcPr>
            <w:tcW w:w="810"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rsidRPr="00C95F01" w:rsidR="00560A91" w:rsidP="00560A91" w:rsidRDefault="00606F36">
            <w:pPr>
              <w:rPr>
                <w:rFonts w:eastAsia="Calibri" w:asciiTheme="minorHAnsi" w:hAnsiTheme="minorHAnsi" w:cstheme="minorHAnsi"/>
                <w:sz w:val="20"/>
                <w:szCs w:val="20"/>
              </w:rPr>
            </w:pPr>
            <w:r w:rsidRPr="00C95F01">
              <w:rPr>
                <w:rFonts w:eastAsia="Calibri" w:asciiTheme="minorHAnsi" w:hAnsiTheme="minorHAnsi" w:cstheme="minorHAnsi"/>
                <w:sz w:val="20"/>
                <w:szCs w:val="20"/>
              </w:rPr>
              <w:t>2/22-</w:t>
            </w:r>
          </w:p>
          <w:p w:rsidRPr="00C95F01" w:rsidR="00574A0F" w:rsidP="00560A91" w:rsidRDefault="00606F36">
            <w:pPr>
              <w:rPr>
                <w:rFonts w:eastAsia="Calibri" w:asciiTheme="minorHAnsi" w:hAnsiTheme="minorHAnsi" w:cstheme="minorHAnsi"/>
                <w:sz w:val="20"/>
                <w:szCs w:val="20"/>
              </w:rPr>
            </w:pPr>
            <w:r w:rsidRPr="00C95F01">
              <w:rPr>
                <w:rFonts w:eastAsia="Calibri" w:asciiTheme="minorHAnsi" w:hAnsiTheme="minorHAnsi" w:cstheme="minorHAnsi"/>
                <w:sz w:val="20"/>
                <w:szCs w:val="20"/>
              </w:rPr>
              <w:t>6/22</w:t>
            </w:r>
          </w:p>
        </w:tc>
        <w:tc>
          <w:tcPr>
            <w:tcW w:w="910"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rsidRPr="00C95F01" w:rsidR="00574A0F" w:rsidRDefault="00606F36">
            <w:pPr>
              <w:rPr>
                <w:rFonts w:eastAsia="Calibri" w:asciiTheme="minorHAnsi" w:hAnsiTheme="minorHAnsi" w:cstheme="minorHAnsi"/>
                <w:sz w:val="20"/>
                <w:szCs w:val="20"/>
              </w:rPr>
            </w:pPr>
            <w:r w:rsidRPr="00C95F01">
              <w:rPr>
                <w:rFonts w:eastAsia="Calibri" w:asciiTheme="minorHAnsi" w:hAnsiTheme="minorHAnsi" w:cstheme="minorHAnsi"/>
                <w:sz w:val="20"/>
                <w:szCs w:val="20"/>
              </w:rPr>
              <w:t>7/22-</w:t>
            </w:r>
          </w:p>
          <w:p w:rsidRPr="00C95F01" w:rsidR="00574A0F" w:rsidRDefault="00606F36">
            <w:pPr>
              <w:rPr>
                <w:rFonts w:eastAsia="Calibri" w:asciiTheme="minorHAnsi" w:hAnsiTheme="minorHAnsi" w:cstheme="minorHAnsi"/>
                <w:sz w:val="20"/>
                <w:szCs w:val="20"/>
              </w:rPr>
            </w:pPr>
            <w:r w:rsidRPr="00C95F01">
              <w:rPr>
                <w:rFonts w:eastAsia="Calibri" w:asciiTheme="minorHAnsi" w:hAnsiTheme="minorHAnsi" w:cstheme="minorHAnsi"/>
                <w:sz w:val="20"/>
                <w:szCs w:val="20"/>
              </w:rPr>
              <w:t>12/22</w:t>
            </w:r>
          </w:p>
        </w:tc>
        <w:tc>
          <w:tcPr>
            <w:tcW w:w="960"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rsidRPr="00C95F01" w:rsidR="00574A0F" w:rsidRDefault="00606F36">
            <w:pPr>
              <w:rPr>
                <w:rFonts w:asciiTheme="minorHAnsi" w:hAnsiTheme="minorHAnsi" w:cstheme="minorHAnsi"/>
                <w:sz w:val="20"/>
                <w:szCs w:val="20"/>
              </w:rPr>
            </w:pPr>
            <w:r w:rsidRPr="00C95F01">
              <w:rPr>
                <w:rFonts w:asciiTheme="minorHAnsi" w:hAnsiTheme="minorHAnsi" w:cstheme="minorHAnsi"/>
                <w:sz w:val="20"/>
                <w:szCs w:val="20"/>
              </w:rPr>
              <w:t>1/23-</w:t>
            </w:r>
          </w:p>
          <w:p w:rsidRPr="00C95F01" w:rsidR="00574A0F" w:rsidRDefault="00606F36">
            <w:pPr>
              <w:rPr>
                <w:rFonts w:asciiTheme="minorHAnsi" w:hAnsiTheme="minorHAnsi" w:cstheme="minorHAnsi"/>
                <w:sz w:val="20"/>
                <w:szCs w:val="20"/>
              </w:rPr>
            </w:pPr>
            <w:r w:rsidRPr="00C95F01">
              <w:rPr>
                <w:rFonts w:asciiTheme="minorHAnsi" w:hAnsiTheme="minorHAnsi" w:cstheme="minorHAnsi"/>
                <w:sz w:val="20"/>
                <w:szCs w:val="20"/>
              </w:rPr>
              <w:t>6/23</w:t>
            </w:r>
          </w:p>
        </w:tc>
        <w:tc>
          <w:tcPr>
            <w:tcW w:w="990"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rsidRPr="00C95F01" w:rsidR="00574A0F" w:rsidRDefault="00606F36">
            <w:pPr>
              <w:rPr>
                <w:rFonts w:asciiTheme="minorHAnsi" w:hAnsiTheme="minorHAnsi" w:cstheme="minorHAnsi"/>
                <w:sz w:val="20"/>
                <w:szCs w:val="20"/>
              </w:rPr>
            </w:pPr>
            <w:r w:rsidRPr="00C95F01">
              <w:rPr>
                <w:rFonts w:asciiTheme="minorHAnsi" w:hAnsiTheme="minorHAnsi" w:cstheme="minorHAnsi"/>
                <w:sz w:val="20"/>
                <w:szCs w:val="20"/>
              </w:rPr>
              <w:t>6/23-</w:t>
            </w:r>
          </w:p>
          <w:p w:rsidRPr="00C95F01" w:rsidR="00574A0F" w:rsidRDefault="00606F36">
            <w:pPr>
              <w:rPr>
                <w:rFonts w:asciiTheme="minorHAnsi" w:hAnsiTheme="minorHAnsi" w:cstheme="minorHAnsi"/>
                <w:sz w:val="20"/>
                <w:szCs w:val="20"/>
              </w:rPr>
            </w:pPr>
            <w:r w:rsidRPr="00C95F01">
              <w:rPr>
                <w:rFonts w:asciiTheme="minorHAnsi" w:hAnsiTheme="minorHAnsi" w:cstheme="minorHAnsi"/>
                <w:sz w:val="20"/>
                <w:szCs w:val="20"/>
              </w:rPr>
              <w:t>8/23</w:t>
            </w:r>
          </w:p>
        </w:tc>
      </w:tr>
      <w:tr w:rsidRPr="00C95F01" w:rsidR="00574A0F" w:rsidTr="00C95F01">
        <w:trPr>
          <w:trHeight w:val="529"/>
        </w:trPr>
        <w:tc>
          <w:tcPr>
            <w:tcW w:w="422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rsidRPr="00C95F01" w:rsidR="00574A0F" w:rsidP="00560A91" w:rsidRDefault="00606F36">
            <w:pPr>
              <w:rPr>
                <w:rFonts w:asciiTheme="minorHAnsi" w:hAnsiTheme="minorHAnsi" w:cstheme="minorHAnsi"/>
                <w:sz w:val="20"/>
                <w:szCs w:val="20"/>
              </w:rPr>
            </w:pPr>
            <w:r w:rsidRPr="00C95F01">
              <w:rPr>
                <w:rFonts w:asciiTheme="minorHAnsi" w:hAnsiTheme="minorHAnsi" w:cstheme="minorHAnsi"/>
                <w:sz w:val="20"/>
                <w:szCs w:val="20"/>
              </w:rPr>
              <w:t>1. Submit research abstract to OMB</w:t>
            </w:r>
            <w:r w:rsidRPr="00C95F01" w:rsidR="00560A91">
              <w:rPr>
                <w:rFonts w:asciiTheme="minorHAnsi" w:hAnsiTheme="minorHAnsi" w:cstheme="minorHAnsi"/>
                <w:sz w:val="20"/>
                <w:szCs w:val="20"/>
              </w:rPr>
              <w:t xml:space="preserve"> </w:t>
            </w:r>
            <w:r w:rsidRPr="00C95F01">
              <w:rPr>
                <w:rFonts w:asciiTheme="minorHAnsi" w:hAnsiTheme="minorHAnsi" w:cstheme="minorHAnsi"/>
                <w:sz w:val="20"/>
                <w:szCs w:val="20"/>
              </w:rPr>
              <w:t>to begin 60-day open comment period.</w:t>
            </w: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rsidRPr="00C95F01" w:rsidR="00574A0F" w:rsidRDefault="00606F36">
            <w:pPr>
              <w:jc w:val="center"/>
              <w:rPr>
                <w:rFonts w:asciiTheme="minorHAnsi" w:hAnsiTheme="minorHAnsi" w:cstheme="minorHAnsi"/>
                <w:sz w:val="20"/>
                <w:szCs w:val="20"/>
              </w:rPr>
            </w:pPr>
            <w:r w:rsidRPr="00C95F01">
              <w:rPr>
                <w:rFonts w:asciiTheme="minorHAnsi" w:hAnsiTheme="minorHAnsi" w:cstheme="minorHAnsi"/>
                <w:sz w:val="20"/>
                <w:szCs w:val="20"/>
              </w:rPr>
              <w:t>X</w:t>
            </w:r>
          </w:p>
        </w:tc>
        <w:tc>
          <w:tcPr>
            <w:tcW w:w="810" w:type="dxa"/>
            <w:tcBorders>
              <w:top w:val="nil"/>
              <w:left w:val="nil"/>
              <w:bottom w:val="single" w:color="000000" w:sz="8" w:space="0"/>
              <w:right w:val="single" w:color="000000" w:sz="8" w:space="0"/>
            </w:tcBorders>
            <w:tcMar>
              <w:top w:w="100" w:type="dxa"/>
              <w:left w:w="100" w:type="dxa"/>
              <w:bottom w:w="100" w:type="dxa"/>
              <w:right w:w="100" w:type="dxa"/>
            </w:tcMar>
          </w:tcPr>
          <w:p w:rsidRPr="00C95F01" w:rsidR="00574A0F" w:rsidRDefault="00606F36">
            <w:pPr>
              <w:rPr>
                <w:rFonts w:asciiTheme="minorHAnsi" w:hAnsiTheme="minorHAnsi" w:cstheme="minorHAnsi"/>
                <w:sz w:val="20"/>
                <w:szCs w:val="20"/>
              </w:rPr>
            </w:pPr>
            <w:r w:rsidRPr="00C95F01">
              <w:rPr>
                <w:rFonts w:asciiTheme="minorHAnsi" w:hAnsiTheme="minorHAnsi" w:cstheme="minorHAnsi"/>
                <w:sz w:val="20"/>
                <w:szCs w:val="20"/>
              </w:rPr>
              <w:t xml:space="preserve"> </w:t>
            </w:r>
          </w:p>
        </w:tc>
        <w:tc>
          <w:tcPr>
            <w:tcW w:w="910" w:type="dxa"/>
            <w:tcBorders>
              <w:top w:val="nil"/>
              <w:left w:val="nil"/>
              <w:bottom w:val="single" w:color="000000" w:sz="8" w:space="0"/>
              <w:right w:val="single" w:color="000000" w:sz="8" w:space="0"/>
            </w:tcBorders>
            <w:tcMar>
              <w:top w:w="100" w:type="dxa"/>
              <w:left w:w="100" w:type="dxa"/>
              <w:bottom w:w="100" w:type="dxa"/>
              <w:right w:w="100" w:type="dxa"/>
            </w:tcMar>
          </w:tcPr>
          <w:p w:rsidRPr="00C95F01" w:rsidR="00574A0F" w:rsidRDefault="00606F36">
            <w:pPr>
              <w:rPr>
                <w:rFonts w:asciiTheme="minorHAnsi" w:hAnsiTheme="minorHAnsi" w:cstheme="minorHAnsi"/>
                <w:sz w:val="20"/>
                <w:szCs w:val="20"/>
              </w:rPr>
            </w:pPr>
            <w:r w:rsidRPr="00C95F01">
              <w:rPr>
                <w:rFonts w:asciiTheme="minorHAnsi" w:hAnsiTheme="minorHAnsi" w:cstheme="minorHAnsi"/>
                <w:sz w:val="20"/>
                <w:szCs w:val="20"/>
              </w:rPr>
              <w:t xml:space="preserve"> </w:t>
            </w:r>
          </w:p>
        </w:tc>
        <w:tc>
          <w:tcPr>
            <w:tcW w:w="960" w:type="dxa"/>
            <w:tcBorders>
              <w:top w:val="nil"/>
              <w:left w:val="nil"/>
              <w:bottom w:val="single" w:color="000000" w:sz="8" w:space="0"/>
              <w:right w:val="single" w:color="000000" w:sz="8" w:space="0"/>
            </w:tcBorders>
            <w:tcMar>
              <w:top w:w="100" w:type="dxa"/>
              <w:left w:w="100" w:type="dxa"/>
              <w:bottom w:w="100" w:type="dxa"/>
              <w:right w:w="100" w:type="dxa"/>
            </w:tcMar>
          </w:tcPr>
          <w:p w:rsidRPr="00C95F01" w:rsidR="00574A0F" w:rsidRDefault="00606F36">
            <w:pPr>
              <w:rPr>
                <w:rFonts w:asciiTheme="minorHAnsi" w:hAnsiTheme="minorHAnsi" w:cstheme="minorHAnsi"/>
                <w:sz w:val="20"/>
                <w:szCs w:val="20"/>
              </w:rPr>
            </w:pPr>
            <w:r w:rsidRPr="00C95F01">
              <w:rPr>
                <w:rFonts w:asciiTheme="minorHAnsi" w:hAnsiTheme="minorHAnsi" w:cstheme="minorHAnsi"/>
                <w:sz w:val="20"/>
                <w:szCs w:val="20"/>
              </w:rPr>
              <w:t xml:space="preserve"> </w:t>
            </w: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rsidRPr="00C95F01" w:rsidR="00574A0F" w:rsidRDefault="00606F36">
            <w:pPr>
              <w:jc w:val="center"/>
              <w:rPr>
                <w:rFonts w:asciiTheme="minorHAnsi" w:hAnsiTheme="minorHAnsi" w:cstheme="minorHAnsi"/>
                <w:sz w:val="20"/>
                <w:szCs w:val="20"/>
              </w:rPr>
            </w:pPr>
            <w:r w:rsidRPr="00C95F01">
              <w:rPr>
                <w:rFonts w:asciiTheme="minorHAnsi" w:hAnsiTheme="minorHAnsi" w:cstheme="minorHAnsi"/>
                <w:sz w:val="20"/>
                <w:szCs w:val="20"/>
              </w:rPr>
              <w:t xml:space="preserve"> </w:t>
            </w:r>
          </w:p>
        </w:tc>
      </w:tr>
      <w:tr w:rsidRPr="00C95F01" w:rsidR="00574A0F" w:rsidTr="00C95F01">
        <w:trPr>
          <w:trHeight w:val="511"/>
        </w:trPr>
        <w:tc>
          <w:tcPr>
            <w:tcW w:w="422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rsidRPr="00C95F01" w:rsidR="00574A0F" w:rsidRDefault="00606F36">
            <w:pPr>
              <w:rPr>
                <w:rFonts w:asciiTheme="minorHAnsi" w:hAnsiTheme="minorHAnsi" w:cstheme="minorHAnsi"/>
                <w:sz w:val="20"/>
                <w:szCs w:val="20"/>
              </w:rPr>
            </w:pPr>
            <w:r w:rsidRPr="00C95F01">
              <w:rPr>
                <w:rFonts w:asciiTheme="minorHAnsi" w:hAnsiTheme="minorHAnsi" w:cstheme="minorHAnsi"/>
                <w:sz w:val="20"/>
                <w:szCs w:val="20"/>
              </w:rPr>
              <w:t>2. Experimental Design and Testing – Questions, survey flow, and survey triggers</w:t>
            </w: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rsidRPr="00C95F01" w:rsidR="00574A0F" w:rsidRDefault="00606F36">
            <w:pPr>
              <w:jc w:val="center"/>
              <w:rPr>
                <w:rFonts w:asciiTheme="minorHAnsi" w:hAnsiTheme="minorHAnsi" w:cstheme="minorHAnsi"/>
                <w:sz w:val="20"/>
                <w:szCs w:val="20"/>
              </w:rPr>
            </w:pPr>
            <w:r w:rsidRPr="00C95F01">
              <w:rPr>
                <w:rFonts w:asciiTheme="minorHAnsi" w:hAnsiTheme="minorHAnsi" w:cstheme="minorHAnsi"/>
                <w:sz w:val="20"/>
                <w:szCs w:val="20"/>
              </w:rPr>
              <w:t>X</w:t>
            </w:r>
          </w:p>
        </w:tc>
        <w:tc>
          <w:tcPr>
            <w:tcW w:w="810" w:type="dxa"/>
            <w:tcBorders>
              <w:top w:val="nil"/>
              <w:left w:val="nil"/>
              <w:bottom w:val="single" w:color="000000" w:sz="8" w:space="0"/>
              <w:right w:val="single" w:color="000000" w:sz="8" w:space="0"/>
            </w:tcBorders>
            <w:tcMar>
              <w:top w:w="100" w:type="dxa"/>
              <w:left w:w="100" w:type="dxa"/>
              <w:bottom w:w="100" w:type="dxa"/>
              <w:right w:w="100" w:type="dxa"/>
            </w:tcMar>
          </w:tcPr>
          <w:p w:rsidRPr="00C95F01" w:rsidR="00574A0F" w:rsidRDefault="00606F36">
            <w:pPr>
              <w:rPr>
                <w:rFonts w:asciiTheme="minorHAnsi" w:hAnsiTheme="minorHAnsi" w:cstheme="minorHAnsi"/>
                <w:sz w:val="20"/>
                <w:szCs w:val="20"/>
              </w:rPr>
            </w:pPr>
            <w:r w:rsidRPr="00C95F01">
              <w:rPr>
                <w:rFonts w:asciiTheme="minorHAnsi" w:hAnsiTheme="minorHAnsi" w:cstheme="minorHAnsi"/>
                <w:sz w:val="20"/>
                <w:szCs w:val="20"/>
              </w:rPr>
              <w:t xml:space="preserve"> </w:t>
            </w:r>
          </w:p>
        </w:tc>
        <w:tc>
          <w:tcPr>
            <w:tcW w:w="910" w:type="dxa"/>
            <w:tcBorders>
              <w:top w:val="nil"/>
              <w:left w:val="nil"/>
              <w:bottom w:val="single" w:color="000000" w:sz="8" w:space="0"/>
              <w:right w:val="single" w:color="000000" w:sz="8" w:space="0"/>
            </w:tcBorders>
            <w:tcMar>
              <w:top w:w="100" w:type="dxa"/>
              <w:left w:w="100" w:type="dxa"/>
              <w:bottom w:w="100" w:type="dxa"/>
              <w:right w:w="100" w:type="dxa"/>
            </w:tcMar>
          </w:tcPr>
          <w:p w:rsidRPr="00C95F01" w:rsidR="00574A0F" w:rsidRDefault="00606F36">
            <w:pPr>
              <w:rPr>
                <w:rFonts w:asciiTheme="minorHAnsi" w:hAnsiTheme="minorHAnsi" w:cstheme="minorHAnsi"/>
                <w:sz w:val="20"/>
                <w:szCs w:val="20"/>
              </w:rPr>
            </w:pPr>
            <w:r w:rsidRPr="00C95F01">
              <w:rPr>
                <w:rFonts w:asciiTheme="minorHAnsi" w:hAnsiTheme="minorHAnsi" w:cstheme="minorHAnsi"/>
                <w:sz w:val="20"/>
                <w:szCs w:val="20"/>
              </w:rPr>
              <w:t xml:space="preserve"> </w:t>
            </w:r>
          </w:p>
        </w:tc>
        <w:tc>
          <w:tcPr>
            <w:tcW w:w="960" w:type="dxa"/>
            <w:tcBorders>
              <w:top w:val="nil"/>
              <w:left w:val="nil"/>
              <w:bottom w:val="single" w:color="000000" w:sz="8" w:space="0"/>
              <w:right w:val="single" w:color="000000" w:sz="8" w:space="0"/>
            </w:tcBorders>
            <w:tcMar>
              <w:top w:w="100" w:type="dxa"/>
              <w:left w:w="100" w:type="dxa"/>
              <w:bottom w:w="100" w:type="dxa"/>
              <w:right w:w="100" w:type="dxa"/>
            </w:tcMar>
          </w:tcPr>
          <w:p w:rsidRPr="00C95F01" w:rsidR="00574A0F" w:rsidRDefault="00606F36">
            <w:pPr>
              <w:rPr>
                <w:rFonts w:asciiTheme="minorHAnsi" w:hAnsiTheme="minorHAnsi" w:cstheme="minorHAnsi"/>
                <w:sz w:val="20"/>
                <w:szCs w:val="20"/>
              </w:rPr>
            </w:pPr>
            <w:r w:rsidRPr="00C95F01">
              <w:rPr>
                <w:rFonts w:asciiTheme="minorHAnsi" w:hAnsiTheme="minorHAnsi" w:cstheme="minorHAnsi"/>
                <w:sz w:val="20"/>
                <w:szCs w:val="20"/>
              </w:rPr>
              <w:t xml:space="preserve"> </w:t>
            </w: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rsidRPr="00C95F01" w:rsidR="00574A0F" w:rsidRDefault="00606F36">
            <w:pPr>
              <w:jc w:val="center"/>
              <w:rPr>
                <w:rFonts w:asciiTheme="minorHAnsi" w:hAnsiTheme="minorHAnsi" w:cstheme="minorHAnsi"/>
                <w:sz w:val="20"/>
                <w:szCs w:val="20"/>
              </w:rPr>
            </w:pPr>
            <w:r w:rsidRPr="00C95F01">
              <w:rPr>
                <w:rFonts w:asciiTheme="minorHAnsi" w:hAnsiTheme="minorHAnsi" w:cstheme="minorHAnsi"/>
                <w:sz w:val="20"/>
                <w:szCs w:val="20"/>
              </w:rPr>
              <w:t xml:space="preserve"> </w:t>
            </w:r>
          </w:p>
        </w:tc>
      </w:tr>
      <w:tr w:rsidRPr="00C95F01" w:rsidR="00574A0F" w:rsidTr="00C95F01">
        <w:trPr>
          <w:trHeight w:val="349"/>
        </w:trPr>
        <w:tc>
          <w:tcPr>
            <w:tcW w:w="422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rsidRPr="00C95F01" w:rsidR="00574A0F" w:rsidRDefault="00606F36">
            <w:pPr>
              <w:rPr>
                <w:rFonts w:asciiTheme="minorHAnsi" w:hAnsiTheme="minorHAnsi" w:cstheme="minorHAnsi"/>
                <w:sz w:val="20"/>
                <w:szCs w:val="20"/>
              </w:rPr>
            </w:pPr>
            <w:r w:rsidRPr="00C95F01">
              <w:rPr>
                <w:rFonts w:asciiTheme="minorHAnsi" w:hAnsiTheme="minorHAnsi" w:cstheme="minorHAnsi"/>
                <w:sz w:val="20"/>
                <w:szCs w:val="20"/>
              </w:rPr>
              <w:t>3. OMB and IRB approvals</w:t>
            </w: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rsidRPr="00C95F01" w:rsidR="00574A0F" w:rsidRDefault="00606F36">
            <w:pPr>
              <w:jc w:val="center"/>
              <w:rPr>
                <w:rFonts w:asciiTheme="minorHAnsi" w:hAnsiTheme="minorHAnsi" w:cstheme="minorHAnsi"/>
                <w:sz w:val="20"/>
                <w:szCs w:val="20"/>
              </w:rPr>
            </w:pPr>
            <w:r w:rsidRPr="00C95F01">
              <w:rPr>
                <w:rFonts w:asciiTheme="minorHAnsi" w:hAnsiTheme="minorHAnsi" w:cstheme="minorHAnsi"/>
                <w:sz w:val="20"/>
                <w:szCs w:val="20"/>
              </w:rPr>
              <w:t>X</w:t>
            </w:r>
          </w:p>
        </w:tc>
        <w:tc>
          <w:tcPr>
            <w:tcW w:w="810" w:type="dxa"/>
            <w:tcBorders>
              <w:top w:val="nil"/>
              <w:left w:val="nil"/>
              <w:bottom w:val="single" w:color="000000" w:sz="8" w:space="0"/>
              <w:right w:val="single" w:color="000000" w:sz="8" w:space="0"/>
            </w:tcBorders>
            <w:tcMar>
              <w:top w:w="100" w:type="dxa"/>
              <w:left w:w="100" w:type="dxa"/>
              <w:bottom w:w="100" w:type="dxa"/>
              <w:right w:w="100" w:type="dxa"/>
            </w:tcMar>
          </w:tcPr>
          <w:p w:rsidRPr="00C95F01" w:rsidR="00574A0F" w:rsidRDefault="00606F36">
            <w:pPr>
              <w:rPr>
                <w:rFonts w:asciiTheme="minorHAnsi" w:hAnsiTheme="minorHAnsi" w:cstheme="minorHAnsi"/>
                <w:sz w:val="20"/>
                <w:szCs w:val="20"/>
              </w:rPr>
            </w:pPr>
            <w:r w:rsidRPr="00C95F01">
              <w:rPr>
                <w:rFonts w:asciiTheme="minorHAnsi" w:hAnsiTheme="minorHAnsi" w:cstheme="minorHAnsi"/>
                <w:sz w:val="20"/>
                <w:szCs w:val="20"/>
              </w:rPr>
              <w:t xml:space="preserve"> </w:t>
            </w:r>
          </w:p>
        </w:tc>
        <w:tc>
          <w:tcPr>
            <w:tcW w:w="910" w:type="dxa"/>
            <w:tcBorders>
              <w:top w:val="nil"/>
              <w:left w:val="nil"/>
              <w:bottom w:val="single" w:color="000000" w:sz="8" w:space="0"/>
              <w:right w:val="single" w:color="000000" w:sz="8" w:space="0"/>
            </w:tcBorders>
            <w:tcMar>
              <w:top w:w="100" w:type="dxa"/>
              <w:left w:w="100" w:type="dxa"/>
              <w:bottom w:w="100" w:type="dxa"/>
              <w:right w:w="100" w:type="dxa"/>
            </w:tcMar>
          </w:tcPr>
          <w:p w:rsidRPr="00C95F01" w:rsidR="00574A0F" w:rsidRDefault="00606F36">
            <w:pPr>
              <w:rPr>
                <w:rFonts w:asciiTheme="minorHAnsi" w:hAnsiTheme="minorHAnsi" w:cstheme="minorHAnsi"/>
                <w:sz w:val="20"/>
                <w:szCs w:val="20"/>
              </w:rPr>
            </w:pPr>
            <w:r w:rsidRPr="00C95F01">
              <w:rPr>
                <w:rFonts w:asciiTheme="minorHAnsi" w:hAnsiTheme="minorHAnsi" w:cstheme="minorHAnsi"/>
                <w:sz w:val="20"/>
                <w:szCs w:val="20"/>
              </w:rPr>
              <w:t xml:space="preserve"> </w:t>
            </w:r>
          </w:p>
        </w:tc>
        <w:tc>
          <w:tcPr>
            <w:tcW w:w="960" w:type="dxa"/>
            <w:tcBorders>
              <w:top w:val="nil"/>
              <w:left w:val="nil"/>
              <w:bottom w:val="single" w:color="000000" w:sz="8" w:space="0"/>
              <w:right w:val="single" w:color="000000" w:sz="8" w:space="0"/>
            </w:tcBorders>
            <w:tcMar>
              <w:top w:w="100" w:type="dxa"/>
              <w:left w:w="100" w:type="dxa"/>
              <w:bottom w:w="100" w:type="dxa"/>
              <w:right w:w="100" w:type="dxa"/>
            </w:tcMar>
          </w:tcPr>
          <w:p w:rsidRPr="00C95F01" w:rsidR="00574A0F" w:rsidRDefault="00606F36">
            <w:pPr>
              <w:rPr>
                <w:rFonts w:asciiTheme="minorHAnsi" w:hAnsiTheme="minorHAnsi" w:cstheme="minorHAnsi"/>
                <w:sz w:val="20"/>
                <w:szCs w:val="20"/>
              </w:rPr>
            </w:pPr>
            <w:r w:rsidRPr="00C95F01">
              <w:rPr>
                <w:rFonts w:asciiTheme="minorHAnsi" w:hAnsiTheme="minorHAnsi" w:cstheme="minorHAnsi"/>
                <w:sz w:val="20"/>
                <w:szCs w:val="20"/>
              </w:rPr>
              <w:t xml:space="preserve"> </w:t>
            </w: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rsidRPr="00C95F01" w:rsidR="00574A0F" w:rsidRDefault="00606F36">
            <w:pPr>
              <w:jc w:val="center"/>
              <w:rPr>
                <w:rFonts w:asciiTheme="minorHAnsi" w:hAnsiTheme="minorHAnsi" w:cstheme="minorHAnsi"/>
                <w:sz w:val="20"/>
                <w:szCs w:val="20"/>
              </w:rPr>
            </w:pPr>
            <w:r w:rsidRPr="00C95F01">
              <w:rPr>
                <w:rFonts w:asciiTheme="minorHAnsi" w:hAnsiTheme="minorHAnsi" w:cstheme="minorHAnsi"/>
                <w:sz w:val="20"/>
                <w:szCs w:val="20"/>
              </w:rPr>
              <w:t xml:space="preserve"> </w:t>
            </w:r>
          </w:p>
        </w:tc>
      </w:tr>
      <w:tr w:rsidRPr="00C95F01" w:rsidR="00574A0F" w:rsidTr="00C95F01">
        <w:trPr>
          <w:trHeight w:val="331"/>
        </w:trPr>
        <w:tc>
          <w:tcPr>
            <w:tcW w:w="422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rsidRPr="00C95F01" w:rsidR="00574A0F" w:rsidRDefault="00606F36">
            <w:pPr>
              <w:rPr>
                <w:rFonts w:asciiTheme="minorHAnsi" w:hAnsiTheme="minorHAnsi" w:cstheme="minorHAnsi"/>
                <w:sz w:val="20"/>
                <w:szCs w:val="20"/>
              </w:rPr>
            </w:pPr>
            <w:r w:rsidRPr="00C95F01">
              <w:rPr>
                <w:rFonts w:asciiTheme="minorHAnsi" w:hAnsiTheme="minorHAnsi" w:cstheme="minorHAnsi"/>
                <w:sz w:val="20"/>
                <w:szCs w:val="20"/>
              </w:rPr>
              <w:t>4. Quota Sampling Strategy developed</w:t>
            </w: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rsidRPr="00C95F01" w:rsidR="00574A0F" w:rsidRDefault="00606F36">
            <w:pPr>
              <w:jc w:val="center"/>
              <w:rPr>
                <w:rFonts w:asciiTheme="minorHAnsi" w:hAnsiTheme="minorHAnsi" w:cstheme="minorHAnsi"/>
                <w:sz w:val="20"/>
                <w:szCs w:val="20"/>
              </w:rPr>
            </w:pPr>
            <w:r w:rsidRPr="00C95F01">
              <w:rPr>
                <w:rFonts w:asciiTheme="minorHAnsi" w:hAnsiTheme="minorHAnsi" w:cstheme="minorHAnsi"/>
                <w:sz w:val="20"/>
                <w:szCs w:val="20"/>
              </w:rPr>
              <w:t>X</w:t>
            </w:r>
          </w:p>
        </w:tc>
        <w:tc>
          <w:tcPr>
            <w:tcW w:w="810" w:type="dxa"/>
            <w:tcBorders>
              <w:top w:val="nil"/>
              <w:left w:val="nil"/>
              <w:bottom w:val="single" w:color="000000" w:sz="8" w:space="0"/>
              <w:right w:val="single" w:color="000000" w:sz="8" w:space="0"/>
            </w:tcBorders>
            <w:tcMar>
              <w:top w:w="100" w:type="dxa"/>
              <w:left w:w="100" w:type="dxa"/>
              <w:bottom w:w="100" w:type="dxa"/>
              <w:right w:w="100" w:type="dxa"/>
            </w:tcMar>
          </w:tcPr>
          <w:p w:rsidRPr="00C95F01" w:rsidR="00574A0F" w:rsidRDefault="00606F36">
            <w:pPr>
              <w:rPr>
                <w:rFonts w:asciiTheme="minorHAnsi" w:hAnsiTheme="minorHAnsi" w:cstheme="minorHAnsi"/>
                <w:sz w:val="20"/>
                <w:szCs w:val="20"/>
              </w:rPr>
            </w:pPr>
            <w:r w:rsidRPr="00C95F01">
              <w:rPr>
                <w:rFonts w:asciiTheme="minorHAnsi" w:hAnsiTheme="minorHAnsi" w:cstheme="minorHAnsi"/>
                <w:sz w:val="20"/>
                <w:szCs w:val="20"/>
              </w:rPr>
              <w:t xml:space="preserve"> </w:t>
            </w:r>
          </w:p>
        </w:tc>
        <w:tc>
          <w:tcPr>
            <w:tcW w:w="910" w:type="dxa"/>
            <w:tcBorders>
              <w:top w:val="nil"/>
              <w:left w:val="nil"/>
              <w:bottom w:val="single" w:color="000000" w:sz="8" w:space="0"/>
              <w:right w:val="single" w:color="000000" w:sz="8" w:space="0"/>
            </w:tcBorders>
            <w:tcMar>
              <w:top w:w="100" w:type="dxa"/>
              <w:left w:w="100" w:type="dxa"/>
              <w:bottom w:w="100" w:type="dxa"/>
              <w:right w:w="100" w:type="dxa"/>
            </w:tcMar>
          </w:tcPr>
          <w:p w:rsidRPr="00C95F01" w:rsidR="00574A0F" w:rsidRDefault="00606F36">
            <w:pPr>
              <w:rPr>
                <w:rFonts w:asciiTheme="minorHAnsi" w:hAnsiTheme="minorHAnsi" w:cstheme="minorHAnsi"/>
                <w:sz w:val="20"/>
                <w:szCs w:val="20"/>
              </w:rPr>
            </w:pPr>
            <w:r w:rsidRPr="00C95F01">
              <w:rPr>
                <w:rFonts w:asciiTheme="minorHAnsi" w:hAnsiTheme="minorHAnsi" w:cstheme="minorHAnsi"/>
                <w:sz w:val="20"/>
                <w:szCs w:val="20"/>
              </w:rPr>
              <w:t xml:space="preserve"> </w:t>
            </w:r>
          </w:p>
        </w:tc>
        <w:tc>
          <w:tcPr>
            <w:tcW w:w="960" w:type="dxa"/>
            <w:tcBorders>
              <w:top w:val="nil"/>
              <w:left w:val="nil"/>
              <w:bottom w:val="single" w:color="000000" w:sz="8" w:space="0"/>
              <w:right w:val="single" w:color="000000" w:sz="8" w:space="0"/>
            </w:tcBorders>
            <w:tcMar>
              <w:top w:w="100" w:type="dxa"/>
              <w:left w:w="100" w:type="dxa"/>
              <w:bottom w:w="100" w:type="dxa"/>
              <w:right w:w="100" w:type="dxa"/>
            </w:tcMar>
          </w:tcPr>
          <w:p w:rsidRPr="00C95F01" w:rsidR="00574A0F" w:rsidRDefault="00606F36">
            <w:pPr>
              <w:rPr>
                <w:rFonts w:asciiTheme="minorHAnsi" w:hAnsiTheme="minorHAnsi" w:cstheme="minorHAnsi"/>
                <w:sz w:val="20"/>
                <w:szCs w:val="20"/>
              </w:rPr>
            </w:pPr>
            <w:r w:rsidRPr="00C95F01">
              <w:rPr>
                <w:rFonts w:asciiTheme="minorHAnsi" w:hAnsiTheme="minorHAnsi" w:cstheme="minorHAnsi"/>
                <w:sz w:val="20"/>
                <w:szCs w:val="20"/>
              </w:rPr>
              <w:t xml:space="preserve"> </w:t>
            </w: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rsidRPr="00C95F01" w:rsidR="00574A0F" w:rsidRDefault="00606F36">
            <w:pPr>
              <w:jc w:val="center"/>
              <w:rPr>
                <w:rFonts w:asciiTheme="minorHAnsi" w:hAnsiTheme="minorHAnsi" w:cstheme="minorHAnsi"/>
                <w:sz w:val="20"/>
                <w:szCs w:val="20"/>
              </w:rPr>
            </w:pPr>
            <w:r w:rsidRPr="00C95F01">
              <w:rPr>
                <w:rFonts w:asciiTheme="minorHAnsi" w:hAnsiTheme="minorHAnsi" w:cstheme="minorHAnsi"/>
                <w:sz w:val="20"/>
                <w:szCs w:val="20"/>
              </w:rPr>
              <w:t xml:space="preserve"> </w:t>
            </w:r>
          </w:p>
        </w:tc>
      </w:tr>
      <w:tr w:rsidRPr="00C95F01" w:rsidR="00574A0F" w:rsidTr="00C95F01">
        <w:trPr>
          <w:trHeight w:val="529"/>
        </w:trPr>
        <w:tc>
          <w:tcPr>
            <w:tcW w:w="422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rsidRPr="00C95F01" w:rsidR="00574A0F" w:rsidRDefault="00606F36">
            <w:pPr>
              <w:rPr>
                <w:rFonts w:asciiTheme="minorHAnsi" w:hAnsiTheme="minorHAnsi" w:cstheme="minorHAnsi"/>
                <w:sz w:val="20"/>
                <w:szCs w:val="20"/>
              </w:rPr>
            </w:pPr>
            <w:r w:rsidRPr="00C95F01">
              <w:rPr>
                <w:rFonts w:asciiTheme="minorHAnsi" w:hAnsiTheme="minorHAnsi" w:cstheme="minorHAnsi"/>
                <w:sz w:val="20"/>
                <w:szCs w:val="20"/>
              </w:rPr>
              <w:t>5. Survey System Design – Qualtrics software configuration and interfaces.</w:t>
            </w: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rsidRPr="00C95F01" w:rsidR="00574A0F" w:rsidRDefault="00606F36">
            <w:pPr>
              <w:jc w:val="center"/>
              <w:rPr>
                <w:rFonts w:asciiTheme="minorHAnsi" w:hAnsiTheme="minorHAnsi" w:cstheme="minorHAnsi"/>
                <w:sz w:val="20"/>
                <w:szCs w:val="20"/>
              </w:rPr>
            </w:pPr>
            <w:r w:rsidRPr="00C95F01">
              <w:rPr>
                <w:rFonts w:asciiTheme="minorHAnsi" w:hAnsiTheme="minorHAnsi" w:cstheme="minorHAnsi"/>
                <w:sz w:val="20"/>
                <w:szCs w:val="20"/>
              </w:rPr>
              <w:t>X</w:t>
            </w:r>
          </w:p>
        </w:tc>
        <w:tc>
          <w:tcPr>
            <w:tcW w:w="810" w:type="dxa"/>
            <w:tcBorders>
              <w:top w:val="nil"/>
              <w:left w:val="nil"/>
              <w:bottom w:val="single" w:color="000000" w:sz="8" w:space="0"/>
              <w:right w:val="single" w:color="000000" w:sz="8" w:space="0"/>
            </w:tcBorders>
            <w:tcMar>
              <w:top w:w="100" w:type="dxa"/>
              <w:left w:w="100" w:type="dxa"/>
              <w:bottom w:w="100" w:type="dxa"/>
              <w:right w:w="100" w:type="dxa"/>
            </w:tcMar>
          </w:tcPr>
          <w:p w:rsidRPr="00C95F01" w:rsidR="00574A0F" w:rsidRDefault="00606F36">
            <w:pPr>
              <w:rPr>
                <w:rFonts w:asciiTheme="minorHAnsi" w:hAnsiTheme="minorHAnsi" w:cstheme="minorHAnsi"/>
                <w:sz w:val="20"/>
                <w:szCs w:val="20"/>
              </w:rPr>
            </w:pPr>
            <w:r w:rsidRPr="00C95F01">
              <w:rPr>
                <w:rFonts w:asciiTheme="minorHAnsi" w:hAnsiTheme="minorHAnsi" w:cstheme="minorHAnsi"/>
                <w:sz w:val="20"/>
                <w:szCs w:val="20"/>
              </w:rPr>
              <w:t xml:space="preserve"> </w:t>
            </w:r>
          </w:p>
        </w:tc>
        <w:tc>
          <w:tcPr>
            <w:tcW w:w="910" w:type="dxa"/>
            <w:tcBorders>
              <w:top w:val="nil"/>
              <w:left w:val="nil"/>
              <w:bottom w:val="single" w:color="000000" w:sz="8" w:space="0"/>
              <w:right w:val="single" w:color="000000" w:sz="8" w:space="0"/>
            </w:tcBorders>
            <w:tcMar>
              <w:top w:w="100" w:type="dxa"/>
              <w:left w:w="100" w:type="dxa"/>
              <w:bottom w:w="100" w:type="dxa"/>
              <w:right w:w="100" w:type="dxa"/>
            </w:tcMar>
          </w:tcPr>
          <w:p w:rsidRPr="00C95F01" w:rsidR="00574A0F" w:rsidRDefault="00606F36">
            <w:pPr>
              <w:rPr>
                <w:rFonts w:asciiTheme="minorHAnsi" w:hAnsiTheme="minorHAnsi" w:cstheme="minorHAnsi"/>
                <w:sz w:val="20"/>
                <w:szCs w:val="20"/>
              </w:rPr>
            </w:pPr>
            <w:r w:rsidRPr="00C95F01">
              <w:rPr>
                <w:rFonts w:asciiTheme="minorHAnsi" w:hAnsiTheme="minorHAnsi" w:cstheme="minorHAnsi"/>
                <w:sz w:val="20"/>
                <w:szCs w:val="20"/>
              </w:rPr>
              <w:t xml:space="preserve"> </w:t>
            </w:r>
          </w:p>
        </w:tc>
        <w:tc>
          <w:tcPr>
            <w:tcW w:w="960" w:type="dxa"/>
            <w:tcBorders>
              <w:top w:val="nil"/>
              <w:left w:val="nil"/>
              <w:bottom w:val="single" w:color="000000" w:sz="8" w:space="0"/>
              <w:right w:val="single" w:color="000000" w:sz="8" w:space="0"/>
            </w:tcBorders>
            <w:tcMar>
              <w:top w:w="100" w:type="dxa"/>
              <w:left w:w="100" w:type="dxa"/>
              <w:bottom w:w="100" w:type="dxa"/>
              <w:right w:w="100" w:type="dxa"/>
            </w:tcMar>
          </w:tcPr>
          <w:p w:rsidRPr="00C95F01" w:rsidR="00574A0F" w:rsidRDefault="00606F36">
            <w:pPr>
              <w:rPr>
                <w:rFonts w:asciiTheme="minorHAnsi" w:hAnsiTheme="minorHAnsi" w:cstheme="minorHAnsi"/>
                <w:sz w:val="20"/>
                <w:szCs w:val="20"/>
              </w:rPr>
            </w:pPr>
            <w:r w:rsidRPr="00C95F01">
              <w:rPr>
                <w:rFonts w:asciiTheme="minorHAnsi" w:hAnsiTheme="minorHAnsi" w:cstheme="minorHAnsi"/>
                <w:sz w:val="20"/>
                <w:szCs w:val="20"/>
              </w:rPr>
              <w:t xml:space="preserve"> </w:t>
            </w: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rsidRPr="00C95F01" w:rsidR="00574A0F" w:rsidRDefault="00606F36">
            <w:pPr>
              <w:jc w:val="center"/>
              <w:rPr>
                <w:rFonts w:asciiTheme="minorHAnsi" w:hAnsiTheme="minorHAnsi" w:cstheme="minorHAnsi"/>
                <w:sz w:val="20"/>
                <w:szCs w:val="20"/>
              </w:rPr>
            </w:pPr>
            <w:r w:rsidRPr="00C95F01">
              <w:rPr>
                <w:rFonts w:asciiTheme="minorHAnsi" w:hAnsiTheme="minorHAnsi" w:cstheme="minorHAnsi"/>
                <w:sz w:val="20"/>
                <w:szCs w:val="20"/>
              </w:rPr>
              <w:t xml:space="preserve"> </w:t>
            </w:r>
          </w:p>
        </w:tc>
      </w:tr>
      <w:tr w:rsidRPr="00C95F01" w:rsidR="00574A0F" w:rsidTr="00C95F01">
        <w:trPr>
          <w:trHeight w:val="421"/>
        </w:trPr>
        <w:tc>
          <w:tcPr>
            <w:tcW w:w="422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rsidRPr="00C95F01" w:rsidR="00574A0F" w:rsidRDefault="00606F36">
            <w:pPr>
              <w:rPr>
                <w:rFonts w:asciiTheme="minorHAnsi" w:hAnsiTheme="minorHAnsi" w:cstheme="minorHAnsi"/>
                <w:sz w:val="20"/>
                <w:szCs w:val="20"/>
              </w:rPr>
            </w:pPr>
            <w:r w:rsidRPr="00C95F01">
              <w:rPr>
                <w:rFonts w:asciiTheme="minorHAnsi" w:hAnsiTheme="minorHAnsi" w:cstheme="minorHAnsi"/>
                <w:sz w:val="20"/>
                <w:szCs w:val="20"/>
              </w:rPr>
              <w:t>6. Data Collection I integrating items 2,3,4,5.</w:t>
            </w: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rsidRPr="00C95F01" w:rsidR="00574A0F" w:rsidRDefault="00606F36">
            <w:pPr>
              <w:rPr>
                <w:rFonts w:asciiTheme="minorHAnsi" w:hAnsiTheme="minorHAnsi" w:cstheme="minorHAnsi"/>
                <w:sz w:val="20"/>
                <w:szCs w:val="20"/>
              </w:rPr>
            </w:pPr>
            <w:r w:rsidRPr="00C95F01">
              <w:rPr>
                <w:rFonts w:asciiTheme="minorHAnsi" w:hAnsiTheme="minorHAnsi" w:cstheme="minorHAnsi"/>
                <w:sz w:val="20"/>
                <w:szCs w:val="20"/>
              </w:rPr>
              <w:t xml:space="preserve"> </w:t>
            </w:r>
          </w:p>
        </w:tc>
        <w:tc>
          <w:tcPr>
            <w:tcW w:w="810" w:type="dxa"/>
            <w:tcBorders>
              <w:top w:val="nil"/>
              <w:left w:val="nil"/>
              <w:bottom w:val="single" w:color="000000" w:sz="8" w:space="0"/>
              <w:right w:val="single" w:color="000000" w:sz="8" w:space="0"/>
            </w:tcBorders>
            <w:tcMar>
              <w:top w:w="100" w:type="dxa"/>
              <w:left w:w="100" w:type="dxa"/>
              <w:bottom w:w="100" w:type="dxa"/>
              <w:right w:w="100" w:type="dxa"/>
            </w:tcMar>
          </w:tcPr>
          <w:p w:rsidRPr="00C95F01" w:rsidR="00574A0F" w:rsidRDefault="00606F36">
            <w:pPr>
              <w:jc w:val="center"/>
              <w:rPr>
                <w:rFonts w:asciiTheme="minorHAnsi" w:hAnsiTheme="minorHAnsi" w:cstheme="minorHAnsi"/>
                <w:sz w:val="20"/>
                <w:szCs w:val="20"/>
              </w:rPr>
            </w:pPr>
            <w:r w:rsidRPr="00C95F01">
              <w:rPr>
                <w:rFonts w:asciiTheme="minorHAnsi" w:hAnsiTheme="minorHAnsi" w:cstheme="minorHAnsi"/>
                <w:sz w:val="20"/>
                <w:szCs w:val="20"/>
              </w:rPr>
              <w:t>X</w:t>
            </w:r>
          </w:p>
        </w:tc>
        <w:tc>
          <w:tcPr>
            <w:tcW w:w="910" w:type="dxa"/>
            <w:tcBorders>
              <w:top w:val="nil"/>
              <w:left w:val="nil"/>
              <w:bottom w:val="single" w:color="000000" w:sz="8" w:space="0"/>
              <w:right w:val="single" w:color="000000" w:sz="8" w:space="0"/>
            </w:tcBorders>
            <w:tcMar>
              <w:top w:w="100" w:type="dxa"/>
              <w:left w:w="100" w:type="dxa"/>
              <w:bottom w:w="100" w:type="dxa"/>
              <w:right w:w="100" w:type="dxa"/>
            </w:tcMar>
          </w:tcPr>
          <w:p w:rsidRPr="00C95F01" w:rsidR="00574A0F" w:rsidRDefault="00606F36">
            <w:pPr>
              <w:rPr>
                <w:rFonts w:asciiTheme="minorHAnsi" w:hAnsiTheme="minorHAnsi" w:cstheme="minorHAnsi"/>
                <w:sz w:val="20"/>
                <w:szCs w:val="20"/>
              </w:rPr>
            </w:pPr>
            <w:r w:rsidRPr="00C95F01">
              <w:rPr>
                <w:rFonts w:asciiTheme="minorHAnsi" w:hAnsiTheme="minorHAnsi" w:cstheme="minorHAnsi"/>
                <w:sz w:val="20"/>
                <w:szCs w:val="20"/>
              </w:rPr>
              <w:t xml:space="preserve"> </w:t>
            </w:r>
          </w:p>
        </w:tc>
        <w:tc>
          <w:tcPr>
            <w:tcW w:w="960" w:type="dxa"/>
            <w:tcBorders>
              <w:top w:val="nil"/>
              <w:left w:val="nil"/>
              <w:bottom w:val="single" w:color="000000" w:sz="8" w:space="0"/>
              <w:right w:val="single" w:color="000000" w:sz="8" w:space="0"/>
            </w:tcBorders>
            <w:tcMar>
              <w:top w:w="100" w:type="dxa"/>
              <w:left w:w="100" w:type="dxa"/>
              <w:bottom w:w="100" w:type="dxa"/>
              <w:right w:w="100" w:type="dxa"/>
            </w:tcMar>
          </w:tcPr>
          <w:p w:rsidRPr="00C95F01" w:rsidR="00574A0F" w:rsidRDefault="00606F36">
            <w:pPr>
              <w:rPr>
                <w:rFonts w:asciiTheme="minorHAnsi" w:hAnsiTheme="minorHAnsi" w:cstheme="minorHAnsi"/>
                <w:sz w:val="20"/>
                <w:szCs w:val="20"/>
              </w:rPr>
            </w:pPr>
            <w:r w:rsidRPr="00C95F01">
              <w:rPr>
                <w:rFonts w:asciiTheme="minorHAnsi" w:hAnsiTheme="minorHAnsi" w:cstheme="minorHAnsi"/>
                <w:sz w:val="20"/>
                <w:szCs w:val="20"/>
              </w:rPr>
              <w:t xml:space="preserve"> </w:t>
            </w: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rsidRPr="00C95F01" w:rsidR="00574A0F" w:rsidRDefault="00606F36">
            <w:pPr>
              <w:jc w:val="center"/>
              <w:rPr>
                <w:rFonts w:asciiTheme="minorHAnsi" w:hAnsiTheme="minorHAnsi" w:cstheme="minorHAnsi"/>
                <w:sz w:val="20"/>
                <w:szCs w:val="20"/>
              </w:rPr>
            </w:pPr>
            <w:r w:rsidRPr="00C95F01">
              <w:rPr>
                <w:rFonts w:asciiTheme="minorHAnsi" w:hAnsiTheme="minorHAnsi" w:cstheme="minorHAnsi"/>
                <w:sz w:val="20"/>
                <w:szCs w:val="20"/>
              </w:rPr>
              <w:t xml:space="preserve"> </w:t>
            </w:r>
          </w:p>
        </w:tc>
      </w:tr>
      <w:tr w:rsidRPr="00C95F01" w:rsidR="00574A0F" w:rsidTr="00C95F01">
        <w:trPr>
          <w:trHeight w:val="619"/>
        </w:trPr>
        <w:tc>
          <w:tcPr>
            <w:tcW w:w="422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rsidRPr="00C95F01" w:rsidR="00574A0F" w:rsidRDefault="00606F36">
            <w:pPr>
              <w:rPr>
                <w:rFonts w:asciiTheme="minorHAnsi" w:hAnsiTheme="minorHAnsi" w:cstheme="minorHAnsi"/>
                <w:sz w:val="20"/>
                <w:szCs w:val="20"/>
              </w:rPr>
            </w:pPr>
            <w:r w:rsidRPr="00C95F01">
              <w:rPr>
                <w:rFonts w:asciiTheme="minorHAnsi" w:hAnsiTheme="minorHAnsi" w:cstheme="minorHAnsi"/>
                <w:sz w:val="20"/>
                <w:szCs w:val="20"/>
              </w:rPr>
              <w:t>7. Data analysis of Y1 results. Modifications to 2,3,4,5 for second data collection effort.</w:t>
            </w: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rsidRPr="00C95F01" w:rsidR="00574A0F" w:rsidRDefault="00606F36">
            <w:pPr>
              <w:rPr>
                <w:rFonts w:asciiTheme="minorHAnsi" w:hAnsiTheme="minorHAnsi" w:cstheme="minorHAnsi"/>
                <w:sz w:val="20"/>
                <w:szCs w:val="20"/>
              </w:rPr>
            </w:pPr>
            <w:r w:rsidRPr="00C95F01">
              <w:rPr>
                <w:rFonts w:asciiTheme="minorHAnsi" w:hAnsiTheme="minorHAnsi" w:cstheme="minorHAnsi"/>
                <w:sz w:val="20"/>
                <w:szCs w:val="20"/>
              </w:rPr>
              <w:t xml:space="preserve"> </w:t>
            </w:r>
          </w:p>
        </w:tc>
        <w:tc>
          <w:tcPr>
            <w:tcW w:w="810" w:type="dxa"/>
            <w:tcBorders>
              <w:top w:val="nil"/>
              <w:left w:val="nil"/>
              <w:bottom w:val="single" w:color="000000" w:sz="8" w:space="0"/>
              <w:right w:val="single" w:color="000000" w:sz="8" w:space="0"/>
            </w:tcBorders>
            <w:tcMar>
              <w:top w:w="100" w:type="dxa"/>
              <w:left w:w="100" w:type="dxa"/>
              <w:bottom w:w="100" w:type="dxa"/>
              <w:right w:w="100" w:type="dxa"/>
            </w:tcMar>
          </w:tcPr>
          <w:p w:rsidRPr="00C95F01" w:rsidR="00574A0F" w:rsidRDefault="00606F36">
            <w:pPr>
              <w:rPr>
                <w:rFonts w:asciiTheme="minorHAnsi" w:hAnsiTheme="minorHAnsi" w:cstheme="minorHAnsi"/>
                <w:sz w:val="20"/>
                <w:szCs w:val="20"/>
              </w:rPr>
            </w:pPr>
            <w:r w:rsidRPr="00C95F01">
              <w:rPr>
                <w:rFonts w:asciiTheme="minorHAnsi" w:hAnsiTheme="minorHAnsi" w:cstheme="minorHAnsi"/>
                <w:sz w:val="20"/>
                <w:szCs w:val="20"/>
              </w:rPr>
              <w:t xml:space="preserve"> </w:t>
            </w:r>
          </w:p>
        </w:tc>
        <w:tc>
          <w:tcPr>
            <w:tcW w:w="910" w:type="dxa"/>
            <w:tcBorders>
              <w:top w:val="nil"/>
              <w:left w:val="nil"/>
              <w:bottom w:val="single" w:color="000000" w:sz="8" w:space="0"/>
              <w:right w:val="single" w:color="000000" w:sz="8" w:space="0"/>
            </w:tcBorders>
            <w:tcMar>
              <w:top w:w="100" w:type="dxa"/>
              <w:left w:w="100" w:type="dxa"/>
              <w:bottom w:w="100" w:type="dxa"/>
              <w:right w:w="100" w:type="dxa"/>
            </w:tcMar>
          </w:tcPr>
          <w:p w:rsidRPr="00C95F01" w:rsidR="00574A0F" w:rsidRDefault="00606F36">
            <w:pPr>
              <w:jc w:val="center"/>
              <w:rPr>
                <w:rFonts w:asciiTheme="minorHAnsi" w:hAnsiTheme="minorHAnsi" w:cstheme="minorHAnsi"/>
                <w:sz w:val="20"/>
                <w:szCs w:val="20"/>
              </w:rPr>
            </w:pPr>
            <w:r w:rsidRPr="00C95F01">
              <w:rPr>
                <w:rFonts w:asciiTheme="minorHAnsi" w:hAnsiTheme="minorHAnsi" w:cstheme="minorHAnsi"/>
                <w:sz w:val="20"/>
                <w:szCs w:val="20"/>
              </w:rPr>
              <w:t>X</w:t>
            </w:r>
          </w:p>
        </w:tc>
        <w:tc>
          <w:tcPr>
            <w:tcW w:w="960" w:type="dxa"/>
            <w:tcBorders>
              <w:top w:val="nil"/>
              <w:left w:val="nil"/>
              <w:bottom w:val="single" w:color="000000" w:sz="8" w:space="0"/>
              <w:right w:val="single" w:color="000000" w:sz="8" w:space="0"/>
            </w:tcBorders>
            <w:tcMar>
              <w:top w:w="100" w:type="dxa"/>
              <w:left w:w="100" w:type="dxa"/>
              <w:bottom w:w="100" w:type="dxa"/>
              <w:right w:w="100" w:type="dxa"/>
            </w:tcMar>
          </w:tcPr>
          <w:p w:rsidRPr="00C95F01" w:rsidR="00574A0F" w:rsidRDefault="00606F36">
            <w:pPr>
              <w:rPr>
                <w:rFonts w:asciiTheme="minorHAnsi" w:hAnsiTheme="minorHAnsi" w:cstheme="minorHAnsi"/>
                <w:sz w:val="20"/>
                <w:szCs w:val="20"/>
              </w:rPr>
            </w:pPr>
            <w:r w:rsidRPr="00C95F01">
              <w:rPr>
                <w:rFonts w:asciiTheme="minorHAnsi" w:hAnsiTheme="minorHAnsi" w:cstheme="minorHAnsi"/>
                <w:sz w:val="20"/>
                <w:szCs w:val="20"/>
              </w:rPr>
              <w:t xml:space="preserve"> </w:t>
            </w: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rsidRPr="00C95F01" w:rsidR="00574A0F" w:rsidRDefault="00606F36">
            <w:pPr>
              <w:jc w:val="center"/>
              <w:rPr>
                <w:rFonts w:asciiTheme="minorHAnsi" w:hAnsiTheme="minorHAnsi" w:cstheme="minorHAnsi"/>
                <w:sz w:val="20"/>
                <w:szCs w:val="20"/>
              </w:rPr>
            </w:pPr>
            <w:r w:rsidRPr="00C95F01">
              <w:rPr>
                <w:rFonts w:asciiTheme="minorHAnsi" w:hAnsiTheme="minorHAnsi" w:cstheme="minorHAnsi"/>
                <w:sz w:val="20"/>
                <w:szCs w:val="20"/>
              </w:rPr>
              <w:t xml:space="preserve"> </w:t>
            </w:r>
          </w:p>
        </w:tc>
      </w:tr>
      <w:tr w:rsidRPr="00C95F01" w:rsidR="00574A0F" w:rsidTr="00560A91">
        <w:trPr>
          <w:trHeight w:val="583"/>
        </w:trPr>
        <w:tc>
          <w:tcPr>
            <w:tcW w:w="422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rsidRPr="00C95F01" w:rsidR="00574A0F" w:rsidP="00560A91" w:rsidRDefault="00606F36">
            <w:pPr>
              <w:rPr>
                <w:rFonts w:asciiTheme="minorHAnsi" w:hAnsiTheme="minorHAnsi" w:cstheme="minorHAnsi"/>
                <w:sz w:val="20"/>
                <w:szCs w:val="20"/>
              </w:rPr>
            </w:pPr>
            <w:r w:rsidRPr="00C95F01">
              <w:rPr>
                <w:rFonts w:asciiTheme="minorHAnsi" w:hAnsiTheme="minorHAnsi" w:cstheme="minorHAnsi"/>
                <w:sz w:val="20"/>
                <w:szCs w:val="20"/>
              </w:rPr>
              <w:t>8. Design of probability vs. nonprobability</w:t>
            </w:r>
            <w:r w:rsidRPr="00C95F01" w:rsidR="00560A91">
              <w:rPr>
                <w:rFonts w:asciiTheme="minorHAnsi" w:hAnsiTheme="minorHAnsi" w:cstheme="minorHAnsi"/>
                <w:sz w:val="20"/>
                <w:szCs w:val="20"/>
              </w:rPr>
              <w:t xml:space="preserve"> </w:t>
            </w:r>
            <w:r w:rsidRPr="00C95F01">
              <w:rPr>
                <w:rFonts w:asciiTheme="minorHAnsi" w:hAnsiTheme="minorHAnsi" w:cstheme="minorHAnsi"/>
                <w:sz w:val="20"/>
                <w:szCs w:val="20"/>
              </w:rPr>
              <w:t>sample experiment.</w:t>
            </w: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rsidRPr="00C95F01" w:rsidR="00574A0F" w:rsidRDefault="00606F36">
            <w:pPr>
              <w:rPr>
                <w:rFonts w:asciiTheme="minorHAnsi" w:hAnsiTheme="minorHAnsi" w:cstheme="minorHAnsi"/>
                <w:sz w:val="20"/>
                <w:szCs w:val="20"/>
              </w:rPr>
            </w:pPr>
            <w:r w:rsidRPr="00C95F01">
              <w:rPr>
                <w:rFonts w:asciiTheme="minorHAnsi" w:hAnsiTheme="minorHAnsi" w:cstheme="minorHAnsi"/>
                <w:sz w:val="20"/>
                <w:szCs w:val="20"/>
              </w:rPr>
              <w:t xml:space="preserve"> </w:t>
            </w:r>
          </w:p>
        </w:tc>
        <w:tc>
          <w:tcPr>
            <w:tcW w:w="810" w:type="dxa"/>
            <w:tcBorders>
              <w:top w:val="nil"/>
              <w:left w:val="nil"/>
              <w:bottom w:val="single" w:color="000000" w:sz="8" w:space="0"/>
              <w:right w:val="single" w:color="000000" w:sz="8" w:space="0"/>
            </w:tcBorders>
            <w:tcMar>
              <w:top w:w="100" w:type="dxa"/>
              <w:left w:w="100" w:type="dxa"/>
              <w:bottom w:w="100" w:type="dxa"/>
              <w:right w:w="100" w:type="dxa"/>
            </w:tcMar>
          </w:tcPr>
          <w:p w:rsidRPr="00C95F01" w:rsidR="00574A0F" w:rsidRDefault="00606F36">
            <w:pPr>
              <w:rPr>
                <w:rFonts w:asciiTheme="minorHAnsi" w:hAnsiTheme="minorHAnsi" w:cstheme="minorHAnsi"/>
                <w:sz w:val="20"/>
                <w:szCs w:val="20"/>
              </w:rPr>
            </w:pPr>
            <w:r w:rsidRPr="00C95F01">
              <w:rPr>
                <w:rFonts w:asciiTheme="minorHAnsi" w:hAnsiTheme="minorHAnsi" w:cstheme="minorHAnsi"/>
                <w:sz w:val="20"/>
                <w:szCs w:val="20"/>
              </w:rPr>
              <w:t xml:space="preserve"> </w:t>
            </w:r>
          </w:p>
        </w:tc>
        <w:tc>
          <w:tcPr>
            <w:tcW w:w="910" w:type="dxa"/>
            <w:tcBorders>
              <w:top w:val="nil"/>
              <w:left w:val="nil"/>
              <w:bottom w:val="single" w:color="000000" w:sz="8" w:space="0"/>
              <w:right w:val="single" w:color="000000" w:sz="8" w:space="0"/>
            </w:tcBorders>
            <w:tcMar>
              <w:top w:w="100" w:type="dxa"/>
              <w:left w:w="100" w:type="dxa"/>
              <w:bottom w:w="100" w:type="dxa"/>
              <w:right w:w="100" w:type="dxa"/>
            </w:tcMar>
          </w:tcPr>
          <w:p w:rsidRPr="00C95F01" w:rsidR="00574A0F" w:rsidRDefault="00606F36">
            <w:pPr>
              <w:jc w:val="center"/>
              <w:rPr>
                <w:rFonts w:asciiTheme="minorHAnsi" w:hAnsiTheme="minorHAnsi" w:cstheme="minorHAnsi"/>
                <w:sz w:val="20"/>
                <w:szCs w:val="20"/>
              </w:rPr>
            </w:pPr>
            <w:r w:rsidRPr="00C95F01">
              <w:rPr>
                <w:rFonts w:asciiTheme="minorHAnsi" w:hAnsiTheme="minorHAnsi" w:cstheme="minorHAnsi"/>
                <w:sz w:val="20"/>
                <w:szCs w:val="20"/>
              </w:rPr>
              <w:t>X</w:t>
            </w:r>
          </w:p>
        </w:tc>
        <w:tc>
          <w:tcPr>
            <w:tcW w:w="960" w:type="dxa"/>
            <w:tcBorders>
              <w:top w:val="nil"/>
              <w:left w:val="nil"/>
              <w:bottom w:val="single" w:color="000000" w:sz="8" w:space="0"/>
              <w:right w:val="single" w:color="000000" w:sz="8" w:space="0"/>
            </w:tcBorders>
            <w:tcMar>
              <w:top w:w="100" w:type="dxa"/>
              <w:left w:w="100" w:type="dxa"/>
              <w:bottom w:w="100" w:type="dxa"/>
              <w:right w:w="100" w:type="dxa"/>
            </w:tcMar>
          </w:tcPr>
          <w:p w:rsidRPr="00C95F01" w:rsidR="00574A0F" w:rsidRDefault="00606F36">
            <w:pPr>
              <w:rPr>
                <w:rFonts w:asciiTheme="minorHAnsi" w:hAnsiTheme="minorHAnsi" w:cstheme="minorHAnsi"/>
                <w:sz w:val="20"/>
                <w:szCs w:val="20"/>
              </w:rPr>
            </w:pPr>
            <w:r w:rsidRPr="00C95F01">
              <w:rPr>
                <w:rFonts w:asciiTheme="minorHAnsi" w:hAnsiTheme="minorHAnsi" w:cstheme="minorHAnsi"/>
                <w:sz w:val="20"/>
                <w:szCs w:val="20"/>
              </w:rPr>
              <w:t xml:space="preserve"> </w:t>
            </w: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rsidRPr="00C95F01" w:rsidR="00574A0F" w:rsidRDefault="00606F36">
            <w:pPr>
              <w:jc w:val="center"/>
              <w:rPr>
                <w:rFonts w:asciiTheme="minorHAnsi" w:hAnsiTheme="minorHAnsi" w:cstheme="minorHAnsi"/>
                <w:sz w:val="20"/>
                <w:szCs w:val="20"/>
              </w:rPr>
            </w:pPr>
            <w:r w:rsidRPr="00C95F01">
              <w:rPr>
                <w:rFonts w:asciiTheme="minorHAnsi" w:hAnsiTheme="minorHAnsi" w:cstheme="minorHAnsi"/>
                <w:sz w:val="20"/>
                <w:szCs w:val="20"/>
              </w:rPr>
              <w:t xml:space="preserve"> </w:t>
            </w:r>
          </w:p>
        </w:tc>
      </w:tr>
      <w:tr w:rsidRPr="00C95F01" w:rsidR="00574A0F" w:rsidTr="00C95F01">
        <w:trPr>
          <w:trHeight w:val="538"/>
        </w:trPr>
        <w:tc>
          <w:tcPr>
            <w:tcW w:w="422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rsidRPr="00C95F01" w:rsidR="00574A0F" w:rsidRDefault="00606F36">
            <w:pPr>
              <w:rPr>
                <w:rFonts w:asciiTheme="minorHAnsi" w:hAnsiTheme="minorHAnsi" w:cstheme="minorHAnsi"/>
                <w:sz w:val="20"/>
                <w:szCs w:val="20"/>
              </w:rPr>
            </w:pPr>
            <w:r w:rsidRPr="00C95F01">
              <w:rPr>
                <w:rFonts w:asciiTheme="minorHAnsi" w:hAnsiTheme="minorHAnsi" w:cstheme="minorHAnsi"/>
                <w:sz w:val="20"/>
                <w:szCs w:val="20"/>
              </w:rPr>
              <w:t>9. Data Collection II by 9 forecast offices, incorporating 7 and 8.</w:t>
            </w: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rsidRPr="00C95F01" w:rsidR="00574A0F" w:rsidRDefault="00606F36">
            <w:pPr>
              <w:rPr>
                <w:rFonts w:asciiTheme="minorHAnsi" w:hAnsiTheme="minorHAnsi" w:cstheme="minorHAnsi"/>
                <w:sz w:val="20"/>
                <w:szCs w:val="20"/>
              </w:rPr>
            </w:pPr>
            <w:r w:rsidRPr="00C95F01">
              <w:rPr>
                <w:rFonts w:asciiTheme="minorHAnsi" w:hAnsiTheme="minorHAnsi" w:cstheme="minorHAnsi"/>
                <w:sz w:val="20"/>
                <w:szCs w:val="20"/>
              </w:rPr>
              <w:t xml:space="preserve"> </w:t>
            </w:r>
          </w:p>
        </w:tc>
        <w:tc>
          <w:tcPr>
            <w:tcW w:w="810" w:type="dxa"/>
            <w:tcBorders>
              <w:top w:val="nil"/>
              <w:left w:val="nil"/>
              <w:bottom w:val="single" w:color="000000" w:sz="8" w:space="0"/>
              <w:right w:val="single" w:color="000000" w:sz="8" w:space="0"/>
            </w:tcBorders>
            <w:tcMar>
              <w:top w:w="100" w:type="dxa"/>
              <w:left w:w="100" w:type="dxa"/>
              <w:bottom w:w="100" w:type="dxa"/>
              <w:right w:w="100" w:type="dxa"/>
            </w:tcMar>
          </w:tcPr>
          <w:p w:rsidRPr="00C95F01" w:rsidR="00574A0F" w:rsidRDefault="00606F36">
            <w:pPr>
              <w:rPr>
                <w:rFonts w:asciiTheme="minorHAnsi" w:hAnsiTheme="minorHAnsi" w:cstheme="minorHAnsi"/>
                <w:sz w:val="20"/>
                <w:szCs w:val="20"/>
              </w:rPr>
            </w:pPr>
            <w:r w:rsidRPr="00C95F01">
              <w:rPr>
                <w:rFonts w:asciiTheme="minorHAnsi" w:hAnsiTheme="minorHAnsi" w:cstheme="minorHAnsi"/>
                <w:sz w:val="20"/>
                <w:szCs w:val="20"/>
              </w:rPr>
              <w:t xml:space="preserve"> </w:t>
            </w:r>
          </w:p>
        </w:tc>
        <w:tc>
          <w:tcPr>
            <w:tcW w:w="910" w:type="dxa"/>
            <w:tcBorders>
              <w:top w:val="nil"/>
              <w:left w:val="nil"/>
              <w:bottom w:val="single" w:color="000000" w:sz="8" w:space="0"/>
              <w:right w:val="single" w:color="000000" w:sz="8" w:space="0"/>
            </w:tcBorders>
            <w:tcMar>
              <w:top w:w="100" w:type="dxa"/>
              <w:left w:w="100" w:type="dxa"/>
              <w:bottom w:w="100" w:type="dxa"/>
              <w:right w:w="100" w:type="dxa"/>
            </w:tcMar>
          </w:tcPr>
          <w:p w:rsidRPr="00C95F01" w:rsidR="00574A0F" w:rsidRDefault="00606F36">
            <w:pPr>
              <w:rPr>
                <w:rFonts w:asciiTheme="minorHAnsi" w:hAnsiTheme="minorHAnsi" w:cstheme="minorHAnsi"/>
                <w:sz w:val="20"/>
                <w:szCs w:val="20"/>
              </w:rPr>
            </w:pPr>
            <w:r w:rsidRPr="00C95F01">
              <w:rPr>
                <w:rFonts w:asciiTheme="minorHAnsi" w:hAnsiTheme="minorHAnsi" w:cstheme="minorHAnsi"/>
                <w:sz w:val="20"/>
                <w:szCs w:val="20"/>
              </w:rPr>
              <w:t xml:space="preserve"> </w:t>
            </w:r>
          </w:p>
        </w:tc>
        <w:tc>
          <w:tcPr>
            <w:tcW w:w="960" w:type="dxa"/>
            <w:tcBorders>
              <w:top w:val="nil"/>
              <w:left w:val="nil"/>
              <w:bottom w:val="single" w:color="000000" w:sz="8" w:space="0"/>
              <w:right w:val="single" w:color="000000" w:sz="8" w:space="0"/>
            </w:tcBorders>
            <w:tcMar>
              <w:top w:w="100" w:type="dxa"/>
              <w:left w:w="100" w:type="dxa"/>
              <w:bottom w:w="100" w:type="dxa"/>
              <w:right w:w="100" w:type="dxa"/>
            </w:tcMar>
          </w:tcPr>
          <w:p w:rsidRPr="00C95F01" w:rsidR="00574A0F" w:rsidRDefault="00606F36">
            <w:pPr>
              <w:jc w:val="center"/>
              <w:rPr>
                <w:rFonts w:asciiTheme="minorHAnsi" w:hAnsiTheme="minorHAnsi" w:cstheme="minorHAnsi"/>
                <w:sz w:val="20"/>
                <w:szCs w:val="20"/>
              </w:rPr>
            </w:pPr>
            <w:r w:rsidRPr="00C95F01">
              <w:rPr>
                <w:rFonts w:asciiTheme="minorHAnsi" w:hAnsiTheme="minorHAnsi" w:cstheme="minorHAnsi"/>
                <w:sz w:val="20"/>
                <w:szCs w:val="20"/>
              </w:rPr>
              <w:t>X</w:t>
            </w: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rsidRPr="00C95F01" w:rsidR="00574A0F" w:rsidRDefault="00606F36">
            <w:pPr>
              <w:jc w:val="center"/>
              <w:rPr>
                <w:rFonts w:asciiTheme="minorHAnsi" w:hAnsiTheme="minorHAnsi" w:cstheme="minorHAnsi"/>
                <w:sz w:val="20"/>
                <w:szCs w:val="20"/>
              </w:rPr>
            </w:pPr>
            <w:r w:rsidRPr="00C95F01">
              <w:rPr>
                <w:rFonts w:asciiTheme="minorHAnsi" w:hAnsiTheme="minorHAnsi" w:cstheme="minorHAnsi"/>
                <w:sz w:val="20"/>
                <w:szCs w:val="20"/>
              </w:rPr>
              <w:t xml:space="preserve"> </w:t>
            </w:r>
          </w:p>
        </w:tc>
      </w:tr>
      <w:tr w:rsidRPr="00C95F01" w:rsidR="00574A0F" w:rsidTr="00C95F01">
        <w:trPr>
          <w:trHeight w:val="349"/>
        </w:trPr>
        <w:tc>
          <w:tcPr>
            <w:tcW w:w="422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rsidRPr="00C95F01" w:rsidR="00574A0F" w:rsidRDefault="00606F36">
            <w:pPr>
              <w:rPr>
                <w:rFonts w:asciiTheme="minorHAnsi" w:hAnsiTheme="minorHAnsi" w:cstheme="minorHAnsi"/>
                <w:sz w:val="20"/>
                <w:szCs w:val="20"/>
              </w:rPr>
            </w:pPr>
            <w:r w:rsidRPr="00C95F01">
              <w:rPr>
                <w:rFonts w:asciiTheme="minorHAnsi" w:hAnsiTheme="minorHAnsi" w:cstheme="minorHAnsi"/>
                <w:sz w:val="20"/>
                <w:szCs w:val="20"/>
              </w:rPr>
              <w:t>10. Data Analysis and Evaluation</w:t>
            </w: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rsidRPr="00C95F01" w:rsidR="00574A0F" w:rsidRDefault="00606F36">
            <w:pPr>
              <w:jc w:val="center"/>
              <w:rPr>
                <w:rFonts w:asciiTheme="minorHAnsi" w:hAnsiTheme="minorHAnsi" w:cstheme="minorHAnsi"/>
                <w:sz w:val="20"/>
                <w:szCs w:val="20"/>
              </w:rPr>
            </w:pPr>
            <w:r w:rsidRPr="00C95F01">
              <w:rPr>
                <w:rFonts w:asciiTheme="minorHAnsi" w:hAnsiTheme="minorHAnsi" w:cstheme="minorHAnsi"/>
                <w:sz w:val="20"/>
                <w:szCs w:val="20"/>
              </w:rPr>
              <w:t xml:space="preserve"> </w:t>
            </w:r>
          </w:p>
        </w:tc>
        <w:tc>
          <w:tcPr>
            <w:tcW w:w="810" w:type="dxa"/>
            <w:tcBorders>
              <w:top w:val="nil"/>
              <w:left w:val="nil"/>
              <w:bottom w:val="single" w:color="000000" w:sz="8" w:space="0"/>
              <w:right w:val="single" w:color="000000" w:sz="8" w:space="0"/>
            </w:tcBorders>
            <w:tcMar>
              <w:top w:w="100" w:type="dxa"/>
              <w:left w:w="100" w:type="dxa"/>
              <w:bottom w:w="100" w:type="dxa"/>
              <w:right w:w="100" w:type="dxa"/>
            </w:tcMar>
          </w:tcPr>
          <w:p w:rsidRPr="00C95F01" w:rsidR="00574A0F" w:rsidRDefault="00606F36">
            <w:pPr>
              <w:jc w:val="center"/>
              <w:rPr>
                <w:rFonts w:asciiTheme="minorHAnsi" w:hAnsiTheme="minorHAnsi" w:cstheme="minorHAnsi"/>
                <w:sz w:val="20"/>
                <w:szCs w:val="20"/>
              </w:rPr>
            </w:pPr>
            <w:r w:rsidRPr="00C95F01">
              <w:rPr>
                <w:rFonts w:asciiTheme="minorHAnsi" w:hAnsiTheme="minorHAnsi" w:cstheme="minorHAnsi"/>
                <w:sz w:val="20"/>
                <w:szCs w:val="20"/>
              </w:rPr>
              <w:t xml:space="preserve"> </w:t>
            </w:r>
          </w:p>
        </w:tc>
        <w:tc>
          <w:tcPr>
            <w:tcW w:w="910" w:type="dxa"/>
            <w:tcBorders>
              <w:top w:val="nil"/>
              <w:left w:val="nil"/>
              <w:bottom w:val="single" w:color="000000" w:sz="8" w:space="0"/>
              <w:right w:val="single" w:color="000000" w:sz="8" w:space="0"/>
            </w:tcBorders>
            <w:tcMar>
              <w:top w:w="100" w:type="dxa"/>
              <w:left w:w="100" w:type="dxa"/>
              <w:bottom w:w="100" w:type="dxa"/>
              <w:right w:w="100" w:type="dxa"/>
            </w:tcMar>
          </w:tcPr>
          <w:p w:rsidRPr="00C95F01" w:rsidR="00574A0F" w:rsidRDefault="00606F36">
            <w:pPr>
              <w:jc w:val="center"/>
              <w:rPr>
                <w:rFonts w:asciiTheme="minorHAnsi" w:hAnsiTheme="minorHAnsi" w:cstheme="minorHAnsi"/>
                <w:sz w:val="20"/>
                <w:szCs w:val="20"/>
              </w:rPr>
            </w:pPr>
            <w:r w:rsidRPr="00C95F01">
              <w:rPr>
                <w:rFonts w:asciiTheme="minorHAnsi" w:hAnsiTheme="minorHAnsi" w:cstheme="minorHAnsi"/>
                <w:sz w:val="20"/>
                <w:szCs w:val="20"/>
              </w:rPr>
              <w:t xml:space="preserve"> </w:t>
            </w:r>
          </w:p>
        </w:tc>
        <w:tc>
          <w:tcPr>
            <w:tcW w:w="960" w:type="dxa"/>
            <w:tcBorders>
              <w:top w:val="nil"/>
              <w:left w:val="nil"/>
              <w:bottom w:val="single" w:color="000000" w:sz="8" w:space="0"/>
              <w:right w:val="single" w:color="000000" w:sz="8" w:space="0"/>
            </w:tcBorders>
            <w:tcMar>
              <w:top w:w="100" w:type="dxa"/>
              <w:left w:w="100" w:type="dxa"/>
              <w:bottom w:w="100" w:type="dxa"/>
              <w:right w:w="100" w:type="dxa"/>
            </w:tcMar>
          </w:tcPr>
          <w:p w:rsidRPr="00C95F01" w:rsidR="00574A0F" w:rsidRDefault="00606F36">
            <w:pPr>
              <w:jc w:val="center"/>
              <w:rPr>
                <w:rFonts w:asciiTheme="minorHAnsi" w:hAnsiTheme="minorHAnsi" w:cstheme="minorHAnsi"/>
                <w:sz w:val="20"/>
                <w:szCs w:val="20"/>
              </w:rPr>
            </w:pPr>
            <w:r w:rsidRPr="00C95F01">
              <w:rPr>
                <w:rFonts w:asciiTheme="minorHAnsi" w:hAnsiTheme="minorHAnsi" w:cstheme="minorHAnsi"/>
                <w:sz w:val="20"/>
                <w:szCs w:val="20"/>
              </w:rPr>
              <w:t xml:space="preserve"> </w:t>
            </w: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rsidRPr="00C95F01" w:rsidR="00574A0F" w:rsidRDefault="00606F36">
            <w:pPr>
              <w:jc w:val="center"/>
              <w:rPr>
                <w:rFonts w:asciiTheme="minorHAnsi" w:hAnsiTheme="minorHAnsi" w:cstheme="minorHAnsi"/>
                <w:sz w:val="20"/>
                <w:szCs w:val="20"/>
              </w:rPr>
            </w:pPr>
            <w:r w:rsidRPr="00C95F01">
              <w:rPr>
                <w:rFonts w:asciiTheme="minorHAnsi" w:hAnsiTheme="minorHAnsi" w:cstheme="minorHAnsi"/>
                <w:sz w:val="20"/>
                <w:szCs w:val="20"/>
              </w:rPr>
              <w:t>X</w:t>
            </w:r>
          </w:p>
        </w:tc>
      </w:tr>
      <w:tr w:rsidRPr="00C95F01" w:rsidR="00574A0F" w:rsidTr="00C95F01">
        <w:trPr>
          <w:trHeight w:val="601"/>
        </w:trPr>
        <w:tc>
          <w:tcPr>
            <w:tcW w:w="422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rsidRPr="00C95F01" w:rsidR="00574A0F" w:rsidRDefault="00606F36">
            <w:pPr>
              <w:rPr>
                <w:rFonts w:asciiTheme="minorHAnsi" w:hAnsiTheme="minorHAnsi" w:cstheme="minorHAnsi"/>
                <w:sz w:val="20"/>
                <w:szCs w:val="20"/>
              </w:rPr>
            </w:pPr>
            <w:r w:rsidRPr="00C95F01">
              <w:rPr>
                <w:rFonts w:asciiTheme="minorHAnsi" w:hAnsiTheme="minorHAnsi" w:cstheme="minorHAnsi"/>
                <w:sz w:val="20"/>
                <w:szCs w:val="20"/>
              </w:rPr>
              <w:t>11. Documentation and Evaluation of Experimental design, survey system.</w:t>
            </w: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rsidRPr="00C95F01" w:rsidR="00574A0F" w:rsidRDefault="00606F36">
            <w:pPr>
              <w:jc w:val="center"/>
              <w:rPr>
                <w:rFonts w:asciiTheme="minorHAnsi" w:hAnsiTheme="minorHAnsi" w:cstheme="minorHAnsi"/>
                <w:sz w:val="20"/>
                <w:szCs w:val="20"/>
              </w:rPr>
            </w:pPr>
            <w:r w:rsidRPr="00C95F01">
              <w:rPr>
                <w:rFonts w:asciiTheme="minorHAnsi" w:hAnsiTheme="minorHAnsi" w:cstheme="minorHAnsi"/>
                <w:sz w:val="20"/>
                <w:szCs w:val="20"/>
              </w:rPr>
              <w:t xml:space="preserve"> </w:t>
            </w:r>
          </w:p>
        </w:tc>
        <w:tc>
          <w:tcPr>
            <w:tcW w:w="810" w:type="dxa"/>
            <w:tcBorders>
              <w:top w:val="nil"/>
              <w:left w:val="nil"/>
              <w:bottom w:val="single" w:color="000000" w:sz="8" w:space="0"/>
              <w:right w:val="single" w:color="000000" w:sz="8" w:space="0"/>
            </w:tcBorders>
            <w:tcMar>
              <w:top w:w="100" w:type="dxa"/>
              <w:left w:w="100" w:type="dxa"/>
              <w:bottom w:w="100" w:type="dxa"/>
              <w:right w:w="100" w:type="dxa"/>
            </w:tcMar>
          </w:tcPr>
          <w:p w:rsidRPr="00C95F01" w:rsidR="00574A0F" w:rsidRDefault="00606F36">
            <w:pPr>
              <w:jc w:val="center"/>
              <w:rPr>
                <w:rFonts w:asciiTheme="minorHAnsi" w:hAnsiTheme="minorHAnsi" w:cstheme="minorHAnsi"/>
                <w:sz w:val="20"/>
                <w:szCs w:val="20"/>
              </w:rPr>
            </w:pPr>
            <w:r w:rsidRPr="00C95F01">
              <w:rPr>
                <w:rFonts w:asciiTheme="minorHAnsi" w:hAnsiTheme="minorHAnsi" w:cstheme="minorHAnsi"/>
                <w:sz w:val="20"/>
                <w:szCs w:val="20"/>
              </w:rPr>
              <w:t xml:space="preserve"> </w:t>
            </w:r>
          </w:p>
        </w:tc>
        <w:tc>
          <w:tcPr>
            <w:tcW w:w="910" w:type="dxa"/>
            <w:tcBorders>
              <w:top w:val="nil"/>
              <w:left w:val="nil"/>
              <w:bottom w:val="single" w:color="000000" w:sz="8" w:space="0"/>
              <w:right w:val="single" w:color="000000" w:sz="8" w:space="0"/>
            </w:tcBorders>
            <w:tcMar>
              <w:top w:w="100" w:type="dxa"/>
              <w:left w:w="100" w:type="dxa"/>
              <w:bottom w:w="100" w:type="dxa"/>
              <w:right w:w="100" w:type="dxa"/>
            </w:tcMar>
          </w:tcPr>
          <w:p w:rsidRPr="00C95F01" w:rsidR="00574A0F" w:rsidRDefault="00606F36">
            <w:pPr>
              <w:jc w:val="center"/>
              <w:rPr>
                <w:rFonts w:asciiTheme="minorHAnsi" w:hAnsiTheme="minorHAnsi" w:cstheme="minorHAnsi"/>
                <w:sz w:val="20"/>
                <w:szCs w:val="20"/>
              </w:rPr>
            </w:pPr>
            <w:r w:rsidRPr="00C95F01">
              <w:rPr>
                <w:rFonts w:asciiTheme="minorHAnsi" w:hAnsiTheme="minorHAnsi" w:cstheme="minorHAnsi"/>
                <w:sz w:val="20"/>
                <w:szCs w:val="20"/>
              </w:rPr>
              <w:t xml:space="preserve"> </w:t>
            </w:r>
          </w:p>
        </w:tc>
        <w:tc>
          <w:tcPr>
            <w:tcW w:w="960" w:type="dxa"/>
            <w:tcBorders>
              <w:top w:val="nil"/>
              <w:left w:val="nil"/>
              <w:bottom w:val="single" w:color="000000" w:sz="8" w:space="0"/>
              <w:right w:val="single" w:color="000000" w:sz="8" w:space="0"/>
            </w:tcBorders>
            <w:tcMar>
              <w:top w:w="100" w:type="dxa"/>
              <w:left w:w="100" w:type="dxa"/>
              <w:bottom w:w="100" w:type="dxa"/>
              <w:right w:w="100" w:type="dxa"/>
            </w:tcMar>
          </w:tcPr>
          <w:p w:rsidRPr="00C95F01" w:rsidR="00574A0F" w:rsidRDefault="00606F36">
            <w:pPr>
              <w:jc w:val="center"/>
              <w:rPr>
                <w:rFonts w:asciiTheme="minorHAnsi" w:hAnsiTheme="minorHAnsi" w:cstheme="minorHAnsi"/>
                <w:sz w:val="20"/>
                <w:szCs w:val="20"/>
              </w:rPr>
            </w:pPr>
            <w:r w:rsidRPr="00C95F01">
              <w:rPr>
                <w:rFonts w:asciiTheme="minorHAnsi" w:hAnsiTheme="minorHAnsi" w:cstheme="minorHAnsi"/>
                <w:sz w:val="20"/>
                <w:szCs w:val="20"/>
              </w:rPr>
              <w:t xml:space="preserve"> </w:t>
            </w: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rsidRPr="00C95F01" w:rsidR="00574A0F" w:rsidRDefault="00606F36">
            <w:pPr>
              <w:jc w:val="center"/>
              <w:rPr>
                <w:rFonts w:asciiTheme="minorHAnsi" w:hAnsiTheme="minorHAnsi" w:cstheme="minorHAnsi"/>
                <w:sz w:val="20"/>
                <w:szCs w:val="20"/>
              </w:rPr>
            </w:pPr>
            <w:r w:rsidRPr="00C95F01">
              <w:rPr>
                <w:rFonts w:asciiTheme="minorHAnsi" w:hAnsiTheme="minorHAnsi" w:cstheme="minorHAnsi"/>
                <w:sz w:val="20"/>
                <w:szCs w:val="20"/>
              </w:rPr>
              <w:t>X</w:t>
            </w:r>
          </w:p>
        </w:tc>
      </w:tr>
      <w:tr w:rsidRPr="00C95F01" w:rsidR="00574A0F" w:rsidTr="00C95F01">
        <w:trPr>
          <w:trHeight w:val="529"/>
        </w:trPr>
        <w:tc>
          <w:tcPr>
            <w:tcW w:w="422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rsidRPr="00C95F01" w:rsidR="00574A0F" w:rsidRDefault="00606F36">
            <w:pPr>
              <w:rPr>
                <w:rFonts w:asciiTheme="minorHAnsi" w:hAnsiTheme="minorHAnsi" w:cstheme="minorHAnsi"/>
                <w:sz w:val="20"/>
                <w:szCs w:val="20"/>
              </w:rPr>
            </w:pPr>
            <w:r w:rsidRPr="00C95F01">
              <w:rPr>
                <w:rFonts w:asciiTheme="minorHAnsi" w:hAnsiTheme="minorHAnsi" w:cstheme="minorHAnsi"/>
                <w:sz w:val="20"/>
                <w:szCs w:val="20"/>
              </w:rPr>
              <w:t>12 Publications, conference presentations (AMS, NWA)</w:t>
            </w: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rsidRPr="00C95F01" w:rsidR="00574A0F" w:rsidRDefault="00606F36">
            <w:pPr>
              <w:jc w:val="center"/>
              <w:rPr>
                <w:rFonts w:asciiTheme="minorHAnsi" w:hAnsiTheme="minorHAnsi" w:cstheme="minorHAnsi"/>
                <w:sz w:val="20"/>
                <w:szCs w:val="20"/>
              </w:rPr>
            </w:pPr>
            <w:r w:rsidRPr="00C95F01">
              <w:rPr>
                <w:rFonts w:asciiTheme="minorHAnsi" w:hAnsiTheme="minorHAnsi" w:cstheme="minorHAnsi"/>
                <w:sz w:val="20"/>
                <w:szCs w:val="20"/>
              </w:rPr>
              <w:t xml:space="preserve"> </w:t>
            </w:r>
          </w:p>
        </w:tc>
        <w:tc>
          <w:tcPr>
            <w:tcW w:w="810" w:type="dxa"/>
            <w:tcBorders>
              <w:top w:val="nil"/>
              <w:left w:val="nil"/>
              <w:bottom w:val="single" w:color="000000" w:sz="8" w:space="0"/>
              <w:right w:val="single" w:color="000000" w:sz="8" w:space="0"/>
            </w:tcBorders>
            <w:tcMar>
              <w:top w:w="100" w:type="dxa"/>
              <w:left w:w="100" w:type="dxa"/>
              <w:bottom w:w="100" w:type="dxa"/>
              <w:right w:w="100" w:type="dxa"/>
            </w:tcMar>
          </w:tcPr>
          <w:p w:rsidRPr="00C95F01" w:rsidR="00574A0F" w:rsidRDefault="00606F36">
            <w:pPr>
              <w:jc w:val="center"/>
              <w:rPr>
                <w:rFonts w:asciiTheme="minorHAnsi" w:hAnsiTheme="minorHAnsi" w:cstheme="minorHAnsi"/>
                <w:sz w:val="20"/>
                <w:szCs w:val="20"/>
              </w:rPr>
            </w:pPr>
            <w:r w:rsidRPr="00C95F01">
              <w:rPr>
                <w:rFonts w:asciiTheme="minorHAnsi" w:hAnsiTheme="minorHAnsi" w:cstheme="minorHAnsi"/>
                <w:sz w:val="20"/>
                <w:szCs w:val="20"/>
              </w:rPr>
              <w:t xml:space="preserve"> </w:t>
            </w:r>
          </w:p>
        </w:tc>
        <w:tc>
          <w:tcPr>
            <w:tcW w:w="910" w:type="dxa"/>
            <w:tcBorders>
              <w:top w:val="nil"/>
              <w:left w:val="nil"/>
              <w:bottom w:val="single" w:color="000000" w:sz="8" w:space="0"/>
              <w:right w:val="single" w:color="000000" w:sz="8" w:space="0"/>
            </w:tcBorders>
            <w:tcMar>
              <w:top w:w="100" w:type="dxa"/>
              <w:left w:w="100" w:type="dxa"/>
              <w:bottom w:w="100" w:type="dxa"/>
              <w:right w:w="100" w:type="dxa"/>
            </w:tcMar>
          </w:tcPr>
          <w:p w:rsidRPr="00C95F01" w:rsidR="00574A0F" w:rsidRDefault="00606F36">
            <w:pPr>
              <w:jc w:val="center"/>
              <w:rPr>
                <w:rFonts w:asciiTheme="minorHAnsi" w:hAnsiTheme="minorHAnsi" w:cstheme="minorHAnsi"/>
                <w:sz w:val="20"/>
                <w:szCs w:val="20"/>
              </w:rPr>
            </w:pPr>
            <w:r w:rsidRPr="00C95F01">
              <w:rPr>
                <w:rFonts w:asciiTheme="minorHAnsi" w:hAnsiTheme="minorHAnsi" w:cstheme="minorHAnsi"/>
                <w:sz w:val="20"/>
                <w:szCs w:val="20"/>
              </w:rPr>
              <w:t xml:space="preserve"> </w:t>
            </w:r>
          </w:p>
        </w:tc>
        <w:tc>
          <w:tcPr>
            <w:tcW w:w="960" w:type="dxa"/>
            <w:tcBorders>
              <w:top w:val="nil"/>
              <w:left w:val="nil"/>
              <w:bottom w:val="single" w:color="000000" w:sz="8" w:space="0"/>
              <w:right w:val="single" w:color="000000" w:sz="8" w:space="0"/>
            </w:tcBorders>
            <w:tcMar>
              <w:top w:w="100" w:type="dxa"/>
              <w:left w:w="100" w:type="dxa"/>
              <w:bottom w:w="100" w:type="dxa"/>
              <w:right w:w="100" w:type="dxa"/>
            </w:tcMar>
          </w:tcPr>
          <w:p w:rsidRPr="00C95F01" w:rsidR="00574A0F" w:rsidRDefault="00606F36">
            <w:pPr>
              <w:jc w:val="center"/>
              <w:rPr>
                <w:rFonts w:asciiTheme="minorHAnsi" w:hAnsiTheme="minorHAnsi" w:cstheme="minorHAnsi"/>
                <w:sz w:val="20"/>
                <w:szCs w:val="20"/>
              </w:rPr>
            </w:pPr>
            <w:r w:rsidRPr="00C95F01">
              <w:rPr>
                <w:rFonts w:asciiTheme="minorHAnsi" w:hAnsiTheme="minorHAnsi" w:cstheme="minorHAnsi"/>
                <w:sz w:val="20"/>
                <w:szCs w:val="20"/>
              </w:rPr>
              <w:t>X</w:t>
            </w: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rsidRPr="00C95F01" w:rsidR="00574A0F" w:rsidRDefault="00606F36">
            <w:pPr>
              <w:jc w:val="center"/>
              <w:rPr>
                <w:rFonts w:asciiTheme="minorHAnsi" w:hAnsiTheme="minorHAnsi" w:cstheme="minorHAnsi"/>
                <w:sz w:val="20"/>
                <w:szCs w:val="20"/>
              </w:rPr>
            </w:pPr>
            <w:r w:rsidRPr="00C95F01">
              <w:rPr>
                <w:rFonts w:asciiTheme="minorHAnsi" w:hAnsiTheme="minorHAnsi" w:cstheme="minorHAnsi"/>
                <w:sz w:val="20"/>
                <w:szCs w:val="20"/>
              </w:rPr>
              <w:t>X</w:t>
            </w:r>
          </w:p>
        </w:tc>
      </w:tr>
    </w:tbl>
    <w:p w:rsidR="00574A0F" w:rsidRDefault="00574A0F">
      <w:pPr>
        <w:pBdr>
          <w:top w:val="nil"/>
          <w:left w:val="nil"/>
          <w:bottom w:val="nil"/>
          <w:right w:val="nil"/>
          <w:between w:val="nil"/>
        </w:pBdr>
        <w:spacing w:before="160"/>
        <w:rPr>
          <w:color w:val="2F5496"/>
        </w:rPr>
      </w:pPr>
    </w:p>
    <w:p w:rsidR="00574A0F" w:rsidRDefault="00606F36">
      <w:pPr>
        <w:pBdr>
          <w:top w:val="nil"/>
          <w:left w:val="nil"/>
          <w:bottom w:val="nil"/>
          <w:right w:val="nil"/>
          <w:between w:val="nil"/>
        </w:pBdr>
        <w:tabs>
          <w:tab w:val="left" w:pos="360"/>
        </w:tabs>
        <w:spacing w:before="80"/>
        <w:rPr>
          <w:b/>
          <w:color w:val="000000"/>
        </w:rPr>
      </w:pPr>
      <w:r>
        <w:rPr>
          <w:b/>
        </w:rPr>
        <w:t xml:space="preserve">17. </w:t>
      </w:r>
      <w:r>
        <w:rPr>
          <w:b/>
          <w:color w:val="000000"/>
        </w:rPr>
        <w:t>If seeking approval to not display the expiration date for OMB approval of the information collection, explain the reasons that display would be inappropriate.</w:t>
      </w:r>
    </w:p>
    <w:p w:rsidR="00574A0F" w:rsidRDefault="00606F36">
      <w:pPr>
        <w:spacing w:before="161"/>
        <w:rPr>
          <w:i/>
        </w:rPr>
      </w:pPr>
      <w:r>
        <w:t>The expiration date will be displayed on all application forms.</w:t>
      </w:r>
    </w:p>
    <w:p w:rsidR="00574A0F" w:rsidRDefault="00574A0F">
      <w:pPr>
        <w:spacing w:before="161"/>
        <w:rPr>
          <w:i/>
        </w:rPr>
      </w:pPr>
    </w:p>
    <w:p w:rsidR="00574A0F" w:rsidRDefault="00606F36">
      <w:pPr>
        <w:pBdr>
          <w:top w:val="nil"/>
          <w:left w:val="nil"/>
          <w:bottom w:val="nil"/>
          <w:right w:val="nil"/>
          <w:between w:val="nil"/>
        </w:pBdr>
        <w:tabs>
          <w:tab w:val="left" w:pos="360"/>
        </w:tabs>
        <w:spacing w:before="80"/>
        <w:rPr>
          <w:b/>
          <w:color w:val="000000"/>
        </w:rPr>
      </w:pPr>
      <w:r>
        <w:rPr>
          <w:b/>
        </w:rPr>
        <w:t xml:space="preserve">18. </w:t>
      </w:r>
      <w:r>
        <w:rPr>
          <w:b/>
          <w:color w:val="000000"/>
        </w:rPr>
        <w:t>Explain each exception to the certification statement identified in “Certification for Paperwork Reduction Act Submissions."</w:t>
      </w:r>
    </w:p>
    <w:p w:rsidR="00574A0F" w:rsidP="00560A91" w:rsidRDefault="00560A91">
      <w:pPr>
        <w:spacing w:before="221" w:line="259" w:lineRule="auto"/>
        <w:rPr>
          <w:color w:val="1F497D"/>
        </w:rPr>
      </w:pPr>
      <w:bookmarkStart w:name="_heading=h.gjdgxs" w:colFirst="0" w:colLast="0" w:id="1"/>
      <w:bookmarkEnd w:id="1"/>
      <w:r>
        <w:rPr>
          <w:color w:val="000000"/>
        </w:rPr>
        <w:t xml:space="preserve">The agency certifies compliance with </w:t>
      </w:r>
      <w:hyperlink w:history="1" r:id="rId8">
        <w:r>
          <w:rPr>
            <w:rStyle w:val="Hyperlink"/>
            <w:color w:val="0563C1"/>
          </w:rPr>
          <w:t xml:space="preserve">5 CFR 1320.9 </w:t>
        </w:r>
      </w:hyperlink>
      <w:r>
        <w:rPr>
          <w:color w:val="000000"/>
        </w:rPr>
        <w:t xml:space="preserve">and the related provisions of </w:t>
      </w:r>
      <w:hyperlink w:history="1" r:id="rId9">
        <w:r>
          <w:rPr>
            <w:rStyle w:val="Hyperlink"/>
            <w:color w:val="0563C1"/>
          </w:rPr>
          <w:t>5 CFR</w:t>
        </w:r>
      </w:hyperlink>
      <w:r>
        <w:rPr>
          <w:color w:val="0563C1"/>
        </w:rPr>
        <w:t xml:space="preserve"> </w:t>
      </w:r>
      <w:hyperlink w:history="1" r:id="rId10">
        <w:r>
          <w:rPr>
            <w:rStyle w:val="Hyperlink"/>
            <w:color w:val="0563C1"/>
          </w:rPr>
          <w:t>1320.8(b</w:t>
        </w:r>
        <w:proofErr w:type="gramStart"/>
        <w:r>
          <w:rPr>
            <w:rStyle w:val="Hyperlink"/>
            <w:color w:val="0563C1"/>
          </w:rPr>
          <w:t>)(</w:t>
        </w:r>
        <w:proofErr w:type="gramEnd"/>
        <w:r>
          <w:rPr>
            <w:rStyle w:val="Hyperlink"/>
            <w:color w:val="0563C1"/>
          </w:rPr>
          <w:t>3)</w:t>
        </w:r>
      </w:hyperlink>
      <w:r>
        <w:rPr>
          <w:color w:val="000000"/>
        </w:rPr>
        <w:t>.</w:t>
      </w:r>
    </w:p>
    <w:sectPr w:rsidR="00574A0F">
      <w:pgSz w:w="12240" w:h="15840"/>
      <w:pgMar w:top="640" w:right="1080" w:bottom="1200" w:left="1080" w:header="0" w:footer="10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A0F"/>
    <w:rsid w:val="001A0D5C"/>
    <w:rsid w:val="002D3857"/>
    <w:rsid w:val="00560A91"/>
    <w:rsid w:val="00574A0F"/>
    <w:rsid w:val="00606F36"/>
    <w:rsid w:val="006E3E69"/>
    <w:rsid w:val="0080496E"/>
    <w:rsid w:val="00A75451"/>
    <w:rsid w:val="00A960A5"/>
    <w:rsid w:val="00C95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1D0E5"/>
  <w15:docId w15:val="{AF9BC2DC-F9B9-4CE7-85B9-18DCF92CA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80"/>
      <w:ind w:left="400"/>
      <w:outlineLvl w:val="0"/>
    </w:pPr>
    <w:rPr>
      <w:b/>
      <w:bC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gpo.gov/fdsys/pkg/CFR-2014-title5-vol3/pdf/CFR-2014-title5-vol3-sec1320-9.pdf" TargetMode="External"/><Relationship Id="rId3" Type="http://schemas.openxmlformats.org/officeDocument/2006/relationships/settings" Target="settings.xml"/><Relationship Id="rId7" Type="http://schemas.openxmlformats.org/officeDocument/2006/relationships/hyperlink" Target="https://www.federalregister.gov/documents/2021/09/22/2021-20513/agency-information-collection-activities-submission-to-the-office-of-management-and-budget-omb-fo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nrc.noaa.gov/LinkClick.aspx?fileticket=z4iHSl3P4KY%3d&amp;amp;portalid=0" TargetMode="External"/><Relationship Id="rId11" Type="http://schemas.openxmlformats.org/officeDocument/2006/relationships/fontTable" Target="fontTable.xml"/><Relationship Id="rId5" Type="http://schemas.openxmlformats.org/officeDocument/2006/relationships/hyperlink" Target="https://www.congress.gov/bill/115th-congress/house-bill/353/text" TargetMode="External"/><Relationship Id="rId10" Type="http://schemas.openxmlformats.org/officeDocument/2006/relationships/hyperlink" Target="http://www.gpo.gov/fdsys/pkg/CFR-2014-title5-vol3/pdf/CFR-2014-title5-vol3-sec1320-8.pdf" TargetMode="External"/><Relationship Id="rId4" Type="http://schemas.openxmlformats.org/officeDocument/2006/relationships/webSettings" Target="webSettings.xml"/><Relationship Id="rId9" Type="http://schemas.openxmlformats.org/officeDocument/2006/relationships/hyperlink" Target="http://www.gpo.gov/fdsys/pkg/CFR-2014-title5-vol3/pdf/CFR-2014-title5-vol3-sec132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BZdmoAqn8bkOYwQfjZsgQjJXHvQ==">AMUW2mWb3oTdMbpxO6t/eoXNJ7L+w/RrdeCjdq7pdkZ50Qb9ITJAbDlJvxLE3ICRojd8JeYtbbFyZKZxkImu5culIpwlfNxEEmsbNXw1Hcac4R27DQTe82oENoYklgzYSCnsmcAxbbxp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7</Pages>
  <Words>2746</Words>
  <Characters>15657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Adrienne.Thomas</cp:lastModifiedBy>
  <cp:revision>7</cp:revision>
  <dcterms:created xsi:type="dcterms:W3CDTF">2022-03-08T15:57:00Z</dcterms:created>
  <dcterms:modified xsi:type="dcterms:W3CDTF">2022-03-08T16:52:00Z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