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701E8" w:rsidR="007C7C2F" w:rsidP="000E3B00" w:rsidRDefault="007C7C2F" w14:paraId="3A32D3F9" w14:textId="77777777">
      <w:pPr>
        <w:jc w:val="center"/>
        <w:rPr>
          <w:b/>
        </w:rPr>
      </w:pPr>
      <w:bookmarkStart w:name="_GoBack" w:id="0"/>
      <w:bookmarkEnd w:id="0"/>
      <w:r w:rsidRPr="00B701E8">
        <w:rPr>
          <w:b/>
        </w:rPr>
        <w:t>SUPPORTING STATEMENT</w:t>
      </w:r>
    </w:p>
    <w:p w:rsidRPr="00B701E8" w:rsidR="007C7C2F" w:rsidP="000E3B00" w:rsidRDefault="007C7C2F" w14:paraId="4AFAD8A4" w14:textId="77777777">
      <w:pPr>
        <w:jc w:val="center"/>
        <w:rPr>
          <w:b/>
        </w:rPr>
      </w:pPr>
      <w:r w:rsidRPr="00B701E8">
        <w:rPr>
          <w:b/>
        </w:rPr>
        <w:t>U.S. Department of Commerce</w:t>
      </w:r>
    </w:p>
    <w:p w:rsidRPr="00B701E8" w:rsidR="007C7C2F" w:rsidP="000E3B00" w:rsidRDefault="007C7C2F" w14:paraId="1455D59C" w14:textId="77777777">
      <w:pPr>
        <w:jc w:val="center"/>
        <w:rPr>
          <w:b/>
        </w:rPr>
      </w:pPr>
      <w:r w:rsidRPr="00B701E8">
        <w:rPr>
          <w:b/>
        </w:rPr>
        <w:t>National Oceanic &amp; Atmospheric Administration</w:t>
      </w:r>
    </w:p>
    <w:p w:rsidR="007C7C2F" w:rsidP="000E3B00" w:rsidRDefault="007C7C2F" w14:paraId="3BF086D5" w14:textId="0951695D">
      <w:pPr>
        <w:jc w:val="center"/>
        <w:rPr>
          <w:b/>
        </w:rPr>
      </w:pPr>
      <w:r>
        <w:rPr>
          <w:b/>
        </w:rPr>
        <w:t>West Coast Region Pacific Tuna Fisheries Logbook, Fish Aggregating</w:t>
      </w:r>
    </w:p>
    <w:p w:rsidRPr="00B701E8" w:rsidR="007C7C2F" w:rsidP="000E3B00" w:rsidRDefault="007C7C2F" w14:paraId="1343B861" w14:textId="61E71324">
      <w:pPr>
        <w:jc w:val="center"/>
        <w:rPr>
          <w:b/>
        </w:rPr>
      </w:pPr>
      <w:r>
        <w:rPr>
          <w:b/>
        </w:rPr>
        <w:t>Device Form, and Observer Safety Reporting</w:t>
      </w:r>
    </w:p>
    <w:p w:rsidRPr="00B701E8" w:rsidR="007C7C2F" w:rsidP="000E3B00" w:rsidRDefault="007C7C2F" w14:paraId="157165F5" w14:textId="6D40098A">
      <w:pPr>
        <w:jc w:val="center"/>
        <w:rPr>
          <w:b/>
        </w:rPr>
      </w:pPr>
      <w:r w:rsidRPr="00B701E8">
        <w:rPr>
          <w:b/>
        </w:rPr>
        <w:t>OMB Control No. 0648-</w:t>
      </w:r>
      <w:r>
        <w:rPr>
          <w:b/>
        </w:rPr>
        <w:t>0148</w:t>
      </w:r>
    </w:p>
    <w:p w:rsidR="00891A0E" w:rsidP="007C7C2F" w:rsidRDefault="00891A0E" w14:paraId="29B10FDE" w14:textId="77777777"/>
    <w:p w:rsidRPr="00D81017" w:rsidR="00891A0E" w:rsidP="007C7C2F" w:rsidRDefault="00D81017" w14:paraId="775566A0" w14:textId="3FB1D7E1">
      <w:pPr>
        <w:tabs>
          <w:tab w:val="left" w:pos="-1440"/>
        </w:tabs>
        <w:ind w:left="720" w:hanging="720"/>
        <w:rPr>
          <w:b/>
        </w:rPr>
      </w:pPr>
      <w:r w:rsidRPr="00D81017">
        <w:rPr>
          <w:b/>
        </w:rPr>
        <w:t>Abstract</w:t>
      </w:r>
    </w:p>
    <w:p w:rsidR="00D81017" w:rsidP="00D81017" w:rsidRDefault="00D81017" w14:paraId="22979A6F" w14:textId="77777777">
      <w:pPr>
        <w:widowControl/>
        <w:pBdr>
          <w:top w:val="nil"/>
          <w:left w:val="nil"/>
          <w:bottom w:val="nil"/>
          <w:right w:val="nil"/>
          <w:between w:val="nil"/>
        </w:pBdr>
        <w:rPr>
          <w:color w:val="000000"/>
        </w:rPr>
      </w:pPr>
      <w:r>
        <w:rPr>
          <w:color w:val="000000"/>
        </w:rPr>
        <w:t>This request is for a revision of a currently approved collection of information.  The revisions are a result of a proposed rule (RIN:</w:t>
      </w:r>
      <w:r w:rsidRPr="00D933A8">
        <w:rPr>
          <w:color w:val="000000"/>
        </w:rPr>
        <w:t xml:space="preserve"> </w:t>
      </w:r>
      <w:r w:rsidRPr="00D933A8">
        <w:rPr>
          <w:bCs/>
          <w:color w:val="000000"/>
        </w:rPr>
        <w:t>0648-BK84</w:t>
      </w:r>
      <w:r>
        <w:rPr>
          <w:b/>
          <w:bCs/>
          <w:color w:val="000000"/>
        </w:rPr>
        <w:t xml:space="preserve">) </w:t>
      </w:r>
      <w:r w:rsidRPr="00D933A8">
        <w:rPr>
          <w:color w:val="000000"/>
        </w:rPr>
        <w:t xml:space="preserve">under the Tuna Conventions Act (TCA) of 1950, as amended, to implement </w:t>
      </w:r>
      <w:r>
        <w:rPr>
          <w:color w:val="000000"/>
        </w:rPr>
        <w:t xml:space="preserve">a </w:t>
      </w:r>
      <w:r w:rsidRPr="00D933A8">
        <w:rPr>
          <w:color w:val="000000"/>
        </w:rPr>
        <w:t>Resolution C-21-04 (</w:t>
      </w:r>
      <w:r w:rsidRPr="00D933A8">
        <w:rPr>
          <w:i/>
          <w:iCs/>
          <w:color w:val="000000"/>
        </w:rPr>
        <w:t>Conservation Measures for Tropical Tunas in the Eastern Pacific Ocean During 2022-2024</w:t>
      </w:r>
      <w:r w:rsidRPr="00D933A8">
        <w:rPr>
          <w:color w:val="000000"/>
        </w:rPr>
        <w:t>) adopted at the Resumed 98</w:t>
      </w:r>
      <w:r w:rsidRPr="00D933A8">
        <w:rPr>
          <w:color w:val="000000"/>
          <w:vertAlign w:val="superscript"/>
        </w:rPr>
        <w:t>th</w:t>
      </w:r>
      <w:r w:rsidRPr="00D933A8">
        <w:rPr>
          <w:color w:val="000000"/>
        </w:rPr>
        <w:t xml:space="preserve"> Meeting of the Inter-American Tropical Tuna Commission (IATTC) in October 2021. </w:t>
      </w:r>
      <w:r>
        <w:rPr>
          <w:color w:val="000000"/>
        </w:rPr>
        <w:t>The proposed rule would require additional reporting for satellite buoys attached to FADs as well as reporting of cannery data to IATTC a</w:t>
      </w:r>
      <w:r w:rsidRPr="008B35F3">
        <w:rPr>
          <w:color w:val="000000"/>
        </w:rPr>
        <w:t xml:space="preserve">nd also make available to NMFS upon request no later than 10 days after completion of unloading and </w:t>
      </w:r>
      <w:r>
        <w:rPr>
          <w:color w:val="000000"/>
        </w:rPr>
        <w:t>the last day of grading by size</w:t>
      </w:r>
      <w:r w:rsidRPr="008B35F3">
        <w:rPr>
          <w:color w:val="000000"/>
        </w:rPr>
        <w:t>.</w:t>
      </w:r>
      <w:r>
        <w:rPr>
          <w:color w:val="000000"/>
        </w:rPr>
        <w:t xml:space="preserve"> </w:t>
      </w:r>
    </w:p>
    <w:p w:rsidRPr="00D81017" w:rsidR="00D81017" w:rsidP="007C7C2F" w:rsidRDefault="00D81017" w14:paraId="24B39B59" w14:textId="195B592F">
      <w:pPr>
        <w:tabs>
          <w:tab w:val="left" w:pos="-1440"/>
        </w:tabs>
        <w:ind w:left="720" w:hanging="720"/>
        <w:rPr>
          <w:b/>
        </w:rPr>
      </w:pPr>
    </w:p>
    <w:p w:rsidRPr="00D81017" w:rsidR="00891A0E" w:rsidP="00D81017" w:rsidRDefault="00D81017" w14:paraId="224EF1A0" w14:textId="4BBD4A01">
      <w:pPr>
        <w:tabs>
          <w:tab w:val="left" w:pos="-1440"/>
        </w:tabs>
        <w:ind w:left="720" w:hanging="720"/>
        <w:rPr>
          <w:b/>
        </w:rPr>
      </w:pPr>
      <w:r w:rsidRPr="00D81017">
        <w:rPr>
          <w:b/>
        </w:rPr>
        <w:t>Justification</w:t>
      </w:r>
    </w:p>
    <w:p w:rsidRPr="00D81017" w:rsidR="00891A0E" w:rsidP="00D81017" w:rsidRDefault="00DA6050" w14:paraId="4998575F" w14:textId="16085CC3">
      <w:pPr>
        <w:pStyle w:val="ListParagraph"/>
        <w:tabs>
          <w:tab w:val="left" w:pos="360"/>
        </w:tabs>
        <w:spacing w:before="182" w:line="259" w:lineRule="auto"/>
        <w:ind w:left="0" w:firstLine="0"/>
        <w:rPr>
          <w:rFonts w:ascii="Times New Roman" w:hAnsi="Times New Roman" w:cs="Times New Roman"/>
          <w:b/>
          <w:sz w:val="24"/>
          <w:szCs w:val="24"/>
        </w:rPr>
      </w:pPr>
      <w:r>
        <w:rPr>
          <w:b/>
        </w:rPr>
        <w:t xml:space="preserve">1.  </w:t>
      </w:r>
      <w:r w:rsidRPr="00BD7237" w:rsidR="00D81017">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D81017" w:rsidR="00891A0E" w:rsidP="00D81017" w:rsidRDefault="00891A0E" w14:paraId="2B54FE8C" w14:textId="393098BF">
      <w:pPr>
        <w:widowControl/>
        <w:pBdr>
          <w:top w:val="nil"/>
          <w:left w:val="nil"/>
          <w:bottom w:val="nil"/>
          <w:right w:val="nil"/>
          <w:between w:val="nil"/>
        </w:pBdr>
        <w:shd w:val="clear" w:color="auto" w:fill="FFFFFF"/>
        <w:rPr>
          <w:i/>
          <w:color w:val="222222"/>
        </w:rPr>
      </w:pPr>
    </w:p>
    <w:p w:rsidR="00891A0E" w:rsidP="007C7C2F" w:rsidRDefault="00DA6050" w14:paraId="76B609FD" w14:textId="5C10AC4B">
      <w:pPr>
        <w:widowControl/>
        <w:pBdr>
          <w:top w:val="nil"/>
          <w:left w:val="nil"/>
          <w:bottom w:val="nil"/>
          <w:right w:val="nil"/>
          <w:between w:val="nil"/>
        </w:pBdr>
        <w:rPr>
          <w:color w:val="000000"/>
        </w:rPr>
      </w:pPr>
      <w:bookmarkStart w:name="_gjdgxs" w:colFirst="0" w:colLast="0" w:id="1"/>
      <w:bookmarkEnd w:id="1"/>
      <w:r>
        <w:rPr>
          <w:color w:val="000000"/>
        </w:rPr>
        <w:t>The United States’ (U.S.) participation in the IATTC results in certain record keeping requirements for U.S. vessel owners and operators who fish in the IATTC’s area of management responsibility.  Under Federal regulations (</w:t>
      </w:r>
      <w:hyperlink r:id="rId8">
        <w:r>
          <w:rPr>
            <w:color w:val="0079A4"/>
            <w:u w:val="single"/>
          </w:rPr>
          <w:t>50 CFR Part 300 Subpart C</w:t>
        </w:r>
      </w:hyperlink>
      <w:r>
        <w:rPr>
          <w:color w:val="000000"/>
        </w:rPr>
        <w:t xml:space="preserve">), these vessel owners and operators must maintain a log of all operations conducted from the fishing vessel.  This record keeping requirement may be met by using the bridge log, which is furnished and collected from vessel owners and operators by the IATTC.  </w:t>
      </w:r>
      <w:r w:rsidR="00C31D22">
        <w:rPr>
          <w:color w:val="000000"/>
        </w:rPr>
        <w:t xml:space="preserve"> T</w:t>
      </w:r>
      <w:r w:rsidR="00B0793A">
        <w:rPr>
          <w:color w:val="000000"/>
        </w:rPr>
        <w:t>he IATTC requires reporting on</w:t>
      </w:r>
      <w:r>
        <w:rPr>
          <w:color w:val="000000"/>
        </w:rPr>
        <w:t xml:space="preserve"> fish aggregating devices (FADs) for purse seine vessel owners and operators without observers onboard. </w:t>
      </w:r>
      <w:r w:rsidR="00B0793A">
        <w:rPr>
          <w:color w:val="000000"/>
        </w:rPr>
        <w:t>In addition</w:t>
      </w:r>
      <w:r>
        <w:rPr>
          <w:color w:val="000000"/>
        </w:rPr>
        <w:t>, U.S. purse seine vessel operators are still required to provide the observer with the FAD identification code and the other information in the FAD interaction standard format provided by the National Marine Fisheries Servi</w:t>
      </w:r>
      <w:r>
        <w:t xml:space="preserve">ce (NMFS) </w:t>
      </w:r>
      <w:r>
        <w:rPr>
          <w:color w:val="000000"/>
        </w:rPr>
        <w:t>High</w:t>
      </w:r>
      <w:r>
        <w:t xml:space="preserve">ly </w:t>
      </w:r>
      <w:r>
        <w:rPr>
          <w:color w:val="000000"/>
        </w:rPr>
        <w:t xml:space="preserve">Migratory </w:t>
      </w:r>
      <w:r>
        <w:t>Species (HMS)</w:t>
      </w:r>
      <w:r>
        <w:rPr>
          <w:color w:val="000000"/>
        </w:rPr>
        <w:t xml:space="preserve"> Branch, as appropriate. Any U.S. vessel without an observer onboard must ensure that any interaction or activity with a FAD is reported using a FAD interaction standard format provided by the HMS Branch.</w:t>
      </w:r>
      <w:r w:rsidR="00B0793A">
        <w:rPr>
          <w:color w:val="000000"/>
        </w:rPr>
        <w:t xml:space="preserve"> </w:t>
      </w:r>
    </w:p>
    <w:p w:rsidR="00891A0E" w:rsidP="007C7C2F" w:rsidRDefault="00891A0E" w14:paraId="40AA138A" w14:textId="77777777">
      <w:pPr>
        <w:widowControl/>
        <w:pBdr>
          <w:top w:val="nil"/>
          <w:left w:val="nil"/>
          <w:bottom w:val="nil"/>
          <w:right w:val="nil"/>
          <w:between w:val="nil"/>
        </w:pBdr>
        <w:rPr>
          <w:color w:val="000000"/>
        </w:rPr>
      </w:pPr>
    </w:p>
    <w:p w:rsidRPr="000C3A0B" w:rsidR="00891A0E" w:rsidP="007C7C2F" w:rsidRDefault="00DA6050" w14:paraId="57BC6CDF" w14:textId="79855679">
      <w:pPr>
        <w:widowControl/>
        <w:pBdr>
          <w:top w:val="nil"/>
          <w:left w:val="nil"/>
          <w:bottom w:val="nil"/>
          <w:right w:val="nil"/>
          <w:between w:val="nil"/>
        </w:pBdr>
        <w:rPr>
          <w:color w:val="000000"/>
        </w:rPr>
      </w:pPr>
      <w:r w:rsidRPr="000C3A0B">
        <w:t>O</w:t>
      </w:r>
      <w:r w:rsidRPr="000C3A0B">
        <w:rPr>
          <w:color w:val="000000"/>
        </w:rPr>
        <w:t>nly purse seine vessels fishing in the eastern Pacific Ocean (EPO) without an observer onboard, which does not include large class size 6 vessels, are required to collect data specifically on FADs to meet international obligations under IATTC Resolution C-19-01 (</w:t>
      </w:r>
      <w:r w:rsidRPr="000C3A0B">
        <w:rPr>
          <w:i/>
          <w:color w:val="000000"/>
        </w:rPr>
        <w:t>Amendment of Resolution C-18-05 on the Collection and Analyses of Data on Fish-Aggregating Devices</w:t>
      </w:r>
      <w:r w:rsidRPr="000C3A0B">
        <w:rPr>
          <w:color w:val="000000"/>
        </w:rPr>
        <w:t xml:space="preserve">).  Owners and operators of </w:t>
      </w:r>
      <w:r w:rsidRPr="000C3A0B" w:rsidR="007D286C">
        <w:rPr>
          <w:color w:val="000000"/>
        </w:rPr>
        <w:t xml:space="preserve">purse seine vessels that fish on </w:t>
      </w:r>
      <w:r w:rsidRPr="000C3A0B">
        <w:rPr>
          <w:color w:val="000000"/>
        </w:rPr>
        <w:t xml:space="preserve">a FAD would </w:t>
      </w:r>
      <w:r w:rsidRPr="000C3A0B" w:rsidR="007D286C">
        <w:rPr>
          <w:color w:val="000000"/>
        </w:rPr>
        <w:t xml:space="preserve">continue to </w:t>
      </w:r>
      <w:r w:rsidRPr="000C3A0B">
        <w:rPr>
          <w:color w:val="000000"/>
        </w:rPr>
        <w:t>be required to record this information on the standard form provided by NMFS</w:t>
      </w:r>
      <w:r w:rsidRPr="000C3A0B" w:rsidR="0046208F">
        <w:rPr>
          <w:color w:val="000000"/>
        </w:rPr>
        <w:t>. However, there are no small</w:t>
      </w:r>
      <w:r w:rsidRPr="000C3A0B" w:rsidR="00000B22">
        <w:rPr>
          <w:color w:val="000000"/>
        </w:rPr>
        <w:t xml:space="preserve"> vessels</w:t>
      </w:r>
      <w:r w:rsidRPr="000C3A0B" w:rsidR="0046208F">
        <w:rPr>
          <w:color w:val="000000"/>
        </w:rPr>
        <w:t xml:space="preserve"> (i.e., smaller than class 6 purse seine vessels) that fish on FADs</w:t>
      </w:r>
      <w:r w:rsidRPr="000C3A0B">
        <w:rPr>
          <w:color w:val="000000"/>
        </w:rPr>
        <w:t xml:space="preserve">. </w:t>
      </w:r>
    </w:p>
    <w:p w:rsidR="00891A0E" w:rsidP="007C7C2F" w:rsidRDefault="00891A0E" w14:paraId="72A99BBF" w14:textId="77777777">
      <w:pPr>
        <w:widowControl/>
        <w:pBdr>
          <w:top w:val="nil"/>
          <w:left w:val="nil"/>
          <w:bottom w:val="nil"/>
          <w:right w:val="nil"/>
          <w:between w:val="nil"/>
        </w:pBdr>
        <w:rPr>
          <w:color w:val="000000"/>
        </w:rPr>
      </w:pPr>
    </w:p>
    <w:p w:rsidR="00891A0E" w:rsidP="007C7C2F" w:rsidRDefault="00DA6050" w14:paraId="6FC8EE70" w14:textId="77777777">
      <w:pPr>
        <w:widowControl/>
        <w:pBdr>
          <w:top w:val="nil"/>
          <w:left w:val="nil"/>
          <w:bottom w:val="nil"/>
          <w:right w:val="nil"/>
          <w:between w:val="nil"/>
        </w:pBdr>
        <w:rPr>
          <w:color w:val="000000"/>
        </w:rPr>
      </w:pPr>
      <w:r>
        <w:rPr>
          <w:color w:val="000000"/>
        </w:rPr>
        <w:lastRenderedPageBreak/>
        <w:t>The record keeping requirements provide information that is needed to assess the impacts of fishing on tuna stocks and non-target species, to better understand the number and type of FADs, and to evaluate the effectiveness of management measures.  The authority to implement federal rules to meet U.S. responsibilities to the IATTC is set forth in the Tuna Conventions Act of 1950, as amended (</w:t>
      </w:r>
      <w:hyperlink r:id="rId9">
        <w:r>
          <w:rPr>
            <w:color w:val="0079A4"/>
            <w:u w:val="single"/>
          </w:rPr>
          <w:t xml:space="preserve">16 U.S.C. 951 </w:t>
        </w:r>
      </w:hyperlink>
      <w:hyperlink r:id="rId10">
        <w:r>
          <w:rPr>
            <w:i/>
            <w:color w:val="0079A4"/>
            <w:u w:val="single"/>
          </w:rPr>
          <w:t>et seq</w:t>
        </w:r>
      </w:hyperlink>
      <w:r>
        <w:rPr>
          <w:color w:val="000000"/>
        </w:rPr>
        <w:t xml:space="preserve">). </w:t>
      </w:r>
    </w:p>
    <w:p w:rsidR="00891A0E" w:rsidP="007C7C2F" w:rsidRDefault="00891A0E" w14:paraId="0A7028DD" w14:textId="77777777">
      <w:pPr>
        <w:widowControl/>
        <w:pBdr>
          <w:top w:val="nil"/>
          <w:left w:val="nil"/>
          <w:bottom w:val="nil"/>
          <w:right w:val="nil"/>
          <w:between w:val="nil"/>
        </w:pBdr>
        <w:rPr>
          <w:color w:val="000000"/>
        </w:rPr>
      </w:pPr>
    </w:p>
    <w:p w:rsidRPr="00D81017" w:rsidR="00891A0E" w:rsidP="00D81017" w:rsidRDefault="00DA6050" w14:paraId="0BDC689A" w14:textId="5369C28E">
      <w:pPr>
        <w:pStyle w:val="Heading1"/>
        <w:keepNext w:val="0"/>
        <w:keepLines w:val="0"/>
        <w:tabs>
          <w:tab w:val="left" w:pos="360"/>
        </w:tabs>
        <w:autoSpaceDE w:val="0"/>
        <w:autoSpaceDN w:val="0"/>
        <w:spacing w:before="197" w:after="0"/>
        <w:rPr>
          <w:sz w:val="24"/>
          <w:szCs w:val="24"/>
        </w:rPr>
      </w:pPr>
      <w:r w:rsidRPr="00D81017">
        <w:rPr>
          <w:sz w:val="24"/>
          <w:szCs w:val="24"/>
        </w:rPr>
        <w:t xml:space="preserve">2.  </w:t>
      </w:r>
      <w:r w:rsidRPr="00D81017" w:rsidR="00D81017">
        <w:rPr>
          <w:sz w:val="24"/>
          <w:szCs w:val="24"/>
        </w:rPr>
        <w:t>Indicate how, by whom, and for what purpose the information is to be used. Except for a new collection, indicate the actual use the agency has made of the information received from the current</w:t>
      </w:r>
      <w:r w:rsidRPr="00D81017" w:rsidR="00D81017">
        <w:rPr>
          <w:spacing w:val="-1"/>
          <w:sz w:val="24"/>
          <w:szCs w:val="24"/>
        </w:rPr>
        <w:t xml:space="preserve"> </w:t>
      </w:r>
      <w:r w:rsidRPr="00D81017" w:rsidR="00D81017">
        <w:rPr>
          <w:sz w:val="24"/>
          <w:szCs w:val="24"/>
        </w:rPr>
        <w:t>collection.</w:t>
      </w:r>
    </w:p>
    <w:p w:rsidR="00891A0E" w:rsidP="007C7C2F" w:rsidRDefault="00891A0E" w14:paraId="21A585E8" w14:textId="77777777"/>
    <w:p w:rsidR="00891A0E" w:rsidP="007C7C2F" w:rsidRDefault="00DA6050" w14:paraId="660EE454" w14:textId="77777777">
      <w:r>
        <w:t xml:space="preserve">The specific record keeping requirements are set forth in the regulations.  </w:t>
      </w:r>
    </w:p>
    <w:p w:rsidR="00891A0E" w:rsidP="007C7C2F" w:rsidRDefault="00891A0E" w14:paraId="645A5C8E" w14:textId="77777777"/>
    <w:p w:rsidR="00891A0E" w:rsidP="007C7C2F" w:rsidRDefault="00DA6050" w14:paraId="799D9EF4" w14:textId="77777777">
      <w:r>
        <w:t>Bridge log:</w:t>
      </w:r>
    </w:p>
    <w:p w:rsidR="00891A0E" w:rsidP="007C7C2F" w:rsidRDefault="00DA6050" w14:paraId="2EE80202" w14:textId="77777777">
      <w:r>
        <w:t>Among the data entered daily are the date, noon position, the amount of fish on board by species, water temperature, specification of wells to keep fish, tracking device used to locate fish, and the time and location of catch.  There is also a section for vessel owners or operators to enter in additional remarks.  U.S. vessel owners and operators collect and record all the requested information on the IATTC form (included in this submission is the English example of the form and instructions, which are in both English and Spanish).  These data are used with data from other fishing nations to monitor amounts and areas of catch by species and to annually assess the distribution and abundance of different tuna stocks.  The information is also used to determine whether changes in management strategies can increase the yield from, or productivity of, the stocks (e.g., targeting larger fish to increase yield per trip).  The time of gear deployment is important so that the impacts of alternate strategies (e.g., time/area closures or time of day fishing restrictions) on the fisheries can be assessed.  The type of school is important in determining yield potentials as fishing on certain kinds of schools may result in greater mortality of juvenile fish or fish of certain species.  The specification of wells in which fish are placed is important because landings are sampled, and catches by species and size or gender can then be allocated by area and season of fishing.  This can assist in determining the key spawning areas or possibly areas in which fishing should be restricted in the future to increase yields and values from the fishery.</w:t>
      </w:r>
    </w:p>
    <w:p w:rsidR="00891A0E" w:rsidP="007C7C2F" w:rsidRDefault="00891A0E" w14:paraId="15A1DAE0" w14:textId="77777777"/>
    <w:p w:rsidR="00891A0E" w:rsidP="007C7C2F" w:rsidRDefault="00DA6050" w14:paraId="7D56762C" w14:textId="77777777">
      <w:r>
        <w:t>Current and former member nations continue to provide data to ensure that the time series of data is not broken.  All nations recognize an ongoing interest in maintaining the ability to assess the status of stocks and conditions in the fisheries even in the absence of a regulatory program.</w:t>
      </w:r>
    </w:p>
    <w:p w:rsidR="00891A0E" w:rsidP="007C7C2F" w:rsidRDefault="00891A0E" w14:paraId="79007C07" w14:textId="77777777"/>
    <w:p w:rsidRPr="003B7E8B" w:rsidR="00891A0E" w:rsidP="007C7C2F" w:rsidRDefault="00DA6050" w14:paraId="22A31719" w14:textId="4E488406">
      <w:r w:rsidRPr="003B7E8B">
        <w:t xml:space="preserve">Purse seine vessels with a carrying capacity of 363 metric tons and below were required to use this bridge log to meet HMS Federal reporting regulations (50 CFR 660.708).  Under the information collection 0648-0223, a new logbook was designed </w:t>
      </w:r>
      <w:r w:rsidRPr="003B7E8B" w:rsidR="0046208F">
        <w:t>as an alternative to</w:t>
      </w:r>
      <w:r w:rsidRPr="003B7E8B">
        <w:t xml:space="preserve"> the bridge log to meet this requirement.</w:t>
      </w:r>
    </w:p>
    <w:p w:rsidR="00891A0E" w:rsidP="007C7C2F" w:rsidRDefault="00891A0E" w14:paraId="65B9EBFA" w14:textId="77777777"/>
    <w:p w:rsidR="00891A0E" w:rsidP="007C7C2F" w:rsidRDefault="00DA6050" w14:paraId="289EC41E" w14:textId="77777777">
      <w:r>
        <w:t>FAD Form:</w:t>
      </w:r>
    </w:p>
    <w:p w:rsidR="00891A0E" w:rsidP="007C7C2F" w:rsidRDefault="00DA6050" w14:paraId="6DD674C2" w14:textId="77777777">
      <w:r>
        <w:t xml:space="preserve">For each interaction with a FAD, the vessel’s owner or operator without an observer onboard is required to record data in compliance with Annex I of IATTC </w:t>
      </w:r>
      <w:r>
        <w:lastRenderedPageBreak/>
        <w:t>Resolution C-19-01 that includes: (1) position; (2) date; (3) hour; (4) FAD identification; (5) FAD type (</w:t>
      </w:r>
      <w:r>
        <w:rPr>
          <w:i/>
        </w:rPr>
        <w:t>e.g</w:t>
      </w:r>
      <w:r>
        <w:t>., drifting natural FAD, drifting artificial FAD); (6) FAD design characteristics (i.e., dimension and material of the floating part and underwater hanging structure); (7) activity type; (8) if the activity is a set, the results of the set in terms of catch and bycatch; and (9) characteristics of any attached buoy or positioning equipment (e.g., positioning system, whether equipped with sonar). For vessels with an observer onboard, the observer will collect the data, but the U.S. purse seine vessel operators are still required to provide the observer with the FAD identification code and the other information in the FAD interaction standard format provided by the HMS Branch, as appropriate.</w:t>
      </w:r>
    </w:p>
    <w:p w:rsidR="00891A0E" w:rsidP="007C7C2F" w:rsidRDefault="00891A0E" w14:paraId="574A29B7" w14:textId="77777777"/>
    <w:p w:rsidR="00891A0E" w:rsidP="007C7C2F" w:rsidRDefault="00DA6050" w14:paraId="532F3968" w14:textId="77777777">
      <w:r>
        <w:t>The IATTC scientific staff will analyze the data collected on FAD activities and make management recommendations on the use of FADs in the EPO.  The position, date, and hour information is important so that the IATTC scientific staff can analyze the location and the time of FAD sets and develop FAD management options (e.g., time/area closures, time of day fishing restrictions).  FAD identification ensures that the IATTC scientific staff would be able to distinguish a particular FAD when analyzing data and could track FAD activities through time.  The FAD design characteristics allow the IATTC scientific staff to assess what types of FADs are typically used so that they can provide recommendations on different types of design and materials.  The type of activity provides context for FAD interaction and also allows the IATTC to assess the number of FADs that might be lost or left in the ocean.  The results of the set allow the IATTC to analyze the catch associated with the FAD, and the characteristics for the buoy or positioning system provides additional information on how the vessel is tracking the FAD.</w:t>
      </w:r>
    </w:p>
    <w:p w:rsidR="00891A0E" w:rsidP="007C7C2F" w:rsidRDefault="00891A0E" w14:paraId="55BA2226" w14:textId="63436138"/>
    <w:p w:rsidRPr="007C7C2F" w:rsidR="007C7C2F" w:rsidP="007C7C2F" w:rsidRDefault="007C7C2F" w14:paraId="37829BBC" w14:textId="77777777">
      <w:r w:rsidRPr="007C7C2F">
        <w:t>Reporting for incidences related to purse seine observers and donated or surrendered silky shark (New):</w:t>
      </w:r>
    </w:p>
    <w:p w:rsidR="007C7C2F" w:rsidP="007C7C2F" w:rsidRDefault="007C7C2F" w14:paraId="190F469C" w14:textId="77777777"/>
    <w:p w:rsidRPr="007C7C2F" w:rsidR="007C7C2F" w:rsidP="007C7C2F" w:rsidRDefault="007C7C2F" w14:paraId="289D409B" w14:textId="4A722C03">
      <w:r w:rsidRPr="007C7C2F">
        <w:t xml:space="preserve">The owner or operator of a purse seine fishing vessel of the United States is required to immediately report serious illness or injury that threatens the life and/or long-term health or safety the serious illness of an observer to the observer provider and a U.S. government contact. In addition, the owner or operator of a purse seine fishing vessel of the United States is required to immediately report an observer that has gone missing, an observer death or harassment of an observer to the IATTC observer provider. </w:t>
      </w:r>
    </w:p>
    <w:p w:rsidR="007C7C2F" w:rsidP="007C7C2F" w:rsidRDefault="007C7C2F" w14:paraId="733E2296" w14:textId="77777777"/>
    <w:p w:rsidRPr="007C7C2F" w:rsidR="007C7C2F" w:rsidP="007C7C2F" w:rsidRDefault="007C7C2F" w14:paraId="33C454D3" w14:textId="63168D78">
      <w:r w:rsidRPr="007C7C2F">
        <w:t>NMFS WCR will provide the phone numbers and email addresses for the owner or operator to contact in these events.</w:t>
      </w:r>
    </w:p>
    <w:p w:rsidRPr="007C7C2F" w:rsidR="007C7C2F" w:rsidP="007C7C2F" w:rsidRDefault="007C7C2F" w14:paraId="0DF6E651" w14:textId="77777777"/>
    <w:p w:rsidRPr="007C7C2F" w:rsidR="007C7C2F" w:rsidP="007C7C2F" w:rsidRDefault="007C7C2F" w14:paraId="53EE65BA" w14:textId="77777777">
      <w:r w:rsidRPr="007C7C2F">
        <w:t>In addition, the owner or operator of a purse seine vessel of the United States is required to record, in the logbook, any silky shark that is not seen before entering the well and surrendered or donated when reaching a port. This can be recorded on the note section of the purse seine logbook.</w:t>
      </w:r>
    </w:p>
    <w:p w:rsidR="007C7C2F" w:rsidP="007C7C2F" w:rsidRDefault="007C7C2F" w14:paraId="2AF59602" w14:textId="77777777"/>
    <w:p w:rsidR="00891A0E" w:rsidP="007C7C2F" w:rsidRDefault="00DA6050" w14:paraId="60BCDDB3" w14:textId="0C14823F">
      <w:r>
        <w:t>Data collected by NMFS will be safeguarded</w:t>
      </w:r>
      <w:bookmarkStart w:name="30j0zll" w:colFirst="0" w:colLast="0" w:id="2"/>
      <w:bookmarkEnd w:id="2"/>
      <w:r>
        <w:t xml:space="preserve"> from improper access, modification, and destruction, consistent with </w:t>
      </w:r>
      <w:r>
        <w:rPr>
          <w:color w:val="000000"/>
        </w:rPr>
        <w:t>National Oceanic and Atmospheric Administration</w:t>
      </w:r>
      <w:r>
        <w:t xml:space="preserve"> (NOAA) standards for confidentiality, privacy, and electronic information.  See response to Question 10 of this Supporting Statement for more information on </w:t>
      </w:r>
      <w:r>
        <w:lastRenderedPageBreak/>
        <w:t xml:space="preserve">confidentiality and privacy. Data collected by the IATTC will be maintained in accordance with data confidentiality standards agreed to by IATTC nations under Resolution C-15-07. The information collection is designed to yield data that meet all applicable information quality guidelines.  Prior to dissemination, the information will be subjected to quality control measures and a pre-dissemination review pursuant to </w:t>
      </w:r>
      <w:hyperlink r:id="rId11">
        <w:r>
          <w:rPr>
            <w:color w:val="0079A4"/>
            <w:u w:val="single"/>
          </w:rPr>
          <w:t>Section 515 of Public Law 106-554</w:t>
        </w:r>
      </w:hyperlink>
      <w:r>
        <w:t>.</w:t>
      </w:r>
    </w:p>
    <w:p w:rsidR="00E27867" w:rsidP="007C7C2F" w:rsidRDefault="00E27867" w14:paraId="09D55227" w14:textId="57BD5C89"/>
    <w:p w:rsidR="00E27867" w:rsidP="007C7C2F" w:rsidRDefault="00E27867" w14:paraId="1693E0B8" w14:textId="779A2BF7">
      <w:pPr>
        <w:rPr>
          <w:b/>
        </w:rPr>
      </w:pPr>
      <w:r w:rsidRPr="00E27867">
        <w:rPr>
          <w:b/>
        </w:rPr>
        <w:t xml:space="preserve">Satellite buoys attached to FADs reporting </w:t>
      </w:r>
    </w:p>
    <w:p w:rsidRPr="00E27867" w:rsidR="00E27867" w:rsidP="007C7C2F" w:rsidRDefault="00E27867" w14:paraId="7095A46E" w14:textId="77777777">
      <w:pPr>
        <w:rPr>
          <w:b/>
        </w:rPr>
      </w:pPr>
    </w:p>
    <w:p w:rsidR="00E27867" w:rsidP="00E27867" w:rsidRDefault="00E27867" w14:paraId="0D415135" w14:textId="453BDC4D">
      <w:r w:rsidRPr="00E27867">
        <w:rPr>
          <w:b/>
          <w:bCs/>
          <w:i/>
          <w:iCs/>
        </w:rPr>
        <w:t>Reporting on Active FADs.</w:t>
      </w:r>
      <w:r w:rsidRPr="00E27867">
        <w:t xml:space="preserve"> U.S. vessel owners and operators must record or maintain daily information on buoy location and acoustic data for all Active FADs that have been deployed in the water in the IATTC Convention Area and report that information to the IATTC, using a format and address provided by the HMS Branch. Daily information on buoy location must include date, time, buoy identifier, latitude, longitude, IMO number, and speed. Acoustic data will vary depending on the buoy company, but must include company, buoy identifier latitude, longitude, and </w:t>
      </w:r>
      <w:r w:rsidR="00770FBC">
        <w:t xml:space="preserve">identified </w:t>
      </w:r>
      <w:r w:rsidRPr="00E27867">
        <w:t xml:space="preserve">layers of data. </w:t>
      </w:r>
      <w:r>
        <w:t xml:space="preserve">In addition, </w:t>
      </w:r>
      <w:r w:rsidRPr="00E27867">
        <w:t>U.S. vessel owners and operators must report any deactivation</w:t>
      </w:r>
      <w:r>
        <w:t xml:space="preserve"> or reactivation</w:t>
      </w:r>
      <w:r w:rsidRPr="00E27867">
        <w:t xml:space="preserve"> of a satellite buoy, including the reason for deactivation, date, latitude, longitude, buoy identifier, and speed. This information must be reported to the IATTC, using a format and address provided by the HMS Branch. This information must be submitted for each calendar month no later than 90 days after the month covered by the report.</w:t>
      </w:r>
    </w:p>
    <w:p w:rsidRPr="00E27867" w:rsidR="00E27867" w:rsidP="00E27867" w:rsidRDefault="00E27867" w14:paraId="0433D31D" w14:textId="6268504E"/>
    <w:p w:rsidR="00E27867" w:rsidP="00E27867" w:rsidRDefault="00E27867" w14:paraId="447166E3" w14:textId="2D8F7119">
      <w:r w:rsidRPr="00E27867">
        <w:rPr>
          <w:b/>
          <w:bCs/>
          <w:i/>
          <w:iCs/>
        </w:rPr>
        <w:t>Cannery reporting</w:t>
      </w:r>
      <w:r w:rsidRPr="00E27867">
        <w:rPr>
          <w:b/>
          <w:bCs/>
        </w:rPr>
        <w:t xml:space="preserve">. </w:t>
      </w:r>
      <w:r w:rsidRPr="00E27867">
        <w:t>U.S. vessel owners and operators must report processing plant data for fish caught in the IATTC C</w:t>
      </w:r>
      <w:r>
        <w:t xml:space="preserve">onvention Area to the IATTC or </w:t>
      </w:r>
      <w:r w:rsidRPr="00E27867">
        <w:t xml:space="preserve">NMFS no later than 10 days after completion of unloading and the last day of grading by size. </w:t>
      </w:r>
    </w:p>
    <w:p w:rsidR="00891A0E" w:rsidP="007C7C2F" w:rsidRDefault="00891A0E" w14:paraId="25B006C1" w14:textId="046ED525"/>
    <w:p w:rsidRPr="00BD7237" w:rsidR="00D81017" w:rsidP="00D81017" w:rsidRDefault="00DA6050" w14:paraId="01F8340F" w14:textId="77777777">
      <w:pPr>
        <w:pStyle w:val="ListParagraph"/>
        <w:tabs>
          <w:tab w:val="left" w:pos="360"/>
        </w:tabs>
        <w:spacing w:before="199"/>
        <w:ind w:left="0" w:firstLine="0"/>
        <w:rPr>
          <w:rFonts w:ascii="Times New Roman" w:hAnsi="Times New Roman" w:cs="Times New Roman"/>
          <w:b/>
          <w:sz w:val="24"/>
          <w:szCs w:val="24"/>
        </w:rPr>
      </w:pPr>
      <w:r>
        <w:rPr>
          <w:b/>
        </w:rPr>
        <w:t xml:space="preserve">3.  </w:t>
      </w:r>
      <w:r w:rsidRPr="00BD7237" w:rsidR="00D81017">
        <w:rPr>
          <w:rFonts w:ascii="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BD7237" w:rsidR="00D81017">
        <w:rPr>
          <w:rFonts w:ascii="Times New Roman" w:hAnsi="Times New Roman" w:cs="Times New Roman"/>
          <w:b/>
          <w:spacing w:val="-6"/>
          <w:sz w:val="24"/>
          <w:szCs w:val="24"/>
        </w:rPr>
        <w:t xml:space="preserve"> </w:t>
      </w:r>
      <w:r w:rsidRPr="00BD7237" w:rsidR="00D81017">
        <w:rPr>
          <w:rFonts w:ascii="Times New Roman" w:hAnsi="Times New Roman" w:cs="Times New Roman"/>
          <w:b/>
          <w:sz w:val="24"/>
          <w:szCs w:val="24"/>
        </w:rPr>
        <w:t>burden.</w:t>
      </w:r>
    </w:p>
    <w:p w:rsidR="00891A0E" w:rsidP="007C7C2F" w:rsidRDefault="00891A0E" w14:paraId="2D95BEFC" w14:textId="2557EA15"/>
    <w:p w:rsidR="00891A0E" w:rsidP="007C7C2F" w:rsidRDefault="00DA6050" w14:paraId="64CC92E6" w14:textId="322B238D">
      <w:r>
        <w:t>The information being submitted is necessary to carry out U.S. obligations as a member of the IATTC and is collected in the least burdensome manner known.  Logbooks and the FAD form may be submitted using a paper form</w:t>
      </w:r>
      <w:r w:rsidR="00186B3B">
        <w:t xml:space="preserve"> or a fillable pdf</w:t>
      </w:r>
      <w:r>
        <w:t xml:space="preserve">.  </w:t>
      </w:r>
      <w:r w:rsidR="00186B3B">
        <w:t xml:space="preserve">FAD buoy data may be submitted via email </w:t>
      </w:r>
      <w:r w:rsidR="0008293C">
        <w:t xml:space="preserve">or mail </w:t>
      </w:r>
      <w:r w:rsidR="00186B3B">
        <w:t>to IATTC using automated reports from satellite companies.</w:t>
      </w:r>
    </w:p>
    <w:p w:rsidR="00A01F6E" w:rsidP="007C7C2F" w:rsidRDefault="00A01F6E" w14:paraId="222E1F1E" w14:textId="515DCBA2"/>
    <w:p w:rsidRPr="00A01F6E" w:rsidR="00A01F6E" w:rsidP="007C7C2F" w:rsidRDefault="00A01F6E" w14:paraId="0F914A5E" w14:textId="77777777">
      <w:r w:rsidRPr="00A01F6E">
        <w:t xml:space="preserve">Reporting incidents involving observers to both the IATTC observer provider and NMFS may be done by email or over the phone. </w:t>
      </w:r>
    </w:p>
    <w:p w:rsidR="00A01F6E" w:rsidP="007C7C2F" w:rsidRDefault="00A01F6E" w14:paraId="1659D6C7" w14:textId="77777777"/>
    <w:p w:rsidR="00891A0E" w:rsidP="007C7C2F" w:rsidRDefault="00DA6050" w14:paraId="172C7B17" w14:textId="14692E9E">
      <w:pPr>
        <w:rPr>
          <w:color w:val="0070C0"/>
          <w:u w:val="single"/>
        </w:rPr>
      </w:pPr>
      <w:r>
        <w:t xml:space="preserve">Forms are sent out with new permits and may also be requested from the IATTC at 8901 La Jolla Shores Drive, La Jolla, CA 92037, or from NMFS, West Coast Region, 501 W. Ocean Blvd., Suite 4200, Long Beach, CA 90802, or by emailing </w:t>
      </w:r>
      <w:hyperlink r:id="rId12">
        <w:r>
          <w:rPr>
            <w:color w:val="1155CC"/>
            <w:u w:val="single"/>
          </w:rPr>
          <w:t>wcr.permits@noaa.gov</w:t>
        </w:r>
      </w:hyperlink>
      <w:r w:rsidRPr="00186B3B">
        <w:rPr>
          <w:b/>
          <w:color w:val="0070C0"/>
          <w:u w:val="single"/>
        </w:rPr>
        <w:t>.</w:t>
      </w:r>
    </w:p>
    <w:p w:rsidR="00891A0E" w:rsidP="007C7C2F" w:rsidRDefault="00891A0E" w14:paraId="74C97257" w14:textId="77777777">
      <w:pPr>
        <w:rPr>
          <w:b/>
        </w:rPr>
      </w:pPr>
    </w:p>
    <w:p w:rsidRPr="00D81017" w:rsidR="00891A0E" w:rsidP="00D81017" w:rsidRDefault="00DA6050" w14:paraId="6F346C3D" w14:textId="44B824B8">
      <w:pPr>
        <w:pStyle w:val="ListParagraph"/>
        <w:tabs>
          <w:tab w:val="left" w:pos="360"/>
        </w:tabs>
        <w:spacing w:before="80"/>
        <w:ind w:left="0" w:firstLine="0"/>
        <w:rPr>
          <w:rFonts w:ascii="Times New Roman" w:hAnsi="Times New Roman" w:cs="Times New Roman"/>
          <w:b/>
          <w:sz w:val="24"/>
          <w:szCs w:val="24"/>
        </w:rPr>
      </w:pPr>
      <w:r>
        <w:rPr>
          <w:b/>
        </w:rPr>
        <w:t xml:space="preserve">4.  </w:t>
      </w:r>
      <w:r w:rsidRPr="00BD7237" w:rsidR="00D81017">
        <w:rPr>
          <w:rFonts w:ascii="Times New Roman" w:hAnsi="Times New Roman" w:cs="Times New Roman"/>
          <w:b/>
          <w:sz w:val="24"/>
          <w:szCs w:val="24"/>
        </w:rPr>
        <w:t>Describe efforts to identify duplication. Show specifically why any similar information already available cannot be used or modified for use for the purposes described in Question</w:t>
      </w:r>
      <w:r w:rsidRPr="00BD7237" w:rsidR="00D81017">
        <w:rPr>
          <w:rFonts w:ascii="Times New Roman" w:hAnsi="Times New Roman" w:cs="Times New Roman"/>
          <w:b/>
          <w:spacing w:val="-42"/>
          <w:sz w:val="24"/>
          <w:szCs w:val="24"/>
        </w:rPr>
        <w:t xml:space="preserve"> </w:t>
      </w:r>
      <w:r w:rsidRPr="00BD7237" w:rsidR="00D81017">
        <w:rPr>
          <w:rFonts w:ascii="Times New Roman" w:hAnsi="Times New Roman" w:cs="Times New Roman"/>
          <w:b/>
          <w:sz w:val="24"/>
          <w:szCs w:val="24"/>
        </w:rPr>
        <w:t>2</w:t>
      </w:r>
    </w:p>
    <w:p w:rsidR="00891A0E" w:rsidP="007C7C2F" w:rsidRDefault="00891A0E" w14:paraId="49294B15" w14:textId="77777777"/>
    <w:p w:rsidR="00891A0E" w:rsidP="007C7C2F" w:rsidRDefault="00DA6050" w14:paraId="50324643" w14:textId="78FB2D73">
      <w:r>
        <w:t>NMFS has sole federal authority to obtain these data.  NMFS has coordinated with the IATTC and the State of California to eliminate redundancy between</w:t>
      </w:r>
      <w:r w:rsidR="00A01F6E">
        <w:t xml:space="preserve"> the federally-mandated reports</w:t>
      </w:r>
      <w:r>
        <w:t xml:space="preserve"> and logbooks or landings reports required by the IATTC and the State, respectively.  NMFS also coordinates with other private and public organizations that collect or compile information on catch and effort in the regulatory area to prevent duplication.  This is necessary because a large portion of U.S. vessels' catches are landed in ports outside California.  The logbooks are an important component of this coordinated data collection program; there are no other programs that would both result in the same information being available to the United States and the IATTC on the necessary schedule, and satisfy U.S. reporting requirements.</w:t>
      </w:r>
    </w:p>
    <w:p w:rsidR="00891A0E" w:rsidP="007C7C2F" w:rsidRDefault="00891A0E" w14:paraId="33BE45D1" w14:textId="77777777"/>
    <w:p w:rsidRPr="00BD7237" w:rsidR="00D81017" w:rsidP="00D81017" w:rsidRDefault="00DA6050" w14:paraId="0066495C" w14:textId="77777777">
      <w:pPr>
        <w:pStyle w:val="ListParagraph"/>
        <w:tabs>
          <w:tab w:val="left" w:pos="360"/>
        </w:tabs>
        <w:spacing w:before="80"/>
        <w:ind w:left="0" w:firstLine="0"/>
        <w:rPr>
          <w:rFonts w:ascii="Times New Roman" w:hAnsi="Times New Roman" w:cs="Times New Roman"/>
          <w:b/>
          <w:sz w:val="24"/>
          <w:szCs w:val="24"/>
        </w:rPr>
      </w:pPr>
      <w:r>
        <w:rPr>
          <w:b/>
        </w:rPr>
        <w:t xml:space="preserve">5.  </w:t>
      </w:r>
      <w:r w:rsidRPr="00BD7237" w:rsidR="00D81017">
        <w:rPr>
          <w:rFonts w:ascii="Times New Roman" w:hAnsi="Times New Roman" w:cs="Times New Roman"/>
          <w:b/>
          <w:sz w:val="24"/>
          <w:szCs w:val="24"/>
        </w:rPr>
        <w:t>If the collection of information impacts small businesses or other small entities, describe any methods used to minimize burden.</w:t>
      </w:r>
    </w:p>
    <w:p w:rsidR="00891A0E" w:rsidP="007C7C2F" w:rsidRDefault="00891A0E" w14:paraId="1BDEC909" w14:textId="4D7E8A8C"/>
    <w:p w:rsidR="00891A0E" w:rsidP="007C7C2F" w:rsidRDefault="00DA6050" w14:paraId="4CD3150B" w14:textId="06AE9FFA">
      <w:r>
        <w:t>Entities subject to the action related to the</w:t>
      </w:r>
      <w:r w:rsidR="00186B3B">
        <w:t>se reporting requirements</w:t>
      </w:r>
      <w:r w:rsidR="00A76051">
        <w:t xml:space="preserve"> </w:t>
      </w:r>
      <w:r>
        <w:t>are considered small and large businesses.  All practicable steps to minimize the burden on small entities have been taken.  Record keeping requirements are directly proportional to each firm's level of activity.  Thus, occasional, part-time, or local vessels harvesting small amounts of tuna spend less time collecting and reporting data than the larger firms.</w:t>
      </w:r>
    </w:p>
    <w:p w:rsidR="00891A0E" w:rsidP="007C7C2F" w:rsidRDefault="00891A0E" w14:paraId="58DB185E" w14:textId="77777777"/>
    <w:p w:rsidR="00891A0E" w:rsidP="007C7C2F" w:rsidRDefault="009B270D" w14:paraId="6842B207" w14:textId="743BEE6B">
      <w:r>
        <w:t>No, disproportionate</w:t>
      </w:r>
      <w:r w:rsidR="00DA6050">
        <w:t xml:space="preserve"> economic effect between small and large businesses are expected.</w:t>
      </w:r>
    </w:p>
    <w:p w:rsidR="00891A0E" w:rsidP="007C7C2F" w:rsidRDefault="00891A0E" w14:paraId="61B49540" w14:textId="77777777"/>
    <w:p w:rsidRPr="00BD7237" w:rsidR="00D81017" w:rsidP="00D81017" w:rsidRDefault="00DA6050" w14:paraId="4A706356" w14:textId="77777777">
      <w:pPr>
        <w:pStyle w:val="ListParagraph"/>
        <w:tabs>
          <w:tab w:val="left" w:pos="360"/>
        </w:tabs>
        <w:spacing w:before="80"/>
        <w:ind w:left="0" w:firstLine="0"/>
        <w:rPr>
          <w:rFonts w:ascii="Times New Roman" w:hAnsi="Times New Roman" w:cs="Times New Roman"/>
          <w:b/>
          <w:sz w:val="24"/>
          <w:szCs w:val="24"/>
        </w:rPr>
      </w:pPr>
      <w:r>
        <w:rPr>
          <w:b/>
        </w:rPr>
        <w:t xml:space="preserve">6.  </w:t>
      </w:r>
      <w:r w:rsidRPr="00BD7237" w:rsidR="00D81017">
        <w:rPr>
          <w:rFonts w:ascii="Times New Roman" w:hAnsi="Times New Roman" w:cs="Times New Roman"/>
          <w:b/>
          <w:sz w:val="24"/>
          <w:szCs w:val="24"/>
        </w:rPr>
        <w:t>Describe the consequence to Federal program or policy activities if the collection is not conducted or is conducted less frequently, as well as any technical or legal obstacles to reducing burden.</w:t>
      </w:r>
    </w:p>
    <w:p w:rsidR="00891A0E" w:rsidP="007C7C2F" w:rsidRDefault="00891A0E" w14:paraId="7E3126B5" w14:textId="6F4246D2"/>
    <w:p w:rsidR="00891A0E" w:rsidP="007C7C2F" w:rsidRDefault="00DA6050" w14:paraId="3EA6FAB2" w14:textId="77777777">
      <w:r>
        <w:t xml:space="preserve">If this data were not collected, there would be a significant gap in the database needed by the IATTC and the U.S. to complete stock assessments, determine U.S. interests in the fishery, to develop appropriate management measures for FADs, and conduct evaluations of fishery management strategies to achieve the maximum economic yield from the fishery.  The risk of erroneous stock assessments and inappropriate management would increase as a result.  In addition, reporting incidences involving observer safety is intended to protect the lives of the observers at sea.  The U.S. would be less able to protect or enhance U.S. benefits from fishing within the IATTC Convention Area, and would not meet its commitments as an IATTC member nation, under the Tuna Conventions Act.  </w:t>
      </w:r>
    </w:p>
    <w:p w:rsidR="00891A0E" w:rsidP="007C7C2F" w:rsidRDefault="00891A0E" w14:paraId="26EC4BC4" w14:textId="77777777"/>
    <w:p w:rsidRPr="00BD7237" w:rsidR="00D81017" w:rsidP="00D81017" w:rsidRDefault="00DA6050" w14:paraId="584F0B5F" w14:textId="7DCC88B3">
      <w:pPr>
        <w:pStyle w:val="ListParagraph"/>
        <w:tabs>
          <w:tab w:val="left" w:pos="360"/>
        </w:tabs>
        <w:spacing w:before="80"/>
        <w:ind w:left="0" w:firstLine="0"/>
        <w:rPr>
          <w:rFonts w:ascii="Times New Roman" w:hAnsi="Times New Roman" w:cs="Times New Roman"/>
          <w:b/>
          <w:sz w:val="24"/>
          <w:szCs w:val="24"/>
        </w:rPr>
      </w:pPr>
      <w:r>
        <w:rPr>
          <w:b/>
        </w:rPr>
        <w:t xml:space="preserve">7.  </w:t>
      </w:r>
      <w:r w:rsidRPr="00BD7237" w:rsidR="00D81017">
        <w:rPr>
          <w:rFonts w:ascii="Times New Roman" w:hAnsi="Times New Roman" w:cs="Times New Roman"/>
          <w:b/>
          <w:sz w:val="24"/>
          <w:szCs w:val="24"/>
        </w:rPr>
        <w:t>Explain any special circumstances that would cause an information collect</w:t>
      </w:r>
      <w:r w:rsidR="00D81017">
        <w:rPr>
          <w:rFonts w:ascii="Times New Roman" w:hAnsi="Times New Roman" w:cs="Times New Roman"/>
          <w:b/>
          <w:sz w:val="24"/>
          <w:szCs w:val="24"/>
        </w:rPr>
        <w:t>ion to be conducted in a manner inconsistent with OMB guidelines.</w:t>
      </w:r>
    </w:p>
    <w:p w:rsidR="00891A0E" w:rsidP="007C7C2F" w:rsidRDefault="00891A0E" w14:paraId="3539F5BF" w14:textId="24D3F39F"/>
    <w:p w:rsidR="00891A0E" w:rsidP="007C7C2F" w:rsidRDefault="001E3B6C" w14:paraId="0B957BA7" w14:textId="0F7404DE">
      <w:pPr>
        <w:pBdr>
          <w:top w:val="nil"/>
          <w:left w:val="nil"/>
          <w:bottom w:val="nil"/>
          <w:right w:val="nil"/>
          <w:between w:val="nil"/>
        </w:pBdr>
        <w:rPr>
          <w:color w:val="000000"/>
        </w:rPr>
      </w:pPr>
      <w:r>
        <w:rPr>
          <w:color w:val="000000"/>
        </w:rPr>
        <w:t>This collection will be conducted in a manner consistent with OMB guidelines.</w:t>
      </w:r>
    </w:p>
    <w:p w:rsidR="00891A0E" w:rsidP="007C7C2F" w:rsidRDefault="00891A0E" w14:paraId="00B5724A" w14:textId="77777777"/>
    <w:p w:rsidRPr="00BD7237" w:rsidR="00D81017" w:rsidP="00D81017" w:rsidRDefault="00DA6050" w14:paraId="5819DB73" w14:textId="77777777">
      <w:pPr>
        <w:pStyle w:val="ListParagraph"/>
        <w:tabs>
          <w:tab w:val="left" w:pos="360"/>
        </w:tabs>
        <w:spacing w:before="80"/>
        <w:ind w:left="0" w:firstLine="0"/>
        <w:rPr>
          <w:rFonts w:ascii="Times New Roman" w:hAnsi="Times New Roman" w:cs="Times New Roman"/>
          <w:b/>
          <w:sz w:val="24"/>
          <w:szCs w:val="24"/>
        </w:rPr>
      </w:pPr>
      <w:r>
        <w:rPr>
          <w:b/>
        </w:rPr>
        <w:t xml:space="preserve">8.  </w:t>
      </w:r>
      <w:r w:rsidRPr="00BD7237" w:rsidR="00D81017">
        <w:rPr>
          <w:rFonts w:ascii="Times New Roman" w:hAnsi="Times New Roman" w:cs="Times New Roman"/>
          <w:b/>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891A0E" w:rsidP="00D81017" w:rsidRDefault="00891A0E" w14:paraId="0B3B7824" w14:textId="36C253E9">
      <w:pPr>
        <w:widowControl/>
        <w:shd w:val="clear" w:color="auto" w:fill="FFFFFF"/>
      </w:pPr>
    </w:p>
    <w:p w:rsidR="00891A0E" w:rsidP="007C7C2F" w:rsidRDefault="00DA6050" w14:paraId="037CA41F" w14:textId="61E4E78A">
      <w:r>
        <w:t>A proposed rule</w:t>
      </w:r>
      <w:r w:rsidR="004717BF">
        <w:t xml:space="preserve"> (0648-BK84)</w:t>
      </w:r>
      <w:r>
        <w:t xml:space="preserve"> </w:t>
      </w:r>
      <w:r w:rsidR="00186B3B">
        <w:t>is expected to publish late February 2022</w:t>
      </w:r>
      <w:r>
        <w:t xml:space="preserve"> and solicit public c</w:t>
      </w:r>
      <w:r w:rsidR="009B270D">
        <w:t>omment on proposed regulations.</w:t>
      </w:r>
      <w:r w:rsidR="00DA4A53">
        <w:t xml:space="preserve"> No public comments </w:t>
      </w:r>
      <w:r w:rsidR="004717BF">
        <w:t xml:space="preserve">have been </w:t>
      </w:r>
      <w:r w:rsidR="00DA4A53">
        <w:t xml:space="preserve">received relevant to the information collection requirements. </w:t>
      </w:r>
    </w:p>
    <w:p w:rsidR="00891A0E" w:rsidP="007C7C2F" w:rsidRDefault="00891A0E" w14:paraId="5FB0DEB9" w14:textId="77777777"/>
    <w:p w:rsidRPr="00D81017" w:rsidR="00891A0E" w:rsidP="00D81017" w:rsidRDefault="00DA6050" w14:paraId="5B199CB7" w14:textId="05760A5E">
      <w:pPr>
        <w:pStyle w:val="ListParagraph"/>
        <w:tabs>
          <w:tab w:val="left" w:pos="360"/>
        </w:tabs>
        <w:spacing w:before="80"/>
        <w:ind w:left="0" w:firstLine="0"/>
        <w:rPr>
          <w:rFonts w:ascii="Times New Roman" w:hAnsi="Times New Roman" w:cs="Times New Roman"/>
          <w:b/>
          <w:sz w:val="24"/>
          <w:szCs w:val="24"/>
        </w:rPr>
      </w:pPr>
      <w:r>
        <w:rPr>
          <w:b/>
        </w:rPr>
        <w:t xml:space="preserve">9.  </w:t>
      </w:r>
      <w:r w:rsidRPr="00BD7237" w:rsidR="00D81017">
        <w:rPr>
          <w:rFonts w:ascii="Times New Roman" w:hAnsi="Times New Roman" w:cs="Times New Roman"/>
          <w:b/>
          <w:sz w:val="24"/>
          <w:szCs w:val="24"/>
        </w:rPr>
        <w:t>Explain any decision to provide any payment or gift to respondents, other than remuneration of contractors or grantees.</w:t>
      </w:r>
    </w:p>
    <w:p w:rsidR="00891A0E" w:rsidP="007C7C2F" w:rsidRDefault="00891A0E" w14:paraId="009DED61" w14:textId="77777777"/>
    <w:p w:rsidR="00891A0E" w:rsidP="007C7C2F" w:rsidRDefault="00DA6050" w14:paraId="45A84DFF" w14:textId="77777777">
      <w:r>
        <w:t>No payments or gifts are made to any respondents.</w:t>
      </w:r>
    </w:p>
    <w:p w:rsidR="00891A0E" w:rsidP="007C7C2F" w:rsidRDefault="00891A0E" w14:paraId="64C50C79" w14:textId="77777777"/>
    <w:p w:rsidRPr="00BD7237" w:rsidR="00D81017" w:rsidP="00D81017" w:rsidRDefault="00DA6050" w14:paraId="7FA1A60C" w14:textId="77777777">
      <w:pPr>
        <w:pStyle w:val="ListParagraph"/>
        <w:tabs>
          <w:tab w:val="left" w:pos="360"/>
        </w:tabs>
        <w:spacing w:before="80"/>
        <w:ind w:left="0" w:firstLine="0"/>
        <w:rPr>
          <w:rFonts w:ascii="Times New Roman" w:hAnsi="Times New Roman" w:cs="Times New Roman"/>
          <w:b/>
          <w:sz w:val="24"/>
          <w:szCs w:val="24"/>
        </w:rPr>
      </w:pPr>
      <w:r>
        <w:rPr>
          <w:b/>
        </w:rPr>
        <w:t xml:space="preserve">10.  </w:t>
      </w:r>
      <w:r w:rsidRPr="00BD7237" w:rsidR="00D81017">
        <w:rPr>
          <w:rFonts w:ascii="Times New Roman" w:hAnsi="Times New Roman" w:cs="Times New Roman"/>
          <w:b/>
          <w:sz w:val="24"/>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891A0E" w:rsidP="007C7C2F" w:rsidRDefault="00891A0E" w14:paraId="1D466781" w14:textId="45D55001"/>
    <w:p w:rsidR="00891A0E" w:rsidP="007C7C2F" w:rsidRDefault="00DA6050" w14:paraId="30FD8C84" w14:textId="77777777">
      <w:r>
        <w:t xml:space="preserve">As stated on the forms, individual firm data are submitted to the IATTC and are not released to the public; only aggregated data or data with vessel identifiers removed are releasable.  These procedures are consistent with </w:t>
      </w:r>
      <w:hyperlink r:id="rId13">
        <w:r>
          <w:rPr>
            <w:color w:val="0079A4"/>
            <w:u w:val="single"/>
          </w:rPr>
          <w:t>NOAA Administrative Order 216-100</w:t>
        </w:r>
      </w:hyperlink>
      <w:r>
        <w:t xml:space="preserve"> governing the management of confidential data.  The data also are maintained as confidential by the IATTC as they reveal the business practices of individual firms, and release of the data could be harmful to the firm involved.</w:t>
      </w:r>
    </w:p>
    <w:p w:rsidR="00891A0E" w:rsidP="007C7C2F" w:rsidRDefault="00891A0E" w14:paraId="0A0476D4" w14:textId="77777777"/>
    <w:p w:rsidRPr="00BD7237" w:rsidR="00D81017" w:rsidP="00D81017" w:rsidRDefault="00DA6050" w14:paraId="1890F8DE" w14:textId="77777777">
      <w:pPr>
        <w:pStyle w:val="ListParagraph"/>
        <w:tabs>
          <w:tab w:val="left" w:pos="360"/>
        </w:tabs>
        <w:spacing w:before="80"/>
        <w:ind w:left="0" w:firstLine="0"/>
        <w:rPr>
          <w:rFonts w:ascii="Times New Roman" w:hAnsi="Times New Roman" w:cs="Times New Roman"/>
          <w:b/>
          <w:sz w:val="24"/>
          <w:szCs w:val="24"/>
        </w:rPr>
      </w:pPr>
      <w:r>
        <w:rPr>
          <w:b/>
        </w:rPr>
        <w:t xml:space="preserve">11.  </w:t>
      </w:r>
      <w:r w:rsidRPr="00BD7237" w:rsidR="00D81017">
        <w:rPr>
          <w:rFonts w:ascii="Times New Roman" w:hAnsi="Times New Roman" w:cs="Times New Roman"/>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91A0E" w:rsidP="007C7C2F" w:rsidRDefault="00891A0E" w14:paraId="461AB86E" w14:textId="0FFCD57E"/>
    <w:p w:rsidR="00891A0E" w:rsidP="007C7C2F" w:rsidRDefault="00DA6050" w14:paraId="0A2225B6" w14:textId="77777777">
      <w:r>
        <w:t xml:space="preserve">No sensitive questions are asked.  </w:t>
      </w:r>
    </w:p>
    <w:p w:rsidR="00891A0E" w:rsidRDefault="00891A0E" w14:paraId="5B0D711C" w14:textId="77777777"/>
    <w:p w:rsidR="00B37706" w:rsidRDefault="00B37706" w14:paraId="14FAA075" w14:textId="77777777">
      <w:pPr>
        <w:tabs>
          <w:tab w:val="left" w:pos="540"/>
        </w:tabs>
        <w:ind w:left="540" w:hanging="540"/>
        <w:sectPr w:rsidR="00B37706" w:rsidSect="000E3B00">
          <w:pgSz w:w="12240" w:h="15840"/>
          <w:pgMar w:top="990" w:right="1440" w:bottom="990" w:left="1260" w:header="720" w:footer="720" w:gutter="0"/>
          <w:pgNumType w:start="1"/>
          <w:cols w:equalWidth="0" w:space="720">
            <w:col w:w="8100"/>
          </w:cols>
          <w:docGrid w:linePitch="326"/>
        </w:sectPr>
      </w:pPr>
    </w:p>
    <w:p w:rsidR="00891A0E" w:rsidRDefault="00891A0E" w14:paraId="2DB92FA4" w14:textId="31F812EB">
      <w:pPr>
        <w:tabs>
          <w:tab w:val="left" w:pos="540"/>
        </w:tabs>
        <w:ind w:left="540" w:hanging="540"/>
      </w:pPr>
    </w:p>
    <w:p w:rsidRPr="00BD7237" w:rsidR="00D81017" w:rsidP="00F143E0" w:rsidRDefault="00DA6050" w14:paraId="3586CBAA" w14:textId="77777777">
      <w:pPr>
        <w:pStyle w:val="ListParagraph"/>
        <w:tabs>
          <w:tab w:val="left" w:pos="360"/>
        </w:tabs>
        <w:spacing w:before="80"/>
        <w:ind w:left="0" w:firstLine="0"/>
        <w:rPr>
          <w:rFonts w:ascii="Times New Roman" w:hAnsi="Times New Roman" w:cs="Times New Roman"/>
          <w:b/>
          <w:sz w:val="24"/>
          <w:szCs w:val="24"/>
        </w:rPr>
      </w:pPr>
      <w:r>
        <w:rPr>
          <w:b/>
        </w:rPr>
        <w:t>12.</w:t>
      </w:r>
      <w:r>
        <w:rPr>
          <w:b/>
        </w:rPr>
        <w:tab/>
      </w:r>
      <w:r w:rsidRPr="00BD7237" w:rsidR="00D81017">
        <w:rPr>
          <w:rFonts w:ascii="Times New Roman" w:hAnsi="Times New Roman" w:cs="Times New Roman"/>
          <w:b/>
          <w:sz w:val="24"/>
          <w:szCs w:val="24"/>
        </w:rPr>
        <w:t>Provide estimates of the hour burden of the collection of information.</w:t>
      </w:r>
    </w:p>
    <w:p w:rsidR="000E3B00" w:rsidP="00207635" w:rsidRDefault="000E3B00" w14:paraId="1B6E311B" w14:textId="283F89DC"/>
    <w:p w:rsidR="00207635" w:rsidP="00207635" w:rsidRDefault="000E3B00" w14:paraId="73E758CA" w14:textId="17F7E08D">
      <w:pPr>
        <w:sectPr w:rsidR="00207635" w:rsidSect="00207635">
          <w:type w:val="continuous"/>
          <w:pgSz w:w="15840" w:h="12240" w:orient="landscape"/>
          <w:pgMar w:top="810" w:right="990" w:bottom="1440" w:left="720" w:header="720" w:footer="720" w:gutter="0"/>
          <w:pgNumType w:start="1"/>
          <w:cols w:space="720"/>
          <w:docGrid w:linePitch="326"/>
        </w:sectPr>
      </w:pPr>
      <w:r>
        <w:t>F</w:t>
      </w:r>
      <w:r w:rsidRPr="00207635" w:rsidR="00DA6050">
        <w:t xml:space="preserve">or wage costs:  use </w:t>
      </w:r>
      <w:hyperlink r:id="rId14">
        <w:r w:rsidRPr="00207635" w:rsidR="00DA6050">
          <w:rPr>
            <w:rStyle w:val="Hyperlink"/>
          </w:rPr>
          <w:t>www.bls.gov/oes</w:t>
        </w:r>
      </w:hyperlink>
      <w:r w:rsidRPr="00207635" w:rsidR="00DA6050">
        <w:t xml:space="preserve"> , then click on OES Data in the left-hand column, then National to find Occupational Employment Wage Rates for the current year.  Find the appropriate Occupational Title of the Respondent completing the Information Collection and use the Mean hourly wage.  </w:t>
      </w:r>
    </w:p>
    <w:p w:rsidR="00891A0E" w:rsidP="00207635" w:rsidRDefault="00891A0E" w14:paraId="32EE5236" w14:textId="113330E4">
      <w:pPr>
        <w:rPr>
          <w:b/>
        </w:rPr>
      </w:pPr>
    </w:p>
    <w:p w:rsidR="00B37706" w:rsidRDefault="00B37706" w14:paraId="08E1EB03" w14:textId="77777777"/>
    <w:tbl>
      <w:tblPr>
        <w:tblStyle w:val="a"/>
        <w:tblW w:w="14048" w:type="dxa"/>
        <w:tblLayout w:type="fixed"/>
        <w:tblLook w:val="0000" w:firstRow="0" w:lastRow="0" w:firstColumn="0" w:lastColumn="0" w:noHBand="0" w:noVBand="0"/>
      </w:tblPr>
      <w:tblGrid>
        <w:gridCol w:w="4040"/>
        <w:gridCol w:w="1620"/>
        <w:gridCol w:w="1188"/>
        <w:gridCol w:w="1170"/>
        <w:gridCol w:w="1080"/>
        <w:gridCol w:w="1080"/>
        <w:gridCol w:w="1170"/>
        <w:gridCol w:w="1350"/>
        <w:gridCol w:w="1350"/>
      </w:tblGrid>
      <w:tr w:rsidR="00891A0E" w14:paraId="17BA6FAE" w14:textId="77777777">
        <w:trPr>
          <w:trHeight w:val="1140"/>
        </w:trPr>
        <w:tc>
          <w:tcPr>
            <w:tcW w:w="4040" w:type="dxa"/>
            <w:tcBorders>
              <w:top w:val="single" w:color="000000" w:sz="8" w:space="0"/>
              <w:left w:val="single" w:color="000000" w:sz="8" w:space="0"/>
              <w:bottom w:val="single" w:color="000000" w:sz="8" w:space="0"/>
              <w:right w:val="single" w:color="000000" w:sz="8" w:space="0"/>
            </w:tcBorders>
            <w:shd w:val="clear" w:color="auto" w:fill="5B9BD5"/>
            <w:vAlign w:val="center"/>
          </w:tcPr>
          <w:p w:rsidR="00891A0E" w:rsidRDefault="00DA6050" w14:paraId="7BD4ADE4" w14:textId="77777777">
            <w:pPr>
              <w:widowControl/>
              <w:jc w:val="center"/>
              <w:rPr>
                <w:rFonts w:ascii="Calibri" w:hAnsi="Calibri" w:eastAsia="Calibri" w:cs="Calibri"/>
                <w:color w:val="000000"/>
                <w:sz w:val="18"/>
                <w:szCs w:val="18"/>
              </w:rPr>
            </w:pPr>
            <w:r>
              <w:rPr>
                <w:rFonts w:ascii="Calibri" w:hAnsi="Calibri" w:eastAsia="Calibri" w:cs="Calibri"/>
                <w:b/>
                <w:color w:val="000000"/>
                <w:sz w:val="18"/>
                <w:szCs w:val="18"/>
              </w:rPr>
              <w:t>Information Collection</w:t>
            </w:r>
          </w:p>
        </w:tc>
        <w:tc>
          <w:tcPr>
            <w:tcW w:w="1620" w:type="dxa"/>
            <w:tcBorders>
              <w:top w:val="single" w:color="000000" w:sz="8" w:space="0"/>
              <w:left w:val="nil"/>
              <w:bottom w:val="single" w:color="000000" w:sz="8" w:space="0"/>
              <w:right w:val="single" w:color="000000" w:sz="8" w:space="0"/>
            </w:tcBorders>
            <w:shd w:val="clear" w:color="auto" w:fill="5B9BD5"/>
            <w:vAlign w:val="center"/>
          </w:tcPr>
          <w:p w:rsidR="00891A0E" w:rsidRDefault="00DA6050" w14:paraId="29200096" w14:textId="77777777">
            <w:pPr>
              <w:widowControl/>
              <w:jc w:val="center"/>
              <w:rPr>
                <w:rFonts w:ascii="Calibri" w:hAnsi="Calibri" w:eastAsia="Calibri" w:cs="Calibri"/>
                <w:color w:val="000000"/>
                <w:sz w:val="18"/>
                <w:szCs w:val="18"/>
              </w:rPr>
            </w:pPr>
            <w:r>
              <w:rPr>
                <w:rFonts w:ascii="Calibri" w:hAnsi="Calibri" w:eastAsia="Calibri" w:cs="Calibri"/>
                <w:b/>
                <w:color w:val="000000"/>
                <w:sz w:val="18"/>
                <w:szCs w:val="18"/>
              </w:rPr>
              <w:t>Type of Respondent (Occupational Title)</w:t>
            </w:r>
          </w:p>
        </w:tc>
        <w:tc>
          <w:tcPr>
            <w:tcW w:w="1188" w:type="dxa"/>
            <w:tcBorders>
              <w:top w:val="single" w:color="000000" w:sz="8" w:space="0"/>
              <w:left w:val="nil"/>
              <w:bottom w:val="single" w:color="000000" w:sz="8" w:space="0"/>
              <w:right w:val="single" w:color="000000" w:sz="8" w:space="0"/>
            </w:tcBorders>
            <w:shd w:val="clear" w:color="auto" w:fill="5B9BD5"/>
            <w:vAlign w:val="center"/>
          </w:tcPr>
          <w:p w:rsidR="00891A0E" w:rsidRDefault="00DA6050" w14:paraId="4BC33E9A" w14:textId="77777777">
            <w:pPr>
              <w:widowControl/>
              <w:jc w:val="center"/>
              <w:rPr>
                <w:rFonts w:ascii="Calibri" w:hAnsi="Calibri" w:eastAsia="Calibri" w:cs="Calibri"/>
                <w:color w:val="000000"/>
                <w:sz w:val="18"/>
                <w:szCs w:val="18"/>
              </w:rPr>
            </w:pPr>
            <w:r>
              <w:rPr>
                <w:rFonts w:ascii="Calibri" w:hAnsi="Calibri" w:eastAsia="Calibri" w:cs="Calibri"/>
                <w:b/>
                <w:color w:val="000000"/>
                <w:sz w:val="18"/>
                <w:szCs w:val="18"/>
              </w:rPr>
              <w:t># of Respondents</w:t>
            </w:r>
          </w:p>
        </w:tc>
        <w:tc>
          <w:tcPr>
            <w:tcW w:w="1170" w:type="dxa"/>
            <w:tcBorders>
              <w:top w:val="single" w:color="000000" w:sz="8" w:space="0"/>
              <w:left w:val="nil"/>
              <w:bottom w:val="single" w:color="000000" w:sz="8" w:space="0"/>
              <w:right w:val="single" w:color="000000" w:sz="8" w:space="0"/>
            </w:tcBorders>
            <w:shd w:val="clear" w:color="auto" w:fill="5B9BD5"/>
            <w:vAlign w:val="center"/>
          </w:tcPr>
          <w:p w:rsidR="00891A0E" w:rsidRDefault="00DA6050" w14:paraId="1C45780F" w14:textId="77777777">
            <w:pPr>
              <w:widowControl/>
              <w:jc w:val="center"/>
              <w:rPr>
                <w:rFonts w:ascii="Calibri" w:hAnsi="Calibri" w:eastAsia="Calibri" w:cs="Calibri"/>
                <w:color w:val="000000"/>
                <w:sz w:val="18"/>
                <w:szCs w:val="18"/>
              </w:rPr>
            </w:pPr>
            <w:r>
              <w:rPr>
                <w:rFonts w:ascii="Calibri" w:hAnsi="Calibri" w:eastAsia="Calibri" w:cs="Calibri"/>
                <w:b/>
                <w:color w:val="000000"/>
                <w:sz w:val="18"/>
                <w:szCs w:val="18"/>
              </w:rPr>
              <w:t>Annual # of Responses / Respondent</w:t>
            </w:r>
          </w:p>
        </w:tc>
        <w:tc>
          <w:tcPr>
            <w:tcW w:w="1080" w:type="dxa"/>
            <w:tcBorders>
              <w:top w:val="single" w:color="000000" w:sz="8" w:space="0"/>
              <w:left w:val="nil"/>
              <w:bottom w:val="single" w:color="000000" w:sz="8" w:space="0"/>
              <w:right w:val="single" w:color="000000" w:sz="8" w:space="0"/>
            </w:tcBorders>
            <w:shd w:val="clear" w:color="auto" w:fill="5B9BD5"/>
            <w:vAlign w:val="center"/>
          </w:tcPr>
          <w:p w:rsidR="00891A0E" w:rsidRDefault="00DA6050" w14:paraId="301B9052" w14:textId="77777777">
            <w:pPr>
              <w:widowControl/>
              <w:jc w:val="center"/>
              <w:rPr>
                <w:rFonts w:ascii="Calibri" w:hAnsi="Calibri" w:eastAsia="Calibri" w:cs="Calibri"/>
                <w:color w:val="000000"/>
                <w:sz w:val="18"/>
                <w:szCs w:val="18"/>
              </w:rPr>
            </w:pPr>
            <w:r>
              <w:rPr>
                <w:rFonts w:ascii="Calibri" w:hAnsi="Calibri" w:eastAsia="Calibri" w:cs="Calibri"/>
                <w:b/>
                <w:color w:val="000000"/>
                <w:sz w:val="18"/>
                <w:szCs w:val="18"/>
              </w:rPr>
              <w:t xml:space="preserve"> Total # of Annual Responses</w:t>
            </w:r>
          </w:p>
        </w:tc>
        <w:tc>
          <w:tcPr>
            <w:tcW w:w="1080" w:type="dxa"/>
            <w:tcBorders>
              <w:top w:val="single" w:color="000000" w:sz="8" w:space="0"/>
              <w:left w:val="nil"/>
              <w:bottom w:val="single" w:color="000000" w:sz="8" w:space="0"/>
              <w:right w:val="single" w:color="000000" w:sz="8" w:space="0"/>
            </w:tcBorders>
            <w:shd w:val="clear" w:color="auto" w:fill="5B9BD5"/>
            <w:vAlign w:val="center"/>
          </w:tcPr>
          <w:p w:rsidR="00891A0E" w:rsidRDefault="00DA6050" w14:paraId="2C7C6E76" w14:textId="77777777">
            <w:pPr>
              <w:widowControl/>
              <w:jc w:val="center"/>
              <w:rPr>
                <w:rFonts w:ascii="Calibri" w:hAnsi="Calibri" w:eastAsia="Calibri" w:cs="Calibri"/>
                <w:color w:val="000000"/>
                <w:sz w:val="18"/>
                <w:szCs w:val="18"/>
              </w:rPr>
            </w:pPr>
            <w:r>
              <w:rPr>
                <w:rFonts w:ascii="Calibri" w:hAnsi="Calibri" w:eastAsia="Calibri" w:cs="Calibri"/>
                <w:b/>
                <w:color w:val="000000"/>
                <w:sz w:val="18"/>
                <w:szCs w:val="18"/>
              </w:rPr>
              <w:t>Burden Hrs / Response</w:t>
            </w:r>
          </w:p>
        </w:tc>
        <w:tc>
          <w:tcPr>
            <w:tcW w:w="1170" w:type="dxa"/>
            <w:tcBorders>
              <w:top w:val="single" w:color="000000" w:sz="8" w:space="0"/>
              <w:left w:val="nil"/>
              <w:bottom w:val="single" w:color="000000" w:sz="8" w:space="0"/>
              <w:right w:val="single" w:color="000000" w:sz="8" w:space="0"/>
            </w:tcBorders>
            <w:shd w:val="clear" w:color="auto" w:fill="5B9BD5"/>
            <w:vAlign w:val="center"/>
          </w:tcPr>
          <w:p w:rsidR="00891A0E" w:rsidRDefault="00DA6050" w14:paraId="3CA66216" w14:textId="77777777">
            <w:pPr>
              <w:widowControl/>
              <w:jc w:val="center"/>
              <w:rPr>
                <w:rFonts w:ascii="Calibri" w:hAnsi="Calibri" w:eastAsia="Calibri" w:cs="Calibri"/>
                <w:color w:val="000000"/>
                <w:sz w:val="18"/>
                <w:szCs w:val="18"/>
              </w:rPr>
            </w:pPr>
            <w:r>
              <w:rPr>
                <w:rFonts w:ascii="Calibri" w:hAnsi="Calibri" w:eastAsia="Calibri" w:cs="Calibri"/>
                <w:b/>
                <w:color w:val="000000"/>
                <w:sz w:val="18"/>
                <w:szCs w:val="18"/>
              </w:rPr>
              <w:t>Total Annual Burden Hrs</w:t>
            </w:r>
          </w:p>
        </w:tc>
        <w:tc>
          <w:tcPr>
            <w:tcW w:w="1350" w:type="dxa"/>
            <w:tcBorders>
              <w:top w:val="single" w:color="000000" w:sz="8" w:space="0"/>
              <w:left w:val="nil"/>
              <w:bottom w:val="single" w:color="000000" w:sz="8" w:space="0"/>
              <w:right w:val="single" w:color="000000" w:sz="8" w:space="0"/>
            </w:tcBorders>
            <w:shd w:val="clear" w:color="auto" w:fill="5B9BD5"/>
            <w:vAlign w:val="center"/>
          </w:tcPr>
          <w:p w:rsidR="00891A0E" w:rsidRDefault="00DA6050" w14:paraId="560DA8D4" w14:textId="77777777">
            <w:pPr>
              <w:widowControl/>
              <w:jc w:val="center"/>
              <w:rPr>
                <w:rFonts w:ascii="Calibri" w:hAnsi="Calibri" w:eastAsia="Calibri" w:cs="Calibri"/>
                <w:color w:val="000000"/>
                <w:sz w:val="18"/>
                <w:szCs w:val="18"/>
              </w:rPr>
            </w:pPr>
            <w:r>
              <w:rPr>
                <w:rFonts w:ascii="Calibri" w:hAnsi="Calibri" w:eastAsia="Calibri" w:cs="Calibri"/>
                <w:b/>
                <w:color w:val="000000"/>
                <w:sz w:val="18"/>
                <w:szCs w:val="18"/>
              </w:rPr>
              <w:t>Mean Hourly Wage Rate  (for Type of Respondent)</w:t>
            </w:r>
          </w:p>
        </w:tc>
        <w:tc>
          <w:tcPr>
            <w:tcW w:w="1350" w:type="dxa"/>
            <w:tcBorders>
              <w:top w:val="single" w:color="000000" w:sz="8" w:space="0"/>
              <w:left w:val="nil"/>
              <w:bottom w:val="single" w:color="000000" w:sz="8" w:space="0"/>
              <w:right w:val="single" w:color="000000" w:sz="8" w:space="0"/>
            </w:tcBorders>
            <w:shd w:val="clear" w:color="auto" w:fill="5B9BD5"/>
            <w:vAlign w:val="center"/>
          </w:tcPr>
          <w:p w:rsidR="00891A0E" w:rsidRDefault="00DA6050" w14:paraId="6512A7C0" w14:textId="77777777">
            <w:pPr>
              <w:widowControl/>
              <w:jc w:val="center"/>
              <w:rPr>
                <w:rFonts w:ascii="Calibri" w:hAnsi="Calibri" w:eastAsia="Calibri" w:cs="Calibri"/>
                <w:color w:val="000000"/>
                <w:sz w:val="18"/>
                <w:szCs w:val="18"/>
              </w:rPr>
            </w:pPr>
            <w:r>
              <w:rPr>
                <w:rFonts w:ascii="Calibri" w:hAnsi="Calibri" w:eastAsia="Calibri" w:cs="Calibri"/>
                <w:b/>
                <w:color w:val="000000"/>
                <w:sz w:val="18"/>
                <w:szCs w:val="18"/>
              </w:rPr>
              <w:t>Total Annual Wage Burden Costs</w:t>
            </w:r>
          </w:p>
        </w:tc>
      </w:tr>
      <w:tr w:rsidR="00891A0E" w14:paraId="6210BBB3" w14:textId="77777777">
        <w:trPr>
          <w:trHeight w:val="300"/>
        </w:trPr>
        <w:tc>
          <w:tcPr>
            <w:tcW w:w="4040" w:type="dxa"/>
            <w:tcBorders>
              <w:top w:val="nil"/>
              <w:left w:val="single" w:color="000000" w:sz="8" w:space="0"/>
              <w:bottom w:val="single" w:color="000000" w:sz="4" w:space="0"/>
              <w:right w:val="single" w:color="000000" w:sz="4" w:space="0"/>
            </w:tcBorders>
          </w:tcPr>
          <w:p w:rsidR="00891A0E" w:rsidP="00A857C9" w:rsidRDefault="00DA6050" w14:paraId="665B3482" w14:textId="1B893AC7">
            <w:pPr>
              <w:widowControl/>
              <w:rPr>
                <w:rFonts w:ascii="Calibri" w:hAnsi="Calibri" w:eastAsia="Calibri" w:cs="Calibri"/>
                <w:color w:val="000000"/>
                <w:sz w:val="20"/>
                <w:szCs w:val="20"/>
              </w:rPr>
            </w:pPr>
            <w:r>
              <w:rPr>
                <w:rFonts w:ascii="Calibri" w:hAnsi="Calibri" w:eastAsia="Calibri" w:cs="Calibri"/>
                <w:color w:val="000000"/>
                <w:sz w:val="20"/>
                <w:szCs w:val="20"/>
              </w:rPr>
              <w:t>Bridge Log &amp; FAD Form</w:t>
            </w:r>
          </w:p>
        </w:tc>
        <w:tc>
          <w:tcPr>
            <w:tcW w:w="1620" w:type="dxa"/>
            <w:tcBorders>
              <w:top w:val="nil"/>
              <w:left w:val="nil"/>
              <w:bottom w:val="single" w:color="000000" w:sz="4" w:space="0"/>
              <w:right w:val="single" w:color="000000" w:sz="4" w:space="0"/>
            </w:tcBorders>
          </w:tcPr>
          <w:p w:rsidR="00891A0E" w:rsidRDefault="00DA6050" w14:paraId="53FA584F" w14:textId="57A7D2E5">
            <w:pPr>
              <w:widowControl/>
              <w:jc w:val="center"/>
              <w:rPr>
                <w:rFonts w:ascii="Calibri" w:hAnsi="Calibri" w:eastAsia="Calibri" w:cs="Calibri"/>
                <w:color w:val="000000"/>
                <w:sz w:val="20"/>
                <w:szCs w:val="20"/>
              </w:rPr>
            </w:pPr>
            <w:r>
              <w:rPr>
                <w:rFonts w:ascii="Calibri" w:hAnsi="Calibri" w:eastAsia="Calibri" w:cs="Calibri"/>
                <w:color w:val="000000"/>
                <w:sz w:val="20"/>
                <w:szCs w:val="20"/>
              </w:rPr>
              <w:t>Fisherman</w:t>
            </w:r>
          </w:p>
        </w:tc>
        <w:tc>
          <w:tcPr>
            <w:tcW w:w="1188" w:type="dxa"/>
            <w:tcBorders>
              <w:top w:val="nil"/>
              <w:left w:val="nil"/>
              <w:bottom w:val="single" w:color="000000" w:sz="4" w:space="0"/>
              <w:right w:val="single" w:color="000000" w:sz="4" w:space="0"/>
            </w:tcBorders>
          </w:tcPr>
          <w:p w:rsidR="00891A0E" w:rsidRDefault="00DA6050" w14:paraId="461ABCEB" w14:textId="77777777">
            <w:pPr>
              <w:widowControl/>
              <w:jc w:val="right"/>
              <w:rPr>
                <w:rFonts w:ascii="Calibri" w:hAnsi="Calibri" w:eastAsia="Calibri" w:cs="Calibri"/>
                <w:color w:val="000000"/>
                <w:sz w:val="20"/>
                <w:szCs w:val="20"/>
              </w:rPr>
            </w:pPr>
            <w:r>
              <w:rPr>
                <w:rFonts w:ascii="Calibri" w:hAnsi="Calibri" w:eastAsia="Calibri" w:cs="Calibri"/>
                <w:color w:val="000000"/>
                <w:sz w:val="20"/>
                <w:szCs w:val="20"/>
              </w:rPr>
              <w:t>19 </w:t>
            </w:r>
          </w:p>
        </w:tc>
        <w:tc>
          <w:tcPr>
            <w:tcW w:w="1170" w:type="dxa"/>
            <w:tcBorders>
              <w:top w:val="nil"/>
              <w:left w:val="nil"/>
              <w:bottom w:val="single" w:color="000000" w:sz="4" w:space="0"/>
              <w:right w:val="single" w:color="000000" w:sz="4" w:space="0"/>
            </w:tcBorders>
          </w:tcPr>
          <w:p w:rsidR="00891A0E" w:rsidRDefault="00DA6050" w14:paraId="0ACE64A2" w14:textId="77777777">
            <w:pPr>
              <w:widowControl/>
              <w:jc w:val="right"/>
              <w:rPr>
                <w:rFonts w:ascii="Calibri" w:hAnsi="Calibri" w:eastAsia="Calibri" w:cs="Calibri"/>
                <w:color w:val="000000"/>
                <w:sz w:val="20"/>
                <w:szCs w:val="20"/>
              </w:rPr>
            </w:pPr>
            <w:r>
              <w:rPr>
                <w:rFonts w:ascii="Calibri" w:hAnsi="Calibri" w:eastAsia="Calibri" w:cs="Calibri"/>
                <w:sz w:val="20"/>
                <w:szCs w:val="20"/>
              </w:rPr>
              <w:t>195</w:t>
            </w:r>
            <w:r>
              <w:rPr>
                <w:rFonts w:ascii="Calibri" w:hAnsi="Calibri" w:eastAsia="Calibri" w:cs="Calibri"/>
                <w:color w:val="000000"/>
                <w:sz w:val="20"/>
                <w:szCs w:val="20"/>
              </w:rPr>
              <w:t> </w:t>
            </w:r>
          </w:p>
        </w:tc>
        <w:tc>
          <w:tcPr>
            <w:tcW w:w="1080" w:type="dxa"/>
            <w:tcBorders>
              <w:top w:val="nil"/>
              <w:left w:val="nil"/>
              <w:bottom w:val="single" w:color="000000" w:sz="4" w:space="0"/>
              <w:right w:val="single" w:color="000000" w:sz="4" w:space="0"/>
            </w:tcBorders>
          </w:tcPr>
          <w:p w:rsidR="00891A0E" w:rsidRDefault="00DA6050" w14:paraId="2AF7457D" w14:textId="77777777">
            <w:pPr>
              <w:widowControl/>
              <w:jc w:val="right"/>
              <w:rPr>
                <w:rFonts w:ascii="Calibri" w:hAnsi="Calibri" w:eastAsia="Calibri" w:cs="Calibri"/>
                <w:color w:val="000000"/>
                <w:sz w:val="20"/>
                <w:szCs w:val="20"/>
              </w:rPr>
            </w:pPr>
            <w:r>
              <w:rPr>
                <w:rFonts w:ascii="Calibri" w:hAnsi="Calibri" w:eastAsia="Calibri" w:cs="Calibri"/>
                <w:sz w:val="20"/>
                <w:szCs w:val="20"/>
              </w:rPr>
              <w:t>3,705</w:t>
            </w:r>
          </w:p>
        </w:tc>
        <w:tc>
          <w:tcPr>
            <w:tcW w:w="1080" w:type="dxa"/>
            <w:tcBorders>
              <w:top w:val="nil"/>
              <w:left w:val="nil"/>
              <w:bottom w:val="single" w:color="000000" w:sz="4" w:space="0"/>
              <w:right w:val="single" w:color="000000" w:sz="4" w:space="0"/>
            </w:tcBorders>
          </w:tcPr>
          <w:p w:rsidR="00891A0E" w:rsidRDefault="00DA6050" w14:paraId="6B318D72" w14:textId="77777777">
            <w:pPr>
              <w:widowControl/>
              <w:jc w:val="right"/>
              <w:rPr>
                <w:rFonts w:ascii="Calibri" w:hAnsi="Calibri" w:eastAsia="Calibri" w:cs="Calibri"/>
                <w:color w:val="000000"/>
                <w:sz w:val="20"/>
                <w:szCs w:val="20"/>
              </w:rPr>
            </w:pPr>
            <w:r>
              <w:rPr>
                <w:rFonts w:ascii="Calibri" w:hAnsi="Calibri" w:eastAsia="Calibri" w:cs="Calibri"/>
                <w:color w:val="000000"/>
                <w:sz w:val="20"/>
                <w:szCs w:val="20"/>
              </w:rPr>
              <w:t>6 min </w:t>
            </w:r>
          </w:p>
        </w:tc>
        <w:tc>
          <w:tcPr>
            <w:tcW w:w="1170" w:type="dxa"/>
            <w:tcBorders>
              <w:top w:val="nil"/>
              <w:left w:val="nil"/>
              <w:bottom w:val="single" w:color="000000" w:sz="4" w:space="0"/>
              <w:right w:val="single" w:color="000000" w:sz="4" w:space="0"/>
            </w:tcBorders>
          </w:tcPr>
          <w:p w:rsidR="00891A0E" w:rsidRDefault="00DA6050" w14:paraId="670C41BA" w14:textId="77777777">
            <w:pPr>
              <w:widowControl/>
              <w:jc w:val="right"/>
              <w:rPr>
                <w:rFonts w:ascii="Calibri" w:hAnsi="Calibri" w:eastAsia="Calibri" w:cs="Calibri"/>
                <w:color w:val="000000"/>
                <w:sz w:val="20"/>
                <w:szCs w:val="20"/>
              </w:rPr>
            </w:pPr>
            <w:r>
              <w:rPr>
                <w:rFonts w:ascii="Calibri" w:hAnsi="Calibri" w:eastAsia="Calibri" w:cs="Calibri"/>
                <w:sz w:val="20"/>
                <w:szCs w:val="20"/>
              </w:rPr>
              <w:t>370.50 hours</w:t>
            </w:r>
          </w:p>
        </w:tc>
        <w:tc>
          <w:tcPr>
            <w:tcW w:w="1350" w:type="dxa"/>
            <w:tcBorders>
              <w:top w:val="nil"/>
              <w:left w:val="nil"/>
              <w:bottom w:val="single" w:color="000000" w:sz="4" w:space="0"/>
              <w:right w:val="single" w:color="000000" w:sz="4" w:space="0"/>
            </w:tcBorders>
          </w:tcPr>
          <w:p w:rsidR="00891A0E" w:rsidRDefault="00DA6050" w14:paraId="5C426B63" w14:textId="77777777">
            <w:pPr>
              <w:widowControl/>
              <w:jc w:val="right"/>
              <w:rPr>
                <w:rFonts w:ascii="Calibri" w:hAnsi="Calibri" w:eastAsia="Calibri" w:cs="Calibri"/>
                <w:color w:val="000000"/>
                <w:sz w:val="20"/>
                <w:szCs w:val="20"/>
              </w:rPr>
            </w:pPr>
            <w:r>
              <w:rPr>
                <w:rFonts w:ascii="Calibri" w:hAnsi="Calibri" w:eastAsia="Calibri" w:cs="Calibri"/>
                <w:color w:val="000000"/>
                <w:sz w:val="20"/>
                <w:szCs w:val="20"/>
              </w:rPr>
              <w:t>$14.49 </w:t>
            </w:r>
          </w:p>
        </w:tc>
        <w:tc>
          <w:tcPr>
            <w:tcW w:w="1350" w:type="dxa"/>
            <w:tcBorders>
              <w:top w:val="nil"/>
              <w:left w:val="nil"/>
              <w:bottom w:val="single" w:color="000000" w:sz="4" w:space="0"/>
              <w:right w:val="single" w:color="000000" w:sz="8" w:space="0"/>
            </w:tcBorders>
          </w:tcPr>
          <w:p w:rsidR="00891A0E" w:rsidRDefault="00DA6050" w14:paraId="7B1EA79A" w14:textId="77777777">
            <w:pPr>
              <w:widowControl/>
              <w:jc w:val="center"/>
              <w:rPr>
                <w:rFonts w:ascii="Calibri" w:hAnsi="Calibri" w:eastAsia="Calibri" w:cs="Calibri"/>
                <w:color w:val="000000"/>
                <w:sz w:val="20"/>
                <w:szCs w:val="20"/>
              </w:rPr>
            </w:pPr>
            <w:r>
              <w:rPr>
                <w:rFonts w:ascii="Calibri" w:hAnsi="Calibri" w:eastAsia="Calibri" w:cs="Calibri"/>
                <w:color w:val="000000"/>
                <w:sz w:val="20"/>
                <w:szCs w:val="20"/>
              </w:rPr>
              <w:t> $</w:t>
            </w:r>
            <w:r>
              <w:rPr>
                <w:rFonts w:ascii="Calibri" w:hAnsi="Calibri" w:eastAsia="Calibri" w:cs="Calibri"/>
                <w:sz w:val="20"/>
                <w:szCs w:val="20"/>
              </w:rPr>
              <w:t>5,368.55</w:t>
            </w:r>
          </w:p>
        </w:tc>
      </w:tr>
      <w:tr w:rsidR="009F0A42" w14:paraId="1DD95A0C" w14:textId="77777777">
        <w:trPr>
          <w:trHeight w:val="300"/>
        </w:trPr>
        <w:tc>
          <w:tcPr>
            <w:tcW w:w="4040" w:type="dxa"/>
            <w:tcBorders>
              <w:top w:val="nil"/>
              <w:left w:val="single" w:color="000000" w:sz="8" w:space="0"/>
              <w:bottom w:val="single" w:color="000000" w:sz="4" w:space="0"/>
              <w:right w:val="single" w:color="000000" w:sz="4" w:space="0"/>
            </w:tcBorders>
          </w:tcPr>
          <w:p w:rsidR="009F0A42" w:rsidP="00C31D22" w:rsidRDefault="009F0A42" w14:paraId="0AEAB4DB" w14:textId="0A692DF3">
            <w:pPr>
              <w:widowControl/>
              <w:rPr>
                <w:rFonts w:ascii="Calibri" w:hAnsi="Calibri" w:eastAsia="Calibri" w:cs="Calibri"/>
                <w:color w:val="000000"/>
                <w:sz w:val="20"/>
                <w:szCs w:val="20"/>
              </w:rPr>
            </w:pPr>
            <w:r>
              <w:rPr>
                <w:rFonts w:ascii="Calibri" w:hAnsi="Calibri" w:eastAsia="Calibri" w:cs="Calibri"/>
                <w:sz w:val="20"/>
                <w:szCs w:val="20"/>
              </w:rPr>
              <w:t>FAD satellite buoy reporting</w:t>
            </w:r>
          </w:p>
        </w:tc>
        <w:tc>
          <w:tcPr>
            <w:tcW w:w="1620" w:type="dxa"/>
            <w:tcBorders>
              <w:top w:val="nil"/>
              <w:left w:val="nil"/>
              <w:bottom w:val="single" w:color="000000" w:sz="4" w:space="0"/>
              <w:right w:val="single" w:color="000000" w:sz="4" w:space="0"/>
            </w:tcBorders>
          </w:tcPr>
          <w:p w:rsidR="009F0A42" w:rsidRDefault="009F0A42" w14:paraId="6928F851" w14:textId="377F8553">
            <w:pPr>
              <w:widowControl/>
              <w:jc w:val="center"/>
              <w:rPr>
                <w:rFonts w:ascii="Calibri" w:hAnsi="Calibri" w:eastAsia="Calibri" w:cs="Calibri"/>
                <w:color w:val="000000"/>
                <w:sz w:val="20"/>
                <w:szCs w:val="20"/>
              </w:rPr>
            </w:pPr>
            <w:r>
              <w:rPr>
                <w:rFonts w:ascii="Calibri" w:hAnsi="Calibri" w:eastAsia="Calibri" w:cs="Calibri"/>
                <w:color w:val="000000"/>
                <w:sz w:val="20"/>
                <w:szCs w:val="20"/>
              </w:rPr>
              <w:t>Fisherman</w:t>
            </w:r>
          </w:p>
        </w:tc>
        <w:tc>
          <w:tcPr>
            <w:tcW w:w="1188" w:type="dxa"/>
            <w:tcBorders>
              <w:top w:val="nil"/>
              <w:left w:val="nil"/>
              <w:bottom w:val="single" w:color="000000" w:sz="4" w:space="0"/>
              <w:right w:val="single" w:color="000000" w:sz="4" w:space="0"/>
            </w:tcBorders>
          </w:tcPr>
          <w:p w:rsidR="009F0A42" w:rsidRDefault="009F0A42" w14:paraId="63CB358F" w14:textId="6768F876">
            <w:pPr>
              <w:widowControl/>
              <w:jc w:val="right"/>
              <w:rPr>
                <w:rFonts w:ascii="Calibri" w:hAnsi="Calibri" w:eastAsia="Calibri" w:cs="Calibri"/>
                <w:color w:val="000000"/>
                <w:sz w:val="20"/>
                <w:szCs w:val="20"/>
              </w:rPr>
            </w:pPr>
            <w:r>
              <w:rPr>
                <w:rFonts w:ascii="Calibri" w:hAnsi="Calibri" w:eastAsia="Calibri" w:cs="Calibri"/>
                <w:color w:val="000000"/>
                <w:sz w:val="20"/>
                <w:szCs w:val="20"/>
              </w:rPr>
              <w:t>19</w:t>
            </w:r>
          </w:p>
        </w:tc>
        <w:tc>
          <w:tcPr>
            <w:tcW w:w="1170" w:type="dxa"/>
            <w:tcBorders>
              <w:top w:val="nil"/>
              <w:left w:val="nil"/>
              <w:bottom w:val="single" w:color="000000" w:sz="4" w:space="0"/>
              <w:right w:val="single" w:color="000000" w:sz="4" w:space="0"/>
            </w:tcBorders>
          </w:tcPr>
          <w:p w:rsidR="009F0A42" w:rsidRDefault="009F0A42" w14:paraId="05D28BA4" w14:textId="33FD619F">
            <w:pPr>
              <w:widowControl/>
              <w:jc w:val="right"/>
              <w:rPr>
                <w:rFonts w:ascii="Calibri" w:hAnsi="Calibri" w:eastAsia="Calibri" w:cs="Calibri"/>
                <w:sz w:val="20"/>
                <w:szCs w:val="20"/>
              </w:rPr>
            </w:pPr>
            <w:r>
              <w:rPr>
                <w:rFonts w:ascii="Calibri" w:hAnsi="Calibri" w:eastAsia="Calibri" w:cs="Calibri"/>
                <w:sz w:val="20"/>
                <w:szCs w:val="20"/>
              </w:rPr>
              <w:t>190</w:t>
            </w:r>
          </w:p>
        </w:tc>
        <w:tc>
          <w:tcPr>
            <w:tcW w:w="1080" w:type="dxa"/>
            <w:tcBorders>
              <w:top w:val="nil"/>
              <w:left w:val="nil"/>
              <w:bottom w:val="single" w:color="000000" w:sz="4" w:space="0"/>
              <w:right w:val="single" w:color="000000" w:sz="4" w:space="0"/>
            </w:tcBorders>
          </w:tcPr>
          <w:p w:rsidR="009F0A42" w:rsidRDefault="009F0A42" w14:paraId="7943BA23" w14:textId="614A266F">
            <w:pPr>
              <w:widowControl/>
              <w:jc w:val="right"/>
              <w:rPr>
                <w:rFonts w:ascii="Calibri" w:hAnsi="Calibri" w:eastAsia="Calibri" w:cs="Calibri"/>
                <w:sz w:val="20"/>
                <w:szCs w:val="20"/>
              </w:rPr>
            </w:pPr>
            <w:r>
              <w:rPr>
                <w:rFonts w:ascii="Calibri" w:hAnsi="Calibri" w:eastAsia="Calibri" w:cs="Calibri"/>
                <w:sz w:val="20"/>
                <w:szCs w:val="20"/>
              </w:rPr>
              <w:t>3,610</w:t>
            </w:r>
          </w:p>
        </w:tc>
        <w:tc>
          <w:tcPr>
            <w:tcW w:w="1080" w:type="dxa"/>
            <w:tcBorders>
              <w:top w:val="nil"/>
              <w:left w:val="nil"/>
              <w:bottom w:val="single" w:color="000000" w:sz="4" w:space="0"/>
              <w:right w:val="single" w:color="000000" w:sz="4" w:space="0"/>
            </w:tcBorders>
          </w:tcPr>
          <w:p w:rsidR="009F0A42" w:rsidRDefault="00312404" w14:paraId="3648CD52" w14:textId="52C16644">
            <w:pPr>
              <w:widowControl/>
              <w:jc w:val="right"/>
              <w:rPr>
                <w:rFonts w:ascii="Calibri" w:hAnsi="Calibri" w:eastAsia="Calibri" w:cs="Calibri"/>
                <w:color w:val="000000"/>
                <w:sz w:val="20"/>
                <w:szCs w:val="20"/>
              </w:rPr>
            </w:pPr>
            <w:r>
              <w:rPr>
                <w:rFonts w:ascii="Calibri" w:hAnsi="Calibri" w:eastAsia="Calibri" w:cs="Calibri"/>
                <w:color w:val="000000"/>
                <w:sz w:val="20"/>
                <w:szCs w:val="20"/>
              </w:rPr>
              <w:t xml:space="preserve">3 min </w:t>
            </w:r>
          </w:p>
        </w:tc>
        <w:tc>
          <w:tcPr>
            <w:tcW w:w="1170" w:type="dxa"/>
            <w:tcBorders>
              <w:top w:val="nil"/>
              <w:left w:val="nil"/>
              <w:bottom w:val="single" w:color="000000" w:sz="4" w:space="0"/>
              <w:right w:val="single" w:color="000000" w:sz="4" w:space="0"/>
            </w:tcBorders>
          </w:tcPr>
          <w:p w:rsidR="009F0A42" w:rsidP="00E40F78" w:rsidRDefault="00312404" w14:paraId="21F99F54" w14:textId="0E48F487">
            <w:pPr>
              <w:widowControl/>
              <w:jc w:val="center"/>
              <w:rPr>
                <w:rFonts w:ascii="Calibri" w:hAnsi="Calibri" w:eastAsia="Calibri" w:cs="Calibri"/>
                <w:sz w:val="20"/>
                <w:szCs w:val="20"/>
              </w:rPr>
            </w:pPr>
            <w:r>
              <w:rPr>
                <w:rFonts w:ascii="Calibri" w:hAnsi="Calibri" w:eastAsia="Calibri" w:cs="Calibri"/>
                <w:sz w:val="20"/>
                <w:szCs w:val="20"/>
              </w:rPr>
              <w:t>180.50 hours</w:t>
            </w:r>
          </w:p>
        </w:tc>
        <w:tc>
          <w:tcPr>
            <w:tcW w:w="1350" w:type="dxa"/>
            <w:tcBorders>
              <w:top w:val="nil"/>
              <w:left w:val="nil"/>
              <w:bottom w:val="single" w:color="000000" w:sz="4" w:space="0"/>
              <w:right w:val="single" w:color="000000" w:sz="4" w:space="0"/>
            </w:tcBorders>
          </w:tcPr>
          <w:p w:rsidR="009F0A42" w:rsidRDefault="00312404" w14:paraId="00621982" w14:textId="2D0C2E4F">
            <w:pPr>
              <w:widowControl/>
              <w:jc w:val="right"/>
              <w:rPr>
                <w:rFonts w:ascii="Calibri" w:hAnsi="Calibri" w:eastAsia="Calibri" w:cs="Calibri"/>
                <w:color w:val="000000"/>
                <w:sz w:val="20"/>
                <w:szCs w:val="20"/>
              </w:rPr>
            </w:pPr>
            <w:r>
              <w:rPr>
                <w:rFonts w:ascii="Calibri" w:hAnsi="Calibri" w:eastAsia="Calibri" w:cs="Calibri"/>
                <w:color w:val="000000"/>
                <w:sz w:val="20"/>
                <w:szCs w:val="20"/>
              </w:rPr>
              <w:t>$14.49 </w:t>
            </w:r>
          </w:p>
        </w:tc>
        <w:tc>
          <w:tcPr>
            <w:tcW w:w="1350" w:type="dxa"/>
            <w:tcBorders>
              <w:top w:val="nil"/>
              <w:left w:val="nil"/>
              <w:bottom w:val="single" w:color="000000" w:sz="4" w:space="0"/>
              <w:right w:val="single" w:color="000000" w:sz="8" w:space="0"/>
            </w:tcBorders>
          </w:tcPr>
          <w:p w:rsidR="009F0A42" w:rsidRDefault="00312404" w14:paraId="4E794859" w14:textId="3646CBA0">
            <w:pPr>
              <w:widowControl/>
              <w:jc w:val="center"/>
              <w:rPr>
                <w:rFonts w:ascii="Calibri" w:hAnsi="Calibri" w:eastAsia="Calibri" w:cs="Calibri"/>
                <w:color w:val="000000"/>
                <w:sz w:val="20"/>
                <w:szCs w:val="20"/>
              </w:rPr>
            </w:pPr>
            <w:r>
              <w:rPr>
                <w:rFonts w:ascii="Calibri" w:hAnsi="Calibri" w:eastAsia="Calibri" w:cs="Calibri"/>
                <w:color w:val="000000"/>
                <w:sz w:val="20"/>
                <w:szCs w:val="20"/>
              </w:rPr>
              <w:t>$2,615.45</w:t>
            </w:r>
          </w:p>
        </w:tc>
      </w:tr>
      <w:tr w:rsidR="00891A0E" w14:paraId="32454913" w14:textId="77777777">
        <w:trPr>
          <w:trHeight w:val="300"/>
        </w:trPr>
        <w:tc>
          <w:tcPr>
            <w:tcW w:w="4040" w:type="dxa"/>
            <w:tcBorders>
              <w:top w:val="nil"/>
              <w:left w:val="single" w:color="000000" w:sz="8" w:space="0"/>
              <w:bottom w:val="single" w:color="000000" w:sz="8" w:space="0"/>
              <w:right w:val="single" w:color="000000" w:sz="8" w:space="0"/>
            </w:tcBorders>
          </w:tcPr>
          <w:p w:rsidR="00891A0E" w:rsidRDefault="00DA6050" w14:paraId="36FDAC80" w14:textId="77777777">
            <w:pPr>
              <w:widowControl/>
              <w:rPr>
                <w:rFonts w:ascii="Calibri" w:hAnsi="Calibri" w:eastAsia="Calibri" w:cs="Calibri"/>
                <w:color w:val="000000"/>
                <w:sz w:val="20"/>
                <w:szCs w:val="20"/>
              </w:rPr>
            </w:pPr>
            <w:r>
              <w:rPr>
                <w:rFonts w:ascii="Calibri" w:hAnsi="Calibri" w:eastAsia="Calibri" w:cs="Calibri"/>
                <w:sz w:val="20"/>
                <w:szCs w:val="20"/>
              </w:rPr>
              <w:t>Observer reporting</w:t>
            </w:r>
          </w:p>
        </w:tc>
        <w:tc>
          <w:tcPr>
            <w:tcW w:w="1620" w:type="dxa"/>
            <w:tcBorders>
              <w:top w:val="nil"/>
              <w:left w:val="nil"/>
              <w:bottom w:val="single" w:color="000000" w:sz="8" w:space="0"/>
              <w:right w:val="single" w:color="000000" w:sz="8" w:space="0"/>
            </w:tcBorders>
          </w:tcPr>
          <w:p w:rsidR="00891A0E" w:rsidRDefault="00DA6050" w14:paraId="3CCF889C" w14:textId="77777777">
            <w:pPr>
              <w:widowControl/>
              <w:rPr>
                <w:rFonts w:ascii="Calibri" w:hAnsi="Calibri" w:eastAsia="Calibri" w:cs="Calibri"/>
                <w:color w:val="000000"/>
                <w:sz w:val="20"/>
                <w:szCs w:val="20"/>
              </w:rPr>
            </w:pPr>
            <w:r>
              <w:rPr>
                <w:rFonts w:ascii="Calibri" w:hAnsi="Calibri" w:eastAsia="Calibri" w:cs="Calibri"/>
                <w:sz w:val="20"/>
                <w:szCs w:val="20"/>
              </w:rPr>
              <w:t>Biological Technician</w:t>
            </w:r>
          </w:p>
        </w:tc>
        <w:tc>
          <w:tcPr>
            <w:tcW w:w="1188" w:type="dxa"/>
            <w:tcBorders>
              <w:top w:val="nil"/>
              <w:left w:val="nil"/>
              <w:bottom w:val="single" w:color="000000" w:sz="8" w:space="0"/>
              <w:right w:val="single" w:color="000000" w:sz="8" w:space="0"/>
            </w:tcBorders>
          </w:tcPr>
          <w:p w:rsidR="00891A0E" w:rsidRDefault="00DA6050" w14:paraId="00B8A7E9" w14:textId="77777777">
            <w:pPr>
              <w:widowControl/>
              <w:jc w:val="right"/>
              <w:rPr>
                <w:rFonts w:ascii="Calibri" w:hAnsi="Calibri" w:eastAsia="Calibri" w:cs="Calibri"/>
                <w:color w:val="000000"/>
                <w:sz w:val="20"/>
                <w:szCs w:val="20"/>
              </w:rPr>
            </w:pPr>
            <w:r>
              <w:rPr>
                <w:rFonts w:ascii="Calibri" w:hAnsi="Calibri" w:eastAsia="Calibri" w:cs="Calibri"/>
                <w:color w:val="000000"/>
                <w:sz w:val="20"/>
                <w:szCs w:val="20"/>
              </w:rPr>
              <w:t> 38</w:t>
            </w:r>
          </w:p>
        </w:tc>
        <w:tc>
          <w:tcPr>
            <w:tcW w:w="1170" w:type="dxa"/>
            <w:tcBorders>
              <w:top w:val="nil"/>
              <w:left w:val="nil"/>
              <w:bottom w:val="single" w:color="000000" w:sz="8" w:space="0"/>
              <w:right w:val="single" w:color="000000" w:sz="8" w:space="0"/>
            </w:tcBorders>
          </w:tcPr>
          <w:p w:rsidR="00891A0E" w:rsidRDefault="00DA6050" w14:paraId="470E43F3" w14:textId="77777777">
            <w:pPr>
              <w:widowControl/>
              <w:jc w:val="right"/>
              <w:rPr>
                <w:rFonts w:ascii="Calibri" w:hAnsi="Calibri" w:eastAsia="Calibri" w:cs="Calibri"/>
                <w:color w:val="000000"/>
                <w:sz w:val="20"/>
                <w:szCs w:val="20"/>
              </w:rPr>
            </w:pPr>
            <w:r>
              <w:rPr>
                <w:rFonts w:ascii="Calibri" w:hAnsi="Calibri" w:eastAsia="Calibri" w:cs="Calibri"/>
                <w:color w:val="000000"/>
                <w:sz w:val="20"/>
                <w:szCs w:val="20"/>
              </w:rPr>
              <w:t> 1</w:t>
            </w:r>
          </w:p>
        </w:tc>
        <w:tc>
          <w:tcPr>
            <w:tcW w:w="1080" w:type="dxa"/>
            <w:tcBorders>
              <w:top w:val="nil"/>
              <w:left w:val="nil"/>
              <w:bottom w:val="single" w:color="000000" w:sz="8" w:space="0"/>
              <w:right w:val="single" w:color="000000" w:sz="8" w:space="0"/>
            </w:tcBorders>
          </w:tcPr>
          <w:p w:rsidR="00891A0E" w:rsidRDefault="00DA6050" w14:paraId="0951A4DD" w14:textId="77777777">
            <w:pPr>
              <w:widowControl/>
              <w:jc w:val="right"/>
              <w:rPr>
                <w:rFonts w:ascii="Calibri" w:hAnsi="Calibri" w:eastAsia="Calibri" w:cs="Calibri"/>
                <w:color w:val="000000"/>
                <w:sz w:val="20"/>
                <w:szCs w:val="20"/>
              </w:rPr>
            </w:pPr>
            <w:r>
              <w:rPr>
                <w:rFonts w:ascii="Calibri" w:hAnsi="Calibri" w:eastAsia="Calibri" w:cs="Calibri"/>
                <w:color w:val="000000"/>
                <w:sz w:val="20"/>
                <w:szCs w:val="20"/>
              </w:rPr>
              <w:t> 1</w:t>
            </w:r>
          </w:p>
        </w:tc>
        <w:tc>
          <w:tcPr>
            <w:tcW w:w="1080" w:type="dxa"/>
            <w:tcBorders>
              <w:top w:val="nil"/>
              <w:left w:val="nil"/>
              <w:bottom w:val="single" w:color="000000" w:sz="8" w:space="0"/>
              <w:right w:val="single" w:color="000000" w:sz="8" w:space="0"/>
            </w:tcBorders>
          </w:tcPr>
          <w:p w:rsidR="00891A0E" w:rsidRDefault="00DA6050" w14:paraId="1C2E5A39" w14:textId="77777777">
            <w:pPr>
              <w:widowControl/>
              <w:jc w:val="right"/>
              <w:rPr>
                <w:rFonts w:ascii="Calibri" w:hAnsi="Calibri" w:eastAsia="Calibri" w:cs="Calibri"/>
                <w:color w:val="000000"/>
                <w:sz w:val="20"/>
                <w:szCs w:val="20"/>
              </w:rPr>
            </w:pPr>
            <w:r>
              <w:rPr>
                <w:rFonts w:ascii="Calibri" w:hAnsi="Calibri" w:eastAsia="Calibri" w:cs="Calibri"/>
                <w:sz w:val="20"/>
                <w:szCs w:val="20"/>
              </w:rPr>
              <w:t>5 min</w:t>
            </w:r>
          </w:p>
        </w:tc>
        <w:tc>
          <w:tcPr>
            <w:tcW w:w="1170" w:type="dxa"/>
            <w:tcBorders>
              <w:top w:val="nil"/>
              <w:left w:val="nil"/>
              <w:bottom w:val="single" w:color="000000" w:sz="8" w:space="0"/>
              <w:right w:val="single" w:color="000000" w:sz="8" w:space="0"/>
            </w:tcBorders>
          </w:tcPr>
          <w:p w:rsidR="00891A0E" w:rsidRDefault="00DA6050" w14:paraId="39480F6E" w14:textId="77777777">
            <w:pPr>
              <w:widowControl/>
              <w:jc w:val="right"/>
              <w:rPr>
                <w:rFonts w:ascii="Calibri" w:hAnsi="Calibri" w:eastAsia="Calibri" w:cs="Calibri"/>
                <w:color w:val="000000"/>
                <w:sz w:val="20"/>
                <w:szCs w:val="20"/>
              </w:rPr>
            </w:pPr>
            <w:r>
              <w:rPr>
                <w:rFonts w:ascii="Calibri" w:hAnsi="Calibri" w:eastAsia="Calibri" w:cs="Calibri"/>
                <w:sz w:val="20"/>
                <w:szCs w:val="20"/>
              </w:rPr>
              <w:t>5 min</w:t>
            </w:r>
          </w:p>
        </w:tc>
        <w:tc>
          <w:tcPr>
            <w:tcW w:w="1350" w:type="dxa"/>
            <w:tcBorders>
              <w:top w:val="nil"/>
              <w:left w:val="nil"/>
              <w:bottom w:val="single" w:color="000000" w:sz="8" w:space="0"/>
              <w:right w:val="single" w:color="000000" w:sz="8" w:space="0"/>
            </w:tcBorders>
          </w:tcPr>
          <w:p w:rsidR="00891A0E" w:rsidRDefault="00DA6050" w14:paraId="1C84B6D2" w14:textId="77777777">
            <w:pPr>
              <w:widowControl/>
              <w:jc w:val="right"/>
              <w:rPr>
                <w:rFonts w:ascii="Calibri" w:hAnsi="Calibri" w:eastAsia="Calibri" w:cs="Calibri"/>
                <w:color w:val="000000"/>
                <w:sz w:val="20"/>
                <w:szCs w:val="20"/>
              </w:rPr>
            </w:pPr>
            <w:r>
              <w:rPr>
                <w:rFonts w:ascii="Calibri" w:hAnsi="Calibri" w:eastAsia="Calibri" w:cs="Calibri"/>
                <w:color w:val="000000"/>
                <w:sz w:val="20"/>
                <w:szCs w:val="20"/>
              </w:rPr>
              <w:t> $23.10</w:t>
            </w:r>
          </w:p>
        </w:tc>
        <w:tc>
          <w:tcPr>
            <w:tcW w:w="1350" w:type="dxa"/>
            <w:tcBorders>
              <w:top w:val="nil"/>
              <w:left w:val="nil"/>
              <w:bottom w:val="single" w:color="000000" w:sz="8" w:space="0"/>
              <w:right w:val="single" w:color="000000" w:sz="8" w:space="0"/>
            </w:tcBorders>
          </w:tcPr>
          <w:p w:rsidR="00891A0E" w:rsidRDefault="00DA6050" w14:paraId="2A66512F" w14:textId="77777777">
            <w:pPr>
              <w:widowControl/>
              <w:jc w:val="center"/>
              <w:rPr>
                <w:rFonts w:ascii="Calibri" w:hAnsi="Calibri" w:eastAsia="Calibri" w:cs="Calibri"/>
                <w:color w:val="000000"/>
                <w:sz w:val="20"/>
                <w:szCs w:val="20"/>
              </w:rPr>
            </w:pPr>
            <w:r>
              <w:rPr>
                <w:rFonts w:ascii="Calibri" w:hAnsi="Calibri" w:eastAsia="Calibri" w:cs="Calibri"/>
                <w:sz w:val="20"/>
                <w:szCs w:val="20"/>
              </w:rPr>
              <w:t>$1.93</w:t>
            </w:r>
          </w:p>
        </w:tc>
      </w:tr>
      <w:tr w:rsidR="00A943F3" w14:paraId="4ED8B641" w14:textId="77777777">
        <w:trPr>
          <w:trHeight w:val="300"/>
        </w:trPr>
        <w:tc>
          <w:tcPr>
            <w:tcW w:w="4040" w:type="dxa"/>
            <w:tcBorders>
              <w:top w:val="nil"/>
              <w:left w:val="single" w:color="000000" w:sz="8" w:space="0"/>
              <w:bottom w:val="single" w:color="000000" w:sz="8" w:space="0"/>
              <w:right w:val="single" w:color="000000" w:sz="8" w:space="0"/>
            </w:tcBorders>
          </w:tcPr>
          <w:p w:rsidR="00A943F3" w:rsidRDefault="00A943F3" w14:paraId="0F21908F" w14:textId="6B5980FA">
            <w:pPr>
              <w:widowControl/>
              <w:rPr>
                <w:rFonts w:ascii="Calibri" w:hAnsi="Calibri" w:eastAsia="Calibri" w:cs="Calibri"/>
                <w:sz w:val="20"/>
                <w:szCs w:val="20"/>
              </w:rPr>
            </w:pPr>
            <w:r>
              <w:rPr>
                <w:rFonts w:ascii="Calibri" w:hAnsi="Calibri" w:eastAsia="Calibri" w:cs="Calibri"/>
                <w:sz w:val="20"/>
                <w:szCs w:val="20"/>
              </w:rPr>
              <w:t>Cannery data</w:t>
            </w:r>
          </w:p>
        </w:tc>
        <w:tc>
          <w:tcPr>
            <w:tcW w:w="1620" w:type="dxa"/>
            <w:tcBorders>
              <w:top w:val="nil"/>
              <w:left w:val="nil"/>
              <w:bottom w:val="single" w:color="000000" w:sz="8" w:space="0"/>
              <w:right w:val="single" w:color="000000" w:sz="8" w:space="0"/>
            </w:tcBorders>
          </w:tcPr>
          <w:p w:rsidR="00A943F3" w:rsidRDefault="00A943F3" w14:paraId="15B376F9" w14:textId="1B1C92CB">
            <w:pPr>
              <w:widowControl/>
              <w:rPr>
                <w:rFonts w:ascii="Calibri" w:hAnsi="Calibri" w:eastAsia="Calibri" w:cs="Calibri"/>
                <w:sz w:val="20"/>
                <w:szCs w:val="20"/>
              </w:rPr>
            </w:pPr>
            <w:r>
              <w:rPr>
                <w:rFonts w:ascii="Calibri" w:hAnsi="Calibri" w:eastAsia="Calibri" w:cs="Calibri"/>
                <w:color w:val="000000"/>
                <w:sz w:val="20"/>
                <w:szCs w:val="20"/>
              </w:rPr>
              <w:t>Fisherman</w:t>
            </w:r>
          </w:p>
        </w:tc>
        <w:tc>
          <w:tcPr>
            <w:tcW w:w="1188" w:type="dxa"/>
            <w:tcBorders>
              <w:top w:val="nil"/>
              <w:left w:val="nil"/>
              <w:bottom w:val="single" w:color="000000" w:sz="8" w:space="0"/>
              <w:right w:val="single" w:color="000000" w:sz="8" w:space="0"/>
            </w:tcBorders>
          </w:tcPr>
          <w:p w:rsidR="00A943F3" w:rsidRDefault="009F0A42" w14:paraId="20E7EAB4" w14:textId="3CEBF1B1">
            <w:pPr>
              <w:widowControl/>
              <w:jc w:val="right"/>
              <w:rPr>
                <w:rFonts w:ascii="Calibri" w:hAnsi="Calibri" w:eastAsia="Calibri" w:cs="Calibri"/>
                <w:color w:val="000000"/>
                <w:sz w:val="20"/>
                <w:szCs w:val="20"/>
              </w:rPr>
            </w:pPr>
            <w:r>
              <w:rPr>
                <w:rFonts w:ascii="Calibri" w:hAnsi="Calibri" w:eastAsia="Calibri" w:cs="Calibri"/>
                <w:color w:val="000000"/>
                <w:sz w:val="20"/>
                <w:szCs w:val="20"/>
              </w:rPr>
              <w:t>19</w:t>
            </w:r>
          </w:p>
        </w:tc>
        <w:tc>
          <w:tcPr>
            <w:tcW w:w="1170" w:type="dxa"/>
            <w:tcBorders>
              <w:top w:val="nil"/>
              <w:left w:val="nil"/>
              <w:bottom w:val="single" w:color="000000" w:sz="8" w:space="0"/>
              <w:right w:val="single" w:color="000000" w:sz="8" w:space="0"/>
            </w:tcBorders>
          </w:tcPr>
          <w:p w:rsidR="00A943F3" w:rsidRDefault="00312404" w14:paraId="7C23B05D" w14:textId="59CF3F6D">
            <w:pPr>
              <w:widowControl/>
              <w:jc w:val="right"/>
              <w:rPr>
                <w:rFonts w:ascii="Calibri" w:hAnsi="Calibri" w:eastAsia="Calibri" w:cs="Calibri"/>
                <w:color w:val="000000"/>
                <w:sz w:val="20"/>
                <w:szCs w:val="20"/>
              </w:rPr>
            </w:pPr>
            <w:r>
              <w:rPr>
                <w:rFonts w:ascii="Calibri" w:hAnsi="Calibri" w:eastAsia="Calibri" w:cs="Calibri"/>
                <w:color w:val="000000"/>
                <w:sz w:val="20"/>
                <w:szCs w:val="20"/>
              </w:rPr>
              <w:t>195</w:t>
            </w:r>
          </w:p>
        </w:tc>
        <w:tc>
          <w:tcPr>
            <w:tcW w:w="1080" w:type="dxa"/>
            <w:tcBorders>
              <w:top w:val="nil"/>
              <w:left w:val="nil"/>
              <w:bottom w:val="single" w:color="000000" w:sz="8" w:space="0"/>
              <w:right w:val="single" w:color="000000" w:sz="8" w:space="0"/>
            </w:tcBorders>
          </w:tcPr>
          <w:p w:rsidR="00A943F3" w:rsidRDefault="00312404" w14:paraId="0031C9BD" w14:textId="4EC00773">
            <w:pPr>
              <w:widowControl/>
              <w:jc w:val="right"/>
              <w:rPr>
                <w:rFonts w:ascii="Calibri" w:hAnsi="Calibri" w:eastAsia="Calibri" w:cs="Calibri"/>
                <w:color w:val="000000"/>
                <w:sz w:val="20"/>
                <w:szCs w:val="20"/>
              </w:rPr>
            </w:pPr>
            <w:r>
              <w:rPr>
                <w:rFonts w:ascii="Calibri" w:hAnsi="Calibri" w:eastAsia="Calibri" w:cs="Calibri"/>
                <w:sz w:val="20"/>
                <w:szCs w:val="20"/>
              </w:rPr>
              <w:t>3,705</w:t>
            </w:r>
          </w:p>
        </w:tc>
        <w:tc>
          <w:tcPr>
            <w:tcW w:w="1080" w:type="dxa"/>
            <w:tcBorders>
              <w:top w:val="nil"/>
              <w:left w:val="nil"/>
              <w:bottom w:val="single" w:color="000000" w:sz="8" w:space="0"/>
              <w:right w:val="single" w:color="000000" w:sz="8" w:space="0"/>
            </w:tcBorders>
          </w:tcPr>
          <w:p w:rsidR="00A943F3" w:rsidRDefault="00312404" w14:paraId="11150525" w14:textId="0EF24CC8">
            <w:pPr>
              <w:widowControl/>
              <w:jc w:val="right"/>
              <w:rPr>
                <w:rFonts w:ascii="Calibri" w:hAnsi="Calibri" w:eastAsia="Calibri" w:cs="Calibri"/>
                <w:sz w:val="20"/>
                <w:szCs w:val="20"/>
              </w:rPr>
            </w:pPr>
            <w:r>
              <w:rPr>
                <w:rFonts w:ascii="Calibri" w:hAnsi="Calibri" w:eastAsia="Calibri" w:cs="Calibri"/>
                <w:sz w:val="20"/>
                <w:szCs w:val="20"/>
              </w:rPr>
              <w:t>5 min</w:t>
            </w:r>
          </w:p>
        </w:tc>
        <w:tc>
          <w:tcPr>
            <w:tcW w:w="1170" w:type="dxa"/>
            <w:tcBorders>
              <w:top w:val="nil"/>
              <w:left w:val="nil"/>
              <w:bottom w:val="single" w:color="000000" w:sz="8" w:space="0"/>
              <w:right w:val="single" w:color="000000" w:sz="8" w:space="0"/>
            </w:tcBorders>
          </w:tcPr>
          <w:p w:rsidR="00A943F3" w:rsidRDefault="001512C1" w14:paraId="6E7319BB" w14:textId="6AC6A2DA">
            <w:pPr>
              <w:widowControl/>
              <w:jc w:val="right"/>
              <w:rPr>
                <w:rFonts w:ascii="Calibri" w:hAnsi="Calibri" w:eastAsia="Calibri" w:cs="Calibri"/>
                <w:sz w:val="20"/>
                <w:szCs w:val="20"/>
              </w:rPr>
            </w:pPr>
            <w:r>
              <w:rPr>
                <w:rFonts w:ascii="Calibri" w:hAnsi="Calibri" w:eastAsia="Calibri" w:cs="Calibri"/>
                <w:sz w:val="20"/>
                <w:szCs w:val="20"/>
              </w:rPr>
              <w:t>308.75</w:t>
            </w:r>
            <w:r w:rsidR="00312404">
              <w:rPr>
                <w:rFonts w:ascii="Calibri" w:hAnsi="Calibri" w:eastAsia="Calibri" w:cs="Calibri"/>
                <w:sz w:val="20"/>
                <w:szCs w:val="20"/>
              </w:rPr>
              <w:t xml:space="preserve"> hours</w:t>
            </w:r>
          </w:p>
        </w:tc>
        <w:tc>
          <w:tcPr>
            <w:tcW w:w="1350" w:type="dxa"/>
            <w:tcBorders>
              <w:top w:val="nil"/>
              <w:left w:val="nil"/>
              <w:bottom w:val="single" w:color="000000" w:sz="8" w:space="0"/>
              <w:right w:val="single" w:color="000000" w:sz="8" w:space="0"/>
            </w:tcBorders>
          </w:tcPr>
          <w:p w:rsidR="00A943F3" w:rsidRDefault="00312404" w14:paraId="50AF1978" w14:textId="52D97D50">
            <w:pPr>
              <w:widowControl/>
              <w:jc w:val="right"/>
              <w:rPr>
                <w:rFonts w:ascii="Calibri" w:hAnsi="Calibri" w:eastAsia="Calibri" w:cs="Calibri"/>
                <w:color w:val="000000"/>
                <w:sz w:val="20"/>
                <w:szCs w:val="20"/>
              </w:rPr>
            </w:pPr>
            <w:r>
              <w:rPr>
                <w:rFonts w:ascii="Calibri" w:hAnsi="Calibri" w:eastAsia="Calibri" w:cs="Calibri"/>
                <w:color w:val="000000"/>
                <w:sz w:val="20"/>
                <w:szCs w:val="20"/>
              </w:rPr>
              <w:t>$14.49 </w:t>
            </w:r>
          </w:p>
        </w:tc>
        <w:tc>
          <w:tcPr>
            <w:tcW w:w="1350" w:type="dxa"/>
            <w:tcBorders>
              <w:top w:val="nil"/>
              <w:left w:val="nil"/>
              <w:bottom w:val="single" w:color="000000" w:sz="8" w:space="0"/>
              <w:right w:val="single" w:color="000000" w:sz="8" w:space="0"/>
            </w:tcBorders>
          </w:tcPr>
          <w:p w:rsidR="00A943F3" w:rsidP="001512C1" w:rsidRDefault="00312404" w14:paraId="6870EA48" w14:textId="7F443268">
            <w:pPr>
              <w:widowControl/>
              <w:jc w:val="center"/>
              <w:rPr>
                <w:rFonts w:ascii="Calibri" w:hAnsi="Calibri" w:eastAsia="Calibri" w:cs="Calibri"/>
                <w:sz w:val="20"/>
                <w:szCs w:val="20"/>
              </w:rPr>
            </w:pPr>
            <w:r>
              <w:rPr>
                <w:rFonts w:ascii="Calibri" w:hAnsi="Calibri" w:eastAsia="Calibri" w:cs="Calibri"/>
                <w:color w:val="000000"/>
                <w:sz w:val="20"/>
                <w:szCs w:val="20"/>
              </w:rPr>
              <w:t> $</w:t>
            </w:r>
            <w:r w:rsidR="001512C1">
              <w:rPr>
                <w:rFonts w:ascii="Calibri" w:hAnsi="Calibri" w:eastAsia="Calibri" w:cs="Calibri"/>
                <w:sz w:val="20"/>
                <w:szCs w:val="20"/>
              </w:rPr>
              <w:t>4,473.79</w:t>
            </w:r>
          </w:p>
        </w:tc>
      </w:tr>
      <w:tr w:rsidR="00891A0E" w14:paraId="677E3DFE" w14:textId="77777777">
        <w:trPr>
          <w:trHeight w:val="300"/>
        </w:trPr>
        <w:tc>
          <w:tcPr>
            <w:tcW w:w="4040" w:type="dxa"/>
            <w:tcBorders>
              <w:top w:val="nil"/>
              <w:left w:val="single" w:color="000000" w:sz="8" w:space="0"/>
              <w:bottom w:val="single" w:color="000000" w:sz="8" w:space="0"/>
              <w:right w:val="single" w:color="000000" w:sz="8" w:space="0"/>
            </w:tcBorders>
            <w:shd w:val="clear" w:color="auto" w:fill="BDD7EE"/>
          </w:tcPr>
          <w:p w:rsidR="00891A0E" w:rsidRDefault="00DA6050" w14:paraId="27111EF1" w14:textId="77777777">
            <w:pPr>
              <w:widowControl/>
              <w:rPr>
                <w:rFonts w:ascii="Calibri" w:hAnsi="Calibri" w:eastAsia="Calibri" w:cs="Calibri"/>
                <w:color w:val="000000"/>
                <w:sz w:val="20"/>
                <w:szCs w:val="20"/>
              </w:rPr>
            </w:pPr>
            <w:r>
              <w:rPr>
                <w:rFonts w:ascii="Calibri" w:hAnsi="Calibri" w:eastAsia="Calibri" w:cs="Calibri"/>
                <w:sz w:val="20"/>
                <w:szCs w:val="20"/>
              </w:rPr>
              <w:t>Total</w:t>
            </w:r>
          </w:p>
        </w:tc>
        <w:tc>
          <w:tcPr>
            <w:tcW w:w="1620" w:type="dxa"/>
            <w:tcBorders>
              <w:top w:val="nil"/>
              <w:left w:val="nil"/>
              <w:bottom w:val="single" w:color="000000" w:sz="8" w:space="0"/>
              <w:right w:val="single" w:color="000000" w:sz="8" w:space="0"/>
            </w:tcBorders>
            <w:shd w:val="clear" w:color="auto" w:fill="000000"/>
          </w:tcPr>
          <w:p w:rsidR="00891A0E" w:rsidRDefault="00891A0E" w14:paraId="56DCD080" w14:textId="77777777">
            <w:pPr>
              <w:widowControl/>
              <w:rPr>
                <w:rFonts w:ascii="Calibri" w:hAnsi="Calibri" w:eastAsia="Calibri" w:cs="Calibri"/>
                <w:color w:val="000000"/>
                <w:sz w:val="20"/>
                <w:szCs w:val="20"/>
                <w:highlight w:val="black"/>
              </w:rPr>
            </w:pPr>
          </w:p>
        </w:tc>
        <w:tc>
          <w:tcPr>
            <w:tcW w:w="1188" w:type="dxa"/>
            <w:tcBorders>
              <w:top w:val="nil"/>
              <w:left w:val="nil"/>
              <w:bottom w:val="single" w:color="000000" w:sz="8" w:space="0"/>
              <w:right w:val="single" w:color="000000" w:sz="8" w:space="0"/>
            </w:tcBorders>
            <w:shd w:val="clear" w:color="auto" w:fill="000000"/>
          </w:tcPr>
          <w:p w:rsidR="00891A0E" w:rsidRDefault="00891A0E" w14:paraId="7037AD3E" w14:textId="77777777">
            <w:pPr>
              <w:widowControl/>
              <w:rPr>
                <w:rFonts w:ascii="Calibri" w:hAnsi="Calibri" w:eastAsia="Calibri" w:cs="Calibri"/>
                <w:color w:val="000000"/>
                <w:sz w:val="20"/>
                <w:szCs w:val="20"/>
                <w:highlight w:val="black"/>
              </w:rPr>
            </w:pPr>
          </w:p>
        </w:tc>
        <w:tc>
          <w:tcPr>
            <w:tcW w:w="1170" w:type="dxa"/>
            <w:tcBorders>
              <w:top w:val="nil"/>
              <w:left w:val="nil"/>
              <w:bottom w:val="single" w:color="000000" w:sz="8" w:space="0"/>
              <w:right w:val="single" w:color="000000" w:sz="8" w:space="0"/>
            </w:tcBorders>
            <w:shd w:val="clear" w:color="auto" w:fill="000000"/>
          </w:tcPr>
          <w:p w:rsidR="00891A0E" w:rsidRDefault="00891A0E" w14:paraId="22FE0F33" w14:textId="07A2FEE8">
            <w:pPr>
              <w:widowControl/>
              <w:rPr>
                <w:rFonts w:ascii="Calibri" w:hAnsi="Calibri" w:eastAsia="Calibri" w:cs="Calibri"/>
                <w:color w:val="000000"/>
                <w:sz w:val="20"/>
                <w:szCs w:val="20"/>
                <w:highlight w:val="black"/>
              </w:rPr>
            </w:pPr>
          </w:p>
        </w:tc>
        <w:tc>
          <w:tcPr>
            <w:tcW w:w="1080" w:type="dxa"/>
            <w:tcBorders>
              <w:top w:val="nil"/>
              <w:left w:val="nil"/>
              <w:bottom w:val="single" w:color="000000" w:sz="8" w:space="0"/>
              <w:right w:val="single" w:color="000000" w:sz="8" w:space="0"/>
            </w:tcBorders>
            <w:shd w:val="clear" w:color="auto" w:fill="BDD7EE"/>
          </w:tcPr>
          <w:p w:rsidR="00891A0E" w:rsidRDefault="001512C1" w14:paraId="0799CBC2" w14:textId="5214C12E">
            <w:pPr>
              <w:widowControl/>
              <w:rPr>
                <w:rFonts w:ascii="Calibri" w:hAnsi="Calibri" w:eastAsia="Calibri" w:cs="Calibri"/>
                <w:color w:val="000000"/>
                <w:sz w:val="20"/>
                <w:szCs w:val="20"/>
              </w:rPr>
            </w:pPr>
            <w:r>
              <w:rPr>
                <w:rFonts w:ascii="Calibri" w:hAnsi="Calibri" w:eastAsia="Calibri" w:cs="Calibri"/>
                <w:sz w:val="20"/>
                <w:szCs w:val="20"/>
              </w:rPr>
              <w:t>11,021</w:t>
            </w:r>
          </w:p>
        </w:tc>
        <w:tc>
          <w:tcPr>
            <w:tcW w:w="1080" w:type="dxa"/>
            <w:tcBorders>
              <w:top w:val="nil"/>
              <w:left w:val="nil"/>
              <w:bottom w:val="single" w:color="000000" w:sz="8" w:space="0"/>
              <w:right w:val="single" w:color="000000" w:sz="8" w:space="0"/>
            </w:tcBorders>
            <w:shd w:val="clear" w:color="auto" w:fill="000000"/>
          </w:tcPr>
          <w:p w:rsidR="00891A0E" w:rsidRDefault="00891A0E" w14:paraId="322A75BE" w14:textId="77777777">
            <w:pPr>
              <w:widowControl/>
              <w:rPr>
                <w:rFonts w:ascii="Calibri" w:hAnsi="Calibri" w:eastAsia="Calibri" w:cs="Calibri"/>
                <w:color w:val="000000"/>
                <w:sz w:val="20"/>
                <w:szCs w:val="20"/>
              </w:rPr>
            </w:pPr>
          </w:p>
        </w:tc>
        <w:tc>
          <w:tcPr>
            <w:tcW w:w="1170" w:type="dxa"/>
            <w:tcBorders>
              <w:top w:val="nil"/>
              <w:left w:val="nil"/>
              <w:bottom w:val="single" w:color="000000" w:sz="8" w:space="0"/>
              <w:right w:val="single" w:color="000000" w:sz="8" w:space="0"/>
            </w:tcBorders>
            <w:shd w:val="clear" w:color="auto" w:fill="BDD7EE"/>
          </w:tcPr>
          <w:p w:rsidR="00891A0E" w:rsidRDefault="001512C1" w14:paraId="21F3D091" w14:textId="6A358BB0">
            <w:pPr>
              <w:widowControl/>
              <w:rPr>
                <w:rFonts w:ascii="Calibri" w:hAnsi="Calibri" w:eastAsia="Calibri" w:cs="Calibri"/>
                <w:color w:val="000000"/>
                <w:sz w:val="20"/>
                <w:szCs w:val="20"/>
              </w:rPr>
            </w:pPr>
            <w:r>
              <w:rPr>
                <w:rFonts w:ascii="Calibri" w:hAnsi="Calibri" w:eastAsia="Calibri" w:cs="Calibri"/>
                <w:sz w:val="20"/>
                <w:szCs w:val="20"/>
              </w:rPr>
              <w:t>861</w:t>
            </w:r>
          </w:p>
        </w:tc>
        <w:tc>
          <w:tcPr>
            <w:tcW w:w="1350" w:type="dxa"/>
            <w:tcBorders>
              <w:top w:val="nil"/>
              <w:left w:val="nil"/>
              <w:bottom w:val="single" w:color="000000" w:sz="8" w:space="0"/>
              <w:right w:val="single" w:color="000000" w:sz="8" w:space="0"/>
            </w:tcBorders>
            <w:shd w:val="clear" w:color="auto" w:fill="000000"/>
          </w:tcPr>
          <w:p w:rsidR="00891A0E" w:rsidRDefault="00891A0E" w14:paraId="21951CA6" w14:textId="77777777">
            <w:pPr>
              <w:widowControl/>
              <w:rPr>
                <w:rFonts w:ascii="Calibri" w:hAnsi="Calibri" w:eastAsia="Calibri" w:cs="Calibri"/>
                <w:color w:val="000000"/>
                <w:sz w:val="20"/>
                <w:szCs w:val="20"/>
              </w:rPr>
            </w:pPr>
          </w:p>
        </w:tc>
        <w:tc>
          <w:tcPr>
            <w:tcW w:w="1350" w:type="dxa"/>
            <w:tcBorders>
              <w:top w:val="nil"/>
              <w:left w:val="nil"/>
              <w:bottom w:val="single" w:color="000000" w:sz="8" w:space="0"/>
              <w:right w:val="single" w:color="000000" w:sz="8" w:space="0"/>
            </w:tcBorders>
            <w:shd w:val="clear" w:color="auto" w:fill="BDD7EE"/>
          </w:tcPr>
          <w:p w:rsidR="00891A0E" w:rsidP="001512C1" w:rsidRDefault="00DA6050" w14:paraId="7078DB34" w14:textId="2DA7A7E7">
            <w:pPr>
              <w:widowControl/>
              <w:jc w:val="center"/>
              <w:rPr>
                <w:rFonts w:ascii="Calibri" w:hAnsi="Calibri" w:eastAsia="Calibri" w:cs="Calibri"/>
                <w:color w:val="000000"/>
                <w:sz w:val="20"/>
                <w:szCs w:val="20"/>
              </w:rPr>
            </w:pPr>
            <w:r>
              <w:rPr>
                <w:rFonts w:ascii="Calibri" w:hAnsi="Calibri" w:eastAsia="Calibri" w:cs="Calibri"/>
                <w:sz w:val="20"/>
                <w:szCs w:val="20"/>
              </w:rPr>
              <w:t>$</w:t>
            </w:r>
            <w:r w:rsidR="001512C1">
              <w:rPr>
                <w:rFonts w:ascii="Calibri" w:hAnsi="Calibri" w:eastAsia="Calibri" w:cs="Calibri"/>
                <w:sz w:val="20"/>
                <w:szCs w:val="20"/>
              </w:rPr>
              <w:t>12,459.72</w:t>
            </w:r>
          </w:p>
        </w:tc>
      </w:tr>
    </w:tbl>
    <w:p w:rsidR="00891A0E" w:rsidRDefault="00891A0E" w14:paraId="711D2CE3" w14:textId="77777777">
      <w:pPr>
        <w:sectPr w:rsidR="00891A0E" w:rsidSect="00207635">
          <w:type w:val="continuous"/>
          <w:pgSz w:w="15840" w:h="12240" w:orient="landscape"/>
          <w:pgMar w:top="810" w:right="990" w:bottom="1440" w:left="720" w:header="720" w:footer="720" w:gutter="0"/>
          <w:pgNumType w:start="1"/>
          <w:cols w:equalWidth="0" w:space="720">
            <w:col w:w="8640"/>
          </w:cols>
          <w:docGrid w:linePitch="326"/>
        </w:sectPr>
      </w:pPr>
    </w:p>
    <w:p w:rsidRPr="00BD7237" w:rsidR="00F143E0" w:rsidP="00F143E0" w:rsidRDefault="00DA6050" w14:paraId="5AAA8C53" w14:textId="77777777">
      <w:pPr>
        <w:pStyle w:val="ListParagraph"/>
        <w:tabs>
          <w:tab w:val="left" w:pos="360"/>
        </w:tabs>
        <w:spacing w:before="80"/>
        <w:ind w:left="0" w:firstLine="0"/>
        <w:rPr>
          <w:rFonts w:ascii="Times New Roman" w:hAnsi="Times New Roman" w:cs="Times New Roman"/>
          <w:b/>
          <w:sz w:val="24"/>
          <w:szCs w:val="24"/>
        </w:rPr>
      </w:pPr>
      <w:r>
        <w:rPr>
          <w:b/>
        </w:rPr>
        <w:t>13.</w:t>
      </w:r>
      <w:r>
        <w:rPr>
          <w:b/>
        </w:rPr>
        <w:tab/>
      </w:r>
      <w:r w:rsidRPr="00BD7237" w:rsidR="00F143E0">
        <w:rPr>
          <w:rFonts w:ascii="Times New Roman" w:hAnsi="Times New Roman" w:cs="Times New Roman"/>
          <w:b/>
          <w:sz w:val="24"/>
          <w:szCs w:val="24"/>
        </w:rPr>
        <w:t>Provide an estimate for the total annual cost burden to respondents or record keepers resulting from the collection of information. (Do not include the cost of any hour burden already reflected on the burden worksheet).</w:t>
      </w:r>
    </w:p>
    <w:p w:rsidR="00891A0E" w:rsidRDefault="00891A0E" w14:paraId="074FE4B9" w14:textId="0AF7ACBD">
      <w:pPr>
        <w:tabs>
          <w:tab w:val="left" w:pos="540"/>
        </w:tabs>
      </w:pPr>
    </w:p>
    <w:tbl>
      <w:tblPr>
        <w:tblStyle w:val="a0"/>
        <w:tblW w:w="9980" w:type="dxa"/>
        <w:tblLayout w:type="fixed"/>
        <w:tblLook w:val="0000" w:firstRow="0" w:lastRow="0" w:firstColumn="0" w:lastColumn="0" w:noHBand="0" w:noVBand="0"/>
      </w:tblPr>
      <w:tblGrid>
        <w:gridCol w:w="3758"/>
        <w:gridCol w:w="1186"/>
        <w:gridCol w:w="1170"/>
        <w:gridCol w:w="1349"/>
        <w:gridCol w:w="1170"/>
        <w:gridCol w:w="1347"/>
      </w:tblGrid>
      <w:tr w:rsidR="00891A0E" w14:paraId="74878C6C" w14:textId="77777777">
        <w:trPr>
          <w:trHeight w:val="680"/>
        </w:trPr>
        <w:tc>
          <w:tcPr>
            <w:tcW w:w="3758" w:type="dxa"/>
            <w:tcBorders>
              <w:top w:val="single" w:color="000000" w:sz="8" w:space="0"/>
              <w:left w:val="single" w:color="000000" w:sz="8" w:space="0"/>
              <w:bottom w:val="single" w:color="000000" w:sz="8" w:space="0"/>
              <w:right w:val="single" w:color="000000" w:sz="8" w:space="0"/>
            </w:tcBorders>
            <w:shd w:val="clear" w:color="auto" w:fill="5B9BD5"/>
            <w:vAlign w:val="center"/>
          </w:tcPr>
          <w:p w:rsidR="00891A0E" w:rsidRDefault="00DA6050" w14:paraId="1F06422F" w14:textId="77777777">
            <w:pPr>
              <w:widowControl/>
              <w:jc w:val="center"/>
              <w:rPr>
                <w:rFonts w:ascii="Calibri" w:hAnsi="Calibri" w:eastAsia="Calibri" w:cs="Calibri"/>
                <w:color w:val="000000"/>
                <w:sz w:val="18"/>
                <w:szCs w:val="18"/>
              </w:rPr>
            </w:pPr>
            <w:r>
              <w:rPr>
                <w:rFonts w:ascii="Calibri" w:hAnsi="Calibri" w:eastAsia="Calibri" w:cs="Calibri"/>
                <w:b/>
                <w:color w:val="000000"/>
                <w:sz w:val="18"/>
                <w:szCs w:val="18"/>
              </w:rPr>
              <w:t>Information Collection</w:t>
            </w:r>
          </w:p>
        </w:tc>
        <w:tc>
          <w:tcPr>
            <w:tcW w:w="1186" w:type="dxa"/>
            <w:tcBorders>
              <w:top w:val="single" w:color="000000" w:sz="8" w:space="0"/>
              <w:left w:val="nil"/>
              <w:bottom w:val="single" w:color="000000" w:sz="8" w:space="0"/>
              <w:right w:val="single" w:color="000000" w:sz="8" w:space="0"/>
            </w:tcBorders>
            <w:shd w:val="clear" w:color="auto" w:fill="5B9BD5"/>
            <w:vAlign w:val="center"/>
          </w:tcPr>
          <w:p w:rsidR="00891A0E" w:rsidRDefault="00DA6050" w14:paraId="4E25C8A9" w14:textId="77777777">
            <w:pPr>
              <w:widowControl/>
              <w:jc w:val="center"/>
              <w:rPr>
                <w:rFonts w:ascii="Calibri" w:hAnsi="Calibri" w:eastAsia="Calibri" w:cs="Calibri"/>
                <w:color w:val="000000"/>
                <w:sz w:val="18"/>
                <w:szCs w:val="18"/>
              </w:rPr>
            </w:pPr>
            <w:r>
              <w:rPr>
                <w:rFonts w:ascii="Calibri" w:hAnsi="Calibri" w:eastAsia="Calibri" w:cs="Calibri"/>
                <w:b/>
                <w:color w:val="000000"/>
                <w:sz w:val="18"/>
                <w:szCs w:val="18"/>
              </w:rPr>
              <w:t># of Respondents</w:t>
            </w:r>
          </w:p>
        </w:tc>
        <w:tc>
          <w:tcPr>
            <w:tcW w:w="1170" w:type="dxa"/>
            <w:tcBorders>
              <w:top w:val="single" w:color="000000" w:sz="8" w:space="0"/>
              <w:left w:val="nil"/>
              <w:bottom w:val="single" w:color="000000" w:sz="8" w:space="0"/>
              <w:right w:val="single" w:color="000000" w:sz="8" w:space="0"/>
            </w:tcBorders>
            <w:shd w:val="clear" w:color="auto" w:fill="5B9BD5"/>
            <w:vAlign w:val="center"/>
          </w:tcPr>
          <w:p w:rsidR="00891A0E" w:rsidRDefault="00DA6050" w14:paraId="1A8FCF18" w14:textId="77777777">
            <w:pPr>
              <w:widowControl/>
              <w:jc w:val="center"/>
              <w:rPr>
                <w:rFonts w:ascii="Calibri" w:hAnsi="Calibri" w:eastAsia="Calibri" w:cs="Calibri"/>
                <w:color w:val="000000"/>
                <w:sz w:val="18"/>
                <w:szCs w:val="18"/>
              </w:rPr>
            </w:pPr>
            <w:r>
              <w:rPr>
                <w:rFonts w:ascii="Calibri" w:hAnsi="Calibri" w:eastAsia="Calibri" w:cs="Calibri"/>
                <w:b/>
                <w:color w:val="000000"/>
                <w:sz w:val="18"/>
                <w:szCs w:val="18"/>
              </w:rPr>
              <w:t>Annual # of Responses / Respondent</w:t>
            </w:r>
          </w:p>
        </w:tc>
        <w:tc>
          <w:tcPr>
            <w:tcW w:w="1349" w:type="dxa"/>
            <w:tcBorders>
              <w:top w:val="single" w:color="000000" w:sz="8" w:space="0"/>
              <w:left w:val="nil"/>
              <w:bottom w:val="single" w:color="000000" w:sz="8" w:space="0"/>
              <w:right w:val="single" w:color="000000" w:sz="8" w:space="0"/>
            </w:tcBorders>
            <w:shd w:val="clear" w:color="auto" w:fill="5B9BD5"/>
            <w:vAlign w:val="center"/>
          </w:tcPr>
          <w:p w:rsidR="00891A0E" w:rsidRDefault="00DA6050" w14:paraId="1A087B13" w14:textId="77777777">
            <w:pPr>
              <w:widowControl/>
              <w:jc w:val="center"/>
              <w:rPr>
                <w:rFonts w:ascii="Calibri" w:hAnsi="Calibri" w:eastAsia="Calibri" w:cs="Calibri"/>
                <w:color w:val="000000"/>
                <w:sz w:val="18"/>
                <w:szCs w:val="18"/>
              </w:rPr>
            </w:pPr>
            <w:r>
              <w:rPr>
                <w:rFonts w:ascii="Calibri" w:hAnsi="Calibri" w:eastAsia="Calibri" w:cs="Calibri"/>
                <w:b/>
                <w:color w:val="000000"/>
                <w:sz w:val="18"/>
                <w:szCs w:val="18"/>
              </w:rPr>
              <w:t xml:space="preserve"> Total # of Annual Responses</w:t>
            </w:r>
          </w:p>
        </w:tc>
        <w:tc>
          <w:tcPr>
            <w:tcW w:w="1170" w:type="dxa"/>
            <w:tcBorders>
              <w:top w:val="single" w:color="000000" w:sz="8" w:space="0"/>
              <w:left w:val="nil"/>
              <w:bottom w:val="single" w:color="000000" w:sz="8" w:space="0"/>
              <w:right w:val="single" w:color="000000" w:sz="8" w:space="0"/>
            </w:tcBorders>
            <w:shd w:val="clear" w:color="auto" w:fill="5B9BD5"/>
            <w:vAlign w:val="center"/>
          </w:tcPr>
          <w:p w:rsidR="00891A0E" w:rsidRDefault="00DA6050" w14:paraId="526659F3" w14:textId="77777777">
            <w:pPr>
              <w:widowControl/>
              <w:jc w:val="center"/>
              <w:rPr>
                <w:rFonts w:ascii="Calibri" w:hAnsi="Calibri" w:eastAsia="Calibri" w:cs="Calibri"/>
                <w:color w:val="000000"/>
                <w:sz w:val="18"/>
                <w:szCs w:val="18"/>
              </w:rPr>
            </w:pPr>
            <w:r>
              <w:rPr>
                <w:rFonts w:ascii="Calibri" w:hAnsi="Calibri" w:eastAsia="Calibri" w:cs="Calibri"/>
                <w:b/>
                <w:color w:val="000000"/>
                <w:sz w:val="18"/>
                <w:szCs w:val="18"/>
              </w:rPr>
              <w:t>Cost Burden / Respondent</w:t>
            </w:r>
          </w:p>
        </w:tc>
        <w:tc>
          <w:tcPr>
            <w:tcW w:w="1347" w:type="dxa"/>
            <w:tcBorders>
              <w:top w:val="single" w:color="000000" w:sz="8" w:space="0"/>
              <w:left w:val="nil"/>
              <w:bottom w:val="single" w:color="000000" w:sz="8" w:space="0"/>
              <w:right w:val="single" w:color="000000" w:sz="8" w:space="0"/>
            </w:tcBorders>
            <w:shd w:val="clear" w:color="auto" w:fill="5B9BD5"/>
            <w:vAlign w:val="center"/>
          </w:tcPr>
          <w:p w:rsidR="00891A0E" w:rsidRDefault="00DA6050" w14:paraId="3B959525" w14:textId="15826D7F">
            <w:pPr>
              <w:widowControl/>
              <w:jc w:val="center"/>
              <w:rPr>
                <w:rFonts w:ascii="Calibri" w:hAnsi="Calibri" w:eastAsia="Calibri" w:cs="Calibri"/>
                <w:color w:val="000000"/>
                <w:sz w:val="18"/>
                <w:szCs w:val="18"/>
              </w:rPr>
            </w:pPr>
            <w:r>
              <w:rPr>
                <w:rFonts w:ascii="Calibri" w:hAnsi="Calibri" w:eastAsia="Calibri" w:cs="Calibri"/>
                <w:b/>
                <w:color w:val="000000"/>
                <w:sz w:val="18"/>
                <w:szCs w:val="18"/>
              </w:rPr>
              <w:t>Total Annual Cost Burden</w:t>
            </w:r>
          </w:p>
        </w:tc>
      </w:tr>
      <w:tr w:rsidR="00891A0E" w14:paraId="7283CD02" w14:textId="77777777">
        <w:trPr>
          <w:trHeight w:val="300"/>
        </w:trPr>
        <w:tc>
          <w:tcPr>
            <w:tcW w:w="3758" w:type="dxa"/>
            <w:tcBorders>
              <w:top w:val="nil"/>
              <w:left w:val="single" w:color="000000" w:sz="4" w:space="0"/>
              <w:bottom w:val="single" w:color="000000" w:sz="4" w:space="0"/>
              <w:right w:val="single" w:color="000000" w:sz="4" w:space="0"/>
            </w:tcBorders>
            <w:shd w:val="clear" w:color="auto" w:fill="auto"/>
            <w:vAlign w:val="center"/>
          </w:tcPr>
          <w:p w:rsidR="00891A0E" w:rsidP="00186B3B" w:rsidRDefault="00DA6050" w14:paraId="0F22FF3A" w14:textId="1582EF2B">
            <w:pPr>
              <w:widowControl/>
              <w:rPr>
                <w:rFonts w:ascii="Calibri" w:hAnsi="Calibri" w:eastAsia="Calibri" w:cs="Calibri"/>
                <w:color w:val="000000"/>
                <w:sz w:val="20"/>
                <w:szCs w:val="20"/>
              </w:rPr>
            </w:pPr>
            <w:r>
              <w:rPr>
                <w:rFonts w:ascii="Calibri" w:hAnsi="Calibri" w:eastAsia="Calibri" w:cs="Calibri"/>
                <w:color w:val="000000"/>
                <w:sz w:val="20"/>
                <w:szCs w:val="20"/>
              </w:rPr>
              <w:t> Bridge Log &amp; Fad Forms</w:t>
            </w:r>
          </w:p>
        </w:tc>
        <w:tc>
          <w:tcPr>
            <w:tcW w:w="1186" w:type="dxa"/>
            <w:tcBorders>
              <w:top w:val="nil"/>
              <w:left w:val="nil"/>
              <w:bottom w:val="single" w:color="000000" w:sz="4" w:space="0"/>
              <w:right w:val="single" w:color="000000" w:sz="4" w:space="0"/>
            </w:tcBorders>
            <w:shd w:val="clear" w:color="auto" w:fill="FFFFFF"/>
            <w:vAlign w:val="center"/>
          </w:tcPr>
          <w:p w:rsidR="00891A0E" w:rsidRDefault="00DA6050" w14:paraId="4CA60E70" w14:textId="77777777">
            <w:pPr>
              <w:widowControl/>
              <w:jc w:val="right"/>
              <w:rPr>
                <w:rFonts w:ascii="Calibri" w:hAnsi="Calibri" w:eastAsia="Calibri" w:cs="Calibri"/>
                <w:color w:val="000000"/>
                <w:sz w:val="20"/>
                <w:szCs w:val="20"/>
              </w:rPr>
            </w:pPr>
            <w:r>
              <w:rPr>
                <w:rFonts w:ascii="Calibri" w:hAnsi="Calibri" w:eastAsia="Calibri" w:cs="Calibri"/>
                <w:color w:val="000000"/>
                <w:sz w:val="20"/>
                <w:szCs w:val="20"/>
              </w:rPr>
              <w:t>19 </w:t>
            </w:r>
          </w:p>
        </w:tc>
        <w:tc>
          <w:tcPr>
            <w:tcW w:w="1170" w:type="dxa"/>
            <w:tcBorders>
              <w:top w:val="nil"/>
              <w:left w:val="nil"/>
              <w:bottom w:val="single" w:color="000000" w:sz="4" w:space="0"/>
              <w:right w:val="single" w:color="000000" w:sz="4" w:space="0"/>
            </w:tcBorders>
            <w:shd w:val="clear" w:color="auto" w:fill="FFFFFF"/>
            <w:vAlign w:val="center"/>
          </w:tcPr>
          <w:p w:rsidR="00891A0E" w:rsidRDefault="00DA6050" w14:paraId="1984CBA3" w14:textId="77777777">
            <w:pPr>
              <w:widowControl/>
              <w:jc w:val="right"/>
              <w:rPr>
                <w:rFonts w:ascii="Calibri" w:hAnsi="Calibri" w:eastAsia="Calibri" w:cs="Calibri"/>
                <w:color w:val="000000"/>
                <w:sz w:val="20"/>
                <w:szCs w:val="20"/>
              </w:rPr>
            </w:pPr>
            <w:r>
              <w:rPr>
                <w:rFonts w:ascii="Calibri" w:hAnsi="Calibri" w:eastAsia="Calibri" w:cs="Calibri"/>
                <w:sz w:val="20"/>
                <w:szCs w:val="20"/>
              </w:rPr>
              <w:t>195</w:t>
            </w:r>
          </w:p>
        </w:tc>
        <w:tc>
          <w:tcPr>
            <w:tcW w:w="1349" w:type="dxa"/>
            <w:tcBorders>
              <w:top w:val="nil"/>
              <w:left w:val="nil"/>
              <w:bottom w:val="single" w:color="000000" w:sz="4" w:space="0"/>
              <w:right w:val="single" w:color="000000" w:sz="4" w:space="0"/>
            </w:tcBorders>
            <w:shd w:val="clear" w:color="auto" w:fill="FFFFFF"/>
            <w:vAlign w:val="center"/>
          </w:tcPr>
          <w:p w:rsidR="00891A0E" w:rsidRDefault="00DA6050" w14:paraId="1684E3BD" w14:textId="77777777">
            <w:pPr>
              <w:widowControl/>
              <w:jc w:val="right"/>
              <w:rPr>
                <w:rFonts w:ascii="Calibri" w:hAnsi="Calibri" w:eastAsia="Calibri" w:cs="Calibri"/>
                <w:color w:val="000000"/>
                <w:sz w:val="20"/>
                <w:szCs w:val="20"/>
              </w:rPr>
            </w:pPr>
            <w:r>
              <w:rPr>
                <w:rFonts w:ascii="Calibri" w:hAnsi="Calibri" w:eastAsia="Calibri" w:cs="Calibri"/>
                <w:sz w:val="20"/>
                <w:szCs w:val="20"/>
              </w:rPr>
              <w:t>3,705</w:t>
            </w:r>
          </w:p>
        </w:tc>
        <w:tc>
          <w:tcPr>
            <w:tcW w:w="1170" w:type="dxa"/>
            <w:tcBorders>
              <w:top w:val="nil"/>
              <w:left w:val="nil"/>
              <w:bottom w:val="single" w:color="000000" w:sz="4" w:space="0"/>
              <w:right w:val="single" w:color="000000" w:sz="4" w:space="0"/>
            </w:tcBorders>
            <w:shd w:val="clear" w:color="auto" w:fill="FFFFFF"/>
            <w:vAlign w:val="center"/>
          </w:tcPr>
          <w:p w:rsidR="00891A0E" w:rsidRDefault="00DA6050" w14:paraId="032193FE" w14:textId="77777777">
            <w:pPr>
              <w:widowControl/>
              <w:jc w:val="right"/>
              <w:rPr>
                <w:rFonts w:ascii="Calibri" w:hAnsi="Calibri" w:eastAsia="Calibri" w:cs="Calibri"/>
                <w:color w:val="000000"/>
                <w:sz w:val="20"/>
                <w:szCs w:val="20"/>
              </w:rPr>
            </w:pPr>
            <w:r>
              <w:rPr>
                <w:rFonts w:ascii="Calibri" w:hAnsi="Calibri" w:eastAsia="Calibri" w:cs="Calibri"/>
                <w:color w:val="000000"/>
                <w:sz w:val="20"/>
                <w:szCs w:val="20"/>
              </w:rPr>
              <w:t>$0.55 </w:t>
            </w:r>
          </w:p>
        </w:tc>
        <w:tc>
          <w:tcPr>
            <w:tcW w:w="1347" w:type="dxa"/>
            <w:tcBorders>
              <w:top w:val="nil"/>
              <w:left w:val="nil"/>
              <w:bottom w:val="single" w:color="000000" w:sz="4" w:space="0"/>
              <w:right w:val="single" w:color="000000" w:sz="8" w:space="0"/>
            </w:tcBorders>
            <w:shd w:val="clear" w:color="auto" w:fill="FFFFFF"/>
            <w:vAlign w:val="center"/>
          </w:tcPr>
          <w:p w:rsidR="00891A0E" w:rsidRDefault="00DA6050" w14:paraId="3A3731F1" w14:textId="77777777">
            <w:pPr>
              <w:widowControl/>
              <w:jc w:val="right"/>
              <w:rPr>
                <w:rFonts w:ascii="Calibri" w:hAnsi="Calibri" w:eastAsia="Calibri" w:cs="Calibri"/>
                <w:color w:val="000000"/>
                <w:sz w:val="20"/>
                <w:szCs w:val="20"/>
              </w:rPr>
            </w:pPr>
            <w:r>
              <w:rPr>
                <w:rFonts w:ascii="Calibri" w:hAnsi="Calibri" w:eastAsia="Calibri" w:cs="Calibri"/>
                <w:color w:val="000000"/>
                <w:sz w:val="20"/>
                <w:szCs w:val="20"/>
              </w:rPr>
              <w:t>$</w:t>
            </w:r>
            <w:r>
              <w:rPr>
                <w:rFonts w:ascii="Calibri" w:hAnsi="Calibri" w:eastAsia="Calibri" w:cs="Calibri"/>
                <w:sz w:val="20"/>
                <w:szCs w:val="20"/>
              </w:rPr>
              <w:t>2,037.75</w:t>
            </w:r>
            <w:r>
              <w:rPr>
                <w:rFonts w:ascii="Calibri" w:hAnsi="Calibri" w:eastAsia="Calibri" w:cs="Calibri"/>
                <w:color w:val="000000"/>
                <w:sz w:val="20"/>
                <w:szCs w:val="20"/>
              </w:rPr>
              <w:t> </w:t>
            </w:r>
          </w:p>
        </w:tc>
      </w:tr>
      <w:tr w:rsidR="00A857C9" w:rsidTr="00A857C9" w14:paraId="3DD3D679" w14:textId="77777777">
        <w:trPr>
          <w:trHeight w:val="300"/>
        </w:trPr>
        <w:tc>
          <w:tcPr>
            <w:tcW w:w="3758" w:type="dxa"/>
            <w:tcBorders>
              <w:top w:val="nil"/>
              <w:left w:val="single" w:color="000000" w:sz="4" w:space="0"/>
              <w:bottom w:val="single" w:color="000000" w:sz="4" w:space="0"/>
              <w:right w:val="single" w:color="000000" w:sz="4" w:space="0"/>
            </w:tcBorders>
            <w:shd w:val="clear" w:color="auto" w:fill="auto"/>
          </w:tcPr>
          <w:p w:rsidR="00A857C9" w:rsidP="00A857C9" w:rsidRDefault="00A857C9" w14:paraId="083EE572" w14:textId="008492A5">
            <w:pPr>
              <w:widowControl/>
              <w:rPr>
                <w:rFonts w:ascii="Calibri" w:hAnsi="Calibri" w:eastAsia="Calibri" w:cs="Calibri"/>
                <w:color w:val="000000"/>
                <w:sz w:val="20"/>
                <w:szCs w:val="20"/>
              </w:rPr>
            </w:pPr>
            <w:r>
              <w:rPr>
                <w:rFonts w:ascii="Calibri" w:hAnsi="Calibri" w:eastAsia="Calibri" w:cs="Calibri"/>
                <w:sz w:val="20"/>
                <w:szCs w:val="20"/>
              </w:rPr>
              <w:t>FAD satellite buoy reporting</w:t>
            </w:r>
          </w:p>
        </w:tc>
        <w:tc>
          <w:tcPr>
            <w:tcW w:w="1186" w:type="dxa"/>
            <w:tcBorders>
              <w:top w:val="nil"/>
              <w:left w:val="nil"/>
              <w:bottom w:val="single" w:color="000000" w:sz="4" w:space="0"/>
              <w:right w:val="single" w:color="000000" w:sz="4" w:space="0"/>
            </w:tcBorders>
            <w:shd w:val="clear" w:color="auto" w:fill="FFFFFF"/>
            <w:vAlign w:val="center"/>
          </w:tcPr>
          <w:p w:rsidR="00A857C9" w:rsidP="00A857C9" w:rsidRDefault="00A857C9" w14:paraId="6FF4ECED" w14:textId="10B43EA1">
            <w:pPr>
              <w:widowControl/>
              <w:jc w:val="right"/>
              <w:rPr>
                <w:rFonts w:ascii="Calibri" w:hAnsi="Calibri" w:eastAsia="Calibri" w:cs="Calibri"/>
                <w:color w:val="000000"/>
                <w:sz w:val="20"/>
                <w:szCs w:val="20"/>
              </w:rPr>
            </w:pPr>
            <w:r>
              <w:rPr>
                <w:rFonts w:ascii="Calibri" w:hAnsi="Calibri" w:eastAsia="Calibri" w:cs="Calibri"/>
                <w:color w:val="000000"/>
                <w:sz w:val="20"/>
                <w:szCs w:val="20"/>
              </w:rPr>
              <w:t>19</w:t>
            </w:r>
          </w:p>
        </w:tc>
        <w:tc>
          <w:tcPr>
            <w:tcW w:w="1170" w:type="dxa"/>
            <w:tcBorders>
              <w:top w:val="nil"/>
              <w:left w:val="nil"/>
              <w:bottom w:val="single" w:color="000000" w:sz="4" w:space="0"/>
              <w:right w:val="single" w:color="000000" w:sz="4" w:space="0"/>
            </w:tcBorders>
            <w:shd w:val="clear" w:color="auto" w:fill="FFFFFF"/>
            <w:vAlign w:val="center"/>
          </w:tcPr>
          <w:p w:rsidR="00A857C9" w:rsidP="00A857C9" w:rsidRDefault="00A857C9" w14:paraId="223227E0" w14:textId="3F844113">
            <w:pPr>
              <w:widowControl/>
              <w:jc w:val="right"/>
              <w:rPr>
                <w:rFonts w:ascii="Calibri" w:hAnsi="Calibri" w:eastAsia="Calibri" w:cs="Calibri"/>
                <w:sz w:val="20"/>
                <w:szCs w:val="20"/>
              </w:rPr>
            </w:pPr>
            <w:r>
              <w:rPr>
                <w:rFonts w:ascii="Calibri" w:hAnsi="Calibri" w:eastAsia="Calibri" w:cs="Calibri"/>
                <w:sz w:val="20"/>
                <w:szCs w:val="20"/>
              </w:rPr>
              <w:t>190</w:t>
            </w:r>
          </w:p>
        </w:tc>
        <w:tc>
          <w:tcPr>
            <w:tcW w:w="1349" w:type="dxa"/>
            <w:tcBorders>
              <w:top w:val="nil"/>
              <w:left w:val="nil"/>
              <w:bottom w:val="single" w:color="000000" w:sz="4" w:space="0"/>
              <w:right w:val="single" w:color="000000" w:sz="4" w:space="0"/>
            </w:tcBorders>
            <w:shd w:val="clear" w:color="auto" w:fill="FFFFFF"/>
            <w:vAlign w:val="center"/>
          </w:tcPr>
          <w:p w:rsidR="00A857C9" w:rsidP="00A857C9" w:rsidRDefault="00A857C9" w14:paraId="793085E0" w14:textId="6D97B795">
            <w:pPr>
              <w:widowControl/>
              <w:jc w:val="right"/>
              <w:rPr>
                <w:rFonts w:ascii="Calibri" w:hAnsi="Calibri" w:eastAsia="Calibri" w:cs="Calibri"/>
                <w:sz w:val="20"/>
                <w:szCs w:val="20"/>
              </w:rPr>
            </w:pPr>
            <w:r>
              <w:rPr>
                <w:rFonts w:ascii="Calibri" w:hAnsi="Calibri" w:eastAsia="Calibri" w:cs="Calibri"/>
                <w:sz w:val="20"/>
                <w:szCs w:val="20"/>
              </w:rPr>
              <w:t>3,610</w:t>
            </w:r>
          </w:p>
        </w:tc>
        <w:tc>
          <w:tcPr>
            <w:tcW w:w="1170" w:type="dxa"/>
            <w:tcBorders>
              <w:top w:val="nil"/>
              <w:left w:val="nil"/>
              <w:bottom w:val="single" w:color="000000" w:sz="4" w:space="0"/>
              <w:right w:val="single" w:color="000000" w:sz="4" w:space="0"/>
            </w:tcBorders>
            <w:shd w:val="clear" w:color="auto" w:fill="FFFFFF"/>
            <w:vAlign w:val="center"/>
          </w:tcPr>
          <w:p w:rsidR="00A857C9" w:rsidP="00A857C9" w:rsidRDefault="00A857C9" w14:paraId="558CE9D8" w14:textId="45846C00">
            <w:pPr>
              <w:widowControl/>
              <w:jc w:val="right"/>
              <w:rPr>
                <w:rFonts w:ascii="Calibri" w:hAnsi="Calibri" w:eastAsia="Calibri" w:cs="Calibri"/>
                <w:color w:val="000000"/>
                <w:sz w:val="20"/>
                <w:szCs w:val="20"/>
              </w:rPr>
            </w:pPr>
            <w:r>
              <w:rPr>
                <w:rFonts w:ascii="Calibri" w:hAnsi="Calibri" w:eastAsia="Calibri" w:cs="Calibri"/>
                <w:color w:val="000000"/>
                <w:sz w:val="20"/>
                <w:szCs w:val="20"/>
              </w:rPr>
              <w:t>$0.55 </w:t>
            </w:r>
          </w:p>
        </w:tc>
        <w:tc>
          <w:tcPr>
            <w:tcW w:w="1347" w:type="dxa"/>
            <w:tcBorders>
              <w:top w:val="nil"/>
              <w:left w:val="nil"/>
              <w:bottom w:val="single" w:color="000000" w:sz="4" w:space="0"/>
              <w:right w:val="single" w:color="000000" w:sz="8" w:space="0"/>
            </w:tcBorders>
            <w:shd w:val="clear" w:color="auto" w:fill="FFFFFF"/>
            <w:vAlign w:val="center"/>
          </w:tcPr>
          <w:p w:rsidR="00A857C9" w:rsidP="00A857C9" w:rsidRDefault="00A857C9" w14:paraId="19F3ECE5" w14:textId="6D932D99">
            <w:pPr>
              <w:widowControl/>
              <w:jc w:val="right"/>
              <w:rPr>
                <w:rFonts w:ascii="Calibri" w:hAnsi="Calibri" w:eastAsia="Calibri" w:cs="Calibri"/>
                <w:color w:val="000000"/>
                <w:sz w:val="20"/>
                <w:szCs w:val="20"/>
              </w:rPr>
            </w:pPr>
            <w:r>
              <w:rPr>
                <w:rFonts w:ascii="Calibri" w:hAnsi="Calibri" w:eastAsia="Calibri" w:cs="Calibri"/>
                <w:color w:val="000000"/>
                <w:sz w:val="20"/>
                <w:szCs w:val="20"/>
              </w:rPr>
              <w:t>$1,985.50</w:t>
            </w:r>
          </w:p>
        </w:tc>
      </w:tr>
      <w:tr w:rsidR="00A857C9" w14:paraId="70474342" w14:textId="77777777">
        <w:trPr>
          <w:trHeight w:val="300"/>
        </w:trPr>
        <w:tc>
          <w:tcPr>
            <w:tcW w:w="3758" w:type="dxa"/>
            <w:tcBorders>
              <w:top w:val="single" w:color="000000" w:sz="8" w:space="0"/>
              <w:left w:val="single" w:color="000000" w:sz="8" w:space="0"/>
              <w:bottom w:val="single" w:color="000000" w:sz="8" w:space="0"/>
              <w:right w:val="single" w:color="000000" w:sz="4" w:space="0"/>
            </w:tcBorders>
            <w:vAlign w:val="center"/>
          </w:tcPr>
          <w:p w:rsidR="00A857C9" w:rsidP="00A857C9" w:rsidRDefault="00A857C9" w14:paraId="455CAA21" w14:textId="77777777">
            <w:pPr>
              <w:widowControl/>
              <w:rPr>
                <w:rFonts w:ascii="Calibri" w:hAnsi="Calibri" w:eastAsia="Calibri" w:cs="Calibri"/>
                <w:color w:val="000000"/>
                <w:sz w:val="20"/>
                <w:szCs w:val="20"/>
              </w:rPr>
            </w:pPr>
            <w:r>
              <w:rPr>
                <w:rFonts w:ascii="Calibri" w:hAnsi="Calibri" w:eastAsia="Calibri" w:cs="Calibri"/>
                <w:sz w:val="20"/>
                <w:szCs w:val="20"/>
              </w:rPr>
              <w:t>Observer reporting</w:t>
            </w:r>
          </w:p>
        </w:tc>
        <w:tc>
          <w:tcPr>
            <w:tcW w:w="1186" w:type="dxa"/>
            <w:tcBorders>
              <w:top w:val="single" w:color="000000" w:sz="8" w:space="0"/>
              <w:left w:val="nil"/>
              <w:bottom w:val="single" w:color="000000" w:sz="8" w:space="0"/>
              <w:right w:val="single" w:color="000000" w:sz="4" w:space="0"/>
            </w:tcBorders>
            <w:vAlign w:val="center"/>
          </w:tcPr>
          <w:p w:rsidR="00A857C9" w:rsidP="00A857C9" w:rsidRDefault="00A857C9" w14:paraId="0EF79D1E" w14:textId="77777777">
            <w:pPr>
              <w:widowControl/>
              <w:jc w:val="right"/>
              <w:rPr>
                <w:rFonts w:ascii="Calibri" w:hAnsi="Calibri" w:eastAsia="Calibri" w:cs="Calibri"/>
                <w:color w:val="000000"/>
                <w:sz w:val="20"/>
                <w:szCs w:val="20"/>
              </w:rPr>
            </w:pPr>
            <w:r>
              <w:rPr>
                <w:rFonts w:ascii="Calibri" w:hAnsi="Calibri" w:eastAsia="Calibri" w:cs="Calibri"/>
                <w:sz w:val="20"/>
                <w:szCs w:val="20"/>
              </w:rPr>
              <w:t>38</w:t>
            </w:r>
          </w:p>
        </w:tc>
        <w:tc>
          <w:tcPr>
            <w:tcW w:w="1170" w:type="dxa"/>
            <w:tcBorders>
              <w:top w:val="single" w:color="000000" w:sz="8" w:space="0"/>
              <w:left w:val="nil"/>
              <w:bottom w:val="single" w:color="000000" w:sz="8" w:space="0"/>
              <w:right w:val="single" w:color="000000" w:sz="4" w:space="0"/>
            </w:tcBorders>
            <w:vAlign w:val="center"/>
          </w:tcPr>
          <w:p w:rsidR="00A857C9" w:rsidP="00A857C9" w:rsidRDefault="00A857C9" w14:paraId="4C53354E" w14:textId="4C01E623">
            <w:pPr>
              <w:widowControl/>
              <w:jc w:val="right"/>
              <w:rPr>
                <w:rFonts w:ascii="Calibri" w:hAnsi="Calibri" w:eastAsia="Calibri" w:cs="Calibri"/>
                <w:color w:val="000000"/>
                <w:sz w:val="20"/>
                <w:szCs w:val="20"/>
              </w:rPr>
            </w:pPr>
            <w:r>
              <w:rPr>
                <w:rFonts w:ascii="Calibri" w:hAnsi="Calibri" w:eastAsia="Calibri" w:cs="Calibri"/>
                <w:sz w:val="20"/>
                <w:szCs w:val="20"/>
              </w:rPr>
              <w:t>0.026315</w:t>
            </w:r>
          </w:p>
        </w:tc>
        <w:tc>
          <w:tcPr>
            <w:tcW w:w="1349" w:type="dxa"/>
            <w:tcBorders>
              <w:top w:val="single" w:color="000000" w:sz="8" w:space="0"/>
              <w:left w:val="nil"/>
              <w:bottom w:val="single" w:color="000000" w:sz="8" w:space="0"/>
              <w:right w:val="single" w:color="000000" w:sz="4" w:space="0"/>
            </w:tcBorders>
            <w:vAlign w:val="center"/>
          </w:tcPr>
          <w:p w:rsidR="00A857C9" w:rsidP="00A857C9" w:rsidRDefault="00A857C9" w14:paraId="2F30CE06" w14:textId="77777777">
            <w:pPr>
              <w:widowControl/>
              <w:jc w:val="right"/>
              <w:rPr>
                <w:rFonts w:ascii="Calibri" w:hAnsi="Calibri" w:eastAsia="Calibri" w:cs="Calibri"/>
                <w:color w:val="000000"/>
                <w:sz w:val="20"/>
                <w:szCs w:val="20"/>
              </w:rPr>
            </w:pPr>
            <w:r>
              <w:rPr>
                <w:rFonts w:ascii="Calibri" w:hAnsi="Calibri" w:eastAsia="Calibri" w:cs="Calibri"/>
                <w:sz w:val="20"/>
                <w:szCs w:val="20"/>
              </w:rPr>
              <w:t>1</w:t>
            </w:r>
          </w:p>
        </w:tc>
        <w:tc>
          <w:tcPr>
            <w:tcW w:w="1170" w:type="dxa"/>
            <w:tcBorders>
              <w:top w:val="single" w:color="000000" w:sz="8" w:space="0"/>
              <w:left w:val="nil"/>
              <w:bottom w:val="single" w:color="000000" w:sz="8" w:space="0"/>
              <w:right w:val="single" w:color="000000" w:sz="4" w:space="0"/>
            </w:tcBorders>
            <w:vAlign w:val="center"/>
          </w:tcPr>
          <w:p w:rsidR="00A857C9" w:rsidP="00A857C9" w:rsidRDefault="00A857C9" w14:paraId="7E5C8A1A" w14:textId="77777777">
            <w:pPr>
              <w:widowControl/>
              <w:jc w:val="right"/>
              <w:rPr>
                <w:rFonts w:ascii="Calibri" w:hAnsi="Calibri" w:eastAsia="Calibri" w:cs="Calibri"/>
                <w:color w:val="000000"/>
                <w:sz w:val="20"/>
                <w:szCs w:val="20"/>
              </w:rPr>
            </w:pPr>
            <w:r>
              <w:rPr>
                <w:rFonts w:ascii="Calibri" w:hAnsi="Calibri" w:eastAsia="Calibri" w:cs="Calibri"/>
                <w:color w:val="000000"/>
                <w:sz w:val="20"/>
                <w:szCs w:val="20"/>
              </w:rPr>
              <w:t>$0.55</w:t>
            </w:r>
          </w:p>
        </w:tc>
        <w:tc>
          <w:tcPr>
            <w:tcW w:w="1347" w:type="dxa"/>
            <w:tcBorders>
              <w:top w:val="single" w:color="000000" w:sz="8" w:space="0"/>
              <w:left w:val="nil"/>
              <w:bottom w:val="single" w:color="000000" w:sz="8" w:space="0"/>
              <w:right w:val="single" w:color="000000" w:sz="8" w:space="0"/>
            </w:tcBorders>
            <w:vAlign w:val="center"/>
          </w:tcPr>
          <w:p w:rsidR="00A857C9" w:rsidP="00A857C9" w:rsidRDefault="00A857C9" w14:paraId="3F2B040D" w14:textId="77777777">
            <w:pPr>
              <w:widowControl/>
              <w:jc w:val="right"/>
              <w:rPr>
                <w:rFonts w:ascii="Calibri" w:hAnsi="Calibri" w:eastAsia="Calibri" w:cs="Calibri"/>
                <w:color w:val="000000"/>
                <w:sz w:val="20"/>
                <w:szCs w:val="20"/>
              </w:rPr>
            </w:pPr>
            <w:r>
              <w:rPr>
                <w:rFonts w:ascii="Calibri" w:hAnsi="Calibri" w:eastAsia="Calibri" w:cs="Calibri"/>
                <w:sz w:val="20"/>
                <w:szCs w:val="20"/>
              </w:rPr>
              <w:t>$0.55</w:t>
            </w:r>
          </w:p>
        </w:tc>
      </w:tr>
      <w:tr w:rsidR="00A857C9" w14:paraId="287D807E" w14:textId="77777777">
        <w:trPr>
          <w:trHeight w:val="300"/>
        </w:trPr>
        <w:tc>
          <w:tcPr>
            <w:tcW w:w="3758" w:type="dxa"/>
            <w:tcBorders>
              <w:top w:val="single" w:color="000000" w:sz="8" w:space="0"/>
              <w:left w:val="single" w:color="000000" w:sz="8" w:space="0"/>
              <w:bottom w:val="single" w:color="000000" w:sz="8" w:space="0"/>
              <w:right w:val="single" w:color="000000" w:sz="4" w:space="0"/>
            </w:tcBorders>
            <w:vAlign w:val="center"/>
          </w:tcPr>
          <w:p w:rsidR="00A857C9" w:rsidP="00A857C9" w:rsidRDefault="00A857C9" w14:paraId="4B25285A" w14:textId="53FB6DD6">
            <w:pPr>
              <w:widowControl/>
              <w:rPr>
                <w:rFonts w:ascii="Calibri" w:hAnsi="Calibri" w:eastAsia="Calibri" w:cs="Calibri"/>
                <w:sz w:val="20"/>
                <w:szCs w:val="20"/>
              </w:rPr>
            </w:pPr>
            <w:r>
              <w:rPr>
                <w:rFonts w:ascii="Calibri" w:hAnsi="Calibri" w:eastAsia="Calibri" w:cs="Calibri"/>
                <w:sz w:val="20"/>
                <w:szCs w:val="20"/>
              </w:rPr>
              <w:t>Cannery data</w:t>
            </w:r>
          </w:p>
        </w:tc>
        <w:tc>
          <w:tcPr>
            <w:tcW w:w="1186" w:type="dxa"/>
            <w:tcBorders>
              <w:top w:val="single" w:color="000000" w:sz="8" w:space="0"/>
              <w:left w:val="nil"/>
              <w:bottom w:val="single" w:color="000000" w:sz="8" w:space="0"/>
              <w:right w:val="single" w:color="000000" w:sz="4" w:space="0"/>
            </w:tcBorders>
            <w:vAlign w:val="center"/>
          </w:tcPr>
          <w:p w:rsidR="00A857C9" w:rsidP="00A857C9" w:rsidRDefault="00A857C9" w14:paraId="6B89D6F7" w14:textId="06EBC343">
            <w:pPr>
              <w:widowControl/>
              <w:jc w:val="right"/>
              <w:rPr>
                <w:rFonts w:ascii="Calibri" w:hAnsi="Calibri" w:eastAsia="Calibri" w:cs="Calibri"/>
                <w:sz w:val="20"/>
                <w:szCs w:val="20"/>
              </w:rPr>
            </w:pPr>
            <w:r>
              <w:rPr>
                <w:rFonts w:ascii="Calibri" w:hAnsi="Calibri" w:eastAsia="Calibri" w:cs="Calibri"/>
                <w:sz w:val="20"/>
                <w:szCs w:val="20"/>
              </w:rPr>
              <w:t>19</w:t>
            </w:r>
          </w:p>
        </w:tc>
        <w:tc>
          <w:tcPr>
            <w:tcW w:w="1170" w:type="dxa"/>
            <w:tcBorders>
              <w:top w:val="single" w:color="000000" w:sz="8" w:space="0"/>
              <w:left w:val="nil"/>
              <w:bottom w:val="single" w:color="000000" w:sz="8" w:space="0"/>
              <w:right w:val="single" w:color="000000" w:sz="4" w:space="0"/>
            </w:tcBorders>
            <w:vAlign w:val="center"/>
          </w:tcPr>
          <w:p w:rsidR="00A857C9" w:rsidP="00A857C9" w:rsidRDefault="00A857C9" w14:paraId="2208AC81" w14:textId="03F8577E">
            <w:pPr>
              <w:widowControl/>
              <w:jc w:val="right"/>
              <w:rPr>
                <w:rFonts w:ascii="Calibri" w:hAnsi="Calibri" w:eastAsia="Calibri" w:cs="Calibri"/>
                <w:sz w:val="20"/>
                <w:szCs w:val="20"/>
              </w:rPr>
            </w:pPr>
            <w:r>
              <w:rPr>
                <w:rFonts w:ascii="Calibri" w:hAnsi="Calibri" w:eastAsia="Calibri" w:cs="Calibri"/>
                <w:sz w:val="20"/>
                <w:szCs w:val="20"/>
              </w:rPr>
              <w:t>195</w:t>
            </w:r>
          </w:p>
        </w:tc>
        <w:tc>
          <w:tcPr>
            <w:tcW w:w="1349" w:type="dxa"/>
            <w:tcBorders>
              <w:top w:val="single" w:color="000000" w:sz="8" w:space="0"/>
              <w:left w:val="nil"/>
              <w:bottom w:val="single" w:color="000000" w:sz="8" w:space="0"/>
              <w:right w:val="single" w:color="000000" w:sz="4" w:space="0"/>
            </w:tcBorders>
            <w:vAlign w:val="center"/>
          </w:tcPr>
          <w:p w:rsidR="00A857C9" w:rsidP="00A857C9" w:rsidRDefault="00A857C9" w14:paraId="41CEA48F" w14:textId="7D5D31B2">
            <w:pPr>
              <w:widowControl/>
              <w:jc w:val="right"/>
              <w:rPr>
                <w:rFonts w:ascii="Calibri" w:hAnsi="Calibri" w:eastAsia="Calibri" w:cs="Calibri"/>
                <w:sz w:val="20"/>
                <w:szCs w:val="20"/>
              </w:rPr>
            </w:pPr>
            <w:r>
              <w:rPr>
                <w:rFonts w:ascii="Calibri" w:hAnsi="Calibri" w:eastAsia="Calibri" w:cs="Calibri"/>
                <w:sz w:val="20"/>
                <w:szCs w:val="20"/>
              </w:rPr>
              <w:t>3,705</w:t>
            </w:r>
          </w:p>
        </w:tc>
        <w:tc>
          <w:tcPr>
            <w:tcW w:w="1170" w:type="dxa"/>
            <w:tcBorders>
              <w:top w:val="single" w:color="000000" w:sz="8" w:space="0"/>
              <w:left w:val="nil"/>
              <w:bottom w:val="single" w:color="000000" w:sz="8" w:space="0"/>
              <w:right w:val="single" w:color="000000" w:sz="4" w:space="0"/>
            </w:tcBorders>
            <w:vAlign w:val="center"/>
          </w:tcPr>
          <w:p w:rsidR="00A857C9" w:rsidP="00A857C9" w:rsidRDefault="00A857C9" w14:paraId="2F8BD7AB" w14:textId="4EF29235">
            <w:pPr>
              <w:widowControl/>
              <w:jc w:val="right"/>
              <w:rPr>
                <w:rFonts w:ascii="Calibri" w:hAnsi="Calibri" w:eastAsia="Calibri" w:cs="Calibri"/>
                <w:color w:val="000000"/>
                <w:sz w:val="20"/>
                <w:szCs w:val="20"/>
              </w:rPr>
            </w:pPr>
            <w:r>
              <w:rPr>
                <w:rFonts w:ascii="Calibri" w:hAnsi="Calibri" w:eastAsia="Calibri" w:cs="Calibri"/>
                <w:color w:val="000000"/>
                <w:sz w:val="20"/>
                <w:szCs w:val="20"/>
              </w:rPr>
              <w:t>$0.55</w:t>
            </w:r>
          </w:p>
        </w:tc>
        <w:tc>
          <w:tcPr>
            <w:tcW w:w="1347" w:type="dxa"/>
            <w:tcBorders>
              <w:top w:val="single" w:color="000000" w:sz="8" w:space="0"/>
              <w:left w:val="nil"/>
              <w:bottom w:val="single" w:color="000000" w:sz="8" w:space="0"/>
              <w:right w:val="single" w:color="000000" w:sz="8" w:space="0"/>
            </w:tcBorders>
            <w:vAlign w:val="center"/>
          </w:tcPr>
          <w:p w:rsidR="00A857C9" w:rsidP="00A857C9" w:rsidRDefault="00A857C9" w14:paraId="22DD8D2B" w14:textId="13856759">
            <w:pPr>
              <w:widowControl/>
              <w:jc w:val="right"/>
              <w:rPr>
                <w:rFonts w:ascii="Calibri" w:hAnsi="Calibri" w:eastAsia="Calibri" w:cs="Calibri"/>
                <w:sz w:val="20"/>
                <w:szCs w:val="20"/>
              </w:rPr>
            </w:pPr>
            <w:r>
              <w:rPr>
                <w:rFonts w:ascii="Calibri" w:hAnsi="Calibri" w:eastAsia="Calibri" w:cs="Calibri"/>
                <w:color w:val="000000"/>
                <w:sz w:val="20"/>
                <w:szCs w:val="20"/>
              </w:rPr>
              <w:t>$</w:t>
            </w:r>
            <w:r>
              <w:rPr>
                <w:rFonts w:ascii="Calibri" w:hAnsi="Calibri" w:eastAsia="Calibri" w:cs="Calibri"/>
                <w:sz w:val="20"/>
                <w:szCs w:val="20"/>
              </w:rPr>
              <w:t>2,037.75</w:t>
            </w:r>
            <w:r>
              <w:rPr>
                <w:rFonts w:ascii="Calibri" w:hAnsi="Calibri" w:eastAsia="Calibri" w:cs="Calibri"/>
                <w:color w:val="000000"/>
                <w:sz w:val="20"/>
                <w:szCs w:val="20"/>
              </w:rPr>
              <w:t> </w:t>
            </w:r>
          </w:p>
        </w:tc>
      </w:tr>
      <w:tr w:rsidR="00A857C9" w14:paraId="0A5697A3" w14:textId="77777777">
        <w:trPr>
          <w:trHeight w:val="300"/>
        </w:trPr>
        <w:tc>
          <w:tcPr>
            <w:tcW w:w="3758" w:type="dxa"/>
            <w:tcBorders>
              <w:top w:val="single" w:color="000000" w:sz="8" w:space="0"/>
              <w:left w:val="single" w:color="000000" w:sz="8" w:space="0"/>
              <w:bottom w:val="single" w:color="000000" w:sz="8" w:space="0"/>
              <w:right w:val="single" w:color="000000" w:sz="4" w:space="0"/>
            </w:tcBorders>
            <w:shd w:val="clear" w:color="auto" w:fill="BDD6EE"/>
            <w:vAlign w:val="center"/>
          </w:tcPr>
          <w:p w:rsidR="00A857C9" w:rsidP="00A857C9" w:rsidRDefault="00A857C9" w14:paraId="78EC2153" w14:textId="77777777">
            <w:pPr>
              <w:widowControl/>
              <w:rPr>
                <w:rFonts w:ascii="Calibri" w:hAnsi="Calibri" w:eastAsia="Calibri" w:cs="Calibri"/>
                <w:b/>
                <w:color w:val="000000"/>
                <w:sz w:val="20"/>
                <w:szCs w:val="20"/>
              </w:rPr>
            </w:pPr>
            <w:r>
              <w:rPr>
                <w:rFonts w:ascii="Calibri" w:hAnsi="Calibri" w:eastAsia="Calibri" w:cs="Calibri"/>
                <w:b/>
                <w:sz w:val="20"/>
                <w:szCs w:val="20"/>
              </w:rPr>
              <w:t>TOTAL</w:t>
            </w:r>
          </w:p>
        </w:tc>
        <w:tc>
          <w:tcPr>
            <w:tcW w:w="1186" w:type="dxa"/>
            <w:tcBorders>
              <w:top w:val="single" w:color="000000" w:sz="8" w:space="0"/>
              <w:left w:val="nil"/>
              <w:bottom w:val="single" w:color="000000" w:sz="8" w:space="0"/>
              <w:right w:val="single" w:color="000000" w:sz="4" w:space="0"/>
            </w:tcBorders>
            <w:shd w:val="clear" w:color="auto" w:fill="000000"/>
            <w:vAlign w:val="center"/>
          </w:tcPr>
          <w:p w:rsidR="00A857C9" w:rsidP="00A857C9" w:rsidRDefault="00A857C9" w14:paraId="15C77227" w14:textId="77777777">
            <w:pPr>
              <w:widowControl/>
              <w:jc w:val="right"/>
              <w:rPr>
                <w:rFonts w:ascii="Calibri" w:hAnsi="Calibri" w:eastAsia="Calibri" w:cs="Calibri"/>
                <w:b/>
                <w:color w:val="000000"/>
                <w:sz w:val="20"/>
                <w:szCs w:val="20"/>
              </w:rPr>
            </w:pPr>
          </w:p>
        </w:tc>
        <w:tc>
          <w:tcPr>
            <w:tcW w:w="1170" w:type="dxa"/>
            <w:tcBorders>
              <w:top w:val="single" w:color="000000" w:sz="8" w:space="0"/>
              <w:left w:val="nil"/>
              <w:bottom w:val="single" w:color="000000" w:sz="8" w:space="0"/>
              <w:right w:val="single" w:color="000000" w:sz="4" w:space="0"/>
            </w:tcBorders>
            <w:shd w:val="clear" w:color="auto" w:fill="000000"/>
            <w:vAlign w:val="center"/>
          </w:tcPr>
          <w:p w:rsidR="00A857C9" w:rsidP="00A857C9" w:rsidRDefault="00A857C9" w14:paraId="1F730588" w14:textId="77777777">
            <w:pPr>
              <w:widowControl/>
              <w:jc w:val="right"/>
              <w:rPr>
                <w:rFonts w:ascii="Calibri" w:hAnsi="Calibri" w:eastAsia="Calibri" w:cs="Calibri"/>
                <w:b/>
                <w:color w:val="000000"/>
                <w:sz w:val="20"/>
                <w:szCs w:val="20"/>
              </w:rPr>
            </w:pPr>
          </w:p>
        </w:tc>
        <w:tc>
          <w:tcPr>
            <w:tcW w:w="1349" w:type="dxa"/>
            <w:tcBorders>
              <w:top w:val="single" w:color="000000" w:sz="8" w:space="0"/>
              <w:left w:val="nil"/>
              <w:bottom w:val="single" w:color="000000" w:sz="8" w:space="0"/>
              <w:right w:val="single" w:color="000000" w:sz="4" w:space="0"/>
            </w:tcBorders>
            <w:shd w:val="clear" w:color="auto" w:fill="BDD6EE"/>
            <w:vAlign w:val="center"/>
          </w:tcPr>
          <w:p w:rsidR="00A857C9" w:rsidP="00A857C9" w:rsidRDefault="00204570" w14:paraId="1AA7F133" w14:textId="67502A65">
            <w:pPr>
              <w:widowControl/>
              <w:jc w:val="right"/>
              <w:rPr>
                <w:rFonts w:ascii="Calibri" w:hAnsi="Calibri" w:eastAsia="Calibri" w:cs="Calibri"/>
                <w:b/>
                <w:color w:val="000000"/>
                <w:sz w:val="20"/>
                <w:szCs w:val="20"/>
              </w:rPr>
            </w:pPr>
            <w:r>
              <w:rPr>
                <w:rFonts w:ascii="Calibri" w:hAnsi="Calibri" w:eastAsia="Calibri" w:cs="Calibri"/>
                <w:b/>
                <w:sz w:val="20"/>
                <w:szCs w:val="20"/>
              </w:rPr>
              <w:t>11,021</w:t>
            </w:r>
          </w:p>
        </w:tc>
        <w:tc>
          <w:tcPr>
            <w:tcW w:w="1170" w:type="dxa"/>
            <w:tcBorders>
              <w:top w:val="single" w:color="000000" w:sz="8" w:space="0"/>
              <w:left w:val="nil"/>
              <w:bottom w:val="single" w:color="000000" w:sz="8" w:space="0"/>
              <w:right w:val="single" w:color="000000" w:sz="4" w:space="0"/>
            </w:tcBorders>
            <w:shd w:val="clear" w:color="auto" w:fill="000000"/>
            <w:vAlign w:val="center"/>
          </w:tcPr>
          <w:p w:rsidR="00A857C9" w:rsidP="00A857C9" w:rsidRDefault="00A857C9" w14:paraId="37DCED3F" w14:textId="77777777">
            <w:pPr>
              <w:widowControl/>
              <w:jc w:val="right"/>
              <w:rPr>
                <w:rFonts w:ascii="Calibri" w:hAnsi="Calibri" w:eastAsia="Calibri" w:cs="Calibri"/>
                <w:b/>
                <w:color w:val="000000"/>
                <w:sz w:val="20"/>
                <w:szCs w:val="20"/>
              </w:rPr>
            </w:pPr>
          </w:p>
        </w:tc>
        <w:tc>
          <w:tcPr>
            <w:tcW w:w="1347" w:type="dxa"/>
            <w:tcBorders>
              <w:top w:val="single" w:color="000000" w:sz="8" w:space="0"/>
              <w:left w:val="nil"/>
              <w:bottom w:val="single" w:color="000000" w:sz="8" w:space="0"/>
              <w:right w:val="single" w:color="000000" w:sz="8" w:space="0"/>
            </w:tcBorders>
            <w:shd w:val="clear" w:color="auto" w:fill="BDD6EE"/>
            <w:vAlign w:val="center"/>
          </w:tcPr>
          <w:p w:rsidR="00A857C9" w:rsidP="00A857C9" w:rsidRDefault="00204570" w14:paraId="31865ACF" w14:textId="3A31D113">
            <w:pPr>
              <w:widowControl/>
              <w:jc w:val="right"/>
              <w:rPr>
                <w:rFonts w:ascii="Calibri" w:hAnsi="Calibri" w:eastAsia="Calibri" w:cs="Calibri"/>
                <w:b/>
                <w:color w:val="000000"/>
                <w:sz w:val="20"/>
                <w:szCs w:val="20"/>
              </w:rPr>
            </w:pPr>
            <w:r>
              <w:rPr>
                <w:rFonts w:ascii="Calibri" w:hAnsi="Calibri" w:eastAsia="Calibri" w:cs="Calibri"/>
                <w:b/>
                <w:sz w:val="20"/>
                <w:szCs w:val="20"/>
              </w:rPr>
              <w:t>$6,063</w:t>
            </w:r>
          </w:p>
        </w:tc>
      </w:tr>
    </w:tbl>
    <w:p w:rsidR="00891A0E" w:rsidP="00F143E0" w:rsidRDefault="00891A0E" w14:paraId="42E5C655" w14:textId="3A038AFD">
      <w:pPr>
        <w:tabs>
          <w:tab w:val="left" w:pos="540"/>
        </w:tabs>
      </w:pPr>
    </w:p>
    <w:p w:rsidRPr="00BD7237" w:rsidR="00F143E0" w:rsidP="00F143E0" w:rsidRDefault="00DA6050" w14:paraId="3BDD4A6B" w14:textId="77777777">
      <w:pPr>
        <w:pStyle w:val="ListParagraph"/>
        <w:tabs>
          <w:tab w:val="left" w:pos="360"/>
        </w:tabs>
        <w:spacing w:before="80"/>
        <w:ind w:left="0" w:firstLine="0"/>
        <w:rPr>
          <w:rFonts w:ascii="Times New Roman" w:hAnsi="Times New Roman" w:cs="Times New Roman"/>
          <w:b/>
          <w:sz w:val="24"/>
          <w:szCs w:val="24"/>
        </w:rPr>
      </w:pPr>
      <w:r>
        <w:rPr>
          <w:b/>
        </w:rPr>
        <w:t>14.</w:t>
      </w:r>
      <w:r>
        <w:rPr>
          <w:b/>
        </w:rPr>
        <w:tab/>
      </w:r>
      <w:r w:rsidRPr="00BD7237" w:rsidR="00F143E0">
        <w:rPr>
          <w:rFonts w:ascii="Times New Roman" w:hAnsi="Times New Roman" w:cs="Times New Roman"/>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891A0E" w:rsidP="00F143E0" w:rsidRDefault="00891A0E" w14:paraId="25735FD1" w14:textId="7A38349B">
      <w:pPr>
        <w:tabs>
          <w:tab w:val="left" w:pos="540"/>
        </w:tabs>
      </w:pPr>
    </w:p>
    <w:p w:rsidR="00891A0E" w:rsidRDefault="00A76051" w14:paraId="562F9A75" w14:textId="7D2F9E63">
      <w:r w:rsidRPr="001148B8">
        <w:rPr>
          <w:color w:val="222222"/>
          <w:shd w:val="clear" w:color="auto" w:fill="FFFFFF"/>
        </w:rPr>
        <w:t>No costs are incurred by the federal government for this information collection as the maintenance/preparation for this information collection is less than 1% of a federal employee's effort annually</w:t>
      </w:r>
      <w:r w:rsidRPr="00A76051" w:rsidR="00DA6050">
        <w:t>.</w:t>
      </w:r>
      <w:r w:rsidR="00DA6050">
        <w:t xml:space="preserve"> Logbooks and FAD forms are provided by the IATTC and forms are processed by IATTC.  </w:t>
      </w:r>
    </w:p>
    <w:p w:rsidR="00891A0E" w:rsidP="009541B8" w:rsidRDefault="00891A0E" w14:paraId="30FD6065" w14:textId="0229C295">
      <w:pPr>
        <w:tabs>
          <w:tab w:val="left" w:pos="540"/>
        </w:tabs>
      </w:pPr>
    </w:p>
    <w:p w:rsidRPr="00F143E0" w:rsidR="00891A0E" w:rsidP="00F143E0" w:rsidRDefault="00DA6050" w14:paraId="027362B3" w14:textId="5360ABBB">
      <w:pPr>
        <w:pStyle w:val="ListParagraph"/>
        <w:tabs>
          <w:tab w:val="left" w:pos="360"/>
        </w:tabs>
        <w:spacing w:before="80"/>
        <w:ind w:left="0" w:firstLine="0"/>
        <w:rPr>
          <w:rFonts w:ascii="Times New Roman" w:hAnsi="Times New Roman" w:cs="Times New Roman"/>
          <w:b/>
          <w:sz w:val="24"/>
          <w:szCs w:val="24"/>
        </w:rPr>
      </w:pPr>
      <w:r>
        <w:rPr>
          <w:b/>
        </w:rPr>
        <w:t xml:space="preserve">15.  </w:t>
      </w:r>
      <w:r w:rsidRPr="00BD7237" w:rsidR="00F143E0">
        <w:rPr>
          <w:rFonts w:ascii="Times New Roman" w:hAnsi="Times New Roman" w:cs="Times New Roman"/>
          <w:b/>
          <w:sz w:val="24"/>
          <w:szCs w:val="24"/>
        </w:rPr>
        <w:t>Explain the reasons for any program changes or adjustments reported in ROCIS.</w:t>
      </w:r>
    </w:p>
    <w:p w:rsidR="00891A0E" w:rsidRDefault="00891A0E" w14:paraId="1F9E1557" w14:textId="77777777"/>
    <w:p w:rsidR="00891A0E" w:rsidRDefault="00DA6050" w14:paraId="0EA579CF" w14:textId="77777777">
      <w:r>
        <w:t xml:space="preserve">The following tables show the changes and in the number of respondents, responses, time estimates, labor costs, and miscellaneous costs; and explains the reasons for these changes. </w:t>
      </w:r>
    </w:p>
    <w:p w:rsidR="00891A0E" w:rsidRDefault="00891A0E" w14:paraId="7D3EC473" w14:textId="77777777">
      <w:pPr>
        <w:tabs>
          <w:tab w:val="left" w:pos="540"/>
        </w:tabs>
        <w:ind w:left="540"/>
      </w:pPr>
    </w:p>
    <w:tbl>
      <w:tblPr>
        <w:tblStyle w:val="a2"/>
        <w:tblW w:w="10067" w:type="dxa"/>
        <w:tblInd w:w="-4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2070"/>
        <w:gridCol w:w="990"/>
        <w:gridCol w:w="990"/>
        <w:gridCol w:w="900"/>
        <w:gridCol w:w="990"/>
        <w:gridCol w:w="990"/>
        <w:gridCol w:w="990"/>
        <w:gridCol w:w="2147"/>
      </w:tblGrid>
      <w:tr w:rsidR="00891A0E" w:rsidTr="001148B8" w14:paraId="24277BC7" w14:textId="77777777">
        <w:tc>
          <w:tcPr>
            <w:tcW w:w="2070" w:type="dxa"/>
            <w:vMerge w:val="restart"/>
            <w:shd w:val="clear" w:color="auto" w:fill="5B9BD5"/>
            <w:vAlign w:val="center"/>
          </w:tcPr>
          <w:p w:rsidR="00891A0E" w:rsidRDefault="00DA6050" w14:paraId="6C037034" w14:textId="77777777">
            <w:pPr>
              <w:keepNext/>
              <w:jc w:val="center"/>
              <w:rPr>
                <w:rFonts w:ascii="Calibri" w:hAnsi="Calibri" w:eastAsia="Calibri" w:cs="Calibri"/>
                <w:sz w:val="16"/>
                <w:szCs w:val="16"/>
              </w:rPr>
            </w:pPr>
            <w:r>
              <w:rPr>
                <w:rFonts w:ascii="Calibri" w:hAnsi="Calibri" w:eastAsia="Calibri" w:cs="Calibri"/>
                <w:b/>
                <w:sz w:val="16"/>
                <w:szCs w:val="16"/>
              </w:rPr>
              <w:t>Information Collection</w:t>
            </w:r>
          </w:p>
        </w:tc>
        <w:tc>
          <w:tcPr>
            <w:tcW w:w="1980" w:type="dxa"/>
            <w:gridSpan w:val="2"/>
            <w:tcBorders>
              <w:bottom w:val="single" w:color="000000" w:sz="4" w:space="0"/>
            </w:tcBorders>
            <w:shd w:val="clear" w:color="auto" w:fill="5B9BD5"/>
            <w:vAlign w:val="center"/>
          </w:tcPr>
          <w:p w:rsidR="00891A0E" w:rsidRDefault="00DA6050" w14:paraId="5AF4619E" w14:textId="77777777">
            <w:pPr>
              <w:keepNext/>
              <w:jc w:val="center"/>
              <w:rPr>
                <w:rFonts w:ascii="Calibri" w:hAnsi="Calibri" w:eastAsia="Calibri" w:cs="Calibri"/>
                <w:sz w:val="16"/>
                <w:szCs w:val="16"/>
              </w:rPr>
            </w:pPr>
            <w:r>
              <w:rPr>
                <w:rFonts w:ascii="Calibri" w:hAnsi="Calibri" w:eastAsia="Calibri" w:cs="Calibri"/>
                <w:b/>
                <w:sz w:val="16"/>
                <w:szCs w:val="16"/>
              </w:rPr>
              <w:t>Respondents</w:t>
            </w:r>
          </w:p>
        </w:tc>
        <w:tc>
          <w:tcPr>
            <w:tcW w:w="1890" w:type="dxa"/>
            <w:gridSpan w:val="2"/>
            <w:tcBorders>
              <w:bottom w:val="single" w:color="000000" w:sz="4" w:space="0"/>
            </w:tcBorders>
            <w:shd w:val="clear" w:color="auto" w:fill="5B9BD5"/>
            <w:vAlign w:val="center"/>
          </w:tcPr>
          <w:p w:rsidR="00891A0E" w:rsidRDefault="00DA6050" w14:paraId="6C51C56F" w14:textId="77777777">
            <w:pPr>
              <w:keepNext/>
              <w:jc w:val="center"/>
              <w:rPr>
                <w:rFonts w:ascii="Calibri" w:hAnsi="Calibri" w:eastAsia="Calibri" w:cs="Calibri"/>
                <w:sz w:val="16"/>
                <w:szCs w:val="16"/>
              </w:rPr>
            </w:pPr>
            <w:r>
              <w:rPr>
                <w:rFonts w:ascii="Calibri" w:hAnsi="Calibri" w:eastAsia="Calibri" w:cs="Calibri"/>
                <w:b/>
                <w:sz w:val="16"/>
                <w:szCs w:val="16"/>
              </w:rPr>
              <w:t>Responses</w:t>
            </w:r>
          </w:p>
        </w:tc>
        <w:tc>
          <w:tcPr>
            <w:tcW w:w="1980" w:type="dxa"/>
            <w:gridSpan w:val="2"/>
            <w:tcBorders>
              <w:bottom w:val="single" w:color="000000" w:sz="4" w:space="0"/>
            </w:tcBorders>
            <w:shd w:val="clear" w:color="auto" w:fill="5B9BD5"/>
            <w:vAlign w:val="center"/>
          </w:tcPr>
          <w:p w:rsidR="00891A0E" w:rsidRDefault="00DA6050" w14:paraId="181027C4" w14:textId="77777777">
            <w:pPr>
              <w:keepNext/>
              <w:jc w:val="center"/>
              <w:rPr>
                <w:rFonts w:ascii="Calibri" w:hAnsi="Calibri" w:eastAsia="Calibri" w:cs="Calibri"/>
                <w:sz w:val="16"/>
                <w:szCs w:val="16"/>
              </w:rPr>
            </w:pPr>
            <w:r>
              <w:rPr>
                <w:rFonts w:ascii="Calibri" w:hAnsi="Calibri" w:eastAsia="Calibri" w:cs="Calibri"/>
                <w:b/>
                <w:sz w:val="16"/>
                <w:szCs w:val="16"/>
              </w:rPr>
              <w:t>Burden Hours</w:t>
            </w:r>
          </w:p>
        </w:tc>
        <w:tc>
          <w:tcPr>
            <w:tcW w:w="2147" w:type="dxa"/>
            <w:vMerge w:val="restart"/>
            <w:shd w:val="clear" w:color="auto" w:fill="5B9BD5"/>
            <w:vAlign w:val="center"/>
          </w:tcPr>
          <w:p w:rsidR="00891A0E" w:rsidRDefault="00DA6050" w14:paraId="3ED2482B" w14:textId="77777777">
            <w:pPr>
              <w:keepNext/>
              <w:jc w:val="center"/>
              <w:rPr>
                <w:rFonts w:ascii="Calibri" w:hAnsi="Calibri" w:eastAsia="Calibri" w:cs="Calibri"/>
                <w:sz w:val="16"/>
                <w:szCs w:val="16"/>
              </w:rPr>
            </w:pPr>
            <w:r>
              <w:rPr>
                <w:rFonts w:ascii="Calibri" w:hAnsi="Calibri" w:eastAsia="Calibri" w:cs="Calibri"/>
                <w:b/>
                <w:sz w:val="16"/>
                <w:szCs w:val="16"/>
              </w:rPr>
              <w:t>Reason for change or adjustment</w:t>
            </w:r>
          </w:p>
        </w:tc>
      </w:tr>
      <w:tr w:rsidR="00891A0E" w:rsidTr="001148B8" w14:paraId="30111CCE" w14:textId="77777777">
        <w:tc>
          <w:tcPr>
            <w:tcW w:w="2070" w:type="dxa"/>
            <w:vMerge/>
            <w:shd w:val="clear" w:color="auto" w:fill="5B9BD5"/>
            <w:vAlign w:val="center"/>
          </w:tcPr>
          <w:p w:rsidR="00891A0E" w:rsidRDefault="00891A0E" w14:paraId="19C45930" w14:textId="77777777">
            <w:pPr>
              <w:pBdr>
                <w:top w:val="nil"/>
                <w:left w:val="nil"/>
                <w:bottom w:val="nil"/>
                <w:right w:val="nil"/>
                <w:between w:val="nil"/>
              </w:pBdr>
              <w:spacing w:line="276" w:lineRule="auto"/>
              <w:rPr>
                <w:rFonts w:ascii="Calibri" w:hAnsi="Calibri" w:eastAsia="Calibri" w:cs="Calibri"/>
                <w:sz w:val="16"/>
                <w:szCs w:val="16"/>
              </w:rPr>
            </w:pPr>
          </w:p>
        </w:tc>
        <w:tc>
          <w:tcPr>
            <w:tcW w:w="990" w:type="dxa"/>
            <w:tcBorders>
              <w:bottom w:val="single" w:color="000000" w:sz="4" w:space="0"/>
              <w:right w:val="dashed" w:color="000000" w:sz="4" w:space="0"/>
            </w:tcBorders>
            <w:shd w:val="clear" w:color="auto" w:fill="FBE4D5"/>
            <w:vAlign w:val="center"/>
          </w:tcPr>
          <w:p w:rsidR="00891A0E" w:rsidRDefault="00DA6050" w14:paraId="1C9E3C63" w14:textId="77777777">
            <w:pPr>
              <w:keepNext/>
              <w:jc w:val="center"/>
              <w:rPr>
                <w:rFonts w:ascii="Calibri" w:hAnsi="Calibri" w:eastAsia="Calibri" w:cs="Calibri"/>
                <w:sz w:val="16"/>
                <w:szCs w:val="16"/>
              </w:rPr>
            </w:pPr>
            <w:r>
              <w:rPr>
                <w:rFonts w:ascii="Calibri" w:hAnsi="Calibri" w:eastAsia="Calibri" w:cs="Calibri"/>
                <w:sz w:val="16"/>
                <w:szCs w:val="16"/>
              </w:rPr>
              <w:t>Current Renewal / Revision</w:t>
            </w:r>
          </w:p>
        </w:tc>
        <w:tc>
          <w:tcPr>
            <w:tcW w:w="990" w:type="dxa"/>
            <w:tcBorders>
              <w:left w:val="dashed" w:color="000000" w:sz="4" w:space="0"/>
              <w:bottom w:val="single" w:color="000000" w:sz="4" w:space="0"/>
            </w:tcBorders>
            <w:shd w:val="clear" w:color="auto" w:fill="FBE4D5"/>
            <w:vAlign w:val="center"/>
          </w:tcPr>
          <w:p w:rsidR="00891A0E" w:rsidRDefault="00DA6050" w14:paraId="7D7F7369" w14:textId="77777777">
            <w:pPr>
              <w:keepNext/>
              <w:jc w:val="center"/>
              <w:rPr>
                <w:rFonts w:ascii="Calibri" w:hAnsi="Calibri" w:eastAsia="Calibri" w:cs="Calibri"/>
                <w:sz w:val="16"/>
                <w:szCs w:val="16"/>
              </w:rPr>
            </w:pPr>
            <w:r>
              <w:rPr>
                <w:rFonts w:ascii="Calibri" w:hAnsi="Calibri" w:eastAsia="Calibri" w:cs="Calibri"/>
                <w:sz w:val="16"/>
                <w:szCs w:val="16"/>
              </w:rPr>
              <w:t>Previous Renewal / Revision</w:t>
            </w:r>
          </w:p>
        </w:tc>
        <w:tc>
          <w:tcPr>
            <w:tcW w:w="900" w:type="dxa"/>
            <w:tcBorders>
              <w:right w:val="dashed" w:color="000000" w:sz="4" w:space="0"/>
            </w:tcBorders>
            <w:shd w:val="clear" w:color="auto" w:fill="FBE4D5"/>
            <w:vAlign w:val="center"/>
          </w:tcPr>
          <w:p w:rsidR="00891A0E" w:rsidRDefault="00DA6050" w14:paraId="1D7B6DFF" w14:textId="77777777">
            <w:pPr>
              <w:keepNext/>
              <w:jc w:val="center"/>
              <w:rPr>
                <w:rFonts w:ascii="Calibri" w:hAnsi="Calibri" w:eastAsia="Calibri" w:cs="Calibri"/>
                <w:sz w:val="16"/>
                <w:szCs w:val="16"/>
              </w:rPr>
            </w:pPr>
            <w:r>
              <w:rPr>
                <w:rFonts w:ascii="Calibri" w:hAnsi="Calibri" w:eastAsia="Calibri" w:cs="Calibri"/>
                <w:sz w:val="16"/>
                <w:szCs w:val="16"/>
              </w:rPr>
              <w:t>Current Renewal / Revision</w:t>
            </w:r>
          </w:p>
        </w:tc>
        <w:tc>
          <w:tcPr>
            <w:tcW w:w="990" w:type="dxa"/>
            <w:tcBorders>
              <w:left w:val="dashed" w:color="000000" w:sz="4" w:space="0"/>
            </w:tcBorders>
            <w:shd w:val="clear" w:color="auto" w:fill="FBE4D5"/>
            <w:vAlign w:val="center"/>
          </w:tcPr>
          <w:p w:rsidR="00891A0E" w:rsidRDefault="00DA6050" w14:paraId="23378404" w14:textId="77777777">
            <w:pPr>
              <w:keepNext/>
              <w:jc w:val="center"/>
              <w:rPr>
                <w:rFonts w:ascii="Calibri" w:hAnsi="Calibri" w:eastAsia="Calibri" w:cs="Calibri"/>
                <w:sz w:val="16"/>
                <w:szCs w:val="16"/>
              </w:rPr>
            </w:pPr>
            <w:r>
              <w:rPr>
                <w:rFonts w:ascii="Calibri" w:hAnsi="Calibri" w:eastAsia="Calibri" w:cs="Calibri"/>
                <w:sz w:val="16"/>
                <w:szCs w:val="16"/>
              </w:rPr>
              <w:t>Previous Renewal / Revision</w:t>
            </w:r>
          </w:p>
        </w:tc>
        <w:tc>
          <w:tcPr>
            <w:tcW w:w="990" w:type="dxa"/>
            <w:tcBorders>
              <w:bottom w:val="single" w:color="000000" w:sz="4" w:space="0"/>
              <w:right w:val="dashed" w:color="000000" w:sz="4" w:space="0"/>
            </w:tcBorders>
            <w:shd w:val="clear" w:color="auto" w:fill="FBE4D5"/>
            <w:vAlign w:val="center"/>
          </w:tcPr>
          <w:p w:rsidR="00891A0E" w:rsidRDefault="00DA6050" w14:paraId="23D03FA8" w14:textId="77777777">
            <w:pPr>
              <w:keepNext/>
              <w:jc w:val="center"/>
              <w:rPr>
                <w:rFonts w:ascii="Calibri" w:hAnsi="Calibri" w:eastAsia="Calibri" w:cs="Calibri"/>
                <w:sz w:val="16"/>
                <w:szCs w:val="16"/>
              </w:rPr>
            </w:pPr>
            <w:r>
              <w:rPr>
                <w:rFonts w:ascii="Calibri" w:hAnsi="Calibri" w:eastAsia="Calibri" w:cs="Calibri"/>
                <w:sz w:val="16"/>
                <w:szCs w:val="16"/>
              </w:rPr>
              <w:t>Current Renewal / Revision</w:t>
            </w:r>
          </w:p>
        </w:tc>
        <w:tc>
          <w:tcPr>
            <w:tcW w:w="990" w:type="dxa"/>
            <w:tcBorders>
              <w:left w:val="dashed" w:color="000000" w:sz="4" w:space="0"/>
            </w:tcBorders>
            <w:shd w:val="clear" w:color="auto" w:fill="FBE4D5"/>
            <w:vAlign w:val="center"/>
          </w:tcPr>
          <w:p w:rsidR="00891A0E" w:rsidRDefault="00DA6050" w14:paraId="0726DE56" w14:textId="77777777">
            <w:pPr>
              <w:keepNext/>
              <w:jc w:val="center"/>
              <w:rPr>
                <w:rFonts w:ascii="Calibri" w:hAnsi="Calibri" w:eastAsia="Calibri" w:cs="Calibri"/>
                <w:sz w:val="16"/>
                <w:szCs w:val="16"/>
              </w:rPr>
            </w:pPr>
            <w:r>
              <w:rPr>
                <w:rFonts w:ascii="Calibri" w:hAnsi="Calibri" w:eastAsia="Calibri" w:cs="Calibri"/>
                <w:sz w:val="16"/>
                <w:szCs w:val="16"/>
              </w:rPr>
              <w:t>Previous Renewal / Revision</w:t>
            </w:r>
          </w:p>
        </w:tc>
        <w:tc>
          <w:tcPr>
            <w:tcW w:w="2147" w:type="dxa"/>
            <w:vMerge/>
            <w:shd w:val="clear" w:color="auto" w:fill="5B9BD5"/>
            <w:vAlign w:val="center"/>
          </w:tcPr>
          <w:p w:rsidR="00891A0E" w:rsidRDefault="00891A0E" w14:paraId="792C3599" w14:textId="77777777">
            <w:pPr>
              <w:pBdr>
                <w:top w:val="nil"/>
                <w:left w:val="nil"/>
                <w:bottom w:val="nil"/>
                <w:right w:val="nil"/>
                <w:between w:val="nil"/>
              </w:pBdr>
              <w:spacing w:line="276" w:lineRule="auto"/>
              <w:rPr>
                <w:rFonts w:ascii="Calibri" w:hAnsi="Calibri" w:eastAsia="Calibri" w:cs="Calibri"/>
                <w:sz w:val="16"/>
                <w:szCs w:val="16"/>
              </w:rPr>
            </w:pPr>
          </w:p>
        </w:tc>
      </w:tr>
      <w:tr w:rsidR="00E2651C" w:rsidTr="001148B8" w14:paraId="46844BAF" w14:textId="77777777">
        <w:trPr>
          <w:trHeight w:val="60"/>
        </w:trPr>
        <w:tc>
          <w:tcPr>
            <w:tcW w:w="2070" w:type="dxa"/>
            <w:vAlign w:val="center"/>
          </w:tcPr>
          <w:p w:rsidR="00E2651C" w:rsidRDefault="00E2651C" w14:paraId="2C1CC465" w14:textId="7041A2F6">
            <w:pPr>
              <w:rPr>
                <w:rFonts w:ascii="Calibri" w:hAnsi="Calibri" w:eastAsia="Calibri" w:cs="Calibri"/>
                <w:sz w:val="16"/>
                <w:szCs w:val="16"/>
              </w:rPr>
            </w:pPr>
            <w:r w:rsidRPr="00E2651C">
              <w:rPr>
                <w:rFonts w:ascii="Calibri" w:hAnsi="Calibri" w:eastAsia="Calibri" w:cs="Calibri"/>
                <w:sz w:val="16"/>
                <w:szCs w:val="16"/>
              </w:rPr>
              <w:t>FAD satellite buoy reporting</w:t>
            </w:r>
          </w:p>
        </w:tc>
        <w:tc>
          <w:tcPr>
            <w:tcW w:w="990" w:type="dxa"/>
            <w:tcBorders>
              <w:bottom w:val="dotted" w:color="000000" w:sz="4" w:space="0"/>
              <w:right w:val="dashed" w:color="000000" w:sz="4" w:space="0"/>
            </w:tcBorders>
            <w:vAlign w:val="center"/>
          </w:tcPr>
          <w:p w:rsidR="00E2651C" w:rsidRDefault="00E2651C" w14:paraId="66A73147" w14:textId="1A508EA9">
            <w:pPr>
              <w:jc w:val="center"/>
              <w:rPr>
                <w:rFonts w:ascii="Calibri" w:hAnsi="Calibri" w:eastAsia="Calibri" w:cs="Calibri"/>
                <w:sz w:val="16"/>
                <w:szCs w:val="16"/>
              </w:rPr>
            </w:pPr>
            <w:r>
              <w:rPr>
                <w:rFonts w:ascii="Calibri" w:hAnsi="Calibri" w:eastAsia="Calibri" w:cs="Calibri"/>
                <w:sz w:val="16"/>
                <w:szCs w:val="16"/>
              </w:rPr>
              <w:t>19</w:t>
            </w:r>
          </w:p>
        </w:tc>
        <w:tc>
          <w:tcPr>
            <w:tcW w:w="990" w:type="dxa"/>
            <w:tcBorders>
              <w:left w:val="dashed" w:color="000000" w:sz="4" w:space="0"/>
              <w:bottom w:val="dotted" w:color="000000" w:sz="4" w:space="0"/>
            </w:tcBorders>
            <w:vAlign w:val="center"/>
          </w:tcPr>
          <w:p w:rsidR="00E2651C" w:rsidRDefault="00E2651C" w14:paraId="371A61C9" w14:textId="3A87A5A6">
            <w:pPr>
              <w:keepNext/>
              <w:jc w:val="center"/>
              <w:rPr>
                <w:rFonts w:ascii="Calibri" w:hAnsi="Calibri" w:eastAsia="Calibri" w:cs="Calibri"/>
                <w:sz w:val="16"/>
                <w:szCs w:val="16"/>
              </w:rPr>
            </w:pPr>
            <w:r>
              <w:rPr>
                <w:rFonts w:ascii="Calibri" w:hAnsi="Calibri" w:eastAsia="Calibri" w:cs="Calibri"/>
                <w:sz w:val="16"/>
                <w:szCs w:val="16"/>
              </w:rPr>
              <w:t>NA</w:t>
            </w:r>
          </w:p>
        </w:tc>
        <w:tc>
          <w:tcPr>
            <w:tcW w:w="900" w:type="dxa"/>
            <w:tcBorders>
              <w:bottom w:val="dotted" w:color="000000" w:sz="4" w:space="0"/>
              <w:right w:val="dashed" w:color="000000" w:sz="4" w:space="0"/>
            </w:tcBorders>
            <w:vAlign w:val="center"/>
          </w:tcPr>
          <w:p w:rsidR="00E2651C" w:rsidRDefault="00E2651C" w14:paraId="0A263291" w14:textId="4B9E2BB0">
            <w:pPr>
              <w:jc w:val="center"/>
              <w:rPr>
                <w:rFonts w:ascii="Calibri" w:hAnsi="Calibri" w:eastAsia="Calibri" w:cs="Calibri"/>
                <w:sz w:val="16"/>
                <w:szCs w:val="16"/>
              </w:rPr>
            </w:pPr>
            <w:r w:rsidRPr="00E2651C">
              <w:rPr>
                <w:rFonts w:ascii="Calibri" w:hAnsi="Calibri" w:eastAsia="Calibri" w:cs="Calibri"/>
                <w:sz w:val="16"/>
                <w:szCs w:val="16"/>
              </w:rPr>
              <w:t>3,610</w:t>
            </w:r>
          </w:p>
        </w:tc>
        <w:tc>
          <w:tcPr>
            <w:tcW w:w="990" w:type="dxa"/>
            <w:tcBorders>
              <w:left w:val="dashed" w:color="000000" w:sz="4" w:space="0"/>
              <w:bottom w:val="dotted" w:color="000000" w:sz="4" w:space="0"/>
            </w:tcBorders>
            <w:vAlign w:val="center"/>
          </w:tcPr>
          <w:p w:rsidR="00E2651C" w:rsidRDefault="00E2651C" w14:paraId="766E9048" w14:textId="29B9BCEE">
            <w:pPr>
              <w:keepNext/>
              <w:jc w:val="center"/>
              <w:rPr>
                <w:rFonts w:ascii="Calibri" w:hAnsi="Calibri" w:eastAsia="Calibri" w:cs="Calibri"/>
                <w:sz w:val="16"/>
                <w:szCs w:val="16"/>
              </w:rPr>
            </w:pPr>
            <w:r>
              <w:rPr>
                <w:rFonts w:ascii="Calibri" w:hAnsi="Calibri" w:eastAsia="Calibri" w:cs="Calibri"/>
                <w:sz w:val="16"/>
                <w:szCs w:val="16"/>
              </w:rPr>
              <w:t>NA</w:t>
            </w:r>
          </w:p>
        </w:tc>
        <w:tc>
          <w:tcPr>
            <w:tcW w:w="990" w:type="dxa"/>
            <w:tcBorders>
              <w:bottom w:val="dotted" w:color="000000" w:sz="4" w:space="0"/>
              <w:right w:val="dashed" w:color="000000" w:sz="4" w:space="0"/>
            </w:tcBorders>
            <w:vAlign w:val="center"/>
          </w:tcPr>
          <w:p w:rsidR="00E2651C" w:rsidP="004717BF" w:rsidRDefault="00E2651C" w14:paraId="0AA20F6C" w14:textId="2A3A0B87">
            <w:pPr>
              <w:jc w:val="center"/>
              <w:rPr>
                <w:rFonts w:ascii="Calibri" w:hAnsi="Calibri" w:eastAsia="Calibri" w:cs="Calibri"/>
                <w:sz w:val="16"/>
                <w:szCs w:val="16"/>
              </w:rPr>
            </w:pPr>
            <w:r w:rsidRPr="00E2651C">
              <w:rPr>
                <w:rFonts w:ascii="Calibri" w:hAnsi="Calibri" w:eastAsia="Calibri" w:cs="Calibri"/>
                <w:sz w:val="16"/>
                <w:szCs w:val="16"/>
              </w:rPr>
              <w:t>18</w:t>
            </w:r>
            <w:r w:rsidR="004717BF">
              <w:rPr>
                <w:rFonts w:ascii="Calibri" w:hAnsi="Calibri" w:eastAsia="Calibri" w:cs="Calibri"/>
                <w:sz w:val="16"/>
                <w:szCs w:val="16"/>
              </w:rPr>
              <w:t>1</w:t>
            </w:r>
          </w:p>
        </w:tc>
        <w:tc>
          <w:tcPr>
            <w:tcW w:w="990" w:type="dxa"/>
            <w:tcBorders>
              <w:left w:val="dashed" w:color="000000" w:sz="4" w:space="0"/>
              <w:bottom w:val="dotted" w:color="000000" w:sz="4" w:space="0"/>
            </w:tcBorders>
            <w:vAlign w:val="center"/>
          </w:tcPr>
          <w:p w:rsidR="00E2651C" w:rsidRDefault="00E2651C" w14:paraId="0636600E" w14:textId="6E391C58">
            <w:pPr>
              <w:keepNext/>
              <w:jc w:val="center"/>
              <w:rPr>
                <w:rFonts w:ascii="Calibri" w:hAnsi="Calibri" w:eastAsia="Calibri" w:cs="Calibri"/>
                <w:sz w:val="16"/>
                <w:szCs w:val="16"/>
              </w:rPr>
            </w:pPr>
            <w:r>
              <w:rPr>
                <w:rFonts w:ascii="Calibri" w:hAnsi="Calibri" w:eastAsia="Calibri" w:cs="Calibri"/>
                <w:sz w:val="16"/>
                <w:szCs w:val="16"/>
              </w:rPr>
              <w:t>NA</w:t>
            </w:r>
          </w:p>
        </w:tc>
        <w:tc>
          <w:tcPr>
            <w:tcW w:w="2147" w:type="dxa"/>
            <w:tcBorders>
              <w:left w:val="dotted" w:color="000000" w:sz="4" w:space="0"/>
              <w:bottom w:val="dotted" w:color="000000" w:sz="4" w:space="0"/>
            </w:tcBorders>
            <w:vAlign w:val="center"/>
          </w:tcPr>
          <w:p w:rsidR="00E2651C" w:rsidP="000E3B00" w:rsidRDefault="00E2651C" w14:paraId="6F0FA6F1" w14:textId="0279C28C">
            <w:pPr>
              <w:rPr>
                <w:rFonts w:ascii="Calibri" w:hAnsi="Calibri" w:eastAsia="Calibri" w:cs="Calibri"/>
                <w:sz w:val="16"/>
                <w:szCs w:val="16"/>
              </w:rPr>
            </w:pPr>
            <w:r>
              <w:rPr>
                <w:rFonts w:ascii="Calibri" w:hAnsi="Calibri" w:eastAsia="Calibri" w:cs="Calibri"/>
                <w:sz w:val="16"/>
                <w:szCs w:val="16"/>
              </w:rPr>
              <w:t>New IATTC reporting requirements</w:t>
            </w:r>
          </w:p>
        </w:tc>
      </w:tr>
      <w:tr w:rsidR="00E2651C" w:rsidTr="001148B8" w14:paraId="47B14038" w14:textId="77777777">
        <w:trPr>
          <w:trHeight w:val="60"/>
        </w:trPr>
        <w:tc>
          <w:tcPr>
            <w:tcW w:w="2070" w:type="dxa"/>
            <w:vAlign w:val="center"/>
          </w:tcPr>
          <w:p w:rsidR="00E2651C" w:rsidP="00E2651C" w:rsidRDefault="00E2651C" w14:paraId="7D242885" w14:textId="46E5B172">
            <w:pPr>
              <w:rPr>
                <w:rFonts w:ascii="Calibri" w:hAnsi="Calibri" w:eastAsia="Calibri" w:cs="Calibri"/>
                <w:sz w:val="16"/>
                <w:szCs w:val="16"/>
              </w:rPr>
            </w:pPr>
            <w:r>
              <w:rPr>
                <w:rFonts w:ascii="Calibri" w:hAnsi="Calibri" w:eastAsia="Calibri" w:cs="Calibri"/>
                <w:sz w:val="16"/>
                <w:szCs w:val="16"/>
              </w:rPr>
              <w:t xml:space="preserve">Cannery data </w:t>
            </w:r>
          </w:p>
        </w:tc>
        <w:tc>
          <w:tcPr>
            <w:tcW w:w="990" w:type="dxa"/>
            <w:tcBorders>
              <w:bottom w:val="dotted" w:color="000000" w:sz="4" w:space="0"/>
              <w:right w:val="dashed" w:color="000000" w:sz="4" w:space="0"/>
            </w:tcBorders>
            <w:vAlign w:val="center"/>
          </w:tcPr>
          <w:p w:rsidR="00E2651C" w:rsidP="00E2651C" w:rsidRDefault="00E2651C" w14:paraId="6F336A27" w14:textId="65EF942F">
            <w:pPr>
              <w:jc w:val="center"/>
              <w:rPr>
                <w:rFonts w:ascii="Calibri" w:hAnsi="Calibri" w:eastAsia="Calibri" w:cs="Calibri"/>
                <w:sz w:val="16"/>
                <w:szCs w:val="16"/>
              </w:rPr>
            </w:pPr>
            <w:r>
              <w:rPr>
                <w:rFonts w:ascii="Calibri" w:hAnsi="Calibri" w:eastAsia="Calibri" w:cs="Calibri"/>
                <w:sz w:val="16"/>
                <w:szCs w:val="16"/>
              </w:rPr>
              <w:t>19</w:t>
            </w:r>
          </w:p>
        </w:tc>
        <w:tc>
          <w:tcPr>
            <w:tcW w:w="990" w:type="dxa"/>
            <w:tcBorders>
              <w:left w:val="dashed" w:color="000000" w:sz="4" w:space="0"/>
              <w:bottom w:val="dotted" w:color="000000" w:sz="4" w:space="0"/>
            </w:tcBorders>
            <w:vAlign w:val="center"/>
          </w:tcPr>
          <w:p w:rsidR="00E2651C" w:rsidP="00E2651C" w:rsidRDefault="00E2651C" w14:paraId="227C537B" w14:textId="554D94C1">
            <w:pPr>
              <w:keepNext/>
              <w:jc w:val="center"/>
              <w:rPr>
                <w:rFonts w:ascii="Calibri" w:hAnsi="Calibri" w:eastAsia="Calibri" w:cs="Calibri"/>
                <w:sz w:val="16"/>
                <w:szCs w:val="16"/>
              </w:rPr>
            </w:pPr>
            <w:r>
              <w:rPr>
                <w:rFonts w:ascii="Calibri" w:hAnsi="Calibri" w:eastAsia="Calibri" w:cs="Calibri"/>
                <w:sz w:val="16"/>
                <w:szCs w:val="16"/>
              </w:rPr>
              <w:t>NA</w:t>
            </w:r>
          </w:p>
        </w:tc>
        <w:tc>
          <w:tcPr>
            <w:tcW w:w="900" w:type="dxa"/>
            <w:tcBorders>
              <w:bottom w:val="dotted" w:color="000000" w:sz="4" w:space="0"/>
              <w:right w:val="dashed" w:color="000000" w:sz="4" w:space="0"/>
            </w:tcBorders>
            <w:vAlign w:val="center"/>
          </w:tcPr>
          <w:p w:rsidR="00E2651C" w:rsidP="00E2651C" w:rsidRDefault="00E2651C" w14:paraId="169B4C29" w14:textId="10D3460B">
            <w:pPr>
              <w:jc w:val="center"/>
              <w:rPr>
                <w:rFonts w:ascii="Calibri" w:hAnsi="Calibri" w:eastAsia="Calibri" w:cs="Calibri"/>
                <w:sz w:val="16"/>
                <w:szCs w:val="16"/>
              </w:rPr>
            </w:pPr>
            <w:r>
              <w:rPr>
                <w:rFonts w:ascii="Calibri" w:hAnsi="Calibri" w:eastAsia="Calibri" w:cs="Calibri"/>
                <w:sz w:val="16"/>
                <w:szCs w:val="16"/>
              </w:rPr>
              <w:t>3,705</w:t>
            </w:r>
          </w:p>
        </w:tc>
        <w:tc>
          <w:tcPr>
            <w:tcW w:w="990" w:type="dxa"/>
            <w:tcBorders>
              <w:left w:val="dashed" w:color="000000" w:sz="4" w:space="0"/>
              <w:bottom w:val="dotted" w:color="000000" w:sz="4" w:space="0"/>
            </w:tcBorders>
            <w:vAlign w:val="center"/>
          </w:tcPr>
          <w:p w:rsidR="00E2651C" w:rsidP="00E2651C" w:rsidRDefault="00E2651C" w14:paraId="5EC57664" w14:textId="4329A677">
            <w:pPr>
              <w:keepNext/>
              <w:jc w:val="center"/>
              <w:rPr>
                <w:rFonts w:ascii="Calibri" w:hAnsi="Calibri" w:eastAsia="Calibri" w:cs="Calibri"/>
                <w:sz w:val="16"/>
                <w:szCs w:val="16"/>
              </w:rPr>
            </w:pPr>
            <w:r>
              <w:rPr>
                <w:rFonts w:ascii="Calibri" w:hAnsi="Calibri" w:eastAsia="Calibri" w:cs="Calibri"/>
                <w:sz w:val="16"/>
                <w:szCs w:val="16"/>
              </w:rPr>
              <w:t>NA</w:t>
            </w:r>
          </w:p>
        </w:tc>
        <w:tc>
          <w:tcPr>
            <w:tcW w:w="990" w:type="dxa"/>
            <w:tcBorders>
              <w:bottom w:val="dotted" w:color="000000" w:sz="4" w:space="0"/>
              <w:right w:val="dashed" w:color="000000" w:sz="4" w:space="0"/>
            </w:tcBorders>
            <w:vAlign w:val="center"/>
          </w:tcPr>
          <w:p w:rsidR="00E2651C" w:rsidP="00E2651C" w:rsidRDefault="004717BF" w14:paraId="585BCEB1" w14:textId="49BDFEF7">
            <w:pPr>
              <w:jc w:val="center"/>
              <w:rPr>
                <w:rFonts w:ascii="Calibri" w:hAnsi="Calibri" w:eastAsia="Calibri" w:cs="Calibri"/>
                <w:sz w:val="16"/>
                <w:szCs w:val="16"/>
              </w:rPr>
            </w:pPr>
            <w:r>
              <w:rPr>
                <w:rFonts w:ascii="Calibri" w:hAnsi="Calibri" w:eastAsia="Calibri" w:cs="Calibri"/>
                <w:sz w:val="16"/>
                <w:szCs w:val="16"/>
              </w:rPr>
              <w:t>309</w:t>
            </w:r>
          </w:p>
        </w:tc>
        <w:tc>
          <w:tcPr>
            <w:tcW w:w="990" w:type="dxa"/>
            <w:tcBorders>
              <w:left w:val="dashed" w:color="000000" w:sz="4" w:space="0"/>
              <w:bottom w:val="dotted" w:color="000000" w:sz="4" w:space="0"/>
            </w:tcBorders>
            <w:vAlign w:val="center"/>
          </w:tcPr>
          <w:p w:rsidR="00E2651C" w:rsidP="00E2651C" w:rsidRDefault="00E2651C" w14:paraId="55153983" w14:textId="7C358A4A">
            <w:pPr>
              <w:keepNext/>
              <w:jc w:val="center"/>
              <w:rPr>
                <w:rFonts w:ascii="Calibri" w:hAnsi="Calibri" w:eastAsia="Calibri" w:cs="Calibri"/>
                <w:sz w:val="16"/>
                <w:szCs w:val="16"/>
              </w:rPr>
            </w:pPr>
            <w:r>
              <w:rPr>
                <w:rFonts w:ascii="Calibri" w:hAnsi="Calibri" w:eastAsia="Calibri" w:cs="Calibri"/>
                <w:sz w:val="16"/>
                <w:szCs w:val="16"/>
              </w:rPr>
              <w:t>NA</w:t>
            </w:r>
          </w:p>
        </w:tc>
        <w:tc>
          <w:tcPr>
            <w:tcW w:w="2147" w:type="dxa"/>
            <w:tcBorders>
              <w:left w:val="dotted" w:color="000000" w:sz="4" w:space="0"/>
              <w:bottom w:val="dotted" w:color="000000" w:sz="4" w:space="0"/>
            </w:tcBorders>
            <w:vAlign w:val="center"/>
          </w:tcPr>
          <w:p w:rsidR="00E2651C" w:rsidP="00E2651C" w:rsidRDefault="00E2651C" w14:paraId="2A4C2EEF" w14:textId="0036BA7A">
            <w:pPr>
              <w:rPr>
                <w:rFonts w:ascii="Calibri" w:hAnsi="Calibri" w:eastAsia="Calibri" w:cs="Calibri"/>
                <w:sz w:val="16"/>
                <w:szCs w:val="16"/>
              </w:rPr>
            </w:pPr>
            <w:r>
              <w:rPr>
                <w:rFonts w:ascii="Calibri" w:hAnsi="Calibri" w:eastAsia="Calibri" w:cs="Calibri"/>
                <w:sz w:val="16"/>
                <w:szCs w:val="16"/>
              </w:rPr>
              <w:t>New IATTC reporting requirements</w:t>
            </w:r>
          </w:p>
        </w:tc>
      </w:tr>
      <w:tr w:rsidR="00E2651C" w:rsidTr="001148B8" w14:paraId="30EA6BCC" w14:textId="77777777">
        <w:tc>
          <w:tcPr>
            <w:tcW w:w="2070" w:type="dxa"/>
            <w:shd w:val="clear" w:color="auto" w:fill="BDD6EE"/>
            <w:vAlign w:val="center"/>
          </w:tcPr>
          <w:p w:rsidR="00E2651C" w:rsidP="00E2651C" w:rsidRDefault="00E2651C" w14:paraId="1EFC901A" w14:textId="77777777">
            <w:pPr>
              <w:keepNext/>
              <w:jc w:val="center"/>
              <w:rPr>
                <w:rFonts w:ascii="Calibri" w:hAnsi="Calibri" w:eastAsia="Calibri" w:cs="Calibri"/>
                <w:sz w:val="16"/>
                <w:szCs w:val="16"/>
              </w:rPr>
            </w:pPr>
            <w:r>
              <w:rPr>
                <w:rFonts w:ascii="Calibri" w:hAnsi="Calibri" w:eastAsia="Calibri" w:cs="Calibri"/>
                <w:b/>
                <w:sz w:val="16"/>
                <w:szCs w:val="16"/>
              </w:rPr>
              <w:t>Total for Collection</w:t>
            </w:r>
          </w:p>
        </w:tc>
        <w:tc>
          <w:tcPr>
            <w:tcW w:w="990" w:type="dxa"/>
            <w:tcBorders>
              <w:right w:val="dashed" w:color="000000" w:sz="4" w:space="0"/>
            </w:tcBorders>
            <w:shd w:val="clear" w:color="auto" w:fill="BDD6EE"/>
            <w:vAlign w:val="center"/>
          </w:tcPr>
          <w:p w:rsidR="00E2651C" w:rsidP="00E2651C" w:rsidRDefault="00E2651C" w14:paraId="5A30E6E6" w14:textId="5ED0AC6E">
            <w:pPr>
              <w:keepNext/>
              <w:jc w:val="center"/>
              <w:rPr>
                <w:rFonts w:ascii="Calibri" w:hAnsi="Calibri" w:eastAsia="Calibri" w:cs="Calibri"/>
                <w:sz w:val="16"/>
                <w:szCs w:val="16"/>
              </w:rPr>
            </w:pPr>
            <w:r>
              <w:rPr>
                <w:rFonts w:ascii="Calibri" w:hAnsi="Calibri" w:eastAsia="Calibri" w:cs="Calibri"/>
                <w:sz w:val="16"/>
                <w:szCs w:val="16"/>
              </w:rPr>
              <w:t>38</w:t>
            </w:r>
            <w:r w:rsidR="001512C1">
              <w:rPr>
                <w:rFonts w:ascii="Calibri" w:hAnsi="Calibri" w:eastAsia="Calibri" w:cs="Calibri"/>
                <w:sz w:val="16"/>
                <w:szCs w:val="16"/>
              </w:rPr>
              <w:t>*</w:t>
            </w:r>
          </w:p>
        </w:tc>
        <w:tc>
          <w:tcPr>
            <w:tcW w:w="990" w:type="dxa"/>
            <w:tcBorders>
              <w:left w:val="dashed" w:color="000000" w:sz="4" w:space="0"/>
            </w:tcBorders>
            <w:shd w:val="clear" w:color="auto" w:fill="BDD6EE"/>
            <w:vAlign w:val="center"/>
          </w:tcPr>
          <w:p w:rsidR="00E2651C" w:rsidP="00E2651C" w:rsidRDefault="00980678" w14:paraId="2116DAE6" w14:textId="14DA3CD9">
            <w:pPr>
              <w:keepNext/>
              <w:jc w:val="center"/>
              <w:rPr>
                <w:rFonts w:ascii="Calibri" w:hAnsi="Calibri" w:eastAsia="Calibri" w:cs="Calibri"/>
                <w:sz w:val="16"/>
                <w:szCs w:val="16"/>
              </w:rPr>
            </w:pPr>
            <w:r>
              <w:rPr>
                <w:rFonts w:ascii="Calibri" w:hAnsi="Calibri" w:eastAsia="Calibri" w:cs="Calibri"/>
                <w:sz w:val="16"/>
                <w:szCs w:val="16"/>
              </w:rPr>
              <w:t>NA</w:t>
            </w:r>
          </w:p>
        </w:tc>
        <w:tc>
          <w:tcPr>
            <w:tcW w:w="900" w:type="dxa"/>
            <w:tcBorders>
              <w:right w:val="dashed" w:color="000000" w:sz="4" w:space="0"/>
            </w:tcBorders>
            <w:shd w:val="clear" w:color="auto" w:fill="BDD6EE"/>
            <w:vAlign w:val="center"/>
          </w:tcPr>
          <w:p w:rsidR="00E2651C" w:rsidP="00E2651C" w:rsidRDefault="001512C1" w14:paraId="04D87F20" w14:textId="542732A7">
            <w:pPr>
              <w:keepNext/>
              <w:jc w:val="center"/>
              <w:rPr>
                <w:rFonts w:ascii="Calibri" w:hAnsi="Calibri" w:eastAsia="Calibri" w:cs="Calibri"/>
                <w:sz w:val="16"/>
                <w:szCs w:val="16"/>
              </w:rPr>
            </w:pPr>
            <w:r>
              <w:rPr>
                <w:rFonts w:ascii="Calibri" w:hAnsi="Calibri" w:eastAsia="Calibri" w:cs="Calibri"/>
                <w:sz w:val="16"/>
                <w:szCs w:val="16"/>
              </w:rPr>
              <w:t>11,021</w:t>
            </w:r>
          </w:p>
        </w:tc>
        <w:tc>
          <w:tcPr>
            <w:tcW w:w="990" w:type="dxa"/>
            <w:tcBorders>
              <w:left w:val="dashed" w:color="000000" w:sz="4" w:space="0"/>
            </w:tcBorders>
            <w:shd w:val="clear" w:color="auto" w:fill="BDD6EE"/>
            <w:vAlign w:val="center"/>
          </w:tcPr>
          <w:p w:rsidR="00E2651C" w:rsidP="00E2651C" w:rsidRDefault="001512C1" w14:paraId="0091B2BD" w14:textId="590A15A5">
            <w:pPr>
              <w:keepNext/>
              <w:jc w:val="center"/>
              <w:rPr>
                <w:rFonts w:ascii="Calibri" w:hAnsi="Calibri" w:eastAsia="Calibri" w:cs="Calibri"/>
                <w:sz w:val="16"/>
                <w:szCs w:val="16"/>
              </w:rPr>
            </w:pPr>
            <w:r>
              <w:rPr>
                <w:rFonts w:ascii="Calibri" w:hAnsi="Calibri" w:eastAsia="Calibri" w:cs="Calibri"/>
                <w:sz w:val="16"/>
                <w:szCs w:val="16"/>
              </w:rPr>
              <w:t>3,706</w:t>
            </w:r>
          </w:p>
        </w:tc>
        <w:tc>
          <w:tcPr>
            <w:tcW w:w="990" w:type="dxa"/>
            <w:tcBorders>
              <w:right w:val="dashed" w:color="000000" w:sz="4" w:space="0"/>
            </w:tcBorders>
            <w:shd w:val="clear" w:color="auto" w:fill="BDD6EE"/>
            <w:vAlign w:val="center"/>
          </w:tcPr>
          <w:p w:rsidR="00E2651C" w:rsidP="00E2651C" w:rsidRDefault="001512C1" w14:paraId="7082B467" w14:textId="57F7317F">
            <w:pPr>
              <w:keepNext/>
              <w:jc w:val="center"/>
              <w:rPr>
                <w:rFonts w:ascii="Calibri" w:hAnsi="Calibri" w:eastAsia="Calibri" w:cs="Calibri"/>
                <w:sz w:val="16"/>
                <w:szCs w:val="16"/>
              </w:rPr>
            </w:pPr>
            <w:r>
              <w:rPr>
                <w:rFonts w:ascii="Calibri" w:hAnsi="Calibri" w:eastAsia="Calibri" w:cs="Calibri"/>
                <w:sz w:val="16"/>
                <w:szCs w:val="16"/>
              </w:rPr>
              <w:t>861</w:t>
            </w:r>
          </w:p>
        </w:tc>
        <w:tc>
          <w:tcPr>
            <w:tcW w:w="990" w:type="dxa"/>
            <w:tcBorders>
              <w:left w:val="dashed" w:color="000000" w:sz="4" w:space="0"/>
            </w:tcBorders>
            <w:shd w:val="clear" w:color="auto" w:fill="BDD6EE"/>
            <w:vAlign w:val="center"/>
          </w:tcPr>
          <w:p w:rsidR="00E2651C" w:rsidP="00E2651C" w:rsidRDefault="001512C1" w14:paraId="614FD904" w14:textId="2C2203DA">
            <w:pPr>
              <w:keepNext/>
              <w:jc w:val="center"/>
              <w:rPr>
                <w:rFonts w:ascii="Calibri" w:hAnsi="Calibri" w:eastAsia="Calibri" w:cs="Calibri"/>
                <w:sz w:val="16"/>
                <w:szCs w:val="16"/>
              </w:rPr>
            </w:pPr>
            <w:r>
              <w:rPr>
                <w:rFonts w:ascii="Calibri" w:hAnsi="Calibri" w:eastAsia="Calibri" w:cs="Calibri"/>
                <w:sz w:val="16"/>
                <w:szCs w:val="16"/>
              </w:rPr>
              <w:t>371</w:t>
            </w:r>
          </w:p>
        </w:tc>
        <w:tc>
          <w:tcPr>
            <w:tcW w:w="2147" w:type="dxa"/>
            <w:tcBorders>
              <w:left w:val="dotted" w:color="000000" w:sz="4" w:space="0"/>
            </w:tcBorders>
            <w:shd w:val="clear" w:color="auto" w:fill="000000" w:themeFill="text1"/>
            <w:vAlign w:val="center"/>
          </w:tcPr>
          <w:p w:rsidR="00E2651C" w:rsidP="00E2651C" w:rsidRDefault="00E2651C" w14:paraId="4F454EBC" w14:textId="77777777">
            <w:pPr>
              <w:keepNext/>
              <w:jc w:val="center"/>
              <w:rPr>
                <w:rFonts w:ascii="Calibri" w:hAnsi="Calibri" w:eastAsia="Calibri" w:cs="Calibri"/>
                <w:sz w:val="16"/>
                <w:szCs w:val="16"/>
              </w:rPr>
            </w:pPr>
          </w:p>
        </w:tc>
      </w:tr>
      <w:tr w:rsidR="00E2651C" w:rsidTr="001148B8" w14:paraId="23A25E26" w14:textId="77777777">
        <w:tc>
          <w:tcPr>
            <w:tcW w:w="2070" w:type="dxa"/>
            <w:shd w:val="clear" w:color="auto" w:fill="FDE9D9" w:themeFill="accent6" w:themeFillTint="33"/>
            <w:vAlign w:val="center"/>
          </w:tcPr>
          <w:p w:rsidR="00E2651C" w:rsidP="00E2651C" w:rsidRDefault="00E2651C" w14:paraId="53E13C96" w14:textId="05E6A286">
            <w:pPr>
              <w:keepNext/>
              <w:jc w:val="center"/>
              <w:rPr>
                <w:rFonts w:ascii="Calibri" w:hAnsi="Calibri" w:eastAsia="Calibri" w:cs="Calibri"/>
                <w:b/>
                <w:sz w:val="16"/>
                <w:szCs w:val="16"/>
              </w:rPr>
            </w:pPr>
            <w:r>
              <w:rPr>
                <w:rFonts w:ascii="Calibri" w:hAnsi="Calibri" w:eastAsia="Calibri" w:cs="Calibri"/>
                <w:b/>
                <w:sz w:val="16"/>
                <w:szCs w:val="16"/>
              </w:rPr>
              <w:t>Differences</w:t>
            </w:r>
          </w:p>
        </w:tc>
        <w:tc>
          <w:tcPr>
            <w:tcW w:w="1980" w:type="dxa"/>
            <w:gridSpan w:val="2"/>
            <w:shd w:val="clear" w:color="auto" w:fill="FDE9D9" w:themeFill="accent6" w:themeFillTint="33"/>
            <w:vAlign w:val="center"/>
          </w:tcPr>
          <w:p w:rsidR="00E2651C" w:rsidP="00E2651C" w:rsidRDefault="001512C1" w14:paraId="1EBEEC3A" w14:textId="57C840A5">
            <w:pPr>
              <w:keepNext/>
              <w:jc w:val="center"/>
              <w:rPr>
                <w:rFonts w:ascii="Calibri" w:hAnsi="Calibri" w:eastAsia="Calibri" w:cs="Calibri"/>
                <w:sz w:val="16"/>
                <w:szCs w:val="16"/>
              </w:rPr>
            </w:pPr>
            <w:r>
              <w:rPr>
                <w:rFonts w:ascii="Calibri" w:hAnsi="Calibri" w:eastAsia="Calibri" w:cs="Calibri"/>
                <w:sz w:val="16"/>
                <w:szCs w:val="16"/>
              </w:rPr>
              <w:t>0</w:t>
            </w:r>
          </w:p>
        </w:tc>
        <w:tc>
          <w:tcPr>
            <w:tcW w:w="1890" w:type="dxa"/>
            <w:gridSpan w:val="2"/>
            <w:tcBorders>
              <w:bottom w:val="single" w:color="000000" w:sz="4" w:space="0"/>
            </w:tcBorders>
            <w:shd w:val="clear" w:color="auto" w:fill="FDE9D9" w:themeFill="accent6" w:themeFillTint="33"/>
            <w:vAlign w:val="center"/>
          </w:tcPr>
          <w:p w:rsidR="00E2651C" w:rsidP="001512C1" w:rsidRDefault="00980678" w14:paraId="4B32FFEA" w14:textId="652937A3">
            <w:pPr>
              <w:keepNext/>
              <w:jc w:val="center"/>
              <w:rPr>
                <w:rFonts w:ascii="Calibri" w:hAnsi="Calibri" w:eastAsia="Calibri" w:cs="Calibri"/>
                <w:sz w:val="16"/>
                <w:szCs w:val="16"/>
              </w:rPr>
            </w:pPr>
            <w:r>
              <w:rPr>
                <w:rFonts w:ascii="Calibri" w:hAnsi="Calibri" w:eastAsia="Calibri" w:cs="Calibri"/>
                <w:sz w:val="16"/>
                <w:szCs w:val="16"/>
              </w:rPr>
              <w:t>7,3</w:t>
            </w:r>
            <w:r w:rsidR="001512C1">
              <w:rPr>
                <w:rFonts w:ascii="Calibri" w:hAnsi="Calibri" w:eastAsia="Calibri" w:cs="Calibri"/>
                <w:sz w:val="16"/>
                <w:szCs w:val="16"/>
              </w:rPr>
              <w:t>15</w:t>
            </w:r>
          </w:p>
        </w:tc>
        <w:tc>
          <w:tcPr>
            <w:tcW w:w="1980" w:type="dxa"/>
            <w:gridSpan w:val="2"/>
            <w:shd w:val="clear" w:color="auto" w:fill="FDE9D9" w:themeFill="accent6" w:themeFillTint="33"/>
            <w:vAlign w:val="center"/>
          </w:tcPr>
          <w:p w:rsidR="00E2651C" w:rsidP="00E2651C" w:rsidRDefault="001512C1" w14:paraId="09260073" w14:textId="6F69D346">
            <w:pPr>
              <w:keepNext/>
              <w:jc w:val="center"/>
              <w:rPr>
                <w:rFonts w:ascii="Calibri" w:hAnsi="Calibri" w:eastAsia="Calibri" w:cs="Calibri"/>
                <w:sz w:val="16"/>
                <w:szCs w:val="16"/>
              </w:rPr>
            </w:pPr>
            <w:r>
              <w:rPr>
                <w:rFonts w:ascii="Calibri" w:hAnsi="Calibri" w:eastAsia="Calibri" w:cs="Calibri"/>
                <w:sz w:val="16"/>
                <w:szCs w:val="16"/>
              </w:rPr>
              <w:t>490</w:t>
            </w:r>
          </w:p>
        </w:tc>
        <w:tc>
          <w:tcPr>
            <w:tcW w:w="2147" w:type="dxa"/>
            <w:tcBorders>
              <w:left w:val="dotted" w:color="000000" w:sz="4" w:space="0"/>
            </w:tcBorders>
            <w:shd w:val="clear" w:color="auto" w:fill="000000" w:themeFill="text1"/>
            <w:vAlign w:val="center"/>
          </w:tcPr>
          <w:p w:rsidR="00E2651C" w:rsidP="00E2651C" w:rsidRDefault="00E2651C" w14:paraId="11EBF1A7" w14:textId="77777777">
            <w:pPr>
              <w:keepNext/>
              <w:jc w:val="center"/>
              <w:rPr>
                <w:rFonts w:ascii="Calibri" w:hAnsi="Calibri" w:eastAsia="Calibri" w:cs="Calibri"/>
                <w:sz w:val="16"/>
                <w:szCs w:val="16"/>
              </w:rPr>
            </w:pPr>
          </w:p>
        </w:tc>
      </w:tr>
    </w:tbl>
    <w:p w:rsidR="00891A0E" w:rsidRDefault="00891A0E" w14:paraId="2C36415C" w14:textId="77777777">
      <w:pPr>
        <w:tabs>
          <w:tab w:val="left" w:pos="540"/>
        </w:tabs>
        <w:ind w:left="540"/>
        <w:rPr>
          <w:rFonts w:ascii="Calibri" w:hAnsi="Calibri" w:eastAsia="Calibri" w:cs="Calibri"/>
          <w:sz w:val="16"/>
          <w:szCs w:val="16"/>
        </w:rPr>
      </w:pPr>
    </w:p>
    <w:tbl>
      <w:tblPr>
        <w:tblStyle w:val="a3"/>
        <w:tblW w:w="10080" w:type="dxa"/>
        <w:tblInd w:w="-4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2970"/>
        <w:gridCol w:w="1260"/>
        <w:gridCol w:w="990"/>
        <w:gridCol w:w="990"/>
        <w:gridCol w:w="1170"/>
        <w:gridCol w:w="2700"/>
      </w:tblGrid>
      <w:tr w:rsidR="00891A0E" w:rsidTr="00F143E0" w14:paraId="1BB257F3" w14:textId="77777777">
        <w:tc>
          <w:tcPr>
            <w:tcW w:w="2970" w:type="dxa"/>
            <w:vMerge w:val="restart"/>
            <w:shd w:val="clear" w:color="auto" w:fill="5B9BD5"/>
            <w:vAlign w:val="center"/>
          </w:tcPr>
          <w:p w:rsidR="00891A0E" w:rsidRDefault="00DA6050" w14:paraId="38762E81" w14:textId="77777777">
            <w:pPr>
              <w:keepNext/>
              <w:shd w:val="clear" w:color="auto" w:fill="5B9BD5"/>
              <w:jc w:val="center"/>
              <w:rPr>
                <w:rFonts w:ascii="Calibri" w:hAnsi="Calibri" w:eastAsia="Calibri" w:cs="Calibri"/>
                <w:sz w:val="16"/>
                <w:szCs w:val="16"/>
              </w:rPr>
            </w:pPr>
            <w:r>
              <w:rPr>
                <w:rFonts w:ascii="Calibri" w:hAnsi="Calibri" w:eastAsia="Calibri" w:cs="Calibri"/>
                <w:b/>
                <w:sz w:val="16"/>
                <w:szCs w:val="16"/>
              </w:rPr>
              <w:t>Information Collection</w:t>
            </w:r>
          </w:p>
        </w:tc>
        <w:tc>
          <w:tcPr>
            <w:tcW w:w="2250" w:type="dxa"/>
            <w:gridSpan w:val="2"/>
            <w:tcBorders>
              <w:bottom w:val="single" w:color="000000" w:sz="4" w:space="0"/>
            </w:tcBorders>
            <w:shd w:val="clear" w:color="auto" w:fill="5B9BD5"/>
            <w:vAlign w:val="center"/>
          </w:tcPr>
          <w:p w:rsidR="00891A0E" w:rsidRDefault="00DA6050" w14:paraId="28E2DAAA" w14:textId="77777777">
            <w:pPr>
              <w:keepNext/>
              <w:shd w:val="clear" w:color="auto" w:fill="5B9BD5"/>
              <w:jc w:val="center"/>
              <w:rPr>
                <w:rFonts w:ascii="Calibri" w:hAnsi="Calibri" w:eastAsia="Calibri" w:cs="Calibri"/>
                <w:sz w:val="16"/>
                <w:szCs w:val="16"/>
              </w:rPr>
            </w:pPr>
            <w:r>
              <w:rPr>
                <w:rFonts w:ascii="Calibri" w:hAnsi="Calibri" w:eastAsia="Calibri" w:cs="Calibri"/>
                <w:b/>
                <w:sz w:val="16"/>
                <w:szCs w:val="16"/>
              </w:rPr>
              <w:t>Labor Costs</w:t>
            </w:r>
          </w:p>
        </w:tc>
        <w:tc>
          <w:tcPr>
            <w:tcW w:w="2160" w:type="dxa"/>
            <w:gridSpan w:val="2"/>
            <w:shd w:val="clear" w:color="auto" w:fill="5B9BD5"/>
          </w:tcPr>
          <w:p w:rsidR="00891A0E" w:rsidRDefault="00DA6050" w14:paraId="21EB7065" w14:textId="77777777">
            <w:pPr>
              <w:keepNext/>
              <w:shd w:val="clear" w:color="auto" w:fill="5B9BD5"/>
              <w:jc w:val="center"/>
              <w:rPr>
                <w:rFonts w:ascii="Calibri" w:hAnsi="Calibri" w:eastAsia="Calibri" w:cs="Calibri"/>
                <w:sz w:val="16"/>
                <w:szCs w:val="16"/>
              </w:rPr>
            </w:pPr>
            <w:r>
              <w:rPr>
                <w:rFonts w:ascii="Calibri" w:hAnsi="Calibri" w:eastAsia="Calibri" w:cs="Calibri"/>
                <w:b/>
                <w:sz w:val="16"/>
                <w:szCs w:val="16"/>
              </w:rPr>
              <w:t>Miscellaneous Costs</w:t>
            </w:r>
          </w:p>
        </w:tc>
        <w:tc>
          <w:tcPr>
            <w:tcW w:w="2700" w:type="dxa"/>
            <w:vMerge w:val="restart"/>
            <w:tcBorders>
              <w:right w:val="single" w:color="000000" w:sz="4" w:space="0"/>
            </w:tcBorders>
            <w:shd w:val="clear" w:color="auto" w:fill="5B9BD5"/>
            <w:vAlign w:val="center"/>
          </w:tcPr>
          <w:p w:rsidR="00891A0E" w:rsidRDefault="00DA6050" w14:paraId="604394DA" w14:textId="77777777">
            <w:pPr>
              <w:keepNext/>
              <w:shd w:val="clear" w:color="auto" w:fill="5B9BD5"/>
              <w:jc w:val="center"/>
              <w:rPr>
                <w:rFonts w:ascii="Calibri" w:hAnsi="Calibri" w:eastAsia="Calibri" w:cs="Calibri"/>
                <w:sz w:val="16"/>
                <w:szCs w:val="16"/>
              </w:rPr>
            </w:pPr>
            <w:r>
              <w:rPr>
                <w:rFonts w:ascii="Calibri" w:hAnsi="Calibri" w:eastAsia="Calibri" w:cs="Calibri"/>
                <w:b/>
                <w:sz w:val="16"/>
                <w:szCs w:val="16"/>
              </w:rPr>
              <w:t>Reason for change or adjustment</w:t>
            </w:r>
          </w:p>
        </w:tc>
      </w:tr>
      <w:tr w:rsidR="00891A0E" w:rsidTr="00F143E0" w14:paraId="72C95DD7" w14:textId="77777777">
        <w:tc>
          <w:tcPr>
            <w:tcW w:w="2970" w:type="dxa"/>
            <w:vMerge/>
            <w:shd w:val="clear" w:color="auto" w:fill="5B9BD5"/>
            <w:vAlign w:val="center"/>
          </w:tcPr>
          <w:p w:rsidR="00891A0E" w:rsidRDefault="00891A0E" w14:paraId="23E4B635" w14:textId="77777777">
            <w:pPr>
              <w:pBdr>
                <w:top w:val="nil"/>
                <w:left w:val="nil"/>
                <w:bottom w:val="nil"/>
                <w:right w:val="nil"/>
                <w:between w:val="nil"/>
              </w:pBdr>
              <w:spacing w:line="276" w:lineRule="auto"/>
              <w:rPr>
                <w:rFonts w:ascii="Calibri" w:hAnsi="Calibri" w:eastAsia="Calibri" w:cs="Calibri"/>
                <w:sz w:val="16"/>
                <w:szCs w:val="16"/>
              </w:rPr>
            </w:pPr>
          </w:p>
        </w:tc>
        <w:tc>
          <w:tcPr>
            <w:tcW w:w="1260" w:type="dxa"/>
            <w:tcBorders>
              <w:bottom w:val="single" w:color="000000" w:sz="4" w:space="0"/>
              <w:right w:val="dashed" w:color="000000" w:sz="4" w:space="0"/>
            </w:tcBorders>
            <w:shd w:val="clear" w:color="auto" w:fill="FBE4D5"/>
            <w:vAlign w:val="center"/>
          </w:tcPr>
          <w:p w:rsidR="00891A0E" w:rsidRDefault="00DA6050" w14:paraId="182EDA2F" w14:textId="77777777">
            <w:pPr>
              <w:keepNext/>
              <w:jc w:val="center"/>
              <w:rPr>
                <w:rFonts w:ascii="Calibri" w:hAnsi="Calibri" w:eastAsia="Calibri" w:cs="Calibri"/>
                <w:sz w:val="16"/>
                <w:szCs w:val="16"/>
              </w:rPr>
            </w:pPr>
            <w:r>
              <w:rPr>
                <w:rFonts w:ascii="Calibri" w:hAnsi="Calibri" w:eastAsia="Calibri" w:cs="Calibri"/>
                <w:sz w:val="16"/>
                <w:szCs w:val="16"/>
              </w:rPr>
              <w:t>Current</w:t>
            </w:r>
          </w:p>
        </w:tc>
        <w:tc>
          <w:tcPr>
            <w:tcW w:w="990" w:type="dxa"/>
            <w:tcBorders>
              <w:left w:val="dashed" w:color="000000" w:sz="4" w:space="0"/>
              <w:bottom w:val="single" w:color="000000" w:sz="4" w:space="0"/>
            </w:tcBorders>
            <w:shd w:val="clear" w:color="auto" w:fill="FBE4D5"/>
            <w:vAlign w:val="center"/>
          </w:tcPr>
          <w:p w:rsidR="00891A0E" w:rsidRDefault="00DA6050" w14:paraId="58750920" w14:textId="77777777">
            <w:pPr>
              <w:keepNext/>
              <w:jc w:val="center"/>
              <w:rPr>
                <w:rFonts w:ascii="Calibri" w:hAnsi="Calibri" w:eastAsia="Calibri" w:cs="Calibri"/>
                <w:sz w:val="16"/>
                <w:szCs w:val="16"/>
              </w:rPr>
            </w:pPr>
            <w:r>
              <w:rPr>
                <w:rFonts w:ascii="Calibri" w:hAnsi="Calibri" w:eastAsia="Calibri" w:cs="Calibri"/>
                <w:sz w:val="16"/>
                <w:szCs w:val="16"/>
              </w:rPr>
              <w:t>Previous</w:t>
            </w:r>
          </w:p>
        </w:tc>
        <w:tc>
          <w:tcPr>
            <w:tcW w:w="990" w:type="dxa"/>
            <w:tcBorders>
              <w:right w:val="dashed" w:color="000000" w:sz="4" w:space="0"/>
            </w:tcBorders>
            <w:shd w:val="clear" w:color="auto" w:fill="FBE4D5"/>
            <w:vAlign w:val="center"/>
          </w:tcPr>
          <w:p w:rsidR="00891A0E" w:rsidRDefault="00DA6050" w14:paraId="1CEBF87A" w14:textId="77777777">
            <w:pPr>
              <w:keepNext/>
              <w:jc w:val="center"/>
              <w:rPr>
                <w:rFonts w:ascii="Calibri" w:hAnsi="Calibri" w:eastAsia="Calibri" w:cs="Calibri"/>
                <w:sz w:val="16"/>
                <w:szCs w:val="16"/>
              </w:rPr>
            </w:pPr>
            <w:r>
              <w:rPr>
                <w:rFonts w:ascii="Calibri" w:hAnsi="Calibri" w:eastAsia="Calibri" w:cs="Calibri"/>
                <w:sz w:val="16"/>
                <w:szCs w:val="16"/>
              </w:rPr>
              <w:t>Current</w:t>
            </w:r>
          </w:p>
        </w:tc>
        <w:tc>
          <w:tcPr>
            <w:tcW w:w="1170" w:type="dxa"/>
            <w:tcBorders>
              <w:left w:val="dashed" w:color="000000" w:sz="4" w:space="0"/>
            </w:tcBorders>
            <w:shd w:val="clear" w:color="auto" w:fill="FBE4D5"/>
            <w:vAlign w:val="center"/>
          </w:tcPr>
          <w:p w:rsidR="00891A0E" w:rsidRDefault="00DA6050" w14:paraId="23A830B8" w14:textId="77777777">
            <w:pPr>
              <w:keepNext/>
              <w:jc w:val="center"/>
              <w:rPr>
                <w:rFonts w:ascii="Calibri" w:hAnsi="Calibri" w:eastAsia="Calibri" w:cs="Calibri"/>
                <w:sz w:val="16"/>
                <w:szCs w:val="16"/>
              </w:rPr>
            </w:pPr>
            <w:r>
              <w:rPr>
                <w:rFonts w:ascii="Calibri" w:hAnsi="Calibri" w:eastAsia="Calibri" w:cs="Calibri"/>
                <w:sz w:val="16"/>
                <w:szCs w:val="16"/>
              </w:rPr>
              <w:t>Previous</w:t>
            </w:r>
          </w:p>
        </w:tc>
        <w:tc>
          <w:tcPr>
            <w:tcW w:w="2700" w:type="dxa"/>
            <w:vMerge/>
            <w:tcBorders>
              <w:right w:val="single" w:color="000000" w:sz="4" w:space="0"/>
            </w:tcBorders>
            <w:shd w:val="clear" w:color="auto" w:fill="5B9BD5"/>
            <w:vAlign w:val="center"/>
          </w:tcPr>
          <w:p w:rsidR="00891A0E" w:rsidRDefault="00891A0E" w14:paraId="0661D8DE" w14:textId="77777777">
            <w:pPr>
              <w:pBdr>
                <w:top w:val="nil"/>
                <w:left w:val="nil"/>
                <w:bottom w:val="nil"/>
                <w:right w:val="nil"/>
                <w:between w:val="nil"/>
              </w:pBdr>
              <w:spacing w:line="276" w:lineRule="auto"/>
              <w:rPr>
                <w:rFonts w:ascii="Calibri" w:hAnsi="Calibri" w:eastAsia="Calibri" w:cs="Calibri"/>
                <w:sz w:val="16"/>
                <w:szCs w:val="16"/>
              </w:rPr>
            </w:pPr>
          </w:p>
        </w:tc>
      </w:tr>
      <w:tr w:rsidRPr="004B306C" w:rsidR="00F143E0" w:rsidTr="00F143E0" w14:paraId="517674BE" w14:textId="77777777">
        <w:tc>
          <w:tcPr>
            <w:tcW w:w="2970" w:type="dxa"/>
            <w:shd w:val="clear" w:color="auto" w:fill="auto"/>
            <w:vAlign w:val="center"/>
          </w:tcPr>
          <w:p w:rsidRPr="004B306C" w:rsidR="00980678" w:rsidP="001148B8" w:rsidRDefault="00980678" w14:paraId="7A107E7A" w14:textId="66647CE5">
            <w:pPr>
              <w:keepNext/>
              <w:rPr>
                <w:rFonts w:ascii="Calibri" w:hAnsi="Calibri" w:eastAsia="Calibri" w:cs="Calibri"/>
                <w:b/>
                <w:sz w:val="16"/>
                <w:szCs w:val="16"/>
              </w:rPr>
            </w:pPr>
            <w:r w:rsidRPr="00E2651C">
              <w:rPr>
                <w:rFonts w:ascii="Calibri" w:hAnsi="Calibri" w:eastAsia="Calibri" w:cs="Calibri"/>
                <w:sz w:val="16"/>
                <w:szCs w:val="16"/>
              </w:rPr>
              <w:t>FAD satellite buoy reporting</w:t>
            </w:r>
          </w:p>
        </w:tc>
        <w:tc>
          <w:tcPr>
            <w:tcW w:w="1260" w:type="dxa"/>
            <w:tcBorders>
              <w:right w:val="dashed" w:color="000000" w:sz="4" w:space="0"/>
            </w:tcBorders>
            <w:shd w:val="clear" w:color="auto" w:fill="auto"/>
            <w:vAlign w:val="center"/>
          </w:tcPr>
          <w:p w:rsidRPr="001512C1" w:rsidR="00980678" w:rsidP="00980678" w:rsidRDefault="001512C1" w14:paraId="65D1115E" w14:textId="10A3E805">
            <w:pPr>
              <w:keepNext/>
              <w:jc w:val="center"/>
              <w:rPr>
                <w:rFonts w:ascii="Calibri" w:hAnsi="Calibri" w:eastAsia="Calibri" w:cs="Calibri"/>
                <w:sz w:val="16"/>
                <w:szCs w:val="16"/>
              </w:rPr>
            </w:pPr>
            <w:r w:rsidRPr="001512C1">
              <w:rPr>
                <w:rFonts w:ascii="Calibri" w:hAnsi="Calibri" w:eastAsia="Calibri" w:cs="Calibri"/>
                <w:sz w:val="16"/>
                <w:szCs w:val="16"/>
              </w:rPr>
              <w:t>2,616</w:t>
            </w:r>
          </w:p>
        </w:tc>
        <w:tc>
          <w:tcPr>
            <w:tcW w:w="990" w:type="dxa"/>
            <w:tcBorders>
              <w:left w:val="dashed" w:color="000000" w:sz="4" w:space="0"/>
            </w:tcBorders>
            <w:shd w:val="clear" w:color="auto" w:fill="auto"/>
            <w:vAlign w:val="center"/>
          </w:tcPr>
          <w:p w:rsidRPr="004B306C" w:rsidR="00980678" w:rsidP="00980678" w:rsidRDefault="00980678" w14:paraId="20943784" w14:textId="6589D6CA">
            <w:pPr>
              <w:jc w:val="center"/>
              <w:rPr>
                <w:rFonts w:ascii="Calibri" w:hAnsi="Calibri" w:eastAsia="Calibri" w:cs="Calibri"/>
                <w:sz w:val="16"/>
                <w:szCs w:val="16"/>
              </w:rPr>
            </w:pPr>
            <w:r>
              <w:rPr>
                <w:rFonts w:ascii="Calibri" w:hAnsi="Calibri" w:eastAsia="Calibri" w:cs="Calibri"/>
                <w:sz w:val="16"/>
                <w:szCs w:val="16"/>
              </w:rPr>
              <w:t>NA</w:t>
            </w:r>
          </w:p>
        </w:tc>
        <w:tc>
          <w:tcPr>
            <w:tcW w:w="990" w:type="dxa"/>
            <w:tcBorders>
              <w:left w:val="dotted" w:color="000000" w:sz="4" w:space="0"/>
              <w:right w:val="dashed" w:color="000000" w:sz="4" w:space="0"/>
            </w:tcBorders>
            <w:shd w:val="clear" w:color="auto" w:fill="auto"/>
            <w:vAlign w:val="center"/>
          </w:tcPr>
          <w:p w:rsidR="00980678" w:rsidP="00980678" w:rsidRDefault="001512C1" w14:paraId="712279CC" w14:textId="3F32D43B">
            <w:pPr>
              <w:keepNext/>
              <w:jc w:val="center"/>
              <w:rPr>
                <w:rFonts w:ascii="Calibri" w:hAnsi="Calibri" w:eastAsia="Calibri" w:cs="Calibri"/>
                <w:sz w:val="16"/>
                <w:szCs w:val="16"/>
              </w:rPr>
            </w:pPr>
            <w:r>
              <w:rPr>
                <w:rFonts w:ascii="Calibri" w:hAnsi="Calibri" w:eastAsia="Calibri" w:cs="Calibri"/>
                <w:sz w:val="16"/>
                <w:szCs w:val="16"/>
              </w:rPr>
              <w:t>1,986</w:t>
            </w:r>
          </w:p>
        </w:tc>
        <w:tc>
          <w:tcPr>
            <w:tcW w:w="1170" w:type="dxa"/>
            <w:tcBorders>
              <w:left w:val="dashed" w:color="000000" w:sz="4" w:space="0"/>
              <w:right w:val="single" w:color="000000" w:sz="4" w:space="0"/>
            </w:tcBorders>
            <w:shd w:val="clear" w:color="auto" w:fill="auto"/>
            <w:vAlign w:val="center"/>
          </w:tcPr>
          <w:p w:rsidRPr="004B306C" w:rsidR="00980678" w:rsidP="00980678" w:rsidRDefault="00980678" w14:paraId="52A785D0" w14:textId="2E1E1A2C">
            <w:pPr>
              <w:keepNext/>
              <w:jc w:val="center"/>
              <w:rPr>
                <w:rFonts w:ascii="Calibri" w:hAnsi="Calibri" w:eastAsia="Calibri" w:cs="Calibri"/>
                <w:sz w:val="16"/>
                <w:szCs w:val="16"/>
              </w:rPr>
            </w:pPr>
            <w:r>
              <w:rPr>
                <w:rFonts w:ascii="Calibri" w:hAnsi="Calibri" w:eastAsia="Calibri" w:cs="Calibri"/>
                <w:sz w:val="16"/>
                <w:szCs w:val="16"/>
              </w:rPr>
              <w:t>NA</w:t>
            </w:r>
          </w:p>
        </w:tc>
        <w:tc>
          <w:tcPr>
            <w:tcW w:w="2700" w:type="dxa"/>
            <w:tcBorders>
              <w:left w:val="single" w:color="000000" w:sz="4" w:space="0"/>
              <w:bottom w:val="single" w:color="000000" w:sz="4" w:space="0"/>
              <w:right w:val="single" w:color="000000" w:sz="4" w:space="0"/>
            </w:tcBorders>
            <w:shd w:val="clear" w:color="auto" w:fill="auto"/>
            <w:vAlign w:val="center"/>
          </w:tcPr>
          <w:p w:rsidRPr="004B306C" w:rsidR="00980678" w:rsidP="001148B8" w:rsidRDefault="000308A9" w14:paraId="7FC55C64" w14:textId="5856914B">
            <w:pPr>
              <w:keepNext/>
              <w:rPr>
                <w:rFonts w:ascii="Calibri" w:hAnsi="Calibri" w:eastAsia="Calibri" w:cs="Calibri"/>
                <w:sz w:val="16"/>
                <w:szCs w:val="16"/>
              </w:rPr>
            </w:pPr>
            <w:r>
              <w:rPr>
                <w:rFonts w:ascii="Calibri" w:hAnsi="Calibri" w:eastAsia="Calibri" w:cs="Calibri"/>
                <w:sz w:val="16"/>
                <w:szCs w:val="16"/>
              </w:rPr>
              <w:t>New IATTC reporting requirements</w:t>
            </w:r>
          </w:p>
        </w:tc>
      </w:tr>
      <w:tr w:rsidRPr="004B306C" w:rsidR="00F143E0" w:rsidTr="00F143E0" w14:paraId="4322D69B" w14:textId="77777777">
        <w:tc>
          <w:tcPr>
            <w:tcW w:w="2970" w:type="dxa"/>
            <w:shd w:val="clear" w:color="auto" w:fill="auto"/>
            <w:vAlign w:val="center"/>
          </w:tcPr>
          <w:p w:rsidRPr="004B306C" w:rsidR="00980678" w:rsidP="001148B8" w:rsidRDefault="00980678" w14:paraId="43A1998D" w14:textId="381859CC">
            <w:pPr>
              <w:keepNext/>
              <w:rPr>
                <w:rFonts w:ascii="Calibri" w:hAnsi="Calibri" w:eastAsia="Calibri" w:cs="Calibri"/>
                <w:b/>
                <w:sz w:val="16"/>
                <w:szCs w:val="16"/>
              </w:rPr>
            </w:pPr>
            <w:r>
              <w:rPr>
                <w:rFonts w:ascii="Calibri" w:hAnsi="Calibri" w:eastAsia="Calibri" w:cs="Calibri"/>
                <w:sz w:val="16"/>
                <w:szCs w:val="16"/>
              </w:rPr>
              <w:t xml:space="preserve">Cannery data </w:t>
            </w:r>
          </w:p>
        </w:tc>
        <w:tc>
          <w:tcPr>
            <w:tcW w:w="1260" w:type="dxa"/>
            <w:tcBorders>
              <w:right w:val="dashed" w:color="000000" w:sz="4" w:space="0"/>
            </w:tcBorders>
            <w:shd w:val="clear" w:color="auto" w:fill="auto"/>
            <w:vAlign w:val="center"/>
          </w:tcPr>
          <w:p w:rsidRPr="001512C1" w:rsidR="00980678" w:rsidP="00980678" w:rsidRDefault="001512C1" w14:paraId="298C936F" w14:textId="77A9E7C6">
            <w:pPr>
              <w:keepNext/>
              <w:jc w:val="center"/>
              <w:rPr>
                <w:rFonts w:ascii="Calibri" w:hAnsi="Calibri" w:eastAsia="Calibri" w:cs="Calibri"/>
                <w:sz w:val="16"/>
                <w:szCs w:val="16"/>
              </w:rPr>
            </w:pPr>
            <w:r w:rsidRPr="001512C1">
              <w:rPr>
                <w:rFonts w:ascii="Calibri" w:hAnsi="Calibri" w:eastAsia="Calibri" w:cs="Calibri"/>
                <w:sz w:val="16"/>
                <w:szCs w:val="16"/>
              </w:rPr>
              <w:t>5,369</w:t>
            </w:r>
          </w:p>
        </w:tc>
        <w:tc>
          <w:tcPr>
            <w:tcW w:w="990" w:type="dxa"/>
            <w:tcBorders>
              <w:left w:val="dashed" w:color="000000" w:sz="4" w:space="0"/>
            </w:tcBorders>
            <w:shd w:val="clear" w:color="auto" w:fill="auto"/>
            <w:vAlign w:val="center"/>
          </w:tcPr>
          <w:p w:rsidRPr="004B306C" w:rsidR="00980678" w:rsidP="00980678" w:rsidRDefault="00980678" w14:paraId="1100E1AB" w14:textId="7F64E17E">
            <w:pPr>
              <w:jc w:val="center"/>
              <w:rPr>
                <w:rFonts w:ascii="Calibri" w:hAnsi="Calibri" w:eastAsia="Calibri" w:cs="Calibri"/>
                <w:sz w:val="16"/>
                <w:szCs w:val="16"/>
              </w:rPr>
            </w:pPr>
            <w:r>
              <w:rPr>
                <w:rFonts w:ascii="Calibri" w:hAnsi="Calibri" w:eastAsia="Calibri" w:cs="Calibri"/>
                <w:sz w:val="16"/>
                <w:szCs w:val="16"/>
              </w:rPr>
              <w:t>NA</w:t>
            </w:r>
          </w:p>
        </w:tc>
        <w:tc>
          <w:tcPr>
            <w:tcW w:w="990" w:type="dxa"/>
            <w:tcBorders>
              <w:left w:val="dotted" w:color="000000" w:sz="4" w:space="0"/>
              <w:right w:val="dashed" w:color="000000" w:sz="4" w:space="0"/>
            </w:tcBorders>
            <w:shd w:val="clear" w:color="auto" w:fill="auto"/>
            <w:vAlign w:val="center"/>
          </w:tcPr>
          <w:p w:rsidR="00980678" w:rsidP="00980678" w:rsidRDefault="001512C1" w14:paraId="69DE1684" w14:textId="552764C6">
            <w:pPr>
              <w:keepNext/>
              <w:jc w:val="center"/>
              <w:rPr>
                <w:rFonts w:ascii="Calibri" w:hAnsi="Calibri" w:eastAsia="Calibri" w:cs="Calibri"/>
                <w:sz w:val="16"/>
                <w:szCs w:val="16"/>
              </w:rPr>
            </w:pPr>
            <w:r>
              <w:rPr>
                <w:rFonts w:ascii="Calibri" w:hAnsi="Calibri" w:eastAsia="Calibri" w:cs="Calibri"/>
                <w:sz w:val="16"/>
                <w:szCs w:val="16"/>
              </w:rPr>
              <w:t>2,038</w:t>
            </w:r>
          </w:p>
        </w:tc>
        <w:tc>
          <w:tcPr>
            <w:tcW w:w="1170" w:type="dxa"/>
            <w:tcBorders>
              <w:left w:val="dashed" w:color="000000" w:sz="4" w:space="0"/>
              <w:right w:val="single" w:color="000000" w:sz="4" w:space="0"/>
            </w:tcBorders>
            <w:shd w:val="clear" w:color="auto" w:fill="auto"/>
            <w:vAlign w:val="center"/>
          </w:tcPr>
          <w:p w:rsidRPr="004B306C" w:rsidR="00980678" w:rsidP="00980678" w:rsidRDefault="00980678" w14:paraId="0812A50A" w14:textId="573C74D2">
            <w:pPr>
              <w:keepNext/>
              <w:jc w:val="center"/>
              <w:rPr>
                <w:rFonts w:ascii="Calibri" w:hAnsi="Calibri" w:eastAsia="Calibri" w:cs="Calibri"/>
                <w:sz w:val="16"/>
                <w:szCs w:val="16"/>
              </w:rPr>
            </w:pPr>
            <w:r>
              <w:rPr>
                <w:rFonts w:ascii="Calibri" w:hAnsi="Calibri" w:eastAsia="Calibri" w:cs="Calibri"/>
                <w:sz w:val="16"/>
                <w:szCs w:val="16"/>
              </w:rPr>
              <w:t>NA</w:t>
            </w:r>
          </w:p>
        </w:tc>
        <w:tc>
          <w:tcPr>
            <w:tcW w:w="2700" w:type="dxa"/>
            <w:tcBorders>
              <w:left w:val="single" w:color="000000" w:sz="4" w:space="0"/>
              <w:bottom w:val="single" w:color="000000" w:sz="4" w:space="0"/>
              <w:right w:val="single" w:color="000000" w:sz="4" w:space="0"/>
            </w:tcBorders>
            <w:shd w:val="clear" w:color="auto" w:fill="auto"/>
            <w:vAlign w:val="center"/>
          </w:tcPr>
          <w:p w:rsidRPr="004B306C" w:rsidR="00980678" w:rsidP="001148B8" w:rsidRDefault="000308A9" w14:paraId="4E52375D" w14:textId="6711E11B">
            <w:pPr>
              <w:keepNext/>
              <w:rPr>
                <w:rFonts w:ascii="Calibri" w:hAnsi="Calibri" w:eastAsia="Calibri" w:cs="Calibri"/>
                <w:sz w:val="16"/>
                <w:szCs w:val="16"/>
              </w:rPr>
            </w:pPr>
            <w:r>
              <w:rPr>
                <w:rFonts w:ascii="Calibri" w:hAnsi="Calibri" w:eastAsia="Calibri" w:cs="Calibri"/>
                <w:sz w:val="16"/>
                <w:szCs w:val="16"/>
              </w:rPr>
              <w:t>New IATTC reporting requirements</w:t>
            </w:r>
          </w:p>
        </w:tc>
      </w:tr>
      <w:tr w:rsidRPr="004B306C" w:rsidR="00980678" w:rsidTr="001512C1" w14:paraId="33DB2E84" w14:textId="77777777">
        <w:tc>
          <w:tcPr>
            <w:tcW w:w="2970" w:type="dxa"/>
            <w:shd w:val="clear" w:color="auto" w:fill="BDD6EE"/>
            <w:vAlign w:val="center"/>
          </w:tcPr>
          <w:p w:rsidRPr="004B306C" w:rsidR="00980678" w:rsidP="00980678" w:rsidRDefault="00980678" w14:paraId="5799ABC8" w14:textId="77777777">
            <w:pPr>
              <w:keepNext/>
              <w:jc w:val="center"/>
              <w:rPr>
                <w:rFonts w:ascii="Calibri" w:hAnsi="Calibri" w:eastAsia="Calibri" w:cs="Calibri"/>
                <w:sz w:val="16"/>
                <w:szCs w:val="16"/>
              </w:rPr>
            </w:pPr>
            <w:r w:rsidRPr="004B306C">
              <w:rPr>
                <w:rFonts w:ascii="Calibri" w:hAnsi="Calibri" w:eastAsia="Calibri" w:cs="Calibri"/>
                <w:b/>
                <w:sz w:val="16"/>
                <w:szCs w:val="16"/>
              </w:rPr>
              <w:t>Total for Collection</w:t>
            </w:r>
          </w:p>
        </w:tc>
        <w:tc>
          <w:tcPr>
            <w:tcW w:w="1260" w:type="dxa"/>
            <w:tcBorders>
              <w:right w:val="dashed" w:color="000000" w:sz="4" w:space="0"/>
            </w:tcBorders>
            <w:shd w:val="clear" w:color="auto" w:fill="BDD6EE"/>
            <w:vAlign w:val="center"/>
          </w:tcPr>
          <w:p w:rsidRPr="001512C1" w:rsidR="00980678" w:rsidP="00980678" w:rsidRDefault="001512C1" w14:paraId="3D5FF0BF" w14:textId="04AAC60C">
            <w:pPr>
              <w:keepNext/>
              <w:jc w:val="center"/>
              <w:rPr>
                <w:rFonts w:ascii="Calibri" w:hAnsi="Calibri" w:eastAsia="Calibri" w:cs="Calibri"/>
                <w:b/>
                <w:sz w:val="16"/>
                <w:szCs w:val="16"/>
              </w:rPr>
            </w:pPr>
            <w:r w:rsidRPr="001512C1">
              <w:rPr>
                <w:rFonts w:ascii="Calibri" w:hAnsi="Calibri" w:eastAsia="Calibri" w:cs="Calibri"/>
                <w:sz w:val="16"/>
                <w:szCs w:val="16"/>
              </w:rPr>
              <w:t>$12,459.72</w:t>
            </w:r>
          </w:p>
        </w:tc>
        <w:tc>
          <w:tcPr>
            <w:tcW w:w="990" w:type="dxa"/>
            <w:tcBorders>
              <w:left w:val="dashed" w:color="000000" w:sz="4" w:space="0"/>
            </w:tcBorders>
            <w:shd w:val="clear" w:color="auto" w:fill="BDD6EE"/>
            <w:vAlign w:val="center"/>
          </w:tcPr>
          <w:p w:rsidRPr="004B306C" w:rsidR="00980678" w:rsidP="00980678" w:rsidRDefault="001512C1" w14:paraId="24A3A81B" w14:textId="02365C91">
            <w:pPr>
              <w:jc w:val="center"/>
              <w:rPr>
                <w:rFonts w:ascii="Calibri" w:hAnsi="Calibri" w:eastAsia="Calibri" w:cs="Calibri"/>
                <w:sz w:val="16"/>
                <w:szCs w:val="16"/>
              </w:rPr>
            </w:pPr>
            <w:r>
              <w:rPr>
                <w:rFonts w:ascii="Calibri" w:hAnsi="Calibri" w:eastAsia="Calibri" w:cs="Calibri"/>
                <w:sz w:val="16"/>
                <w:szCs w:val="16"/>
              </w:rPr>
              <w:t>$5,370.48</w:t>
            </w:r>
          </w:p>
        </w:tc>
        <w:tc>
          <w:tcPr>
            <w:tcW w:w="990" w:type="dxa"/>
            <w:tcBorders>
              <w:left w:val="dotted" w:color="000000" w:sz="4" w:space="0"/>
              <w:right w:val="dashed" w:color="000000" w:sz="4" w:space="0"/>
            </w:tcBorders>
            <w:shd w:val="clear" w:color="auto" w:fill="BDD6EE"/>
            <w:vAlign w:val="center"/>
          </w:tcPr>
          <w:p w:rsidRPr="004B306C" w:rsidR="00980678" w:rsidP="00980678" w:rsidRDefault="001512C1" w14:paraId="3574C9AF" w14:textId="41BE914A">
            <w:pPr>
              <w:keepNext/>
              <w:jc w:val="center"/>
              <w:rPr>
                <w:rFonts w:ascii="Calibri" w:hAnsi="Calibri" w:eastAsia="Calibri" w:cs="Calibri"/>
                <w:sz w:val="16"/>
                <w:szCs w:val="16"/>
              </w:rPr>
            </w:pPr>
            <w:r>
              <w:rPr>
                <w:rFonts w:ascii="Calibri" w:hAnsi="Calibri" w:eastAsia="Calibri" w:cs="Calibri"/>
                <w:sz w:val="16"/>
                <w:szCs w:val="16"/>
              </w:rPr>
              <w:t>$6,063</w:t>
            </w:r>
          </w:p>
        </w:tc>
        <w:tc>
          <w:tcPr>
            <w:tcW w:w="1170" w:type="dxa"/>
            <w:tcBorders>
              <w:left w:val="dashed" w:color="000000" w:sz="4" w:space="0"/>
              <w:right w:val="single" w:color="000000" w:sz="4" w:space="0"/>
            </w:tcBorders>
            <w:shd w:val="clear" w:color="auto" w:fill="BDD6EE"/>
            <w:vAlign w:val="center"/>
          </w:tcPr>
          <w:p w:rsidRPr="004B306C" w:rsidR="00980678" w:rsidP="00980678" w:rsidRDefault="001512C1" w14:paraId="5C6A090D" w14:textId="0E85F903">
            <w:pPr>
              <w:keepNext/>
              <w:jc w:val="center"/>
              <w:rPr>
                <w:rFonts w:ascii="Calibri" w:hAnsi="Calibri" w:eastAsia="Calibri" w:cs="Calibri"/>
                <w:sz w:val="16"/>
                <w:szCs w:val="16"/>
              </w:rPr>
            </w:pPr>
            <w:r>
              <w:rPr>
                <w:rFonts w:ascii="Calibri" w:hAnsi="Calibri" w:eastAsia="Calibri" w:cs="Calibri"/>
                <w:sz w:val="16"/>
                <w:szCs w:val="16"/>
              </w:rPr>
              <w:t>$2,039</w:t>
            </w:r>
          </w:p>
        </w:tc>
        <w:tc>
          <w:tcPr>
            <w:tcW w:w="2700" w:type="dxa"/>
            <w:tcBorders>
              <w:left w:val="single" w:color="000000" w:sz="4" w:space="0"/>
              <w:right w:val="single" w:color="000000" w:sz="4" w:space="0"/>
            </w:tcBorders>
            <w:shd w:val="clear" w:color="auto" w:fill="BDD6EE"/>
            <w:vAlign w:val="center"/>
          </w:tcPr>
          <w:p w:rsidRPr="004B306C" w:rsidR="00980678" w:rsidP="00980678" w:rsidRDefault="00980678" w14:paraId="6AEA26B0" w14:textId="77777777">
            <w:pPr>
              <w:keepNext/>
              <w:jc w:val="center"/>
              <w:rPr>
                <w:rFonts w:ascii="Calibri" w:hAnsi="Calibri" w:eastAsia="Calibri" w:cs="Calibri"/>
                <w:sz w:val="16"/>
                <w:szCs w:val="16"/>
              </w:rPr>
            </w:pPr>
          </w:p>
        </w:tc>
      </w:tr>
      <w:tr w:rsidRPr="004B306C" w:rsidR="001512C1" w:rsidTr="00135719" w14:paraId="324C01A3" w14:textId="77777777">
        <w:tc>
          <w:tcPr>
            <w:tcW w:w="2970" w:type="dxa"/>
            <w:shd w:val="clear" w:color="auto" w:fill="FDE9D9" w:themeFill="accent6" w:themeFillTint="33"/>
            <w:vAlign w:val="center"/>
          </w:tcPr>
          <w:p w:rsidRPr="004B306C" w:rsidR="001512C1" w:rsidP="00980678" w:rsidRDefault="001512C1" w14:paraId="6BF8DB9A" w14:textId="7B554C03">
            <w:pPr>
              <w:keepNext/>
              <w:jc w:val="center"/>
              <w:rPr>
                <w:rFonts w:ascii="Calibri" w:hAnsi="Calibri" w:eastAsia="Calibri" w:cs="Calibri"/>
                <w:b/>
                <w:sz w:val="16"/>
                <w:szCs w:val="16"/>
              </w:rPr>
            </w:pPr>
            <w:r>
              <w:rPr>
                <w:rFonts w:ascii="Calibri" w:hAnsi="Calibri" w:eastAsia="Calibri" w:cs="Calibri"/>
                <w:b/>
                <w:sz w:val="16"/>
                <w:szCs w:val="16"/>
              </w:rPr>
              <w:t>Differences</w:t>
            </w:r>
          </w:p>
        </w:tc>
        <w:tc>
          <w:tcPr>
            <w:tcW w:w="2250" w:type="dxa"/>
            <w:gridSpan w:val="2"/>
            <w:shd w:val="clear" w:color="auto" w:fill="FDE9D9" w:themeFill="accent6" w:themeFillTint="33"/>
            <w:vAlign w:val="center"/>
          </w:tcPr>
          <w:p w:rsidRPr="004B306C" w:rsidR="001512C1" w:rsidP="00980678" w:rsidRDefault="001512C1" w14:paraId="36E55E61" w14:textId="4E9DA37D">
            <w:pPr>
              <w:jc w:val="center"/>
              <w:rPr>
                <w:rFonts w:ascii="Calibri" w:hAnsi="Calibri" w:eastAsia="Calibri" w:cs="Calibri"/>
                <w:sz w:val="16"/>
                <w:szCs w:val="16"/>
              </w:rPr>
            </w:pPr>
            <w:r>
              <w:rPr>
                <w:rFonts w:ascii="Calibri" w:hAnsi="Calibri" w:eastAsia="Calibri" w:cs="Calibri"/>
                <w:sz w:val="16"/>
                <w:szCs w:val="16"/>
              </w:rPr>
              <w:t>$7,089.24</w:t>
            </w:r>
          </w:p>
        </w:tc>
        <w:tc>
          <w:tcPr>
            <w:tcW w:w="2160" w:type="dxa"/>
            <w:gridSpan w:val="2"/>
            <w:tcBorders>
              <w:left w:val="dotted" w:color="000000" w:sz="4" w:space="0"/>
              <w:right w:val="single" w:color="000000" w:sz="4" w:space="0"/>
            </w:tcBorders>
            <w:shd w:val="clear" w:color="auto" w:fill="FDE9D9" w:themeFill="accent6" w:themeFillTint="33"/>
            <w:vAlign w:val="center"/>
          </w:tcPr>
          <w:p w:rsidR="001512C1" w:rsidP="00980678" w:rsidRDefault="001512C1" w14:paraId="1420D93F" w14:textId="7220841E">
            <w:pPr>
              <w:keepNext/>
              <w:jc w:val="center"/>
              <w:rPr>
                <w:rFonts w:ascii="Calibri" w:hAnsi="Calibri" w:eastAsia="Calibri" w:cs="Calibri"/>
                <w:sz w:val="16"/>
                <w:szCs w:val="16"/>
              </w:rPr>
            </w:pPr>
            <w:r>
              <w:rPr>
                <w:rFonts w:ascii="Calibri" w:hAnsi="Calibri" w:eastAsia="Calibri" w:cs="Calibri"/>
                <w:sz w:val="16"/>
                <w:szCs w:val="16"/>
              </w:rPr>
              <w:t>$4,024</w:t>
            </w:r>
          </w:p>
        </w:tc>
        <w:tc>
          <w:tcPr>
            <w:tcW w:w="2700" w:type="dxa"/>
            <w:tcBorders>
              <w:left w:val="single" w:color="000000" w:sz="4" w:space="0"/>
              <w:bottom w:val="single" w:color="000000" w:sz="4" w:space="0"/>
              <w:right w:val="single" w:color="000000" w:sz="4" w:space="0"/>
            </w:tcBorders>
            <w:shd w:val="clear" w:color="auto" w:fill="FDE9D9" w:themeFill="accent6" w:themeFillTint="33"/>
            <w:vAlign w:val="center"/>
          </w:tcPr>
          <w:p w:rsidRPr="004B306C" w:rsidR="001512C1" w:rsidP="00980678" w:rsidRDefault="001512C1" w14:paraId="4B3B056D" w14:textId="77777777">
            <w:pPr>
              <w:keepNext/>
              <w:jc w:val="center"/>
              <w:rPr>
                <w:rFonts w:ascii="Calibri" w:hAnsi="Calibri" w:eastAsia="Calibri" w:cs="Calibri"/>
                <w:sz w:val="16"/>
                <w:szCs w:val="16"/>
              </w:rPr>
            </w:pPr>
          </w:p>
        </w:tc>
      </w:tr>
    </w:tbl>
    <w:p w:rsidRPr="004B306C" w:rsidR="00891A0E" w:rsidRDefault="00891A0E" w14:paraId="7A944C1A" w14:textId="77777777">
      <w:pPr>
        <w:tabs>
          <w:tab w:val="left" w:pos="540"/>
        </w:tabs>
        <w:rPr>
          <w:sz w:val="16"/>
          <w:szCs w:val="16"/>
        </w:rPr>
      </w:pPr>
    </w:p>
    <w:p w:rsidRPr="00BD7237" w:rsidR="00F143E0" w:rsidP="00F143E0" w:rsidRDefault="00DA6050" w14:paraId="13ADFFA1" w14:textId="77777777">
      <w:pPr>
        <w:pStyle w:val="ListParagraph"/>
        <w:tabs>
          <w:tab w:val="left" w:pos="360"/>
        </w:tabs>
        <w:spacing w:before="80"/>
        <w:ind w:left="0" w:firstLine="0"/>
        <w:rPr>
          <w:rFonts w:ascii="Times New Roman" w:hAnsi="Times New Roman" w:cs="Times New Roman"/>
          <w:b/>
          <w:sz w:val="24"/>
          <w:szCs w:val="24"/>
        </w:rPr>
      </w:pPr>
      <w:r>
        <w:rPr>
          <w:b/>
        </w:rPr>
        <w:t xml:space="preserve">16.  </w:t>
      </w:r>
      <w:r w:rsidRPr="00BD7237" w:rsidR="00F143E0">
        <w:rPr>
          <w:rFonts w:ascii="Times New Roman" w:hAnsi="Times New Roman" w:cs="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91A0E" w:rsidRDefault="00891A0E" w14:paraId="7D7F6AAC" w14:textId="6648D8B2"/>
    <w:p w:rsidR="00891A0E" w:rsidRDefault="00891A0E" w14:paraId="1C2C3EA6" w14:textId="77777777"/>
    <w:p w:rsidR="00891A0E" w:rsidRDefault="00DA6050" w14:paraId="686C2B03" w14:textId="77777777">
      <w:r>
        <w:t xml:space="preserve">The data are used in the computation of stock assessments, analyses for FAD management, and fishery condition reports by NMFS and IATTC scientists.  The results are compiled and analyzed for IATTC reports, typically in time for the IATTC annual meeting that usually takes place in June each year, but no time frame is set for other publications in scientific journals or government reports.  For information reported to the observer provide or NMFS regarding the safety of observers, there is no plan to publish this information. </w:t>
      </w:r>
    </w:p>
    <w:p w:rsidR="00891A0E" w:rsidRDefault="00891A0E" w14:paraId="18BB0196" w14:textId="77777777"/>
    <w:p w:rsidRPr="00BD7237" w:rsidR="00F143E0" w:rsidP="00F143E0" w:rsidRDefault="00DA6050" w14:paraId="1CC43657" w14:textId="77777777">
      <w:pPr>
        <w:pStyle w:val="ListParagraph"/>
        <w:tabs>
          <w:tab w:val="left" w:pos="360"/>
        </w:tabs>
        <w:spacing w:before="80"/>
        <w:ind w:left="0" w:firstLine="0"/>
        <w:rPr>
          <w:rFonts w:ascii="Times New Roman" w:hAnsi="Times New Roman" w:cs="Times New Roman"/>
          <w:b/>
          <w:sz w:val="24"/>
          <w:szCs w:val="24"/>
        </w:rPr>
      </w:pPr>
      <w:r>
        <w:rPr>
          <w:b/>
        </w:rPr>
        <w:t xml:space="preserve">17.  </w:t>
      </w:r>
      <w:r w:rsidRPr="00BD7237" w:rsidR="00F143E0">
        <w:rPr>
          <w:rFonts w:ascii="Times New Roman" w:hAnsi="Times New Roman" w:cs="Times New Roman"/>
          <w:b/>
          <w:sz w:val="24"/>
          <w:szCs w:val="24"/>
        </w:rPr>
        <w:t>If seeking approval to not display the expiration date for OMB approval of the information collection, explain the reasons that display would be inappropriate.</w:t>
      </w:r>
    </w:p>
    <w:p w:rsidR="00891A0E" w:rsidRDefault="00891A0E" w14:paraId="6AD60B24" w14:textId="4C00B770"/>
    <w:p w:rsidR="00891A0E" w:rsidRDefault="00DA6050" w14:paraId="307651D9" w14:textId="77777777">
      <w:r>
        <w:t>We continue to request OMB approval not to display the expiration because there is no federal government form used, and therefore there is no form on which to display the expiration date.  The OMB Control No. and expiration date are on a separate Paperwork Reduction Act Statement that goes with the form.</w:t>
      </w:r>
    </w:p>
    <w:p w:rsidR="00891A0E" w:rsidRDefault="00891A0E" w14:paraId="462ECFB8" w14:textId="77777777"/>
    <w:p w:rsidRPr="00F143E0" w:rsidR="00891A0E" w:rsidP="00F143E0" w:rsidRDefault="00DA6050" w14:paraId="0CE3902D" w14:textId="30812C68">
      <w:pPr>
        <w:pStyle w:val="ListParagraph"/>
        <w:tabs>
          <w:tab w:val="left" w:pos="360"/>
        </w:tabs>
        <w:spacing w:before="80"/>
        <w:ind w:left="0" w:firstLine="0"/>
        <w:rPr>
          <w:rFonts w:ascii="Times New Roman" w:hAnsi="Times New Roman" w:cs="Times New Roman"/>
          <w:b/>
          <w:sz w:val="24"/>
          <w:szCs w:val="24"/>
        </w:rPr>
      </w:pPr>
      <w:r>
        <w:rPr>
          <w:b/>
        </w:rPr>
        <w:t xml:space="preserve">18.  </w:t>
      </w:r>
      <w:r w:rsidRPr="00BD7237" w:rsidR="00F143E0">
        <w:rPr>
          <w:rFonts w:ascii="Times New Roman" w:hAnsi="Times New Roman" w:cs="Times New Roman"/>
          <w:b/>
          <w:sz w:val="24"/>
          <w:szCs w:val="24"/>
        </w:rPr>
        <w:t>Explain each exception to the certification statement identified in “Certification for Paperwork Reduction Act Submissions."</w:t>
      </w:r>
    </w:p>
    <w:p w:rsidR="00891A0E" w:rsidRDefault="00891A0E" w14:paraId="111EC905" w14:textId="77777777"/>
    <w:p w:rsidRPr="00F143E0" w:rsidR="00891A0E" w:rsidP="00F143E0" w:rsidRDefault="00F143E0" w14:paraId="53B674AE" w14:textId="07F556E3">
      <w:r w:rsidRPr="00F143E0">
        <w:t xml:space="preserve">The agency certifies compliance with </w:t>
      </w:r>
      <w:hyperlink r:id="rId15">
        <w:r w:rsidRPr="00F143E0">
          <w:rPr>
            <w:color w:val="0563C1"/>
            <w:u w:val="thick" w:color="0563C1"/>
          </w:rPr>
          <w:t>5 CFR 1320.9</w:t>
        </w:r>
        <w:r w:rsidRPr="00F143E0">
          <w:rPr>
            <w:color w:val="0563C1"/>
          </w:rPr>
          <w:t xml:space="preserve"> </w:t>
        </w:r>
      </w:hyperlink>
      <w:r w:rsidRPr="00F143E0">
        <w:t xml:space="preserve">and the related provisions of </w:t>
      </w:r>
      <w:hyperlink r:id="rId16">
        <w:r w:rsidRPr="00F143E0">
          <w:rPr>
            <w:color w:val="0563C1"/>
            <w:u w:val="thick" w:color="0563C1"/>
          </w:rPr>
          <w:t>5</w:t>
        </w:r>
        <w:r w:rsidRPr="00F143E0">
          <w:rPr>
            <w:color w:val="0563C1"/>
            <w:spacing w:val="-42"/>
            <w:u w:val="thick" w:color="0563C1"/>
          </w:rPr>
          <w:t xml:space="preserve"> </w:t>
        </w:r>
        <w:r w:rsidRPr="00F143E0">
          <w:rPr>
            <w:color w:val="0563C1"/>
            <w:u w:val="thick" w:color="0563C1"/>
          </w:rPr>
          <w:t>CFR</w:t>
        </w:r>
      </w:hyperlink>
      <w:r w:rsidRPr="00F143E0">
        <w:rPr>
          <w:color w:val="0563C1"/>
        </w:rPr>
        <w:t xml:space="preserve"> </w:t>
      </w:r>
      <w:hyperlink r:id="rId17">
        <w:r w:rsidRPr="00F143E0">
          <w:rPr>
            <w:color w:val="0563C1"/>
            <w:u w:val="thick" w:color="0563C1"/>
          </w:rPr>
          <w:t>1320.8(b)(3)</w:t>
        </w:r>
      </w:hyperlink>
      <w:r w:rsidRPr="00F143E0">
        <w:t>.</w:t>
      </w:r>
    </w:p>
    <w:sectPr w:rsidRPr="00F143E0" w:rsidR="00891A0E" w:rsidSect="00B37706">
      <w:footerReference w:type="default" r:id="rId18"/>
      <w:pgSz w:w="12240" w:h="15840"/>
      <w:pgMar w:top="1440" w:right="1440" w:bottom="1440" w:left="1440" w:header="720" w:footer="720" w:gutter="0"/>
      <w:cols w:equalWidth="0" w:space="720">
        <w:col w:w="9360"/>
      </w:cols>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080D61" w14:textId="77777777" w:rsidR="00F046A6" w:rsidRDefault="00F046A6">
      <w:r>
        <w:separator/>
      </w:r>
    </w:p>
  </w:endnote>
  <w:endnote w:type="continuationSeparator" w:id="0">
    <w:p w14:paraId="2751B264" w14:textId="77777777" w:rsidR="00F046A6" w:rsidRDefault="00F04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E105E" w14:textId="77777777" w:rsidR="00891A0E" w:rsidRDefault="00891A0E"/>
  <w:p w14:paraId="2996A7A3" w14:textId="595E38D6" w:rsidR="00891A0E" w:rsidRDefault="00DA6050">
    <w:pPr>
      <w:jc w:val="center"/>
    </w:pPr>
    <w:r>
      <w:fldChar w:fldCharType="begin"/>
    </w:r>
    <w:r>
      <w:instrText>PAGE</w:instrText>
    </w:r>
    <w:r>
      <w:fldChar w:fldCharType="separate"/>
    </w:r>
    <w:r w:rsidR="00A50B4A">
      <w:rPr>
        <w:noProof/>
      </w:rPr>
      <w:t>3</w:t>
    </w:r>
    <w:r>
      <w:fldChar w:fldCharType="end"/>
    </w:r>
  </w:p>
  <w:p w14:paraId="13A9E89E" w14:textId="77777777" w:rsidR="00891A0E" w:rsidRDefault="00891A0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CAE1D1" w14:textId="77777777" w:rsidR="00F046A6" w:rsidRDefault="00F046A6">
      <w:r>
        <w:separator/>
      </w:r>
    </w:p>
  </w:footnote>
  <w:footnote w:type="continuationSeparator" w:id="0">
    <w:p w14:paraId="11201C84" w14:textId="77777777" w:rsidR="00F046A6" w:rsidRDefault="00F046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D1A90"/>
    <w:multiLevelType w:val="hybridMultilevel"/>
    <w:tmpl w:val="9492419E"/>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1" w15:restartNumberingAfterBreak="0">
    <w:nsid w:val="7C5B0E7D"/>
    <w:multiLevelType w:val="multilevel"/>
    <w:tmpl w:val="006A1C8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A0E"/>
    <w:rsid w:val="00000B22"/>
    <w:rsid w:val="000308A9"/>
    <w:rsid w:val="000718EC"/>
    <w:rsid w:val="00075D8B"/>
    <w:rsid w:val="0008293C"/>
    <w:rsid w:val="000C3A0B"/>
    <w:rsid w:val="000E3B00"/>
    <w:rsid w:val="001148B8"/>
    <w:rsid w:val="00137699"/>
    <w:rsid w:val="001512C1"/>
    <w:rsid w:val="001723B2"/>
    <w:rsid w:val="00176157"/>
    <w:rsid w:val="00186B3B"/>
    <w:rsid w:val="001B25DF"/>
    <w:rsid w:val="001E3B6C"/>
    <w:rsid w:val="001F06B0"/>
    <w:rsid w:val="00204570"/>
    <w:rsid w:val="00207635"/>
    <w:rsid w:val="00221ABD"/>
    <w:rsid w:val="002355AB"/>
    <w:rsid w:val="002375C7"/>
    <w:rsid w:val="002720BA"/>
    <w:rsid w:val="002B1EE0"/>
    <w:rsid w:val="00312404"/>
    <w:rsid w:val="003252E6"/>
    <w:rsid w:val="00346FC2"/>
    <w:rsid w:val="003A7450"/>
    <w:rsid w:val="003B7E8B"/>
    <w:rsid w:val="003D1507"/>
    <w:rsid w:val="0046208F"/>
    <w:rsid w:val="004717BF"/>
    <w:rsid w:val="004B306C"/>
    <w:rsid w:val="004C67A8"/>
    <w:rsid w:val="005208C8"/>
    <w:rsid w:val="005F6F96"/>
    <w:rsid w:val="00647608"/>
    <w:rsid w:val="0065721A"/>
    <w:rsid w:val="006A5E29"/>
    <w:rsid w:val="006D3C4A"/>
    <w:rsid w:val="00725D63"/>
    <w:rsid w:val="00734675"/>
    <w:rsid w:val="00770FBC"/>
    <w:rsid w:val="007C7C2F"/>
    <w:rsid w:val="007D286C"/>
    <w:rsid w:val="00820F16"/>
    <w:rsid w:val="0084415E"/>
    <w:rsid w:val="00884560"/>
    <w:rsid w:val="0088460E"/>
    <w:rsid w:val="00891A0E"/>
    <w:rsid w:val="008A787E"/>
    <w:rsid w:val="008B35F3"/>
    <w:rsid w:val="008B7147"/>
    <w:rsid w:val="008F0400"/>
    <w:rsid w:val="009541B8"/>
    <w:rsid w:val="0097417A"/>
    <w:rsid w:val="00980678"/>
    <w:rsid w:val="009B270D"/>
    <w:rsid w:val="009D0A60"/>
    <w:rsid w:val="009F0A42"/>
    <w:rsid w:val="00A01F6E"/>
    <w:rsid w:val="00A121E6"/>
    <w:rsid w:val="00A354E9"/>
    <w:rsid w:val="00A50B4A"/>
    <w:rsid w:val="00A76051"/>
    <w:rsid w:val="00A85650"/>
    <w:rsid w:val="00A857C9"/>
    <w:rsid w:val="00A943F3"/>
    <w:rsid w:val="00B0793A"/>
    <w:rsid w:val="00B1040C"/>
    <w:rsid w:val="00B37706"/>
    <w:rsid w:val="00B65A11"/>
    <w:rsid w:val="00BA1B7C"/>
    <w:rsid w:val="00C068AA"/>
    <w:rsid w:val="00C31D22"/>
    <w:rsid w:val="00CD0CBB"/>
    <w:rsid w:val="00CE303E"/>
    <w:rsid w:val="00D17833"/>
    <w:rsid w:val="00D81017"/>
    <w:rsid w:val="00D933A8"/>
    <w:rsid w:val="00DA4A53"/>
    <w:rsid w:val="00DA6050"/>
    <w:rsid w:val="00DF4B67"/>
    <w:rsid w:val="00E2651C"/>
    <w:rsid w:val="00E27867"/>
    <w:rsid w:val="00E40F78"/>
    <w:rsid w:val="00E439A0"/>
    <w:rsid w:val="00E44B62"/>
    <w:rsid w:val="00E60E8A"/>
    <w:rsid w:val="00F03901"/>
    <w:rsid w:val="00F046A6"/>
    <w:rsid w:val="00F143E0"/>
    <w:rsid w:val="00F24A8D"/>
    <w:rsid w:val="00FA022E"/>
    <w:rsid w:val="00FB4482"/>
    <w:rsid w:val="00FF5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F6D81"/>
  <w15:docId w15:val="{A153C724-BEF8-41F7-A625-2D14A763C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character" w:styleId="CommentReference">
    <w:name w:val="annotation reference"/>
    <w:basedOn w:val="DefaultParagraphFont"/>
    <w:uiPriority w:val="99"/>
    <w:semiHidden/>
    <w:unhideWhenUsed/>
    <w:rsid w:val="007D286C"/>
    <w:rPr>
      <w:sz w:val="16"/>
      <w:szCs w:val="16"/>
    </w:rPr>
  </w:style>
  <w:style w:type="paragraph" w:styleId="CommentText">
    <w:name w:val="annotation text"/>
    <w:basedOn w:val="Normal"/>
    <w:link w:val="CommentTextChar"/>
    <w:uiPriority w:val="99"/>
    <w:semiHidden/>
    <w:unhideWhenUsed/>
    <w:rsid w:val="007D286C"/>
    <w:rPr>
      <w:sz w:val="20"/>
      <w:szCs w:val="20"/>
    </w:rPr>
  </w:style>
  <w:style w:type="character" w:customStyle="1" w:styleId="CommentTextChar">
    <w:name w:val="Comment Text Char"/>
    <w:basedOn w:val="DefaultParagraphFont"/>
    <w:link w:val="CommentText"/>
    <w:uiPriority w:val="99"/>
    <w:semiHidden/>
    <w:rsid w:val="007D286C"/>
    <w:rPr>
      <w:sz w:val="20"/>
      <w:szCs w:val="20"/>
    </w:rPr>
  </w:style>
  <w:style w:type="paragraph" w:styleId="CommentSubject">
    <w:name w:val="annotation subject"/>
    <w:basedOn w:val="CommentText"/>
    <w:next w:val="CommentText"/>
    <w:link w:val="CommentSubjectChar"/>
    <w:uiPriority w:val="99"/>
    <w:semiHidden/>
    <w:unhideWhenUsed/>
    <w:rsid w:val="007D286C"/>
    <w:rPr>
      <w:b/>
      <w:bCs/>
    </w:rPr>
  </w:style>
  <w:style w:type="character" w:customStyle="1" w:styleId="CommentSubjectChar">
    <w:name w:val="Comment Subject Char"/>
    <w:basedOn w:val="CommentTextChar"/>
    <w:link w:val="CommentSubject"/>
    <w:uiPriority w:val="99"/>
    <w:semiHidden/>
    <w:rsid w:val="007D286C"/>
    <w:rPr>
      <w:b/>
      <w:bCs/>
      <w:sz w:val="20"/>
      <w:szCs w:val="20"/>
    </w:rPr>
  </w:style>
  <w:style w:type="paragraph" w:styleId="BalloonText">
    <w:name w:val="Balloon Text"/>
    <w:basedOn w:val="Normal"/>
    <w:link w:val="BalloonTextChar"/>
    <w:uiPriority w:val="99"/>
    <w:semiHidden/>
    <w:unhideWhenUsed/>
    <w:rsid w:val="007D28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286C"/>
    <w:rPr>
      <w:rFonts w:ascii="Segoe UI" w:hAnsi="Segoe UI" w:cs="Segoe UI"/>
      <w:sz w:val="18"/>
      <w:szCs w:val="18"/>
    </w:rPr>
  </w:style>
  <w:style w:type="character" w:styleId="Hyperlink">
    <w:name w:val="Hyperlink"/>
    <w:basedOn w:val="DefaultParagraphFont"/>
    <w:uiPriority w:val="99"/>
    <w:unhideWhenUsed/>
    <w:rsid w:val="00207635"/>
    <w:rPr>
      <w:color w:val="0000FF" w:themeColor="hyperlink"/>
      <w:u w:val="single"/>
    </w:rPr>
  </w:style>
  <w:style w:type="table" w:styleId="TableGrid">
    <w:name w:val="Table Grid"/>
    <w:basedOn w:val="TableNormal"/>
    <w:uiPriority w:val="39"/>
    <w:rsid w:val="008441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D81017"/>
    <w:pPr>
      <w:autoSpaceDE w:val="0"/>
      <w:autoSpaceDN w:val="0"/>
      <w:spacing w:before="161"/>
      <w:ind w:left="1120" w:hanging="360"/>
    </w:pPr>
    <w:rPr>
      <w:rFonts w:ascii="Arial" w:eastAsia="Arial" w:hAnsi="Arial" w:cs="Arial"/>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067352">
      <w:bodyDiv w:val="1"/>
      <w:marLeft w:val="0"/>
      <w:marRight w:val="0"/>
      <w:marTop w:val="0"/>
      <w:marBottom w:val="0"/>
      <w:divBdr>
        <w:top w:val="none" w:sz="0" w:space="0" w:color="auto"/>
        <w:left w:val="none" w:sz="0" w:space="0" w:color="auto"/>
        <w:bottom w:val="none" w:sz="0" w:space="0" w:color="auto"/>
        <w:right w:val="none" w:sz="0" w:space="0" w:color="auto"/>
      </w:divBdr>
    </w:div>
    <w:div w:id="19630762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fr.gpoaccess.gov/cgi/t/text/text-idx?c=ecfr&amp;sid=fbf0b86378ccf304f15c2744ab4c2ccc&amp;rgn=div6&amp;view=text&amp;node=50:7.0.2.11.1.3&amp;idno=50" TargetMode="External"/><Relationship Id="rId13" Type="http://schemas.openxmlformats.org/officeDocument/2006/relationships/hyperlink" Target="http://www.corporateservices.noaa.gov/~ames/NAOs/Chap_216/naos_216_100.htm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cr.permits@noaa.gov" TargetMode="External"/><Relationship Id="rId17" Type="http://schemas.openxmlformats.org/officeDocument/2006/relationships/hyperlink" Target="http://www.gpo.gov/fdsys/pkg/CFR-2014-title5-vol3/pdf/CFR-2014-title5-vol3-sec1320-8.pdf" TargetMode="External"/><Relationship Id="rId2" Type="http://schemas.openxmlformats.org/officeDocument/2006/relationships/numbering" Target="numbering.xml"/><Relationship Id="rId16" Type="http://schemas.openxmlformats.org/officeDocument/2006/relationships/hyperlink" Target="http://www.gpo.gov/fdsys/pkg/CFR-2014-title5-vol3/pdf/CFR-2014-title5-vol3-sec1320-8.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ws.gov/informationquality/section515.html" TargetMode="External"/><Relationship Id="rId5" Type="http://schemas.openxmlformats.org/officeDocument/2006/relationships/webSettings" Target="webSettings.xml"/><Relationship Id="rId15" Type="http://schemas.openxmlformats.org/officeDocument/2006/relationships/hyperlink" Target="http://www.gpo.gov/fdsys/pkg/CFR-2014-title5-vol3/pdf/CFR-2014-title5-vol3-sec1320-9.pdf" TargetMode="External"/><Relationship Id="rId10" Type="http://schemas.openxmlformats.org/officeDocument/2006/relationships/hyperlink" Target="https://www.law.cornell.edu/uscode/text/16/chapter-1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aw.cornell.edu/uscode/text/16/chapter-16" TargetMode="External"/><Relationship Id="rId14" Type="http://schemas.openxmlformats.org/officeDocument/2006/relationships/hyperlink" Target="http://www.bls.gov/o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872AA-A552-4E7E-B83D-7B7E19DEA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3461</Words>
  <Characters>19733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 M. Wadsworth</dc:creator>
  <cp:lastModifiedBy>Adrienne.Thomas</cp:lastModifiedBy>
  <cp:revision>2</cp:revision>
  <dcterms:created xsi:type="dcterms:W3CDTF">2022-02-17T20:54:00Z</dcterms:created>
  <dcterms:modified xsi:type="dcterms:W3CDTF">2022-02-17T20:54:00Z</dcterms:modified>
</cp:coreProperties>
</file>