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7C8A" w:rsidP="0066261B" w:rsidRDefault="0066261B" w14:paraId="752E3C48" w14:textId="7416484E">
      <w:pPr>
        <w:jc w:val="center"/>
        <w:rPr>
          <w:rFonts w:eastAsia="Calibri"/>
        </w:rPr>
      </w:pPr>
      <w:r w:rsidRPr="00357C8A">
        <w:rPr>
          <w:rFonts w:eastAsia="Calibri"/>
        </w:rPr>
        <w:t xml:space="preserve">UNITED STATES FOOD </w:t>
      </w:r>
      <w:r>
        <w:rPr>
          <w:rFonts w:eastAsia="Calibri"/>
        </w:rPr>
        <w:t xml:space="preserve">&amp; </w:t>
      </w:r>
      <w:r w:rsidRPr="00357C8A">
        <w:rPr>
          <w:rFonts w:eastAsia="Calibri"/>
        </w:rPr>
        <w:t>DRUG ADMINISTRATION</w:t>
      </w:r>
    </w:p>
    <w:p w:rsidR="00357C8A" w:rsidP="0066261B" w:rsidRDefault="00357C8A" w14:paraId="09CB82CE" w14:textId="77777777">
      <w:pPr>
        <w:jc w:val="center"/>
        <w:rPr>
          <w:rFonts w:eastAsia="Calibri"/>
        </w:rPr>
      </w:pPr>
    </w:p>
    <w:p w:rsidR="00166DF7" w:rsidP="0066261B" w:rsidRDefault="00514141" w14:paraId="5F65DAFF" w14:textId="77777777">
      <w:pPr>
        <w:jc w:val="center"/>
        <w:rPr>
          <w:rFonts w:eastAsia="Calibri"/>
        </w:rPr>
      </w:pPr>
      <w:r w:rsidRPr="00514141">
        <w:rPr>
          <w:rFonts w:eastAsia="Calibri"/>
        </w:rPr>
        <w:t>Labeling Requirements for Prescription Drugs</w:t>
      </w:r>
    </w:p>
    <w:p w:rsidR="00514141" w:rsidP="0066261B" w:rsidRDefault="00514141" w14:paraId="618F5162" w14:textId="77777777">
      <w:pPr>
        <w:jc w:val="center"/>
        <w:rPr>
          <w:rFonts w:eastAsia="Calibri"/>
        </w:rPr>
      </w:pPr>
    </w:p>
    <w:p w:rsidRPr="0066261B" w:rsidR="00357C8A" w:rsidP="0066261B" w:rsidRDefault="00357C8A" w14:paraId="52321A41" w14:textId="77777777">
      <w:pPr>
        <w:jc w:val="center"/>
        <w:rPr>
          <w:rFonts w:eastAsia="Calibri"/>
          <w:u w:val="single"/>
        </w:rPr>
      </w:pPr>
      <w:r w:rsidRPr="0066261B">
        <w:rPr>
          <w:rFonts w:eastAsia="Calibri"/>
          <w:u w:val="single"/>
        </w:rPr>
        <w:t>OMB Control N</w:t>
      </w:r>
      <w:r w:rsidRPr="0066261B" w:rsidR="00D23B7A">
        <w:rPr>
          <w:rFonts w:eastAsia="Calibri"/>
          <w:u w:val="single"/>
        </w:rPr>
        <w:t>umber</w:t>
      </w:r>
      <w:r w:rsidRPr="0066261B">
        <w:rPr>
          <w:rFonts w:eastAsia="Calibri"/>
          <w:u w:val="single"/>
        </w:rPr>
        <w:t xml:space="preserve"> 0910-</w:t>
      </w:r>
      <w:r w:rsidRPr="0066261B" w:rsidR="00824913">
        <w:rPr>
          <w:rFonts w:eastAsia="Calibri"/>
          <w:u w:val="single"/>
        </w:rPr>
        <w:t>0572</w:t>
      </w:r>
    </w:p>
    <w:p w:rsidR="00357C8A" w:rsidP="0066261B" w:rsidRDefault="00357C8A" w14:paraId="672620E7" w14:textId="77777777">
      <w:pPr>
        <w:jc w:val="center"/>
        <w:rPr>
          <w:rFonts w:eastAsia="Calibri"/>
        </w:rPr>
      </w:pPr>
    </w:p>
    <w:p w:rsidR="00357C8A" w:rsidP="0066261B" w:rsidRDefault="00357C8A" w14:paraId="075704E6" w14:textId="7A33451B">
      <w:pPr>
        <w:rPr>
          <w:rFonts w:eastAsia="Calibri"/>
        </w:rPr>
      </w:pPr>
      <w:r w:rsidRPr="00357C8A">
        <w:rPr>
          <w:rFonts w:eastAsia="Calibri"/>
        </w:rPr>
        <w:t>SUPPORTING STATEMENT</w:t>
      </w:r>
      <w:r w:rsidR="0066261B">
        <w:rPr>
          <w:rFonts w:eastAsia="Calibri"/>
        </w:rPr>
        <w:t xml:space="preserve"> – </w:t>
      </w:r>
      <w:r w:rsidRPr="0066261B" w:rsidR="0066261B">
        <w:rPr>
          <w:rFonts w:eastAsia="Calibri"/>
          <w:b/>
          <w:bCs/>
        </w:rPr>
        <w:t xml:space="preserve">Part A:  </w:t>
      </w:r>
      <w:r w:rsidRPr="0066261B">
        <w:rPr>
          <w:rFonts w:eastAsia="Calibri"/>
          <w:b/>
          <w:bCs/>
        </w:rPr>
        <w:t>Justification</w:t>
      </w:r>
    </w:p>
    <w:p w:rsidRPr="00357C8A" w:rsidR="000D79CC" w:rsidP="0066261B" w:rsidRDefault="000D79CC" w14:paraId="3063B31D" w14:textId="77777777">
      <w:pPr>
        <w:rPr>
          <w:rFonts w:eastAsia="Calibri"/>
        </w:rPr>
      </w:pPr>
    </w:p>
    <w:p w:rsidR="00A720FA" w:rsidP="0003193C" w:rsidRDefault="00357C8A" w14:paraId="7BDB24EA" w14:textId="77777777">
      <w:pPr>
        <w:numPr>
          <w:ilvl w:val="0"/>
          <w:numId w:val="6"/>
        </w:numPr>
        <w:spacing w:after="200"/>
        <w:rPr>
          <w:rFonts w:eastAsia="Calibri"/>
        </w:rPr>
      </w:pPr>
      <w:r w:rsidRPr="00357C8A">
        <w:rPr>
          <w:rFonts w:eastAsia="Calibri"/>
          <w:u w:val="single"/>
        </w:rPr>
        <w:t>Circumstances Making the Collection of Information Necessary</w:t>
      </w:r>
    </w:p>
    <w:p w:rsidR="00A720FA" w:rsidP="0066261B" w:rsidRDefault="00A720FA" w14:paraId="21242CDB" w14:textId="06F1AF42">
      <w:r w:rsidRPr="00F527B0">
        <w:t xml:space="preserve">This information collection supports </w:t>
      </w:r>
      <w:r w:rsidR="00537C48">
        <w:t>Food and Drug Administration (</w:t>
      </w:r>
      <w:r w:rsidRPr="00F527B0">
        <w:t>FDA</w:t>
      </w:r>
      <w:r w:rsidR="00537C48">
        <w:t>, the agency)</w:t>
      </w:r>
      <w:r w:rsidRPr="00F527B0">
        <w:t xml:space="preserve"> regulations governing the labeling of prescription drugs.  The regulations are codified in 21 CFR part 201, subpart B </w:t>
      </w:r>
      <w:r w:rsidRPr="00D06707">
        <w:t>(21 CFR 201.50 through 201.58)</w:t>
      </w:r>
      <w:r w:rsidRPr="00F527B0">
        <w:t xml:space="preserve"> and set forth both general requirements, as well as specific content and format requirements.  The regulations also provide for requesting a waiver from any labeling requirement and do not apply to biological products that are subject to the requirements of section 351 of the Public Health Service Act.</w:t>
      </w:r>
    </w:p>
    <w:p w:rsidRPr="00A720FA" w:rsidR="00A720FA" w:rsidP="0066261B" w:rsidRDefault="00A720FA" w14:paraId="03D98D2D" w14:textId="77777777">
      <w:pPr>
        <w:rPr>
          <w:rFonts w:eastAsia="Calibri"/>
        </w:rPr>
      </w:pPr>
    </w:p>
    <w:p w:rsidR="00A720FA" w:rsidP="0066261B" w:rsidRDefault="00A720FA" w14:paraId="32F189A0" w14:textId="6447BE78">
      <w:r w:rsidRPr="00F527B0">
        <w:t xml:space="preserve">We are revising the information collection to include burden associated with regulations applicable to medical gas labeling found in § 201.328 (21 CFR 201.328) and established by a final rule in the </w:t>
      </w:r>
      <w:r w:rsidRPr="00BA38C7">
        <w:rPr>
          <w:i/>
          <w:iCs/>
        </w:rPr>
        <w:t>Federal Register</w:t>
      </w:r>
      <w:r w:rsidRPr="00F527B0">
        <w:t xml:space="preserve"> of November 18, 2016 (81 FR 81685 at 81694).  </w:t>
      </w:r>
      <w:r>
        <w:t>Although</w:t>
      </w:r>
      <w:r w:rsidRPr="00F527B0">
        <w:t xml:space="preserve"> we included corresponding changes and adjustments resulting from the final rule to the information collection approved under OMB control number 0910-0139 as it pertains to good manufacturing practice requirements and regulations in </w:t>
      </w:r>
      <w:r>
        <w:t>part 211 (</w:t>
      </w:r>
      <w:r w:rsidRPr="00F527B0">
        <w:t>21 CFR part 211</w:t>
      </w:r>
      <w:r>
        <w:t>)</w:t>
      </w:r>
      <w:r w:rsidRPr="00F527B0">
        <w:t>, we did not make corresponding changes and adjustments to this information collection with regard to burden that may be associated with labeling requirements found in § 201.328 (81 FR 81685 at 81694).</w:t>
      </w:r>
    </w:p>
    <w:p w:rsidRPr="00933F6C" w:rsidR="00933F6C" w:rsidP="0066261B" w:rsidRDefault="00933F6C" w14:paraId="2F62E686" w14:textId="77777777"/>
    <w:p w:rsidR="00423272" w:rsidP="0066261B" w:rsidRDefault="00824913" w14:paraId="77398FD2" w14:textId="15A7E823">
      <w:pPr>
        <w:rPr>
          <w:rFonts w:eastAsia="Calibri"/>
        </w:rPr>
      </w:pPr>
      <w:r w:rsidRPr="00824913">
        <w:rPr>
          <w:rFonts w:eastAsia="Calibri"/>
        </w:rPr>
        <w:t>We therefore request OMB approval for the information collection provisions found in 21 CFR part 20</w:t>
      </w:r>
      <w:r w:rsidR="00C02B6B">
        <w:rPr>
          <w:rFonts w:eastAsia="Calibri"/>
        </w:rPr>
        <w:t>1</w:t>
      </w:r>
      <w:r w:rsidRPr="00F527B0" w:rsidR="00A720FA">
        <w:t xml:space="preserve">, subpart B </w:t>
      </w:r>
      <w:r w:rsidRPr="00D06707" w:rsidR="00A720FA">
        <w:t>(21 CFR 201.50 through 201.58)</w:t>
      </w:r>
      <w:r w:rsidRPr="00F527B0" w:rsidR="00A720FA">
        <w:t xml:space="preserve"> </w:t>
      </w:r>
      <w:r w:rsidR="00933F6C">
        <w:t xml:space="preserve">applicable to labeling requirements for prescription drugs, as well as labeling requirements established in </w:t>
      </w:r>
      <w:r w:rsidR="00E70999">
        <w:t xml:space="preserve">21 CFR part 201.328 with regard to </w:t>
      </w:r>
      <w:r w:rsidR="00A41900">
        <w:t>the labeling of medical gas containers</w:t>
      </w:r>
      <w:r w:rsidR="00896BBB">
        <w:rPr>
          <w:rFonts w:eastAsia="Calibri"/>
        </w:rPr>
        <w:t>.</w:t>
      </w:r>
    </w:p>
    <w:p w:rsidRPr="00423272" w:rsidR="00166DF7" w:rsidP="0066261B" w:rsidRDefault="00166DF7" w14:paraId="764F5D2D" w14:textId="77777777">
      <w:pPr>
        <w:rPr>
          <w:rFonts w:eastAsia="Calibri"/>
          <w:i/>
        </w:rPr>
      </w:pPr>
    </w:p>
    <w:p w:rsidRPr="00357C8A" w:rsidR="00357C8A" w:rsidP="0066261B" w:rsidRDefault="00357C8A" w14:paraId="5DB68B25" w14:textId="77777777">
      <w:pPr>
        <w:numPr>
          <w:ilvl w:val="0"/>
          <w:numId w:val="6"/>
        </w:numPr>
        <w:spacing w:after="200"/>
        <w:rPr>
          <w:rFonts w:eastAsia="Calibri"/>
          <w:u w:val="single"/>
        </w:rPr>
      </w:pPr>
      <w:r w:rsidRPr="00357C8A">
        <w:rPr>
          <w:rFonts w:eastAsia="Calibri"/>
          <w:u w:val="single"/>
        </w:rPr>
        <w:t xml:space="preserve">Purpose and Use of the Information Collection </w:t>
      </w:r>
    </w:p>
    <w:p w:rsidRPr="001F1BD6" w:rsidR="00357C8A" w:rsidP="0066261B" w:rsidRDefault="00C02B6B" w14:paraId="3F04F7C3" w14:textId="77777777">
      <w:pPr>
        <w:spacing w:after="200"/>
        <w:rPr>
          <w:rFonts w:eastAsia="Calibri"/>
        </w:rPr>
      </w:pPr>
      <w:r w:rsidRPr="00C02B6B">
        <w:rPr>
          <w:rFonts w:eastAsia="Calibri"/>
        </w:rPr>
        <w:t xml:space="preserve">The labeling regulations discussed in this supporting statement are part of FDA’s strategic initiative to manage the risks of medical product use and reduce adverse events involving the products that </w:t>
      </w:r>
      <w:r>
        <w:rPr>
          <w:rFonts w:eastAsia="Calibri"/>
        </w:rPr>
        <w:t>we</w:t>
      </w:r>
      <w:r w:rsidRPr="00C02B6B">
        <w:rPr>
          <w:rFonts w:eastAsia="Calibri"/>
        </w:rPr>
        <w:t xml:space="preserve"> regulate.  We intend </w:t>
      </w:r>
      <w:r>
        <w:rPr>
          <w:rFonts w:eastAsia="Calibri"/>
        </w:rPr>
        <w:t xml:space="preserve">for </w:t>
      </w:r>
      <w:r w:rsidRPr="00C02B6B">
        <w:rPr>
          <w:rFonts w:eastAsia="Calibri"/>
        </w:rPr>
        <w:t>the regulations on the content and format of labeling to make it easier for health care practitioners to access, read, and use information in prescription drug labeling, thereby increasing the extent to which they rely on labeling to obtain information. We believe compliance with the regulations will enhance the safe and effective use of prescription drug products, and in turn, reduce the number of adverse reactions resulting from medication errors due to misunderstood or incorrectly applied drug information.  The requirements are important to the success of other initiatives aimed at improving patient care and decreasing the likelihood of medication errors.  For example, the DailyMed, a collaboration</w:t>
      </w:r>
      <w:r>
        <w:rPr>
          <w:rFonts w:eastAsia="Calibri"/>
        </w:rPr>
        <w:t xml:space="preserve"> </w:t>
      </w:r>
      <w:r w:rsidRPr="00C02B6B">
        <w:rPr>
          <w:rFonts w:eastAsia="Calibri"/>
        </w:rPr>
        <w:t xml:space="preserve">between FDA and the National Library of Medicine will be an innovative means of </w:t>
      </w:r>
      <w:r>
        <w:rPr>
          <w:rFonts w:eastAsia="Calibri"/>
        </w:rPr>
        <w:t xml:space="preserve">electronically </w:t>
      </w:r>
      <w:r w:rsidRPr="00C02B6B">
        <w:rPr>
          <w:rFonts w:eastAsia="Calibri"/>
        </w:rPr>
        <w:t xml:space="preserve">disseminating up-to-date and comprehensive medication information </w:t>
      </w:r>
      <w:r w:rsidR="007D31AC">
        <w:rPr>
          <w:rFonts w:eastAsia="Calibri"/>
        </w:rPr>
        <w:t>to</w:t>
      </w:r>
      <w:r w:rsidRPr="00C02B6B">
        <w:rPr>
          <w:rFonts w:eastAsia="Calibri"/>
        </w:rPr>
        <w:t xml:space="preserve"> use in information systems that support patient care. </w:t>
      </w:r>
      <w:r w:rsidR="007D31AC">
        <w:rPr>
          <w:rFonts w:eastAsia="Calibri"/>
        </w:rPr>
        <w:t xml:space="preserve"> </w:t>
      </w:r>
      <w:r w:rsidRPr="00C02B6B">
        <w:rPr>
          <w:rFonts w:eastAsia="Calibri"/>
        </w:rPr>
        <w:t>The DailyMed make</w:t>
      </w:r>
      <w:r w:rsidR="007D31AC">
        <w:rPr>
          <w:rFonts w:eastAsia="Calibri"/>
        </w:rPr>
        <w:t>s</w:t>
      </w:r>
      <w:r w:rsidRPr="00C02B6B">
        <w:rPr>
          <w:rFonts w:eastAsia="Calibri"/>
        </w:rPr>
        <w:t xml:space="preserve"> current information</w:t>
      </w:r>
      <w:r>
        <w:rPr>
          <w:rFonts w:eastAsia="Calibri"/>
        </w:rPr>
        <w:t xml:space="preserve"> </w:t>
      </w:r>
      <w:r w:rsidRPr="00C02B6B">
        <w:rPr>
          <w:rFonts w:eastAsia="Calibri"/>
        </w:rPr>
        <w:t xml:space="preserve">about FDA-regulated products readily available to physicians, other health care practitioners, and </w:t>
      </w:r>
      <w:r w:rsidRPr="00C02B6B">
        <w:rPr>
          <w:rFonts w:eastAsia="Calibri"/>
        </w:rPr>
        <w:lastRenderedPageBreak/>
        <w:t xml:space="preserve">patients.  In addition, </w:t>
      </w:r>
      <w:r w:rsidR="007D31AC">
        <w:rPr>
          <w:rFonts w:eastAsia="Calibri"/>
        </w:rPr>
        <w:t xml:space="preserve">manufacturers can use the new format for </w:t>
      </w:r>
      <w:r w:rsidRPr="00C02B6B">
        <w:rPr>
          <w:rFonts w:eastAsia="Calibri"/>
        </w:rPr>
        <w:t>prescription drug labeling with electronic prescribing systems under development</w:t>
      </w:r>
      <w:r w:rsidRPr="001F1BD6">
        <w:rPr>
          <w:rFonts w:eastAsia="Calibri"/>
        </w:rPr>
        <w:t>.</w:t>
      </w:r>
    </w:p>
    <w:p w:rsidRPr="00357C8A" w:rsidR="00357C8A" w:rsidP="0066261B" w:rsidRDefault="00357C8A" w14:paraId="3CA1CE34" w14:textId="77777777">
      <w:pPr>
        <w:numPr>
          <w:ilvl w:val="0"/>
          <w:numId w:val="6"/>
        </w:numPr>
        <w:spacing w:after="200"/>
        <w:rPr>
          <w:rFonts w:eastAsia="Calibri"/>
          <w:u w:val="single"/>
        </w:rPr>
      </w:pPr>
      <w:r w:rsidRPr="00357C8A">
        <w:rPr>
          <w:rFonts w:eastAsia="Calibri"/>
          <w:u w:val="single"/>
        </w:rPr>
        <w:t>Use of Improved Information Technology and Burden Reduction</w:t>
      </w:r>
    </w:p>
    <w:p w:rsidR="007D31AC" w:rsidP="0066261B" w:rsidRDefault="007D31AC" w14:paraId="26707CFB" w14:textId="77777777">
      <w:pPr>
        <w:autoSpaceDE w:val="0"/>
        <w:autoSpaceDN w:val="0"/>
        <w:adjustRightInd w:val="0"/>
        <w:rPr>
          <w:rFonts w:eastAsia="Calibri"/>
        </w:rPr>
      </w:pPr>
      <w:r>
        <w:rPr>
          <w:rFonts w:eastAsia="Calibri"/>
        </w:rPr>
        <w:t>Manufacturers submit d</w:t>
      </w:r>
      <w:r w:rsidRPr="007D31AC">
        <w:rPr>
          <w:rFonts w:eastAsia="Calibri"/>
        </w:rPr>
        <w:t xml:space="preserve">rug product labeling to FDA for approval as part of a new drug application (NDA), an abbreviated new drug application (ANDA), a biologics license application (BLA), or a supplement to an application.  </w:t>
      </w:r>
      <w:r>
        <w:rPr>
          <w:rFonts w:eastAsia="Calibri"/>
        </w:rPr>
        <w:t xml:space="preserve">Manufacturers </w:t>
      </w:r>
      <w:r w:rsidRPr="007D31AC">
        <w:rPr>
          <w:rFonts w:eastAsia="Calibri"/>
        </w:rPr>
        <w:t>electronically</w:t>
      </w:r>
      <w:r>
        <w:rPr>
          <w:rFonts w:eastAsia="Calibri"/>
        </w:rPr>
        <w:t xml:space="preserve"> report t</w:t>
      </w:r>
      <w:r w:rsidRPr="007D31AC">
        <w:rPr>
          <w:rFonts w:eastAsia="Calibri"/>
        </w:rPr>
        <w:t xml:space="preserve">hese applications and associated submissions.  </w:t>
      </w:r>
      <w:r w:rsidR="00BE164D">
        <w:rPr>
          <w:rFonts w:ascii="TimesNewRomanPSMT" w:hAnsi="TimesNewRomanPSMT" w:cs="TimesNewRomanPSMT"/>
          <w:color w:val="000000"/>
        </w:rPr>
        <w:t xml:space="preserve">We have issued a number of guidance documents to assist respondents with the information collection, including recommendations for specific products. All guidance documents are available from our website at: </w:t>
      </w:r>
      <w:hyperlink w:history="1" r:id="rId7">
        <w:r w:rsidRPr="00250BDF" w:rsidR="00BE164D">
          <w:rPr>
            <w:rStyle w:val="Hyperlink"/>
            <w:rFonts w:ascii="TimesNewRomanPSMT" w:hAnsi="TimesNewRomanPSMT" w:cs="TimesNewRomanPSMT"/>
          </w:rPr>
          <w:t>https://www.fda.gov/Drugs/GuidanceComplianceRegulatoryInformation/default.htm</w:t>
        </w:r>
      </w:hyperlink>
      <w:r w:rsidR="00BE164D">
        <w:rPr>
          <w:rFonts w:ascii="TimesNewRomanPSMT" w:hAnsi="TimesNewRomanPSMT" w:cs="TimesNewRomanPSMT"/>
          <w:color w:val="0000FF"/>
        </w:rPr>
        <w:t xml:space="preserve">. </w:t>
      </w:r>
    </w:p>
    <w:p w:rsidR="007D31AC" w:rsidP="0066261B" w:rsidRDefault="007D31AC" w14:paraId="447765BA" w14:textId="77777777">
      <w:pPr>
        <w:rPr>
          <w:rFonts w:eastAsia="Calibri"/>
        </w:rPr>
      </w:pPr>
    </w:p>
    <w:p w:rsidRPr="00357C8A" w:rsidR="00357C8A" w:rsidP="0066261B" w:rsidRDefault="00357C8A" w14:paraId="3386616B" w14:textId="77777777">
      <w:pPr>
        <w:numPr>
          <w:ilvl w:val="0"/>
          <w:numId w:val="6"/>
        </w:numPr>
        <w:spacing w:after="200"/>
        <w:rPr>
          <w:rFonts w:eastAsia="Calibri"/>
        </w:rPr>
      </w:pPr>
      <w:r w:rsidRPr="00357C8A">
        <w:rPr>
          <w:rFonts w:eastAsia="Calibri"/>
          <w:u w:val="single"/>
        </w:rPr>
        <w:t xml:space="preserve">Efforts to Identify Duplication and Use of Similar Information </w:t>
      </w:r>
    </w:p>
    <w:p w:rsidR="00BE164D" w:rsidP="0066261B" w:rsidRDefault="00BE164D" w14:paraId="45541F56" w14:textId="5B50E279">
      <w:pPr>
        <w:spacing w:after="200"/>
      </w:pPr>
      <w:r>
        <w:t>We are unaware of duplicative information collection, although we have established information collection</w:t>
      </w:r>
      <w:r w:rsidR="00E62640">
        <w:t xml:space="preserve"> in </w:t>
      </w:r>
      <w:r w:rsidR="00066B44">
        <w:t>control no.</w:t>
      </w:r>
      <w:r>
        <w:t xml:space="preserve"> 0910-0340 </w:t>
      </w:r>
      <w:r w:rsidR="00066B44">
        <w:t xml:space="preserve">to account for burden attributable to </w:t>
      </w:r>
      <w:r>
        <w:t>over-the-counter labeling</w:t>
      </w:r>
      <w:r w:rsidR="00066B44">
        <w:t xml:space="preserve"> requirements</w:t>
      </w:r>
      <w:r w:rsidR="00E715A0">
        <w:t>.</w:t>
      </w:r>
      <w:r>
        <w:t xml:space="preserve"> </w:t>
      </w:r>
    </w:p>
    <w:p w:rsidRPr="00357C8A" w:rsidR="00357C8A" w:rsidP="0066261B" w:rsidRDefault="00357C8A" w14:paraId="4742FB6F" w14:textId="77777777">
      <w:pPr>
        <w:numPr>
          <w:ilvl w:val="0"/>
          <w:numId w:val="6"/>
        </w:numPr>
        <w:spacing w:after="200"/>
        <w:rPr>
          <w:rFonts w:eastAsia="Calibri"/>
        </w:rPr>
      </w:pPr>
      <w:r w:rsidRPr="00357C8A">
        <w:rPr>
          <w:rFonts w:eastAsia="Calibri"/>
          <w:u w:val="single"/>
        </w:rPr>
        <w:t>Impact on Small Businesses or Other Small Entities</w:t>
      </w:r>
    </w:p>
    <w:p w:rsidR="00357C8A" w:rsidP="0066261B" w:rsidRDefault="00FC52D9" w14:paraId="6FB4BF51" w14:textId="77777777">
      <w:pPr>
        <w:rPr>
          <w:rFonts w:eastAsia="Calibri"/>
        </w:rPr>
      </w:pPr>
      <w:r w:rsidRPr="00FC52D9">
        <w:rPr>
          <w:rFonts w:eastAsia="Calibri"/>
        </w:rPr>
        <w:t>Th</w:t>
      </w:r>
      <w:r>
        <w:rPr>
          <w:rFonts w:eastAsia="Calibri"/>
        </w:rPr>
        <w:t>is</w:t>
      </w:r>
      <w:r w:rsidRPr="00FC52D9">
        <w:rPr>
          <w:rFonts w:eastAsia="Calibri"/>
        </w:rPr>
        <w:t xml:space="preserve"> information collection does not impose undue burden on small entities. </w:t>
      </w:r>
      <w:r>
        <w:rPr>
          <w:rFonts w:eastAsia="Calibri"/>
        </w:rPr>
        <w:t xml:space="preserve"> Manufacturers</w:t>
      </w:r>
      <w:r w:rsidRPr="00FC52D9">
        <w:rPr>
          <w:rFonts w:eastAsia="Calibri"/>
        </w:rPr>
        <w:t xml:space="preserve"> provide labeling information to FDA as part of the </w:t>
      </w:r>
      <w:r>
        <w:rPr>
          <w:rFonts w:eastAsia="Calibri"/>
        </w:rPr>
        <w:t xml:space="preserve">review for </w:t>
      </w:r>
      <w:r w:rsidRPr="00FC52D9">
        <w:rPr>
          <w:rFonts w:eastAsia="Calibri"/>
        </w:rPr>
        <w:t>drug</w:t>
      </w:r>
      <w:r>
        <w:rPr>
          <w:rFonts w:eastAsia="Calibri"/>
        </w:rPr>
        <w:t>s</w:t>
      </w:r>
      <w:r w:rsidRPr="00FC52D9">
        <w:rPr>
          <w:rFonts w:eastAsia="Calibri"/>
        </w:rPr>
        <w:t xml:space="preserve"> and biological product</w:t>
      </w:r>
      <w:r>
        <w:rPr>
          <w:rFonts w:eastAsia="Calibri"/>
        </w:rPr>
        <w:t>s</w:t>
      </w:r>
      <w:r w:rsidRPr="00FC52D9">
        <w:rPr>
          <w:rFonts w:eastAsia="Calibri"/>
        </w:rPr>
        <w:t xml:space="preserve"> application review process.  We </w:t>
      </w:r>
      <w:r w:rsidR="004F77F7">
        <w:rPr>
          <w:rFonts w:eastAsia="Calibri"/>
        </w:rPr>
        <w:t xml:space="preserve">help </w:t>
      </w:r>
      <w:r w:rsidRPr="00FC52D9">
        <w:rPr>
          <w:rFonts w:eastAsia="Calibri"/>
        </w:rPr>
        <w:t xml:space="preserve">small businesses </w:t>
      </w:r>
      <w:r w:rsidR="004F77F7">
        <w:rPr>
          <w:rFonts w:eastAsia="Calibri"/>
        </w:rPr>
        <w:t xml:space="preserve">by providing </w:t>
      </w:r>
      <w:r>
        <w:rPr>
          <w:rFonts w:eastAsia="Calibri"/>
        </w:rPr>
        <w:t>A</w:t>
      </w:r>
      <w:r w:rsidRPr="00FC52D9">
        <w:rPr>
          <w:rFonts w:eastAsia="Calibri"/>
        </w:rPr>
        <w:t>gency guidance on our website</w:t>
      </w:r>
      <w:r>
        <w:rPr>
          <w:rFonts w:eastAsia="Calibri"/>
        </w:rPr>
        <w:t xml:space="preserve"> and</w:t>
      </w:r>
      <w:r w:rsidRPr="00FC52D9">
        <w:rPr>
          <w:rFonts w:eastAsia="Calibri"/>
        </w:rPr>
        <w:t xml:space="preserve"> through our small business assistance staff in our Center for Drug Evaluation and Research</w:t>
      </w:r>
      <w:r>
        <w:rPr>
          <w:rFonts w:eastAsia="Calibri"/>
        </w:rPr>
        <w:t>.</w:t>
      </w:r>
    </w:p>
    <w:p w:rsidRPr="00357C8A" w:rsidR="00FC52D9" w:rsidP="0066261B" w:rsidRDefault="00FC52D9" w14:paraId="041C7925" w14:textId="77777777">
      <w:pPr>
        <w:rPr>
          <w:rFonts w:eastAsia="Calibri"/>
        </w:rPr>
      </w:pPr>
    </w:p>
    <w:p w:rsidRPr="00357C8A" w:rsidR="00357C8A" w:rsidP="0066261B" w:rsidRDefault="00357C8A" w14:paraId="53603783" w14:textId="77777777">
      <w:pPr>
        <w:numPr>
          <w:ilvl w:val="0"/>
          <w:numId w:val="6"/>
        </w:numPr>
        <w:spacing w:after="200"/>
        <w:rPr>
          <w:rFonts w:eastAsia="Calibri"/>
          <w:u w:val="single"/>
        </w:rPr>
      </w:pPr>
      <w:r w:rsidRPr="00357C8A">
        <w:rPr>
          <w:rFonts w:eastAsia="Calibri"/>
          <w:u w:val="single"/>
        </w:rPr>
        <w:t>Consequences of Collecting the Information Less Frequently</w:t>
      </w:r>
    </w:p>
    <w:p w:rsidR="00357C8A" w:rsidP="0066261B" w:rsidRDefault="006C1864" w14:paraId="2D3E89D6" w14:textId="02D5834A">
      <w:pPr>
        <w:spacing w:after="200"/>
        <w:rPr>
          <w:rFonts w:eastAsia="Calibri"/>
        </w:rPr>
      </w:pPr>
      <w:r w:rsidRPr="006C1864">
        <w:rPr>
          <w:rFonts w:eastAsia="Calibri"/>
        </w:rPr>
        <w:t>Th</w:t>
      </w:r>
      <w:r w:rsidR="001F1BD6">
        <w:rPr>
          <w:rFonts w:eastAsia="Calibri"/>
        </w:rPr>
        <w:t>is</w:t>
      </w:r>
      <w:r w:rsidRPr="006C1864">
        <w:rPr>
          <w:rFonts w:eastAsia="Calibri"/>
        </w:rPr>
        <w:t xml:space="preserve"> information collection schedule is consistent with the statutory and regulatory</w:t>
      </w:r>
      <w:r w:rsidR="00E715A0">
        <w:rPr>
          <w:rFonts w:eastAsia="Calibri"/>
        </w:rPr>
        <w:t xml:space="preserve"> requirements</w:t>
      </w:r>
      <w:r w:rsidRPr="006C1864">
        <w:rPr>
          <w:rFonts w:eastAsia="Calibri"/>
        </w:rPr>
        <w:t>.</w:t>
      </w:r>
    </w:p>
    <w:p w:rsidRPr="00357C8A" w:rsidR="00357C8A" w:rsidP="0066261B" w:rsidRDefault="00357C8A" w14:paraId="533AAA23" w14:textId="77777777">
      <w:pPr>
        <w:numPr>
          <w:ilvl w:val="0"/>
          <w:numId w:val="6"/>
        </w:numPr>
        <w:spacing w:after="200"/>
        <w:rPr>
          <w:rFonts w:eastAsia="Calibri"/>
        </w:rPr>
      </w:pPr>
      <w:r w:rsidRPr="00357C8A">
        <w:rPr>
          <w:rFonts w:eastAsia="Calibri"/>
          <w:u w:val="single"/>
        </w:rPr>
        <w:t>Special Circumstances Relating to the Guidelines of 5 CFR 1320.5</w:t>
      </w:r>
    </w:p>
    <w:p w:rsidR="006C1864" w:rsidP="0066261B" w:rsidRDefault="001F1BD6" w14:paraId="0C9DE0ED" w14:textId="77777777">
      <w:pPr>
        <w:spacing w:after="200"/>
        <w:rPr>
          <w:rFonts w:eastAsia="Calibri"/>
        </w:rPr>
      </w:pPr>
      <w:r>
        <w:rPr>
          <w:rFonts w:eastAsia="Calibri"/>
        </w:rPr>
        <w:t xml:space="preserve">No </w:t>
      </w:r>
      <w:r w:rsidRPr="006C1864" w:rsidR="006C1864">
        <w:rPr>
          <w:rFonts w:eastAsia="Calibri"/>
        </w:rPr>
        <w:t xml:space="preserve">special circumstances </w:t>
      </w:r>
      <w:r>
        <w:rPr>
          <w:rFonts w:eastAsia="Calibri"/>
        </w:rPr>
        <w:t>apply to this</w:t>
      </w:r>
      <w:r w:rsidRPr="006C1864" w:rsidR="006C1864">
        <w:rPr>
          <w:rFonts w:eastAsia="Calibri"/>
        </w:rPr>
        <w:t xml:space="preserve"> collection of information.</w:t>
      </w:r>
    </w:p>
    <w:p w:rsidRPr="006C1864" w:rsidR="00357C8A" w:rsidP="0066261B" w:rsidRDefault="00357C8A" w14:paraId="1FCAA044" w14:textId="77777777">
      <w:pPr>
        <w:numPr>
          <w:ilvl w:val="0"/>
          <w:numId w:val="6"/>
        </w:numPr>
        <w:spacing w:after="200"/>
        <w:rPr>
          <w:rFonts w:eastAsia="Calibri"/>
        </w:rPr>
      </w:pPr>
      <w:r w:rsidRPr="00357C8A">
        <w:rPr>
          <w:rFonts w:eastAsia="Calibri"/>
          <w:u w:val="single"/>
        </w:rPr>
        <w:t>Comments in Response to the Federal Register Notice and Efforts to Consult Outside the Agency</w:t>
      </w:r>
    </w:p>
    <w:p w:rsidRPr="00357C8A" w:rsidR="006C1864" w:rsidP="0066261B" w:rsidRDefault="00BE164D" w14:paraId="3B732513" w14:textId="26102D40">
      <w:pPr>
        <w:spacing w:after="200"/>
        <w:rPr>
          <w:rFonts w:eastAsia="Calibri"/>
        </w:rPr>
      </w:pPr>
      <w:r w:rsidRPr="00BE164D">
        <w:rPr>
          <w:rFonts w:eastAsia="Calibri"/>
        </w:rPr>
        <w:t xml:space="preserve">FDA published a 60-day notice for public comment in the </w:t>
      </w:r>
      <w:r w:rsidRPr="00BE164D">
        <w:rPr>
          <w:rFonts w:eastAsia="Calibri"/>
          <w:i/>
          <w:iCs/>
        </w:rPr>
        <w:t>Federal Register</w:t>
      </w:r>
      <w:r w:rsidRPr="00BE164D">
        <w:rPr>
          <w:rFonts w:eastAsia="Calibri"/>
        </w:rPr>
        <w:t xml:space="preserve"> of</w:t>
      </w:r>
      <w:r>
        <w:rPr>
          <w:rFonts w:eastAsia="Calibri"/>
        </w:rPr>
        <w:t xml:space="preserve"> September 7</w:t>
      </w:r>
      <w:r w:rsidRPr="00BE164D">
        <w:rPr>
          <w:rFonts w:eastAsia="Calibri"/>
        </w:rPr>
        <w:t>, 2021 (86 FR</w:t>
      </w:r>
      <w:r>
        <w:rPr>
          <w:rFonts w:eastAsia="Calibri"/>
        </w:rPr>
        <w:t xml:space="preserve"> 50134)</w:t>
      </w:r>
      <w:r w:rsidR="00D626A2">
        <w:rPr>
          <w:rFonts w:eastAsia="Calibri"/>
        </w:rPr>
        <w:t>; no comments were received.</w:t>
      </w:r>
    </w:p>
    <w:p w:rsidRPr="00357C8A" w:rsidR="00357C8A" w:rsidP="0066261B" w:rsidRDefault="00357C8A" w14:paraId="4B62119C" w14:textId="77777777">
      <w:pPr>
        <w:numPr>
          <w:ilvl w:val="0"/>
          <w:numId w:val="6"/>
        </w:numPr>
        <w:spacing w:after="200"/>
        <w:rPr>
          <w:rFonts w:eastAsia="Calibri"/>
        </w:rPr>
      </w:pPr>
      <w:r w:rsidRPr="00357C8A">
        <w:rPr>
          <w:rFonts w:eastAsia="Calibri"/>
          <w:u w:val="single"/>
        </w:rPr>
        <w:t>Explanation of Any Payment or Gift to Respondents</w:t>
      </w:r>
    </w:p>
    <w:p w:rsidRPr="001F1BD6" w:rsidR="00357C8A" w:rsidP="0066261B" w:rsidRDefault="001F1BD6" w14:paraId="0C4A60FF" w14:textId="77777777">
      <w:pPr>
        <w:spacing w:after="200"/>
        <w:rPr>
          <w:rFonts w:eastAsia="Calibri"/>
        </w:rPr>
      </w:pPr>
      <w:r>
        <w:rPr>
          <w:rFonts w:eastAsia="Calibri"/>
        </w:rPr>
        <w:t xml:space="preserve">We do not provide </w:t>
      </w:r>
      <w:r w:rsidRPr="006C1864" w:rsidR="006C1864">
        <w:rPr>
          <w:rFonts w:eastAsia="Calibri"/>
        </w:rPr>
        <w:t>payment</w:t>
      </w:r>
      <w:r>
        <w:rPr>
          <w:rFonts w:eastAsia="Calibri"/>
        </w:rPr>
        <w:t>s</w:t>
      </w:r>
      <w:r w:rsidRPr="006C1864" w:rsidR="006C1864">
        <w:rPr>
          <w:rFonts w:eastAsia="Calibri"/>
        </w:rPr>
        <w:t xml:space="preserve"> or gift</w:t>
      </w:r>
      <w:r>
        <w:rPr>
          <w:rFonts w:eastAsia="Calibri"/>
        </w:rPr>
        <w:t>s</w:t>
      </w:r>
      <w:r w:rsidRPr="006C1864" w:rsidR="006C1864">
        <w:rPr>
          <w:rFonts w:eastAsia="Calibri"/>
        </w:rPr>
        <w:t xml:space="preserve"> </w:t>
      </w:r>
      <w:r>
        <w:rPr>
          <w:rFonts w:eastAsia="Calibri"/>
        </w:rPr>
        <w:t>t</w:t>
      </w:r>
      <w:r w:rsidRPr="006C1864" w:rsidR="006C1864">
        <w:rPr>
          <w:rFonts w:eastAsia="Calibri"/>
        </w:rPr>
        <w:t>o respondents.</w:t>
      </w:r>
    </w:p>
    <w:p w:rsidRPr="00357C8A" w:rsidR="00357C8A" w:rsidP="0066261B" w:rsidRDefault="00357C8A" w14:paraId="1C77C984" w14:textId="77777777">
      <w:pPr>
        <w:numPr>
          <w:ilvl w:val="0"/>
          <w:numId w:val="6"/>
        </w:numPr>
        <w:spacing w:after="200"/>
        <w:rPr>
          <w:rFonts w:eastAsia="Calibri"/>
        </w:rPr>
      </w:pPr>
      <w:r w:rsidRPr="00357C8A">
        <w:rPr>
          <w:rFonts w:eastAsia="Calibri"/>
          <w:u w:val="single"/>
        </w:rPr>
        <w:t>Assurance of Confidentiality Provided to Respondents</w:t>
      </w:r>
    </w:p>
    <w:p w:rsidRPr="001F1BD6" w:rsidR="001F1BD6" w:rsidP="0066261B" w:rsidRDefault="001F1BD6" w14:paraId="2A33469A" w14:textId="18748D3E">
      <w:pPr>
        <w:rPr>
          <w:rFonts w:eastAsia="Calibri"/>
        </w:rPr>
      </w:pPr>
      <w:r w:rsidRPr="001F1BD6">
        <w:rPr>
          <w:rFonts w:eastAsia="Calibri"/>
        </w:rPr>
        <w:t xml:space="preserve">In preparing this </w:t>
      </w:r>
      <w:r w:rsidR="00653717">
        <w:rPr>
          <w:rFonts w:eastAsia="Calibri"/>
        </w:rPr>
        <w:t>s</w:t>
      </w:r>
      <w:r w:rsidRPr="001F1BD6">
        <w:rPr>
          <w:rFonts w:eastAsia="Calibri"/>
        </w:rPr>
        <w:t xml:space="preserve">upporting </w:t>
      </w:r>
      <w:r w:rsidR="00653717">
        <w:rPr>
          <w:rFonts w:eastAsia="Calibri"/>
        </w:rPr>
        <w:t>s</w:t>
      </w:r>
      <w:r w:rsidRPr="001F1BD6">
        <w:rPr>
          <w:rFonts w:eastAsia="Calibri"/>
        </w:rPr>
        <w:t xml:space="preserve">tatement, we consulted </w:t>
      </w:r>
      <w:r w:rsidR="00653717">
        <w:rPr>
          <w:rFonts w:eastAsia="Calibri"/>
        </w:rPr>
        <w:t xml:space="preserve">our </w:t>
      </w:r>
      <w:r w:rsidRPr="001F1BD6">
        <w:rPr>
          <w:rFonts w:eastAsia="Calibri"/>
        </w:rPr>
        <w:t xml:space="preserve">Privacy Office to ensure </w:t>
      </w:r>
      <w:r>
        <w:rPr>
          <w:rFonts w:eastAsia="Calibri"/>
        </w:rPr>
        <w:t xml:space="preserve">the </w:t>
      </w:r>
      <w:r w:rsidRPr="001F1BD6">
        <w:rPr>
          <w:rFonts w:eastAsia="Calibri"/>
        </w:rPr>
        <w:t xml:space="preserve">appropriate identification and handling of </w:t>
      </w:r>
      <w:r>
        <w:rPr>
          <w:rFonts w:eastAsia="Calibri"/>
        </w:rPr>
        <w:t xml:space="preserve">the </w:t>
      </w:r>
      <w:r w:rsidRPr="001F1BD6">
        <w:rPr>
          <w:rFonts w:eastAsia="Calibri"/>
        </w:rPr>
        <w:t xml:space="preserve">information </w:t>
      </w:r>
      <w:r>
        <w:rPr>
          <w:rFonts w:eastAsia="Calibri"/>
        </w:rPr>
        <w:t xml:space="preserve">FDA is </w:t>
      </w:r>
      <w:r w:rsidRPr="001F1BD6">
        <w:rPr>
          <w:rFonts w:eastAsia="Calibri"/>
        </w:rPr>
        <w:t>collect</w:t>
      </w:r>
      <w:r>
        <w:rPr>
          <w:rFonts w:eastAsia="Calibri"/>
        </w:rPr>
        <w:t>ing</w:t>
      </w:r>
      <w:r w:rsidRPr="001F1BD6">
        <w:rPr>
          <w:rFonts w:eastAsia="Calibri"/>
        </w:rPr>
        <w:t>.</w:t>
      </w:r>
      <w:r w:rsidR="00653717">
        <w:rPr>
          <w:rFonts w:eastAsia="Calibri"/>
        </w:rPr>
        <w:t xml:space="preserve">  </w:t>
      </w:r>
      <w:r w:rsidR="00516F70">
        <w:rPr>
          <w:rFonts w:eastAsia="Calibri"/>
        </w:rPr>
        <w:t xml:space="preserve">We conclude that </w:t>
      </w:r>
      <w:r w:rsidRPr="001F1BD6">
        <w:rPr>
          <w:rFonts w:eastAsia="Calibri"/>
        </w:rPr>
        <w:t xml:space="preserve">personally identifiable information (PII) </w:t>
      </w:r>
      <w:r w:rsidR="00653717">
        <w:rPr>
          <w:rFonts w:eastAsia="Calibri"/>
        </w:rPr>
        <w:t xml:space="preserve">is collected </w:t>
      </w:r>
      <w:r w:rsidRPr="001F1BD6">
        <w:rPr>
          <w:rFonts w:eastAsia="Calibri"/>
        </w:rPr>
        <w:t xml:space="preserve">in the context of the subject individuals’ professional </w:t>
      </w:r>
      <w:r w:rsidRPr="001F1BD6">
        <w:rPr>
          <w:rFonts w:eastAsia="Calibri"/>
        </w:rPr>
        <w:lastRenderedPageBreak/>
        <w:t>capacity and the FDA-related work perform</w:t>
      </w:r>
      <w:r w:rsidR="00516F70">
        <w:rPr>
          <w:rFonts w:eastAsia="Calibri"/>
        </w:rPr>
        <w:t>ed</w:t>
      </w:r>
      <w:r w:rsidRPr="001F1BD6">
        <w:rPr>
          <w:rFonts w:eastAsia="Calibri"/>
        </w:rPr>
        <w:t xml:space="preserve"> for their employer (for example, </w:t>
      </w:r>
      <w:r>
        <w:rPr>
          <w:rFonts w:eastAsia="Calibri"/>
        </w:rPr>
        <w:t xml:space="preserve">the </w:t>
      </w:r>
      <w:r w:rsidRPr="001F1BD6">
        <w:rPr>
          <w:rFonts w:eastAsia="Calibri"/>
        </w:rPr>
        <w:t>point of contact at a regulated entity).</w:t>
      </w:r>
      <w:r w:rsidR="00516F70">
        <w:rPr>
          <w:rFonts w:eastAsia="Calibri"/>
        </w:rPr>
        <w:t xml:space="preserve">  </w:t>
      </w:r>
      <w:r w:rsidRPr="001F1BD6">
        <w:rPr>
          <w:rFonts w:eastAsia="Calibri"/>
        </w:rPr>
        <w:t xml:space="preserve">The PII </w:t>
      </w:r>
      <w:r w:rsidR="00516F70">
        <w:rPr>
          <w:rFonts w:eastAsia="Calibri"/>
        </w:rPr>
        <w:t xml:space="preserve">is </w:t>
      </w:r>
      <w:r w:rsidRPr="001F1BD6">
        <w:rPr>
          <w:rFonts w:eastAsia="Calibri"/>
        </w:rPr>
        <w:t xml:space="preserve">submitted </w:t>
      </w:r>
      <w:r w:rsidR="004F77F7">
        <w:rPr>
          <w:rFonts w:eastAsia="Calibri"/>
        </w:rPr>
        <w:t>using</w:t>
      </w:r>
      <w:r w:rsidRPr="001F1BD6">
        <w:rPr>
          <w:rFonts w:eastAsia="Calibri"/>
        </w:rPr>
        <w:t xml:space="preserve"> Form </w:t>
      </w:r>
      <w:r w:rsidR="00BD2B71">
        <w:rPr>
          <w:rFonts w:eastAsia="Calibri"/>
        </w:rPr>
        <w:t xml:space="preserve">FDA </w:t>
      </w:r>
      <w:r w:rsidRPr="001F1BD6">
        <w:rPr>
          <w:rFonts w:eastAsia="Calibri"/>
        </w:rPr>
        <w:t>356</w:t>
      </w:r>
      <w:r w:rsidRPr="001F1BD6">
        <w:rPr>
          <w:rFonts w:eastAsia="Calibri"/>
        </w:rPr>
        <w:t>h</w:t>
      </w:r>
      <w:r w:rsidR="00BD2B71">
        <w:rPr>
          <w:rFonts w:eastAsia="Calibri"/>
        </w:rPr>
        <w:t xml:space="preserve"> (</w:t>
      </w:r>
      <w:r w:rsidRPr="001F1BD6">
        <w:rPr>
          <w:rFonts w:eastAsia="Calibri"/>
        </w:rPr>
        <w:t>Application to Market a New or Abbreviated New Drug for Human Use</w:t>
      </w:r>
      <w:r w:rsidR="00BD2B71">
        <w:rPr>
          <w:rFonts w:eastAsia="Calibri"/>
        </w:rPr>
        <w:t xml:space="preserve"> </w:t>
      </w:r>
      <w:hyperlink w:history="1" r:id="rId8">
        <w:r w:rsidRPr="00556299" w:rsidR="004F77F7">
          <w:rPr>
            <w:rStyle w:val="Hyperlink"/>
            <w:rFonts w:eastAsia="Calibri"/>
          </w:rPr>
          <w:t>https://www.fda.gov/media/86080/download</w:t>
        </w:r>
      </w:hyperlink>
      <w:r w:rsidR="004F77F7">
        <w:rPr>
          <w:rFonts w:eastAsia="Calibri"/>
        </w:rPr>
        <w:t>)</w:t>
      </w:r>
      <w:r>
        <w:rPr>
          <w:rFonts w:eastAsia="Calibri"/>
        </w:rPr>
        <w:t>,</w:t>
      </w:r>
      <w:r w:rsidRPr="001F1BD6">
        <w:rPr>
          <w:rFonts w:eastAsia="Calibri"/>
        </w:rPr>
        <w:t xml:space="preserve"> </w:t>
      </w:r>
      <w:r w:rsidR="00BD2B71">
        <w:rPr>
          <w:rFonts w:eastAsia="Calibri"/>
        </w:rPr>
        <w:t xml:space="preserve">and </w:t>
      </w:r>
      <w:r w:rsidR="006D4043">
        <w:rPr>
          <w:rFonts w:eastAsia="Calibri"/>
        </w:rPr>
        <w:t xml:space="preserve">includes </w:t>
      </w:r>
      <w:r w:rsidR="004F77F7">
        <w:rPr>
          <w:rFonts w:eastAsia="Calibri"/>
        </w:rPr>
        <w:t xml:space="preserve">the </w:t>
      </w:r>
      <w:r w:rsidRPr="001F1BD6">
        <w:rPr>
          <w:rFonts w:eastAsia="Calibri"/>
        </w:rPr>
        <w:t>name, work email address, work telephone numbers, work address</w:t>
      </w:r>
      <w:r>
        <w:rPr>
          <w:rFonts w:eastAsia="Calibri"/>
        </w:rPr>
        <w:t>,</w:t>
      </w:r>
      <w:r w:rsidRPr="001F1BD6">
        <w:rPr>
          <w:rFonts w:eastAsia="Calibri"/>
        </w:rPr>
        <w:t xml:space="preserve"> and work fax telephone number for the primary contact at a business.  Other information FDA receives through Form 356h includes potentially identifying work information including job title, credentials, and the country of the contact.</w:t>
      </w:r>
    </w:p>
    <w:p w:rsidRPr="001F1BD6" w:rsidR="001F1BD6" w:rsidP="0066261B" w:rsidRDefault="001F1BD6" w14:paraId="0C2853D8" w14:textId="77777777">
      <w:pPr>
        <w:rPr>
          <w:rFonts w:eastAsia="Calibri"/>
        </w:rPr>
      </w:pPr>
    </w:p>
    <w:p w:rsidRPr="001F1BD6" w:rsidR="001F1BD6" w:rsidP="0066261B" w:rsidRDefault="001F1BD6" w14:paraId="02254D67" w14:textId="77777777">
      <w:pPr>
        <w:rPr>
          <w:rFonts w:eastAsia="Calibri"/>
        </w:rPr>
      </w:pPr>
      <w:r w:rsidRPr="001F1BD6">
        <w:rPr>
          <w:rFonts w:eastAsia="Calibri"/>
        </w:rPr>
        <w:t>Under the Freedom of Information Act (FOIA) (5 U.S.C. 552), the public has broad access to government documents. However, FOIA provides certain exemptions from mandatory public disclosure of government records (5 U.S.C. 552(b)(1</w:t>
      </w:r>
      <w:r>
        <w:rPr>
          <w:rFonts w:eastAsia="Calibri"/>
        </w:rPr>
        <w:t xml:space="preserve"> to </w:t>
      </w:r>
      <w:r w:rsidRPr="001F1BD6">
        <w:rPr>
          <w:rFonts w:eastAsia="Calibri"/>
        </w:rPr>
        <w:t xml:space="preserve">9)).  FDA will make the fullest possible disclosure of records to the public, consistent with the rights of individuals to privacy, the property rights of persons in trade and confidential commercial or financial information. </w:t>
      </w:r>
    </w:p>
    <w:p w:rsidR="001F1BD6" w:rsidP="0066261B" w:rsidRDefault="001F1BD6" w14:paraId="6C172A47" w14:textId="77777777">
      <w:pPr>
        <w:rPr>
          <w:rFonts w:eastAsia="Calibri"/>
        </w:rPr>
      </w:pPr>
      <w:r w:rsidRPr="001F1BD6">
        <w:rPr>
          <w:rFonts w:eastAsia="Calibri"/>
        </w:rPr>
        <w:t>Confidentiality of the information submitted under these regulations is protected under 21 CFR 314.430, 21 CFR 601, and 21 CFR part 20.  The unauthorized use or disclosure of trade secrets required in applications is specifically prohibited under section 301(j) of the Federal Food, Drug, and Cosmetic Act (21 U.S.C. 331(j)).</w:t>
      </w:r>
    </w:p>
    <w:p w:rsidRPr="001075D3" w:rsidR="001075D3" w:rsidP="0066261B" w:rsidRDefault="001075D3" w14:paraId="4FBDD909" w14:textId="77777777">
      <w:pPr>
        <w:ind w:left="720"/>
      </w:pPr>
    </w:p>
    <w:p w:rsidRPr="00357C8A" w:rsidR="00357C8A" w:rsidP="0066261B" w:rsidRDefault="00357C8A" w14:paraId="413C06C3" w14:textId="77777777">
      <w:pPr>
        <w:numPr>
          <w:ilvl w:val="0"/>
          <w:numId w:val="6"/>
        </w:numPr>
        <w:spacing w:after="200"/>
        <w:rPr>
          <w:rFonts w:eastAsia="Calibri"/>
        </w:rPr>
      </w:pPr>
      <w:r w:rsidRPr="00357C8A">
        <w:rPr>
          <w:rFonts w:eastAsia="Calibri"/>
          <w:u w:val="single"/>
        </w:rPr>
        <w:t>Justification for Sensitive Questions</w:t>
      </w:r>
    </w:p>
    <w:p w:rsidR="001773D5" w:rsidP="0066261B" w:rsidRDefault="001773D5" w14:paraId="36DC2E2C" w14:textId="77777777">
      <w:pPr>
        <w:spacing w:after="200"/>
        <w:rPr>
          <w:rFonts w:eastAsia="Calibri"/>
        </w:rPr>
      </w:pPr>
      <w:r>
        <w:rPr>
          <w:rFonts w:eastAsia="Calibri"/>
        </w:rPr>
        <w:t xml:space="preserve">No </w:t>
      </w:r>
      <w:r w:rsidRPr="001F1BD6" w:rsidR="001F1BD6">
        <w:rPr>
          <w:rFonts w:eastAsia="Calibri"/>
        </w:rPr>
        <w:t xml:space="preserve">questions of a sensitive nature </w:t>
      </w:r>
      <w:r>
        <w:rPr>
          <w:rFonts w:eastAsia="Calibri"/>
        </w:rPr>
        <w:t xml:space="preserve">are </w:t>
      </w:r>
      <w:r w:rsidRPr="001F1BD6" w:rsidR="001F1BD6">
        <w:rPr>
          <w:rFonts w:eastAsia="Calibri"/>
        </w:rPr>
        <w:t>included in the information collection.</w:t>
      </w:r>
    </w:p>
    <w:p w:rsidRPr="00357C8A" w:rsidR="00357C8A" w:rsidP="0066261B" w:rsidRDefault="00357C8A" w14:paraId="37E424D4" w14:textId="77777777">
      <w:pPr>
        <w:numPr>
          <w:ilvl w:val="0"/>
          <w:numId w:val="6"/>
        </w:numPr>
        <w:spacing w:after="200"/>
        <w:rPr>
          <w:rFonts w:eastAsia="Calibri"/>
          <w:u w:val="single"/>
        </w:rPr>
      </w:pPr>
      <w:r w:rsidRPr="00357C8A">
        <w:rPr>
          <w:rFonts w:eastAsia="Calibri"/>
          <w:u w:val="single"/>
        </w:rPr>
        <w:t>Estimates of Annualized Burden Hours and Cost</w:t>
      </w:r>
    </w:p>
    <w:p w:rsidR="00855496" w:rsidP="0066261B" w:rsidRDefault="0087508B" w14:paraId="43CB0CEA" w14:textId="23239CD5">
      <w:r>
        <w:tab/>
      </w:r>
      <w:r w:rsidRPr="000A1472">
        <w:rPr>
          <w:i/>
          <w:iCs/>
        </w:rPr>
        <w:t>12a.  Annualized Hourly Burden Estimate</w:t>
      </w:r>
      <w:r>
        <w:t>.</w:t>
      </w:r>
    </w:p>
    <w:p w:rsidR="0087508B" w:rsidP="0066261B" w:rsidRDefault="0087508B" w14:paraId="6FF999CD" w14:textId="77777777"/>
    <w:tbl>
      <w:tblPr>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30"/>
        <w:gridCol w:w="1260"/>
        <w:gridCol w:w="1440"/>
        <w:gridCol w:w="1080"/>
        <w:gridCol w:w="1211"/>
        <w:gridCol w:w="1057"/>
      </w:tblGrid>
      <w:tr w:rsidRPr="00A720FA" w:rsidR="00A720FA" w:rsidTr="0087508B" w14:paraId="536A8594" w14:textId="77777777">
        <w:trPr>
          <w:cantSplit/>
          <w:trHeight w:val="20"/>
        </w:trPr>
        <w:tc>
          <w:tcPr>
            <w:tcW w:w="3330" w:type="dxa"/>
            <w:shd w:val="clear" w:color="auto" w:fill="auto"/>
          </w:tcPr>
          <w:p w:rsidRPr="00A720FA" w:rsidR="00A720FA" w:rsidP="0066261B" w:rsidRDefault="00A720FA" w14:paraId="5FBB529C" w14:textId="77777777">
            <w:pPr>
              <w:jc w:val="center"/>
              <w:rPr>
                <w:sz w:val="20"/>
                <w:szCs w:val="20"/>
              </w:rPr>
            </w:pPr>
            <w:r w:rsidRPr="00A720FA">
              <w:rPr>
                <w:sz w:val="20"/>
                <w:szCs w:val="20"/>
              </w:rPr>
              <w:t>Activity/21 CFR Section</w:t>
            </w:r>
          </w:p>
        </w:tc>
        <w:tc>
          <w:tcPr>
            <w:tcW w:w="1260" w:type="dxa"/>
            <w:shd w:val="clear" w:color="auto" w:fill="auto"/>
          </w:tcPr>
          <w:p w:rsidRPr="00A720FA" w:rsidR="00A720FA" w:rsidP="0066261B" w:rsidRDefault="00A720FA" w14:paraId="305D1033" w14:textId="77777777">
            <w:pPr>
              <w:jc w:val="center"/>
              <w:rPr>
                <w:sz w:val="20"/>
                <w:szCs w:val="20"/>
              </w:rPr>
            </w:pPr>
            <w:r w:rsidRPr="00A720FA">
              <w:rPr>
                <w:sz w:val="20"/>
                <w:szCs w:val="20"/>
              </w:rPr>
              <w:t>No. of Respondents</w:t>
            </w:r>
          </w:p>
        </w:tc>
        <w:tc>
          <w:tcPr>
            <w:tcW w:w="1440" w:type="dxa"/>
            <w:shd w:val="clear" w:color="auto" w:fill="auto"/>
          </w:tcPr>
          <w:p w:rsidRPr="00A720FA" w:rsidR="00A720FA" w:rsidP="0066261B" w:rsidRDefault="00A720FA" w14:paraId="7D435315" w14:textId="77777777">
            <w:pPr>
              <w:jc w:val="center"/>
              <w:rPr>
                <w:sz w:val="20"/>
                <w:szCs w:val="20"/>
              </w:rPr>
            </w:pPr>
            <w:r w:rsidRPr="00A720FA">
              <w:rPr>
                <w:bCs/>
                <w:sz w:val="20"/>
                <w:szCs w:val="20"/>
              </w:rPr>
              <w:t>No. of Responses per Respondent</w:t>
            </w:r>
          </w:p>
        </w:tc>
        <w:tc>
          <w:tcPr>
            <w:tcW w:w="1080" w:type="dxa"/>
            <w:shd w:val="clear" w:color="auto" w:fill="auto"/>
          </w:tcPr>
          <w:p w:rsidRPr="00A720FA" w:rsidR="00A720FA" w:rsidP="0066261B" w:rsidRDefault="00A720FA" w14:paraId="1AD755AD" w14:textId="77777777">
            <w:pPr>
              <w:jc w:val="center"/>
              <w:rPr>
                <w:sz w:val="20"/>
                <w:szCs w:val="20"/>
              </w:rPr>
            </w:pPr>
            <w:r w:rsidRPr="00A720FA">
              <w:rPr>
                <w:sz w:val="20"/>
                <w:szCs w:val="20"/>
              </w:rPr>
              <w:t>Total Annual Responses</w:t>
            </w:r>
          </w:p>
        </w:tc>
        <w:tc>
          <w:tcPr>
            <w:tcW w:w="1211" w:type="dxa"/>
            <w:shd w:val="clear" w:color="auto" w:fill="auto"/>
          </w:tcPr>
          <w:p w:rsidRPr="00A720FA" w:rsidR="00A720FA" w:rsidP="0066261B" w:rsidRDefault="00A720FA" w14:paraId="51FE89DD" w14:textId="77777777">
            <w:pPr>
              <w:jc w:val="center"/>
              <w:rPr>
                <w:sz w:val="20"/>
                <w:szCs w:val="20"/>
              </w:rPr>
            </w:pPr>
            <w:r w:rsidRPr="00A720FA">
              <w:rPr>
                <w:bCs/>
                <w:sz w:val="20"/>
                <w:szCs w:val="20"/>
              </w:rPr>
              <w:t>Average Burden per Response</w:t>
            </w:r>
          </w:p>
        </w:tc>
        <w:tc>
          <w:tcPr>
            <w:tcW w:w="0" w:type="auto"/>
            <w:shd w:val="clear" w:color="auto" w:fill="auto"/>
          </w:tcPr>
          <w:p w:rsidRPr="00A720FA" w:rsidR="00A720FA" w:rsidP="0066261B" w:rsidRDefault="00A720FA" w14:paraId="2CFBD015" w14:textId="77777777">
            <w:pPr>
              <w:jc w:val="center"/>
              <w:rPr>
                <w:sz w:val="20"/>
                <w:szCs w:val="20"/>
              </w:rPr>
            </w:pPr>
            <w:r w:rsidRPr="00A720FA">
              <w:rPr>
                <w:sz w:val="20"/>
                <w:szCs w:val="20"/>
              </w:rPr>
              <w:t>Total Hours</w:t>
            </w:r>
          </w:p>
        </w:tc>
      </w:tr>
      <w:tr w:rsidRPr="00A720FA" w:rsidR="00A720FA" w:rsidTr="0087508B" w14:paraId="53DED079" w14:textId="77777777">
        <w:trPr>
          <w:cantSplit/>
          <w:trHeight w:val="20"/>
        </w:trPr>
        <w:tc>
          <w:tcPr>
            <w:tcW w:w="3330" w:type="dxa"/>
            <w:shd w:val="clear" w:color="auto" w:fill="auto"/>
          </w:tcPr>
          <w:p w:rsidRPr="00A720FA" w:rsidR="00A720FA" w:rsidP="0066261B" w:rsidRDefault="00A720FA" w14:paraId="38935156" w14:textId="77777777">
            <w:pPr>
              <w:rPr>
                <w:sz w:val="20"/>
                <w:szCs w:val="20"/>
              </w:rPr>
            </w:pPr>
            <w:r w:rsidRPr="00A720FA">
              <w:rPr>
                <w:sz w:val="20"/>
                <w:szCs w:val="20"/>
              </w:rPr>
              <w:t>Labeling requirements for prescription drugs; §§ 201.56 and 201.57</w:t>
            </w:r>
          </w:p>
        </w:tc>
        <w:tc>
          <w:tcPr>
            <w:tcW w:w="1260" w:type="dxa"/>
            <w:shd w:val="clear" w:color="auto" w:fill="auto"/>
          </w:tcPr>
          <w:p w:rsidRPr="00A720FA" w:rsidR="00A720FA" w:rsidP="0066261B" w:rsidRDefault="00A720FA" w14:paraId="06A43087" w14:textId="77777777">
            <w:pPr>
              <w:jc w:val="right"/>
              <w:rPr>
                <w:sz w:val="20"/>
                <w:szCs w:val="20"/>
              </w:rPr>
            </w:pPr>
            <w:r w:rsidRPr="00A720FA">
              <w:rPr>
                <w:sz w:val="20"/>
                <w:szCs w:val="20"/>
              </w:rPr>
              <w:t>414</w:t>
            </w:r>
          </w:p>
        </w:tc>
        <w:tc>
          <w:tcPr>
            <w:tcW w:w="1440" w:type="dxa"/>
            <w:shd w:val="clear" w:color="auto" w:fill="auto"/>
          </w:tcPr>
          <w:p w:rsidRPr="00A720FA" w:rsidR="00A720FA" w:rsidP="0066261B" w:rsidRDefault="00A720FA" w14:paraId="63E66E2D" w14:textId="77777777">
            <w:pPr>
              <w:jc w:val="right"/>
              <w:rPr>
                <w:sz w:val="20"/>
                <w:szCs w:val="20"/>
              </w:rPr>
            </w:pPr>
            <w:r w:rsidRPr="00A720FA">
              <w:rPr>
                <w:sz w:val="20"/>
                <w:szCs w:val="20"/>
              </w:rPr>
              <w:t>1.326</w:t>
            </w:r>
          </w:p>
        </w:tc>
        <w:tc>
          <w:tcPr>
            <w:tcW w:w="1080" w:type="dxa"/>
            <w:shd w:val="clear" w:color="auto" w:fill="auto"/>
          </w:tcPr>
          <w:p w:rsidRPr="00A720FA" w:rsidR="00A720FA" w:rsidP="0066261B" w:rsidRDefault="00A720FA" w14:paraId="1A1DAAF6" w14:textId="77777777">
            <w:pPr>
              <w:jc w:val="right"/>
              <w:rPr>
                <w:sz w:val="20"/>
                <w:szCs w:val="20"/>
              </w:rPr>
            </w:pPr>
            <w:r w:rsidRPr="00A720FA">
              <w:rPr>
                <w:sz w:val="20"/>
                <w:szCs w:val="20"/>
              </w:rPr>
              <w:t>549</w:t>
            </w:r>
          </w:p>
        </w:tc>
        <w:tc>
          <w:tcPr>
            <w:tcW w:w="1211" w:type="dxa"/>
            <w:shd w:val="clear" w:color="auto" w:fill="auto"/>
          </w:tcPr>
          <w:p w:rsidRPr="00A720FA" w:rsidR="00A720FA" w:rsidP="0066261B" w:rsidRDefault="00A720FA" w14:paraId="7F346772" w14:textId="77777777">
            <w:pPr>
              <w:jc w:val="right"/>
              <w:rPr>
                <w:sz w:val="20"/>
                <w:szCs w:val="20"/>
              </w:rPr>
            </w:pPr>
            <w:r w:rsidRPr="00A720FA">
              <w:rPr>
                <w:sz w:val="20"/>
                <w:szCs w:val="20"/>
              </w:rPr>
              <w:t>3,349</w:t>
            </w:r>
          </w:p>
        </w:tc>
        <w:tc>
          <w:tcPr>
            <w:tcW w:w="0" w:type="auto"/>
            <w:shd w:val="clear" w:color="auto" w:fill="auto"/>
          </w:tcPr>
          <w:p w:rsidRPr="00A720FA" w:rsidR="00A720FA" w:rsidP="0066261B" w:rsidRDefault="00A720FA" w14:paraId="18717694" w14:textId="77777777">
            <w:pPr>
              <w:jc w:val="right"/>
              <w:rPr>
                <w:sz w:val="20"/>
                <w:szCs w:val="20"/>
              </w:rPr>
            </w:pPr>
            <w:r w:rsidRPr="00A720FA">
              <w:rPr>
                <w:sz w:val="20"/>
                <w:szCs w:val="20"/>
              </w:rPr>
              <w:t>1,838,601</w:t>
            </w:r>
          </w:p>
        </w:tc>
      </w:tr>
      <w:tr w:rsidRPr="00A720FA" w:rsidR="00A720FA" w:rsidTr="0087508B" w14:paraId="6395C5B2" w14:textId="77777777">
        <w:trPr>
          <w:cantSplit/>
          <w:trHeight w:val="20"/>
        </w:trPr>
        <w:tc>
          <w:tcPr>
            <w:tcW w:w="3330" w:type="dxa"/>
            <w:shd w:val="clear" w:color="auto" w:fill="auto"/>
          </w:tcPr>
          <w:p w:rsidRPr="00A720FA" w:rsidR="00A720FA" w:rsidP="0066261B" w:rsidRDefault="00A720FA" w14:paraId="25F0A174" w14:textId="77777777">
            <w:pPr>
              <w:rPr>
                <w:sz w:val="20"/>
                <w:szCs w:val="20"/>
              </w:rPr>
            </w:pPr>
            <w:r w:rsidRPr="00A720FA">
              <w:rPr>
                <w:sz w:val="20"/>
                <w:szCs w:val="20"/>
              </w:rPr>
              <w:t>Labeling of medical gas containers; § 201.328</w:t>
            </w:r>
          </w:p>
        </w:tc>
        <w:tc>
          <w:tcPr>
            <w:tcW w:w="1260" w:type="dxa"/>
            <w:shd w:val="clear" w:color="auto" w:fill="auto"/>
          </w:tcPr>
          <w:p w:rsidRPr="00A720FA" w:rsidR="00A720FA" w:rsidP="0066261B" w:rsidRDefault="00A720FA" w14:paraId="1B6E9D69" w14:textId="77777777">
            <w:pPr>
              <w:jc w:val="right"/>
              <w:rPr>
                <w:sz w:val="20"/>
                <w:szCs w:val="20"/>
              </w:rPr>
            </w:pPr>
            <w:r w:rsidRPr="00A720FA">
              <w:rPr>
                <w:sz w:val="20"/>
                <w:szCs w:val="20"/>
              </w:rPr>
              <w:t>260</w:t>
            </w:r>
          </w:p>
        </w:tc>
        <w:tc>
          <w:tcPr>
            <w:tcW w:w="1440" w:type="dxa"/>
            <w:shd w:val="clear" w:color="auto" w:fill="auto"/>
          </w:tcPr>
          <w:p w:rsidRPr="00A720FA" w:rsidR="00A720FA" w:rsidP="0066261B" w:rsidRDefault="00A720FA" w14:paraId="7D997672" w14:textId="77777777">
            <w:pPr>
              <w:jc w:val="right"/>
              <w:rPr>
                <w:sz w:val="20"/>
                <w:szCs w:val="20"/>
              </w:rPr>
            </w:pPr>
            <w:r w:rsidRPr="00A720FA">
              <w:rPr>
                <w:sz w:val="20"/>
                <w:szCs w:val="20"/>
              </w:rPr>
              <w:t>1,663</w:t>
            </w:r>
          </w:p>
        </w:tc>
        <w:tc>
          <w:tcPr>
            <w:tcW w:w="1080" w:type="dxa"/>
            <w:shd w:val="clear" w:color="auto" w:fill="auto"/>
          </w:tcPr>
          <w:p w:rsidRPr="00A720FA" w:rsidR="00A720FA" w:rsidP="0066261B" w:rsidRDefault="00A720FA" w14:paraId="0361E130" w14:textId="77777777">
            <w:pPr>
              <w:jc w:val="right"/>
              <w:rPr>
                <w:sz w:val="20"/>
                <w:szCs w:val="20"/>
              </w:rPr>
            </w:pPr>
            <w:r w:rsidRPr="00A720FA">
              <w:rPr>
                <w:sz w:val="20"/>
                <w:szCs w:val="20"/>
              </w:rPr>
              <w:t>432,380</w:t>
            </w:r>
          </w:p>
        </w:tc>
        <w:tc>
          <w:tcPr>
            <w:tcW w:w="1211" w:type="dxa"/>
            <w:shd w:val="clear" w:color="auto" w:fill="auto"/>
          </w:tcPr>
          <w:p w:rsidR="0087508B" w:rsidP="0066261B" w:rsidRDefault="00A720FA" w14:paraId="208C4CC9" w14:textId="77777777">
            <w:pPr>
              <w:jc w:val="right"/>
              <w:rPr>
                <w:sz w:val="20"/>
                <w:szCs w:val="20"/>
              </w:rPr>
            </w:pPr>
            <w:r w:rsidRPr="00A720FA">
              <w:rPr>
                <w:sz w:val="20"/>
                <w:szCs w:val="20"/>
              </w:rPr>
              <w:t xml:space="preserve">0.17 </w:t>
            </w:r>
          </w:p>
          <w:p w:rsidRPr="00A720FA" w:rsidR="00A720FA" w:rsidP="0066261B" w:rsidRDefault="00A720FA" w14:paraId="5D08A5F5" w14:textId="3B0DEEBB">
            <w:pPr>
              <w:jc w:val="right"/>
              <w:rPr>
                <w:sz w:val="20"/>
                <w:szCs w:val="20"/>
              </w:rPr>
            </w:pPr>
            <w:r w:rsidRPr="00A720FA">
              <w:rPr>
                <w:sz w:val="20"/>
                <w:szCs w:val="20"/>
              </w:rPr>
              <w:t>(10 min</w:t>
            </w:r>
            <w:r w:rsidR="0087508B">
              <w:rPr>
                <w:sz w:val="20"/>
                <w:szCs w:val="20"/>
              </w:rPr>
              <w:t>s.</w:t>
            </w:r>
            <w:r w:rsidRPr="00A720FA">
              <w:rPr>
                <w:sz w:val="20"/>
                <w:szCs w:val="20"/>
              </w:rPr>
              <w:t>)</w:t>
            </w:r>
          </w:p>
        </w:tc>
        <w:tc>
          <w:tcPr>
            <w:tcW w:w="0" w:type="auto"/>
            <w:shd w:val="clear" w:color="auto" w:fill="auto"/>
          </w:tcPr>
          <w:p w:rsidRPr="00A720FA" w:rsidR="00A720FA" w:rsidP="0066261B" w:rsidRDefault="00A720FA" w14:paraId="2FD398B3" w14:textId="77777777">
            <w:pPr>
              <w:jc w:val="right"/>
              <w:rPr>
                <w:sz w:val="20"/>
                <w:szCs w:val="20"/>
              </w:rPr>
            </w:pPr>
            <w:r w:rsidRPr="00A720FA">
              <w:rPr>
                <w:sz w:val="20"/>
                <w:szCs w:val="20"/>
              </w:rPr>
              <w:t>73,505</w:t>
            </w:r>
          </w:p>
        </w:tc>
      </w:tr>
      <w:tr w:rsidRPr="00A720FA" w:rsidR="00A720FA" w:rsidTr="0087508B" w14:paraId="69EB2572" w14:textId="77777777">
        <w:trPr>
          <w:cantSplit/>
          <w:trHeight w:val="20"/>
        </w:trPr>
        <w:tc>
          <w:tcPr>
            <w:tcW w:w="6030" w:type="dxa"/>
            <w:gridSpan w:val="3"/>
            <w:shd w:val="clear" w:color="auto" w:fill="auto"/>
          </w:tcPr>
          <w:p w:rsidRPr="00A720FA" w:rsidR="00A720FA" w:rsidP="0066261B" w:rsidRDefault="00A720FA" w14:paraId="03CE2020" w14:textId="77777777">
            <w:pPr>
              <w:rPr>
                <w:sz w:val="20"/>
                <w:szCs w:val="20"/>
              </w:rPr>
            </w:pPr>
            <w:r w:rsidRPr="00A720FA">
              <w:rPr>
                <w:sz w:val="20"/>
                <w:szCs w:val="20"/>
              </w:rPr>
              <w:t>Total</w:t>
            </w:r>
          </w:p>
        </w:tc>
        <w:tc>
          <w:tcPr>
            <w:tcW w:w="1080" w:type="dxa"/>
            <w:shd w:val="clear" w:color="auto" w:fill="auto"/>
          </w:tcPr>
          <w:p w:rsidRPr="00A720FA" w:rsidR="00A720FA" w:rsidP="0066261B" w:rsidRDefault="00A720FA" w14:paraId="15B312AA" w14:textId="77777777">
            <w:pPr>
              <w:jc w:val="right"/>
              <w:rPr>
                <w:sz w:val="20"/>
                <w:szCs w:val="20"/>
              </w:rPr>
            </w:pPr>
            <w:r w:rsidRPr="00A720FA">
              <w:rPr>
                <w:noProof/>
                <w:sz w:val="20"/>
                <w:szCs w:val="20"/>
              </w:rPr>
              <w:t>432,929</w:t>
            </w:r>
          </w:p>
        </w:tc>
        <w:tc>
          <w:tcPr>
            <w:tcW w:w="1211" w:type="dxa"/>
            <w:shd w:val="clear" w:color="auto" w:fill="auto"/>
          </w:tcPr>
          <w:p w:rsidRPr="00A720FA" w:rsidR="00A720FA" w:rsidP="0066261B" w:rsidRDefault="00A720FA" w14:paraId="11DFCF97" w14:textId="77777777">
            <w:pPr>
              <w:jc w:val="right"/>
              <w:rPr>
                <w:sz w:val="20"/>
                <w:szCs w:val="20"/>
              </w:rPr>
            </w:pPr>
          </w:p>
        </w:tc>
        <w:tc>
          <w:tcPr>
            <w:tcW w:w="0" w:type="auto"/>
            <w:shd w:val="clear" w:color="auto" w:fill="auto"/>
          </w:tcPr>
          <w:p w:rsidRPr="00A720FA" w:rsidR="00A720FA" w:rsidP="0066261B" w:rsidRDefault="00A720FA" w14:paraId="522B8070" w14:textId="77777777">
            <w:pPr>
              <w:jc w:val="right"/>
              <w:rPr>
                <w:sz w:val="20"/>
                <w:szCs w:val="20"/>
              </w:rPr>
            </w:pPr>
            <w:r w:rsidRPr="00A720FA">
              <w:rPr>
                <w:noProof/>
                <w:sz w:val="20"/>
                <w:szCs w:val="20"/>
              </w:rPr>
              <w:t>1,912,106</w:t>
            </w:r>
          </w:p>
        </w:tc>
      </w:tr>
    </w:tbl>
    <w:p w:rsidR="009B04BF" w:rsidP="0066261B" w:rsidRDefault="009B04BF" w14:paraId="234CBF9D" w14:textId="77777777">
      <w:pPr>
        <w:spacing w:after="200"/>
        <w:ind w:left="360"/>
        <w:rPr>
          <w:rFonts w:eastAsia="Calibri"/>
        </w:rPr>
      </w:pPr>
    </w:p>
    <w:p w:rsidRPr="00F527B0" w:rsidR="009B04BF" w:rsidP="009B04BF" w:rsidRDefault="0086074F" w14:paraId="4FC18531" w14:textId="70A1806A">
      <w:pPr>
        <w:contextualSpacing/>
      </w:pPr>
      <w:r>
        <w:t>We assume n</w:t>
      </w:r>
      <w:r w:rsidRPr="00F527B0" w:rsidR="009B04BF">
        <w:t>ew drug product and biological product applicants must:</w:t>
      </w:r>
      <w:r w:rsidR="009B04BF">
        <w:t xml:space="preserve"> </w:t>
      </w:r>
      <w:r w:rsidRPr="00F527B0" w:rsidR="009B04BF">
        <w:t xml:space="preserve"> (1) design and create prescription drug labeling containing “</w:t>
      </w:r>
      <w:r w:rsidRPr="0086074F" w:rsidR="009B04BF">
        <w:rPr>
          <w:i/>
          <w:iCs/>
        </w:rPr>
        <w:t>Highlights</w:t>
      </w:r>
      <w:r w:rsidRPr="00F527B0" w:rsidR="009B04BF">
        <w:t>,” “</w:t>
      </w:r>
      <w:r w:rsidRPr="0086074F" w:rsidR="009B04BF">
        <w:rPr>
          <w:i/>
          <w:iCs/>
        </w:rPr>
        <w:t>Contents</w:t>
      </w:r>
      <w:r w:rsidRPr="00F527B0" w:rsidR="009B04BF">
        <w:t>,” and “</w:t>
      </w:r>
      <w:r w:rsidRPr="0086074F" w:rsidR="009B04BF">
        <w:rPr>
          <w:i/>
          <w:iCs/>
        </w:rPr>
        <w:t>Full Prescribing Information</w:t>
      </w:r>
      <w:r w:rsidRPr="00F527B0" w:rsidR="009B04BF">
        <w:t xml:space="preserve">”; (2) test the designed labeling (for example, to ensure that the designed labeling fits into carton-enclosed products); and (3) submit it to FDA for approval.  Based on our experience with the information collection, we estimate 414 applicants will prepare an average of 549 prescription drug labels and assume it will require 3,349 hours to design, test, and submit to FDA as part of a new drug application or a biologics license application.  Similarly, new medical gas containers must meet applicable requirements found in part 211, as well as specific labeling requirements in § 201.328.  We estimate that 260 respondents will incur burden for the design, testing, production, and submission of labeling for new medical gas containers as required under § 201.328 and assume an average </w:t>
      </w:r>
      <w:r w:rsidRPr="00F434C7" w:rsidR="009B04BF">
        <w:t>of 10 mi</w:t>
      </w:r>
      <w:r w:rsidRPr="00981D99" w:rsidR="009B04BF">
        <w:t>nutes</w:t>
      </w:r>
      <w:r w:rsidRPr="00F527B0" w:rsidR="009B04BF">
        <w:t xml:space="preserve"> (0.1</w:t>
      </w:r>
      <w:r w:rsidR="009B04BF">
        <w:t>7</w:t>
      </w:r>
      <w:r w:rsidRPr="00F527B0" w:rsidR="009B04BF">
        <w:t>) is required for these activities.</w:t>
      </w:r>
    </w:p>
    <w:p w:rsidR="009B04BF" w:rsidP="0066261B" w:rsidRDefault="009B04BF" w14:paraId="3EB0BCA2" w14:textId="77777777">
      <w:pPr>
        <w:spacing w:after="200"/>
        <w:ind w:left="360"/>
        <w:rPr>
          <w:rFonts w:eastAsia="Calibri"/>
        </w:rPr>
      </w:pPr>
    </w:p>
    <w:p w:rsidR="009B04BF" w:rsidP="0066261B" w:rsidRDefault="009B04BF" w14:paraId="72BCCAEB" w14:textId="77777777">
      <w:pPr>
        <w:spacing w:after="200"/>
        <w:ind w:left="360"/>
        <w:rPr>
          <w:rFonts w:eastAsia="Calibri"/>
        </w:rPr>
      </w:pPr>
    </w:p>
    <w:p w:rsidRPr="000A1472" w:rsidR="00357C8A" w:rsidP="0066261B" w:rsidRDefault="00357C8A" w14:paraId="7D0881AB" w14:textId="6201DB1A">
      <w:pPr>
        <w:spacing w:after="200"/>
        <w:ind w:left="360"/>
        <w:rPr>
          <w:rFonts w:eastAsia="Calibri"/>
          <w:i/>
          <w:iCs/>
        </w:rPr>
      </w:pPr>
      <w:r w:rsidRPr="000A1472">
        <w:rPr>
          <w:rFonts w:eastAsia="Calibri"/>
          <w:i/>
          <w:iCs/>
        </w:rPr>
        <w:t>12b.  Annualized Cost Burden Estimate</w:t>
      </w:r>
      <w:r w:rsidR="000A1472">
        <w:rPr>
          <w:rFonts w:eastAsia="Calibri"/>
          <w:i/>
          <w:iCs/>
        </w:rPr>
        <w:t>.</w:t>
      </w:r>
    </w:p>
    <w:p w:rsidR="00357C8A" w:rsidP="0066261B" w:rsidRDefault="0058544D" w14:paraId="4A63759B" w14:textId="77777777">
      <w:pPr>
        <w:rPr>
          <w:rFonts w:eastAsia="Calibri"/>
        </w:rPr>
      </w:pPr>
      <w:r>
        <w:rPr>
          <w:rFonts w:eastAsia="Calibri"/>
        </w:rPr>
        <w:t>We a</w:t>
      </w:r>
      <w:r w:rsidRPr="0058544D">
        <w:rPr>
          <w:rFonts w:eastAsia="Calibri"/>
        </w:rPr>
        <w:t>ssum</w:t>
      </w:r>
      <w:r>
        <w:rPr>
          <w:rFonts w:eastAsia="Calibri"/>
        </w:rPr>
        <w:t xml:space="preserve">e </w:t>
      </w:r>
      <w:r w:rsidRPr="0058544D">
        <w:rPr>
          <w:rFonts w:eastAsia="Calibri"/>
        </w:rPr>
        <w:t xml:space="preserve">an average pharmaceutical industry wage rate of $75.00 per hour </w:t>
      </w:r>
      <w:r>
        <w:rPr>
          <w:rFonts w:eastAsia="Calibri"/>
        </w:rPr>
        <w:t>to prepare and submit</w:t>
      </w:r>
      <w:r w:rsidRPr="0058544D">
        <w:rPr>
          <w:rFonts w:eastAsia="Calibri"/>
        </w:rPr>
        <w:t xml:space="preserve"> </w:t>
      </w:r>
      <w:r w:rsidR="00BE164D">
        <w:rPr>
          <w:rFonts w:eastAsia="Calibri"/>
        </w:rPr>
        <w:t xml:space="preserve">to FDA </w:t>
      </w:r>
      <w:r w:rsidRPr="0058544D">
        <w:rPr>
          <w:rFonts w:eastAsia="Calibri"/>
        </w:rPr>
        <w:t>the required information</w:t>
      </w:r>
      <w:r>
        <w:rPr>
          <w:rFonts w:eastAsia="Calibri"/>
        </w:rPr>
        <w:t xml:space="preserve">. </w:t>
      </w:r>
      <w:r w:rsidR="00BE164D">
        <w:rPr>
          <w:rFonts w:eastAsia="Calibri"/>
        </w:rPr>
        <w:t xml:space="preserve"> </w:t>
      </w:r>
      <w:r>
        <w:rPr>
          <w:rFonts w:eastAsia="Calibri"/>
        </w:rPr>
        <w:t xml:space="preserve">We multiplied $75.00 by </w:t>
      </w:r>
      <w:r w:rsidRPr="0058544D">
        <w:rPr>
          <w:rFonts w:eastAsia="Calibri"/>
        </w:rPr>
        <w:t>the total burden hours</w:t>
      </w:r>
      <w:r w:rsidR="008F4554">
        <w:rPr>
          <w:rFonts w:eastAsia="Calibri"/>
        </w:rPr>
        <w:t xml:space="preserve"> </w:t>
      </w:r>
      <w:r w:rsidR="00BE164D">
        <w:rPr>
          <w:rFonts w:eastAsia="Calibri"/>
        </w:rPr>
        <w:t xml:space="preserve">above </w:t>
      </w:r>
      <w:r w:rsidR="00855496">
        <w:rPr>
          <w:rFonts w:eastAsia="Calibri"/>
        </w:rPr>
        <w:t>1,</w:t>
      </w:r>
      <w:r w:rsidR="00A720FA">
        <w:rPr>
          <w:rFonts w:eastAsia="Calibri"/>
        </w:rPr>
        <w:t>912,106</w:t>
      </w:r>
      <w:r w:rsidR="00BE164D">
        <w:rPr>
          <w:rFonts w:eastAsia="Calibri"/>
        </w:rPr>
        <w:t xml:space="preserve"> and </w:t>
      </w:r>
      <w:r w:rsidRPr="0058544D">
        <w:rPr>
          <w:rFonts w:eastAsia="Calibri"/>
        </w:rPr>
        <w:t>estimate a cost to respondents of $</w:t>
      </w:r>
      <w:r w:rsidR="00A720FA">
        <w:rPr>
          <w:rFonts w:eastAsia="Calibri"/>
        </w:rPr>
        <w:t>143,407,950</w:t>
      </w:r>
      <w:r w:rsidR="008F4554">
        <w:rPr>
          <w:rFonts w:eastAsia="Calibri"/>
        </w:rPr>
        <w:t>.</w:t>
      </w:r>
    </w:p>
    <w:p w:rsidRPr="00357C8A" w:rsidR="0058544D" w:rsidP="0066261B" w:rsidRDefault="0058544D" w14:paraId="64A39825" w14:textId="77777777">
      <w:pPr>
        <w:rPr>
          <w:rFonts w:eastAsia="Calibri"/>
        </w:rPr>
      </w:pPr>
    </w:p>
    <w:p w:rsidRPr="00357C8A" w:rsidR="00357C8A" w:rsidP="0066261B" w:rsidRDefault="00357C8A" w14:paraId="73109F4D" w14:textId="77777777">
      <w:pPr>
        <w:numPr>
          <w:ilvl w:val="0"/>
          <w:numId w:val="9"/>
        </w:numPr>
        <w:spacing w:after="200"/>
        <w:ind w:left="360"/>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1773D5" w:rsidP="0066261B" w:rsidRDefault="00C020CC" w14:paraId="54235D87" w14:textId="706F40A3">
      <w:pPr>
        <w:rPr>
          <w:rFonts w:eastAsia="Calibri"/>
        </w:rPr>
      </w:pPr>
      <w:r>
        <w:rPr>
          <w:rFonts w:eastAsia="Calibri"/>
        </w:rPr>
        <w:t xml:space="preserve">There are no </w:t>
      </w:r>
      <w:r w:rsidR="00F5768E">
        <w:rPr>
          <w:rFonts w:eastAsia="Calibri"/>
        </w:rPr>
        <w:t>capital or operating and maintenance costs associated with the information collection.</w:t>
      </w:r>
    </w:p>
    <w:p w:rsidR="00F5768E" w:rsidP="0066261B" w:rsidRDefault="00F5768E" w14:paraId="770FA2ED" w14:textId="77777777">
      <w:pPr>
        <w:rPr>
          <w:rFonts w:eastAsia="Calibri"/>
        </w:rPr>
      </w:pPr>
    </w:p>
    <w:p w:rsidRPr="00357C8A" w:rsidR="00357C8A" w:rsidP="0066261B" w:rsidRDefault="00357C8A" w14:paraId="6BC7E359" w14:textId="77777777">
      <w:pPr>
        <w:numPr>
          <w:ilvl w:val="0"/>
          <w:numId w:val="9"/>
        </w:numPr>
        <w:spacing w:after="200"/>
        <w:ind w:left="360"/>
        <w:rPr>
          <w:rFonts w:eastAsia="Calibri"/>
          <w:u w:val="single"/>
        </w:rPr>
      </w:pPr>
      <w:r w:rsidRPr="00357C8A">
        <w:rPr>
          <w:rFonts w:eastAsia="Calibri"/>
          <w:u w:val="single"/>
        </w:rPr>
        <w:t>Annualized Cost to the Federal Government</w:t>
      </w:r>
    </w:p>
    <w:p w:rsidRPr="001773D5" w:rsidR="001773D5" w:rsidP="0066261B" w:rsidRDefault="001773D5" w14:paraId="6E69CF55" w14:textId="77777777">
      <w:pPr>
        <w:pStyle w:val="BodyText"/>
        <w:spacing w:before="69"/>
        <w:ind w:right="21"/>
        <w:rPr>
          <w:sz w:val="24"/>
          <w:szCs w:val="24"/>
        </w:rPr>
      </w:pPr>
      <w:r w:rsidRPr="001773D5">
        <w:rPr>
          <w:spacing w:val="-1"/>
          <w:sz w:val="24"/>
          <w:szCs w:val="24"/>
        </w:rPr>
        <w:t>Compliance</w:t>
      </w:r>
      <w:r w:rsidRPr="001773D5">
        <w:rPr>
          <w:sz w:val="24"/>
          <w:szCs w:val="24"/>
        </w:rPr>
        <w:t xml:space="preserve"> with </w:t>
      </w:r>
      <w:r w:rsidRPr="001773D5">
        <w:rPr>
          <w:spacing w:val="-1"/>
          <w:sz w:val="24"/>
          <w:szCs w:val="24"/>
        </w:rPr>
        <w:t xml:space="preserve">requirements </w:t>
      </w:r>
      <w:r w:rsidRPr="001773D5">
        <w:rPr>
          <w:sz w:val="24"/>
          <w:szCs w:val="24"/>
        </w:rPr>
        <w:t xml:space="preserve">is reviewed on a </w:t>
      </w:r>
      <w:r w:rsidRPr="001773D5">
        <w:rPr>
          <w:spacing w:val="-1"/>
          <w:sz w:val="24"/>
          <w:szCs w:val="24"/>
        </w:rPr>
        <w:t>product-by-product</w:t>
      </w:r>
      <w:r w:rsidRPr="001773D5">
        <w:rPr>
          <w:sz w:val="24"/>
          <w:szCs w:val="24"/>
        </w:rPr>
        <w:t xml:space="preserve"> </w:t>
      </w:r>
      <w:r w:rsidRPr="001773D5" w:rsidR="004F77F7">
        <w:rPr>
          <w:sz w:val="24"/>
          <w:szCs w:val="24"/>
        </w:rPr>
        <w:t>basis</w:t>
      </w:r>
      <w:r w:rsidRPr="001773D5" w:rsidR="004F77F7">
        <w:rPr>
          <w:spacing w:val="-1"/>
          <w:sz w:val="24"/>
          <w:szCs w:val="24"/>
        </w:rPr>
        <w:t xml:space="preserve"> contemporaneously</w:t>
      </w:r>
      <w:r w:rsidRPr="001773D5">
        <w:rPr>
          <w:spacing w:val="101"/>
          <w:sz w:val="24"/>
          <w:szCs w:val="24"/>
        </w:rPr>
        <w:t xml:space="preserve"> </w:t>
      </w:r>
      <w:r w:rsidRPr="001773D5">
        <w:rPr>
          <w:spacing w:val="-1"/>
          <w:sz w:val="24"/>
          <w:szCs w:val="24"/>
        </w:rPr>
        <w:t xml:space="preserve">with the review of NDAs, BLAs, </w:t>
      </w:r>
      <w:r w:rsidRPr="001773D5">
        <w:rPr>
          <w:sz w:val="24"/>
          <w:szCs w:val="24"/>
        </w:rPr>
        <w:t>and ANDAs.</w:t>
      </w:r>
      <w:r w:rsidRPr="001773D5">
        <w:rPr>
          <w:spacing w:val="60"/>
          <w:sz w:val="24"/>
          <w:szCs w:val="24"/>
        </w:rPr>
        <w:t xml:space="preserve"> </w:t>
      </w:r>
      <w:r w:rsidRPr="001773D5">
        <w:rPr>
          <w:sz w:val="24"/>
          <w:szCs w:val="24"/>
        </w:rPr>
        <w:t xml:space="preserve">We therefore </w:t>
      </w:r>
      <w:r w:rsidRPr="001773D5">
        <w:rPr>
          <w:spacing w:val="-1"/>
          <w:sz w:val="24"/>
          <w:szCs w:val="24"/>
        </w:rPr>
        <w:t>estimate</w:t>
      </w:r>
      <w:r w:rsidRPr="001773D5">
        <w:rPr>
          <w:sz w:val="24"/>
          <w:szCs w:val="24"/>
        </w:rPr>
        <w:t xml:space="preserve"> no cost to the Federal</w:t>
      </w:r>
      <w:r w:rsidRPr="001773D5">
        <w:rPr>
          <w:spacing w:val="27"/>
          <w:sz w:val="24"/>
          <w:szCs w:val="24"/>
        </w:rPr>
        <w:t xml:space="preserve"> </w:t>
      </w:r>
      <w:r w:rsidRPr="001773D5">
        <w:rPr>
          <w:spacing w:val="-1"/>
          <w:sz w:val="24"/>
          <w:szCs w:val="24"/>
        </w:rPr>
        <w:t>government</w:t>
      </w:r>
      <w:r w:rsidRPr="001773D5">
        <w:rPr>
          <w:sz w:val="24"/>
          <w:szCs w:val="24"/>
        </w:rPr>
        <w:t xml:space="preserve"> for this collection, </w:t>
      </w:r>
      <w:r w:rsidRPr="001773D5">
        <w:rPr>
          <w:spacing w:val="-1"/>
          <w:sz w:val="24"/>
          <w:szCs w:val="24"/>
        </w:rPr>
        <w:t>as</w:t>
      </w:r>
      <w:r w:rsidRPr="001773D5">
        <w:rPr>
          <w:sz w:val="24"/>
          <w:szCs w:val="24"/>
        </w:rPr>
        <w:t xml:space="preserve"> resource allocations are </w:t>
      </w:r>
      <w:r w:rsidRPr="001773D5">
        <w:rPr>
          <w:spacing w:val="-1"/>
          <w:sz w:val="24"/>
          <w:szCs w:val="24"/>
        </w:rPr>
        <w:t>accounted</w:t>
      </w:r>
      <w:r w:rsidRPr="001773D5">
        <w:rPr>
          <w:sz w:val="24"/>
          <w:szCs w:val="24"/>
        </w:rPr>
        <w:t xml:space="preserve"> for under </w:t>
      </w:r>
      <w:r w:rsidR="00514141">
        <w:rPr>
          <w:sz w:val="24"/>
          <w:szCs w:val="24"/>
        </w:rPr>
        <w:t>OMB control numbers</w:t>
      </w:r>
      <w:r w:rsidRPr="001773D5">
        <w:rPr>
          <w:sz w:val="24"/>
          <w:szCs w:val="24"/>
        </w:rPr>
        <w:t xml:space="preserve"> 0910-0001 (NDAs) and 0910-0338 (BLAs).</w:t>
      </w:r>
    </w:p>
    <w:p w:rsidR="001773D5" w:rsidP="0066261B" w:rsidRDefault="001773D5" w14:paraId="6C43CF69" w14:textId="77777777"/>
    <w:p w:rsidRPr="00D9013E" w:rsidR="006F7B6A" w:rsidP="0066261B" w:rsidRDefault="00357C8A" w14:paraId="7861EEED" w14:textId="1A91E4AF">
      <w:pPr>
        <w:numPr>
          <w:ilvl w:val="0"/>
          <w:numId w:val="9"/>
        </w:numPr>
        <w:ind w:left="360"/>
        <w:rPr>
          <w:rFonts w:eastAsia="Calibri"/>
          <w:u w:val="single"/>
        </w:rPr>
      </w:pPr>
      <w:r w:rsidRPr="00357C8A">
        <w:rPr>
          <w:rFonts w:eastAsia="Calibri"/>
          <w:u w:val="single"/>
        </w:rPr>
        <w:t>Explanation for Program Changes or Adjustments</w:t>
      </w:r>
    </w:p>
    <w:p w:rsidR="00A720FA" w:rsidP="0066261B" w:rsidRDefault="00A720FA" w14:paraId="0627BB86" w14:textId="06578D08">
      <w:pPr>
        <w:rPr>
          <w:rFonts w:eastAsia="Calibri"/>
        </w:rPr>
      </w:pPr>
    </w:p>
    <w:p w:rsidR="00DA74ED" w:rsidP="0066261B" w:rsidRDefault="00DA74ED" w14:paraId="67CA1125" w14:textId="30DF7787">
      <w:pPr>
        <w:rPr>
          <w:rFonts w:eastAsia="Calibri"/>
        </w:rPr>
      </w:pPr>
      <w:r>
        <w:rPr>
          <w:rFonts w:eastAsia="Calibri"/>
        </w:rPr>
        <w:t xml:space="preserve">The information collection reflects changes and adjustments.  We are accounting for burden that may be associated with requirements found in 21 CFR </w:t>
      </w:r>
      <w:r w:rsidR="00515837">
        <w:rPr>
          <w:rFonts w:eastAsia="Calibri"/>
        </w:rPr>
        <w:t>§</w:t>
      </w:r>
      <w:r w:rsidR="00FF6267">
        <w:rPr>
          <w:rFonts w:eastAsia="Calibri"/>
        </w:rPr>
        <w:t xml:space="preserve"> 201.328 applicable to</w:t>
      </w:r>
      <w:r w:rsidR="000F07EB">
        <w:rPr>
          <w:rFonts w:eastAsia="Calibri"/>
        </w:rPr>
        <w:t xml:space="preserve"> the labeling of</w:t>
      </w:r>
      <w:r w:rsidR="00FF6267">
        <w:rPr>
          <w:rFonts w:eastAsia="Calibri"/>
        </w:rPr>
        <w:t xml:space="preserve"> medical gas containers not previously included.  This results in an overall increase to the collection by</w:t>
      </w:r>
      <w:r w:rsidR="006D5F63">
        <w:rPr>
          <w:rFonts w:eastAsia="Calibri"/>
        </w:rPr>
        <w:t xml:space="preserve"> 432,388 responses and 653,199 hours annually.</w:t>
      </w:r>
    </w:p>
    <w:p w:rsidRPr="00D9013E" w:rsidR="000F07EB" w:rsidP="0066261B" w:rsidRDefault="000F07EB" w14:paraId="56A7CB25" w14:textId="77777777">
      <w:pPr>
        <w:rPr>
          <w:rFonts w:eastAsia="Calibri"/>
        </w:rPr>
      </w:pPr>
    </w:p>
    <w:p w:rsidRPr="001773D5" w:rsidR="001773D5" w:rsidP="0066261B" w:rsidRDefault="001773D5" w14:paraId="3D51A506" w14:textId="77777777">
      <w:pPr>
        <w:numPr>
          <w:ilvl w:val="0"/>
          <w:numId w:val="9"/>
        </w:numPr>
        <w:spacing w:after="200"/>
        <w:ind w:left="360"/>
        <w:rPr>
          <w:rFonts w:eastAsia="Calibri"/>
          <w:u w:val="single"/>
        </w:rPr>
      </w:pPr>
      <w:r w:rsidRPr="001773D5">
        <w:rPr>
          <w:rFonts w:eastAsia="Calibri"/>
          <w:u w:val="single"/>
        </w:rPr>
        <w:t>Plans for Tabulation and Publication and Project Time Schedule</w:t>
      </w:r>
    </w:p>
    <w:p w:rsidR="001773D5" w:rsidP="0066261B" w:rsidRDefault="001773D5" w14:paraId="0034AA81" w14:textId="77777777">
      <w:pPr>
        <w:rPr>
          <w:rFonts w:eastAsia="Calibri"/>
        </w:rPr>
      </w:pPr>
      <w:r w:rsidRPr="00EC6237">
        <w:rPr>
          <w:rFonts w:eastAsia="Calibri"/>
        </w:rPr>
        <w:t>We do not intend to publish tabulated results of the information collection.</w:t>
      </w:r>
    </w:p>
    <w:p w:rsidRPr="00EC6237" w:rsidR="00EC6237" w:rsidP="0066261B" w:rsidRDefault="00EC6237" w14:paraId="7F7DC9BC" w14:textId="77777777">
      <w:pPr>
        <w:ind w:left="360"/>
        <w:rPr>
          <w:rFonts w:eastAsia="Calibri"/>
        </w:rPr>
      </w:pPr>
    </w:p>
    <w:p w:rsidRPr="001773D5" w:rsidR="001773D5" w:rsidP="0066261B" w:rsidRDefault="001773D5" w14:paraId="17B13E51" w14:textId="77777777">
      <w:pPr>
        <w:numPr>
          <w:ilvl w:val="0"/>
          <w:numId w:val="9"/>
        </w:numPr>
        <w:spacing w:after="200"/>
        <w:ind w:left="360"/>
        <w:rPr>
          <w:rFonts w:eastAsia="Calibri"/>
          <w:u w:val="single"/>
        </w:rPr>
      </w:pPr>
      <w:r w:rsidRPr="001773D5">
        <w:rPr>
          <w:rFonts w:eastAsia="Calibri"/>
          <w:u w:val="single"/>
        </w:rPr>
        <w:t>Reason(s) Display of OMB Expiration Date is Inappropriate</w:t>
      </w:r>
    </w:p>
    <w:p w:rsidR="001773D5" w:rsidP="0066261B" w:rsidRDefault="001773D5" w14:paraId="05B06572" w14:textId="77777777">
      <w:pPr>
        <w:rPr>
          <w:rFonts w:eastAsia="Calibri"/>
        </w:rPr>
      </w:pPr>
      <w:r w:rsidRPr="00EC6237">
        <w:rPr>
          <w:rFonts w:eastAsia="Calibri"/>
        </w:rPr>
        <w:t>We will display the OMB expiration date as required by 5 CFR 1320.5.</w:t>
      </w:r>
    </w:p>
    <w:p w:rsidRPr="00EC6237" w:rsidR="00EC6237" w:rsidP="0066261B" w:rsidRDefault="00EC6237" w14:paraId="5B308CD8" w14:textId="77777777">
      <w:pPr>
        <w:ind w:left="360"/>
        <w:rPr>
          <w:rFonts w:eastAsia="Calibri"/>
        </w:rPr>
      </w:pPr>
    </w:p>
    <w:p w:rsidRPr="001773D5" w:rsidR="001773D5" w:rsidP="0066261B" w:rsidRDefault="001773D5" w14:paraId="709830C7" w14:textId="77777777">
      <w:pPr>
        <w:numPr>
          <w:ilvl w:val="0"/>
          <w:numId w:val="9"/>
        </w:numPr>
        <w:spacing w:after="200"/>
        <w:ind w:left="360"/>
        <w:rPr>
          <w:rFonts w:eastAsia="Calibri"/>
          <w:u w:val="single"/>
        </w:rPr>
      </w:pPr>
      <w:r w:rsidRPr="001773D5">
        <w:rPr>
          <w:rFonts w:eastAsia="Calibri"/>
          <w:u w:val="single"/>
        </w:rPr>
        <w:t>Exceptions to Certification for Paperwork Reduction Act Submissions</w:t>
      </w:r>
    </w:p>
    <w:p w:rsidRPr="00EC6237" w:rsidR="00544138" w:rsidP="0066261B" w:rsidRDefault="001773D5" w14:paraId="19943B3B" w14:textId="77777777">
      <w:pPr>
        <w:rPr>
          <w:rFonts w:eastAsia="Calibri"/>
        </w:rPr>
      </w:pPr>
      <w:r w:rsidRPr="00EC6237">
        <w:rPr>
          <w:rFonts w:eastAsia="Calibri"/>
        </w:rPr>
        <w:t>No exceptions to the certification are associated with</w:t>
      </w:r>
      <w:r w:rsidR="00EC6237">
        <w:rPr>
          <w:rFonts w:eastAsia="Calibri"/>
        </w:rPr>
        <w:t xml:space="preserve"> this information collection</w:t>
      </w:r>
      <w:r w:rsidRPr="00EC6237">
        <w:rPr>
          <w:rFonts w:eastAsia="Calibri"/>
        </w:rPr>
        <w:t>.</w:t>
      </w:r>
    </w:p>
    <w:sectPr w:rsidRPr="00EC6237" w:rsidR="00544138" w:rsidSect="00D626A2">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0FAD9" w14:textId="77777777" w:rsidR="00903C5D" w:rsidRDefault="00903C5D">
      <w:r>
        <w:separator/>
      </w:r>
    </w:p>
  </w:endnote>
  <w:endnote w:type="continuationSeparator" w:id="0">
    <w:p w14:paraId="45840608" w14:textId="77777777" w:rsidR="00903C5D" w:rsidRDefault="00903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159F4" w14:textId="77777777" w:rsidR="00824913" w:rsidRDefault="00824913"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D49DC3" w14:textId="77777777" w:rsidR="00824913" w:rsidRDefault="008249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B90A6" w14:textId="77777777" w:rsidR="00824913" w:rsidRDefault="00824913"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B2915D5" w14:textId="77777777" w:rsidR="00824913" w:rsidRDefault="00824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FACFB" w14:textId="77777777" w:rsidR="00903C5D" w:rsidRDefault="00903C5D">
      <w:r>
        <w:separator/>
      </w:r>
    </w:p>
  </w:footnote>
  <w:footnote w:type="continuationSeparator" w:id="0">
    <w:p w14:paraId="4C4D8797" w14:textId="77777777" w:rsidR="00903C5D" w:rsidRDefault="00903C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567B5"/>
    <w:multiLevelType w:val="hybridMultilevel"/>
    <w:tmpl w:val="26E448B2"/>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8F1CF0"/>
    <w:multiLevelType w:val="hybridMultilevel"/>
    <w:tmpl w:val="4CBEA54C"/>
    <w:lvl w:ilvl="0" w:tplc="03FC3C84">
      <w:start w:val="1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8"/>
  </w:num>
  <w:num w:numId="6">
    <w:abstractNumId w:val="0"/>
  </w:num>
  <w:num w:numId="7">
    <w:abstractNumId w:val="2"/>
    <w:lvlOverride w:ilvl="0"/>
    <w:lvlOverride w:ilvl="1"/>
    <w:lvlOverride w:ilvl="2"/>
    <w:lvlOverride w:ilvl="3"/>
    <w:lvlOverride w:ilvl="4"/>
    <w:lvlOverride w:ilvl="5"/>
    <w:lvlOverride w:ilvl="6"/>
    <w:lvlOverride w:ilvl="7"/>
    <w:lvlOverride w:ilvl="8"/>
  </w:num>
  <w:num w:numId="8">
    <w:abstractNumId w:val="4"/>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7538"/>
    <w:rsid w:val="00013034"/>
    <w:rsid w:val="0003193C"/>
    <w:rsid w:val="00031A2C"/>
    <w:rsid w:val="00042B93"/>
    <w:rsid w:val="00043C7F"/>
    <w:rsid w:val="000467A8"/>
    <w:rsid w:val="0006570F"/>
    <w:rsid w:val="00066B44"/>
    <w:rsid w:val="00075DE8"/>
    <w:rsid w:val="00087439"/>
    <w:rsid w:val="000A1472"/>
    <w:rsid w:val="000C1260"/>
    <w:rsid w:val="000C560C"/>
    <w:rsid w:val="000D080B"/>
    <w:rsid w:val="000D48FD"/>
    <w:rsid w:val="000D79CC"/>
    <w:rsid w:val="000E1C64"/>
    <w:rsid w:val="000F07EB"/>
    <w:rsid w:val="000F7119"/>
    <w:rsid w:val="00100739"/>
    <w:rsid w:val="0010493E"/>
    <w:rsid w:val="001075D3"/>
    <w:rsid w:val="00107885"/>
    <w:rsid w:val="00114FC4"/>
    <w:rsid w:val="0012329C"/>
    <w:rsid w:val="00134CFD"/>
    <w:rsid w:val="00134FA7"/>
    <w:rsid w:val="00137950"/>
    <w:rsid w:val="00152F29"/>
    <w:rsid w:val="00166DF7"/>
    <w:rsid w:val="00174D54"/>
    <w:rsid w:val="0017702C"/>
    <w:rsid w:val="001773D5"/>
    <w:rsid w:val="00185270"/>
    <w:rsid w:val="00193362"/>
    <w:rsid w:val="001A3B5A"/>
    <w:rsid w:val="001B7CE9"/>
    <w:rsid w:val="001D495A"/>
    <w:rsid w:val="001E244C"/>
    <w:rsid w:val="001F1437"/>
    <w:rsid w:val="001F1BD6"/>
    <w:rsid w:val="002042BE"/>
    <w:rsid w:val="00206799"/>
    <w:rsid w:val="002074FE"/>
    <w:rsid w:val="0022425B"/>
    <w:rsid w:val="002259EF"/>
    <w:rsid w:val="00242ED1"/>
    <w:rsid w:val="002444BB"/>
    <w:rsid w:val="00254069"/>
    <w:rsid w:val="00270748"/>
    <w:rsid w:val="002734E5"/>
    <w:rsid w:val="002746DB"/>
    <w:rsid w:val="00280CAF"/>
    <w:rsid w:val="00282F09"/>
    <w:rsid w:val="00291810"/>
    <w:rsid w:val="00294D62"/>
    <w:rsid w:val="00297532"/>
    <w:rsid w:val="00297FFD"/>
    <w:rsid w:val="002A1210"/>
    <w:rsid w:val="002A47D2"/>
    <w:rsid w:val="002A7FB5"/>
    <w:rsid w:val="002B2074"/>
    <w:rsid w:val="002C7FAB"/>
    <w:rsid w:val="002D14D8"/>
    <w:rsid w:val="002D4799"/>
    <w:rsid w:val="002E3FA4"/>
    <w:rsid w:val="002E53A5"/>
    <w:rsid w:val="002E64B8"/>
    <w:rsid w:val="002E6834"/>
    <w:rsid w:val="003113FF"/>
    <w:rsid w:val="00312622"/>
    <w:rsid w:val="0032277F"/>
    <w:rsid w:val="00336B69"/>
    <w:rsid w:val="0034302B"/>
    <w:rsid w:val="00350523"/>
    <w:rsid w:val="0035189D"/>
    <w:rsid w:val="00355B62"/>
    <w:rsid w:val="00357C8A"/>
    <w:rsid w:val="003740BC"/>
    <w:rsid w:val="0037456B"/>
    <w:rsid w:val="003801A3"/>
    <w:rsid w:val="00383D90"/>
    <w:rsid w:val="003870AE"/>
    <w:rsid w:val="003A1A27"/>
    <w:rsid w:val="003A50CC"/>
    <w:rsid w:val="003B42B3"/>
    <w:rsid w:val="003B6384"/>
    <w:rsid w:val="003C0FE2"/>
    <w:rsid w:val="003C4EBB"/>
    <w:rsid w:val="003D1531"/>
    <w:rsid w:val="003E4EC6"/>
    <w:rsid w:val="003E527E"/>
    <w:rsid w:val="003E553E"/>
    <w:rsid w:val="003E7078"/>
    <w:rsid w:val="003F3DF5"/>
    <w:rsid w:val="003F73B8"/>
    <w:rsid w:val="0040297E"/>
    <w:rsid w:val="00411D11"/>
    <w:rsid w:val="00414494"/>
    <w:rsid w:val="00415E23"/>
    <w:rsid w:val="0041670D"/>
    <w:rsid w:val="00423272"/>
    <w:rsid w:val="00424061"/>
    <w:rsid w:val="00442A3C"/>
    <w:rsid w:val="00443969"/>
    <w:rsid w:val="00446F8B"/>
    <w:rsid w:val="00447D74"/>
    <w:rsid w:val="00450A74"/>
    <w:rsid w:val="004546BF"/>
    <w:rsid w:val="00465350"/>
    <w:rsid w:val="00476B91"/>
    <w:rsid w:val="004846BF"/>
    <w:rsid w:val="00494912"/>
    <w:rsid w:val="004A5323"/>
    <w:rsid w:val="004A5A99"/>
    <w:rsid w:val="004C6979"/>
    <w:rsid w:val="004D13A2"/>
    <w:rsid w:val="004D3E7A"/>
    <w:rsid w:val="004F594B"/>
    <w:rsid w:val="004F61E1"/>
    <w:rsid w:val="004F77F7"/>
    <w:rsid w:val="00514141"/>
    <w:rsid w:val="00515837"/>
    <w:rsid w:val="00516F70"/>
    <w:rsid w:val="00530FCC"/>
    <w:rsid w:val="0053380B"/>
    <w:rsid w:val="00537C48"/>
    <w:rsid w:val="00543194"/>
    <w:rsid w:val="00544138"/>
    <w:rsid w:val="00547E4E"/>
    <w:rsid w:val="00554E34"/>
    <w:rsid w:val="00562747"/>
    <w:rsid w:val="00584583"/>
    <w:rsid w:val="0058544D"/>
    <w:rsid w:val="00590E90"/>
    <w:rsid w:val="00590EEB"/>
    <w:rsid w:val="005A39CA"/>
    <w:rsid w:val="005A4099"/>
    <w:rsid w:val="005B5CEA"/>
    <w:rsid w:val="005C38B2"/>
    <w:rsid w:val="005C5029"/>
    <w:rsid w:val="005C55C2"/>
    <w:rsid w:val="005C71CA"/>
    <w:rsid w:val="005C745C"/>
    <w:rsid w:val="005D4DF5"/>
    <w:rsid w:val="005E42BA"/>
    <w:rsid w:val="005E6193"/>
    <w:rsid w:val="0061067D"/>
    <w:rsid w:val="00611D6B"/>
    <w:rsid w:val="00625CFD"/>
    <w:rsid w:val="006326EC"/>
    <w:rsid w:val="00653717"/>
    <w:rsid w:val="0066261B"/>
    <w:rsid w:val="00663A42"/>
    <w:rsid w:val="006641C7"/>
    <w:rsid w:val="006705EA"/>
    <w:rsid w:val="00670BE2"/>
    <w:rsid w:val="006916D9"/>
    <w:rsid w:val="0069276B"/>
    <w:rsid w:val="006A0E05"/>
    <w:rsid w:val="006A26C6"/>
    <w:rsid w:val="006A465A"/>
    <w:rsid w:val="006A7D5D"/>
    <w:rsid w:val="006B2665"/>
    <w:rsid w:val="006C1864"/>
    <w:rsid w:val="006C512E"/>
    <w:rsid w:val="006D0C12"/>
    <w:rsid w:val="006D4043"/>
    <w:rsid w:val="006D5D57"/>
    <w:rsid w:val="006D5F63"/>
    <w:rsid w:val="006E2538"/>
    <w:rsid w:val="006E302F"/>
    <w:rsid w:val="006E3B7A"/>
    <w:rsid w:val="006F4D6D"/>
    <w:rsid w:val="006F7B6A"/>
    <w:rsid w:val="00705086"/>
    <w:rsid w:val="007128A5"/>
    <w:rsid w:val="00722001"/>
    <w:rsid w:val="007415F8"/>
    <w:rsid w:val="00751E66"/>
    <w:rsid w:val="00754497"/>
    <w:rsid w:val="0076204C"/>
    <w:rsid w:val="00787C39"/>
    <w:rsid w:val="00792947"/>
    <w:rsid w:val="00795DF3"/>
    <w:rsid w:val="007A373C"/>
    <w:rsid w:val="007B225C"/>
    <w:rsid w:val="007C75B1"/>
    <w:rsid w:val="007D31AC"/>
    <w:rsid w:val="007D3DFC"/>
    <w:rsid w:val="007E2F07"/>
    <w:rsid w:val="007E59A8"/>
    <w:rsid w:val="0080776D"/>
    <w:rsid w:val="00810145"/>
    <w:rsid w:val="008108FA"/>
    <w:rsid w:val="00810FF1"/>
    <w:rsid w:val="00822336"/>
    <w:rsid w:val="00823DFA"/>
    <w:rsid w:val="00824913"/>
    <w:rsid w:val="00842DB7"/>
    <w:rsid w:val="00843752"/>
    <w:rsid w:val="0084479F"/>
    <w:rsid w:val="00855496"/>
    <w:rsid w:val="0085725E"/>
    <w:rsid w:val="0086074F"/>
    <w:rsid w:val="00873D4F"/>
    <w:rsid w:val="0087508B"/>
    <w:rsid w:val="0087509F"/>
    <w:rsid w:val="00885B09"/>
    <w:rsid w:val="00892400"/>
    <w:rsid w:val="00896BBB"/>
    <w:rsid w:val="008A209D"/>
    <w:rsid w:val="008A22BB"/>
    <w:rsid w:val="008A67BC"/>
    <w:rsid w:val="008B035D"/>
    <w:rsid w:val="008B0E29"/>
    <w:rsid w:val="008B0EFA"/>
    <w:rsid w:val="008B30AB"/>
    <w:rsid w:val="008C3BB8"/>
    <w:rsid w:val="008C4B65"/>
    <w:rsid w:val="008E5F55"/>
    <w:rsid w:val="008F4554"/>
    <w:rsid w:val="009009E7"/>
    <w:rsid w:val="00903C5D"/>
    <w:rsid w:val="00905DEF"/>
    <w:rsid w:val="00906056"/>
    <w:rsid w:val="009122AE"/>
    <w:rsid w:val="00913B43"/>
    <w:rsid w:val="0092625A"/>
    <w:rsid w:val="00930203"/>
    <w:rsid w:val="009311D2"/>
    <w:rsid w:val="009311E6"/>
    <w:rsid w:val="00931275"/>
    <w:rsid w:val="00933F6C"/>
    <w:rsid w:val="00936AC7"/>
    <w:rsid w:val="00953B64"/>
    <w:rsid w:val="0095769A"/>
    <w:rsid w:val="009646A7"/>
    <w:rsid w:val="00970A88"/>
    <w:rsid w:val="009818A1"/>
    <w:rsid w:val="00991233"/>
    <w:rsid w:val="009A1674"/>
    <w:rsid w:val="009B04BF"/>
    <w:rsid w:val="009B38BE"/>
    <w:rsid w:val="009B4DF2"/>
    <w:rsid w:val="009C684F"/>
    <w:rsid w:val="009D074C"/>
    <w:rsid w:val="009D6E73"/>
    <w:rsid w:val="009F1F1D"/>
    <w:rsid w:val="009F2B4F"/>
    <w:rsid w:val="009F3C63"/>
    <w:rsid w:val="009F66B5"/>
    <w:rsid w:val="00A02F10"/>
    <w:rsid w:val="00A1060C"/>
    <w:rsid w:val="00A16221"/>
    <w:rsid w:val="00A20A7D"/>
    <w:rsid w:val="00A35D42"/>
    <w:rsid w:val="00A41900"/>
    <w:rsid w:val="00A46CCF"/>
    <w:rsid w:val="00A506DE"/>
    <w:rsid w:val="00A52EC6"/>
    <w:rsid w:val="00A53451"/>
    <w:rsid w:val="00A70426"/>
    <w:rsid w:val="00A707CC"/>
    <w:rsid w:val="00A71410"/>
    <w:rsid w:val="00A720FA"/>
    <w:rsid w:val="00A85476"/>
    <w:rsid w:val="00A900D6"/>
    <w:rsid w:val="00A91E9A"/>
    <w:rsid w:val="00A93ED9"/>
    <w:rsid w:val="00A96221"/>
    <w:rsid w:val="00AC2DBB"/>
    <w:rsid w:val="00AC6A99"/>
    <w:rsid w:val="00AD6048"/>
    <w:rsid w:val="00AE09B2"/>
    <w:rsid w:val="00B055EF"/>
    <w:rsid w:val="00B06B5B"/>
    <w:rsid w:val="00B23769"/>
    <w:rsid w:val="00B41789"/>
    <w:rsid w:val="00B81808"/>
    <w:rsid w:val="00B86DFA"/>
    <w:rsid w:val="00B936D0"/>
    <w:rsid w:val="00BB15FB"/>
    <w:rsid w:val="00BD2B71"/>
    <w:rsid w:val="00BD3D5B"/>
    <w:rsid w:val="00BE164D"/>
    <w:rsid w:val="00BE3600"/>
    <w:rsid w:val="00C01F6F"/>
    <w:rsid w:val="00C020CC"/>
    <w:rsid w:val="00C02B6B"/>
    <w:rsid w:val="00C041EA"/>
    <w:rsid w:val="00C11C29"/>
    <w:rsid w:val="00C13BBD"/>
    <w:rsid w:val="00C149AB"/>
    <w:rsid w:val="00C16929"/>
    <w:rsid w:val="00C20690"/>
    <w:rsid w:val="00C30361"/>
    <w:rsid w:val="00C36020"/>
    <w:rsid w:val="00C40694"/>
    <w:rsid w:val="00C479BF"/>
    <w:rsid w:val="00C5124B"/>
    <w:rsid w:val="00C70542"/>
    <w:rsid w:val="00C75CBF"/>
    <w:rsid w:val="00C90E04"/>
    <w:rsid w:val="00CC2894"/>
    <w:rsid w:val="00CD77C3"/>
    <w:rsid w:val="00CE112C"/>
    <w:rsid w:val="00CF55D4"/>
    <w:rsid w:val="00D23B7A"/>
    <w:rsid w:val="00D608DA"/>
    <w:rsid w:val="00D626A2"/>
    <w:rsid w:val="00D730BF"/>
    <w:rsid w:val="00D852F4"/>
    <w:rsid w:val="00D9013E"/>
    <w:rsid w:val="00DA74ED"/>
    <w:rsid w:val="00DB1110"/>
    <w:rsid w:val="00DB3730"/>
    <w:rsid w:val="00DC371B"/>
    <w:rsid w:val="00DC3788"/>
    <w:rsid w:val="00DC76C7"/>
    <w:rsid w:val="00DD09F5"/>
    <w:rsid w:val="00DD0E02"/>
    <w:rsid w:val="00DD4201"/>
    <w:rsid w:val="00DD5E9F"/>
    <w:rsid w:val="00DE5711"/>
    <w:rsid w:val="00E00EA0"/>
    <w:rsid w:val="00E021CB"/>
    <w:rsid w:val="00E138F1"/>
    <w:rsid w:val="00E2309D"/>
    <w:rsid w:val="00E26758"/>
    <w:rsid w:val="00E37902"/>
    <w:rsid w:val="00E4357B"/>
    <w:rsid w:val="00E443A7"/>
    <w:rsid w:val="00E45904"/>
    <w:rsid w:val="00E62640"/>
    <w:rsid w:val="00E63DE5"/>
    <w:rsid w:val="00E647AF"/>
    <w:rsid w:val="00E647C7"/>
    <w:rsid w:val="00E65A37"/>
    <w:rsid w:val="00E65EF7"/>
    <w:rsid w:val="00E70999"/>
    <w:rsid w:val="00E715A0"/>
    <w:rsid w:val="00E77B48"/>
    <w:rsid w:val="00E857FB"/>
    <w:rsid w:val="00E91799"/>
    <w:rsid w:val="00E97DF8"/>
    <w:rsid w:val="00EA21FE"/>
    <w:rsid w:val="00EA34E3"/>
    <w:rsid w:val="00EB7538"/>
    <w:rsid w:val="00EC1868"/>
    <w:rsid w:val="00EC6237"/>
    <w:rsid w:val="00EE6468"/>
    <w:rsid w:val="00F1299B"/>
    <w:rsid w:val="00F16350"/>
    <w:rsid w:val="00F207A4"/>
    <w:rsid w:val="00F25173"/>
    <w:rsid w:val="00F355AC"/>
    <w:rsid w:val="00F40CF7"/>
    <w:rsid w:val="00F44194"/>
    <w:rsid w:val="00F5768E"/>
    <w:rsid w:val="00F71A5A"/>
    <w:rsid w:val="00F73A1A"/>
    <w:rsid w:val="00F768F8"/>
    <w:rsid w:val="00F769E0"/>
    <w:rsid w:val="00FA4A46"/>
    <w:rsid w:val="00FA75FE"/>
    <w:rsid w:val="00FB1032"/>
    <w:rsid w:val="00FB39BC"/>
    <w:rsid w:val="00FB6A53"/>
    <w:rsid w:val="00FC11CA"/>
    <w:rsid w:val="00FC52D9"/>
    <w:rsid w:val="00FC6BDE"/>
    <w:rsid w:val="00FE0E3B"/>
    <w:rsid w:val="00FF6138"/>
    <w:rsid w:val="00FF6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A07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BodyText">
    <w:name w:val="Body Text"/>
    <w:basedOn w:val="Normal"/>
    <w:link w:val="BodyTextChar"/>
    <w:uiPriority w:val="1"/>
    <w:unhideWhenUsed/>
    <w:qFormat/>
    <w:rsid w:val="001F1BD6"/>
    <w:pPr>
      <w:spacing w:after="120"/>
    </w:pPr>
    <w:rPr>
      <w:sz w:val="20"/>
      <w:szCs w:val="20"/>
    </w:rPr>
  </w:style>
  <w:style w:type="character" w:customStyle="1" w:styleId="BodyTextChar">
    <w:name w:val="Body Text Char"/>
    <w:basedOn w:val="DefaultParagraphFont"/>
    <w:link w:val="BodyText"/>
    <w:uiPriority w:val="1"/>
    <w:rsid w:val="001F1BD6"/>
  </w:style>
  <w:style w:type="paragraph" w:customStyle="1" w:styleId="TableParagraph">
    <w:name w:val="Table Paragraph"/>
    <w:basedOn w:val="Normal"/>
    <w:uiPriority w:val="1"/>
    <w:qFormat/>
    <w:rsid w:val="001F1BD6"/>
    <w:pPr>
      <w:widowControl w:val="0"/>
    </w:pPr>
    <w:rPr>
      <w:rFonts w:ascii="Calibri" w:eastAsia="Calibri" w:hAnsi="Calibri"/>
      <w:sz w:val="22"/>
      <w:szCs w:val="22"/>
    </w:rPr>
  </w:style>
  <w:style w:type="character" w:styleId="CommentReference">
    <w:name w:val="annotation reference"/>
    <w:rsid w:val="0058544D"/>
    <w:rPr>
      <w:sz w:val="16"/>
      <w:szCs w:val="16"/>
    </w:rPr>
  </w:style>
  <w:style w:type="paragraph" w:styleId="CommentText">
    <w:name w:val="annotation text"/>
    <w:basedOn w:val="Normal"/>
    <w:link w:val="CommentTextChar"/>
    <w:rsid w:val="0058544D"/>
    <w:rPr>
      <w:sz w:val="20"/>
      <w:szCs w:val="20"/>
    </w:rPr>
  </w:style>
  <w:style w:type="character" w:customStyle="1" w:styleId="CommentTextChar">
    <w:name w:val="Comment Text Char"/>
    <w:basedOn w:val="DefaultParagraphFont"/>
    <w:link w:val="CommentText"/>
    <w:rsid w:val="0058544D"/>
  </w:style>
  <w:style w:type="paragraph" w:styleId="CommentSubject">
    <w:name w:val="annotation subject"/>
    <w:basedOn w:val="CommentText"/>
    <w:next w:val="CommentText"/>
    <w:link w:val="CommentSubjectChar"/>
    <w:rsid w:val="0058544D"/>
    <w:rPr>
      <w:b/>
      <w:bCs/>
    </w:rPr>
  </w:style>
  <w:style w:type="character" w:customStyle="1" w:styleId="CommentSubjectChar">
    <w:name w:val="Comment Subject Char"/>
    <w:link w:val="CommentSubject"/>
    <w:rsid w:val="005854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fda.gov/media/86080/download" TargetMode="External"/><Relationship Id="rId3" Type="http://schemas.openxmlformats.org/officeDocument/2006/relationships/settings" Target="settings.xml"/><Relationship Id="rId7" Type="http://schemas.openxmlformats.org/officeDocument/2006/relationships/hyperlink" Target="https://www.fda.gov/Drugs/GuidanceComplianceRegulatoryInformation/default.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1552</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10380</CharactersWithSpaces>
  <SharedDoc>false</SharedDoc>
  <HLinks>
    <vt:vector size="18" baseType="variant">
      <vt:variant>
        <vt:i4>4849688</vt:i4>
      </vt:variant>
      <vt:variant>
        <vt:i4>6</vt:i4>
      </vt:variant>
      <vt:variant>
        <vt:i4>0</vt:i4>
      </vt:variant>
      <vt:variant>
        <vt:i4>5</vt:i4>
      </vt:variant>
      <vt:variant>
        <vt:lpwstr>https://www.fda.gov/media/86080/download</vt:lpwstr>
      </vt:variant>
      <vt:variant>
        <vt:lpwstr/>
      </vt:variant>
      <vt:variant>
        <vt:i4>1179735</vt:i4>
      </vt:variant>
      <vt:variant>
        <vt:i4>3</vt:i4>
      </vt:variant>
      <vt:variant>
        <vt:i4>0</vt:i4>
      </vt:variant>
      <vt:variant>
        <vt:i4>5</vt:i4>
      </vt:variant>
      <vt:variant>
        <vt:lpwstr>https://www.fda.gov/Drugs/GuidanceComplianceRegulatoryInformation/default.htm</vt:lpwstr>
      </vt:variant>
      <vt:variant>
        <vt:lpwstr/>
      </vt:variant>
      <vt:variant>
        <vt:i4>4587534</vt:i4>
      </vt:variant>
      <vt:variant>
        <vt:i4>0</vt:i4>
      </vt:variant>
      <vt:variant>
        <vt:i4>0</vt:i4>
      </vt:variant>
      <vt:variant>
        <vt:i4>5</vt:i4>
      </vt:variant>
      <vt:variant>
        <vt:lpwstr>https://www.fda.gov/regulatory-information/search-fda-guidance-documents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2021-12-22T22:33:00Z</dcterms:created>
  <dcterms:modified xsi:type="dcterms:W3CDTF">2021-12-22T22:44:00Z</dcterms:modified>
</cp:coreProperties>
</file>