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742DA9" w:rsidRDefault="00154AD2" w14:paraId="19D3B07F" w14:textId="4C9B7F65">
      <w:pPr>
        <w:jc w:val="center"/>
        <w:rPr>
          <w:rFonts w:eastAsia="Calibri"/>
        </w:rPr>
      </w:pPr>
      <w:r w:rsidRPr="00357C8A">
        <w:rPr>
          <w:rFonts w:eastAsia="Calibri"/>
        </w:rPr>
        <w:t>UNITED STATES FOOD AND DRUG ADMINISTRATION</w:t>
      </w:r>
    </w:p>
    <w:p w:rsidR="00357C8A" w:rsidP="00357C8A" w:rsidRDefault="00357C8A" w14:paraId="6926ACF5" w14:textId="77777777">
      <w:pPr>
        <w:jc w:val="center"/>
        <w:rPr>
          <w:rFonts w:eastAsia="Calibri"/>
        </w:rPr>
      </w:pPr>
    </w:p>
    <w:p w:rsidRPr="005F10AE" w:rsidR="005F10AE" w:rsidP="005F10AE" w:rsidRDefault="005F10AE" w14:paraId="0BC63562" w14:textId="77777777">
      <w:pPr>
        <w:jc w:val="center"/>
        <w:rPr>
          <w:rFonts w:eastAsia="Calibri"/>
        </w:rPr>
      </w:pPr>
      <w:r w:rsidRPr="005F10AE">
        <w:rPr>
          <w:rFonts w:eastAsia="Calibri"/>
        </w:rPr>
        <w:t>Recordkeeping Requirements for Microbiological</w:t>
      </w:r>
    </w:p>
    <w:p w:rsidR="00357C8A" w:rsidP="00357C8A" w:rsidRDefault="005F10AE" w14:paraId="4DFAA62D" w14:textId="77777777">
      <w:pPr>
        <w:jc w:val="center"/>
        <w:rPr>
          <w:rFonts w:eastAsia="Calibri"/>
        </w:rPr>
      </w:pPr>
      <w:r w:rsidRPr="005F10AE">
        <w:rPr>
          <w:rFonts w:eastAsia="Calibri"/>
        </w:rPr>
        <w:t>Testing and Corrective Measures for Bottled Water</w:t>
      </w:r>
    </w:p>
    <w:p w:rsidR="00B0766E" w:rsidP="00357C8A" w:rsidRDefault="00B0766E" w14:paraId="23C5E152" w14:textId="77777777">
      <w:pPr>
        <w:jc w:val="center"/>
        <w:rPr>
          <w:rFonts w:eastAsia="Calibri"/>
        </w:rPr>
      </w:pPr>
    </w:p>
    <w:p w:rsidR="00357C8A" w:rsidP="00357C8A" w:rsidRDefault="00357C8A" w14:paraId="7961B983" w14:textId="77777777">
      <w:pPr>
        <w:jc w:val="center"/>
        <w:rPr>
          <w:rFonts w:eastAsia="Calibri"/>
        </w:rPr>
      </w:pPr>
      <w:r w:rsidRPr="00357C8A">
        <w:rPr>
          <w:rFonts w:eastAsia="Calibri"/>
        </w:rPr>
        <w:t>OMB Control No. 0910-</w:t>
      </w:r>
      <w:r w:rsidR="005F10AE">
        <w:rPr>
          <w:rFonts w:eastAsia="Calibri"/>
        </w:rPr>
        <w:t>0658</w:t>
      </w:r>
    </w:p>
    <w:p w:rsidR="00357C8A" w:rsidP="00357C8A" w:rsidRDefault="00357C8A" w14:paraId="3516D5AB" w14:textId="77777777">
      <w:pPr>
        <w:jc w:val="center"/>
        <w:rPr>
          <w:rFonts w:eastAsia="Calibri"/>
        </w:rPr>
      </w:pPr>
    </w:p>
    <w:p w:rsidR="00357C8A" w:rsidP="000D79CC" w:rsidRDefault="00357C8A" w14:paraId="13465287" w14:textId="7DF00D15">
      <w:pPr>
        <w:rPr>
          <w:rFonts w:eastAsia="Calibri"/>
        </w:rPr>
      </w:pPr>
      <w:r w:rsidRPr="00357C8A">
        <w:rPr>
          <w:rFonts w:eastAsia="Calibri"/>
        </w:rPr>
        <w:t>SUPPORTING STATEMENT</w:t>
      </w:r>
      <w:r w:rsidR="00154AD2">
        <w:rPr>
          <w:rFonts w:eastAsia="Calibri"/>
        </w:rPr>
        <w:t xml:space="preserve"> </w:t>
      </w:r>
      <w:r w:rsidRPr="00357C8A">
        <w:rPr>
          <w:rFonts w:eastAsia="Calibri"/>
          <w:b/>
        </w:rPr>
        <w:t>Part A:  Justification</w:t>
      </w:r>
    </w:p>
    <w:p w:rsidRPr="00357C8A" w:rsidR="000D79CC" w:rsidP="000D79CC" w:rsidRDefault="000D79CC" w14:paraId="0BD8B8E6" w14:textId="77777777">
      <w:pPr>
        <w:rPr>
          <w:rFonts w:eastAsia="Calibri"/>
        </w:rPr>
      </w:pPr>
    </w:p>
    <w:p w:rsidRPr="00357C8A" w:rsidR="00357C8A" w:rsidP="006705EA" w:rsidRDefault="00357C8A" w14:paraId="1439F75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5F10AE" w:rsidP="005F10AE" w:rsidRDefault="00423272" w14:paraId="0ED2AFC2" w14:textId="596C8692">
      <w:pPr>
        <w:rPr>
          <w:rFonts w:eastAsia="Calibri"/>
        </w:rPr>
      </w:pPr>
      <w:r w:rsidRPr="005C71CA">
        <w:rPr>
          <w:rFonts w:eastAsia="Calibri"/>
        </w:rPr>
        <w:t>This information collection supports Food and Drug Administration (FDA, us or we) regulations</w:t>
      </w:r>
      <w:r w:rsidR="00D102A0">
        <w:rPr>
          <w:rFonts w:eastAsia="Calibri"/>
        </w:rPr>
        <w:t>.</w:t>
      </w:r>
      <w:r w:rsidR="005F10AE">
        <w:rPr>
          <w:rFonts w:eastAsia="Calibri"/>
        </w:rPr>
        <w:t xml:space="preserve">  </w:t>
      </w:r>
      <w:r w:rsidRPr="005F10AE" w:rsidR="005F10AE">
        <w:rPr>
          <w:rFonts w:eastAsia="Calibri"/>
        </w:rPr>
        <w:t>The U.S. Environmental Protection Agency (EPA) promulgated the National Primary Drinking</w:t>
      </w:r>
      <w:r w:rsidR="005F10AE">
        <w:rPr>
          <w:rFonts w:eastAsia="Calibri"/>
        </w:rPr>
        <w:t xml:space="preserve"> </w:t>
      </w:r>
      <w:r w:rsidRPr="005F10AE" w:rsidR="005F10AE">
        <w:rPr>
          <w:rFonts w:eastAsia="Calibri"/>
        </w:rPr>
        <w:t>Water Regulation (NPDWR), the Ground Water Rule (GWR) (71 FR 65574; November 8,</w:t>
      </w:r>
      <w:r w:rsidR="005F10AE">
        <w:rPr>
          <w:rFonts w:eastAsia="Calibri"/>
        </w:rPr>
        <w:t xml:space="preserve"> </w:t>
      </w:r>
      <w:r w:rsidRPr="005F10AE" w:rsidR="005F10AE">
        <w:rPr>
          <w:rFonts w:eastAsia="Calibri"/>
        </w:rPr>
        <w:t>2006), to provide for increased protection against fecal microbial pathogens in public water</w:t>
      </w:r>
      <w:r w:rsidR="005F10AE">
        <w:rPr>
          <w:rFonts w:eastAsia="Calibri"/>
        </w:rPr>
        <w:t xml:space="preserve"> </w:t>
      </w:r>
      <w:r w:rsidRPr="005F10AE" w:rsidR="005F10AE">
        <w:rPr>
          <w:rFonts w:eastAsia="Calibri"/>
        </w:rPr>
        <w:t>systems (PWSs) that use ground water sources (also referred to as ground water systems</w:t>
      </w:r>
      <w:r w:rsidR="005F10AE">
        <w:rPr>
          <w:rFonts w:eastAsia="Calibri"/>
        </w:rPr>
        <w:t xml:space="preserve"> </w:t>
      </w:r>
      <w:r w:rsidRPr="005F10AE" w:rsidR="005F10AE">
        <w:rPr>
          <w:rFonts w:eastAsia="Calibri"/>
        </w:rPr>
        <w:t xml:space="preserve">(GWSs)). </w:t>
      </w:r>
      <w:r w:rsidR="005F10AE">
        <w:rPr>
          <w:rFonts w:eastAsia="Calibri"/>
        </w:rPr>
        <w:t xml:space="preserve"> </w:t>
      </w:r>
      <w:r w:rsidRPr="005F10AE" w:rsidR="005F10AE">
        <w:rPr>
          <w:rFonts w:eastAsia="Calibri"/>
        </w:rPr>
        <w:t>In the GWR, EPA established treatment techniques intended to identify and target</w:t>
      </w:r>
      <w:r w:rsidR="005F10AE">
        <w:rPr>
          <w:rFonts w:eastAsia="Calibri"/>
        </w:rPr>
        <w:t xml:space="preserve"> </w:t>
      </w:r>
      <w:r w:rsidRPr="005F10AE" w:rsidR="005F10AE">
        <w:rPr>
          <w:rFonts w:eastAsia="Calibri"/>
        </w:rPr>
        <w:t>GWSs that are susceptible to fecal contamination and require such GWSs to monitor and, when</w:t>
      </w:r>
      <w:r w:rsidR="005F10AE">
        <w:rPr>
          <w:rFonts w:eastAsia="Calibri"/>
        </w:rPr>
        <w:t xml:space="preserve"> </w:t>
      </w:r>
      <w:r w:rsidRPr="005F10AE" w:rsidR="005F10AE">
        <w:rPr>
          <w:rFonts w:eastAsia="Calibri"/>
        </w:rPr>
        <w:t>necessary, take corrective action to prevent or remove such contamination.</w:t>
      </w:r>
    </w:p>
    <w:p w:rsidRPr="005F10AE" w:rsidR="005F10AE" w:rsidP="005F10AE" w:rsidRDefault="005F10AE" w14:paraId="43AD4F36" w14:textId="77777777">
      <w:pPr>
        <w:rPr>
          <w:rFonts w:eastAsia="Calibri"/>
        </w:rPr>
      </w:pPr>
    </w:p>
    <w:p w:rsidR="005F10AE" w:rsidP="005F10AE" w:rsidRDefault="005F10AE" w14:paraId="6AC4AB1F" w14:textId="7C56AA4D">
      <w:pPr>
        <w:rPr>
          <w:rFonts w:eastAsia="Calibri"/>
        </w:rPr>
      </w:pPr>
      <w:r w:rsidRPr="005F10AE">
        <w:rPr>
          <w:rFonts w:eastAsia="Calibri"/>
        </w:rPr>
        <w:t>Under section 410(b)(1) of the Federal Food, Drug, and Cosmetic Act (the FD&amp;C Act) (21</w:t>
      </w:r>
      <w:r>
        <w:rPr>
          <w:rFonts w:eastAsia="Calibri"/>
        </w:rPr>
        <w:t xml:space="preserve"> </w:t>
      </w:r>
      <w:r w:rsidRPr="005F10AE">
        <w:rPr>
          <w:rFonts w:eastAsia="Calibri"/>
        </w:rPr>
        <w:t>U.S.C. 349(b)(1)), when EPA issues a NPDWR for a contaminant under section 1412 of the Safe</w:t>
      </w:r>
      <w:r>
        <w:rPr>
          <w:rFonts w:eastAsia="Calibri"/>
        </w:rPr>
        <w:t xml:space="preserve"> </w:t>
      </w:r>
      <w:r w:rsidRPr="005F10AE">
        <w:rPr>
          <w:rFonts w:eastAsia="Calibri"/>
        </w:rPr>
        <w:t>Drinking Water Act (SDWA) (42 U.S.C. 300g-1), FDA is required to issue a standard of quality regulation for that contaminant in bottled water</w:t>
      </w:r>
      <w:r>
        <w:rPr>
          <w:rFonts w:eastAsia="Calibri"/>
        </w:rPr>
        <w:t xml:space="preserve"> </w:t>
      </w:r>
      <w:r w:rsidRPr="005F10AE">
        <w:rPr>
          <w:rFonts w:eastAsia="Calibri"/>
        </w:rPr>
        <w:t>or make a finding that such a regulation is not necessary to protect the public health because the</w:t>
      </w:r>
      <w:r>
        <w:rPr>
          <w:rFonts w:eastAsia="Calibri"/>
        </w:rPr>
        <w:t xml:space="preserve"> </w:t>
      </w:r>
      <w:r w:rsidRPr="005F10AE">
        <w:rPr>
          <w:rFonts w:eastAsia="Calibri"/>
        </w:rPr>
        <w:t xml:space="preserve">contaminant is contained in water in PWSs but not in water used for bottled water. </w:t>
      </w:r>
      <w:r>
        <w:rPr>
          <w:rFonts w:eastAsia="Calibri"/>
        </w:rPr>
        <w:t xml:space="preserve"> </w:t>
      </w:r>
      <w:r w:rsidRPr="005F10AE">
        <w:rPr>
          <w:rFonts w:eastAsia="Calibri"/>
        </w:rPr>
        <w:t>Section</w:t>
      </w:r>
      <w:r>
        <w:rPr>
          <w:rFonts w:eastAsia="Calibri"/>
        </w:rPr>
        <w:t xml:space="preserve"> </w:t>
      </w:r>
      <w:r w:rsidRPr="005F10AE">
        <w:rPr>
          <w:rFonts w:eastAsia="Calibri"/>
        </w:rPr>
        <w:t>410(b)(3) of the FD&amp;C Act (21 U.S.C. 349(b)(3)) requires the standard of quality for a</w:t>
      </w:r>
      <w:r>
        <w:rPr>
          <w:rFonts w:eastAsia="Calibri"/>
        </w:rPr>
        <w:t xml:space="preserve"> </w:t>
      </w:r>
      <w:r w:rsidRPr="005F10AE">
        <w:rPr>
          <w:rFonts w:eastAsia="Calibri"/>
        </w:rPr>
        <w:t>contaminant in bottled water to be no less stringent than EPA’s maximum contaminant level</w:t>
      </w:r>
      <w:r>
        <w:rPr>
          <w:rFonts w:eastAsia="Calibri"/>
        </w:rPr>
        <w:t xml:space="preserve"> </w:t>
      </w:r>
      <w:r w:rsidRPr="005F10AE">
        <w:rPr>
          <w:rFonts w:eastAsia="Calibri"/>
        </w:rPr>
        <w:t>(MCL) and no less protective of the public health than EPA’s treatment technique requirements</w:t>
      </w:r>
      <w:r>
        <w:rPr>
          <w:rFonts w:eastAsia="Calibri"/>
        </w:rPr>
        <w:t xml:space="preserve"> </w:t>
      </w:r>
      <w:r w:rsidRPr="005F10AE">
        <w:rPr>
          <w:rFonts w:eastAsia="Calibri"/>
        </w:rPr>
        <w:t xml:space="preserve">for the same contaminant. </w:t>
      </w:r>
      <w:r>
        <w:rPr>
          <w:rFonts w:eastAsia="Calibri"/>
        </w:rPr>
        <w:t xml:space="preserve"> </w:t>
      </w:r>
      <w:r w:rsidRPr="005F10AE">
        <w:rPr>
          <w:rFonts w:eastAsia="Calibri"/>
        </w:rPr>
        <w:t>In addition, section 410(b)(2) of the FD&amp;C Act (21 U.S.C. 349(b)(2))</w:t>
      </w:r>
      <w:r>
        <w:rPr>
          <w:rFonts w:eastAsia="Calibri"/>
        </w:rPr>
        <w:t xml:space="preserve"> </w:t>
      </w:r>
      <w:r w:rsidRPr="005F10AE">
        <w:rPr>
          <w:rFonts w:eastAsia="Calibri"/>
        </w:rPr>
        <w:t>provides that a standard of quality regulation issued by FDA shall include monitoring</w:t>
      </w:r>
      <w:r>
        <w:rPr>
          <w:rFonts w:eastAsia="Calibri"/>
        </w:rPr>
        <w:t xml:space="preserve"> </w:t>
      </w:r>
      <w:r w:rsidRPr="005F10AE">
        <w:rPr>
          <w:rFonts w:eastAsia="Calibri"/>
        </w:rPr>
        <w:t>requirements that the agency determines to be appropriate for bottled water.</w:t>
      </w:r>
      <w:r>
        <w:rPr>
          <w:rFonts w:eastAsia="Calibri"/>
        </w:rPr>
        <w:t xml:space="preserve"> </w:t>
      </w:r>
    </w:p>
    <w:p w:rsidRPr="005F10AE" w:rsidR="005F10AE" w:rsidP="005F10AE" w:rsidRDefault="005F10AE" w14:paraId="15E5C2AB" w14:textId="77777777">
      <w:pPr>
        <w:rPr>
          <w:rFonts w:eastAsia="Calibri"/>
        </w:rPr>
      </w:pPr>
    </w:p>
    <w:p w:rsidRPr="005F10AE" w:rsidR="005F10AE" w:rsidP="005F10AE" w:rsidRDefault="005F10AE" w14:paraId="2A69DE15" w14:textId="77777777">
      <w:pPr>
        <w:rPr>
          <w:rFonts w:eastAsia="Calibri"/>
        </w:rPr>
      </w:pPr>
      <w:r w:rsidRPr="005F10AE">
        <w:rPr>
          <w:rFonts w:eastAsia="Calibri"/>
        </w:rPr>
        <w:t>In response to EPA’s GWR and in accordance with section 410(b)(1) of the FD&amp;C Act, FDA</w:t>
      </w:r>
      <w:r>
        <w:rPr>
          <w:rFonts w:eastAsia="Calibri"/>
        </w:rPr>
        <w:t xml:space="preserve"> </w:t>
      </w:r>
      <w:r w:rsidRPr="005F10AE">
        <w:rPr>
          <w:rFonts w:eastAsia="Calibri"/>
        </w:rPr>
        <w:t>amended its bottled water regulations in parts 129 and 165 (21 CFR parts 129 and 165) by</w:t>
      </w:r>
      <w:r>
        <w:rPr>
          <w:rFonts w:eastAsia="Calibri"/>
        </w:rPr>
        <w:t xml:space="preserve"> </w:t>
      </w:r>
      <w:r w:rsidRPr="005F10AE">
        <w:rPr>
          <w:rFonts w:eastAsia="Calibri"/>
        </w:rPr>
        <w:t>requiring that if any coliform organisms are detected in weekly total coliform testing of finished</w:t>
      </w:r>
      <w:r>
        <w:rPr>
          <w:rFonts w:eastAsia="Calibri"/>
        </w:rPr>
        <w:t xml:space="preserve"> </w:t>
      </w:r>
      <w:r w:rsidRPr="005F10AE">
        <w:rPr>
          <w:rFonts w:eastAsia="Calibri"/>
        </w:rPr>
        <w:t>bottled water, follow-up testing must be conducted to determine whether any of the coliform</w:t>
      </w:r>
      <w:r>
        <w:rPr>
          <w:rFonts w:eastAsia="Calibri"/>
        </w:rPr>
        <w:t xml:space="preserve"> </w:t>
      </w:r>
      <w:r w:rsidRPr="005F10AE">
        <w:rPr>
          <w:rFonts w:eastAsia="Calibri"/>
        </w:rPr>
        <w:t xml:space="preserve">organisms are </w:t>
      </w:r>
      <w:r w:rsidRPr="003427EB" w:rsidR="00A65126">
        <w:rPr>
          <w:rFonts w:eastAsia="Calibri"/>
          <w:i/>
          <w:iCs/>
        </w:rPr>
        <w:t>Escherichia coli</w:t>
      </w:r>
      <w:r w:rsidR="00A65126">
        <w:rPr>
          <w:rFonts w:eastAsia="Calibri"/>
        </w:rPr>
        <w:t xml:space="preserve"> (</w:t>
      </w:r>
      <w:r w:rsidRPr="003427EB">
        <w:rPr>
          <w:rFonts w:eastAsia="Calibri"/>
          <w:i/>
          <w:iCs/>
        </w:rPr>
        <w:t>E. coli</w:t>
      </w:r>
      <w:r w:rsidRPr="00040DC1" w:rsidR="00A65126">
        <w:rPr>
          <w:rFonts w:eastAsia="Calibri"/>
        </w:rPr>
        <w:t>)</w:t>
      </w:r>
      <w:r w:rsidRPr="005F10AE">
        <w:rPr>
          <w:rFonts w:eastAsia="Calibri"/>
        </w:rPr>
        <w:t xml:space="preserve">. </w:t>
      </w:r>
      <w:r>
        <w:rPr>
          <w:rFonts w:eastAsia="Calibri"/>
        </w:rPr>
        <w:t xml:space="preserve"> </w:t>
      </w:r>
      <w:r w:rsidRPr="005F10AE">
        <w:rPr>
          <w:rFonts w:eastAsia="Calibri"/>
        </w:rPr>
        <w:t>FDA also amended the adulteration provision of the bottled water</w:t>
      </w:r>
      <w:r>
        <w:rPr>
          <w:rFonts w:eastAsia="Calibri"/>
        </w:rPr>
        <w:t xml:space="preserve"> </w:t>
      </w:r>
      <w:r w:rsidRPr="005F10AE">
        <w:rPr>
          <w:rFonts w:eastAsia="Calibri"/>
        </w:rPr>
        <w:t xml:space="preserve">standard (§ 165.110(d)) to indicate that </w:t>
      </w:r>
      <w:r w:rsidR="001B62D8">
        <w:rPr>
          <w:rFonts w:eastAsia="Calibri"/>
        </w:rPr>
        <w:t xml:space="preserve">a </w:t>
      </w:r>
      <w:r w:rsidRPr="005F10AE">
        <w:rPr>
          <w:rFonts w:eastAsia="Calibri"/>
        </w:rPr>
        <w:t xml:space="preserve">finished product that tests positive for </w:t>
      </w:r>
      <w:r w:rsidRPr="003427EB">
        <w:rPr>
          <w:rFonts w:eastAsia="Calibri"/>
          <w:i/>
          <w:iCs/>
        </w:rPr>
        <w:t>E. coli</w:t>
      </w:r>
      <w:r w:rsidRPr="00040DC1">
        <w:rPr>
          <w:rFonts w:eastAsia="Calibri"/>
        </w:rPr>
        <w:t xml:space="preserve"> </w:t>
      </w:r>
      <w:r w:rsidRPr="005F10AE">
        <w:rPr>
          <w:rFonts w:eastAsia="Calibri"/>
        </w:rPr>
        <w:t>will be</w:t>
      </w:r>
      <w:r>
        <w:rPr>
          <w:rFonts w:eastAsia="Calibri"/>
        </w:rPr>
        <w:t xml:space="preserve"> </w:t>
      </w:r>
      <w:r w:rsidRPr="005F10AE">
        <w:rPr>
          <w:rFonts w:eastAsia="Calibri"/>
        </w:rPr>
        <w:t xml:space="preserve">deemed adulterated under section 402(a)(3) of the FD&amp;C Act. </w:t>
      </w:r>
      <w:r>
        <w:rPr>
          <w:rFonts w:eastAsia="Calibri"/>
        </w:rPr>
        <w:t xml:space="preserve"> </w:t>
      </w:r>
      <w:r w:rsidRPr="005F10AE">
        <w:rPr>
          <w:rFonts w:eastAsia="Calibri"/>
        </w:rPr>
        <w:t>In addition, FDA amended the</w:t>
      </w:r>
      <w:r>
        <w:rPr>
          <w:rFonts w:eastAsia="Calibri"/>
        </w:rPr>
        <w:t xml:space="preserve"> </w:t>
      </w:r>
      <w:r w:rsidRPr="005F10AE">
        <w:rPr>
          <w:rFonts w:eastAsia="Calibri"/>
        </w:rPr>
        <w:t>current good manufacturing practice (CGMP) regulations for bottled water in part 129 by</w:t>
      </w:r>
      <w:r>
        <w:rPr>
          <w:rFonts w:eastAsia="Calibri"/>
        </w:rPr>
        <w:t xml:space="preserve"> </w:t>
      </w:r>
      <w:r w:rsidRPr="005F10AE">
        <w:rPr>
          <w:rFonts w:eastAsia="Calibri"/>
        </w:rPr>
        <w:t>requiring that source water from other than a PWS be tested at least weekly for total coliform.</w:t>
      </w:r>
      <w:r>
        <w:rPr>
          <w:rFonts w:eastAsia="Calibri"/>
        </w:rPr>
        <w:t xml:space="preserve"> </w:t>
      </w:r>
      <w:r w:rsidRPr="005F10AE">
        <w:rPr>
          <w:rFonts w:eastAsia="Calibri"/>
        </w:rPr>
        <w:t xml:space="preserve"> If</w:t>
      </w:r>
      <w:r>
        <w:rPr>
          <w:rFonts w:eastAsia="Calibri"/>
        </w:rPr>
        <w:t xml:space="preserve"> </w:t>
      </w:r>
      <w:r w:rsidRPr="005F10AE">
        <w:rPr>
          <w:rFonts w:eastAsia="Calibri"/>
        </w:rPr>
        <w:t>any coliform organisms are detected in the source water, the bottled water manufacturers are</w:t>
      </w:r>
      <w:r>
        <w:rPr>
          <w:rFonts w:eastAsia="Calibri"/>
        </w:rPr>
        <w:t xml:space="preserve"> </w:t>
      </w:r>
      <w:r w:rsidRPr="005F10AE">
        <w:rPr>
          <w:rFonts w:eastAsia="Calibri"/>
        </w:rPr>
        <w:t xml:space="preserve">required to determine whether any of the coliform organisms are </w:t>
      </w:r>
      <w:r w:rsidRPr="003427EB">
        <w:rPr>
          <w:rFonts w:eastAsia="Calibri"/>
          <w:i/>
          <w:iCs/>
        </w:rPr>
        <w:t>E. coli</w:t>
      </w:r>
      <w:r w:rsidRPr="005F10AE">
        <w:rPr>
          <w:rFonts w:eastAsia="Calibri"/>
        </w:rPr>
        <w:t xml:space="preserve">. </w:t>
      </w:r>
      <w:r>
        <w:rPr>
          <w:rFonts w:eastAsia="Calibri"/>
        </w:rPr>
        <w:t xml:space="preserve"> </w:t>
      </w:r>
      <w:r w:rsidRPr="005F10AE">
        <w:rPr>
          <w:rFonts w:eastAsia="Calibri"/>
        </w:rPr>
        <w:t>Source water found to</w:t>
      </w:r>
      <w:r>
        <w:rPr>
          <w:rFonts w:eastAsia="Calibri"/>
        </w:rPr>
        <w:t xml:space="preserve"> </w:t>
      </w:r>
      <w:r w:rsidRPr="005F10AE">
        <w:rPr>
          <w:rFonts w:eastAsia="Calibri"/>
        </w:rPr>
        <w:t xml:space="preserve">contain </w:t>
      </w:r>
      <w:r w:rsidRPr="003427EB">
        <w:rPr>
          <w:rFonts w:eastAsia="Calibri"/>
          <w:i/>
          <w:iCs/>
        </w:rPr>
        <w:t>E. coli</w:t>
      </w:r>
      <w:r w:rsidRPr="005F10AE">
        <w:rPr>
          <w:rFonts w:eastAsia="Calibri"/>
        </w:rPr>
        <w:t xml:space="preserve"> is not considered water of a safe, sanitary quality and would be prohibited for use</w:t>
      </w:r>
      <w:r>
        <w:rPr>
          <w:rFonts w:eastAsia="Calibri"/>
        </w:rPr>
        <w:t xml:space="preserve"> </w:t>
      </w:r>
      <w:r w:rsidRPr="005F10AE">
        <w:rPr>
          <w:rFonts w:eastAsia="Calibri"/>
        </w:rPr>
        <w:t>in production of bottled water.</w:t>
      </w:r>
    </w:p>
    <w:p w:rsidRPr="005F10AE" w:rsidR="005F10AE" w:rsidP="005F10AE" w:rsidRDefault="005F10AE" w14:paraId="3A799BCE" w14:textId="77777777">
      <w:pPr>
        <w:rPr>
          <w:rFonts w:eastAsia="Calibri"/>
        </w:rPr>
      </w:pPr>
    </w:p>
    <w:p w:rsidRPr="005F10AE" w:rsidR="005F10AE" w:rsidP="005F10AE" w:rsidRDefault="005F10AE" w14:paraId="665AEEF2" w14:textId="77777777">
      <w:pPr>
        <w:rPr>
          <w:rFonts w:eastAsia="Calibri"/>
        </w:rPr>
      </w:pPr>
      <w:r w:rsidRPr="005F10AE">
        <w:rPr>
          <w:rFonts w:eastAsia="Calibri"/>
        </w:rPr>
        <w:t xml:space="preserve">Before a bottler may use source water from a source that has tested positive for </w:t>
      </w:r>
      <w:r w:rsidRPr="003427EB">
        <w:rPr>
          <w:rFonts w:eastAsia="Calibri"/>
          <w:i/>
          <w:iCs/>
        </w:rPr>
        <w:t>E. coli</w:t>
      </w:r>
      <w:r w:rsidRPr="005F10AE">
        <w:rPr>
          <w:rFonts w:eastAsia="Calibri"/>
        </w:rPr>
        <w:t>, a bottler</w:t>
      </w:r>
      <w:r>
        <w:rPr>
          <w:rFonts w:eastAsia="Calibri"/>
        </w:rPr>
        <w:t xml:space="preserve"> </w:t>
      </w:r>
      <w:r w:rsidRPr="005F10AE">
        <w:rPr>
          <w:rFonts w:eastAsia="Calibri"/>
        </w:rPr>
        <w:t>must take appropriate measures to rectify or otherwise eliminate the cause of the contamination.</w:t>
      </w:r>
      <w:r>
        <w:rPr>
          <w:rFonts w:eastAsia="Calibri"/>
        </w:rPr>
        <w:t xml:space="preserve">  </w:t>
      </w:r>
      <w:r w:rsidRPr="005F10AE">
        <w:rPr>
          <w:rFonts w:eastAsia="Calibri"/>
        </w:rPr>
        <w:t xml:space="preserve">A source previously found to contain </w:t>
      </w:r>
      <w:r w:rsidRPr="003427EB">
        <w:rPr>
          <w:rFonts w:eastAsia="Calibri"/>
          <w:i/>
          <w:iCs/>
        </w:rPr>
        <w:t>E. coli</w:t>
      </w:r>
      <w:r w:rsidRPr="005F10AE">
        <w:rPr>
          <w:rFonts w:eastAsia="Calibri"/>
        </w:rPr>
        <w:t xml:space="preserve"> will be considered negative for </w:t>
      </w:r>
      <w:r w:rsidRPr="003427EB">
        <w:rPr>
          <w:rFonts w:eastAsia="Calibri"/>
          <w:i/>
          <w:iCs/>
        </w:rPr>
        <w:t>E. coli</w:t>
      </w:r>
      <w:r w:rsidRPr="005F10AE">
        <w:rPr>
          <w:rFonts w:eastAsia="Calibri"/>
        </w:rPr>
        <w:t xml:space="preserve"> after five</w:t>
      </w:r>
      <w:r>
        <w:rPr>
          <w:rFonts w:eastAsia="Calibri"/>
        </w:rPr>
        <w:t xml:space="preserve"> </w:t>
      </w:r>
      <w:r w:rsidRPr="005F10AE">
        <w:rPr>
          <w:rFonts w:eastAsia="Calibri"/>
        </w:rPr>
        <w:lastRenderedPageBreak/>
        <w:t>samples collected over a 24-hour period from the same sampling site that originally tested</w:t>
      </w:r>
      <w:r>
        <w:rPr>
          <w:rFonts w:eastAsia="Calibri"/>
        </w:rPr>
        <w:t xml:space="preserve"> </w:t>
      </w:r>
      <w:r w:rsidRPr="005F10AE">
        <w:rPr>
          <w:rFonts w:eastAsia="Calibri"/>
        </w:rPr>
        <w:t xml:space="preserve">positive for </w:t>
      </w:r>
      <w:r w:rsidRPr="003427EB">
        <w:rPr>
          <w:rFonts w:eastAsia="Calibri"/>
          <w:i/>
          <w:iCs/>
        </w:rPr>
        <w:t>E. coli</w:t>
      </w:r>
      <w:r w:rsidRPr="005F10AE">
        <w:rPr>
          <w:rFonts w:eastAsia="Calibri"/>
        </w:rPr>
        <w:t xml:space="preserve"> are tested and found to be </w:t>
      </w:r>
      <w:r w:rsidRPr="003427EB">
        <w:rPr>
          <w:rFonts w:eastAsia="Calibri"/>
          <w:i/>
          <w:iCs/>
        </w:rPr>
        <w:t>E. coli</w:t>
      </w:r>
      <w:r w:rsidRPr="005F10AE">
        <w:rPr>
          <w:rFonts w:eastAsia="Calibri"/>
        </w:rPr>
        <w:t xml:space="preserve"> negative.</w:t>
      </w:r>
    </w:p>
    <w:p w:rsidR="005F10AE" w:rsidP="005F10AE" w:rsidRDefault="005F10AE" w14:paraId="498DB432" w14:textId="77777777">
      <w:pPr>
        <w:rPr>
          <w:rFonts w:eastAsia="Calibri"/>
        </w:rPr>
      </w:pPr>
    </w:p>
    <w:p w:rsidR="005F10AE" w:rsidP="005F10AE" w:rsidRDefault="00077792" w14:paraId="5C46CCC9" w14:textId="77777777">
      <w:pPr>
        <w:rPr>
          <w:rFonts w:eastAsia="Calibri"/>
        </w:rPr>
      </w:pPr>
      <w:r>
        <w:rPr>
          <w:rFonts w:eastAsia="Calibri"/>
        </w:rPr>
        <w:t xml:space="preserve">We therefore request extension of OMB </w:t>
      </w:r>
      <w:r w:rsidRPr="005F10AE" w:rsidR="005F10AE">
        <w:rPr>
          <w:rFonts w:eastAsia="Calibri"/>
        </w:rPr>
        <w:t>approval for the recordkeeping provisions found in 21</w:t>
      </w:r>
      <w:r>
        <w:rPr>
          <w:rFonts w:eastAsia="Calibri"/>
        </w:rPr>
        <w:t xml:space="preserve"> </w:t>
      </w:r>
      <w:r w:rsidRPr="005F10AE" w:rsidR="005F10AE">
        <w:rPr>
          <w:rFonts w:eastAsia="Calibri"/>
        </w:rPr>
        <w:t xml:space="preserve">CFR 129: </w:t>
      </w:r>
      <w:r w:rsidRPr="00B0766E" w:rsidR="005F10AE">
        <w:rPr>
          <w:rFonts w:eastAsia="Calibri"/>
          <w:i/>
          <w:iCs/>
        </w:rPr>
        <w:t>Processing and Bottling of Bottled Drinking Wate</w:t>
      </w:r>
      <w:r w:rsidRPr="005F10AE" w:rsidR="005F10AE">
        <w:rPr>
          <w:rFonts w:eastAsia="Calibri"/>
        </w:rPr>
        <w:t>r and discussed in this supporting</w:t>
      </w:r>
      <w:r>
        <w:rPr>
          <w:rFonts w:eastAsia="Calibri"/>
        </w:rPr>
        <w:t xml:space="preserve"> </w:t>
      </w:r>
      <w:r w:rsidRPr="005F10AE" w:rsidR="005F10AE">
        <w:rPr>
          <w:rFonts w:eastAsia="Calibri"/>
        </w:rPr>
        <w:t>statement.</w:t>
      </w:r>
    </w:p>
    <w:p w:rsidRPr="008E7771" w:rsidR="00077792" w:rsidP="00B0766E" w:rsidRDefault="00077792" w14:paraId="232B2711" w14:textId="77777777">
      <w:pPr>
        <w:rPr>
          <w:rFonts w:eastAsia="Calibri"/>
          <w:color w:val="000000"/>
        </w:rPr>
      </w:pPr>
    </w:p>
    <w:p w:rsidRPr="00357C8A" w:rsidR="00357C8A" w:rsidP="006705EA" w:rsidRDefault="00357C8A" w14:paraId="49868E2B"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F40B3D" w:rsidP="00077792" w:rsidRDefault="00077792" w14:paraId="4A08DD0A" w14:textId="77777777">
      <w:pPr>
        <w:rPr>
          <w:rFonts w:eastAsia="Calibri"/>
        </w:rPr>
      </w:pPr>
      <w:r w:rsidRPr="00077792">
        <w:rPr>
          <w:rFonts w:eastAsia="Calibri"/>
        </w:rPr>
        <w:t>Reviewing records of microbiological testing, including testing for total coliform and follow-up</w:t>
      </w:r>
      <w:r>
        <w:rPr>
          <w:rFonts w:eastAsia="Calibri"/>
        </w:rPr>
        <w:t xml:space="preserve"> </w:t>
      </w:r>
      <w:r w:rsidRPr="00077792">
        <w:rPr>
          <w:rFonts w:eastAsia="Calibri"/>
        </w:rPr>
        <w:t xml:space="preserve">testing for </w:t>
      </w:r>
      <w:r w:rsidRPr="003427EB">
        <w:rPr>
          <w:rFonts w:eastAsia="Calibri"/>
          <w:i/>
          <w:iCs/>
        </w:rPr>
        <w:t>E. coli</w:t>
      </w:r>
      <w:r w:rsidRPr="00077792">
        <w:rPr>
          <w:rFonts w:eastAsia="Calibri"/>
        </w:rPr>
        <w:t xml:space="preserve"> when necessary, allows us to determine whether procedures to help prevent the</w:t>
      </w:r>
      <w:r>
        <w:rPr>
          <w:rFonts w:eastAsia="Calibri"/>
        </w:rPr>
        <w:t xml:space="preserve"> </w:t>
      </w:r>
      <w:r w:rsidRPr="00077792">
        <w:rPr>
          <w:rFonts w:eastAsia="Calibri"/>
        </w:rPr>
        <w:t>occurrence of fecal microbial pathogens in bottled water products are being carried out in an</w:t>
      </w:r>
      <w:r>
        <w:rPr>
          <w:rFonts w:eastAsia="Calibri"/>
        </w:rPr>
        <w:t xml:space="preserve"> </w:t>
      </w:r>
      <w:r w:rsidRPr="00077792">
        <w:rPr>
          <w:rFonts w:eastAsia="Calibri"/>
        </w:rPr>
        <w:t xml:space="preserve">effective manner over time. </w:t>
      </w:r>
      <w:r>
        <w:rPr>
          <w:rFonts w:eastAsia="Calibri"/>
        </w:rPr>
        <w:t xml:space="preserve"> </w:t>
      </w:r>
      <w:r w:rsidRPr="00077792">
        <w:rPr>
          <w:rFonts w:eastAsia="Calibri"/>
        </w:rPr>
        <w:t>Furthermore, FDA personnel may not be present when producers</w:t>
      </w:r>
      <w:r>
        <w:rPr>
          <w:rFonts w:eastAsia="Calibri"/>
        </w:rPr>
        <w:t xml:space="preserve"> </w:t>
      </w:r>
      <w:r w:rsidRPr="00077792">
        <w:rPr>
          <w:rFonts w:eastAsia="Calibri"/>
        </w:rPr>
        <w:t xml:space="preserve">perform sampling and analysis of bottled water. </w:t>
      </w:r>
      <w:r>
        <w:rPr>
          <w:rFonts w:eastAsia="Calibri"/>
        </w:rPr>
        <w:t xml:space="preserve"> </w:t>
      </w:r>
      <w:r w:rsidRPr="00077792">
        <w:rPr>
          <w:rFonts w:eastAsia="Calibri"/>
        </w:rPr>
        <w:t>These records allow us to verify that the</w:t>
      </w:r>
      <w:r>
        <w:rPr>
          <w:rFonts w:eastAsia="Calibri"/>
        </w:rPr>
        <w:t xml:space="preserve"> </w:t>
      </w:r>
      <w:r w:rsidRPr="00077792">
        <w:rPr>
          <w:rFonts w:eastAsia="Calibri"/>
        </w:rPr>
        <w:t xml:space="preserve">required testing is conducted. </w:t>
      </w:r>
      <w:r>
        <w:rPr>
          <w:rFonts w:eastAsia="Calibri"/>
        </w:rPr>
        <w:t xml:space="preserve"> </w:t>
      </w:r>
      <w:r w:rsidRPr="00077792">
        <w:rPr>
          <w:rFonts w:eastAsia="Calibri"/>
        </w:rPr>
        <w:t>These records also allow us to confirm that test results meet</w:t>
      </w:r>
      <w:r>
        <w:rPr>
          <w:rFonts w:eastAsia="Calibri"/>
        </w:rPr>
        <w:t xml:space="preserve"> </w:t>
      </w:r>
      <w:r w:rsidRPr="00077792">
        <w:rPr>
          <w:rFonts w:eastAsia="Calibri"/>
        </w:rPr>
        <w:t>applicable standards and that producers are taking appropriate actions based on the results.</w:t>
      </w:r>
      <w:r>
        <w:rPr>
          <w:rFonts w:eastAsia="Calibri"/>
        </w:rPr>
        <w:t xml:space="preserve">  </w:t>
      </w:r>
      <w:r w:rsidRPr="00077792">
        <w:rPr>
          <w:rFonts w:eastAsia="Calibri"/>
        </w:rPr>
        <w:t xml:space="preserve">Another requirement is that bottlers maintain records of measures taken to address a positive </w:t>
      </w:r>
      <w:r w:rsidRPr="003427EB">
        <w:rPr>
          <w:rFonts w:eastAsia="Calibri"/>
          <w:i/>
          <w:iCs/>
        </w:rPr>
        <w:t>E. coli</w:t>
      </w:r>
      <w:r w:rsidRPr="00077792">
        <w:rPr>
          <w:rFonts w:eastAsia="Calibri"/>
        </w:rPr>
        <w:t xml:space="preserve"> finding in source water. </w:t>
      </w:r>
      <w:r>
        <w:rPr>
          <w:rFonts w:eastAsia="Calibri"/>
        </w:rPr>
        <w:t xml:space="preserve"> </w:t>
      </w:r>
      <w:r w:rsidRPr="00077792">
        <w:rPr>
          <w:rFonts w:eastAsia="Calibri"/>
        </w:rPr>
        <w:t>Records of corrective measures are needed for us to determine</w:t>
      </w:r>
      <w:r>
        <w:rPr>
          <w:rFonts w:eastAsia="Calibri"/>
        </w:rPr>
        <w:t xml:space="preserve"> </w:t>
      </w:r>
      <w:r w:rsidRPr="00077792">
        <w:rPr>
          <w:rFonts w:eastAsia="Calibri"/>
        </w:rPr>
        <w:t>compliance with requirements that bottlers take appropriate measures to rectify or otherwise</w:t>
      </w:r>
      <w:r>
        <w:rPr>
          <w:rFonts w:eastAsia="Calibri"/>
        </w:rPr>
        <w:t xml:space="preserve"> </w:t>
      </w:r>
      <w:r w:rsidRPr="00077792">
        <w:rPr>
          <w:rFonts w:eastAsia="Calibri"/>
        </w:rPr>
        <w:t xml:space="preserve">eliminate the cause of </w:t>
      </w:r>
      <w:r w:rsidRPr="00040DC1">
        <w:rPr>
          <w:rFonts w:eastAsia="Calibri"/>
          <w:i/>
          <w:iCs/>
        </w:rPr>
        <w:t>E. coli</w:t>
      </w:r>
      <w:r w:rsidRPr="00077792">
        <w:rPr>
          <w:rFonts w:eastAsia="Calibri"/>
        </w:rPr>
        <w:t xml:space="preserve"> contamination in source water.</w:t>
      </w:r>
    </w:p>
    <w:p w:rsidR="00F40B3D" w:rsidP="00077792" w:rsidRDefault="00F40B3D" w14:paraId="5114A52B" w14:textId="77777777">
      <w:pPr>
        <w:rPr>
          <w:rFonts w:eastAsia="Calibri"/>
        </w:rPr>
      </w:pPr>
    </w:p>
    <w:p w:rsidRPr="00357C8A" w:rsidR="00357C8A" w:rsidP="006705EA" w:rsidRDefault="00357C8A" w14:paraId="522956F1" w14:textId="1616AF54">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8E7771" w:rsidR="00357C8A" w:rsidP="0022425B" w:rsidRDefault="00077792" w14:paraId="16F93744" w14:textId="7F50E2FB">
      <w:pPr>
        <w:spacing w:after="200"/>
        <w:rPr>
          <w:rFonts w:eastAsia="Calibri"/>
          <w:color w:val="000000"/>
        </w:rPr>
      </w:pPr>
      <w:r w:rsidRPr="00077792">
        <w:rPr>
          <w:rFonts w:eastAsia="Calibri"/>
        </w:rPr>
        <w:t>Respondents may use whatever means best assists them in retaining the appropriate records and</w:t>
      </w:r>
      <w:r>
        <w:rPr>
          <w:rFonts w:eastAsia="Calibri"/>
        </w:rPr>
        <w:t xml:space="preserve"> </w:t>
      </w:r>
      <w:r w:rsidRPr="00077792">
        <w:rPr>
          <w:rFonts w:eastAsia="Calibri"/>
        </w:rPr>
        <w:t xml:space="preserve">making them available to regulatory officials, however we encourage the use </w:t>
      </w:r>
      <w:r w:rsidR="00551360">
        <w:rPr>
          <w:rFonts w:eastAsia="Calibri"/>
        </w:rPr>
        <w:t>of</w:t>
      </w:r>
      <w:r w:rsidRPr="00077792" w:rsidR="00551360">
        <w:rPr>
          <w:rFonts w:eastAsia="Calibri"/>
        </w:rPr>
        <w:t xml:space="preserve"> </w:t>
      </w:r>
      <w:r w:rsidRPr="00077792">
        <w:rPr>
          <w:rFonts w:eastAsia="Calibri"/>
        </w:rPr>
        <w:t>automated</w:t>
      </w:r>
      <w:r>
        <w:rPr>
          <w:rFonts w:eastAsia="Calibri"/>
        </w:rPr>
        <w:t xml:space="preserve"> </w:t>
      </w:r>
      <w:r w:rsidRPr="00077792">
        <w:rPr>
          <w:rFonts w:eastAsia="Calibri"/>
        </w:rPr>
        <w:t xml:space="preserve">technology. </w:t>
      </w:r>
      <w:r>
        <w:rPr>
          <w:rFonts w:eastAsia="Calibri"/>
        </w:rPr>
        <w:t xml:space="preserve"> </w:t>
      </w:r>
      <w:r w:rsidRPr="00077792">
        <w:rPr>
          <w:rFonts w:eastAsia="Calibri"/>
        </w:rPr>
        <w:t>Based on our experience with similar information collection</w:t>
      </w:r>
      <w:r w:rsidR="00427F75">
        <w:rPr>
          <w:rFonts w:eastAsia="Calibri"/>
        </w:rPr>
        <w:t>s,</w:t>
      </w:r>
      <w:r w:rsidRPr="00077792">
        <w:rPr>
          <w:rFonts w:eastAsia="Calibri"/>
        </w:rPr>
        <w:t xml:space="preserve"> we estimate (90%) of</w:t>
      </w:r>
      <w:r>
        <w:rPr>
          <w:rFonts w:eastAsia="Calibri"/>
        </w:rPr>
        <w:t xml:space="preserve"> </w:t>
      </w:r>
      <w:r w:rsidRPr="00077792">
        <w:rPr>
          <w:rFonts w:eastAsia="Calibri"/>
        </w:rPr>
        <w:t>the records will be maintained electronically.</w:t>
      </w:r>
    </w:p>
    <w:p w:rsidRPr="00357C8A" w:rsidR="00357C8A" w:rsidP="006705EA" w:rsidRDefault="00357C8A" w14:paraId="71C9EBC4"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8E7771" w:rsidR="000C1260" w:rsidP="0053380B" w:rsidRDefault="006A50CF" w14:paraId="6A66A3A7" w14:textId="11E3F56D">
      <w:pPr>
        <w:spacing w:after="200"/>
        <w:rPr>
          <w:rFonts w:eastAsia="Calibri"/>
          <w:color w:val="000000"/>
        </w:rPr>
      </w:pPr>
      <w:r>
        <w:t xml:space="preserve">We are unaware of </w:t>
      </w:r>
      <w:r w:rsidR="00427F75">
        <w:t xml:space="preserve">any </w:t>
      </w:r>
      <w:r>
        <w:t xml:space="preserve">duplicative information collection.  </w:t>
      </w:r>
      <w:r w:rsidR="00427F75">
        <w:t xml:space="preserve">As discussed </w:t>
      </w:r>
      <w:r w:rsidR="00D102A0">
        <w:t>i</w:t>
      </w:r>
      <w:r w:rsidR="00C37839">
        <w:t xml:space="preserve">n </w:t>
      </w:r>
      <w:r w:rsidR="004156E2">
        <w:t>Item</w:t>
      </w:r>
      <w:r w:rsidR="00427F75">
        <w:t xml:space="preserve"> 1, s</w:t>
      </w:r>
      <w:r>
        <w:t>tatutory provisions require FDA regulation regarding certain testing associated with bottled water.  The information collection is limited in scope to those regulations found in 21 CFR part 129.</w:t>
      </w:r>
    </w:p>
    <w:p w:rsidRPr="00357C8A" w:rsidR="00357C8A" w:rsidP="006705EA" w:rsidRDefault="00357C8A" w14:paraId="7EA13BC5"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427F75" w:rsidRDefault="00FE780E" w14:paraId="0A7EE94F" w14:textId="77777777">
      <w:pPr>
        <w:rPr>
          <w:rFonts w:eastAsia="Calibri"/>
        </w:rPr>
      </w:pPr>
      <w:r w:rsidRPr="00FE780E">
        <w:rPr>
          <w:rFonts w:eastAsia="Calibri"/>
        </w:rPr>
        <w:t xml:space="preserve">Although </w:t>
      </w:r>
      <w:r w:rsidR="00427F75">
        <w:rPr>
          <w:rFonts w:eastAsia="Calibri"/>
        </w:rPr>
        <w:t xml:space="preserve">we </w:t>
      </w:r>
      <w:r w:rsidRPr="00FE780E">
        <w:rPr>
          <w:rFonts w:eastAsia="Calibri"/>
        </w:rPr>
        <w:t xml:space="preserve">estimate </w:t>
      </w:r>
      <w:r w:rsidR="00427F75">
        <w:rPr>
          <w:rFonts w:eastAsia="Calibri"/>
        </w:rPr>
        <w:t xml:space="preserve">that </w:t>
      </w:r>
      <w:r w:rsidRPr="00FE780E">
        <w:rPr>
          <w:rFonts w:eastAsia="Calibri"/>
        </w:rPr>
        <w:t>eighty percent (80%) of recordkeepers are small businesses, we do not believe</w:t>
      </w:r>
      <w:r>
        <w:rPr>
          <w:rFonts w:eastAsia="Calibri"/>
        </w:rPr>
        <w:t xml:space="preserve"> </w:t>
      </w:r>
      <w:r w:rsidRPr="00FE780E">
        <w:rPr>
          <w:rFonts w:eastAsia="Calibri"/>
        </w:rPr>
        <w:t xml:space="preserve">the information collection imposes undue burden on small entities. </w:t>
      </w:r>
      <w:r>
        <w:rPr>
          <w:rFonts w:eastAsia="Calibri"/>
        </w:rPr>
        <w:t xml:space="preserve"> </w:t>
      </w:r>
      <w:r w:rsidR="00427F75">
        <w:rPr>
          <w:rFonts w:eastAsia="Calibri"/>
        </w:rPr>
        <w:t>W</w:t>
      </w:r>
      <w:r w:rsidRPr="00FE780E">
        <w:rPr>
          <w:rFonts w:eastAsia="Calibri"/>
        </w:rPr>
        <w:t>e</w:t>
      </w:r>
      <w:r w:rsidR="00427F75">
        <w:rPr>
          <w:rFonts w:eastAsia="Calibri"/>
        </w:rPr>
        <w:t xml:space="preserve"> </w:t>
      </w:r>
      <w:r w:rsidRPr="00FE780E">
        <w:rPr>
          <w:rFonts w:eastAsia="Calibri"/>
        </w:rPr>
        <w:t>assist</w:t>
      </w:r>
      <w:r>
        <w:rPr>
          <w:rFonts w:eastAsia="Calibri"/>
        </w:rPr>
        <w:t xml:space="preserve"> </w:t>
      </w:r>
      <w:r w:rsidRPr="00FE780E">
        <w:rPr>
          <w:rFonts w:eastAsia="Calibri"/>
        </w:rPr>
        <w:t>small businesses in complying with our requirements through Regional Small Business</w:t>
      </w:r>
      <w:r>
        <w:rPr>
          <w:rFonts w:eastAsia="Calibri"/>
        </w:rPr>
        <w:t xml:space="preserve"> </w:t>
      </w:r>
      <w:r w:rsidRPr="00FE780E">
        <w:rPr>
          <w:rFonts w:eastAsia="Calibri"/>
        </w:rPr>
        <w:t xml:space="preserve">Representatives and through scientific and administrative staffs within the agency. </w:t>
      </w:r>
      <w:r w:rsidR="00427F75">
        <w:rPr>
          <w:rFonts w:eastAsia="Calibri"/>
        </w:rPr>
        <w:t xml:space="preserve"> </w:t>
      </w:r>
      <w:r w:rsidRPr="00427F75" w:rsidR="00427F75">
        <w:rPr>
          <w:rFonts w:eastAsia="Calibri"/>
        </w:rPr>
        <w:t xml:space="preserve">Assistance is </w:t>
      </w:r>
      <w:r w:rsidR="00427F75">
        <w:rPr>
          <w:rFonts w:eastAsia="Calibri"/>
        </w:rPr>
        <w:t xml:space="preserve">also </w:t>
      </w:r>
      <w:r w:rsidRPr="00427F75" w:rsidR="00427F75">
        <w:rPr>
          <w:rFonts w:eastAsia="Calibri"/>
        </w:rPr>
        <w:t xml:space="preserve">available for </w:t>
      </w:r>
      <w:r w:rsidR="008171CA">
        <w:rPr>
          <w:rFonts w:eastAsia="Calibri"/>
        </w:rPr>
        <w:t>s</w:t>
      </w:r>
      <w:r w:rsidRPr="00C6736A" w:rsidR="00472213">
        <w:rPr>
          <w:rFonts w:eastAsia="Calibri"/>
        </w:rPr>
        <w:t xml:space="preserve">mall </w:t>
      </w:r>
      <w:r w:rsidR="008171CA">
        <w:rPr>
          <w:rFonts w:eastAsia="Calibri"/>
        </w:rPr>
        <w:t>b</w:t>
      </w:r>
      <w:r w:rsidRPr="00C6736A" w:rsidR="00472213">
        <w:rPr>
          <w:rFonts w:eastAsia="Calibri"/>
        </w:rPr>
        <w:t>usiness</w:t>
      </w:r>
      <w:r w:rsidR="008171CA">
        <w:rPr>
          <w:rFonts w:eastAsia="Calibri"/>
        </w:rPr>
        <w:t>es</w:t>
      </w:r>
      <w:r w:rsidRPr="00C6736A" w:rsidR="00472213">
        <w:rPr>
          <w:rFonts w:eastAsia="Calibri"/>
        </w:rPr>
        <w:t xml:space="preserve"> </w:t>
      </w:r>
      <w:r w:rsidR="008171CA">
        <w:rPr>
          <w:rFonts w:eastAsia="Calibri"/>
        </w:rPr>
        <w:t>via</w:t>
      </w:r>
      <w:r w:rsidRPr="00C6736A" w:rsidR="00472213">
        <w:rPr>
          <w:rFonts w:eastAsia="Calibri"/>
        </w:rPr>
        <w:t xml:space="preserve"> the agency’s website at</w:t>
      </w:r>
      <w:r w:rsidR="00472213">
        <w:rPr>
          <w:rFonts w:eastAsia="Calibri"/>
        </w:rPr>
        <w:t xml:space="preserve"> </w:t>
      </w:r>
      <w:hyperlink w:history="1" r:id="rId7">
        <w:r w:rsidRPr="00472213" w:rsidR="00472213">
          <w:rPr>
            <w:rStyle w:val="Hyperlink"/>
            <w:rFonts w:eastAsia="Calibri"/>
          </w:rPr>
          <w:t>https://www.fda.gov/industry/small-business-assistance.</w:t>
        </w:r>
      </w:hyperlink>
    </w:p>
    <w:p w:rsidRPr="00357C8A" w:rsidR="008171CA" w:rsidP="00040DC1" w:rsidRDefault="008171CA" w14:paraId="41C92F2D" w14:textId="77777777">
      <w:pPr>
        <w:rPr>
          <w:rFonts w:eastAsia="Calibri"/>
        </w:rPr>
      </w:pPr>
    </w:p>
    <w:p w:rsidRPr="00357C8A" w:rsidR="00357C8A" w:rsidP="006705EA" w:rsidRDefault="00357C8A" w14:paraId="5E23A305"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8E7771" w:rsidR="00357C8A" w:rsidP="00357C8A" w:rsidRDefault="00FE780E" w14:paraId="1831D035" w14:textId="77777777">
      <w:pPr>
        <w:spacing w:after="200"/>
        <w:rPr>
          <w:rFonts w:eastAsia="Calibri"/>
          <w:color w:val="000000"/>
        </w:rPr>
      </w:pPr>
      <w:r w:rsidRPr="00FE780E">
        <w:rPr>
          <w:rFonts w:eastAsia="Calibri"/>
        </w:rPr>
        <w:t xml:space="preserve">The information collection schedule is consistent with regulatory requirements. </w:t>
      </w:r>
      <w:r>
        <w:rPr>
          <w:rFonts w:eastAsia="Calibri"/>
        </w:rPr>
        <w:t xml:space="preserve"> </w:t>
      </w:r>
      <w:r w:rsidRPr="00FE780E">
        <w:rPr>
          <w:rFonts w:eastAsia="Calibri"/>
        </w:rPr>
        <w:t>Data collection</w:t>
      </w:r>
      <w:r>
        <w:rPr>
          <w:rFonts w:eastAsia="Calibri"/>
        </w:rPr>
        <w:t xml:space="preserve"> </w:t>
      </w:r>
      <w:r w:rsidRPr="00FE780E">
        <w:rPr>
          <w:rFonts w:eastAsia="Calibri"/>
        </w:rPr>
        <w:t xml:space="preserve">occurs weekly. </w:t>
      </w:r>
      <w:r>
        <w:rPr>
          <w:rFonts w:eastAsia="Calibri"/>
        </w:rPr>
        <w:t xml:space="preserve"> </w:t>
      </w:r>
      <w:r w:rsidRPr="00FE780E">
        <w:rPr>
          <w:rFonts w:eastAsia="Calibri"/>
        </w:rPr>
        <w:t>We believe the mandatory recordkeeping is consistent with the congressional</w:t>
      </w:r>
      <w:r>
        <w:rPr>
          <w:rFonts w:eastAsia="Calibri"/>
        </w:rPr>
        <w:t xml:space="preserve"> </w:t>
      </w:r>
      <w:r w:rsidRPr="00FE780E">
        <w:rPr>
          <w:rFonts w:eastAsia="Calibri"/>
        </w:rPr>
        <w:t xml:space="preserve">intent of the SDWA and important for public health reasons. </w:t>
      </w:r>
      <w:r>
        <w:rPr>
          <w:rFonts w:eastAsia="Calibri"/>
        </w:rPr>
        <w:t xml:space="preserve"> </w:t>
      </w:r>
      <w:r w:rsidRPr="00FE780E">
        <w:rPr>
          <w:rFonts w:eastAsia="Calibri"/>
        </w:rPr>
        <w:t>Less frequent recordkeeping might</w:t>
      </w:r>
      <w:r>
        <w:rPr>
          <w:rFonts w:eastAsia="Calibri"/>
        </w:rPr>
        <w:t xml:space="preserve"> </w:t>
      </w:r>
      <w:r w:rsidRPr="00FE780E">
        <w:rPr>
          <w:rFonts w:eastAsia="Calibri"/>
        </w:rPr>
        <w:t>reduce or nullify the effectiveness of the regulation to provide assurance that source water and</w:t>
      </w:r>
      <w:r>
        <w:rPr>
          <w:rFonts w:eastAsia="Calibri"/>
        </w:rPr>
        <w:t xml:space="preserve"> </w:t>
      </w:r>
      <w:r w:rsidRPr="00FE780E">
        <w:rPr>
          <w:rFonts w:eastAsia="Calibri"/>
        </w:rPr>
        <w:t>finished bottled water products are not contaminated with fecal microbial pathogens.</w:t>
      </w:r>
    </w:p>
    <w:p w:rsidRPr="00357C8A" w:rsidR="00357C8A" w:rsidP="006705EA" w:rsidRDefault="00357C8A" w14:paraId="4A0D4F7B" w14:textId="77777777">
      <w:pPr>
        <w:numPr>
          <w:ilvl w:val="0"/>
          <w:numId w:val="6"/>
        </w:numPr>
        <w:spacing w:after="200" w:line="276" w:lineRule="auto"/>
        <w:rPr>
          <w:rFonts w:eastAsia="Calibri"/>
        </w:rPr>
      </w:pPr>
      <w:r w:rsidRPr="00357C8A">
        <w:rPr>
          <w:rFonts w:eastAsia="Calibri"/>
          <w:u w:val="single"/>
        </w:rPr>
        <w:lastRenderedPageBreak/>
        <w:t>Special Circumstances Relating to the Guidelines of 5 CFR 1320.5</w:t>
      </w:r>
    </w:p>
    <w:p w:rsidRPr="00357C8A" w:rsidR="00357C8A" w:rsidP="0022425B" w:rsidRDefault="00FE780E" w14:paraId="7BAEED6F" w14:textId="77777777">
      <w:pPr>
        <w:spacing w:after="200"/>
        <w:rPr>
          <w:rFonts w:eastAsia="Calibri"/>
        </w:rPr>
      </w:pPr>
      <w:r w:rsidRPr="00FE780E">
        <w:rPr>
          <w:rFonts w:eastAsia="Calibri"/>
        </w:rPr>
        <w:t>There are no special circumstances associated with this information collection.</w:t>
      </w:r>
    </w:p>
    <w:p w:rsidRPr="00357C8A" w:rsidR="00357C8A" w:rsidP="006705EA" w:rsidRDefault="00357C8A" w14:paraId="00D7ADAB"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8E7771" w:rsidR="00357C8A" w:rsidP="00357C8A" w:rsidRDefault="00FE780E" w14:paraId="6D2E33CA" w14:textId="77777777">
      <w:pPr>
        <w:spacing w:after="200"/>
        <w:rPr>
          <w:rFonts w:eastAsia="Calibri"/>
          <w:color w:val="000000"/>
        </w:rPr>
      </w:pPr>
      <w:r w:rsidRPr="00FE780E">
        <w:rPr>
          <w:rFonts w:eastAsia="Calibri"/>
        </w:rPr>
        <w:t xml:space="preserve">In accordance with 5 CFR 1320.8(d), </w:t>
      </w:r>
      <w:r w:rsidR="008171CA">
        <w:rPr>
          <w:rFonts w:eastAsia="Calibri"/>
        </w:rPr>
        <w:t>we</w:t>
      </w:r>
      <w:r w:rsidRPr="00FE780E">
        <w:rPr>
          <w:rFonts w:eastAsia="Calibri"/>
        </w:rPr>
        <w:t xml:space="preserve"> published a 60-day notice soliciting public comment</w:t>
      </w:r>
      <w:r>
        <w:rPr>
          <w:rFonts w:eastAsia="Calibri"/>
        </w:rPr>
        <w:t xml:space="preserve"> </w:t>
      </w:r>
      <w:r w:rsidRPr="00FE780E">
        <w:rPr>
          <w:rFonts w:eastAsia="Calibri"/>
        </w:rPr>
        <w:t xml:space="preserve">in the </w:t>
      </w:r>
      <w:r w:rsidRPr="00B0766E">
        <w:rPr>
          <w:rFonts w:eastAsia="Calibri"/>
          <w:i/>
          <w:iCs/>
        </w:rPr>
        <w:t>Federal Register</w:t>
      </w:r>
      <w:r w:rsidRPr="00FE780E">
        <w:rPr>
          <w:rFonts w:eastAsia="Calibri"/>
        </w:rPr>
        <w:t xml:space="preserve"> of </w:t>
      </w:r>
      <w:r w:rsidR="00472213">
        <w:rPr>
          <w:rFonts w:eastAsia="Calibri"/>
        </w:rPr>
        <w:t>November 1</w:t>
      </w:r>
      <w:r w:rsidRPr="00FE780E">
        <w:rPr>
          <w:rFonts w:eastAsia="Calibri"/>
        </w:rPr>
        <w:t>, 20</w:t>
      </w:r>
      <w:r>
        <w:rPr>
          <w:rFonts w:eastAsia="Calibri"/>
        </w:rPr>
        <w:t>21</w:t>
      </w:r>
      <w:r w:rsidRPr="00FE780E">
        <w:rPr>
          <w:rFonts w:eastAsia="Calibri"/>
        </w:rPr>
        <w:t xml:space="preserve"> (8</w:t>
      </w:r>
      <w:r>
        <w:rPr>
          <w:rFonts w:eastAsia="Calibri"/>
        </w:rPr>
        <w:t>6</w:t>
      </w:r>
      <w:r w:rsidRPr="00FE780E">
        <w:rPr>
          <w:rFonts w:eastAsia="Calibri"/>
        </w:rPr>
        <w:t xml:space="preserve"> FR </w:t>
      </w:r>
      <w:r w:rsidR="00472213">
        <w:rPr>
          <w:rFonts w:eastAsia="Calibri"/>
        </w:rPr>
        <w:t>60258</w:t>
      </w:r>
      <w:r w:rsidRPr="00FE780E">
        <w:rPr>
          <w:rFonts w:eastAsia="Calibri"/>
        </w:rPr>
        <w:t xml:space="preserve">). </w:t>
      </w:r>
      <w:r w:rsidR="00742DA9">
        <w:rPr>
          <w:rFonts w:eastAsia="Calibri"/>
        </w:rPr>
        <w:t xml:space="preserve"> </w:t>
      </w:r>
      <w:r w:rsidRPr="00FE780E">
        <w:rPr>
          <w:rFonts w:eastAsia="Calibri"/>
        </w:rPr>
        <w:t>No comments were received.</w:t>
      </w:r>
    </w:p>
    <w:p w:rsidRPr="00357C8A" w:rsidR="00357C8A" w:rsidP="006705EA" w:rsidRDefault="00357C8A" w14:paraId="2085AED8"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8E7771" w:rsidR="00357C8A" w:rsidP="00357C8A" w:rsidRDefault="00792947" w14:paraId="4391470C" w14:textId="77777777">
      <w:pPr>
        <w:spacing w:after="200"/>
        <w:rPr>
          <w:rFonts w:eastAsia="Calibri"/>
          <w:color w:val="000000"/>
        </w:rPr>
      </w:pPr>
      <w:r w:rsidRPr="002074FE">
        <w:rPr>
          <w:rFonts w:eastAsia="Calibri"/>
        </w:rPr>
        <w:t>There are no incentives, payments or gifts associated with this information collection.</w:t>
      </w:r>
    </w:p>
    <w:p w:rsidRPr="00357C8A" w:rsidR="00357C8A" w:rsidP="006705EA" w:rsidRDefault="00357C8A" w14:paraId="375F6223"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CF4D03" w:rsidP="00CF4D03" w:rsidRDefault="00CF4D03" w14:paraId="6144BD31" w14:textId="77777777">
      <w:r w:rsidRPr="00D55C0A">
        <w:t xml:space="preserve">In preparing this </w:t>
      </w:r>
      <w:r w:rsidR="008171CA">
        <w:t>s</w:t>
      </w:r>
      <w:r w:rsidRPr="00D55C0A">
        <w:t xml:space="preserve">upporting </w:t>
      </w:r>
      <w:r w:rsidR="008171CA">
        <w:t>s</w:t>
      </w:r>
      <w:r w:rsidRPr="00D55C0A">
        <w:t>tatement, we consulted our Privacy Office to ensure appropriate identification and handling of information collected.</w:t>
      </w:r>
    </w:p>
    <w:p w:rsidR="00CF4D03" w:rsidP="00CF4D03" w:rsidRDefault="00CF4D03" w14:paraId="251AF0E5" w14:textId="77777777">
      <w:pPr>
        <w:ind w:left="360"/>
      </w:pPr>
    </w:p>
    <w:p w:rsidR="00CF4D03" w:rsidP="00CF4D03" w:rsidRDefault="00CF4D03" w14:paraId="159850D8" w14:textId="77777777">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collected while maintaining </w:t>
      </w:r>
      <w:r w:rsidRPr="002420EF">
        <w:t>microbial testing results</w:t>
      </w:r>
      <w:r>
        <w:t xml:space="preserve"> could include name and email address. </w:t>
      </w:r>
      <w:r w:rsidR="008171CA">
        <w:t xml:space="preserve"> </w:t>
      </w:r>
      <w:r>
        <w:t>FDA determined that although PII is collected</w:t>
      </w:r>
      <w:r w:rsidR="008171CA">
        <w:t>,</w:t>
      </w:r>
      <w:r>
        <w:t xml:space="preserve"> it is not subject to the Privacy Act of 1974 and the particular notice and other requirements of the Act do not apply. </w:t>
      </w:r>
      <w:r w:rsidR="008171CA">
        <w:t xml:space="preserve"> </w:t>
      </w:r>
      <w:r>
        <w:t xml:space="preserve">Specifically, the contractor or FDA do not use name or any other personal identifier to routinely retrieve records from the information collected. </w:t>
      </w:r>
      <w:r w:rsidR="008171CA">
        <w:t xml:space="preserve"> </w:t>
      </w:r>
      <w:r>
        <w:t xml:space="preserve">Through appropriate submission instruction, </w:t>
      </w:r>
      <w:r w:rsidRPr="00D66147">
        <w:t xml:space="preserve">FDA </w:t>
      </w:r>
      <w:r>
        <w:t xml:space="preserve">limited submission fields and </w:t>
      </w:r>
      <w:r w:rsidRPr="00D66147">
        <w:t>minimized the PII collected to protect the privacy of the individuals.</w:t>
      </w:r>
    </w:p>
    <w:p w:rsidR="00CF4D03" w:rsidP="00CF4D03" w:rsidRDefault="00CF4D03" w14:paraId="0F62252B" w14:textId="77777777">
      <w:pPr>
        <w:ind w:left="720"/>
      </w:pPr>
    </w:p>
    <w:p w:rsidR="00CF4D03" w:rsidP="00CF4D03" w:rsidRDefault="00CF4D03" w14:paraId="4338AD06" w14:textId="77777777">
      <w:r w:rsidRPr="00C61647">
        <w:t xml:space="preserve">Under the Freedom of Information Act (FOIA) (5 U.S.C. 552), the public has broad access to government documents. </w:t>
      </w:r>
      <w:r w:rsidR="008171CA">
        <w:t xml:space="preserve"> </w:t>
      </w:r>
      <w:r w:rsidRPr="00C61647">
        <w:t xml:space="preserve">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Pr="001075D3" w:rsidR="001075D3" w:rsidP="00040DC1" w:rsidRDefault="001075D3" w14:paraId="7052A72D" w14:textId="77777777"/>
    <w:p w:rsidRPr="00357C8A" w:rsidR="00357C8A" w:rsidP="006705EA" w:rsidRDefault="00357C8A" w14:paraId="2DE46E0C" w14:textId="77777777">
      <w:pPr>
        <w:numPr>
          <w:ilvl w:val="0"/>
          <w:numId w:val="6"/>
        </w:numPr>
        <w:spacing w:after="200" w:line="276" w:lineRule="auto"/>
        <w:rPr>
          <w:rFonts w:eastAsia="Calibri"/>
        </w:rPr>
      </w:pPr>
      <w:r w:rsidRPr="00357C8A">
        <w:rPr>
          <w:rFonts w:eastAsia="Calibri"/>
          <w:u w:val="single"/>
        </w:rPr>
        <w:t>Justification for Sensitive Questions</w:t>
      </w:r>
    </w:p>
    <w:p w:rsidRPr="008E7771" w:rsidR="00357C8A" w:rsidP="0022425B" w:rsidRDefault="00357C8A" w14:paraId="2F5E9036" w14:textId="65FD357C">
      <w:pPr>
        <w:spacing w:after="200"/>
        <w:rPr>
          <w:rFonts w:eastAsia="Calibri"/>
          <w:color w:val="000000"/>
        </w:rPr>
      </w:pPr>
      <w:r w:rsidRPr="00B0766E">
        <w:rPr>
          <w:rFonts w:eastAsia="Calibri"/>
          <w:iCs/>
        </w:rPr>
        <w:t>Th</w:t>
      </w:r>
      <w:r w:rsidR="006E2DEB">
        <w:rPr>
          <w:rFonts w:eastAsia="Calibri"/>
          <w:iCs/>
        </w:rPr>
        <w:t>e</w:t>
      </w:r>
      <w:r w:rsidR="00551360">
        <w:rPr>
          <w:rFonts w:eastAsia="Calibri"/>
          <w:iCs/>
        </w:rPr>
        <w:t xml:space="preserve"> </w:t>
      </w:r>
      <w:r w:rsidRPr="00B0766E">
        <w:rPr>
          <w:rFonts w:eastAsia="Calibri"/>
          <w:iCs/>
        </w:rPr>
        <w:t xml:space="preserve">collection </w:t>
      </w:r>
      <w:r w:rsidR="006E2DEB">
        <w:rPr>
          <w:rFonts w:eastAsia="Calibri"/>
          <w:iCs/>
        </w:rPr>
        <w:t xml:space="preserve">of information </w:t>
      </w:r>
      <w:r w:rsidRPr="00B0766E">
        <w:rPr>
          <w:rFonts w:eastAsia="Calibri"/>
          <w:iCs/>
        </w:rPr>
        <w:t xml:space="preserve">does not </w:t>
      </w:r>
      <w:r w:rsidR="006E2DEB">
        <w:rPr>
          <w:rFonts w:eastAsia="Calibri"/>
          <w:iCs/>
        </w:rPr>
        <w:t xml:space="preserve">involve </w:t>
      </w:r>
      <w:r w:rsidR="004156E2">
        <w:rPr>
          <w:rFonts w:eastAsia="Calibri"/>
          <w:iCs/>
        </w:rPr>
        <w:t xml:space="preserve">sensitive </w:t>
      </w:r>
      <w:r w:rsidR="00551360">
        <w:rPr>
          <w:rFonts w:eastAsia="Calibri"/>
          <w:iCs/>
        </w:rPr>
        <w:t>questions</w:t>
      </w:r>
      <w:r w:rsidRPr="00B0766E">
        <w:rPr>
          <w:rFonts w:eastAsia="Calibri"/>
          <w:iCs/>
        </w:rPr>
        <w:t>.</w:t>
      </w:r>
    </w:p>
    <w:p w:rsidRPr="00357C8A" w:rsidR="00357C8A" w:rsidP="006705EA" w:rsidRDefault="00357C8A" w14:paraId="59CF36E4"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8E7771" w:rsidR="004A7A18" w:rsidP="004A7A18" w:rsidRDefault="004A7A18" w14:paraId="42FCE727" w14:textId="77777777">
      <w:pPr>
        <w:spacing w:after="200"/>
        <w:rPr>
          <w:rFonts w:eastAsia="Calibri"/>
          <w:color w:val="000000"/>
        </w:rPr>
      </w:pPr>
      <w:r w:rsidRPr="00B0766E">
        <w:rPr>
          <w:rFonts w:eastAsia="Calibri"/>
          <w:i/>
          <w:iCs/>
        </w:rPr>
        <w:t>Description of Respondents</w:t>
      </w:r>
      <w:r w:rsidRPr="00040DC1">
        <w:rPr>
          <w:rFonts w:eastAsia="Calibri"/>
        </w:rPr>
        <w:t>:</w:t>
      </w:r>
      <w:r w:rsidRPr="00F40B3D">
        <w:rPr>
          <w:rFonts w:eastAsia="Calibri"/>
        </w:rPr>
        <w:t xml:space="preserve"> Respondents to the information collection are domestic and foreign</w:t>
      </w:r>
      <w:r>
        <w:rPr>
          <w:rFonts w:eastAsia="Calibri"/>
        </w:rPr>
        <w:t xml:space="preserve"> </w:t>
      </w:r>
      <w:r w:rsidRPr="00F40B3D">
        <w:rPr>
          <w:rFonts w:eastAsia="Calibri"/>
        </w:rPr>
        <w:t xml:space="preserve">bottled water manufacturers that sell bottled water in the United States. </w:t>
      </w:r>
      <w:r>
        <w:rPr>
          <w:rFonts w:eastAsia="Calibri"/>
        </w:rPr>
        <w:t xml:space="preserve"> </w:t>
      </w:r>
      <w:r w:rsidRPr="00F40B3D">
        <w:rPr>
          <w:rFonts w:eastAsia="Calibri"/>
        </w:rPr>
        <w:t>Recordkeepers are from</w:t>
      </w:r>
      <w:r>
        <w:rPr>
          <w:rFonts w:eastAsia="Calibri"/>
        </w:rPr>
        <w:t xml:space="preserve"> </w:t>
      </w:r>
      <w:r w:rsidRPr="00F40B3D">
        <w:rPr>
          <w:rFonts w:eastAsia="Calibri"/>
        </w:rPr>
        <w:t>the private sector (for</w:t>
      </w:r>
      <w:r>
        <w:rPr>
          <w:rFonts w:eastAsia="Calibri"/>
        </w:rPr>
        <w:t>-</w:t>
      </w:r>
      <w:r w:rsidRPr="00F40B3D">
        <w:rPr>
          <w:rFonts w:eastAsia="Calibri"/>
        </w:rPr>
        <w:t>profit businesses).</w:t>
      </w:r>
    </w:p>
    <w:p w:rsidRPr="00040DC1" w:rsidR="00357C8A" w:rsidP="0022425B" w:rsidRDefault="00357C8A" w14:paraId="7D79A968" w14:textId="4C581517">
      <w:pPr>
        <w:spacing w:after="200"/>
        <w:ind w:left="360"/>
        <w:rPr>
          <w:rFonts w:eastAsia="Calibri"/>
          <w:i/>
          <w:iCs/>
        </w:rPr>
      </w:pPr>
      <w:r w:rsidRPr="00040DC1">
        <w:rPr>
          <w:rFonts w:eastAsia="Calibri"/>
          <w:i/>
          <w:iCs/>
        </w:rPr>
        <w:t>12a.  Annualized Hour Burden Estimate</w:t>
      </w:r>
    </w:p>
    <w:p w:rsidRPr="00F40B3D" w:rsidR="00F40B3D" w:rsidP="00040DC1" w:rsidRDefault="005D6B16" w14:paraId="3F650027" w14:textId="20C1EE1E">
      <w:pPr>
        <w:spacing w:line="480" w:lineRule="auto"/>
        <w:ind w:left="360"/>
        <w:contextualSpacing/>
      </w:pPr>
      <w:r>
        <w:t>We</w:t>
      </w:r>
      <w:r w:rsidRPr="00F40B3D" w:rsidR="00F40B3D">
        <w:t xml:space="preserve"> estimate the burden of this collection of information as follows:</w:t>
      </w:r>
    </w:p>
    <w:tbl>
      <w:tblPr>
        <w:tblW w:w="50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83"/>
        <w:gridCol w:w="1553"/>
        <w:gridCol w:w="1554"/>
        <w:gridCol w:w="1463"/>
        <w:gridCol w:w="1647"/>
        <w:gridCol w:w="1186"/>
      </w:tblGrid>
      <w:tr w:rsidRPr="00F40B3D" w:rsidR="00F40B3D" w:rsidTr="008E7771" w14:paraId="10683331" w14:textId="77777777">
        <w:trPr>
          <w:tblHeader/>
        </w:trPr>
        <w:tc>
          <w:tcPr>
            <w:tcW w:w="5000" w:type="pct"/>
            <w:gridSpan w:val="6"/>
            <w:tcBorders>
              <w:top w:val="nil"/>
              <w:left w:val="nil"/>
              <w:right w:val="nil"/>
            </w:tcBorders>
            <w:shd w:val="clear" w:color="auto" w:fill="auto"/>
          </w:tcPr>
          <w:p w:rsidRPr="00F40B3D" w:rsidR="00F40B3D" w:rsidP="00F40B3D" w:rsidRDefault="00F40B3D" w14:paraId="20C3BE4C" w14:textId="77777777">
            <w:pPr>
              <w:keepNext/>
              <w:jc w:val="center"/>
              <w:rPr>
                <w:sz w:val="20"/>
                <w:szCs w:val="20"/>
              </w:rPr>
            </w:pPr>
            <w:r w:rsidRPr="00F40B3D">
              <w:rPr>
                <w:sz w:val="20"/>
                <w:szCs w:val="20"/>
              </w:rPr>
              <w:lastRenderedPageBreak/>
              <w:t>Table 1.--Estimated Annual Recordkeeping Burden</w:t>
            </w:r>
            <w:r w:rsidRPr="00F40B3D">
              <w:rPr>
                <w:sz w:val="20"/>
                <w:szCs w:val="20"/>
                <w:vertAlign w:val="superscript"/>
              </w:rPr>
              <w:t>1</w:t>
            </w:r>
          </w:p>
        </w:tc>
      </w:tr>
      <w:tr w:rsidRPr="00F40B3D" w:rsidR="00F40B3D" w:rsidTr="008E7771" w14:paraId="63849E86" w14:textId="77777777">
        <w:trPr>
          <w:trHeight w:val="935"/>
          <w:tblHeader/>
        </w:trPr>
        <w:tc>
          <w:tcPr>
            <w:tcW w:w="1179" w:type="pct"/>
            <w:shd w:val="clear" w:color="auto" w:fill="auto"/>
          </w:tcPr>
          <w:p w:rsidRPr="00F40B3D" w:rsidR="00F40B3D" w:rsidP="00F40B3D" w:rsidRDefault="00F40B3D" w14:paraId="0880A084" w14:textId="77777777">
            <w:pPr>
              <w:keepNext/>
              <w:jc w:val="center"/>
              <w:rPr>
                <w:sz w:val="20"/>
                <w:szCs w:val="20"/>
              </w:rPr>
            </w:pPr>
            <w:r w:rsidRPr="00F40B3D">
              <w:rPr>
                <w:sz w:val="20"/>
                <w:szCs w:val="20"/>
              </w:rPr>
              <w:t>21 CFR section; Activity</w:t>
            </w:r>
          </w:p>
        </w:tc>
        <w:tc>
          <w:tcPr>
            <w:tcW w:w="802" w:type="pct"/>
            <w:shd w:val="clear" w:color="auto" w:fill="auto"/>
          </w:tcPr>
          <w:p w:rsidRPr="00F40B3D" w:rsidR="00F40B3D" w:rsidP="00F40B3D" w:rsidRDefault="00F40B3D" w14:paraId="499AA6E5" w14:textId="77777777">
            <w:pPr>
              <w:keepNext/>
              <w:jc w:val="center"/>
              <w:rPr>
                <w:sz w:val="20"/>
                <w:szCs w:val="20"/>
              </w:rPr>
            </w:pPr>
            <w:r w:rsidRPr="00F40B3D">
              <w:rPr>
                <w:sz w:val="20"/>
                <w:szCs w:val="20"/>
              </w:rPr>
              <w:t>No. of Recordkeepers</w:t>
            </w:r>
          </w:p>
        </w:tc>
        <w:tc>
          <w:tcPr>
            <w:tcW w:w="802" w:type="pct"/>
            <w:shd w:val="clear" w:color="auto" w:fill="auto"/>
          </w:tcPr>
          <w:p w:rsidRPr="00F40B3D" w:rsidR="00F40B3D" w:rsidP="00F40B3D" w:rsidRDefault="00F40B3D" w14:paraId="4D0168D8" w14:textId="77777777">
            <w:pPr>
              <w:keepNext/>
              <w:jc w:val="center"/>
              <w:rPr>
                <w:sz w:val="20"/>
                <w:szCs w:val="20"/>
              </w:rPr>
            </w:pPr>
            <w:r w:rsidRPr="00F40B3D">
              <w:rPr>
                <w:bCs/>
                <w:sz w:val="20"/>
                <w:szCs w:val="20"/>
              </w:rPr>
              <w:t>No. of Records per Recordkeeper</w:t>
            </w:r>
          </w:p>
        </w:tc>
        <w:tc>
          <w:tcPr>
            <w:tcW w:w="755" w:type="pct"/>
            <w:shd w:val="clear" w:color="auto" w:fill="auto"/>
          </w:tcPr>
          <w:p w:rsidRPr="00F40B3D" w:rsidR="00F40B3D" w:rsidP="00F40B3D" w:rsidRDefault="00F40B3D" w14:paraId="4A201583" w14:textId="77777777">
            <w:pPr>
              <w:keepNext/>
              <w:jc w:val="center"/>
              <w:rPr>
                <w:sz w:val="20"/>
                <w:szCs w:val="20"/>
              </w:rPr>
            </w:pPr>
            <w:r w:rsidRPr="00F40B3D">
              <w:rPr>
                <w:sz w:val="20"/>
                <w:szCs w:val="20"/>
              </w:rPr>
              <w:t>Total Annual Records</w:t>
            </w:r>
          </w:p>
        </w:tc>
        <w:tc>
          <w:tcPr>
            <w:tcW w:w="849" w:type="pct"/>
            <w:shd w:val="clear" w:color="auto" w:fill="auto"/>
          </w:tcPr>
          <w:p w:rsidRPr="00F40B3D" w:rsidR="00F40B3D" w:rsidP="00F40B3D" w:rsidRDefault="00F40B3D" w14:paraId="4BE623C5" w14:textId="77777777">
            <w:pPr>
              <w:keepNext/>
              <w:jc w:val="center"/>
              <w:rPr>
                <w:sz w:val="20"/>
                <w:szCs w:val="20"/>
              </w:rPr>
            </w:pPr>
            <w:r w:rsidRPr="00F40B3D">
              <w:rPr>
                <w:bCs/>
                <w:sz w:val="20"/>
                <w:szCs w:val="20"/>
              </w:rPr>
              <w:t xml:space="preserve">Average Burden per Recordkeeping </w:t>
            </w:r>
          </w:p>
        </w:tc>
        <w:tc>
          <w:tcPr>
            <w:tcW w:w="612" w:type="pct"/>
            <w:shd w:val="clear" w:color="auto" w:fill="auto"/>
          </w:tcPr>
          <w:p w:rsidRPr="00F40B3D" w:rsidR="00F40B3D" w:rsidP="00F40B3D" w:rsidRDefault="00F40B3D" w14:paraId="56F72CF5" w14:textId="77777777">
            <w:pPr>
              <w:keepNext/>
              <w:jc w:val="center"/>
              <w:rPr>
                <w:sz w:val="20"/>
                <w:szCs w:val="20"/>
              </w:rPr>
            </w:pPr>
            <w:r w:rsidRPr="00F40B3D">
              <w:rPr>
                <w:sz w:val="20"/>
                <w:szCs w:val="20"/>
              </w:rPr>
              <w:t>To</w:t>
            </w:r>
            <w:r w:rsidR="00742DA9">
              <w:rPr>
                <w:sz w:val="20"/>
                <w:szCs w:val="20"/>
              </w:rPr>
              <w:t>t</w:t>
            </w:r>
            <w:r w:rsidRPr="00F40B3D">
              <w:rPr>
                <w:sz w:val="20"/>
                <w:szCs w:val="20"/>
              </w:rPr>
              <w:t>al Hours</w:t>
            </w:r>
          </w:p>
        </w:tc>
      </w:tr>
      <w:tr w:rsidRPr="00F40B3D" w:rsidR="00F40B3D" w:rsidTr="00B0766E" w14:paraId="385FB376" w14:textId="77777777">
        <w:trPr>
          <w:trHeight w:val="998"/>
        </w:trPr>
        <w:tc>
          <w:tcPr>
            <w:tcW w:w="1179" w:type="pct"/>
            <w:shd w:val="clear" w:color="auto" w:fill="auto"/>
          </w:tcPr>
          <w:p w:rsidRPr="00F40B3D" w:rsidR="00F40B3D" w:rsidP="00F40B3D" w:rsidRDefault="00F40B3D" w14:paraId="71C26D9E" w14:textId="65806B8B">
            <w:pPr>
              <w:keepNext/>
              <w:rPr>
                <w:sz w:val="20"/>
                <w:szCs w:val="20"/>
              </w:rPr>
            </w:pPr>
            <w:r w:rsidRPr="00F40B3D">
              <w:rPr>
                <w:sz w:val="20"/>
                <w:szCs w:val="20"/>
              </w:rPr>
              <w:t>129.35(a)(3)(i)</w:t>
            </w:r>
            <w:r w:rsidR="00551360">
              <w:rPr>
                <w:sz w:val="20"/>
                <w:szCs w:val="20"/>
              </w:rPr>
              <w:t>,</w:t>
            </w:r>
            <w:r w:rsidRPr="00F40B3D">
              <w:rPr>
                <w:sz w:val="20"/>
                <w:szCs w:val="20"/>
              </w:rPr>
              <w:t xml:space="preserve">  129.80(h); bottlers subject to source water and finished product testing</w:t>
            </w:r>
          </w:p>
        </w:tc>
        <w:tc>
          <w:tcPr>
            <w:tcW w:w="802" w:type="pct"/>
            <w:shd w:val="clear" w:color="auto" w:fill="auto"/>
          </w:tcPr>
          <w:p w:rsidRPr="00F40B3D" w:rsidR="00F40B3D" w:rsidP="00F40B3D" w:rsidRDefault="00F40B3D" w14:paraId="4AF438AA" w14:textId="77777777">
            <w:pPr>
              <w:keepNext/>
              <w:jc w:val="right"/>
              <w:rPr>
                <w:sz w:val="20"/>
                <w:szCs w:val="20"/>
              </w:rPr>
            </w:pPr>
            <w:r w:rsidRPr="00F40B3D">
              <w:rPr>
                <w:sz w:val="20"/>
                <w:szCs w:val="20"/>
              </w:rPr>
              <w:t>319</w:t>
            </w:r>
          </w:p>
        </w:tc>
        <w:tc>
          <w:tcPr>
            <w:tcW w:w="802" w:type="pct"/>
            <w:shd w:val="clear" w:color="auto" w:fill="auto"/>
          </w:tcPr>
          <w:p w:rsidRPr="00F40B3D" w:rsidR="00F40B3D" w:rsidP="00F40B3D" w:rsidRDefault="00F40B3D" w14:paraId="162EABC0" w14:textId="77777777">
            <w:pPr>
              <w:keepNext/>
              <w:jc w:val="right"/>
              <w:rPr>
                <w:sz w:val="20"/>
                <w:szCs w:val="20"/>
              </w:rPr>
            </w:pPr>
            <w:r w:rsidRPr="00F40B3D">
              <w:rPr>
                <w:sz w:val="20"/>
                <w:szCs w:val="20"/>
              </w:rPr>
              <w:t>6</w:t>
            </w:r>
          </w:p>
        </w:tc>
        <w:tc>
          <w:tcPr>
            <w:tcW w:w="755" w:type="pct"/>
            <w:shd w:val="clear" w:color="auto" w:fill="auto"/>
          </w:tcPr>
          <w:p w:rsidRPr="00F40B3D" w:rsidR="00F40B3D" w:rsidP="00F40B3D" w:rsidRDefault="00F40B3D" w14:paraId="177F9DFF" w14:textId="77777777">
            <w:pPr>
              <w:keepNext/>
              <w:jc w:val="right"/>
              <w:rPr>
                <w:sz w:val="20"/>
                <w:szCs w:val="20"/>
              </w:rPr>
            </w:pPr>
            <w:r w:rsidRPr="00F40B3D">
              <w:rPr>
                <w:sz w:val="20"/>
                <w:szCs w:val="20"/>
              </w:rPr>
              <w:t>1,914</w:t>
            </w:r>
          </w:p>
        </w:tc>
        <w:tc>
          <w:tcPr>
            <w:tcW w:w="849" w:type="pct"/>
            <w:shd w:val="clear" w:color="auto" w:fill="auto"/>
          </w:tcPr>
          <w:p w:rsidRPr="00F40B3D" w:rsidR="00F40B3D" w:rsidP="00F40B3D" w:rsidRDefault="00F40B3D" w14:paraId="15DD10C9" w14:textId="77777777">
            <w:pPr>
              <w:keepNext/>
              <w:jc w:val="right"/>
              <w:rPr>
                <w:sz w:val="20"/>
                <w:szCs w:val="20"/>
              </w:rPr>
            </w:pPr>
            <w:r w:rsidRPr="00F40B3D">
              <w:rPr>
                <w:sz w:val="20"/>
                <w:szCs w:val="20"/>
              </w:rPr>
              <w:t>0.08</w:t>
            </w:r>
          </w:p>
          <w:p w:rsidRPr="00F40B3D" w:rsidR="00F40B3D" w:rsidP="00F40B3D" w:rsidRDefault="00F40B3D" w14:paraId="5CD9BDFE" w14:textId="77777777">
            <w:pPr>
              <w:keepNext/>
              <w:jc w:val="right"/>
              <w:rPr>
                <w:sz w:val="20"/>
                <w:szCs w:val="20"/>
              </w:rPr>
            </w:pPr>
            <w:r w:rsidRPr="00F40B3D">
              <w:rPr>
                <w:sz w:val="20"/>
                <w:szCs w:val="20"/>
              </w:rPr>
              <w:t>(5 minutes)</w:t>
            </w:r>
          </w:p>
        </w:tc>
        <w:tc>
          <w:tcPr>
            <w:tcW w:w="612" w:type="pct"/>
            <w:shd w:val="clear" w:color="auto" w:fill="auto"/>
          </w:tcPr>
          <w:p w:rsidRPr="00F40B3D" w:rsidR="00F40B3D" w:rsidP="00F40B3D" w:rsidRDefault="00F40B3D" w14:paraId="285AA459" w14:textId="77777777">
            <w:pPr>
              <w:keepNext/>
              <w:jc w:val="right"/>
              <w:rPr>
                <w:sz w:val="20"/>
                <w:szCs w:val="20"/>
              </w:rPr>
            </w:pPr>
            <w:r w:rsidRPr="00F40B3D">
              <w:rPr>
                <w:sz w:val="20"/>
                <w:szCs w:val="20"/>
              </w:rPr>
              <w:t>153</w:t>
            </w:r>
          </w:p>
        </w:tc>
      </w:tr>
      <w:tr w:rsidRPr="00F40B3D" w:rsidR="00F40B3D" w:rsidTr="00B0766E" w14:paraId="04CAEE8E" w14:textId="77777777">
        <w:trPr>
          <w:trHeight w:val="881"/>
        </w:trPr>
        <w:tc>
          <w:tcPr>
            <w:tcW w:w="1179" w:type="pct"/>
            <w:shd w:val="clear" w:color="auto" w:fill="auto"/>
          </w:tcPr>
          <w:p w:rsidRPr="00F40B3D" w:rsidR="00F40B3D" w:rsidP="00F40B3D" w:rsidRDefault="00F40B3D" w14:paraId="4A749A7F" w14:textId="6659AA4A">
            <w:pPr>
              <w:keepNext/>
              <w:rPr>
                <w:sz w:val="20"/>
                <w:szCs w:val="20"/>
              </w:rPr>
            </w:pPr>
            <w:r w:rsidRPr="00F40B3D">
              <w:rPr>
                <w:sz w:val="20"/>
                <w:szCs w:val="20"/>
              </w:rPr>
              <w:t>129.80(g)</w:t>
            </w:r>
            <w:r w:rsidR="00AF67DD">
              <w:rPr>
                <w:sz w:val="20"/>
                <w:szCs w:val="20"/>
              </w:rPr>
              <w:t>, 129.80</w:t>
            </w:r>
            <w:r w:rsidRPr="00F40B3D">
              <w:rPr>
                <w:sz w:val="20"/>
                <w:szCs w:val="20"/>
              </w:rPr>
              <w:t xml:space="preserve">(h); bottlers </w:t>
            </w:r>
            <w:r w:rsidR="00AF67DD">
              <w:rPr>
                <w:sz w:val="20"/>
                <w:szCs w:val="20"/>
              </w:rPr>
              <w:t>testing</w:t>
            </w:r>
            <w:r w:rsidRPr="00F40B3D">
              <w:rPr>
                <w:sz w:val="20"/>
                <w:szCs w:val="20"/>
              </w:rPr>
              <w:t xml:space="preserve"> finished product </w:t>
            </w:r>
            <w:r w:rsidR="00AF67DD">
              <w:rPr>
                <w:sz w:val="20"/>
                <w:szCs w:val="20"/>
              </w:rPr>
              <w:t xml:space="preserve">only </w:t>
            </w:r>
          </w:p>
        </w:tc>
        <w:tc>
          <w:tcPr>
            <w:tcW w:w="802" w:type="pct"/>
            <w:shd w:val="clear" w:color="auto" w:fill="auto"/>
          </w:tcPr>
          <w:p w:rsidRPr="00F40B3D" w:rsidR="00F40B3D" w:rsidP="00F40B3D" w:rsidRDefault="00F40B3D" w14:paraId="7657D1CD" w14:textId="77777777">
            <w:pPr>
              <w:keepNext/>
              <w:jc w:val="right"/>
              <w:rPr>
                <w:sz w:val="20"/>
                <w:szCs w:val="20"/>
              </w:rPr>
            </w:pPr>
            <w:r w:rsidRPr="00F40B3D">
              <w:rPr>
                <w:sz w:val="20"/>
                <w:szCs w:val="20"/>
              </w:rPr>
              <w:t>95</w:t>
            </w:r>
          </w:p>
        </w:tc>
        <w:tc>
          <w:tcPr>
            <w:tcW w:w="802" w:type="pct"/>
            <w:shd w:val="clear" w:color="auto" w:fill="auto"/>
          </w:tcPr>
          <w:p w:rsidRPr="00F40B3D" w:rsidR="00F40B3D" w:rsidP="00F40B3D" w:rsidRDefault="00F40B3D" w14:paraId="2218933F" w14:textId="77777777">
            <w:pPr>
              <w:keepNext/>
              <w:jc w:val="right"/>
              <w:rPr>
                <w:sz w:val="20"/>
                <w:szCs w:val="20"/>
              </w:rPr>
            </w:pPr>
            <w:r w:rsidRPr="00F40B3D">
              <w:rPr>
                <w:sz w:val="20"/>
                <w:szCs w:val="20"/>
              </w:rPr>
              <w:t>3</w:t>
            </w:r>
          </w:p>
        </w:tc>
        <w:tc>
          <w:tcPr>
            <w:tcW w:w="755" w:type="pct"/>
            <w:shd w:val="clear" w:color="auto" w:fill="auto"/>
          </w:tcPr>
          <w:p w:rsidRPr="00F40B3D" w:rsidR="00F40B3D" w:rsidP="00F40B3D" w:rsidRDefault="00F40B3D" w14:paraId="23D58F69" w14:textId="77777777">
            <w:pPr>
              <w:keepNext/>
              <w:jc w:val="right"/>
              <w:rPr>
                <w:sz w:val="20"/>
                <w:szCs w:val="20"/>
              </w:rPr>
            </w:pPr>
            <w:r w:rsidRPr="00F40B3D">
              <w:rPr>
                <w:sz w:val="20"/>
                <w:szCs w:val="20"/>
              </w:rPr>
              <w:t>285</w:t>
            </w:r>
          </w:p>
        </w:tc>
        <w:tc>
          <w:tcPr>
            <w:tcW w:w="849" w:type="pct"/>
            <w:shd w:val="clear" w:color="auto" w:fill="auto"/>
          </w:tcPr>
          <w:p w:rsidRPr="00F40B3D" w:rsidR="00F40B3D" w:rsidP="00F40B3D" w:rsidRDefault="00F40B3D" w14:paraId="52EB7979" w14:textId="77777777">
            <w:pPr>
              <w:jc w:val="right"/>
              <w:rPr>
                <w:sz w:val="20"/>
                <w:szCs w:val="20"/>
              </w:rPr>
            </w:pPr>
            <w:r w:rsidRPr="00F40B3D">
              <w:rPr>
                <w:sz w:val="20"/>
                <w:szCs w:val="20"/>
              </w:rPr>
              <w:t>0.08</w:t>
            </w:r>
          </w:p>
          <w:p w:rsidRPr="00F40B3D" w:rsidR="00F40B3D" w:rsidP="00F40B3D" w:rsidRDefault="00F40B3D" w14:paraId="2E9FF7FE" w14:textId="77777777">
            <w:pPr>
              <w:jc w:val="right"/>
              <w:rPr>
                <w:sz w:val="20"/>
                <w:szCs w:val="20"/>
              </w:rPr>
            </w:pPr>
            <w:r w:rsidRPr="00F40B3D">
              <w:rPr>
                <w:sz w:val="20"/>
                <w:szCs w:val="20"/>
              </w:rPr>
              <w:t>(5 minutes)</w:t>
            </w:r>
          </w:p>
        </w:tc>
        <w:tc>
          <w:tcPr>
            <w:tcW w:w="612" w:type="pct"/>
            <w:shd w:val="clear" w:color="auto" w:fill="auto"/>
          </w:tcPr>
          <w:p w:rsidRPr="00F40B3D" w:rsidR="00F40B3D" w:rsidP="00F40B3D" w:rsidRDefault="00F40B3D" w14:paraId="49F9875E" w14:textId="77777777">
            <w:pPr>
              <w:keepNext/>
              <w:jc w:val="right"/>
              <w:rPr>
                <w:sz w:val="20"/>
                <w:szCs w:val="20"/>
              </w:rPr>
            </w:pPr>
            <w:r w:rsidRPr="00F40B3D">
              <w:rPr>
                <w:sz w:val="20"/>
                <w:szCs w:val="20"/>
              </w:rPr>
              <w:t>23</w:t>
            </w:r>
          </w:p>
        </w:tc>
      </w:tr>
      <w:tr w:rsidRPr="00F40B3D" w:rsidR="00F40B3D" w:rsidTr="00B0766E" w14:paraId="04DCBFE6" w14:textId="77777777">
        <w:trPr>
          <w:trHeight w:val="1070"/>
        </w:trPr>
        <w:tc>
          <w:tcPr>
            <w:tcW w:w="1179" w:type="pct"/>
            <w:shd w:val="clear" w:color="auto" w:fill="auto"/>
          </w:tcPr>
          <w:p w:rsidRPr="00F40B3D" w:rsidR="00F40B3D" w:rsidP="00F40B3D" w:rsidRDefault="00F40B3D" w14:paraId="782E630C" w14:textId="135E8F22">
            <w:pPr>
              <w:keepNext/>
              <w:rPr>
                <w:sz w:val="20"/>
                <w:szCs w:val="20"/>
              </w:rPr>
            </w:pPr>
            <w:r w:rsidRPr="00F40B3D">
              <w:rPr>
                <w:sz w:val="20"/>
                <w:szCs w:val="20"/>
              </w:rPr>
              <w:t>129.35(a)(3)(i)</w:t>
            </w:r>
            <w:r w:rsidR="00AF67DD">
              <w:rPr>
                <w:sz w:val="20"/>
                <w:szCs w:val="20"/>
              </w:rPr>
              <w:t xml:space="preserve">, </w:t>
            </w:r>
            <w:r w:rsidRPr="00F40B3D">
              <w:rPr>
                <w:sz w:val="20"/>
                <w:szCs w:val="20"/>
              </w:rPr>
              <w:t xml:space="preserve"> 129.80(h); bottlers conducting secondary testing of source water</w:t>
            </w:r>
          </w:p>
        </w:tc>
        <w:tc>
          <w:tcPr>
            <w:tcW w:w="802" w:type="pct"/>
            <w:shd w:val="clear" w:color="auto" w:fill="auto"/>
          </w:tcPr>
          <w:p w:rsidRPr="00F40B3D" w:rsidR="00F40B3D" w:rsidP="00F40B3D" w:rsidRDefault="00F40B3D" w14:paraId="269ABCAC" w14:textId="77777777">
            <w:pPr>
              <w:keepNext/>
              <w:jc w:val="right"/>
              <w:rPr>
                <w:sz w:val="20"/>
                <w:szCs w:val="20"/>
              </w:rPr>
            </w:pPr>
            <w:r w:rsidRPr="00F40B3D">
              <w:rPr>
                <w:sz w:val="20"/>
                <w:szCs w:val="20"/>
              </w:rPr>
              <w:t>3</w:t>
            </w:r>
          </w:p>
        </w:tc>
        <w:tc>
          <w:tcPr>
            <w:tcW w:w="802" w:type="pct"/>
            <w:shd w:val="clear" w:color="auto" w:fill="auto"/>
          </w:tcPr>
          <w:p w:rsidRPr="00F40B3D" w:rsidR="00F40B3D" w:rsidP="00F40B3D" w:rsidRDefault="00F40B3D" w14:paraId="1944C8F6" w14:textId="77777777">
            <w:pPr>
              <w:keepNext/>
              <w:jc w:val="right"/>
              <w:rPr>
                <w:sz w:val="20"/>
                <w:szCs w:val="20"/>
              </w:rPr>
            </w:pPr>
            <w:r w:rsidRPr="00F40B3D">
              <w:rPr>
                <w:sz w:val="20"/>
                <w:szCs w:val="20"/>
              </w:rPr>
              <w:t>5</w:t>
            </w:r>
          </w:p>
        </w:tc>
        <w:tc>
          <w:tcPr>
            <w:tcW w:w="755" w:type="pct"/>
            <w:shd w:val="clear" w:color="auto" w:fill="auto"/>
          </w:tcPr>
          <w:p w:rsidRPr="00F40B3D" w:rsidR="00F40B3D" w:rsidP="00F40B3D" w:rsidRDefault="00F40B3D" w14:paraId="7EDE3ADD" w14:textId="77777777">
            <w:pPr>
              <w:keepNext/>
              <w:jc w:val="right"/>
              <w:rPr>
                <w:sz w:val="20"/>
                <w:szCs w:val="20"/>
              </w:rPr>
            </w:pPr>
            <w:r w:rsidRPr="00F40B3D">
              <w:rPr>
                <w:sz w:val="20"/>
                <w:szCs w:val="20"/>
              </w:rPr>
              <w:t>15</w:t>
            </w:r>
          </w:p>
        </w:tc>
        <w:tc>
          <w:tcPr>
            <w:tcW w:w="849" w:type="pct"/>
            <w:shd w:val="clear" w:color="auto" w:fill="auto"/>
          </w:tcPr>
          <w:p w:rsidRPr="00F40B3D" w:rsidR="00F40B3D" w:rsidP="00F40B3D" w:rsidRDefault="00F40B3D" w14:paraId="2E8524A6" w14:textId="77777777">
            <w:pPr>
              <w:jc w:val="right"/>
              <w:rPr>
                <w:sz w:val="20"/>
                <w:szCs w:val="20"/>
              </w:rPr>
            </w:pPr>
            <w:r w:rsidRPr="00F40B3D">
              <w:rPr>
                <w:sz w:val="20"/>
                <w:szCs w:val="20"/>
              </w:rPr>
              <w:t>0.08</w:t>
            </w:r>
          </w:p>
          <w:p w:rsidRPr="00F40B3D" w:rsidR="00F40B3D" w:rsidP="00F40B3D" w:rsidRDefault="00F40B3D" w14:paraId="44DBD197" w14:textId="77777777">
            <w:pPr>
              <w:jc w:val="right"/>
              <w:rPr>
                <w:sz w:val="20"/>
                <w:szCs w:val="20"/>
              </w:rPr>
            </w:pPr>
            <w:r w:rsidRPr="00F40B3D">
              <w:rPr>
                <w:sz w:val="20"/>
                <w:szCs w:val="20"/>
              </w:rPr>
              <w:t>(5 minutes)</w:t>
            </w:r>
          </w:p>
        </w:tc>
        <w:tc>
          <w:tcPr>
            <w:tcW w:w="612" w:type="pct"/>
            <w:shd w:val="clear" w:color="auto" w:fill="auto"/>
          </w:tcPr>
          <w:p w:rsidRPr="00F40B3D" w:rsidR="00F40B3D" w:rsidP="00F40B3D" w:rsidRDefault="00F40B3D" w14:paraId="40046D2A" w14:textId="77777777">
            <w:pPr>
              <w:keepNext/>
              <w:jc w:val="right"/>
              <w:rPr>
                <w:sz w:val="20"/>
                <w:szCs w:val="20"/>
              </w:rPr>
            </w:pPr>
            <w:r w:rsidRPr="00F40B3D">
              <w:rPr>
                <w:sz w:val="20"/>
                <w:szCs w:val="20"/>
              </w:rPr>
              <w:t>1</w:t>
            </w:r>
          </w:p>
        </w:tc>
      </w:tr>
      <w:tr w:rsidRPr="00F40B3D" w:rsidR="00F40B3D" w:rsidTr="00B0766E" w14:paraId="4A342A5E" w14:textId="77777777">
        <w:trPr>
          <w:trHeight w:val="890"/>
        </w:trPr>
        <w:tc>
          <w:tcPr>
            <w:tcW w:w="1179" w:type="pct"/>
            <w:shd w:val="clear" w:color="auto" w:fill="auto"/>
          </w:tcPr>
          <w:p w:rsidRPr="00F40B3D" w:rsidR="00F40B3D" w:rsidP="00F40B3D" w:rsidRDefault="00F40B3D" w14:paraId="23BA93A7" w14:textId="4B545427">
            <w:pPr>
              <w:keepNext/>
              <w:rPr>
                <w:sz w:val="20"/>
                <w:szCs w:val="20"/>
              </w:rPr>
            </w:pPr>
            <w:r w:rsidRPr="00F40B3D">
              <w:rPr>
                <w:sz w:val="20"/>
                <w:szCs w:val="20"/>
              </w:rPr>
              <w:t>129.35(a)(3)(i)</w:t>
            </w:r>
            <w:r w:rsidR="00AF67DD">
              <w:rPr>
                <w:sz w:val="20"/>
                <w:szCs w:val="20"/>
              </w:rPr>
              <w:t>,</w:t>
            </w:r>
            <w:r w:rsidRPr="00F40B3D">
              <w:rPr>
                <w:sz w:val="20"/>
                <w:szCs w:val="20"/>
              </w:rPr>
              <w:t xml:space="preserve">  129.80(h); bottlers rectifying contamination</w:t>
            </w:r>
          </w:p>
          <w:p w:rsidRPr="00F40B3D" w:rsidR="00F40B3D" w:rsidP="00F40B3D" w:rsidRDefault="00F40B3D" w14:paraId="47BF30E1" w14:textId="77777777">
            <w:pPr>
              <w:keepNext/>
              <w:rPr>
                <w:sz w:val="20"/>
                <w:szCs w:val="20"/>
              </w:rPr>
            </w:pPr>
          </w:p>
        </w:tc>
        <w:tc>
          <w:tcPr>
            <w:tcW w:w="802" w:type="pct"/>
            <w:shd w:val="clear" w:color="auto" w:fill="auto"/>
          </w:tcPr>
          <w:p w:rsidRPr="00F40B3D" w:rsidR="00F40B3D" w:rsidP="00F40B3D" w:rsidRDefault="00F40B3D" w14:paraId="0CC2FEF5" w14:textId="77777777">
            <w:pPr>
              <w:keepNext/>
              <w:jc w:val="right"/>
              <w:rPr>
                <w:sz w:val="20"/>
                <w:szCs w:val="20"/>
              </w:rPr>
            </w:pPr>
            <w:r w:rsidRPr="00F40B3D">
              <w:rPr>
                <w:sz w:val="20"/>
                <w:szCs w:val="20"/>
              </w:rPr>
              <w:t>3</w:t>
            </w:r>
          </w:p>
        </w:tc>
        <w:tc>
          <w:tcPr>
            <w:tcW w:w="802" w:type="pct"/>
            <w:shd w:val="clear" w:color="auto" w:fill="auto"/>
          </w:tcPr>
          <w:p w:rsidRPr="00F40B3D" w:rsidR="00F40B3D" w:rsidP="00F40B3D" w:rsidRDefault="00F40B3D" w14:paraId="2FBBC0F7" w14:textId="77777777">
            <w:pPr>
              <w:keepNext/>
              <w:jc w:val="right"/>
              <w:rPr>
                <w:sz w:val="20"/>
                <w:szCs w:val="20"/>
              </w:rPr>
            </w:pPr>
            <w:r w:rsidRPr="00F40B3D">
              <w:rPr>
                <w:sz w:val="20"/>
                <w:szCs w:val="20"/>
              </w:rPr>
              <w:t>3</w:t>
            </w:r>
          </w:p>
        </w:tc>
        <w:tc>
          <w:tcPr>
            <w:tcW w:w="755" w:type="pct"/>
            <w:shd w:val="clear" w:color="auto" w:fill="auto"/>
          </w:tcPr>
          <w:p w:rsidRPr="00F40B3D" w:rsidR="00F40B3D" w:rsidP="00F40B3D" w:rsidRDefault="00F40B3D" w14:paraId="50E693E7" w14:textId="77777777">
            <w:pPr>
              <w:keepNext/>
              <w:jc w:val="right"/>
              <w:rPr>
                <w:sz w:val="20"/>
                <w:szCs w:val="20"/>
              </w:rPr>
            </w:pPr>
            <w:r w:rsidRPr="00F40B3D">
              <w:rPr>
                <w:sz w:val="20"/>
                <w:szCs w:val="20"/>
              </w:rPr>
              <w:t>9</w:t>
            </w:r>
          </w:p>
        </w:tc>
        <w:tc>
          <w:tcPr>
            <w:tcW w:w="849" w:type="pct"/>
            <w:shd w:val="clear" w:color="auto" w:fill="auto"/>
          </w:tcPr>
          <w:p w:rsidRPr="00F40B3D" w:rsidR="00F40B3D" w:rsidP="00F40B3D" w:rsidRDefault="00F40B3D" w14:paraId="38C4EC65" w14:textId="77777777">
            <w:pPr>
              <w:jc w:val="right"/>
              <w:rPr>
                <w:sz w:val="20"/>
                <w:szCs w:val="20"/>
              </w:rPr>
            </w:pPr>
            <w:r w:rsidRPr="00F40B3D">
              <w:rPr>
                <w:sz w:val="20"/>
                <w:szCs w:val="20"/>
              </w:rPr>
              <w:t>0.25</w:t>
            </w:r>
          </w:p>
          <w:p w:rsidRPr="00F40B3D" w:rsidR="00F40B3D" w:rsidP="00F40B3D" w:rsidRDefault="00F40B3D" w14:paraId="75ADB29C" w14:textId="77777777">
            <w:pPr>
              <w:jc w:val="right"/>
              <w:rPr>
                <w:sz w:val="20"/>
                <w:szCs w:val="20"/>
              </w:rPr>
            </w:pPr>
            <w:r w:rsidRPr="00F40B3D">
              <w:rPr>
                <w:sz w:val="20"/>
                <w:szCs w:val="20"/>
              </w:rPr>
              <w:t>(15 minutes)</w:t>
            </w:r>
          </w:p>
        </w:tc>
        <w:tc>
          <w:tcPr>
            <w:tcW w:w="612" w:type="pct"/>
            <w:shd w:val="clear" w:color="auto" w:fill="auto"/>
          </w:tcPr>
          <w:p w:rsidRPr="00F40B3D" w:rsidR="00F40B3D" w:rsidP="00F40B3D" w:rsidRDefault="00F40B3D" w14:paraId="23A9F54C" w14:textId="77777777">
            <w:pPr>
              <w:keepNext/>
              <w:jc w:val="right"/>
              <w:rPr>
                <w:sz w:val="20"/>
                <w:szCs w:val="20"/>
              </w:rPr>
            </w:pPr>
            <w:r w:rsidRPr="00F40B3D">
              <w:rPr>
                <w:sz w:val="20"/>
                <w:szCs w:val="20"/>
              </w:rPr>
              <w:t>2</w:t>
            </w:r>
          </w:p>
        </w:tc>
      </w:tr>
      <w:tr w:rsidRPr="00F40B3D" w:rsidR="00F40B3D" w:rsidTr="008E7771" w14:paraId="02E15582" w14:textId="77777777">
        <w:tc>
          <w:tcPr>
            <w:tcW w:w="4388" w:type="pct"/>
            <w:gridSpan w:val="5"/>
            <w:shd w:val="clear" w:color="auto" w:fill="auto"/>
          </w:tcPr>
          <w:p w:rsidRPr="00F40B3D" w:rsidR="00F40B3D" w:rsidP="00F40B3D" w:rsidRDefault="00F40B3D" w14:paraId="4E4A361C" w14:textId="77777777">
            <w:pPr>
              <w:keepNext/>
              <w:rPr>
                <w:sz w:val="20"/>
                <w:szCs w:val="20"/>
              </w:rPr>
            </w:pPr>
            <w:r w:rsidRPr="00F40B3D">
              <w:rPr>
                <w:sz w:val="20"/>
                <w:szCs w:val="20"/>
              </w:rPr>
              <w:t>Total</w:t>
            </w:r>
          </w:p>
        </w:tc>
        <w:tc>
          <w:tcPr>
            <w:tcW w:w="612" w:type="pct"/>
            <w:shd w:val="clear" w:color="auto" w:fill="auto"/>
          </w:tcPr>
          <w:p w:rsidRPr="00F40B3D" w:rsidR="00F40B3D" w:rsidP="00F40B3D" w:rsidRDefault="00F40B3D" w14:paraId="100AA179" w14:textId="77777777">
            <w:pPr>
              <w:keepNext/>
              <w:jc w:val="right"/>
              <w:rPr>
                <w:sz w:val="20"/>
                <w:szCs w:val="20"/>
              </w:rPr>
            </w:pPr>
            <w:r w:rsidRPr="00F40B3D">
              <w:rPr>
                <w:sz w:val="20"/>
                <w:szCs w:val="20"/>
              </w:rPr>
              <w:t>179</w:t>
            </w:r>
          </w:p>
        </w:tc>
      </w:tr>
    </w:tbl>
    <w:p w:rsidRPr="00F40B3D" w:rsidR="00F40B3D" w:rsidP="00F40B3D" w:rsidRDefault="00F40B3D" w14:paraId="199A18B2" w14:textId="7D2D321B">
      <w:pPr>
        <w:rPr>
          <w:sz w:val="20"/>
          <w:szCs w:val="20"/>
        </w:rPr>
      </w:pPr>
      <w:r w:rsidRPr="00F40B3D">
        <w:rPr>
          <w:sz w:val="20"/>
          <w:szCs w:val="20"/>
          <w:vertAlign w:val="superscript"/>
        </w:rPr>
        <w:t>1</w:t>
      </w:r>
      <w:r w:rsidRPr="00F40B3D">
        <w:rPr>
          <w:sz w:val="20"/>
          <w:szCs w:val="20"/>
        </w:rPr>
        <w:t>There are no capital costs or operating and maintenance costs associated with this collection of information.</w:t>
      </w:r>
    </w:p>
    <w:p w:rsidR="00F40B3D" w:rsidP="00F40B3D" w:rsidRDefault="00F40B3D" w14:paraId="47B22E8C" w14:textId="77777777">
      <w:pPr>
        <w:rPr>
          <w:szCs w:val="20"/>
        </w:rPr>
      </w:pPr>
    </w:p>
    <w:p w:rsidR="00F40B3D" w:rsidP="005D6B16" w:rsidRDefault="00AF67DD" w14:paraId="19B07F16" w14:textId="49E84320">
      <w:pPr>
        <w:ind w:left="360"/>
        <w:rPr>
          <w:szCs w:val="20"/>
        </w:rPr>
      </w:pPr>
      <w:r>
        <w:rPr>
          <w:szCs w:val="20"/>
        </w:rPr>
        <w:t>C</w:t>
      </w:r>
      <w:r w:rsidRPr="00F40B3D" w:rsidR="00F40B3D">
        <w:rPr>
          <w:szCs w:val="20"/>
        </w:rPr>
        <w:t xml:space="preserve">urrent CGMP regulations already reflect the time and associated recordkeeping costs for those bottlers that are required to conduct microbiological testing of their source water, as well as total coliform testing of their finished bottled water products.  We therefore conclude that any additional burden and costs in recordkeeping based on follow-up testing that is required if any coliform organisms detected in the source water test positive for </w:t>
      </w:r>
      <w:r w:rsidRPr="00F40B3D" w:rsidR="00F40B3D">
        <w:rPr>
          <w:i/>
          <w:szCs w:val="20"/>
        </w:rPr>
        <w:t>E. coli</w:t>
      </w:r>
      <w:r w:rsidRPr="00F40B3D" w:rsidR="00F40B3D">
        <w:rPr>
          <w:szCs w:val="20"/>
        </w:rPr>
        <w:t xml:space="preserve"> are negligible.  </w:t>
      </w:r>
    </w:p>
    <w:p w:rsidRPr="00F40B3D" w:rsidR="00472213" w:rsidP="00B0766E" w:rsidRDefault="00472213" w14:paraId="23083ABF" w14:textId="77777777">
      <w:pPr>
        <w:rPr>
          <w:szCs w:val="20"/>
        </w:rPr>
      </w:pPr>
    </w:p>
    <w:p w:rsidRPr="00040DC1" w:rsidR="00472213" w:rsidP="00040DC1" w:rsidRDefault="00357C8A" w14:paraId="0DC27D5E" w14:textId="77777777">
      <w:pPr>
        <w:spacing w:after="200"/>
        <w:ind w:left="360"/>
        <w:rPr>
          <w:rFonts w:eastAsia="Calibri"/>
          <w:i/>
          <w:iCs/>
        </w:rPr>
      </w:pPr>
      <w:r w:rsidRPr="00040DC1">
        <w:rPr>
          <w:rFonts w:eastAsia="Calibri"/>
          <w:i/>
          <w:iCs/>
        </w:rPr>
        <w:t>12b.  Annualized Cost Burden Estimate</w:t>
      </w:r>
    </w:p>
    <w:p w:rsidR="00357C8A" w:rsidP="005D6B16" w:rsidRDefault="00357C8A" w14:paraId="795039AA" w14:textId="77777777">
      <w:pPr>
        <w:ind w:left="360"/>
        <w:rPr>
          <w:rFonts w:eastAsia="Calibri"/>
        </w:rPr>
      </w:pPr>
      <w:r w:rsidRPr="00357C8A">
        <w:rPr>
          <w:rFonts w:eastAsia="Calibri"/>
        </w:rPr>
        <w:t xml:space="preserve">All wages rates </w:t>
      </w:r>
      <w:r w:rsidR="00F40B3D">
        <w:rPr>
          <w:rFonts w:eastAsia="Calibri"/>
        </w:rPr>
        <w:t>are</w:t>
      </w:r>
      <w:r w:rsidRPr="00357C8A">
        <w:rPr>
          <w:rFonts w:eastAsia="Calibri"/>
        </w:rPr>
        <w:t xml:space="preserve"> </w:t>
      </w:r>
      <w:r w:rsidRPr="00357C8A" w:rsidR="00B0766E">
        <w:rPr>
          <w:rFonts w:eastAsia="Calibri"/>
        </w:rPr>
        <w:t>fully loaded</w:t>
      </w:r>
      <w:r w:rsidR="00B0766E">
        <w:rPr>
          <w:rFonts w:eastAsia="Calibri"/>
        </w:rPr>
        <w:t xml:space="preserve"> </w:t>
      </w:r>
      <w:r w:rsidR="00F40B3D">
        <w:rPr>
          <w:rFonts w:eastAsia="Calibri"/>
        </w:rPr>
        <w:t>to</w:t>
      </w:r>
      <w:r w:rsidRPr="00357C8A">
        <w:rPr>
          <w:rFonts w:eastAsia="Calibri"/>
        </w:rPr>
        <w:t xml:space="preserve"> reflect the full cost of labor including fringe benefits.</w:t>
      </w:r>
    </w:p>
    <w:p w:rsidR="00A707CC" w:rsidP="0022425B" w:rsidRDefault="00A707CC" w14:paraId="15C129A5" w14:textId="77777777">
      <w:pPr>
        <w:rPr>
          <w:rFonts w:eastAsia="Calibri"/>
        </w:rPr>
      </w:pPr>
    </w:p>
    <w:p w:rsidRPr="00040DC1" w:rsidR="004B4F6D" w:rsidP="00040DC1" w:rsidRDefault="004B4F6D" w14:paraId="2E674E39" w14:textId="77777777">
      <w:pPr>
        <w:jc w:val="center"/>
        <w:rPr>
          <w:rFonts w:eastAsia="Calibri"/>
          <w:sz w:val="20"/>
          <w:szCs w:val="20"/>
        </w:rPr>
      </w:pPr>
      <w:r w:rsidRPr="00040DC1">
        <w:rPr>
          <w:rFonts w:eastAsia="Calibri"/>
          <w:sz w:val="20"/>
          <w:szCs w:val="20"/>
        </w:rPr>
        <w:t>Table 2.--Estimated Annual Cost Burden</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90"/>
        <w:gridCol w:w="1944"/>
        <w:gridCol w:w="1926"/>
      </w:tblGrid>
      <w:tr w:rsidRPr="00040DC1" w:rsidR="00A707CC" w:rsidTr="00312622" w14:paraId="0CE54A4F" w14:textId="77777777">
        <w:tc>
          <w:tcPr>
            <w:tcW w:w="2520" w:type="dxa"/>
            <w:shd w:val="clear" w:color="auto" w:fill="auto"/>
          </w:tcPr>
          <w:p w:rsidRPr="00040DC1" w:rsidR="00A707CC" w:rsidP="00312622" w:rsidRDefault="00A707CC" w14:paraId="4C30ABC9" w14:textId="77777777">
            <w:pPr>
              <w:jc w:val="center"/>
              <w:rPr>
                <w:sz w:val="20"/>
                <w:szCs w:val="20"/>
              </w:rPr>
            </w:pPr>
            <w:r w:rsidRPr="00040DC1">
              <w:rPr>
                <w:sz w:val="20"/>
                <w:szCs w:val="20"/>
              </w:rPr>
              <w:t>Type of Respondent</w:t>
            </w:r>
          </w:p>
        </w:tc>
        <w:tc>
          <w:tcPr>
            <w:tcW w:w="1890" w:type="dxa"/>
            <w:shd w:val="clear" w:color="auto" w:fill="auto"/>
          </w:tcPr>
          <w:p w:rsidRPr="00040DC1" w:rsidR="00A707CC" w:rsidP="00312622" w:rsidRDefault="00A707CC" w14:paraId="023B1803" w14:textId="77777777">
            <w:pPr>
              <w:jc w:val="center"/>
              <w:rPr>
                <w:sz w:val="20"/>
                <w:szCs w:val="20"/>
              </w:rPr>
            </w:pPr>
            <w:r w:rsidRPr="00040DC1">
              <w:rPr>
                <w:sz w:val="20"/>
                <w:szCs w:val="20"/>
              </w:rPr>
              <w:t>Total Burden Hours</w:t>
            </w:r>
          </w:p>
        </w:tc>
        <w:tc>
          <w:tcPr>
            <w:tcW w:w="1944" w:type="dxa"/>
            <w:shd w:val="clear" w:color="auto" w:fill="auto"/>
          </w:tcPr>
          <w:p w:rsidRPr="00040DC1" w:rsidR="00A707CC" w:rsidP="00312622" w:rsidRDefault="00A707CC" w14:paraId="3014E456" w14:textId="77777777">
            <w:pPr>
              <w:jc w:val="center"/>
              <w:rPr>
                <w:sz w:val="20"/>
                <w:szCs w:val="20"/>
              </w:rPr>
            </w:pPr>
            <w:r w:rsidRPr="00040DC1">
              <w:rPr>
                <w:sz w:val="20"/>
                <w:szCs w:val="20"/>
              </w:rPr>
              <w:t>Hourly Wage Rate</w:t>
            </w:r>
          </w:p>
        </w:tc>
        <w:tc>
          <w:tcPr>
            <w:tcW w:w="1926" w:type="dxa"/>
            <w:shd w:val="clear" w:color="auto" w:fill="auto"/>
          </w:tcPr>
          <w:p w:rsidRPr="00040DC1" w:rsidR="00A707CC" w:rsidP="00312622" w:rsidRDefault="00A707CC" w14:paraId="2C888865" w14:textId="77777777">
            <w:pPr>
              <w:jc w:val="center"/>
              <w:rPr>
                <w:sz w:val="20"/>
                <w:szCs w:val="20"/>
              </w:rPr>
            </w:pPr>
            <w:r w:rsidRPr="00040DC1">
              <w:rPr>
                <w:sz w:val="20"/>
                <w:szCs w:val="20"/>
              </w:rPr>
              <w:t>Total Respondent Costs</w:t>
            </w:r>
          </w:p>
        </w:tc>
      </w:tr>
      <w:tr w:rsidRPr="00040DC1" w:rsidR="00A707CC" w:rsidTr="00312622" w14:paraId="242E6DA9" w14:textId="77777777">
        <w:tc>
          <w:tcPr>
            <w:tcW w:w="2520" w:type="dxa"/>
            <w:shd w:val="clear" w:color="auto" w:fill="auto"/>
          </w:tcPr>
          <w:p w:rsidRPr="00040DC1" w:rsidR="00A707CC" w:rsidP="008C3C07" w:rsidRDefault="00F40B3D" w14:paraId="53607457" w14:textId="77777777">
            <w:pPr>
              <w:rPr>
                <w:sz w:val="20"/>
                <w:szCs w:val="20"/>
              </w:rPr>
            </w:pPr>
            <w:r w:rsidRPr="00040DC1">
              <w:rPr>
                <w:sz w:val="20"/>
                <w:szCs w:val="20"/>
              </w:rPr>
              <w:t>Bottlers</w:t>
            </w:r>
          </w:p>
        </w:tc>
        <w:tc>
          <w:tcPr>
            <w:tcW w:w="1890" w:type="dxa"/>
            <w:shd w:val="clear" w:color="auto" w:fill="auto"/>
          </w:tcPr>
          <w:p w:rsidRPr="00040DC1" w:rsidR="00A707CC" w:rsidP="008C3C07" w:rsidRDefault="00F40B3D" w14:paraId="365C1DED" w14:textId="77777777">
            <w:pPr>
              <w:rPr>
                <w:sz w:val="20"/>
                <w:szCs w:val="20"/>
              </w:rPr>
            </w:pPr>
            <w:r w:rsidRPr="00040DC1">
              <w:rPr>
                <w:sz w:val="20"/>
                <w:szCs w:val="20"/>
              </w:rPr>
              <w:t>179</w:t>
            </w:r>
          </w:p>
        </w:tc>
        <w:tc>
          <w:tcPr>
            <w:tcW w:w="1944" w:type="dxa"/>
            <w:shd w:val="clear" w:color="auto" w:fill="auto"/>
          </w:tcPr>
          <w:p w:rsidRPr="00040DC1" w:rsidR="00A707CC" w:rsidP="008C3C07" w:rsidRDefault="00F40B3D" w14:paraId="06F4CB4B" w14:textId="77777777">
            <w:pPr>
              <w:rPr>
                <w:sz w:val="20"/>
                <w:szCs w:val="20"/>
              </w:rPr>
            </w:pPr>
            <w:r w:rsidRPr="00040DC1">
              <w:rPr>
                <w:sz w:val="20"/>
                <w:szCs w:val="20"/>
              </w:rPr>
              <w:t>$</w:t>
            </w:r>
            <w:r w:rsidRPr="00040DC1" w:rsidR="003427EB">
              <w:rPr>
                <w:sz w:val="20"/>
                <w:szCs w:val="20"/>
              </w:rPr>
              <w:t>86.08</w:t>
            </w:r>
          </w:p>
        </w:tc>
        <w:tc>
          <w:tcPr>
            <w:tcW w:w="1926" w:type="dxa"/>
            <w:shd w:val="clear" w:color="auto" w:fill="auto"/>
          </w:tcPr>
          <w:p w:rsidRPr="00040DC1" w:rsidR="00A707CC" w:rsidP="008C3C07" w:rsidRDefault="00F40B3D" w14:paraId="7827A694" w14:textId="77777777">
            <w:pPr>
              <w:rPr>
                <w:sz w:val="20"/>
                <w:szCs w:val="20"/>
              </w:rPr>
            </w:pPr>
            <w:r w:rsidRPr="00040DC1">
              <w:rPr>
                <w:sz w:val="20"/>
                <w:szCs w:val="20"/>
              </w:rPr>
              <w:t>$</w:t>
            </w:r>
            <w:r w:rsidRPr="00040DC1" w:rsidR="003427EB">
              <w:rPr>
                <w:sz w:val="20"/>
                <w:szCs w:val="20"/>
              </w:rPr>
              <w:t>15,408.32</w:t>
            </w:r>
          </w:p>
        </w:tc>
      </w:tr>
    </w:tbl>
    <w:p w:rsidR="00357C8A" w:rsidP="00357C8A" w:rsidRDefault="00357C8A" w14:paraId="2431A378" w14:textId="77777777">
      <w:pPr>
        <w:rPr>
          <w:rFonts w:eastAsia="Calibri"/>
        </w:rPr>
      </w:pPr>
    </w:p>
    <w:p w:rsidR="00F40B3D" w:rsidP="00040DC1" w:rsidRDefault="00F40B3D" w14:paraId="1F58F97A" w14:textId="77777777">
      <w:pPr>
        <w:ind w:left="360"/>
        <w:rPr>
          <w:rFonts w:eastAsia="Calibri"/>
        </w:rPr>
      </w:pPr>
      <w:r w:rsidRPr="00F40B3D">
        <w:rPr>
          <w:rFonts w:eastAsia="Calibri"/>
        </w:rPr>
        <w:t xml:space="preserve">Assuming an average hourly wage for employees retaining records to be equivalent to a GS-12/Step-1 level in the Washington-Baltimore-Northern Virginia region </w:t>
      </w:r>
      <w:r>
        <w:rPr>
          <w:rFonts w:eastAsia="Calibri"/>
        </w:rPr>
        <w:t>in 202</w:t>
      </w:r>
      <w:r w:rsidR="003427EB">
        <w:rPr>
          <w:rFonts w:eastAsia="Calibri"/>
        </w:rPr>
        <w:t>2</w:t>
      </w:r>
      <w:r>
        <w:rPr>
          <w:rFonts w:eastAsia="Calibri"/>
        </w:rPr>
        <w:t xml:space="preserve"> </w:t>
      </w:r>
      <w:r w:rsidRPr="00F40B3D">
        <w:rPr>
          <w:rFonts w:eastAsia="Calibri"/>
        </w:rPr>
        <w:t>($</w:t>
      </w:r>
      <w:r w:rsidR="00024A48">
        <w:rPr>
          <w:rFonts w:eastAsia="Calibri"/>
        </w:rPr>
        <w:t>4</w:t>
      </w:r>
      <w:r w:rsidR="003427EB">
        <w:rPr>
          <w:rFonts w:eastAsia="Calibri"/>
        </w:rPr>
        <w:t>3</w:t>
      </w:r>
      <w:r w:rsidRPr="00F40B3D">
        <w:rPr>
          <w:rFonts w:eastAsia="Calibri"/>
        </w:rPr>
        <w:t>.</w:t>
      </w:r>
      <w:r w:rsidR="003427EB">
        <w:rPr>
          <w:rFonts w:eastAsia="Calibri"/>
        </w:rPr>
        <w:t>04</w:t>
      </w:r>
      <w:r w:rsidRPr="00F40B3D">
        <w:rPr>
          <w:rFonts w:eastAsia="Calibri"/>
        </w:rPr>
        <w:t>/hour), and</w:t>
      </w:r>
      <w:r w:rsidR="00024A48">
        <w:rPr>
          <w:rFonts w:eastAsia="Calibri"/>
        </w:rPr>
        <w:t xml:space="preserve"> </w:t>
      </w:r>
      <w:r w:rsidRPr="00F40B3D">
        <w:rPr>
          <w:rFonts w:eastAsia="Calibri"/>
        </w:rPr>
        <w:t>doubling this wage to account for overhead costs, we calculate a total annual cost to respondents</w:t>
      </w:r>
      <w:r w:rsidR="00024A48">
        <w:rPr>
          <w:rFonts w:eastAsia="Calibri"/>
        </w:rPr>
        <w:t xml:space="preserve"> </w:t>
      </w:r>
      <w:r w:rsidRPr="00F40B3D">
        <w:rPr>
          <w:rFonts w:eastAsia="Calibri"/>
        </w:rPr>
        <w:t>of cumulative cost of $</w:t>
      </w:r>
      <w:r w:rsidR="003427EB">
        <w:rPr>
          <w:rFonts w:eastAsia="Calibri"/>
        </w:rPr>
        <w:t>15,408.32</w:t>
      </w:r>
      <w:r w:rsidRPr="00F40B3D">
        <w:rPr>
          <w:rFonts w:eastAsia="Calibri"/>
        </w:rPr>
        <w:t xml:space="preserve"> (179 burden hours x $</w:t>
      </w:r>
      <w:r w:rsidR="00024A48">
        <w:rPr>
          <w:rFonts w:eastAsia="Calibri"/>
        </w:rPr>
        <w:t>8</w:t>
      </w:r>
      <w:r w:rsidR="003427EB">
        <w:rPr>
          <w:rFonts w:eastAsia="Calibri"/>
        </w:rPr>
        <w:t>6.08</w:t>
      </w:r>
      <w:r w:rsidRPr="00F40B3D">
        <w:rPr>
          <w:rFonts w:eastAsia="Calibri"/>
        </w:rPr>
        <w:t>/hr).</w:t>
      </w:r>
    </w:p>
    <w:p w:rsidRPr="00357C8A" w:rsidR="00F40B3D" w:rsidP="00357C8A" w:rsidRDefault="00F40B3D" w14:paraId="336790B7" w14:textId="77777777">
      <w:pPr>
        <w:rPr>
          <w:rFonts w:eastAsia="Calibri"/>
        </w:rPr>
      </w:pPr>
    </w:p>
    <w:p w:rsidRPr="00357C8A" w:rsidR="00357C8A" w:rsidP="006705EA" w:rsidRDefault="00357C8A" w14:paraId="27279CB1"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024A48" w14:paraId="35B2EE78" w14:textId="77777777">
      <w:pPr>
        <w:spacing w:after="200" w:line="276" w:lineRule="auto"/>
        <w:rPr>
          <w:rFonts w:eastAsia="Calibri"/>
          <w:u w:val="single"/>
        </w:rPr>
      </w:pPr>
      <w:r w:rsidRPr="00024A48">
        <w:rPr>
          <w:rFonts w:eastAsia="Calibri"/>
        </w:rPr>
        <w:t>There are no capital, start-up, operating, or maintenance costs associated with this collection.</w:t>
      </w:r>
    </w:p>
    <w:p w:rsidRPr="00357C8A" w:rsidR="00357C8A" w:rsidP="006705EA" w:rsidRDefault="00357C8A" w14:paraId="2C7345F7"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024A48" w14:paraId="5D4FDC6F" w14:textId="77777777">
      <w:pPr>
        <w:spacing w:after="200"/>
        <w:rPr>
          <w:rFonts w:eastAsia="Calibri"/>
        </w:rPr>
      </w:pPr>
      <w:r w:rsidRPr="00024A48">
        <w:rPr>
          <w:rFonts w:eastAsia="Calibri"/>
        </w:rPr>
        <w:t xml:space="preserve">Our review of the retained records occurs as part of an inspection. </w:t>
      </w:r>
      <w:r>
        <w:rPr>
          <w:rFonts w:eastAsia="Calibri"/>
        </w:rPr>
        <w:t xml:space="preserve"> </w:t>
      </w:r>
      <w:r w:rsidRPr="00024A48">
        <w:rPr>
          <w:rFonts w:eastAsia="Calibri"/>
        </w:rPr>
        <w:t>We allocate 5 hours per</w:t>
      </w:r>
      <w:r>
        <w:rPr>
          <w:rFonts w:eastAsia="Calibri"/>
        </w:rPr>
        <w:t xml:space="preserve"> </w:t>
      </w:r>
      <w:r w:rsidRPr="00024A48">
        <w:rPr>
          <w:rFonts w:eastAsia="Calibri"/>
        </w:rPr>
        <w:t xml:space="preserve">inspection to the review of records. </w:t>
      </w:r>
      <w:r>
        <w:rPr>
          <w:rFonts w:eastAsia="Calibri"/>
        </w:rPr>
        <w:t xml:space="preserve"> </w:t>
      </w:r>
      <w:r w:rsidRPr="00024A48">
        <w:rPr>
          <w:rFonts w:eastAsia="Calibri"/>
        </w:rPr>
        <w:t xml:space="preserve">Assuming an hourly cost for review and evaluation </w:t>
      </w:r>
      <w:r w:rsidR="004B4F6D">
        <w:rPr>
          <w:rFonts w:eastAsia="Calibri"/>
        </w:rPr>
        <w:t xml:space="preserve">for an employee </w:t>
      </w:r>
      <w:r w:rsidRPr="00024A48">
        <w:rPr>
          <w:rFonts w:eastAsia="Calibri"/>
        </w:rPr>
        <w:t>at a base</w:t>
      </w:r>
      <w:r>
        <w:rPr>
          <w:rFonts w:eastAsia="Calibri"/>
        </w:rPr>
        <w:t xml:space="preserve"> </w:t>
      </w:r>
      <w:r w:rsidRPr="00024A48">
        <w:rPr>
          <w:rFonts w:eastAsia="Calibri"/>
        </w:rPr>
        <w:t>rate of $</w:t>
      </w:r>
      <w:r>
        <w:rPr>
          <w:rFonts w:eastAsia="Calibri"/>
        </w:rPr>
        <w:t>4</w:t>
      </w:r>
      <w:r w:rsidR="003427EB">
        <w:rPr>
          <w:rFonts w:eastAsia="Calibri"/>
        </w:rPr>
        <w:t>3.04</w:t>
      </w:r>
      <w:r w:rsidRPr="00024A48">
        <w:rPr>
          <w:rFonts w:eastAsia="Calibri"/>
        </w:rPr>
        <w:t xml:space="preserve"> per hour</w:t>
      </w:r>
      <w:r w:rsidR="004B4F6D">
        <w:rPr>
          <w:rFonts w:eastAsia="Calibri"/>
        </w:rPr>
        <w:t>,</w:t>
      </w:r>
      <w:r w:rsidRPr="00024A48">
        <w:rPr>
          <w:rFonts w:eastAsia="Calibri"/>
        </w:rPr>
        <w:t xml:space="preserve"> </w:t>
      </w:r>
      <w:r w:rsidR="004B4F6D">
        <w:rPr>
          <w:rFonts w:eastAsia="Calibri"/>
        </w:rPr>
        <w:t>which is the</w:t>
      </w:r>
      <w:r w:rsidRPr="00024A48">
        <w:rPr>
          <w:rFonts w:eastAsia="Calibri"/>
        </w:rPr>
        <w:t xml:space="preserve"> </w:t>
      </w:r>
      <w:r>
        <w:rPr>
          <w:rFonts w:eastAsia="Calibri"/>
        </w:rPr>
        <w:t xml:space="preserve">GS-12/Step 1 level in the </w:t>
      </w:r>
      <w:r w:rsidRPr="00024A48">
        <w:rPr>
          <w:rFonts w:eastAsia="Calibri"/>
        </w:rPr>
        <w:t>Washington-</w:t>
      </w:r>
      <w:r w:rsidRPr="00024A48">
        <w:rPr>
          <w:rFonts w:eastAsia="Calibri"/>
        </w:rPr>
        <w:lastRenderedPageBreak/>
        <w:t xml:space="preserve">Baltimore-Northern Virginia </w:t>
      </w:r>
      <w:r w:rsidR="004B4F6D">
        <w:rPr>
          <w:rFonts w:eastAsia="Calibri"/>
        </w:rPr>
        <w:t xml:space="preserve">area </w:t>
      </w:r>
      <w:r w:rsidR="003427EB">
        <w:rPr>
          <w:rFonts w:eastAsia="Calibri"/>
        </w:rPr>
        <w:t>in 2022</w:t>
      </w:r>
      <w:r w:rsidRPr="00024A48">
        <w:rPr>
          <w:rFonts w:eastAsia="Calibri"/>
        </w:rPr>
        <w:t>, and</w:t>
      </w:r>
      <w:r>
        <w:rPr>
          <w:rFonts w:eastAsia="Calibri"/>
        </w:rPr>
        <w:t xml:space="preserve"> </w:t>
      </w:r>
      <w:r w:rsidRPr="00024A48">
        <w:rPr>
          <w:rFonts w:eastAsia="Calibri"/>
        </w:rPr>
        <w:t>multiplying that figure by 5 hours equals $</w:t>
      </w:r>
      <w:r w:rsidR="003427EB">
        <w:rPr>
          <w:rFonts w:eastAsia="Calibri"/>
        </w:rPr>
        <w:t>215.20</w:t>
      </w:r>
      <w:r w:rsidRPr="00024A48">
        <w:rPr>
          <w:rFonts w:eastAsia="Calibri"/>
        </w:rPr>
        <w:t xml:space="preserve">. </w:t>
      </w:r>
      <w:r>
        <w:rPr>
          <w:rFonts w:eastAsia="Calibri"/>
        </w:rPr>
        <w:t xml:space="preserve"> </w:t>
      </w:r>
      <w:r w:rsidRPr="00024A48">
        <w:rPr>
          <w:rFonts w:eastAsia="Calibri"/>
        </w:rPr>
        <w:t>We increase this figure by 100% to account</w:t>
      </w:r>
      <w:r>
        <w:rPr>
          <w:rFonts w:eastAsia="Calibri"/>
        </w:rPr>
        <w:t xml:space="preserve"> </w:t>
      </w:r>
      <w:r w:rsidRPr="00024A48">
        <w:rPr>
          <w:rFonts w:eastAsia="Calibri"/>
        </w:rPr>
        <w:t>for overhead, making the total annualized cost to the Federal Government $</w:t>
      </w:r>
      <w:r w:rsidR="003427EB">
        <w:rPr>
          <w:rFonts w:eastAsia="Calibri"/>
        </w:rPr>
        <w:t>430.40</w:t>
      </w:r>
      <w:r w:rsidRPr="00024A48">
        <w:rPr>
          <w:rFonts w:eastAsia="Calibri"/>
        </w:rPr>
        <w:t xml:space="preserve"> per review.</w:t>
      </w:r>
      <w:r>
        <w:rPr>
          <w:rFonts w:eastAsia="Calibri"/>
        </w:rPr>
        <w:t xml:space="preserve">  </w:t>
      </w:r>
      <w:r w:rsidRPr="00024A48">
        <w:rPr>
          <w:rFonts w:eastAsia="Calibri"/>
        </w:rPr>
        <w:t>Assuming we perform approximately 143 inspections per year, the total cost to the Federal</w:t>
      </w:r>
      <w:r>
        <w:rPr>
          <w:rFonts w:eastAsia="Calibri"/>
        </w:rPr>
        <w:t xml:space="preserve"> </w:t>
      </w:r>
      <w:r w:rsidRPr="00024A48">
        <w:rPr>
          <w:rFonts w:eastAsia="Calibri"/>
        </w:rPr>
        <w:t>government is $</w:t>
      </w:r>
      <w:r w:rsidR="003427EB">
        <w:rPr>
          <w:rFonts w:eastAsia="Calibri"/>
        </w:rPr>
        <w:t>61,547.20</w:t>
      </w:r>
      <w:r w:rsidRPr="00024A48">
        <w:rPr>
          <w:rFonts w:eastAsia="Calibri"/>
        </w:rPr>
        <w:t>.</w:t>
      </w:r>
    </w:p>
    <w:p w:rsidR="00357C8A" w:rsidP="006705EA" w:rsidRDefault="00357C8A" w14:paraId="5BC88802"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8E7771" w:rsidR="00357C8A" w:rsidP="00357C8A" w:rsidRDefault="00F40B3D" w14:paraId="37168DF8" w14:textId="77777777">
      <w:pPr>
        <w:spacing w:after="200"/>
        <w:rPr>
          <w:rFonts w:eastAsia="Calibri"/>
          <w:color w:val="000000"/>
        </w:rPr>
      </w:pPr>
      <w:r w:rsidRPr="00F40B3D">
        <w:rPr>
          <w:rFonts w:eastAsia="Calibri"/>
        </w:rPr>
        <w:t>Based on a review of the information collection since our last request for OMB approval, we have made no adjustments to our burden estimate.</w:t>
      </w:r>
    </w:p>
    <w:p w:rsidRPr="00357C8A" w:rsidR="00357C8A" w:rsidP="006705EA" w:rsidRDefault="00357C8A" w14:paraId="77512361"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8E7771" w:rsidR="00357C8A" w:rsidP="00357C8A" w:rsidRDefault="00357C8A" w14:paraId="7EC73A98" w14:textId="77777777">
      <w:pPr>
        <w:spacing w:after="200"/>
        <w:rPr>
          <w:rFonts w:eastAsia="Calibri"/>
          <w:color w:val="000000"/>
        </w:rPr>
      </w:pPr>
      <w:r w:rsidRPr="005C71CA">
        <w:rPr>
          <w:rFonts w:eastAsia="Calibri"/>
        </w:rPr>
        <w:t>Th</w:t>
      </w:r>
      <w:r w:rsidR="00B0766E">
        <w:rPr>
          <w:rFonts w:eastAsia="Calibri"/>
        </w:rPr>
        <w:t>e</w:t>
      </w:r>
      <w:r w:rsidRPr="005C71CA">
        <w:rPr>
          <w:rFonts w:eastAsia="Calibri"/>
        </w:rPr>
        <w:t xml:space="preserve"> information collected will not be published or tabulated.</w:t>
      </w:r>
    </w:p>
    <w:p w:rsidRPr="00357C8A" w:rsidR="00357C8A" w:rsidP="006705EA" w:rsidRDefault="00357C8A" w14:paraId="3C1FCAE3"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8E7771" w:rsidR="00357C8A" w:rsidP="00357C8A" w:rsidRDefault="00B0766E" w14:paraId="2AB72F12" w14:textId="77777777">
      <w:pPr>
        <w:spacing w:after="200"/>
        <w:rPr>
          <w:rFonts w:eastAsia="Calibri"/>
          <w:color w:val="000000"/>
        </w:rPr>
      </w:pPr>
      <w:r w:rsidRPr="00B0766E">
        <w:rPr>
          <w:rFonts w:eastAsia="Calibri"/>
        </w:rPr>
        <w:t>Display of the OMB expiration date is appropriate.</w:t>
      </w:r>
    </w:p>
    <w:p w:rsidRPr="00357C8A" w:rsidR="00357C8A" w:rsidP="006705EA" w:rsidRDefault="00357C8A" w14:paraId="50959FC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B0766E" w:rsidRDefault="00B0766E" w14:paraId="171E7D44" w14:textId="77777777">
      <w:pPr>
        <w:spacing w:after="200"/>
        <w:rPr>
          <w:rFonts w:eastAsia="Calibri"/>
        </w:rPr>
      </w:pPr>
      <w:r w:rsidRPr="00B0766E">
        <w:rPr>
          <w:rFonts w:eastAsia="Calibri"/>
        </w:rPr>
        <w:t>There are no exceptions to the certification.</w:t>
      </w:r>
    </w:p>
    <w:sectPr w:rsidRPr="00C20690" w:rsidR="00544138" w:rsidSect="005C71CA">
      <w:footerReference w:type="even" r:id="rId8"/>
      <w:footerReference w:type="default" r:id="rId9"/>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B2991" w14:textId="77777777" w:rsidR="00622AFD" w:rsidRDefault="00622AFD">
      <w:r>
        <w:separator/>
      </w:r>
    </w:p>
  </w:endnote>
  <w:endnote w:type="continuationSeparator" w:id="0">
    <w:p w14:paraId="6A6DBF4E" w14:textId="77777777" w:rsidR="00622AFD" w:rsidRDefault="0062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45106"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2518DC"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F524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10049E07"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85E7E" w14:textId="77777777" w:rsidR="00622AFD" w:rsidRDefault="00622AFD">
      <w:r>
        <w:separator/>
      </w:r>
    </w:p>
  </w:footnote>
  <w:footnote w:type="continuationSeparator" w:id="0">
    <w:p w14:paraId="735FA8BB" w14:textId="77777777" w:rsidR="00622AFD" w:rsidRDefault="00622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72F5"/>
    <w:rsid w:val="00024A48"/>
    <w:rsid w:val="00031A2C"/>
    <w:rsid w:val="00040DC1"/>
    <w:rsid w:val="00042B93"/>
    <w:rsid w:val="00043C7F"/>
    <w:rsid w:val="000467A8"/>
    <w:rsid w:val="0006570F"/>
    <w:rsid w:val="00075DE8"/>
    <w:rsid w:val="00077792"/>
    <w:rsid w:val="00087439"/>
    <w:rsid w:val="00094111"/>
    <w:rsid w:val="000A4213"/>
    <w:rsid w:val="000B1C73"/>
    <w:rsid w:val="000C1260"/>
    <w:rsid w:val="000C560C"/>
    <w:rsid w:val="000D080B"/>
    <w:rsid w:val="000D48FD"/>
    <w:rsid w:val="000D79CC"/>
    <w:rsid w:val="000E1C64"/>
    <w:rsid w:val="000F7119"/>
    <w:rsid w:val="00100739"/>
    <w:rsid w:val="0010493E"/>
    <w:rsid w:val="001075D3"/>
    <w:rsid w:val="00107885"/>
    <w:rsid w:val="00114FC4"/>
    <w:rsid w:val="001202C8"/>
    <w:rsid w:val="0012329C"/>
    <w:rsid w:val="00134FA7"/>
    <w:rsid w:val="00137950"/>
    <w:rsid w:val="00152F29"/>
    <w:rsid w:val="00154AD2"/>
    <w:rsid w:val="00161DE4"/>
    <w:rsid w:val="00174D54"/>
    <w:rsid w:val="0017702C"/>
    <w:rsid w:val="00185270"/>
    <w:rsid w:val="001A3B5A"/>
    <w:rsid w:val="001B62D8"/>
    <w:rsid w:val="001B7CE9"/>
    <w:rsid w:val="001D495A"/>
    <w:rsid w:val="001E244C"/>
    <w:rsid w:val="001F1437"/>
    <w:rsid w:val="00206799"/>
    <w:rsid w:val="002074FE"/>
    <w:rsid w:val="0022425B"/>
    <w:rsid w:val="002259EF"/>
    <w:rsid w:val="0024230A"/>
    <w:rsid w:val="00242ED1"/>
    <w:rsid w:val="002444BB"/>
    <w:rsid w:val="00254069"/>
    <w:rsid w:val="00270748"/>
    <w:rsid w:val="002734E5"/>
    <w:rsid w:val="00273C02"/>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0410F"/>
    <w:rsid w:val="003113FF"/>
    <w:rsid w:val="00312622"/>
    <w:rsid w:val="0032277F"/>
    <w:rsid w:val="00327F47"/>
    <w:rsid w:val="00336B69"/>
    <w:rsid w:val="003427EB"/>
    <w:rsid w:val="0034302B"/>
    <w:rsid w:val="00350523"/>
    <w:rsid w:val="0035189D"/>
    <w:rsid w:val="00355B62"/>
    <w:rsid w:val="00357C8A"/>
    <w:rsid w:val="00360DB4"/>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6E2"/>
    <w:rsid w:val="00415E23"/>
    <w:rsid w:val="0041670D"/>
    <w:rsid w:val="00423272"/>
    <w:rsid w:val="00424061"/>
    <w:rsid w:val="00427F75"/>
    <w:rsid w:val="00442A3C"/>
    <w:rsid w:val="0044359F"/>
    <w:rsid w:val="00443969"/>
    <w:rsid w:val="00447D74"/>
    <w:rsid w:val="00450A74"/>
    <w:rsid w:val="004546BF"/>
    <w:rsid w:val="00465350"/>
    <w:rsid w:val="00472213"/>
    <w:rsid w:val="00476B91"/>
    <w:rsid w:val="004846BF"/>
    <w:rsid w:val="00494912"/>
    <w:rsid w:val="0049523E"/>
    <w:rsid w:val="004A5323"/>
    <w:rsid w:val="004A5A99"/>
    <w:rsid w:val="004A7A18"/>
    <w:rsid w:val="004B4F6D"/>
    <w:rsid w:val="004C6979"/>
    <w:rsid w:val="004D13A2"/>
    <w:rsid w:val="004D3E7A"/>
    <w:rsid w:val="004F594B"/>
    <w:rsid w:val="004F61E1"/>
    <w:rsid w:val="00527FED"/>
    <w:rsid w:val="0053380B"/>
    <w:rsid w:val="00543194"/>
    <w:rsid w:val="00544138"/>
    <w:rsid w:val="00551360"/>
    <w:rsid w:val="00554E34"/>
    <w:rsid w:val="00584583"/>
    <w:rsid w:val="00590E90"/>
    <w:rsid w:val="00590EEB"/>
    <w:rsid w:val="005A4099"/>
    <w:rsid w:val="005A6E31"/>
    <w:rsid w:val="005C38B2"/>
    <w:rsid w:val="005C5029"/>
    <w:rsid w:val="005C55C2"/>
    <w:rsid w:val="005C71CA"/>
    <w:rsid w:val="005C745C"/>
    <w:rsid w:val="005D4DF5"/>
    <w:rsid w:val="005D6B16"/>
    <w:rsid w:val="005E04E2"/>
    <w:rsid w:val="005E42BA"/>
    <w:rsid w:val="005F10AE"/>
    <w:rsid w:val="00611D6B"/>
    <w:rsid w:val="00622AFD"/>
    <w:rsid w:val="006326EC"/>
    <w:rsid w:val="00663A42"/>
    <w:rsid w:val="006641C7"/>
    <w:rsid w:val="006705EA"/>
    <w:rsid w:val="00670BE2"/>
    <w:rsid w:val="006916D9"/>
    <w:rsid w:val="006A0E05"/>
    <w:rsid w:val="006A26C6"/>
    <w:rsid w:val="006A465A"/>
    <w:rsid w:val="006A50CF"/>
    <w:rsid w:val="006A7D5D"/>
    <w:rsid w:val="006D0C12"/>
    <w:rsid w:val="006D165D"/>
    <w:rsid w:val="006D5217"/>
    <w:rsid w:val="006D5D57"/>
    <w:rsid w:val="006E2538"/>
    <w:rsid w:val="006E2DEB"/>
    <w:rsid w:val="006E302F"/>
    <w:rsid w:val="006F4D6D"/>
    <w:rsid w:val="00705086"/>
    <w:rsid w:val="00722001"/>
    <w:rsid w:val="00742DA9"/>
    <w:rsid w:val="00751E66"/>
    <w:rsid w:val="00754497"/>
    <w:rsid w:val="00787C39"/>
    <w:rsid w:val="007912A7"/>
    <w:rsid w:val="00792947"/>
    <w:rsid w:val="00795DF3"/>
    <w:rsid w:val="007A373C"/>
    <w:rsid w:val="007B225C"/>
    <w:rsid w:val="007C32AE"/>
    <w:rsid w:val="007C75B1"/>
    <w:rsid w:val="007D3DFC"/>
    <w:rsid w:val="007E2F07"/>
    <w:rsid w:val="007E59A8"/>
    <w:rsid w:val="0080776D"/>
    <w:rsid w:val="00810145"/>
    <w:rsid w:val="008108FA"/>
    <w:rsid w:val="00810FF1"/>
    <w:rsid w:val="008171CA"/>
    <w:rsid w:val="00822336"/>
    <w:rsid w:val="00823DFA"/>
    <w:rsid w:val="00842DB7"/>
    <w:rsid w:val="00843752"/>
    <w:rsid w:val="0084479F"/>
    <w:rsid w:val="0085725E"/>
    <w:rsid w:val="00873D4F"/>
    <w:rsid w:val="0087509F"/>
    <w:rsid w:val="00880246"/>
    <w:rsid w:val="00885B09"/>
    <w:rsid w:val="00892400"/>
    <w:rsid w:val="008A209D"/>
    <w:rsid w:val="008A22BB"/>
    <w:rsid w:val="008B035D"/>
    <w:rsid w:val="008B0E29"/>
    <w:rsid w:val="008B0EFA"/>
    <w:rsid w:val="008B30AB"/>
    <w:rsid w:val="008C3BB8"/>
    <w:rsid w:val="008C3C07"/>
    <w:rsid w:val="008C4B65"/>
    <w:rsid w:val="008E5F55"/>
    <w:rsid w:val="008E7771"/>
    <w:rsid w:val="009009E7"/>
    <w:rsid w:val="00905DEF"/>
    <w:rsid w:val="00906056"/>
    <w:rsid w:val="009122AE"/>
    <w:rsid w:val="00913B43"/>
    <w:rsid w:val="00930203"/>
    <w:rsid w:val="009311D2"/>
    <w:rsid w:val="009311E6"/>
    <w:rsid w:val="00931275"/>
    <w:rsid w:val="00936AC7"/>
    <w:rsid w:val="00953B64"/>
    <w:rsid w:val="009646A7"/>
    <w:rsid w:val="00970A88"/>
    <w:rsid w:val="009818A1"/>
    <w:rsid w:val="00994D6B"/>
    <w:rsid w:val="009A1674"/>
    <w:rsid w:val="009B38BE"/>
    <w:rsid w:val="009B4DF2"/>
    <w:rsid w:val="009C684F"/>
    <w:rsid w:val="009D074C"/>
    <w:rsid w:val="009D6E73"/>
    <w:rsid w:val="009F1F1D"/>
    <w:rsid w:val="009F2B4F"/>
    <w:rsid w:val="009F3C63"/>
    <w:rsid w:val="009F66B5"/>
    <w:rsid w:val="00A02F10"/>
    <w:rsid w:val="00A16221"/>
    <w:rsid w:val="00A20A7D"/>
    <w:rsid w:val="00A33BD4"/>
    <w:rsid w:val="00A35D42"/>
    <w:rsid w:val="00A46CCF"/>
    <w:rsid w:val="00A506DE"/>
    <w:rsid w:val="00A53451"/>
    <w:rsid w:val="00A65126"/>
    <w:rsid w:val="00A654D1"/>
    <w:rsid w:val="00A70426"/>
    <w:rsid w:val="00A707CC"/>
    <w:rsid w:val="00A71410"/>
    <w:rsid w:val="00A759B5"/>
    <w:rsid w:val="00A91E9A"/>
    <w:rsid w:val="00A93ED9"/>
    <w:rsid w:val="00A96221"/>
    <w:rsid w:val="00AC2DBB"/>
    <w:rsid w:val="00AC6A99"/>
    <w:rsid w:val="00AD6048"/>
    <w:rsid w:val="00AF67DD"/>
    <w:rsid w:val="00B055EF"/>
    <w:rsid w:val="00B06B5B"/>
    <w:rsid w:val="00B0766E"/>
    <w:rsid w:val="00B23769"/>
    <w:rsid w:val="00B41789"/>
    <w:rsid w:val="00B779E4"/>
    <w:rsid w:val="00B81808"/>
    <w:rsid w:val="00B86DFA"/>
    <w:rsid w:val="00B936D0"/>
    <w:rsid w:val="00BA2AF6"/>
    <w:rsid w:val="00BB15FB"/>
    <w:rsid w:val="00BD3D5B"/>
    <w:rsid w:val="00BE3600"/>
    <w:rsid w:val="00C01F6F"/>
    <w:rsid w:val="00C041EA"/>
    <w:rsid w:val="00C04D9C"/>
    <w:rsid w:val="00C13BBD"/>
    <w:rsid w:val="00C149AB"/>
    <w:rsid w:val="00C16929"/>
    <w:rsid w:val="00C20690"/>
    <w:rsid w:val="00C36020"/>
    <w:rsid w:val="00C37839"/>
    <w:rsid w:val="00C40694"/>
    <w:rsid w:val="00C479BF"/>
    <w:rsid w:val="00C5124B"/>
    <w:rsid w:val="00C70542"/>
    <w:rsid w:val="00C75CBF"/>
    <w:rsid w:val="00CC2894"/>
    <w:rsid w:val="00CD77C3"/>
    <w:rsid w:val="00CE112C"/>
    <w:rsid w:val="00CF4D03"/>
    <w:rsid w:val="00CF55D4"/>
    <w:rsid w:val="00D00143"/>
    <w:rsid w:val="00D102A0"/>
    <w:rsid w:val="00D608DA"/>
    <w:rsid w:val="00D730BF"/>
    <w:rsid w:val="00D740D9"/>
    <w:rsid w:val="00D852F4"/>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56077"/>
    <w:rsid w:val="00E63DE5"/>
    <w:rsid w:val="00E647AF"/>
    <w:rsid w:val="00E647C7"/>
    <w:rsid w:val="00E65A37"/>
    <w:rsid w:val="00E65EF7"/>
    <w:rsid w:val="00E77B48"/>
    <w:rsid w:val="00E857FB"/>
    <w:rsid w:val="00E91799"/>
    <w:rsid w:val="00E97DF8"/>
    <w:rsid w:val="00EA21FE"/>
    <w:rsid w:val="00EA34E3"/>
    <w:rsid w:val="00EB7538"/>
    <w:rsid w:val="00EC1049"/>
    <w:rsid w:val="00EC1868"/>
    <w:rsid w:val="00EE6468"/>
    <w:rsid w:val="00F1299B"/>
    <w:rsid w:val="00F207A4"/>
    <w:rsid w:val="00F25173"/>
    <w:rsid w:val="00F355AC"/>
    <w:rsid w:val="00F40B3D"/>
    <w:rsid w:val="00F40CF7"/>
    <w:rsid w:val="00F44194"/>
    <w:rsid w:val="00F47B9C"/>
    <w:rsid w:val="00F71A5A"/>
    <w:rsid w:val="00F73A1A"/>
    <w:rsid w:val="00F769E0"/>
    <w:rsid w:val="00FA4A46"/>
    <w:rsid w:val="00FA75FE"/>
    <w:rsid w:val="00FB1032"/>
    <w:rsid w:val="00FB39BC"/>
    <w:rsid w:val="00FB6A53"/>
    <w:rsid w:val="00FC11CA"/>
    <w:rsid w:val="00FC6BDE"/>
    <w:rsid w:val="00FE780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EF868"/>
  <w15:chartTrackingRefBased/>
  <w15:docId w15:val="{E7385BCA-F2A0-406C-B0E8-49F2C309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094111"/>
    <w:rPr>
      <w:sz w:val="16"/>
      <w:szCs w:val="16"/>
    </w:rPr>
  </w:style>
  <w:style w:type="paragraph" w:styleId="CommentText">
    <w:name w:val="annotation text"/>
    <w:basedOn w:val="Normal"/>
    <w:link w:val="CommentTextChar"/>
    <w:rsid w:val="00094111"/>
    <w:rPr>
      <w:sz w:val="20"/>
      <w:szCs w:val="20"/>
    </w:rPr>
  </w:style>
  <w:style w:type="character" w:customStyle="1" w:styleId="CommentTextChar">
    <w:name w:val="Comment Text Char"/>
    <w:basedOn w:val="DefaultParagraphFont"/>
    <w:link w:val="CommentText"/>
    <w:rsid w:val="00094111"/>
  </w:style>
  <w:style w:type="paragraph" w:styleId="CommentSubject">
    <w:name w:val="annotation subject"/>
    <w:basedOn w:val="CommentText"/>
    <w:next w:val="CommentText"/>
    <w:link w:val="CommentSubjectChar"/>
    <w:rsid w:val="00094111"/>
    <w:rPr>
      <w:b/>
      <w:bCs/>
    </w:rPr>
  </w:style>
  <w:style w:type="character" w:customStyle="1" w:styleId="CommentSubjectChar">
    <w:name w:val="Comment Subject Char"/>
    <w:link w:val="CommentSubject"/>
    <w:rsid w:val="00094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industry/small-business-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12501</CharactersWithSpaces>
  <SharedDoc>false</SharedDoc>
  <HLinks>
    <vt:vector size="6" baseType="variant">
      <vt:variant>
        <vt:i4>7209008</vt:i4>
      </vt:variant>
      <vt:variant>
        <vt:i4>0</vt:i4>
      </vt:variant>
      <vt:variant>
        <vt:i4>0</vt:i4>
      </vt:variant>
      <vt:variant>
        <vt:i4>5</vt:i4>
      </vt:variant>
      <vt:variant>
        <vt:lpwstr>https://www.fda.gov/industry/small-business-assistance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12</cp:revision>
  <cp:lastPrinted>2019-07-03T16:25:00Z</cp:lastPrinted>
  <dcterms:created xsi:type="dcterms:W3CDTF">2022-02-08T23:15:00Z</dcterms:created>
  <dcterms:modified xsi:type="dcterms:W3CDTF">2022-02-09T13:51:00Z</dcterms:modified>
</cp:coreProperties>
</file>