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465A" w:rsidP="006A465A" w:rsidRDefault="006A465A" w14:paraId="73238617" w14:textId="77777777">
      <w:pPr>
        <w:ind w:left="720"/>
        <w:rPr>
          <w:sz w:val="48"/>
          <w:szCs w:val="48"/>
        </w:rPr>
      </w:pPr>
    </w:p>
    <w:p w:rsidR="00357C8A" w:rsidP="00357C8A" w:rsidRDefault="00357C8A" w14:paraId="7881463B" w14:textId="6A908117">
      <w:pPr>
        <w:jc w:val="center"/>
        <w:rPr>
          <w:rFonts w:eastAsia="Calibri"/>
        </w:rPr>
      </w:pPr>
      <w:r w:rsidRPr="00357C8A">
        <w:rPr>
          <w:rFonts w:eastAsia="Calibri"/>
        </w:rPr>
        <w:t>United States Food and Drug Administration</w:t>
      </w:r>
    </w:p>
    <w:p w:rsidR="00357C8A" w:rsidP="000B507F" w:rsidRDefault="004C16FE" w14:paraId="7937A3DB" w14:textId="44B55195">
      <w:pPr>
        <w:autoSpaceDE w:val="0"/>
        <w:autoSpaceDN w:val="0"/>
        <w:adjustRightInd w:val="0"/>
        <w:jc w:val="center"/>
        <w:rPr>
          <w:rFonts w:eastAsia="Calibri"/>
        </w:rPr>
      </w:pPr>
      <w:r>
        <w:t>Agreement for Shipment of Devices for Sterilization</w:t>
      </w:r>
    </w:p>
    <w:p w:rsidR="00357C8A" w:rsidP="00357C8A" w:rsidRDefault="00357C8A" w14:paraId="669608AF" w14:textId="77777777">
      <w:pPr>
        <w:jc w:val="center"/>
        <w:rPr>
          <w:rFonts w:eastAsia="Calibri"/>
        </w:rPr>
      </w:pPr>
      <w:r w:rsidRPr="00357C8A">
        <w:rPr>
          <w:rFonts w:eastAsia="Calibri"/>
        </w:rPr>
        <w:t>OMB Control No. 0910-</w:t>
      </w:r>
      <w:r w:rsidR="004C16FE">
        <w:rPr>
          <w:rFonts w:eastAsia="Calibri"/>
        </w:rPr>
        <w:t>0131</w:t>
      </w:r>
    </w:p>
    <w:p w:rsidR="00357C8A" w:rsidP="00357C8A" w:rsidRDefault="00357C8A" w14:paraId="24D812CB" w14:textId="77777777">
      <w:pPr>
        <w:jc w:val="center"/>
        <w:rPr>
          <w:rFonts w:eastAsia="Calibri"/>
        </w:rPr>
      </w:pPr>
    </w:p>
    <w:p w:rsidR="00357C8A" w:rsidP="00357C8A" w:rsidRDefault="00357C8A" w14:paraId="1055BAD5" w14:textId="77777777">
      <w:pPr>
        <w:jc w:val="center"/>
        <w:rPr>
          <w:rFonts w:eastAsia="Calibri"/>
        </w:rPr>
      </w:pPr>
      <w:r w:rsidRPr="00357C8A">
        <w:rPr>
          <w:rFonts w:eastAsia="Calibri"/>
        </w:rPr>
        <w:t>SUPPORTING STATEMENT</w:t>
      </w:r>
    </w:p>
    <w:p w:rsidR="009B4DF2" w:rsidP="00357C8A" w:rsidRDefault="009B4DF2" w14:paraId="43ED42FD" w14:textId="77777777">
      <w:pPr>
        <w:jc w:val="center"/>
        <w:rPr>
          <w:rFonts w:eastAsia="Calibri"/>
        </w:rPr>
      </w:pPr>
    </w:p>
    <w:p w:rsidRPr="00357C8A" w:rsidR="00357C8A" w:rsidP="00357C8A" w:rsidRDefault="00357C8A" w14:paraId="002FB3F0" w14:textId="77777777">
      <w:pPr>
        <w:rPr>
          <w:rFonts w:eastAsia="Calibri"/>
          <w:b/>
        </w:rPr>
      </w:pPr>
    </w:p>
    <w:p w:rsidR="00357C8A" w:rsidP="000D79CC" w:rsidRDefault="00357C8A" w14:paraId="4116B15D"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1E9F18F3" w14:textId="77777777">
      <w:pPr>
        <w:rPr>
          <w:rFonts w:eastAsia="Calibri"/>
        </w:rPr>
      </w:pPr>
    </w:p>
    <w:p w:rsidRPr="00357C8A" w:rsidR="00357C8A" w:rsidP="006705EA" w:rsidRDefault="00357C8A" w14:paraId="588CF42C"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4C16FE" w:rsidP="004C16FE" w:rsidRDefault="000B507F" w14:paraId="32802A48" w14:textId="5A15FF59">
      <w:pPr>
        <w:autoSpaceDE w:val="0"/>
        <w:autoSpaceDN w:val="0"/>
        <w:adjustRightInd w:val="0"/>
      </w:pPr>
      <w:r w:rsidRPr="005C71CA">
        <w:rPr>
          <w:rFonts w:eastAsia="Calibri"/>
        </w:rPr>
        <w:t>This information collection supports Food and Drug Administration (FDA, us or we) regulations</w:t>
      </w:r>
      <w:r>
        <w:t xml:space="preserve">. </w:t>
      </w:r>
      <w:r w:rsidR="004C16FE">
        <w:t xml:space="preserve">Under sections 501(c) and 502(a) of the Federal Food, Drug, and Cosmetic Act (the FD&amp;C Act) (21 U.S.C. 351(c) and 352(a)), nonsterile medical devices that are labeled as sterile but are in interstate transit to a facility to be sterilized are normally considered by the Food and Drug Administration (FDA) to be adulterated and misbranded.  FDA regulations established a control mechanism by which firms may manufacture and label medical devices as “sterile” at one establishment and ship the devices in interstate commerce for actual sterilization at another establishment, a practice that facilitates the processing of devices and is economically necessary for some firms. </w:t>
      </w:r>
    </w:p>
    <w:p w:rsidR="004C16FE" w:rsidP="004C16FE" w:rsidRDefault="004C16FE" w14:paraId="79E2CE04" w14:textId="77777777">
      <w:pPr>
        <w:autoSpaceDE w:val="0"/>
        <w:autoSpaceDN w:val="0"/>
        <w:adjustRightInd w:val="0"/>
        <w:ind w:left="360"/>
      </w:pPr>
    </w:p>
    <w:p w:rsidR="004C16FE" w:rsidP="004C16FE" w:rsidRDefault="004C16FE" w14:paraId="0D0662B2" w14:textId="77777777">
      <w:pPr>
        <w:autoSpaceDE w:val="0"/>
        <w:autoSpaceDN w:val="0"/>
        <w:adjustRightInd w:val="0"/>
      </w:pPr>
      <w:r w:rsidRPr="00517629">
        <w:t xml:space="preserve">Under </w:t>
      </w:r>
      <w:r>
        <w:t xml:space="preserve">§ </w:t>
      </w:r>
      <w:r w:rsidRPr="00517629">
        <w:t xml:space="preserve">801.150(e)(1), manufacturers and sterilizers may sign an agreement containing the following: </w:t>
      </w:r>
      <w:r>
        <w:t xml:space="preserve"> (1) contact information of the firms involved and the identification of the signature authority of the shipper and receiver, </w:t>
      </w:r>
      <w:r w:rsidRPr="00517629">
        <w:t>(</w:t>
      </w:r>
      <w:r>
        <w:t>2</w:t>
      </w:r>
      <w:r w:rsidRPr="00517629">
        <w:t xml:space="preserve">) </w:t>
      </w:r>
      <w:r>
        <w:t>i</w:t>
      </w:r>
      <w:r w:rsidRPr="00517629">
        <w:t>nstructions for maintaining accountability of the number of units in each shipment, (</w:t>
      </w:r>
      <w:r>
        <w:t>3</w:t>
      </w:r>
      <w:r w:rsidRPr="00517629">
        <w:t>) acknowledgment that the devices that are nonsterile are being shipped for further processing, and (</w:t>
      </w:r>
      <w:r>
        <w:t>4</w:t>
      </w:r>
      <w:r w:rsidRPr="00517629">
        <w:t xml:space="preserve">) specifications for sterilization processing. </w:t>
      </w:r>
      <w:r>
        <w:t xml:space="preserve"> </w:t>
      </w:r>
      <w:r w:rsidRPr="00517629">
        <w:t>This agreement allows the manufacturer to ship misbranded products to be sterilized without initiating regulatory action and</w:t>
      </w:r>
      <w:r>
        <w:t xml:space="preserve"> </w:t>
      </w:r>
      <w:r w:rsidRPr="00517629">
        <w:t xml:space="preserve">provides FDA with a means to protect consumers from use of nonsterile products. </w:t>
      </w:r>
      <w:r>
        <w:t xml:space="preserve"> </w:t>
      </w:r>
      <w:r w:rsidRPr="00517629">
        <w:t>During routine plant inspections, FDA normally reviews agreements that must be kept for 2 years after final shipment or delivery of devices (</w:t>
      </w:r>
      <w:r>
        <w:t>§</w:t>
      </w:r>
      <w:r w:rsidRPr="00517629">
        <w:t xml:space="preserve"> 801.150(a)(2)).</w:t>
      </w:r>
      <w:r>
        <w:t xml:space="preserve"> </w:t>
      </w:r>
    </w:p>
    <w:p w:rsidR="004C16FE" w:rsidP="004C16FE" w:rsidRDefault="004C16FE" w14:paraId="4905083A" w14:textId="77777777">
      <w:pPr>
        <w:autoSpaceDE w:val="0"/>
        <w:autoSpaceDN w:val="0"/>
        <w:adjustRightInd w:val="0"/>
        <w:ind w:left="360"/>
      </w:pPr>
    </w:p>
    <w:p w:rsidR="004C16FE" w:rsidP="004C16FE" w:rsidRDefault="004C16FE" w14:paraId="6119706F" w14:textId="77777777">
      <w:pPr>
        <w:autoSpaceDE w:val="0"/>
        <w:autoSpaceDN w:val="0"/>
        <w:adjustRightInd w:val="0"/>
      </w:pPr>
      <w:r>
        <w:t>This agreement allows the manufacturer to ship adulterated or misbranded products to be sterilized without initiating regulatory action and provides FDA with a means to protect consumers from use of nonsterile products.</w:t>
      </w:r>
    </w:p>
    <w:p w:rsidR="004C16FE" w:rsidP="004C16FE" w:rsidRDefault="004C16FE" w14:paraId="27FB4A96" w14:textId="77777777">
      <w:pPr>
        <w:ind w:left="360"/>
      </w:pPr>
    </w:p>
    <w:p w:rsidR="004C16FE" w:rsidP="004C16FE" w:rsidRDefault="004C16FE" w14:paraId="6E69246C" w14:textId="77777777">
      <w:pPr>
        <w:rPr>
          <w:b/>
        </w:rPr>
      </w:pPr>
      <w:r>
        <w:t>FDA is requesting approval from the Office of Management and Budget (OMB) for the following information collections:</w:t>
      </w:r>
    </w:p>
    <w:p w:rsidR="004C16FE" w:rsidP="004C16FE" w:rsidRDefault="004C16FE" w14:paraId="52A72B75" w14:textId="77777777">
      <w:pPr>
        <w:tabs>
          <w:tab w:val="left" w:pos="3240"/>
        </w:tabs>
        <w:ind w:left="360"/>
        <w:rPr>
          <w:b/>
        </w:rPr>
      </w:pPr>
    </w:p>
    <w:p w:rsidRPr="00DD4BBA" w:rsidR="004C16FE" w:rsidP="004C16FE" w:rsidRDefault="004C16FE" w14:paraId="723B1AD1" w14:textId="77777777">
      <w:pPr>
        <w:tabs>
          <w:tab w:val="left" w:pos="3240"/>
        </w:tabs>
        <w:rPr>
          <w:u w:val="single"/>
        </w:rPr>
      </w:pPr>
      <w:r w:rsidRPr="00DD4BBA">
        <w:rPr>
          <w:u w:val="single"/>
        </w:rPr>
        <w:t>21 CFR 801.150(e)—Nonsterile devices labeled as sterile, agreement and labeling requirements (Reporting)</w:t>
      </w:r>
    </w:p>
    <w:p w:rsidR="004C16FE" w:rsidP="004C16FE" w:rsidRDefault="004C16FE" w14:paraId="6080B2AB" w14:textId="77777777">
      <w:r>
        <w:t>This section lists the information to be contained in the written agreement and labeling requirements for the shipment of nonsterile devices labeled as sterile.</w:t>
      </w:r>
    </w:p>
    <w:p w:rsidR="004C16FE" w:rsidP="004C16FE" w:rsidRDefault="004C16FE" w14:paraId="445335F1" w14:textId="77777777">
      <w:pPr>
        <w:ind w:left="360"/>
      </w:pPr>
    </w:p>
    <w:p w:rsidRPr="00DD4BBA" w:rsidR="004C16FE" w:rsidP="004C16FE" w:rsidRDefault="004C16FE" w14:paraId="47494700" w14:textId="77777777">
      <w:pPr>
        <w:keepNext/>
        <w:rPr>
          <w:u w:val="single"/>
        </w:rPr>
      </w:pPr>
      <w:r w:rsidRPr="00DD4BBA">
        <w:rPr>
          <w:u w:val="single"/>
        </w:rPr>
        <w:t>21 CFR 801.150(a)(2)—Nonsterile devices labeled as sterile, record retention (Recordkeeping)</w:t>
      </w:r>
    </w:p>
    <w:p w:rsidR="004C16FE" w:rsidP="004C16FE" w:rsidRDefault="004C16FE" w14:paraId="6135ACC8" w14:textId="1B372902">
      <w:r>
        <w:t xml:space="preserve">The records must be retained for </w:t>
      </w:r>
      <w:r w:rsidRPr="007369D1">
        <w:rPr>
          <w:color w:val="000000"/>
        </w:rPr>
        <w:t xml:space="preserve">two </w:t>
      </w:r>
      <w:r>
        <w:t>years after final shipment or delivery of such devices.</w:t>
      </w:r>
    </w:p>
    <w:p w:rsidR="000B507F" w:rsidP="004C16FE" w:rsidRDefault="000B507F" w14:paraId="2E2CE80D" w14:textId="0BCF08A7"/>
    <w:p w:rsidR="000B507F" w:rsidP="000B507F" w:rsidRDefault="000B507F" w14:paraId="274E3D53" w14:textId="6067B642">
      <w:pPr>
        <w:rPr>
          <w:rFonts w:eastAsia="Calibri"/>
          <w:color w:val="FF0000"/>
        </w:rPr>
      </w:pPr>
      <w:r w:rsidRPr="005C71CA">
        <w:rPr>
          <w:rFonts w:eastAsia="Calibri"/>
        </w:rPr>
        <w:t xml:space="preserve">We therefore request OMB extension of OMB approval of </w:t>
      </w:r>
      <w:r>
        <w:rPr>
          <w:rFonts w:eastAsia="Calibri"/>
        </w:rPr>
        <w:t xml:space="preserve">the information collection </w:t>
      </w:r>
      <w:r w:rsidRPr="005C71CA">
        <w:rPr>
          <w:rFonts w:eastAsia="Calibri"/>
        </w:rPr>
        <w:t xml:space="preserve">provisions found in </w:t>
      </w:r>
      <w:r w:rsidRPr="00C36853">
        <w:t xml:space="preserve">21 CFR </w:t>
      </w:r>
      <w:r>
        <w:t>801</w:t>
      </w:r>
      <w:r w:rsidRPr="005C71CA">
        <w:rPr>
          <w:rFonts w:eastAsia="Calibri"/>
        </w:rPr>
        <w:t xml:space="preserve"> as discussed in this supporting statement.</w:t>
      </w:r>
    </w:p>
    <w:p w:rsidR="000B507F" w:rsidP="004C16FE" w:rsidRDefault="000B507F" w14:paraId="208B9E8D" w14:textId="77777777"/>
    <w:p w:rsidR="004C16FE" w:rsidP="004C16FE" w:rsidRDefault="004C16FE" w14:paraId="63325011" w14:textId="77777777">
      <w:pPr>
        <w:ind w:left="360"/>
      </w:pPr>
    </w:p>
    <w:p w:rsidRPr="00357C8A" w:rsidR="00357C8A" w:rsidP="006705EA" w:rsidRDefault="00357C8A" w14:paraId="1C368D18"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4C16FE" w:rsidR="004C16FE" w:rsidP="004C16FE" w:rsidRDefault="004C16FE" w14:paraId="73CFA14A" w14:textId="77777777">
      <w:pPr>
        <w:spacing w:after="200" w:line="276" w:lineRule="auto"/>
        <w:rPr>
          <w:rFonts w:eastAsia="Calibri"/>
          <w:u w:val="single"/>
        </w:rPr>
      </w:pPr>
      <w:r w:rsidRPr="004C16FE">
        <w:rPr>
          <w:rFonts w:eastAsia="Calibri"/>
        </w:rPr>
        <w:t>It is common industry practice to manufacture and/or assemble, package, and fully label a product as sterile (when it is not sterile) at one establishment and to ship it to another establishment or contract sterilizer for sterilization.  A written agreement allows the manufacturer to ship misbranded products without FDA initiating regulatory action and provides FDA with a means to protect consumers from use of nonsterile products.  FDA normally reviews agreements during routine plant inspections, and firms are not required to submit the written agreements to FDA.  To discontinue this procedure would place an economic hardship on the industry and an additional burden on FDA to police product in interstate commerce for failure to comply with adulteration and misbranding provisions of the FD&amp;C Act.</w:t>
      </w:r>
    </w:p>
    <w:p w:rsidRPr="00357C8A" w:rsidR="00357C8A" w:rsidP="006705EA" w:rsidRDefault="00357C8A" w14:paraId="7F6B9056"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4C16FE" w:rsidP="004C16FE" w:rsidRDefault="004C16FE" w14:paraId="5C8D2834" w14:textId="77777777">
      <w:pPr>
        <w:spacing w:after="200" w:line="276" w:lineRule="auto"/>
        <w:rPr>
          <w:rFonts w:eastAsia="Calibri"/>
        </w:rPr>
      </w:pPr>
      <w:r w:rsidRPr="004C16FE">
        <w:rPr>
          <w:rFonts w:eastAsia="Calibri"/>
        </w:rPr>
        <w:t>Electronic data transmission and facsimile transfer devices may be used to reduce paperwork burden in updating sterilization procedures and other pertinent information.  Use of computers has also greatly reduced the time needed to compile, submit, and maintain the required documents.  Because firms are not required to submit written agreements to FDA, we cannot reliably estimate the percentage of respondents that use electronic submissions to fulfill the information collection. However, because of the reduced time needed for electronic fulfillment of the collection, we are assuming that 100% of respondents will use electronic means.</w:t>
      </w:r>
    </w:p>
    <w:p w:rsidRPr="00357C8A" w:rsidR="00357C8A" w:rsidP="006705EA" w:rsidRDefault="00357C8A" w14:paraId="2E4C4190"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4C16FE" w:rsidP="004C16FE" w:rsidRDefault="004C16FE" w14:paraId="3E7BEFA7" w14:textId="77777777">
      <w:r>
        <w:t>FDA is the only agency authorized to regulate mislabeled, adulterated, or misbranded medical device products.  The written agreement is prepared and agreed to by both the device manufacturer and the contract sterilizer.  There is, therefore, no duplication of efforts.  There is no similar information already available that could be used for the agreement between a manufacturer and contract sterilizer.  Each agreement is unique because sterilization processes vary according to the product to be sterilized and factors such as the lot, batch size, etc.  There is no other similar information collected that can be used to ensure that mislabeled, misbranded, or adulterated medical products are sterilized prior to being placed in the marketplace.</w:t>
      </w:r>
    </w:p>
    <w:p w:rsidR="004C16FE" w:rsidP="004C16FE" w:rsidRDefault="004C16FE" w14:paraId="33A5B84E" w14:textId="77777777">
      <w:pPr>
        <w:ind w:left="360"/>
      </w:pPr>
    </w:p>
    <w:p w:rsidRPr="00357C8A" w:rsidR="00357C8A" w:rsidP="006705EA" w:rsidRDefault="00357C8A" w14:paraId="779C4B9E"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4C16FE" w:rsidP="004C16FE" w:rsidRDefault="004C16FE" w14:paraId="420DF0F2" w14:textId="77777777">
      <w:pPr>
        <w:pStyle w:val="BodyText2"/>
        <w:rPr>
          <w:szCs w:val="24"/>
        </w:rPr>
      </w:pPr>
      <w:r w:rsidRPr="00036128">
        <w:rPr>
          <w:szCs w:val="24"/>
        </w:rPr>
        <w:t xml:space="preserve">The requirements are applied equally to all firms regardless of the firm's size.  However, the burden is generally less for small contract sterilizers because they generally have fewer customers and therefore fewer written agreements.  The Division of </w:t>
      </w:r>
      <w:r>
        <w:rPr>
          <w:szCs w:val="24"/>
        </w:rPr>
        <w:t>Industry and Consumer</w:t>
      </w:r>
      <w:r w:rsidRPr="00036128">
        <w:rPr>
          <w:szCs w:val="24"/>
        </w:rPr>
        <w:t xml:space="preserve"> </w:t>
      </w:r>
      <w:r>
        <w:rPr>
          <w:szCs w:val="24"/>
        </w:rPr>
        <w:t>Education</w:t>
      </w:r>
      <w:r w:rsidRPr="00036128">
        <w:rPr>
          <w:szCs w:val="24"/>
        </w:rPr>
        <w:t xml:space="preserve"> (</w:t>
      </w:r>
      <w:r>
        <w:rPr>
          <w:szCs w:val="24"/>
        </w:rPr>
        <w:t>DICE</w:t>
      </w:r>
      <w:r w:rsidRPr="00036128">
        <w:rPr>
          <w:szCs w:val="24"/>
        </w:rPr>
        <w:t xml:space="preserve">) of the Center for Devices and Radiological Health (CDRH) provides technical assistance on request to aid small business in complying with this regulation.  </w:t>
      </w:r>
      <w:r>
        <w:rPr>
          <w:szCs w:val="24"/>
        </w:rPr>
        <w:t>DICE</w:t>
      </w:r>
      <w:r w:rsidRPr="00036128">
        <w:rPr>
          <w:szCs w:val="24"/>
        </w:rPr>
        <w:t xml:space="preserve"> also assists in identifying ways manufacturers and contract sterilizers can meet the requirements so that the requirements are neither unfair nor unduly burdensome.  </w:t>
      </w:r>
      <w:r>
        <w:rPr>
          <w:szCs w:val="24"/>
        </w:rPr>
        <w:t>DICE</w:t>
      </w:r>
      <w:r w:rsidRPr="00036128">
        <w:rPr>
          <w:szCs w:val="24"/>
        </w:rPr>
        <w:t xml:space="preserve"> maintains a toll-free "800" number and a website for the convenience of businesses. Details of a sterilization contract and a sample contract are provided in written manuals on the GMP regulation and on sterilization processing.  </w:t>
      </w:r>
      <w:r>
        <w:rPr>
          <w:szCs w:val="24"/>
        </w:rPr>
        <w:t>DICE</w:t>
      </w:r>
      <w:r w:rsidRPr="00036128">
        <w:rPr>
          <w:szCs w:val="24"/>
        </w:rPr>
        <w:t xml:space="preserve"> reports that the process of preparing the written agreement has become routine so that very few questions regarding the written agreement have been received in the past several years.</w:t>
      </w:r>
    </w:p>
    <w:p w:rsidRPr="00036128" w:rsidR="004C16FE" w:rsidP="004C16FE" w:rsidRDefault="004C16FE" w14:paraId="2BE15A31" w14:textId="77777777">
      <w:pPr>
        <w:pStyle w:val="BodyText2"/>
      </w:pPr>
    </w:p>
    <w:p w:rsidRPr="005B64A6" w:rsidR="004C16FE" w:rsidP="00EE3200" w:rsidRDefault="00357C8A" w14:paraId="7BE18A1A" w14:textId="1C6F50B3">
      <w:pPr>
        <w:numPr>
          <w:ilvl w:val="0"/>
          <w:numId w:val="6"/>
        </w:numPr>
        <w:spacing w:after="200" w:line="276" w:lineRule="auto"/>
        <w:rPr>
          <w:rFonts w:eastAsia="Calibri"/>
        </w:rPr>
      </w:pPr>
      <w:r w:rsidRPr="005B64A6">
        <w:rPr>
          <w:rFonts w:eastAsia="Calibri"/>
          <w:u w:val="single"/>
        </w:rPr>
        <w:t>Consequences of Collecting the Information Less Frequently</w:t>
      </w:r>
    </w:p>
    <w:p w:rsidRPr="00036128" w:rsidR="004C16FE" w:rsidP="004C16FE" w:rsidRDefault="004C16FE" w14:paraId="167BF764" w14:textId="77777777">
      <w:r w:rsidRPr="00036128">
        <w:t>The information collection occurs annually.  If the information collection were conducted less frequently, the FDA would not be able to assure that devices labeled as sterile have been sterilized.  This could endanger public health by allowing diversion of nonsterile devices into the marketplace.</w:t>
      </w:r>
    </w:p>
    <w:p w:rsidRPr="00036128" w:rsidR="004C16FE" w:rsidP="004C16FE" w:rsidRDefault="004C16FE" w14:paraId="2CCE7931" w14:textId="77777777">
      <w:pPr>
        <w:ind w:left="720"/>
      </w:pPr>
    </w:p>
    <w:p w:rsidRPr="00036128" w:rsidR="004C16FE" w:rsidP="004C16FE" w:rsidRDefault="004C16FE" w14:paraId="080C19AE" w14:textId="77777777">
      <w:r w:rsidRPr="00036128">
        <w:t>The written agreement also establishes a control mechanism by which manufacturers and contract sterilizers can assure that nonsterile devices labeled as sterile are not incorrectly released into the market without being sterilized.  If written agreements were not available to FDA for review, a resource intensive burden would be placed on the agency to assure consumers were protected from misbranded nonsterile products labeled as sterile being shipped in interstate commerce.</w:t>
      </w:r>
    </w:p>
    <w:p w:rsidRPr="00036128" w:rsidR="004C16FE" w:rsidP="004C16FE" w:rsidRDefault="004C16FE" w14:paraId="5341E99F" w14:textId="77777777">
      <w:pPr>
        <w:ind w:left="720"/>
      </w:pPr>
    </w:p>
    <w:p w:rsidRPr="004C16FE" w:rsidR="004C16FE" w:rsidP="004C16FE" w:rsidRDefault="004C16FE" w14:paraId="22AC688F" w14:textId="77777777">
      <w:r w:rsidRPr="00036128">
        <w:t>There are no legal obstacles to reduce the burden.</w:t>
      </w:r>
    </w:p>
    <w:p w:rsidR="004C16FE" w:rsidP="0022425B" w:rsidRDefault="004C16FE" w14:paraId="4B33E9B9" w14:textId="77777777">
      <w:pPr>
        <w:spacing w:after="200"/>
        <w:rPr>
          <w:rFonts w:eastAsia="Calibri"/>
        </w:rPr>
      </w:pPr>
    </w:p>
    <w:p w:rsidR="004C16FE" w:rsidP="004C16FE" w:rsidRDefault="00357C8A" w14:paraId="219A4BC1"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4C16FE" w:rsidR="004C16FE" w:rsidP="004C16FE" w:rsidRDefault="004C16FE" w14:paraId="3758F405" w14:textId="77777777">
      <w:pPr>
        <w:spacing w:after="200" w:line="276" w:lineRule="auto"/>
        <w:rPr>
          <w:rFonts w:eastAsia="Calibri"/>
        </w:rPr>
      </w:pPr>
      <w:r>
        <w:t>There are no special circumstances for this collection of information</w:t>
      </w:r>
      <w:r w:rsidRPr="004C16FE">
        <w:rPr>
          <w:rFonts w:eastAsia="Calibri"/>
          <w:u w:val="single"/>
        </w:rPr>
        <w:t xml:space="preserve"> </w:t>
      </w:r>
    </w:p>
    <w:p w:rsidRPr="00357C8A" w:rsidR="00357C8A" w:rsidP="006705EA" w:rsidRDefault="00357C8A" w14:paraId="6A96338A"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2C5382" w:rsidP="002C5382" w:rsidRDefault="00792947" w14:paraId="18B837E9" w14:textId="747D76B9">
      <w:r>
        <w:rPr>
          <w:rFonts w:eastAsia="Calibri"/>
        </w:rPr>
        <w:t xml:space="preserve">FDA published a 60-day notice for public comment in the </w:t>
      </w:r>
      <w:r w:rsidRPr="009009E7">
        <w:rPr>
          <w:rFonts w:eastAsia="Calibri"/>
          <w:i/>
        </w:rPr>
        <w:t>Federal Register</w:t>
      </w:r>
      <w:r>
        <w:rPr>
          <w:rFonts w:eastAsia="Calibri"/>
        </w:rPr>
        <w:t xml:space="preserve"> of </w:t>
      </w:r>
      <w:r w:rsidR="002C5382">
        <w:rPr>
          <w:rFonts w:eastAsia="Calibri"/>
        </w:rPr>
        <w:t>March 15, 2022</w:t>
      </w:r>
      <w:r w:rsidR="009009E7">
        <w:rPr>
          <w:rFonts w:eastAsia="Calibri"/>
        </w:rPr>
        <w:t xml:space="preserve"> </w:t>
      </w:r>
      <w:r w:rsidR="00945706">
        <w:rPr>
          <w:rFonts w:eastAsia="Calibri"/>
        </w:rPr>
        <w:t>(</w:t>
      </w:r>
      <w:r w:rsidRPr="00945706" w:rsidR="00945706">
        <w:rPr>
          <w:rFonts w:eastAsia="Calibri"/>
        </w:rPr>
        <w:t>87 FR 14540</w:t>
      </w:r>
      <w:r w:rsidR="00945706">
        <w:rPr>
          <w:rFonts w:eastAsia="Calibri"/>
        </w:rPr>
        <w:t xml:space="preserve">). </w:t>
      </w:r>
      <w:r w:rsidR="002C5382">
        <w:rPr>
          <w:rFonts w:eastAsia="Calibri"/>
        </w:rPr>
        <w:t xml:space="preserve">No comments were received. </w:t>
      </w:r>
    </w:p>
    <w:p w:rsidRPr="00357C8A" w:rsidR="002C5382" w:rsidP="00671AFF" w:rsidRDefault="002C5382" w14:paraId="41A9C0A8" w14:textId="77777777">
      <w:pPr>
        <w:rPr>
          <w:rFonts w:eastAsia="Calibri"/>
        </w:rPr>
      </w:pPr>
    </w:p>
    <w:p w:rsidRPr="00357C8A" w:rsidR="00357C8A" w:rsidP="006705EA" w:rsidRDefault="00357C8A" w14:paraId="3F816482"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792947" w:rsidR="00792947" w:rsidP="00DD0E02" w:rsidRDefault="00792947" w14:paraId="61F9AA0A" w14:textId="77777777">
      <w:pPr>
        <w:spacing w:after="200"/>
        <w:rPr>
          <w:rFonts w:eastAsia="Calibri"/>
          <w:i/>
        </w:rPr>
      </w:pPr>
      <w:r w:rsidRPr="002074FE">
        <w:rPr>
          <w:rFonts w:eastAsia="Calibri"/>
        </w:rPr>
        <w:t>There are no incentives, payments or gifts associated with this information collection</w:t>
      </w:r>
      <w:r w:rsidR="006D029E">
        <w:rPr>
          <w:rFonts w:eastAsia="Calibri"/>
        </w:rPr>
        <w:t>.</w:t>
      </w:r>
    </w:p>
    <w:p w:rsidRPr="00357C8A" w:rsidR="00357C8A" w:rsidP="006705EA" w:rsidRDefault="00357C8A" w14:paraId="41FD212B"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Pr="006D029E" w:rsidR="006D029E" w:rsidP="006D029E" w:rsidRDefault="006D029E" w14:paraId="26EE38CD" w14:textId="77777777">
      <w:pPr>
        <w:rPr>
          <w:rFonts w:eastAsia="Calibri"/>
        </w:rPr>
      </w:pPr>
      <w:r w:rsidRPr="006D029E">
        <w:rPr>
          <w:rFonts w:eastAsia="Calibri"/>
        </w:rPr>
        <w:t>In preparing this Supporting Statement, we consulted our Privacy Office to ensure appropriate identification and handling of information collected.</w:t>
      </w:r>
      <w:r>
        <w:rPr>
          <w:rFonts w:eastAsia="Calibri"/>
        </w:rPr>
        <w:t xml:space="preserve">  </w:t>
      </w:r>
      <w:r w:rsidRPr="006D029E">
        <w:rPr>
          <w:rFonts w:eastAsia="Calibri"/>
        </w:rPr>
        <w:t>This ICR collects personally identifiable information (PII).  PII is collected in the context of the subject individuals’ professional capacity and the FDA-related work they perform for their employer (e.g., point of contact at a regulated entity).  The PII submitted via the agreement is name, address, and title.  The agreements are maintained at the plant and are reviewed by FDA during routine inspections. FDA determined that although PII is collected it is not subject to the Privacy Act of 1974 and the particular notice and other requirements of the Act do not apply. Specifically, the FDA does not use name or any other personal identifier to retrieve records from the information collected. Through appropriate design, FDA limited submission fields and minimized the PII collected to protect the privacy of the individuals.</w:t>
      </w:r>
    </w:p>
    <w:p w:rsidRPr="006D029E" w:rsidR="006D029E" w:rsidP="006D029E" w:rsidRDefault="006D029E" w14:paraId="1C05E392" w14:textId="77777777">
      <w:pPr>
        <w:ind w:left="720"/>
        <w:rPr>
          <w:rFonts w:eastAsia="Calibri"/>
        </w:rPr>
      </w:pPr>
    </w:p>
    <w:p w:rsidR="001075D3" w:rsidP="006D029E" w:rsidRDefault="006D029E" w14:paraId="28F81C60" w14:textId="77777777">
      <w:pPr>
        <w:rPr>
          <w:rFonts w:eastAsia="Calibri"/>
        </w:rPr>
      </w:pPr>
      <w:r w:rsidRPr="006D029E">
        <w:rPr>
          <w:rFonts w:eastAsia="Calibri"/>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Pr="001075D3" w:rsidR="006D029E" w:rsidP="006D029E" w:rsidRDefault="006D029E" w14:paraId="51655B87" w14:textId="77777777">
      <w:pPr>
        <w:ind w:left="360"/>
      </w:pPr>
    </w:p>
    <w:p w:rsidRPr="00357C8A" w:rsidR="00357C8A" w:rsidP="006705EA" w:rsidRDefault="00357C8A" w14:paraId="38751CEA" w14:textId="77777777">
      <w:pPr>
        <w:numPr>
          <w:ilvl w:val="0"/>
          <w:numId w:val="6"/>
        </w:numPr>
        <w:spacing w:after="200" w:line="276" w:lineRule="auto"/>
        <w:rPr>
          <w:rFonts w:eastAsia="Calibri"/>
        </w:rPr>
      </w:pPr>
      <w:r w:rsidRPr="00357C8A">
        <w:rPr>
          <w:rFonts w:eastAsia="Calibri"/>
          <w:u w:val="single"/>
        </w:rPr>
        <w:lastRenderedPageBreak/>
        <w:t>Justification for Sensitive Questions</w:t>
      </w:r>
    </w:p>
    <w:p w:rsidRPr="00CA6ABF" w:rsidR="00357C8A" w:rsidP="0022425B" w:rsidRDefault="00357C8A" w14:paraId="7FE312CC" w14:textId="77777777">
      <w:pPr>
        <w:spacing w:after="200"/>
        <w:rPr>
          <w:rFonts w:eastAsia="Calibri"/>
          <w:iCs/>
          <w:color w:val="FF0000"/>
        </w:rPr>
      </w:pPr>
      <w:r w:rsidRPr="00CA6ABF">
        <w:rPr>
          <w:rFonts w:eastAsia="Calibri"/>
          <w:iCs/>
        </w:rPr>
        <w:t>The collection of information does not involve sensitive questions.</w:t>
      </w:r>
      <w:r w:rsidRPr="00CA6ABF">
        <w:rPr>
          <w:rFonts w:eastAsia="Calibri"/>
          <w:iCs/>
          <w:color w:val="FF0000"/>
        </w:rPr>
        <w:t xml:space="preserve"> </w:t>
      </w:r>
    </w:p>
    <w:p w:rsidRPr="00357C8A" w:rsidR="00357C8A" w:rsidP="006705EA" w:rsidRDefault="00357C8A" w14:paraId="45551B7D"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CA6ABF" w:rsidP="0022425B" w:rsidRDefault="00357C8A" w14:paraId="6D0C5C28" w14:textId="77777777">
      <w:pPr>
        <w:spacing w:after="200"/>
        <w:ind w:left="360"/>
        <w:rPr>
          <w:rFonts w:eastAsia="Calibri"/>
        </w:rPr>
      </w:pPr>
      <w:r w:rsidRPr="005C71CA">
        <w:rPr>
          <w:rFonts w:eastAsia="Calibri"/>
        </w:rPr>
        <w:t>12a.  Annualized Hour Burden Estimate</w:t>
      </w:r>
    </w:p>
    <w:p w:rsidR="00CA6ABF" w:rsidP="00CA6ABF" w:rsidRDefault="00CA6ABF" w14:paraId="0E384AE4" w14:textId="77777777">
      <w:pPr>
        <w:ind w:left="360"/>
      </w:pPr>
      <w:r>
        <w:t>The respondents to this collection of information are device manufacturers and contract sterilizers. FDA estimates the burden of this collection of information as follows:</w:t>
      </w:r>
    </w:p>
    <w:p w:rsidR="00CA6ABF" w:rsidP="00CA6ABF" w:rsidRDefault="00CA6ABF" w14:paraId="209DD716" w14:textId="77777777">
      <w:pPr>
        <w:ind w:left="72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6"/>
        <w:gridCol w:w="1787"/>
        <w:gridCol w:w="1787"/>
        <w:gridCol w:w="1429"/>
        <w:gridCol w:w="1787"/>
        <w:gridCol w:w="1178"/>
      </w:tblGrid>
      <w:tr w:rsidRPr="00231519" w:rsidR="00CA6ABF" w:rsidTr="00E12AF9" w14:paraId="5C79DEE0" w14:textId="77777777">
        <w:trPr>
          <w:cantSplit/>
          <w:trHeight w:val="20"/>
          <w:tblHeader/>
          <w:jc w:val="center"/>
        </w:trPr>
        <w:tc>
          <w:tcPr>
            <w:tcW w:w="5000" w:type="pct"/>
            <w:gridSpan w:val="6"/>
            <w:tcBorders>
              <w:top w:val="nil"/>
              <w:left w:val="nil"/>
              <w:right w:val="nil"/>
            </w:tcBorders>
            <w:shd w:val="clear" w:color="auto" w:fill="auto"/>
          </w:tcPr>
          <w:p w:rsidRPr="00231519" w:rsidR="00CA6ABF" w:rsidP="00E12AF9" w:rsidRDefault="00CA6ABF" w14:paraId="62511AB1" w14:textId="77777777">
            <w:pPr>
              <w:keepNext/>
              <w:jc w:val="center"/>
            </w:pPr>
            <w:r>
              <w:t>Table 1</w:t>
            </w:r>
            <w:r w:rsidRPr="00231519">
              <w:t>.--Estimated Annual Recordkeeping Burden</w:t>
            </w:r>
          </w:p>
        </w:tc>
      </w:tr>
      <w:tr w:rsidRPr="00231519" w:rsidR="00CA6ABF" w:rsidTr="00E12AF9" w14:paraId="36305B5D" w14:textId="77777777">
        <w:trPr>
          <w:cantSplit/>
          <w:trHeight w:val="20"/>
          <w:tblHeader/>
          <w:jc w:val="center"/>
        </w:trPr>
        <w:tc>
          <w:tcPr>
            <w:tcW w:w="808" w:type="pct"/>
            <w:shd w:val="clear" w:color="auto" w:fill="auto"/>
          </w:tcPr>
          <w:p w:rsidRPr="00231519" w:rsidR="00CA6ABF" w:rsidP="00E12AF9" w:rsidRDefault="00CA6ABF" w14:paraId="4A682AC4" w14:textId="77777777">
            <w:pPr>
              <w:keepNext/>
              <w:jc w:val="center"/>
            </w:pPr>
            <w:r w:rsidRPr="00231519">
              <w:t xml:space="preserve">21 CFR </w:t>
            </w:r>
            <w:r>
              <w:t>Section</w:t>
            </w:r>
          </w:p>
        </w:tc>
        <w:tc>
          <w:tcPr>
            <w:tcW w:w="940" w:type="pct"/>
            <w:shd w:val="clear" w:color="auto" w:fill="auto"/>
          </w:tcPr>
          <w:p w:rsidRPr="00231519" w:rsidR="00CA6ABF" w:rsidP="00E12AF9" w:rsidRDefault="00CA6ABF" w14:paraId="193D708E" w14:textId="77777777">
            <w:pPr>
              <w:keepNext/>
              <w:jc w:val="center"/>
            </w:pPr>
            <w:r w:rsidRPr="00231519">
              <w:t>No. of Recordkeepers</w:t>
            </w:r>
          </w:p>
        </w:tc>
        <w:tc>
          <w:tcPr>
            <w:tcW w:w="940" w:type="pct"/>
            <w:shd w:val="clear" w:color="auto" w:fill="auto"/>
          </w:tcPr>
          <w:p w:rsidRPr="00231519" w:rsidR="00CA6ABF" w:rsidP="00E12AF9" w:rsidRDefault="00CA6ABF" w14:paraId="6513B8C6" w14:textId="77777777">
            <w:pPr>
              <w:keepNext/>
              <w:jc w:val="center"/>
            </w:pPr>
            <w:r w:rsidRPr="005E262D">
              <w:rPr>
                <w:bCs/>
              </w:rPr>
              <w:t>No. of Records per Recordkeeper</w:t>
            </w:r>
          </w:p>
        </w:tc>
        <w:tc>
          <w:tcPr>
            <w:tcW w:w="752" w:type="pct"/>
            <w:shd w:val="clear" w:color="auto" w:fill="auto"/>
          </w:tcPr>
          <w:p w:rsidRPr="00231519" w:rsidR="00CA6ABF" w:rsidP="00E12AF9" w:rsidRDefault="00CA6ABF" w14:paraId="40A45ED1" w14:textId="77777777">
            <w:pPr>
              <w:keepNext/>
              <w:jc w:val="center"/>
            </w:pPr>
            <w:r w:rsidRPr="00231519">
              <w:t>Total Annual Records</w:t>
            </w:r>
          </w:p>
        </w:tc>
        <w:tc>
          <w:tcPr>
            <w:tcW w:w="940" w:type="pct"/>
            <w:shd w:val="clear" w:color="auto" w:fill="auto"/>
          </w:tcPr>
          <w:p w:rsidRPr="00231519" w:rsidR="00CA6ABF" w:rsidP="00E12AF9" w:rsidRDefault="00CA6ABF" w14:paraId="7CD65E6D" w14:textId="77777777">
            <w:pPr>
              <w:keepNext/>
              <w:jc w:val="center"/>
            </w:pPr>
            <w:r w:rsidRPr="005E262D">
              <w:rPr>
                <w:bCs/>
              </w:rPr>
              <w:t xml:space="preserve">Average Burden per Recordkeeping </w:t>
            </w:r>
          </w:p>
        </w:tc>
        <w:tc>
          <w:tcPr>
            <w:tcW w:w="620" w:type="pct"/>
            <w:shd w:val="clear" w:color="auto" w:fill="auto"/>
          </w:tcPr>
          <w:p w:rsidRPr="00231519" w:rsidR="00CA6ABF" w:rsidP="00E12AF9" w:rsidRDefault="00CA6ABF" w14:paraId="46F16805" w14:textId="77777777">
            <w:pPr>
              <w:keepNext/>
              <w:jc w:val="center"/>
            </w:pPr>
            <w:r w:rsidRPr="00231519">
              <w:t>Total Hours</w:t>
            </w:r>
          </w:p>
        </w:tc>
      </w:tr>
      <w:tr w:rsidRPr="00231519" w:rsidR="00CA6ABF" w:rsidTr="00E12AF9" w14:paraId="5B8A01E2" w14:textId="77777777">
        <w:trPr>
          <w:cantSplit/>
          <w:trHeight w:val="20"/>
          <w:jc w:val="center"/>
        </w:trPr>
        <w:tc>
          <w:tcPr>
            <w:tcW w:w="808" w:type="pct"/>
            <w:shd w:val="clear" w:color="auto" w:fill="auto"/>
          </w:tcPr>
          <w:p w:rsidRPr="00231519" w:rsidR="00CA6ABF" w:rsidP="00E12AF9" w:rsidRDefault="00CA6ABF" w14:paraId="782DC690" w14:textId="77777777">
            <w:pPr>
              <w:keepNext/>
            </w:pPr>
            <w:r>
              <w:t>Record retention, 801.150(a)(2)</w:t>
            </w:r>
          </w:p>
        </w:tc>
        <w:tc>
          <w:tcPr>
            <w:tcW w:w="940" w:type="pct"/>
            <w:shd w:val="clear" w:color="auto" w:fill="auto"/>
          </w:tcPr>
          <w:p w:rsidRPr="00231519" w:rsidR="00CA6ABF" w:rsidP="00E12AF9" w:rsidRDefault="00CA6ABF" w14:paraId="0F2782F8" w14:textId="77777777">
            <w:pPr>
              <w:keepNext/>
              <w:jc w:val="right"/>
            </w:pPr>
            <w:r>
              <w:t>218</w:t>
            </w:r>
          </w:p>
        </w:tc>
        <w:tc>
          <w:tcPr>
            <w:tcW w:w="940" w:type="pct"/>
            <w:shd w:val="clear" w:color="auto" w:fill="auto"/>
          </w:tcPr>
          <w:p w:rsidRPr="00231519" w:rsidR="00CA6ABF" w:rsidP="00E12AF9" w:rsidRDefault="00CA6ABF" w14:paraId="79D812EC" w14:textId="77777777">
            <w:pPr>
              <w:keepNext/>
              <w:jc w:val="right"/>
            </w:pPr>
            <w:r>
              <w:t>37.5</w:t>
            </w:r>
          </w:p>
        </w:tc>
        <w:tc>
          <w:tcPr>
            <w:tcW w:w="752" w:type="pct"/>
            <w:shd w:val="clear" w:color="auto" w:fill="auto"/>
          </w:tcPr>
          <w:p w:rsidRPr="00231519" w:rsidR="00CA6ABF" w:rsidP="00E12AF9" w:rsidRDefault="00CA6ABF" w14:paraId="715AD5BA" w14:textId="77777777">
            <w:pPr>
              <w:keepNext/>
              <w:jc w:val="right"/>
            </w:pPr>
            <w:r>
              <w:t>8</w:t>
            </w:r>
            <w:r w:rsidR="001C3614">
              <w:t>,</w:t>
            </w:r>
            <w:r>
              <w:t>175</w:t>
            </w:r>
          </w:p>
        </w:tc>
        <w:tc>
          <w:tcPr>
            <w:tcW w:w="940" w:type="pct"/>
            <w:shd w:val="clear" w:color="auto" w:fill="auto"/>
          </w:tcPr>
          <w:p w:rsidRPr="00231519" w:rsidR="00CA6ABF" w:rsidP="00E12AF9" w:rsidRDefault="00CA6ABF" w14:paraId="44C63349" w14:textId="77777777">
            <w:pPr>
              <w:keepNext/>
              <w:jc w:val="right"/>
            </w:pPr>
            <w:r>
              <w:t>.5</w:t>
            </w:r>
            <w:r w:rsidR="001C3614">
              <w:t xml:space="preserve"> (30 minutes)</w:t>
            </w:r>
          </w:p>
        </w:tc>
        <w:tc>
          <w:tcPr>
            <w:tcW w:w="620" w:type="pct"/>
            <w:shd w:val="clear" w:color="auto" w:fill="auto"/>
          </w:tcPr>
          <w:p w:rsidRPr="00231519" w:rsidR="00CA6ABF" w:rsidP="00E12AF9" w:rsidRDefault="00CA6ABF" w14:paraId="02AA54F6" w14:textId="77777777">
            <w:pPr>
              <w:keepNext/>
              <w:jc w:val="right"/>
            </w:pPr>
            <w:r>
              <w:t>4</w:t>
            </w:r>
            <w:r w:rsidR="001C3614">
              <w:t>,</w:t>
            </w:r>
            <w:r>
              <w:t>08</w:t>
            </w:r>
            <w:r w:rsidR="001C3614">
              <w:t>8</w:t>
            </w:r>
          </w:p>
        </w:tc>
      </w:tr>
    </w:tbl>
    <w:p w:rsidR="00CA6ABF" w:rsidP="00CA6ABF" w:rsidRDefault="00CA6ABF" w14:paraId="587734DC" w14:textId="77777777">
      <w:pPr>
        <w:pStyle w:val="BodyText2"/>
        <w:ind w:left="36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35"/>
        <w:gridCol w:w="1787"/>
        <w:gridCol w:w="1789"/>
        <w:gridCol w:w="1428"/>
        <w:gridCol w:w="1781"/>
        <w:gridCol w:w="1184"/>
      </w:tblGrid>
      <w:tr w:rsidRPr="00695DD6" w:rsidR="00CA6ABF" w:rsidTr="00E12AF9" w14:paraId="0F3798D2" w14:textId="77777777">
        <w:trPr>
          <w:cantSplit/>
          <w:trHeight w:val="20"/>
          <w:tblHeader/>
          <w:jc w:val="center"/>
        </w:trPr>
        <w:tc>
          <w:tcPr>
            <w:tcW w:w="5000" w:type="pct"/>
            <w:gridSpan w:val="6"/>
            <w:tcBorders>
              <w:top w:val="nil"/>
              <w:left w:val="nil"/>
              <w:right w:val="nil"/>
            </w:tcBorders>
            <w:shd w:val="clear" w:color="auto" w:fill="auto"/>
          </w:tcPr>
          <w:p w:rsidRPr="00695DD6" w:rsidR="00CA6ABF" w:rsidP="00E12AF9" w:rsidRDefault="00CA6ABF" w14:paraId="7033D321" w14:textId="77777777">
            <w:pPr>
              <w:keepNext/>
              <w:jc w:val="center"/>
            </w:pPr>
            <w:r>
              <w:t>Table 2</w:t>
            </w:r>
            <w:r w:rsidRPr="00695DD6">
              <w:t xml:space="preserve">.--Estimated Annual </w:t>
            </w:r>
            <w:r>
              <w:t>Third-Party Disclosure</w:t>
            </w:r>
            <w:r w:rsidRPr="00695DD6">
              <w:t xml:space="preserve"> Burden</w:t>
            </w:r>
          </w:p>
        </w:tc>
      </w:tr>
      <w:tr w:rsidRPr="00695DD6" w:rsidR="00CA6ABF" w:rsidTr="00E12AF9" w14:paraId="23B3B737" w14:textId="77777777">
        <w:trPr>
          <w:cantSplit/>
          <w:trHeight w:val="20"/>
          <w:tblHeader/>
          <w:jc w:val="center"/>
        </w:trPr>
        <w:tc>
          <w:tcPr>
            <w:tcW w:w="808" w:type="pct"/>
            <w:shd w:val="clear" w:color="auto" w:fill="auto"/>
          </w:tcPr>
          <w:p w:rsidRPr="00695DD6" w:rsidR="00CA6ABF" w:rsidP="00E12AF9" w:rsidRDefault="00CA6ABF" w14:paraId="62EE5F44" w14:textId="77777777">
            <w:pPr>
              <w:keepNext/>
              <w:jc w:val="center"/>
            </w:pPr>
            <w:r>
              <w:t>Activity/</w:t>
            </w:r>
            <w:r w:rsidRPr="00695DD6">
              <w:t xml:space="preserve">21 CFR </w:t>
            </w:r>
            <w:r>
              <w:t>Section</w:t>
            </w:r>
          </w:p>
        </w:tc>
        <w:tc>
          <w:tcPr>
            <w:tcW w:w="940" w:type="pct"/>
            <w:shd w:val="clear" w:color="auto" w:fill="auto"/>
          </w:tcPr>
          <w:p w:rsidRPr="00695DD6" w:rsidR="00CA6ABF" w:rsidP="00E12AF9" w:rsidRDefault="00CA6ABF" w14:paraId="6DC9AFA2" w14:textId="77777777">
            <w:pPr>
              <w:keepNext/>
              <w:jc w:val="center"/>
            </w:pPr>
            <w:r w:rsidRPr="00695DD6">
              <w:t>No. of Respondents</w:t>
            </w:r>
          </w:p>
        </w:tc>
        <w:tc>
          <w:tcPr>
            <w:tcW w:w="941" w:type="pct"/>
            <w:shd w:val="clear" w:color="auto" w:fill="auto"/>
          </w:tcPr>
          <w:p w:rsidRPr="00695DD6" w:rsidR="00CA6ABF" w:rsidP="00E12AF9" w:rsidRDefault="00CA6ABF" w14:paraId="6D63C452" w14:textId="77777777">
            <w:pPr>
              <w:keepNext/>
              <w:jc w:val="center"/>
            </w:pPr>
            <w:r w:rsidRPr="005E262D">
              <w:rPr>
                <w:bCs/>
              </w:rPr>
              <w:t xml:space="preserve">No. of </w:t>
            </w:r>
            <w:r>
              <w:rPr>
                <w:bCs/>
              </w:rPr>
              <w:t>Disclosures</w:t>
            </w:r>
            <w:r w:rsidRPr="005E262D">
              <w:rPr>
                <w:bCs/>
              </w:rPr>
              <w:t xml:space="preserve"> per Respondent</w:t>
            </w:r>
          </w:p>
        </w:tc>
        <w:tc>
          <w:tcPr>
            <w:tcW w:w="751" w:type="pct"/>
            <w:shd w:val="clear" w:color="auto" w:fill="auto"/>
          </w:tcPr>
          <w:p w:rsidRPr="00695DD6" w:rsidR="00CA6ABF" w:rsidP="00E12AF9" w:rsidRDefault="00CA6ABF" w14:paraId="276F8257" w14:textId="77777777">
            <w:pPr>
              <w:keepNext/>
              <w:jc w:val="center"/>
            </w:pPr>
            <w:r w:rsidRPr="00695DD6">
              <w:t xml:space="preserve">Total Annual </w:t>
            </w:r>
            <w:r>
              <w:t>Disclosures</w:t>
            </w:r>
          </w:p>
        </w:tc>
        <w:tc>
          <w:tcPr>
            <w:tcW w:w="937" w:type="pct"/>
            <w:shd w:val="clear" w:color="auto" w:fill="auto"/>
          </w:tcPr>
          <w:p w:rsidRPr="00695DD6" w:rsidR="00CA6ABF" w:rsidP="00E12AF9" w:rsidRDefault="00CA6ABF" w14:paraId="7BE80384" w14:textId="77777777">
            <w:pPr>
              <w:keepNext/>
              <w:jc w:val="center"/>
            </w:pPr>
            <w:r w:rsidRPr="005E262D">
              <w:rPr>
                <w:bCs/>
              </w:rPr>
              <w:t xml:space="preserve">Average Burden per </w:t>
            </w:r>
            <w:r>
              <w:rPr>
                <w:bCs/>
              </w:rPr>
              <w:t>Disclosure</w:t>
            </w:r>
          </w:p>
        </w:tc>
        <w:tc>
          <w:tcPr>
            <w:tcW w:w="623" w:type="pct"/>
            <w:shd w:val="clear" w:color="auto" w:fill="auto"/>
          </w:tcPr>
          <w:p w:rsidRPr="00695DD6" w:rsidR="00CA6ABF" w:rsidP="00E12AF9" w:rsidRDefault="00CA6ABF" w14:paraId="0EDBDCD6" w14:textId="77777777">
            <w:pPr>
              <w:keepNext/>
              <w:jc w:val="center"/>
            </w:pPr>
            <w:r w:rsidRPr="00695DD6">
              <w:t>Total Hours</w:t>
            </w:r>
          </w:p>
        </w:tc>
      </w:tr>
      <w:tr w:rsidRPr="00695DD6" w:rsidR="00CA6ABF" w:rsidTr="00E12AF9" w14:paraId="444408D9" w14:textId="77777777">
        <w:trPr>
          <w:cantSplit/>
          <w:trHeight w:val="20"/>
          <w:jc w:val="center"/>
        </w:trPr>
        <w:tc>
          <w:tcPr>
            <w:tcW w:w="808" w:type="pct"/>
            <w:shd w:val="clear" w:color="auto" w:fill="auto"/>
          </w:tcPr>
          <w:p w:rsidRPr="00695DD6" w:rsidR="00CA6ABF" w:rsidP="00E12AF9" w:rsidRDefault="00CA6ABF" w14:paraId="408878AB" w14:textId="77777777">
            <w:pPr>
              <w:keepNext/>
            </w:pPr>
            <w:r>
              <w:t>Agreement and labeling requirements, 801.150(e)</w:t>
            </w:r>
          </w:p>
        </w:tc>
        <w:tc>
          <w:tcPr>
            <w:tcW w:w="940" w:type="pct"/>
            <w:shd w:val="clear" w:color="auto" w:fill="auto"/>
          </w:tcPr>
          <w:p w:rsidRPr="00695DD6" w:rsidR="00CA6ABF" w:rsidP="00E12AF9" w:rsidRDefault="00CA6ABF" w14:paraId="4E8A2118" w14:textId="77777777">
            <w:pPr>
              <w:keepNext/>
              <w:jc w:val="right"/>
            </w:pPr>
            <w:r>
              <w:t>218</w:t>
            </w:r>
          </w:p>
        </w:tc>
        <w:tc>
          <w:tcPr>
            <w:tcW w:w="941" w:type="pct"/>
            <w:shd w:val="clear" w:color="auto" w:fill="auto"/>
          </w:tcPr>
          <w:p w:rsidRPr="00695DD6" w:rsidR="00CA6ABF" w:rsidP="00E12AF9" w:rsidRDefault="00CA6ABF" w14:paraId="242481EB" w14:textId="77777777">
            <w:pPr>
              <w:keepNext/>
              <w:jc w:val="right"/>
            </w:pPr>
            <w:r>
              <w:t>37.5</w:t>
            </w:r>
          </w:p>
        </w:tc>
        <w:tc>
          <w:tcPr>
            <w:tcW w:w="751" w:type="pct"/>
            <w:shd w:val="clear" w:color="auto" w:fill="auto"/>
          </w:tcPr>
          <w:p w:rsidRPr="00695DD6" w:rsidR="00CA6ABF" w:rsidP="00E12AF9" w:rsidRDefault="00CA6ABF" w14:paraId="2798D2F0" w14:textId="77777777">
            <w:pPr>
              <w:keepNext/>
              <w:jc w:val="right"/>
            </w:pPr>
            <w:r>
              <w:t>8</w:t>
            </w:r>
            <w:r w:rsidR="001C3614">
              <w:t>,</w:t>
            </w:r>
            <w:r>
              <w:t>175</w:t>
            </w:r>
          </w:p>
        </w:tc>
        <w:tc>
          <w:tcPr>
            <w:tcW w:w="937" w:type="pct"/>
            <w:shd w:val="clear" w:color="auto" w:fill="auto"/>
          </w:tcPr>
          <w:p w:rsidRPr="00695DD6" w:rsidR="00CA6ABF" w:rsidP="00E12AF9" w:rsidRDefault="00CA6ABF" w14:paraId="2CE10E5D" w14:textId="77777777">
            <w:pPr>
              <w:keepNext/>
              <w:jc w:val="right"/>
            </w:pPr>
            <w:r>
              <w:t>4</w:t>
            </w:r>
          </w:p>
        </w:tc>
        <w:tc>
          <w:tcPr>
            <w:tcW w:w="623" w:type="pct"/>
            <w:shd w:val="clear" w:color="auto" w:fill="auto"/>
          </w:tcPr>
          <w:p w:rsidRPr="00695DD6" w:rsidR="00CA6ABF" w:rsidP="00E12AF9" w:rsidRDefault="00CA6ABF" w14:paraId="50F0E312" w14:textId="77777777">
            <w:pPr>
              <w:keepNext/>
              <w:jc w:val="right"/>
            </w:pPr>
            <w:r>
              <w:t>32</w:t>
            </w:r>
            <w:r w:rsidR="001C3614">
              <w:t>,</w:t>
            </w:r>
            <w:r>
              <w:t>700</w:t>
            </w:r>
          </w:p>
        </w:tc>
      </w:tr>
    </w:tbl>
    <w:p w:rsidR="00CA6ABF" w:rsidP="00CA6ABF" w:rsidRDefault="00CA6ABF" w14:paraId="01144879" w14:textId="77777777">
      <w:pPr>
        <w:pStyle w:val="BodyText2"/>
        <w:ind w:left="360"/>
      </w:pPr>
    </w:p>
    <w:p w:rsidR="00CA6ABF" w:rsidP="00CA6ABF" w:rsidRDefault="00CA6ABF" w14:paraId="022D030E" w14:textId="77777777">
      <w:pPr>
        <w:rPr>
          <w:color w:val="000000"/>
        </w:rPr>
      </w:pPr>
      <w:r w:rsidRPr="00A3768B">
        <w:t>FDA’s estimate</w:t>
      </w:r>
      <w:r>
        <w:t xml:space="preserve"> </w:t>
      </w:r>
      <w:r w:rsidRPr="00A3768B">
        <w:t>of the reporting burden is based on</w:t>
      </w:r>
      <w:r>
        <w:t xml:space="preserve"> </w:t>
      </w:r>
      <w:r w:rsidRPr="00A3768B">
        <w:t>data obtained from industry over</w:t>
      </w:r>
      <w:r>
        <w:t xml:space="preserve"> </w:t>
      </w:r>
      <w:r w:rsidRPr="00A3768B">
        <w:t>the past several years</w:t>
      </w:r>
      <w:r>
        <w:t xml:space="preserve">. </w:t>
      </w:r>
      <w:r w:rsidRPr="00A3768B">
        <w:t>It is estimated that each of</w:t>
      </w:r>
      <w:r>
        <w:t xml:space="preserve"> </w:t>
      </w:r>
      <w:r w:rsidRPr="00A3768B">
        <w:t>the firms</w:t>
      </w:r>
      <w:r>
        <w:t xml:space="preserve"> subject to this requirement</w:t>
      </w:r>
      <w:r w:rsidRPr="00A3768B">
        <w:t xml:space="preserve"> prepares</w:t>
      </w:r>
      <w:r>
        <w:t xml:space="preserve"> an average of</w:t>
      </w:r>
      <w:r w:rsidR="00C87AF6">
        <w:t xml:space="preserve"> </w:t>
      </w:r>
      <w:r>
        <w:t xml:space="preserve">37.5 </w:t>
      </w:r>
      <w:r w:rsidRPr="00A3768B">
        <w:t>written agreements each year. This</w:t>
      </w:r>
      <w:r>
        <w:t xml:space="preserve"> </w:t>
      </w:r>
      <w:r w:rsidRPr="00A3768B">
        <w:t xml:space="preserve">estimate varies greatly, from 1 to </w:t>
      </w:r>
      <w:r>
        <w:t xml:space="preserve">over </w:t>
      </w:r>
      <w:r w:rsidRPr="00A3768B">
        <w:t>100,</w:t>
      </w:r>
      <w:r>
        <w:t xml:space="preserve"> </w:t>
      </w:r>
      <w:r w:rsidRPr="00A3768B">
        <w:t>because some firms provide sterilization</w:t>
      </w:r>
      <w:r>
        <w:t xml:space="preserve"> </w:t>
      </w:r>
      <w:r w:rsidRPr="00A3768B">
        <w:t>services on a part-time basis for only</w:t>
      </w:r>
      <w:r>
        <w:t xml:space="preserve"> </w:t>
      </w:r>
      <w:r w:rsidRPr="00A3768B">
        <w:t>one customer, while others are large</w:t>
      </w:r>
      <w:r>
        <w:t xml:space="preserve"> </w:t>
      </w:r>
      <w:r w:rsidRPr="00A3768B">
        <w:t>facilities with many customers. The</w:t>
      </w:r>
      <w:r>
        <w:t xml:space="preserve"> </w:t>
      </w:r>
      <w:r w:rsidRPr="00A3768B">
        <w:t>average time required to prepare each</w:t>
      </w:r>
      <w:r>
        <w:t xml:space="preserve"> </w:t>
      </w:r>
      <w:r w:rsidRPr="00A3768B">
        <w:t>written agreement is estimated</w:t>
      </w:r>
      <w:r>
        <w:t xml:space="preserve"> </w:t>
      </w:r>
      <w:r w:rsidRPr="00A3768B">
        <w:t>to be 4</w:t>
      </w:r>
      <w:r>
        <w:t xml:space="preserve"> </w:t>
      </w:r>
      <w:r w:rsidRPr="00A3768B">
        <w:t>hours. This estimate varies depending</w:t>
      </w:r>
      <w:r>
        <w:t xml:space="preserve"> </w:t>
      </w:r>
      <w:r w:rsidRPr="00A3768B">
        <w:t>on whether the agreement is the initial</w:t>
      </w:r>
      <w:r>
        <w:t xml:space="preserve"> </w:t>
      </w:r>
      <w:r w:rsidRPr="00A3768B">
        <w:t>agreement or an annual renewal, on the</w:t>
      </w:r>
      <w:r>
        <w:t xml:space="preserve"> </w:t>
      </w:r>
      <w:r w:rsidRPr="00A3768B">
        <w:t>format each firm elects to use, and on</w:t>
      </w:r>
      <w:r>
        <w:t xml:space="preserve"> </w:t>
      </w:r>
      <w:r w:rsidRPr="00A3768B">
        <w:t>the length of time required to reach</w:t>
      </w:r>
      <w:r>
        <w:t xml:space="preserve"> </w:t>
      </w:r>
      <w:r w:rsidRPr="00A3768B">
        <w:t xml:space="preserve">agreement. </w:t>
      </w:r>
      <w:r>
        <w:t xml:space="preserve">Additionally, contract sterilizers will have an agreement with each medical device manufacturer.  </w:t>
      </w:r>
      <w:r w:rsidRPr="00A3768B">
        <w:t>The estimate applies only to</w:t>
      </w:r>
      <w:r>
        <w:t xml:space="preserve"> </w:t>
      </w:r>
      <w:r w:rsidRPr="00A3768B">
        <w:t>those portions of the written agreement</w:t>
      </w:r>
      <w:r>
        <w:t xml:space="preserve"> </w:t>
      </w:r>
      <w:r w:rsidRPr="00A3768B">
        <w:t>that pertain to the requirements</w:t>
      </w:r>
      <w:r>
        <w:t xml:space="preserve"> </w:t>
      </w:r>
      <w:r w:rsidRPr="00A3768B">
        <w:t>imposed by this regulation. The written</w:t>
      </w:r>
      <w:r>
        <w:t xml:space="preserve"> </w:t>
      </w:r>
      <w:r w:rsidRPr="00A3768B">
        <w:t>agreement generally also includes</w:t>
      </w:r>
      <w:r>
        <w:t xml:space="preserve"> </w:t>
      </w:r>
      <w:r w:rsidRPr="00A3768B">
        <w:t>contractual agreements that are a</w:t>
      </w:r>
      <w:r>
        <w:t xml:space="preserve"> usual </w:t>
      </w:r>
      <w:r w:rsidRPr="00A3768B">
        <w:t>and customary business practice.</w:t>
      </w:r>
      <w:r>
        <w:t xml:space="preserve"> </w:t>
      </w:r>
      <w:r w:rsidRPr="00A3768B">
        <w:t>The recordkeeping requirements of</w:t>
      </w:r>
      <w:r>
        <w:t xml:space="preserve"> </w:t>
      </w:r>
      <w:r w:rsidRPr="00A3768B">
        <w:t>§ 801.150(a)(2) consist of making copies</w:t>
      </w:r>
      <w:r>
        <w:t xml:space="preserve"> </w:t>
      </w:r>
      <w:r w:rsidRPr="00A3768B">
        <w:t xml:space="preserve">and maintaining </w:t>
      </w:r>
      <w:r>
        <w:t>the records</w:t>
      </w:r>
      <w:r w:rsidRPr="00A3768B">
        <w:t xml:space="preserve"> required under the</w:t>
      </w:r>
      <w:r>
        <w:t xml:space="preserve"> third-party disclosure section of this collection.</w:t>
      </w:r>
    </w:p>
    <w:p w:rsidRPr="005C71CA" w:rsidR="00CA6ABF" w:rsidP="0022425B" w:rsidRDefault="00CA6ABF" w14:paraId="13DAF34D" w14:textId="77777777">
      <w:pPr>
        <w:spacing w:after="200"/>
        <w:ind w:left="360"/>
        <w:rPr>
          <w:rFonts w:eastAsia="Calibri"/>
        </w:rPr>
      </w:pPr>
    </w:p>
    <w:p w:rsidR="00C40A0D" w:rsidP="0022425B" w:rsidRDefault="00D0402C" w14:paraId="51B48D53" w14:textId="77777777">
      <w:pPr>
        <w:spacing w:after="200"/>
        <w:ind w:left="360"/>
        <w:rPr>
          <w:rFonts w:eastAsia="Calibri"/>
          <w:i/>
        </w:rPr>
      </w:pPr>
      <w:r>
        <w:rPr>
          <w:rFonts w:eastAsia="Calibri"/>
          <w:i/>
        </w:rPr>
        <w:br w:type="page"/>
      </w:r>
    </w:p>
    <w:p w:rsidR="00C40A0D" w:rsidP="0022425B" w:rsidRDefault="00C40A0D" w14:paraId="169E8B20" w14:textId="77777777">
      <w:pPr>
        <w:spacing w:after="200"/>
        <w:ind w:left="360"/>
        <w:rPr>
          <w:rFonts w:eastAsia="Calibri"/>
          <w:i/>
        </w:rPr>
      </w:pPr>
    </w:p>
    <w:p w:rsidRPr="00D0402C" w:rsidR="00D0402C" w:rsidP="0022425B" w:rsidRDefault="00D0402C" w14:paraId="5B4BFDE0" w14:textId="77777777">
      <w:pPr>
        <w:spacing w:after="200"/>
        <w:ind w:left="360"/>
        <w:rPr>
          <w:rFonts w:eastAsia="Calibri"/>
          <w:iCs/>
        </w:rPr>
      </w:pPr>
    </w:p>
    <w:p w:rsidRPr="005C71CA" w:rsidR="00357C8A" w:rsidP="00DC371B" w:rsidRDefault="00357C8A" w14:paraId="0D575D82" w14:textId="77777777">
      <w:pPr>
        <w:spacing w:after="200"/>
        <w:ind w:left="360"/>
        <w:rPr>
          <w:rFonts w:eastAsia="Calibri"/>
        </w:rPr>
      </w:pPr>
      <w:r w:rsidRPr="005C71CA">
        <w:rPr>
          <w:rFonts w:eastAsia="Calibri"/>
        </w:rPr>
        <w:t>12b.  Annualized Cost Burden Estimate</w:t>
      </w:r>
    </w:p>
    <w:p w:rsidR="00CA6ABF" w:rsidP="00CA6ABF" w:rsidRDefault="00CA6ABF" w14:paraId="6BAB039D" w14:textId="77777777">
      <w:pPr>
        <w:pStyle w:val="BodyText2"/>
        <w:ind w:left="360"/>
      </w:pPr>
      <w:r>
        <w:t xml:space="preserve">We expect that the agreement and labeling requirements will be satisfied by regulatory affairs professionals. We expect that the recordkeeping requirements will be met by clerical workers. </w:t>
      </w:r>
    </w:p>
    <w:p w:rsidR="00CA6ABF" w:rsidP="00CA6ABF" w:rsidRDefault="00CA6ABF" w14:paraId="1AB69181" w14:textId="77777777">
      <w:pPr>
        <w:pStyle w:val="BodyText2"/>
        <w:ind w:left="720"/>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800"/>
        <w:gridCol w:w="2394"/>
        <w:gridCol w:w="2016"/>
      </w:tblGrid>
      <w:tr w:rsidR="00CA6ABF" w:rsidTr="00E12AF9" w14:paraId="31CFA8C1" w14:textId="77777777">
        <w:tc>
          <w:tcPr>
            <w:tcW w:w="2160" w:type="dxa"/>
            <w:shd w:val="clear" w:color="auto" w:fill="auto"/>
          </w:tcPr>
          <w:p w:rsidR="00CA6ABF" w:rsidP="00E12AF9" w:rsidRDefault="00CA6ABF" w14:paraId="68F8B1E4" w14:textId="77777777">
            <w:pPr>
              <w:keepNext/>
              <w:ind w:left="72"/>
              <w:jc w:val="center"/>
            </w:pPr>
            <w:r>
              <w:t>Type of Respondent</w:t>
            </w:r>
          </w:p>
        </w:tc>
        <w:tc>
          <w:tcPr>
            <w:tcW w:w="1800" w:type="dxa"/>
            <w:shd w:val="clear" w:color="auto" w:fill="auto"/>
          </w:tcPr>
          <w:p w:rsidR="00CA6ABF" w:rsidP="00E12AF9" w:rsidRDefault="00CA6ABF" w14:paraId="27CD623A" w14:textId="77777777">
            <w:pPr>
              <w:keepNext/>
              <w:ind w:left="72"/>
              <w:jc w:val="center"/>
            </w:pPr>
            <w:r>
              <w:t>Total Burden Hours</w:t>
            </w:r>
          </w:p>
        </w:tc>
        <w:tc>
          <w:tcPr>
            <w:tcW w:w="2394" w:type="dxa"/>
            <w:shd w:val="clear" w:color="auto" w:fill="auto"/>
          </w:tcPr>
          <w:p w:rsidR="00CA6ABF" w:rsidP="00E12AF9" w:rsidRDefault="00CA6ABF" w14:paraId="0D3E2237" w14:textId="77777777">
            <w:pPr>
              <w:keepNext/>
              <w:ind w:left="72"/>
              <w:jc w:val="center"/>
            </w:pPr>
            <w:r>
              <w:t>Hourly Wage Rate</w:t>
            </w:r>
          </w:p>
        </w:tc>
        <w:tc>
          <w:tcPr>
            <w:tcW w:w="1926" w:type="dxa"/>
            <w:shd w:val="clear" w:color="auto" w:fill="auto"/>
          </w:tcPr>
          <w:p w:rsidR="00CA6ABF" w:rsidP="00E12AF9" w:rsidRDefault="00CA6ABF" w14:paraId="23B354F9" w14:textId="77777777">
            <w:pPr>
              <w:keepNext/>
              <w:ind w:left="72"/>
              <w:jc w:val="center"/>
            </w:pPr>
            <w:r>
              <w:t>Total Respondent Costs</w:t>
            </w:r>
          </w:p>
        </w:tc>
      </w:tr>
      <w:tr w:rsidR="00CA6ABF" w:rsidTr="00E12AF9" w14:paraId="54BE8A07" w14:textId="77777777">
        <w:tc>
          <w:tcPr>
            <w:tcW w:w="2160" w:type="dxa"/>
            <w:shd w:val="clear" w:color="auto" w:fill="auto"/>
          </w:tcPr>
          <w:p w:rsidR="00CA6ABF" w:rsidP="00E12AF9" w:rsidRDefault="00CA6ABF" w14:paraId="0689B4DB" w14:textId="77777777">
            <w:pPr>
              <w:keepNext/>
              <w:ind w:left="72"/>
            </w:pPr>
            <w:r>
              <w:t>Regulatory Affairs Professional*</w:t>
            </w:r>
          </w:p>
        </w:tc>
        <w:tc>
          <w:tcPr>
            <w:tcW w:w="1800" w:type="dxa"/>
            <w:shd w:val="clear" w:color="auto" w:fill="auto"/>
          </w:tcPr>
          <w:p w:rsidR="00CA6ABF" w:rsidP="00E12AF9" w:rsidRDefault="00CA6ABF" w14:paraId="6BEBE6A2" w14:textId="77777777">
            <w:pPr>
              <w:keepNext/>
              <w:ind w:left="72"/>
              <w:jc w:val="right"/>
            </w:pPr>
            <w:r>
              <w:t>32</w:t>
            </w:r>
            <w:r w:rsidR="001C3614">
              <w:t>,</w:t>
            </w:r>
            <w:r>
              <w:t>700</w:t>
            </w:r>
          </w:p>
        </w:tc>
        <w:tc>
          <w:tcPr>
            <w:tcW w:w="2394" w:type="dxa"/>
            <w:shd w:val="clear" w:color="auto" w:fill="auto"/>
          </w:tcPr>
          <w:p w:rsidR="00CA6ABF" w:rsidP="00E12AF9" w:rsidRDefault="00CA6ABF" w14:paraId="53FBD414" w14:textId="77777777">
            <w:pPr>
              <w:keepNext/>
              <w:ind w:left="72"/>
              <w:jc w:val="right"/>
            </w:pPr>
            <w:r>
              <w:t>$84.00</w:t>
            </w:r>
          </w:p>
        </w:tc>
        <w:tc>
          <w:tcPr>
            <w:tcW w:w="1926" w:type="dxa"/>
            <w:shd w:val="clear" w:color="auto" w:fill="auto"/>
          </w:tcPr>
          <w:p w:rsidR="00CA6ABF" w:rsidP="00E12AF9" w:rsidRDefault="00CA6ABF" w14:paraId="7F03ED96" w14:textId="77777777">
            <w:pPr>
              <w:keepNext/>
              <w:ind w:left="108"/>
              <w:jc w:val="right"/>
            </w:pPr>
            <w:r>
              <w:t>$2</w:t>
            </w:r>
            <w:r w:rsidR="001C3614">
              <w:t>,</w:t>
            </w:r>
            <w:r>
              <w:t>746</w:t>
            </w:r>
            <w:r w:rsidR="001C3614">
              <w:t>,</w:t>
            </w:r>
            <w:r>
              <w:t>800</w:t>
            </w:r>
          </w:p>
        </w:tc>
      </w:tr>
      <w:tr w:rsidR="00CA6ABF" w:rsidTr="00E12AF9" w14:paraId="6CF76099" w14:textId="77777777">
        <w:tc>
          <w:tcPr>
            <w:tcW w:w="2160" w:type="dxa"/>
            <w:shd w:val="clear" w:color="auto" w:fill="auto"/>
          </w:tcPr>
          <w:p w:rsidR="00CA6ABF" w:rsidP="00E12AF9" w:rsidRDefault="00CA6ABF" w14:paraId="2CC2162C" w14:textId="77777777">
            <w:pPr>
              <w:keepNext/>
              <w:ind w:left="72"/>
            </w:pPr>
            <w:r>
              <w:t>Clerical worker**</w:t>
            </w:r>
          </w:p>
        </w:tc>
        <w:tc>
          <w:tcPr>
            <w:tcW w:w="1800" w:type="dxa"/>
            <w:shd w:val="clear" w:color="auto" w:fill="auto"/>
          </w:tcPr>
          <w:p w:rsidR="00CA6ABF" w:rsidP="00E12AF9" w:rsidRDefault="00CA6ABF" w14:paraId="2CD9517B" w14:textId="77777777">
            <w:pPr>
              <w:keepNext/>
              <w:ind w:left="72"/>
              <w:jc w:val="right"/>
            </w:pPr>
            <w:r>
              <w:t>4</w:t>
            </w:r>
            <w:r w:rsidR="001C3614">
              <w:t>,</w:t>
            </w:r>
            <w:r>
              <w:t>087.5</w:t>
            </w:r>
          </w:p>
        </w:tc>
        <w:tc>
          <w:tcPr>
            <w:tcW w:w="2394" w:type="dxa"/>
            <w:shd w:val="clear" w:color="auto" w:fill="auto"/>
          </w:tcPr>
          <w:p w:rsidR="00CA6ABF" w:rsidP="00E12AF9" w:rsidRDefault="00CA6ABF" w14:paraId="281797B4" w14:textId="77777777">
            <w:pPr>
              <w:keepNext/>
              <w:ind w:left="72"/>
              <w:jc w:val="right"/>
            </w:pPr>
            <w:r>
              <w:t>$18.16</w:t>
            </w:r>
          </w:p>
        </w:tc>
        <w:tc>
          <w:tcPr>
            <w:tcW w:w="1926" w:type="dxa"/>
            <w:shd w:val="clear" w:color="auto" w:fill="auto"/>
          </w:tcPr>
          <w:p w:rsidR="00CA6ABF" w:rsidP="00E12AF9" w:rsidRDefault="00CA6ABF" w14:paraId="2C239AD3" w14:textId="77777777">
            <w:pPr>
              <w:keepNext/>
              <w:ind w:left="108"/>
              <w:jc w:val="right"/>
            </w:pPr>
            <w:r>
              <w:t>$74</w:t>
            </w:r>
            <w:r w:rsidR="001C3614">
              <w:t>,</w:t>
            </w:r>
            <w:r>
              <w:t>229</w:t>
            </w:r>
          </w:p>
        </w:tc>
      </w:tr>
      <w:tr w:rsidR="00CA6ABF" w:rsidTr="00E12AF9" w14:paraId="3CBB250A" w14:textId="77777777">
        <w:tc>
          <w:tcPr>
            <w:tcW w:w="6354" w:type="dxa"/>
            <w:gridSpan w:val="3"/>
            <w:shd w:val="clear" w:color="auto" w:fill="auto"/>
          </w:tcPr>
          <w:p w:rsidR="00CA6ABF" w:rsidP="00E12AF9" w:rsidRDefault="00CA6ABF" w14:paraId="6941C684" w14:textId="77777777">
            <w:pPr>
              <w:keepNext/>
              <w:ind w:left="72"/>
            </w:pPr>
            <w:r>
              <w:t>Total</w:t>
            </w:r>
          </w:p>
        </w:tc>
        <w:tc>
          <w:tcPr>
            <w:tcW w:w="1926" w:type="dxa"/>
            <w:shd w:val="clear" w:color="auto" w:fill="auto"/>
          </w:tcPr>
          <w:p w:rsidR="00CA6ABF" w:rsidP="00E12AF9" w:rsidRDefault="00CA6ABF" w14:paraId="1B699663" w14:textId="77777777">
            <w:pPr>
              <w:keepNext/>
              <w:ind w:left="720"/>
              <w:jc w:val="right"/>
            </w:pPr>
            <w:r>
              <w:t>$2</w:t>
            </w:r>
            <w:r w:rsidR="001C3614">
              <w:t>,</w:t>
            </w:r>
            <w:r>
              <w:t>821</w:t>
            </w:r>
            <w:r w:rsidR="001C3614">
              <w:t>,</w:t>
            </w:r>
            <w:r>
              <w:t>029</w:t>
            </w:r>
          </w:p>
        </w:tc>
      </w:tr>
    </w:tbl>
    <w:p w:rsidR="00CA6ABF" w:rsidP="00CA6ABF" w:rsidRDefault="00CA6ABF" w14:paraId="7288B8A3" w14:textId="77777777">
      <w:pPr>
        <w:pStyle w:val="BodyText2"/>
        <w:ind w:left="720"/>
      </w:pPr>
    </w:p>
    <w:p w:rsidRPr="00CA6ABF" w:rsidR="00CA6ABF" w:rsidP="00CA6ABF" w:rsidRDefault="00CA6ABF" w14:paraId="0220346A" w14:textId="77777777">
      <w:pPr>
        <w:ind w:left="720"/>
        <w:rPr>
          <w:sz w:val="20"/>
          <w:szCs w:val="20"/>
        </w:rPr>
      </w:pPr>
      <w:r w:rsidRPr="00CA6ABF">
        <w:rPr>
          <w:sz w:val="20"/>
          <w:szCs w:val="20"/>
        </w:rPr>
        <w:t xml:space="preserve">*The estimated wage rate for a Regulatory Affairs Professional is the average of </w:t>
      </w:r>
      <w:hyperlink w:history="1" r:id="rId10">
        <w:r w:rsidRPr="00CA6ABF">
          <w:rPr>
            <w:rStyle w:val="Hyperlink"/>
            <w:sz w:val="20"/>
            <w:szCs w:val="20"/>
          </w:rPr>
          <w:t>www.salary.com</w:t>
        </w:r>
      </w:hyperlink>
      <w:r w:rsidRPr="00CA6ABF">
        <w:rPr>
          <w:sz w:val="20"/>
          <w:szCs w:val="20"/>
        </w:rPr>
        <w:t xml:space="preserve"> (viewed on 1/30/22)  total compensation data of $185,625 (</w:t>
      </w:r>
      <w:hyperlink w:history="1" r:id="rId11">
        <w:r w:rsidRPr="00CA6ABF">
          <w:rPr>
            <w:rStyle w:val="Hyperlink"/>
            <w:sz w:val="20"/>
            <w:szCs w:val="20"/>
          </w:rPr>
          <w:t>https://www1.salary.com/Regulatory-Affairs-Specialist-salaries.html#:~:text=The%20average%20Regulatory%20Affairs%20Specialist,falls%20between%20%2455%2C063%20and%20%24315%2C484</w:t>
        </w:r>
      </w:hyperlink>
      <w:r w:rsidRPr="00CA6ABF">
        <w:rPr>
          <w:sz w:val="20"/>
          <w:szCs w:val="20"/>
        </w:rPr>
        <w:t>) and an estimation of Regulatory Affairs Professional Society (RAPS) average total annual compensation of $166,337 for a U.S. regulatory affairs professional  based on a combination of average compensation reported in 2016 Scope of Practice Compensation Report for the Regulatory Professional and reported salary increases in the 2018 and 2020 reports. (</w:t>
      </w:r>
      <w:hyperlink w:history="1" r:id="rId12">
        <w:r w:rsidRPr="00CA6ABF">
          <w:rPr>
            <w:rStyle w:val="Hyperlink"/>
            <w:sz w:val="20"/>
            <w:szCs w:val="20"/>
          </w:rPr>
          <w:t>https://www.raps.org/getattachment/Careers/Scope-of-Practice-Survey/2016-Scope-of-Practice-Compensation-Report-for-the-Regulatory-Profession.pdf.aspx?lang=en-US</w:t>
        </w:r>
      </w:hyperlink>
      <w:r w:rsidRPr="00CA6ABF">
        <w:rPr>
          <w:sz w:val="20"/>
          <w:szCs w:val="20"/>
        </w:rPr>
        <w:t>, p. 11). The hourly wage rate of $84 assumes a 40-hour work week and is rounded to the nearest dollar.</w:t>
      </w:r>
    </w:p>
    <w:p w:rsidRPr="00CA6ABF" w:rsidR="00CA6ABF" w:rsidP="00CA6ABF" w:rsidRDefault="00CA6ABF" w14:paraId="288768E7" w14:textId="77777777">
      <w:pPr>
        <w:ind w:left="720"/>
        <w:rPr>
          <w:sz w:val="20"/>
          <w:szCs w:val="20"/>
        </w:rPr>
      </w:pPr>
      <w:r w:rsidRPr="00CA6ABF">
        <w:rPr>
          <w:sz w:val="20"/>
          <w:szCs w:val="20"/>
        </w:rPr>
        <w:t xml:space="preserve">** The estimated wage rate for a clerical worker is based on the Bureau of Labor and Statistics May 2020 National Occupational Employment and Wage Estimates data for Office Clerks, General (Occupation Code #43-9061), </w:t>
      </w:r>
      <w:hyperlink w:history="1" r:id="rId13">
        <w:r w:rsidRPr="00CA6ABF">
          <w:rPr>
            <w:rStyle w:val="Hyperlink"/>
            <w:sz w:val="20"/>
            <w:szCs w:val="20"/>
          </w:rPr>
          <w:t>http://www.bls.gov/oes/current/oes_nat.htm#43-0000</w:t>
        </w:r>
      </w:hyperlink>
      <w:r w:rsidRPr="00CA6ABF">
        <w:rPr>
          <w:sz w:val="20"/>
          <w:szCs w:val="20"/>
        </w:rPr>
        <w:t>.</w:t>
      </w:r>
    </w:p>
    <w:p w:rsidRPr="00357C8A" w:rsidR="00357C8A" w:rsidP="00357C8A" w:rsidRDefault="00357C8A" w14:paraId="6DD027B4" w14:textId="77777777">
      <w:pPr>
        <w:rPr>
          <w:rFonts w:eastAsia="Calibri"/>
        </w:rPr>
      </w:pPr>
    </w:p>
    <w:p w:rsidRPr="00357C8A" w:rsidR="00357C8A" w:rsidP="006705EA" w:rsidRDefault="00357C8A" w14:paraId="659027AA"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Pr="00CA6ABF" w:rsidR="00CA6ABF" w:rsidP="00EB4CE3" w:rsidRDefault="00CA6ABF" w14:paraId="664E8796" w14:textId="77777777">
      <w:pPr>
        <w:spacing w:after="200" w:line="276" w:lineRule="auto"/>
        <w:rPr>
          <w:rFonts w:eastAsia="Calibri"/>
          <w:u w:val="single"/>
        </w:rPr>
      </w:pPr>
      <w:r w:rsidRPr="00CA6ABF">
        <w:rPr>
          <w:rFonts w:eastAsia="Calibri"/>
        </w:rPr>
        <w:t>There are no capital costs or operating and maintenance costs associated with this collection of information.</w:t>
      </w:r>
    </w:p>
    <w:p w:rsidRPr="00357C8A" w:rsidR="00357C8A" w:rsidP="006705EA" w:rsidRDefault="00357C8A" w14:paraId="6DB475BB"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C87AF6" w:rsidP="00C87AF6" w:rsidRDefault="00C87AF6" w14:paraId="3F158AE2" w14:textId="77777777">
      <w:pPr>
        <w:pStyle w:val="BodyText2"/>
      </w:pPr>
      <w:r>
        <w:t>Costs for the Federal government are minimal because the review of written agreements is conducted during routine scheduled inspections conducted in accordance with a risk-based schedule under the medical device Quality System regulations. Therefore, written agreements for approximately 31% of the regulated firms ((68) are reviewed each year. FDA investigators may examine records for 5 customers, on average. Therefore 340 written agreements (68 x 5) are estimated to be examined each year. An estimated average of 15 minutes is required for each review. Therefore, an estimated 85 hours are required for review of the written agreements each year.</w:t>
      </w:r>
    </w:p>
    <w:p w:rsidR="00C87AF6" w:rsidP="00C87AF6" w:rsidRDefault="00C87AF6" w14:paraId="387DD4FF" w14:textId="77777777">
      <w:pPr>
        <w:pStyle w:val="BodyText2"/>
      </w:pPr>
    </w:p>
    <w:p w:rsidR="00C87AF6" w:rsidP="00C87AF6" w:rsidRDefault="00C87AF6" w14:paraId="4E610CC2" w14:textId="77777777">
      <w:pPr>
        <w:pStyle w:val="BodyText2"/>
      </w:pPr>
      <w:r w:rsidRPr="00487C9B">
        <w:t>The hourly rate</w:t>
      </w:r>
      <w:r>
        <w:t>, $130 (rounded),</w:t>
      </w:r>
      <w:r w:rsidRPr="00487C9B">
        <w:t xml:space="preserve"> is based on the Food and Drug Administration fully loaded FTE cost model (domestic) for the Center for Devices and Radiological Health for FY 20</w:t>
      </w:r>
      <w:r>
        <w:t xml:space="preserve">20 </w:t>
      </w:r>
      <w:r w:rsidRPr="00487C9B">
        <w:t>($2</w:t>
      </w:r>
      <w:r>
        <w:t>81,225</w:t>
      </w:r>
      <w:r w:rsidRPr="00487C9B">
        <w:t xml:space="preserve">), as provided by agency economists, and calculated for a 40-hour work week. </w:t>
      </w:r>
      <w:r>
        <w:t>The burden to government of this information collection is $11,050 per year (rounded) which is computed by taking the hourly average FTE cost of $130 and multiplying it by 85 hours.</w:t>
      </w:r>
    </w:p>
    <w:p w:rsidRPr="00C87AF6" w:rsidR="00C87AF6" w:rsidP="00C87AF6" w:rsidRDefault="00C87AF6" w14:paraId="7C334B4F" w14:textId="77777777">
      <w:pPr>
        <w:pStyle w:val="BodyText2"/>
      </w:pPr>
    </w:p>
    <w:p w:rsidR="00357C8A" w:rsidP="00CA6ABF" w:rsidRDefault="00357C8A" w14:paraId="56DD17EC"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A506DE" w:rsidR="00A506DE" w:rsidP="00A506DE" w:rsidRDefault="001C3614" w14:paraId="7AEBAD3F" w14:textId="77777777">
      <w:pPr>
        <w:spacing w:after="200" w:line="276" w:lineRule="auto"/>
        <w:rPr>
          <w:rFonts w:eastAsia="Calibri"/>
        </w:rPr>
      </w:pPr>
      <w:r>
        <w:rPr>
          <w:rFonts w:eastAsia="Calibri"/>
        </w:rPr>
        <w:lastRenderedPageBreak/>
        <w:t xml:space="preserve">This information collection has resulted in an increase of </w:t>
      </w:r>
      <w:r w:rsidRPr="002B21B1" w:rsidR="002B21B1">
        <w:rPr>
          <w:rFonts w:eastAsia="Calibri"/>
        </w:rPr>
        <w:t xml:space="preserve">27,778 </w:t>
      </w:r>
      <w:r>
        <w:rPr>
          <w:rFonts w:eastAsia="Calibri"/>
        </w:rPr>
        <w:t xml:space="preserve">burden hours and an increase of </w:t>
      </w:r>
      <w:r w:rsidRPr="001C3614">
        <w:rPr>
          <w:rFonts w:eastAsia="Calibri"/>
        </w:rPr>
        <w:t>6,175</w:t>
      </w:r>
      <w:r>
        <w:rPr>
          <w:rFonts w:eastAsia="Calibri"/>
        </w:rPr>
        <w:t xml:space="preserve"> records. </w:t>
      </w:r>
      <w:r w:rsidRPr="001C3614">
        <w:rPr>
          <w:rFonts w:eastAsia="Calibri"/>
        </w:rPr>
        <w:t>We attribute this adjustment to an increase in the number of submissions we received over the last few years</w:t>
      </w:r>
      <w:r>
        <w:rPr>
          <w:rFonts w:eastAsia="Calibri"/>
        </w:rPr>
        <w:t>.</w:t>
      </w:r>
    </w:p>
    <w:p w:rsidRPr="00357C8A" w:rsidR="00357C8A" w:rsidP="006705EA" w:rsidRDefault="00357C8A" w14:paraId="3E623509"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357C8A" w:rsidR="00357C8A" w:rsidP="00357C8A" w:rsidRDefault="00357C8A" w14:paraId="58996A84" w14:textId="77777777">
      <w:pPr>
        <w:spacing w:after="200"/>
        <w:rPr>
          <w:rFonts w:eastAsia="Calibri"/>
        </w:rPr>
      </w:pPr>
      <w:r w:rsidRPr="005C71CA">
        <w:rPr>
          <w:rFonts w:eastAsia="Calibri"/>
        </w:rPr>
        <w:t>This information collected will not be published or tabulated.</w:t>
      </w:r>
    </w:p>
    <w:p w:rsidRPr="00357C8A" w:rsidR="00357C8A" w:rsidP="006705EA" w:rsidRDefault="00357C8A" w14:paraId="10983867"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1C3614" w:rsidP="00357C8A" w:rsidRDefault="001C3614" w14:paraId="3AB870DB" w14:textId="77777777">
      <w:pPr>
        <w:spacing w:after="200"/>
        <w:rPr>
          <w:rFonts w:eastAsia="Calibri"/>
        </w:rPr>
      </w:pPr>
      <w:r w:rsidRPr="001C3614">
        <w:rPr>
          <w:rFonts w:eastAsia="Calibri"/>
        </w:rPr>
        <w:t>FDA will display the OMB expiration date as required by 5 CFR 1320.5.</w:t>
      </w:r>
    </w:p>
    <w:p w:rsidRPr="00357C8A" w:rsidR="00357C8A" w:rsidP="006705EA" w:rsidRDefault="00357C8A" w14:paraId="50CE4631"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CA6ABF" w:rsidRDefault="007E59A8" w14:paraId="1467AE54" w14:textId="77777777">
      <w:pPr>
        <w:spacing w:after="200"/>
        <w:rPr>
          <w:rFonts w:eastAsia="Calibri"/>
        </w:rPr>
      </w:pPr>
      <w:r w:rsidRPr="007E59A8">
        <w:rPr>
          <w:rFonts w:eastAsia="Calibri"/>
        </w:rPr>
        <w:t>There are no exceptions to the certification</w:t>
      </w:r>
      <w:r w:rsidR="00CA6ABF">
        <w:rPr>
          <w:rFonts w:eastAsia="Calibri"/>
        </w:rPr>
        <w:t>.</w:t>
      </w:r>
    </w:p>
    <w:sectPr w:rsidRPr="00C20690" w:rsidR="00544138" w:rsidSect="005C71CA">
      <w:footerReference w:type="even" r:id="rId14"/>
      <w:footerReference w:type="default" r:id="rId15"/>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0DD68" w14:textId="77777777" w:rsidR="00FE43D1" w:rsidRDefault="00FE43D1">
      <w:r>
        <w:separator/>
      </w:r>
    </w:p>
  </w:endnote>
  <w:endnote w:type="continuationSeparator" w:id="0">
    <w:p w14:paraId="385E8AE2" w14:textId="77777777" w:rsidR="00FE43D1" w:rsidRDefault="00FE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395B"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FE256E9"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1BE65"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40B1F305"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20B36" w14:textId="77777777" w:rsidR="00FE43D1" w:rsidRDefault="00FE43D1">
      <w:r>
        <w:separator/>
      </w:r>
    </w:p>
  </w:footnote>
  <w:footnote w:type="continuationSeparator" w:id="0">
    <w:p w14:paraId="33CD83EA" w14:textId="77777777" w:rsidR="00FE43D1" w:rsidRDefault="00FE4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61E3"/>
    <w:rsid w:val="00031A2C"/>
    <w:rsid w:val="00042B93"/>
    <w:rsid w:val="00043C7F"/>
    <w:rsid w:val="000467A8"/>
    <w:rsid w:val="0006570F"/>
    <w:rsid w:val="00075DE8"/>
    <w:rsid w:val="00087439"/>
    <w:rsid w:val="000B507F"/>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52F29"/>
    <w:rsid w:val="00174D54"/>
    <w:rsid w:val="0017702C"/>
    <w:rsid w:val="00185270"/>
    <w:rsid w:val="001A3B5A"/>
    <w:rsid w:val="001A458C"/>
    <w:rsid w:val="001B7CE9"/>
    <w:rsid w:val="001C3614"/>
    <w:rsid w:val="001D495A"/>
    <w:rsid w:val="001E244C"/>
    <w:rsid w:val="001F1437"/>
    <w:rsid w:val="00206799"/>
    <w:rsid w:val="002074FE"/>
    <w:rsid w:val="0022425B"/>
    <w:rsid w:val="002255CF"/>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B21B1"/>
    <w:rsid w:val="002C5382"/>
    <w:rsid w:val="002D14D8"/>
    <w:rsid w:val="002D4799"/>
    <w:rsid w:val="002E3FA4"/>
    <w:rsid w:val="002E53A5"/>
    <w:rsid w:val="002E64B8"/>
    <w:rsid w:val="002E6834"/>
    <w:rsid w:val="003113FF"/>
    <w:rsid w:val="00312622"/>
    <w:rsid w:val="0032277F"/>
    <w:rsid w:val="00336B69"/>
    <w:rsid w:val="0034302B"/>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94912"/>
    <w:rsid w:val="004A5323"/>
    <w:rsid w:val="004A5A99"/>
    <w:rsid w:val="004C16FE"/>
    <w:rsid w:val="004C6979"/>
    <w:rsid w:val="004D13A2"/>
    <w:rsid w:val="004D3E7A"/>
    <w:rsid w:val="004F594B"/>
    <w:rsid w:val="004F61E1"/>
    <w:rsid w:val="0053380B"/>
    <w:rsid w:val="00543194"/>
    <w:rsid w:val="00544138"/>
    <w:rsid w:val="00554E34"/>
    <w:rsid w:val="00584583"/>
    <w:rsid w:val="00590E90"/>
    <w:rsid w:val="00590EEB"/>
    <w:rsid w:val="005A4099"/>
    <w:rsid w:val="005B64A6"/>
    <w:rsid w:val="005C38B2"/>
    <w:rsid w:val="005C5029"/>
    <w:rsid w:val="005C55C2"/>
    <w:rsid w:val="005C71CA"/>
    <w:rsid w:val="005C745C"/>
    <w:rsid w:val="005D4DF5"/>
    <w:rsid w:val="005E42BA"/>
    <w:rsid w:val="00611D6B"/>
    <w:rsid w:val="00625CFD"/>
    <w:rsid w:val="006326EC"/>
    <w:rsid w:val="00663A42"/>
    <w:rsid w:val="006641C7"/>
    <w:rsid w:val="006705EA"/>
    <w:rsid w:val="00670BE2"/>
    <w:rsid w:val="00671AFF"/>
    <w:rsid w:val="006916D9"/>
    <w:rsid w:val="006A0E05"/>
    <w:rsid w:val="006A26C6"/>
    <w:rsid w:val="006A465A"/>
    <w:rsid w:val="006A7D5D"/>
    <w:rsid w:val="006D029E"/>
    <w:rsid w:val="006D0C12"/>
    <w:rsid w:val="006D5D57"/>
    <w:rsid w:val="006E2538"/>
    <w:rsid w:val="006E302F"/>
    <w:rsid w:val="006F4D6D"/>
    <w:rsid w:val="00705086"/>
    <w:rsid w:val="00722001"/>
    <w:rsid w:val="00744525"/>
    <w:rsid w:val="00751E66"/>
    <w:rsid w:val="00754497"/>
    <w:rsid w:val="00773201"/>
    <w:rsid w:val="00787C39"/>
    <w:rsid w:val="00792947"/>
    <w:rsid w:val="00795DF3"/>
    <w:rsid w:val="007A373C"/>
    <w:rsid w:val="007B225C"/>
    <w:rsid w:val="007C75B1"/>
    <w:rsid w:val="007D3DFC"/>
    <w:rsid w:val="007E2F07"/>
    <w:rsid w:val="007E59A8"/>
    <w:rsid w:val="0080776D"/>
    <w:rsid w:val="00810145"/>
    <w:rsid w:val="008108FA"/>
    <w:rsid w:val="00810FF1"/>
    <w:rsid w:val="00822336"/>
    <w:rsid w:val="00823DFA"/>
    <w:rsid w:val="00824DE0"/>
    <w:rsid w:val="00842DB7"/>
    <w:rsid w:val="00843752"/>
    <w:rsid w:val="0084479F"/>
    <w:rsid w:val="0085725E"/>
    <w:rsid w:val="00873D4F"/>
    <w:rsid w:val="0087509F"/>
    <w:rsid w:val="00885B09"/>
    <w:rsid w:val="00892400"/>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6AC7"/>
    <w:rsid w:val="00945706"/>
    <w:rsid w:val="00947761"/>
    <w:rsid w:val="00953B64"/>
    <w:rsid w:val="009646A7"/>
    <w:rsid w:val="00970A88"/>
    <w:rsid w:val="009818A1"/>
    <w:rsid w:val="009A1674"/>
    <w:rsid w:val="009B38BE"/>
    <w:rsid w:val="009B4DF2"/>
    <w:rsid w:val="009C684F"/>
    <w:rsid w:val="009D074C"/>
    <w:rsid w:val="009D6E73"/>
    <w:rsid w:val="009F1F1D"/>
    <w:rsid w:val="009F2B4F"/>
    <w:rsid w:val="009F3C63"/>
    <w:rsid w:val="009F66B5"/>
    <w:rsid w:val="00A02F10"/>
    <w:rsid w:val="00A1060C"/>
    <w:rsid w:val="00A16221"/>
    <w:rsid w:val="00A20A7D"/>
    <w:rsid w:val="00A35D42"/>
    <w:rsid w:val="00A46CCF"/>
    <w:rsid w:val="00A506DE"/>
    <w:rsid w:val="00A53451"/>
    <w:rsid w:val="00A70426"/>
    <w:rsid w:val="00A707CC"/>
    <w:rsid w:val="00A71410"/>
    <w:rsid w:val="00A91E9A"/>
    <w:rsid w:val="00A93ED9"/>
    <w:rsid w:val="00A96221"/>
    <w:rsid w:val="00AC2DBB"/>
    <w:rsid w:val="00AC6A99"/>
    <w:rsid w:val="00AD6048"/>
    <w:rsid w:val="00AF0A45"/>
    <w:rsid w:val="00B055EF"/>
    <w:rsid w:val="00B06B5B"/>
    <w:rsid w:val="00B23769"/>
    <w:rsid w:val="00B41789"/>
    <w:rsid w:val="00B81808"/>
    <w:rsid w:val="00B86DFA"/>
    <w:rsid w:val="00B936D0"/>
    <w:rsid w:val="00BB15FB"/>
    <w:rsid w:val="00BD3D5B"/>
    <w:rsid w:val="00BE3600"/>
    <w:rsid w:val="00C01F6F"/>
    <w:rsid w:val="00C041EA"/>
    <w:rsid w:val="00C13BBD"/>
    <w:rsid w:val="00C149AB"/>
    <w:rsid w:val="00C16929"/>
    <w:rsid w:val="00C20690"/>
    <w:rsid w:val="00C36020"/>
    <w:rsid w:val="00C40694"/>
    <w:rsid w:val="00C40A0D"/>
    <w:rsid w:val="00C479BF"/>
    <w:rsid w:val="00C5124B"/>
    <w:rsid w:val="00C70542"/>
    <w:rsid w:val="00C75CBF"/>
    <w:rsid w:val="00C87AF6"/>
    <w:rsid w:val="00CA6ABF"/>
    <w:rsid w:val="00CC2894"/>
    <w:rsid w:val="00CD77C3"/>
    <w:rsid w:val="00CE112C"/>
    <w:rsid w:val="00CF55D4"/>
    <w:rsid w:val="00D0402C"/>
    <w:rsid w:val="00D608DA"/>
    <w:rsid w:val="00D730BF"/>
    <w:rsid w:val="00D852F4"/>
    <w:rsid w:val="00DB1110"/>
    <w:rsid w:val="00DB3730"/>
    <w:rsid w:val="00DC371B"/>
    <w:rsid w:val="00DC3788"/>
    <w:rsid w:val="00DC76C7"/>
    <w:rsid w:val="00DD09F5"/>
    <w:rsid w:val="00DD0E02"/>
    <w:rsid w:val="00DD4201"/>
    <w:rsid w:val="00DD5E9F"/>
    <w:rsid w:val="00DE5711"/>
    <w:rsid w:val="00E00EA0"/>
    <w:rsid w:val="00E021CB"/>
    <w:rsid w:val="00E12AF9"/>
    <w:rsid w:val="00E138F1"/>
    <w:rsid w:val="00E2309D"/>
    <w:rsid w:val="00E26758"/>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4CE3"/>
    <w:rsid w:val="00EB7538"/>
    <w:rsid w:val="00EC1868"/>
    <w:rsid w:val="00EE6468"/>
    <w:rsid w:val="00F1299B"/>
    <w:rsid w:val="00F207A4"/>
    <w:rsid w:val="00F25173"/>
    <w:rsid w:val="00F355AC"/>
    <w:rsid w:val="00F40CF7"/>
    <w:rsid w:val="00F44194"/>
    <w:rsid w:val="00F71A5A"/>
    <w:rsid w:val="00F73A1A"/>
    <w:rsid w:val="00F769E0"/>
    <w:rsid w:val="00FA4A46"/>
    <w:rsid w:val="00FA75FE"/>
    <w:rsid w:val="00FB1032"/>
    <w:rsid w:val="00FB39BC"/>
    <w:rsid w:val="00FB6A53"/>
    <w:rsid w:val="00FC11CA"/>
    <w:rsid w:val="00FC6BDE"/>
    <w:rsid w:val="00FE43D1"/>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9EF26D"/>
  <w15:chartTrackingRefBased/>
  <w15:docId w15:val="{785C9606-B271-42C3-A970-FAE0A950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CA6ABF"/>
    <w:rPr>
      <w:sz w:val="16"/>
      <w:szCs w:val="16"/>
    </w:rPr>
  </w:style>
  <w:style w:type="paragraph" w:styleId="CommentText">
    <w:name w:val="annotation text"/>
    <w:basedOn w:val="Normal"/>
    <w:link w:val="CommentTextChar"/>
    <w:rsid w:val="00CA6ABF"/>
    <w:rPr>
      <w:sz w:val="20"/>
      <w:szCs w:val="20"/>
    </w:rPr>
  </w:style>
  <w:style w:type="character" w:customStyle="1" w:styleId="CommentTextChar">
    <w:name w:val="Comment Text Char"/>
    <w:basedOn w:val="DefaultParagraphFont"/>
    <w:link w:val="CommentText"/>
    <w:rsid w:val="00CA6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9162">
      <w:bodyDiv w:val="1"/>
      <w:marLeft w:val="0"/>
      <w:marRight w:val="0"/>
      <w:marTop w:val="0"/>
      <w:marBottom w:val="0"/>
      <w:divBdr>
        <w:top w:val="none" w:sz="0" w:space="0" w:color="auto"/>
        <w:left w:val="none" w:sz="0" w:space="0" w:color="auto"/>
        <w:bottom w:val="none" w:sz="0" w:space="0" w:color="auto"/>
        <w:right w:val="none" w:sz="0" w:space="0" w:color="auto"/>
      </w:divBdr>
    </w:div>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349479594">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92945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oes/current/oes_nat.htm#43-000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aps.org/getattachment/Careers/Scope-of-Practice-Survey/2016-Scope-of-Practice-Compensation-Report-for-the-Regulatory-Profession.pdf.aspx?lang=e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1.salary.com/Regulatory-Affairs-Specialist-salaries.html#:~:text=The%20average%20Regulatory%20Affairs%20Specialist,falls%20between%20%2455%2C063%20and%20%24315%2C484"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alar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7" ma:contentTypeDescription="Create a new document." ma:contentTypeScope="" ma:versionID="10bf8f031eb5aa7b2cca99f3676c5a92">
  <xsd:schema xmlns:xsd="http://www.w3.org/2001/XMLSchema" xmlns:xs="http://www.w3.org/2001/XMLSchema" xmlns:p="http://schemas.microsoft.com/office/2006/metadata/properties" xmlns:ns2="7389913f-922f-4e80-b417-8e04b3f2c4f9" targetNamespace="http://schemas.microsoft.com/office/2006/metadata/properties" ma:root="true" ma:fieldsID="2a81f4174fd3fb2552144a86327366e7" ns2:_="">
    <xsd:import namespace="7389913f-922f-4e80-b417-8e04b3f2c4f9"/>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eforeICRFlag xmlns="7389913f-922f-4e80-b417-8e04b3f2c4f9">false</BeforeICRFlag>
  </documentManagement>
</p:properties>
</file>

<file path=customXml/itemProps1.xml><?xml version="1.0" encoding="utf-8"?>
<ds:datastoreItem xmlns:ds="http://schemas.openxmlformats.org/officeDocument/2006/customXml" ds:itemID="{89B79619-0FC4-40E9-AB0D-65C47D5DD189}">
  <ds:schemaRefs>
    <ds:schemaRef ds:uri="http://schemas.microsoft.com/sharepoint/v3/contenttype/forms"/>
  </ds:schemaRefs>
</ds:datastoreItem>
</file>

<file path=customXml/itemProps2.xml><?xml version="1.0" encoding="utf-8"?>
<ds:datastoreItem xmlns:ds="http://schemas.openxmlformats.org/officeDocument/2006/customXml" ds:itemID="{9AA518F2-462A-4DFA-8FEE-F4EE8A7606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04DFFF-A397-43EB-993E-2A598A4610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2160</Words>
  <Characters>13217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15347</CharactersWithSpaces>
  <SharedDoc>false</SharedDoc>
  <HLinks>
    <vt:vector size="24" baseType="variant">
      <vt:variant>
        <vt:i4>458870</vt:i4>
      </vt:variant>
      <vt:variant>
        <vt:i4>9</vt:i4>
      </vt:variant>
      <vt:variant>
        <vt:i4>0</vt:i4>
      </vt:variant>
      <vt:variant>
        <vt:i4>5</vt:i4>
      </vt:variant>
      <vt:variant>
        <vt:lpwstr>http://www.bls.gov/oes/current/oes_nat.htm</vt:lpwstr>
      </vt:variant>
      <vt:variant>
        <vt:lpwstr>43-0000</vt:lpwstr>
      </vt:variant>
      <vt:variant>
        <vt:i4>327684</vt:i4>
      </vt:variant>
      <vt:variant>
        <vt:i4>6</vt:i4>
      </vt:variant>
      <vt:variant>
        <vt:i4>0</vt:i4>
      </vt:variant>
      <vt:variant>
        <vt:i4>5</vt:i4>
      </vt:variant>
      <vt:variant>
        <vt:lpwstr>https://www.raps.org/getattachment/Careers/Scope-of-Practice-Survey/2016-Scope-of-Practice-Compensation-Report-for-the-Regulatory-Profession.pdf.aspx?lang=en-US</vt:lpwstr>
      </vt:variant>
      <vt:variant>
        <vt:lpwstr/>
      </vt:variant>
      <vt:variant>
        <vt:i4>7012449</vt:i4>
      </vt:variant>
      <vt:variant>
        <vt:i4>3</vt:i4>
      </vt:variant>
      <vt:variant>
        <vt:i4>0</vt:i4>
      </vt:variant>
      <vt:variant>
        <vt:i4>5</vt:i4>
      </vt:variant>
      <vt:variant>
        <vt:lpwstr>https://www1.salary.com/Regulatory-Affairs-Specialist-salaries.html</vt:lpwstr>
      </vt:variant>
      <vt:variant>
        <vt:lpwstr>:~:text=The%20average%20Regulatory%20Affairs%20Specialist,falls%20between%20%2455%2C063%20and%20%24315%2C484</vt:lpwstr>
      </vt:variant>
      <vt:variant>
        <vt:i4>2621479</vt:i4>
      </vt:variant>
      <vt:variant>
        <vt:i4>0</vt:i4>
      </vt:variant>
      <vt:variant>
        <vt:i4>0</vt:i4>
      </vt:variant>
      <vt:variant>
        <vt:i4>5</vt:i4>
      </vt:variant>
      <vt:variant>
        <vt:lpwstr>http://www.salary.com/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Sanford, Amber</cp:lastModifiedBy>
  <cp:revision>4</cp:revision>
  <cp:lastPrinted>2019-07-03T16:25:00Z</cp:lastPrinted>
  <dcterms:created xsi:type="dcterms:W3CDTF">2022-08-10T17:57:00Z</dcterms:created>
  <dcterms:modified xsi:type="dcterms:W3CDTF">2022-08-10T18:24:00Z</dcterms:modified>
</cp:coreProperties>
</file>