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4A67" w:rsidRDefault="00174A67" w14:paraId="6F6BD62D" w14:textId="5FE67061">
      <w:pPr>
        <w:jc w:val="center"/>
      </w:pPr>
      <w:r>
        <w:t>UNITED STATES FOOD &amp; DRUG ADMINISTRATION</w:t>
      </w:r>
      <w:r w:rsidR="00061617">
        <w:t xml:space="preserve">- </w:t>
      </w:r>
    </w:p>
    <w:p w:rsidR="00174A67" w:rsidRDefault="00174A67" w14:paraId="0A6BB5B9" w14:textId="77777777">
      <w:pPr>
        <w:jc w:val="center"/>
      </w:pPr>
    </w:p>
    <w:p w:rsidR="00174A67" w:rsidP="008A71B5" w:rsidRDefault="008A71B5" w14:paraId="001BE956" w14:textId="15EC1B3B">
      <w:pPr>
        <w:tabs>
          <w:tab w:val="center" w:pos="4680"/>
          <w:tab w:val="left" w:pos="6648"/>
        </w:tabs>
      </w:pPr>
      <w:r>
        <w:tab/>
      </w:r>
      <w:r w:rsidR="00174A67">
        <w:t>P</w:t>
      </w:r>
      <w:r w:rsidR="00CC5ABF">
        <w:t xml:space="preserve">rescription Drug </w:t>
      </w:r>
      <w:r w:rsidR="00174A67">
        <w:t xml:space="preserve">User Fee </w:t>
      </w:r>
      <w:r>
        <w:t>Program</w:t>
      </w:r>
    </w:p>
    <w:p w:rsidRPr="00CF1844" w:rsidR="00221D10" w:rsidRDefault="00221D10" w14:paraId="68FD4E90" w14:textId="77777777">
      <w:pPr>
        <w:rPr>
          <w:u w:val="single"/>
        </w:rPr>
      </w:pPr>
    </w:p>
    <w:p w:rsidRPr="00057E8F" w:rsidR="00221D10" w:rsidP="003D269D" w:rsidRDefault="00174A67" w14:paraId="58BBE378" w14:textId="52D6319C">
      <w:pPr>
        <w:jc w:val="center"/>
      </w:pPr>
      <w:r w:rsidRPr="008A71B5">
        <w:rPr>
          <w:u w:val="single"/>
        </w:rPr>
        <w:t xml:space="preserve">OMB Control No. </w:t>
      </w:r>
      <w:r w:rsidRPr="008A71B5" w:rsidR="003D269D">
        <w:rPr>
          <w:u w:val="single"/>
        </w:rPr>
        <w:t>0910-0297</w:t>
      </w:r>
      <w:r w:rsidR="00057E8F">
        <w:t xml:space="preserve"> - Revision</w:t>
      </w:r>
    </w:p>
    <w:p w:rsidR="00174A67" w:rsidP="0004139C" w:rsidRDefault="00174A67" w14:paraId="0D81F7C1" w14:textId="77777777">
      <w:pPr>
        <w:jc w:val="center"/>
      </w:pPr>
    </w:p>
    <w:p w:rsidR="00BF53EF" w:rsidP="00BF53EF" w:rsidRDefault="0004139C" w14:paraId="71380073" w14:textId="6BBA6732">
      <w:pPr>
        <w:jc w:val="center"/>
      </w:pPr>
      <w:r w:rsidRPr="00CF1844">
        <w:t>SUPPORTING STATEMENT</w:t>
      </w:r>
    </w:p>
    <w:p w:rsidR="00BF53EF" w:rsidP="00174A67" w:rsidRDefault="00BF53EF" w14:paraId="2F215B58" w14:textId="77777777"/>
    <w:p w:rsidR="0004139C" w:rsidP="00174A67" w:rsidRDefault="00174A67" w14:paraId="4C2440CB" w14:textId="0C763D7B">
      <w:r w:rsidRPr="00174A67">
        <w:rPr>
          <w:b/>
        </w:rPr>
        <w:t>Part A:  Justification</w:t>
      </w:r>
    </w:p>
    <w:p w:rsidRPr="0004139C" w:rsidR="0004139C" w:rsidRDefault="0004139C" w14:paraId="74F7A776" w14:textId="77777777"/>
    <w:p w:rsidRPr="0004139C" w:rsidR="00221D10" w:rsidRDefault="0004139C" w14:paraId="5BE04071" w14:textId="77777777">
      <w:pPr>
        <w:rPr>
          <w:u w:val="single"/>
        </w:rPr>
      </w:pPr>
      <w:r>
        <w:t xml:space="preserve">1.  </w:t>
      </w:r>
      <w:r>
        <w:rPr>
          <w:u w:val="single"/>
        </w:rPr>
        <w:t>Circumstances Making the Collection of Information Necessary</w:t>
      </w:r>
    </w:p>
    <w:p w:rsidR="00221D10" w:rsidRDefault="00221D10" w14:paraId="45152284" w14:textId="77777777"/>
    <w:p w:rsidR="00672605" w:rsidP="00721E34" w:rsidRDefault="00D008BD" w14:paraId="1D275C16" w14:textId="10F95F63">
      <w:r>
        <w:t xml:space="preserve">This information collection supports </w:t>
      </w:r>
      <w:r w:rsidR="00FC6C96">
        <w:t xml:space="preserve">implementation of </w:t>
      </w:r>
      <w:r>
        <w:t xml:space="preserve">the </w:t>
      </w:r>
      <w:r w:rsidR="00221D10">
        <w:t>Food and Drug Administration (FDA</w:t>
      </w:r>
      <w:r>
        <w:t xml:space="preserve">, </w:t>
      </w:r>
      <w:r w:rsidR="008A71B5">
        <w:t xml:space="preserve">the agency, </w:t>
      </w:r>
      <w:r>
        <w:t>us or we</w:t>
      </w:r>
      <w:r w:rsidR="00221D10">
        <w:t xml:space="preserve">) </w:t>
      </w:r>
      <w:r w:rsidR="00FC6C96">
        <w:t xml:space="preserve">Prescription Drug </w:t>
      </w:r>
      <w:r>
        <w:t>User Fee program</w:t>
      </w:r>
      <w:r w:rsidR="00721E34">
        <w:t xml:space="preserve"> (called “</w:t>
      </w:r>
      <w:r w:rsidRPr="0091719D" w:rsidR="00721E34">
        <w:rPr>
          <w:i/>
          <w:iCs/>
        </w:rPr>
        <w:t>PDUFA</w:t>
      </w:r>
      <w:r w:rsidR="00721E34">
        <w:t>” in reference to the Prescription Drug User Fee Act)</w:t>
      </w:r>
      <w:r>
        <w:t xml:space="preserve">.  </w:t>
      </w:r>
      <w:r w:rsidR="00221D10">
        <w:t xml:space="preserve">Under </w:t>
      </w:r>
      <w:r w:rsidR="008009EE">
        <w:t xml:space="preserve">the prescription drug user fee provisions </w:t>
      </w:r>
      <w:r w:rsidR="00221D10">
        <w:t>of the Federal Food, Drug, and Cosmetic Act</w:t>
      </w:r>
      <w:r w:rsidR="00E46BD5">
        <w:t xml:space="preserve"> (the FD&amp;C Act) </w:t>
      </w:r>
      <w:r w:rsidR="00221D10">
        <w:t>(</w:t>
      </w:r>
      <w:r w:rsidR="008009EE">
        <w:t>sections 735 and 736 (</w:t>
      </w:r>
      <w:r w:rsidR="00221D10">
        <w:t>21 U.S.C. 379g and 379h)</w:t>
      </w:r>
      <w:r w:rsidR="008009EE">
        <w:t>)</w:t>
      </w:r>
      <w:r w:rsidR="00221D10">
        <w:t xml:space="preserve">, </w:t>
      </w:r>
      <w:r>
        <w:t xml:space="preserve">we have </w:t>
      </w:r>
      <w:r w:rsidR="00221D10">
        <w:t xml:space="preserve">the authority to assess and collect user fees for certain </w:t>
      </w:r>
      <w:bookmarkStart w:name="_Hlk1662378" w:id="0"/>
      <w:r w:rsidR="00A43850">
        <w:t>new drug applications (NDAs)</w:t>
      </w:r>
      <w:r w:rsidR="00221D10">
        <w:t xml:space="preserve"> and</w:t>
      </w:r>
      <w:r w:rsidR="00A43850">
        <w:t xml:space="preserve"> new</w:t>
      </w:r>
      <w:r w:rsidR="00221D10">
        <w:t xml:space="preserve"> biologics license applications </w:t>
      </w:r>
      <w:r w:rsidR="00880AB6">
        <w:t>(BLAs)</w:t>
      </w:r>
      <w:bookmarkEnd w:id="0"/>
      <w:r w:rsidR="006173B6">
        <w:t>.</w:t>
      </w:r>
      <w:r w:rsidR="00221D10">
        <w:t xml:space="preserve">  </w:t>
      </w:r>
      <w:r w:rsidR="00061617">
        <w:t>Also u</w:t>
      </w:r>
      <w:r w:rsidR="00221D10">
        <w:t xml:space="preserve">nder this authority, pharmaceutical companies pay a fee for certain </w:t>
      </w:r>
      <w:r w:rsidR="00DA3DD4">
        <w:t>NDAs</w:t>
      </w:r>
      <w:r w:rsidR="006173B6">
        <w:t xml:space="preserve"> and</w:t>
      </w:r>
      <w:r w:rsidR="00221D10">
        <w:t xml:space="preserve"> </w:t>
      </w:r>
      <w:r w:rsidR="00DA3DD4">
        <w:t xml:space="preserve">BLAs </w:t>
      </w:r>
      <w:r w:rsidR="009B19DB">
        <w:t xml:space="preserve">submitted to </w:t>
      </w:r>
      <w:r w:rsidR="007F1A29">
        <w:t xml:space="preserve">FDA </w:t>
      </w:r>
      <w:r w:rsidR="00221D10">
        <w:t>for review.</w:t>
      </w:r>
      <w:r w:rsidR="00061617">
        <w:t xml:space="preserve">  </w:t>
      </w:r>
      <w:r w:rsidRPr="00721E34" w:rsidR="00721E34">
        <w:t>Because the submission of user fees concurrently with applications is required, review of an application by FDA cannot begin until the fee is submitted.</w:t>
      </w:r>
      <w:r w:rsidR="00057E8F">
        <w:t xml:space="preserve">  </w:t>
      </w:r>
    </w:p>
    <w:p w:rsidR="00672605" w:rsidP="00721E34" w:rsidRDefault="00672605" w14:paraId="68BDD3B1" w14:textId="77777777"/>
    <w:p w:rsidR="00F0678B" w:rsidP="00721E34" w:rsidRDefault="00F0678B" w14:paraId="4F0AC237" w14:textId="74180528">
      <w:r>
        <w:t xml:space="preserve">We are revising the </w:t>
      </w:r>
      <w:r w:rsidR="006C54F6">
        <w:t xml:space="preserve">information </w:t>
      </w:r>
      <w:r>
        <w:t>collection to include reference to our current commitment goals, as set forth in the document “</w:t>
      </w:r>
      <w:r w:rsidRPr="00057E8F">
        <w:rPr>
          <w:i/>
          <w:iCs/>
        </w:rPr>
        <w:t>PDUFA Reauthorization Performance Goals and Procedures Fiscal Years 2018 Through 2022</w:t>
      </w:r>
      <w:r>
        <w:t xml:space="preserve">,” also found on our website at </w:t>
      </w:r>
      <w:hyperlink w:history="1" r:id="rId7">
        <w:r w:rsidRPr="0090117C">
          <w:rPr>
            <w:rStyle w:val="Hyperlink"/>
          </w:rPr>
          <w:t>https://www.fda.gov/media/99140/download</w:t>
        </w:r>
      </w:hyperlink>
      <w:r>
        <w:t>, and also</w:t>
      </w:r>
      <w:r w:rsidR="0090117C">
        <w:t xml:space="preserve"> included as a relevant authority</w:t>
      </w:r>
      <w:r>
        <w:t xml:space="preserve"> in OMB control no. 0910-0001 (</w:t>
      </w:r>
      <w:r w:rsidRPr="00772CF7">
        <w:rPr>
          <w:i/>
          <w:iCs/>
        </w:rPr>
        <w:t>Applications for FDA Approval to Market a New Drug</w:t>
      </w:r>
      <w:r>
        <w:t xml:space="preserve">).  PDUFA is currently authorized through September 30, 2022, with reauthorization activities currently underway.  The commitment goals represent the product of FDA’s discussions with the regulated industry and public stakeholders, as mandated by Congress.  FDA is committed to meeting these goals and to continuous operational improvements associated with PDUFA implementation.  The commitment goals provide for the development and issuance of topic-specific guidance, including guidance pertaining to the assessment and submission of user fees.  We maintain a searchable guidance database on our website at </w:t>
      </w:r>
      <w:hyperlink w:history="1" r:id="rId8">
        <w:r w:rsidRPr="00B57723">
          <w:rPr>
            <w:rStyle w:val="Hyperlink"/>
          </w:rPr>
          <w:t>https://www.fda.gov/regulatory-information/search-fda-guidance-documents</w:t>
        </w:r>
      </w:hyperlink>
      <w:r>
        <w:t xml:space="preserve">.  </w:t>
      </w:r>
    </w:p>
    <w:p w:rsidR="00F0678B" w:rsidP="00721E34" w:rsidRDefault="00F0678B" w14:paraId="50E0B9FE" w14:textId="77777777"/>
    <w:p w:rsidR="007049AE" w:rsidP="00D96020" w:rsidRDefault="00721E34" w14:paraId="60104940" w14:textId="5460CAD5">
      <w:r w:rsidRPr="00721E34">
        <w:t>To assist respondents</w:t>
      </w:r>
      <w:r w:rsidR="00B57723">
        <w:t xml:space="preserve"> with the information collection</w:t>
      </w:r>
      <w:r w:rsidRPr="00721E34">
        <w:t>, we developed Form FDA 3397 entitled “</w:t>
      </w:r>
      <w:r w:rsidRPr="00721E34">
        <w:rPr>
          <w:i/>
          <w:iCs/>
        </w:rPr>
        <w:t>PDUFA Cover Sheet</w:t>
      </w:r>
      <w:r w:rsidRPr="00721E34">
        <w:t xml:space="preserve">.”  Additional information and associated instructions may be found on our website at </w:t>
      </w:r>
      <w:hyperlink w:history="1" r:id="rId9">
        <w:r w:rsidRPr="00721E34">
          <w:rPr>
            <w:rStyle w:val="Hyperlink"/>
          </w:rPr>
          <w:t>https://www.fda.gov/industry/fda-user-fee-programs</w:t>
        </w:r>
      </w:hyperlink>
      <w:r w:rsidRPr="00721E34">
        <w:t>.  The cover sheet (Form FDA 3397) need not be submitted for certain FDA-regulated products, e.g., generic drugs, and whole blood and blood components for transfusion.  The list of exempted products is included under the instructions to Form FDA 3397.</w:t>
      </w:r>
      <w:r w:rsidR="00061617">
        <w:t xml:space="preserve">  </w:t>
      </w:r>
      <w:r w:rsidRPr="00721E34">
        <w:t>Relatedly, sections 735 and 736 of the FD&amp;C Act also provide for waiver, reduction, refund, and reconsideration requests.  We developed the guidance document entitled “</w:t>
      </w:r>
      <w:r w:rsidRPr="00721E34">
        <w:rPr>
          <w:i/>
          <w:iCs/>
        </w:rPr>
        <w:t>Guidance for Industry—Prescription Drug User Fee Act Waivers, Reductions, and Refunds for Drug and Biological Products</w:t>
      </w:r>
      <w:r w:rsidRPr="00721E34">
        <w:t xml:space="preserve">,” and Form </w:t>
      </w:r>
      <w:r w:rsidRPr="00721E34">
        <w:lastRenderedPageBreak/>
        <w:t xml:space="preserve">FDA 3971 (Small Business Waiver and Refund Request), which can be found on our website at </w:t>
      </w:r>
      <w:hyperlink w:history="1" r:id="rId10">
        <w:r w:rsidRPr="00721E34">
          <w:rPr>
            <w:rStyle w:val="Hyperlink"/>
          </w:rPr>
          <w:t>https://www.fda.gov/media/131797/download</w:t>
        </w:r>
      </w:hyperlink>
      <w:r w:rsidRPr="00721E34">
        <w:t>.</w:t>
      </w:r>
      <w:r w:rsidR="00461A03">
        <w:t xml:space="preserve">  </w:t>
      </w:r>
      <w:r w:rsidR="00F0678B">
        <w:rPr>
          <w:rFonts w:eastAsia="Calibri"/>
        </w:rPr>
        <w:t xml:space="preserve">We are also revising the information collection to include provisions associated with </w:t>
      </w:r>
      <w:r w:rsidRPr="00BD5413" w:rsidR="00F0678B">
        <w:rPr>
          <w:rFonts w:eastAsia="Calibri"/>
        </w:rPr>
        <w:t>section 736(a)(1)(F)</w:t>
      </w:r>
      <w:r w:rsidR="00F0678B">
        <w:rPr>
          <w:rFonts w:eastAsia="Calibri"/>
        </w:rPr>
        <w:t xml:space="preserve"> of the FD&amp;C Act pertaining to </w:t>
      </w:r>
      <w:r w:rsidRPr="00BD5413" w:rsidR="00F0678B">
        <w:rPr>
          <w:rFonts w:eastAsia="Calibri"/>
        </w:rPr>
        <w:t>an orphan drug designated product</w:t>
      </w:r>
      <w:r w:rsidR="00F0678B">
        <w:rPr>
          <w:rFonts w:eastAsia="Calibri"/>
        </w:rPr>
        <w:t xml:space="preserve"> – those products that are the subject of an NDA that are intended to treat </w:t>
      </w:r>
      <w:r w:rsidRPr="00BD5413" w:rsidR="00F0678B">
        <w:rPr>
          <w:rFonts w:eastAsia="Calibri"/>
        </w:rPr>
        <w:t>a rare disease or condition</w:t>
      </w:r>
      <w:r w:rsidR="00F0678B">
        <w:rPr>
          <w:rFonts w:eastAsia="Calibri"/>
        </w:rPr>
        <w:t>.  We have developed draft Form FDA 4068, “</w:t>
      </w:r>
      <w:r w:rsidRPr="005A634C" w:rsidR="00F0678B">
        <w:rPr>
          <w:rFonts w:eastAsia="Calibri"/>
          <w:i/>
          <w:iCs/>
        </w:rPr>
        <w:t>Prescription Drug User Fee Act; Waivers, Refunds, and Exemptions</w:t>
      </w:r>
      <w:r w:rsidR="00F0678B">
        <w:rPr>
          <w:rFonts w:eastAsia="Calibri"/>
        </w:rPr>
        <w:t>,” along with accompanying instructions</w:t>
      </w:r>
      <w:r w:rsidR="004A18DB">
        <w:rPr>
          <w:rFonts w:eastAsia="Calibri"/>
        </w:rPr>
        <w:t>,</w:t>
      </w:r>
      <w:r w:rsidR="00F0678B">
        <w:rPr>
          <w:rFonts w:eastAsia="Calibri"/>
        </w:rPr>
        <w:t xml:space="preserve"> </w:t>
      </w:r>
      <w:r w:rsidR="004A18DB">
        <w:rPr>
          <w:rFonts w:eastAsia="Calibri"/>
        </w:rPr>
        <w:t xml:space="preserve">to </w:t>
      </w:r>
      <w:r w:rsidRPr="004A18DB" w:rsidR="004A18DB">
        <w:rPr>
          <w:rFonts w:eastAsia="Calibri"/>
        </w:rPr>
        <w:t>enable sponsors of designated orphan products to request an exemption from applicable fees under PDUFA.</w:t>
      </w:r>
      <w:r w:rsidR="004A18DB">
        <w:rPr>
          <w:rFonts w:eastAsia="Calibri"/>
        </w:rPr>
        <w:t xml:space="preserve">  </w:t>
      </w:r>
      <w:r w:rsidR="00441067">
        <w:rPr>
          <w:rFonts w:eastAsia="Calibri"/>
        </w:rPr>
        <w:t>W</w:t>
      </w:r>
      <w:r w:rsidR="00CB47AE">
        <w:rPr>
          <w:rFonts w:eastAsia="Calibri"/>
        </w:rPr>
        <w:t xml:space="preserve">e </w:t>
      </w:r>
      <w:r w:rsidR="00441067">
        <w:rPr>
          <w:rFonts w:eastAsia="Calibri"/>
        </w:rPr>
        <w:t>are currently soliciting public comment on the draft form</w:t>
      </w:r>
      <w:r w:rsidR="00736A76">
        <w:rPr>
          <w:rFonts w:eastAsia="Calibri"/>
        </w:rPr>
        <w:t xml:space="preserve">, however we </w:t>
      </w:r>
      <w:r w:rsidR="00CB47AE">
        <w:rPr>
          <w:rFonts w:eastAsia="Calibri"/>
        </w:rPr>
        <w:t>intend on finalizing the instrument</w:t>
      </w:r>
      <w:r w:rsidR="00754785">
        <w:rPr>
          <w:rFonts w:eastAsia="Calibri"/>
        </w:rPr>
        <w:t xml:space="preserve"> to help encourage </w:t>
      </w:r>
      <w:r w:rsidR="00441067">
        <w:rPr>
          <w:rFonts w:eastAsia="Calibri"/>
        </w:rPr>
        <w:t xml:space="preserve">the development </w:t>
      </w:r>
      <w:r w:rsidR="00F0678B">
        <w:rPr>
          <w:rFonts w:eastAsia="Calibri"/>
        </w:rPr>
        <w:t>of these products</w:t>
      </w:r>
      <w:r w:rsidR="00441067">
        <w:rPr>
          <w:rFonts w:eastAsia="Calibri"/>
        </w:rPr>
        <w:t>.</w:t>
      </w:r>
      <w:r w:rsidR="00181469">
        <w:rPr>
          <w:rFonts w:eastAsia="Calibri"/>
        </w:rPr>
        <w:t xml:space="preserve"> </w:t>
      </w:r>
    </w:p>
    <w:p w:rsidRPr="00D96020" w:rsidR="00CA39EF" w:rsidP="00D96020" w:rsidRDefault="00CA39EF" w14:paraId="2052371B" w14:textId="77777777"/>
    <w:p w:rsidR="00221D10" w:rsidRDefault="00FC6C96" w14:paraId="41B8F79F" w14:textId="0355ABA5">
      <w:r>
        <w:t xml:space="preserve">We </w:t>
      </w:r>
      <w:r w:rsidR="00FA566C">
        <w:t xml:space="preserve">are </w:t>
      </w:r>
      <w:r>
        <w:t>therefore request</w:t>
      </w:r>
      <w:r w:rsidR="00FA566C">
        <w:t>ing</w:t>
      </w:r>
      <w:r>
        <w:t xml:space="preserve"> OMB approval of the information collection </w:t>
      </w:r>
      <w:r w:rsidR="00FA566C">
        <w:t>associated with</w:t>
      </w:r>
      <w:r w:rsidR="00246775">
        <w:t xml:space="preserve"> our </w:t>
      </w:r>
      <w:r w:rsidR="00FA566C">
        <w:t xml:space="preserve">PDUFA </w:t>
      </w:r>
      <w:r w:rsidR="00246775">
        <w:t xml:space="preserve">program, including Forms FDA </w:t>
      </w:r>
      <w:r>
        <w:t>3397</w:t>
      </w:r>
      <w:r w:rsidR="00246775">
        <w:t>,</w:t>
      </w:r>
      <w:r>
        <w:t xml:space="preserve"> </w:t>
      </w:r>
      <w:r w:rsidR="00FA566C">
        <w:t xml:space="preserve">FDA 3971, </w:t>
      </w:r>
      <w:r w:rsidR="00C07335">
        <w:t xml:space="preserve">draft Form FDA 4068, </w:t>
      </w:r>
      <w:r w:rsidR="00FA566C">
        <w:t xml:space="preserve">and </w:t>
      </w:r>
      <w:r w:rsidR="00251CC1">
        <w:t xml:space="preserve">the </w:t>
      </w:r>
      <w:r w:rsidR="00FA566C">
        <w:t>associated guidance</w:t>
      </w:r>
      <w:r w:rsidR="00251CC1">
        <w:t xml:space="preserve"> documents</w:t>
      </w:r>
      <w:r w:rsidR="00FA566C">
        <w:t xml:space="preserve">, as discussed </w:t>
      </w:r>
      <w:r>
        <w:t>in this supporting statement.</w:t>
      </w:r>
    </w:p>
    <w:p w:rsidR="00221D10" w:rsidRDefault="00221D10" w14:paraId="70006334" w14:textId="77777777"/>
    <w:p w:rsidRPr="00BF28BE" w:rsidR="00221D10" w:rsidRDefault="00BF28BE" w14:paraId="59EAB6ED" w14:textId="77777777">
      <w:pPr>
        <w:rPr>
          <w:u w:val="single"/>
        </w:rPr>
      </w:pPr>
      <w:r>
        <w:t xml:space="preserve">2.  </w:t>
      </w:r>
      <w:r>
        <w:rPr>
          <w:u w:val="single"/>
        </w:rPr>
        <w:t>Purpose and Use of the Information Collection</w:t>
      </w:r>
    </w:p>
    <w:p w:rsidR="00221D10" w:rsidRDefault="00221D10" w14:paraId="1C7897D0" w14:textId="77777777"/>
    <w:p w:rsidR="00221D10" w:rsidRDefault="00D008BD" w14:paraId="5964C7C0" w14:textId="080386E7">
      <w:r>
        <w:t>The purpose of the information collection is to</w:t>
      </w:r>
      <w:r w:rsidR="003F0F87">
        <w:t xml:space="preserve"> </w:t>
      </w:r>
      <w:r w:rsidR="00FA566C">
        <w:t xml:space="preserve">facilitate </w:t>
      </w:r>
      <w:r w:rsidR="006F006D">
        <w:t xml:space="preserve">FDA assessments with regard to </w:t>
      </w:r>
      <w:r w:rsidR="003F0F87">
        <w:t>whether a fee is required for the review of an application</w:t>
      </w:r>
      <w:r w:rsidR="00FA566C">
        <w:t>;</w:t>
      </w:r>
      <w:r w:rsidR="003F0F87">
        <w:t xml:space="preserve"> determin</w:t>
      </w:r>
      <w:r w:rsidR="00FA566C">
        <w:t>ing</w:t>
      </w:r>
      <w:r w:rsidR="003F0F87">
        <w:t xml:space="preserve"> the amount of </w:t>
      </w:r>
      <w:r w:rsidR="00FA566C">
        <w:t xml:space="preserve">required fees; </w:t>
      </w:r>
      <w:r w:rsidR="003F0F87">
        <w:t>ac</w:t>
      </w:r>
      <w:r w:rsidR="003C6265">
        <w:t>co</w:t>
      </w:r>
      <w:r w:rsidR="00F47C55">
        <w:t>unt</w:t>
      </w:r>
      <w:r w:rsidR="00FA566C">
        <w:t xml:space="preserve">ing </w:t>
      </w:r>
      <w:r w:rsidR="00F47C55">
        <w:t>for and track</w:t>
      </w:r>
      <w:r w:rsidR="00FA566C">
        <w:t xml:space="preserve">ing </w:t>
      </w:r>
      <w:r w:rsidR="00F47C55">
        <w:t>fees</w:t>
      </w:r>
      <w:r w:rsidR="00FA566C">
        <w:t>, and, as necessary, providing for waivers, reductions and refunds</w:t>
      </w:r>
      <w:r w:rsidR="00F47C55">
        <w:t xml:space="preserve">.  </w:t>
      </w:r>
      <w:r w:rsidR="00FA566C">
        <w:t xml:space="preserve">FDA </w:t>
      </w:r>
      <w:r w:rsidR="00F47C55">
        <w:t>form</w:t>
      </w:r>
      <w:r w:rsidR="00FA566C">
        <w:t>s</w:t>
      </w:r>
      <w:r w:rsidR="003C6265">
        <w:t xml:space="preserve"> provide a </w:t>
      </w:r>
      <w:r w:rsidR="00FA566C">
        <w:t xml:space="preserve">means to </w:t>
      </w:r>
      <w:r w:rsidR="003C6265">
        <w:t>cross-reference applica</w:t>
      </w:r>
      <w:r w:rsidR="00D502E6">
        <w:t>tion</w:t>
      </w:r>
      <w:r w:rsidR="00FA566C">
        <w:t>s and fee submissions</w:t>
      </w:r>
      <w:r w:rsidR="001E4E91">
        <w:t xml:space="preserve"> </w:t>
      </w:r>
      <w:r w:rsidR="003C6265">
        <w:t>utilizing a unique number tracking system.</w:t>
      </w:r>
      <w:r w:rsidR="00FB7390">
        <w:t xml:space="preserve">  </w:t>
      </w:r>
      <w:r w:rsidRPr="00D0075B" w:rsidR="00FB7390">
        <w:t>It also identifies pertinent statutory provisions under which the application may qualify for a fee exemption.</w:t>
      </w:r>
      <w:r w:rsidR="00221D10">
        <w:t xml:space="preserve"> </w:t>
      </w:r>
    </w:p>
    <w:p w:rsidR="00221D10" w:rsidRDefault="00221D10" w14:paraId="0A4FEBA4" w14:textId="77777777"/>
    <w:p w:rsidRPr="00262CBA" w:rsidR="00221D10" w:rsidRDefault="00262CBA" w14:paraId="370FB2B8" w14:textId="12B2573D">
      <w:pPr>
        <w:rPr>
          <w:u w:val="single"/>
        </w:rPr>
      </w:pPr>
      <w:r w:rsidRPr="00174D43">
        <w:t>3.</w:t>
      </w:r>
      <w:r w:rsidR="003843CD">
        <w:t xml:space="preserve">  </w:t>
      </w:r>
      <w:r>
        <w:rPr>
          <w:u w:val="single"/>
        </w:rPr>
        <w:t>Use of the Improved Information Technology and Burden Reduction</w:t>
      </w:r>
    </w:p>
    <w:p w:rsidR="00221D10" w:rsidRDefault="00221D10" w14:paraId="704802E6" w14:textId="77777777"/>
    <w:p w:rsidR="00221D10" w:rsidRDefault="00FA566C" w14:paraId="685DF6EF" w14:textId="386A8AEF">
      <w:r>
        <w:t>The information collection is administered electronically</w:t>
      </w:r>
      <w:r w:rsidR="00933677">
        <w:t>, as required by statute,</w:t>
      </w:r>
      <w:r>
        <w:t xml:space="preserve"> through FDA’s Electronic Submission Gateway</w:t>
      </w:r>
      <w:r w:rsidR="007A6F27">
        <w:t xml:space="preserve"> (ESG)</w:t>
      </w:r>
      <w:r>
        <w:t>.  We continue to evaluate ways to improve our systems interface capabilities and employ enhancements as limited agency resources permit.</w:t>
      </w:r>
      <w:r w:rsidR="002B1DA2">
        <w:t xml:space="preserve">  All user fee cover sheets</w:t>
      </w:r>
      <w:r w:rsidR="002373FE">
        <w:t>,</w:t>
      </w:r>
      <w:r w:rsidR="002B1DA2">
        <w:t xml:space="preserve"> including the </w:t>
      </w:r>
      <w:r w:rsidRPr="002373FE" w:rsidR="00CC5ABF">
        <w:rPr>
          <w:i/>
          <w:iCs/>
        </w:rPr>
        <w:t xml:space="preserve">Prescription Drug </w:t>
      </w:r>
      <w:r w:rsidRPr="002373FE" w:rsidR="00221D10">
        <w:rPr>
          <w:i/>
          <w:iCs/>
        </w:rPr>
        <w:t>User Fee Cover Shee</w:t>
      </w:r>
      <w:r w:rsidRPr="002373FE" w:rsidR="003C6265">
        <w:rPr>
          <w:i/>
          <w:iCs/>
        </w:rPr>
        <w:t>t</w:t>
      </w:r>
      <w:r w:rsidRPr="00880AB6" w:rsidR="00880AB6">
        <w:t xml:space="preserve"> </w:t>
      </w:r>
      <w:r w:rsidR="00880AB6">
        <w:t>Form FDA 3397,</w:t>
      </w:r>
      <w:r w:rsidR="00C353FF">
        <w:t xml:space="preserve"> </w:t>
      </w:r>
      <w:r w:rsidR="002373FE">
        <w:t xml:space="preserve">are </w:t>
      </w:r>
      <w:r w:rsidR="00923D0B">
        <w:t>accessed and submitted electronically.</w:t>
      </w:r>
      <w:r w:rsidR="00D008BD">
        <w:t xml:space="preserve">  We are </w:t>
      </w:r>
      <w:r w:rsidR="00221D10">
        <w:t>not aware of any other improved technology</w:t>
      </w:r>
      <w:r w:rsidR="00FC6C96">
        <w:t>, nor legal obstacles</w:t>
      </w:r>
      <w:r w:rsidR="00221D10">
        <w:t xml:space="preserve"> to reduce the burden</w:t>
      </w:r>
      <w:r w:rsidR="00D008BD">
        <w:t>, although we continue</w:t>
      </w:r>
      <w:r w:rsidR="0096442A">
        <w:t xml:space="preserve"> to pursue methods of </w:t>
      </w:r>
      <w:r w:rsidR="00D008BD">
        <w:t>reporting that will facilitate submissions</w:t>
      </w:r>
      <w:r w:rsidR="0096442A">
        <w:t>.</w:t>
      </w:r>
    </w:p>
    <w:p w:rsidR="00221D10" w:rsidRDefault="00221D10" w14:paraId="77D71A1E" w14:textId="77777777"/>
    <w:p w:rsidRPr="00174D43" w:rsidR="00221D10" w:rsidRDefault="003843CD" w14:paraId="1211F54D" w14:textId="77777777">
      <w:pPr>
        <w:rPr>
          <w:u w:val="single"/>
        </w:rPr>
      </w:pPr>
      <w:r>
        <w:t>4.</w:t>
      </w:r>
      <w:r w:rsidR="00174D43">
        <w:t xml:space="preserve">  </w:t>
      </w:r>
      <w:r w:rsidR="00867086">
        <w:rPr>
          <w:u w:val="single"/>
        </w:rPr>
        <w:t>Efforts to I</w:t>
      </w:r>
      <w:r w:rsidR="00174D43">
        <w:rPr>
          <w:u w:val="single"/>
        </w:rPr>
        <w:t>dentify Duplication and Use of Similar Information</w:t>
      </w:r>
    </w:p>
    <w:p w:rsidR="00221D10" w:rsidRDefault="00221D10" w14:paraId="55FC3CF3" w14:textId="77777777">
      <w:pPr>
        <w:rPr>
          <w:u w:val="single"/>
        </w:rPr>
      </w:pPr>
    </w:p>
    <w:p w:rsidRPr="00D008BD" w:rsidR="00221D10" w:rsidRDefault="00D96020" w14:paraId="4C49365A" w14:textId="7469C6D9">
      <w:pPr>
        <w:rPr>
          <w:u w:val="single"/>
        </w:rPr>
      </w:pPr>
      <w:r>
        <w:t>We are unaware of duplicative information collection.  We maintain other information collections pertaining to user fee programs intended to cover the respective FDA-regulated products for which the fees are authorized.</w:t>
      </w:r>
    </w:p>
    <w:p w:rsidR="00221D10" w:rsidRDefault="00221D10" w14:paraId="2FB707CB" w14:textId="77777777"/>
    <w:p w:rsidRPr="00174D43" w:rsidR="00221D10" w:rsidRDefault="003843CD" w14:paraId="1BB2BC35" w14:textId="77777777">
      <w:pPr>
        <w:rPr>
          <w:u w:val="single"/>
        </w:rPr>
      </w:pPr>
      <w:r>
        <w:t>5.</w:t>
      </w:r>
      <w:r w:rsidR="00174D43">
        <w:t xml:space="preserve">  </w:t>
      </w:r>
      <w:r w:rsidR="00174D43">
        <w:rPr>
          <w:u w:val="single"/>
        </w:rPr>
        <w:t>Impact on Small Businesses or Other Small Entities</w:t>
      </w:r>
    </w:p>
    <w:p w:rsidR="00221D10" w:rsidRDefault="00221D10" w14:paraId="32EAFF57" w14:textId="77777777">
      <w:pPr>
        <w:rPr>
          <w:u w:val="single"/>
        </w:rPr>
      </w:pPr>
    </w:p>
    <w:p w:rsidR="00A0682A" w:rsidRDefault="009C3694" w14:paraId="4E051E37" w14:textId="1933653B">
      <w:r w:rsidRPr="009C3694">
        <w:t>The information collection imposes no undue burden on small entities</w:t>
      </w:r>
      <w:r w:rsidR="00261A38">
        <w:t>, but rather, provides for waivers and exemptions</w:t>
      </w:r>
      <w:r w:rsidRPr="009C3694">
        <w:t xml:space="preserve">.  User fees are assessed in accordance with </w:t>
      </w:r>
      <w:r>
        <w:t>statutory requirements</w:t>
      </w:r>
      <w:r w:rsidR="00A0682A">
        <w:t xml:space="preserve"> and waivers are granted for respondents who qualify as a small business</w:t>
      </w:r>
      <w:r>
        <w:t xml:space="preserve">.  </w:t>
      </w:r>
      <w:r w:rsidRPr="009C3694">
        <w:t xml:space="preserve">To assist respondents in understanding user fees associated with </w:t>
      </w:r>
      <w:r w:rsidR="00A0682A">
        <w:t xml:space="preserve">the information collection </w:t>
      </w:r>
      <w:r w:rsidRPr="009C3694">
        <w:t xml:space="preserve">we have </w:t>
      </w:r>
      <w:r w:rsidRPr="009C3694">
        <w:lastRenderedPageBreak/>
        <w:t>developed the guidance document entitled, “</w:t>
      </w:r>
      <w:bookmarkStart w:name="_Hlk2228609" w:id="1"/>
      <w:r w:rsidRPr="00A0682A">
        <w:rPr>
          <w:i/>
        </w:rPr>
        <w:t xml:space="preserve">Assessing User Fees Under the </w:t>
      </w:r>
      <w:r w:rsidRPr="00A0682A" w:rsidR="00A0682A">
        <w:rPr>
          <w:i/>
        </w:rPr>
        <w:t xml:space="preserve">Prescription </w:t>
      </w:r>
      <w:r w:rsidRPr="00A0682A">
        <w:rPr>
          <w:i/>
        </w:rPr>
        <w:t>Drug User Fee Amendments of 2017</w:t>
      </w:r>
      <w:r w:rsidRPr="009C3694">
        <w:t>.</w:t>
      </w:r>
      <w:bookmarkEnd w:id="1"/>
      <w:r w:rsidRPr="009C3694">
        <w:t>”  The guidance explains the various fee assessments, procedures for payments and refunds, as well</w:t>
      </w:r>
      <w:r w:rsidR="00A0682A">
        <w:t xml:space="preserve"> as other topics, and is available on our website at:</w:t>
      </w:r>
    </w:p>
    <w:p w:rsidR="00221D10" w:rsidRDefault="007150EF" w14:paraId="7C528E62" w14:textId="2477B857">
      <w:hyperlink w:history="1" r:id="rId11">
        <w:r w:rsidRPr="00F14AC0" w:rsidR="00A0682A">
          <w:rPr>
            <w:rStyle w:val="Hyperlink"/>
          </w:rPr>
          <w:t>https://www.fda.gov/downloads/Drugs/GuidanceComplianceRegulatoryInformation/Guidances/UCM580099.pdf</w:t>
        </w:r>
      </w:hyperlink>
      <w:r w:rsidR="00A0682A">
        <w:t xml:space="preserve">   Finally, </w:t>
      </w:r>
      <w:r w:rsidR="00221D10">
        <w:t>CBER’s Office of Communicati</w:t>
      </w:r>
      <w:r w:rsidR="00C12AFF">
        <w:t>on, Outreach, and Development, Division of Manufacturers</w:t>
      </w:r>
      <w:r w:rsidR="00221D10">
        <w:t xml:space="preserve"> Assistance</w:t>
      </w:r>
      <w:r w:rsidR="00C12AFF">
        <w:t xml:space="preserve"> and Training</w:t>
      </w:r>
      <w:r w:rsidR="001C2B4A">
        <w:t xml:space="preserve">, and </w:t>
      </w:r>
      <w:r w:rsidR="00221D10">
        <w:t>CDER</w:t>
      </w:r>
      <w:r w:rsidR="005D6643">
        <w:t xml:space="preserve">’s </w:t>
      </w:r>
      <w:r w:rsidR="00FB7390">
        <w:t xml:space="preserve">Office of Communication, </w:t>
      </w:r>
      <w:r w:rsidR="005D6643">
        <w:t>Division of Drug Information</w:t>
      </w:r>
      <w:r w:rsidR="00923D0B">
        <w:t xml:space="preserve"> provid</w:t>
      </w:r>
      <w:r w:rsidR="009407EA">
        <w:t>e</w:t>
      </w:r>
      <w:r w:rsidR="00923D0B">
        <w:t xml:space="preserve"> assistance to small businesses</w:t>
      </w:r>
      <w:r w:rsidR="009407EA">
        <w:t xml:space="preserve"> subject to FDA’s regulatory requirements</w:t>
      </w:r>
      <w:r w:rsidR="00923D0B">
        <w:t>.</w:t>
      </w:r>
    </w:p>
    <w:p w:rsidR="00221D10" w:rsidRDefault="00221D10" w14:paraId="49A51CE2" w14:textId="1FE7AFC2"/>
    <w:p w:rsidRPr="00174D43" w:rsidR="00221D10" w:rsidRDefault="003843CD" w14:paraId="5E51D8A0" w14:textId="77777777">
      <w:pPr>
        <w:rPr>
          <w:u w:val="single"/>
        </w:rPr>
      </w:pPr>
      <w:r>
        <w:t>6.</w:t>
      </w:r>
      <w:r w:rsidR="00174D43">
        <w:t xml:space="preserve">  </w:t>
      </w:r>
      <w:r w:rsidR="00174D43">
        <w:rPr>
          <w:u w:val="single"/>
        </w:rPr>
        <w:t>Consequences of Collecting the Information Less Frequently</w:t>
      </w:r>
    </w:p>
    <w:p w:rsidR="00221D10" w:rsidRDefault="00221D10" w14:paraId="04F059C1" w14:textId="77777777"/>
    <w:p w:rsidR="00221D10" w:rsidRDefault="00D96020" w14:paraId="13AFFC9C" w14:textId="76159F98">
      <w:r>
        <w:t>The information collection schedule is consistent with statutory</w:t>
      </w:r>
      <w:r w:rsidR="00BE779C">
        <w:t xml:space="preserve"> and regulatory requirements, as well as those timeframes set forth in current agency and industry commitment goals.</w:t>
      </w:r>
    </w:p>
    <w:p w:rsidR="00221D10" w:rsidRDefault="00221D10" w14:paraId="39A654BC" w14:textId="24F5CEA9"/>
    <w:p w:rsidRPr="00AA7640" w:rsidR="00221D10" w:rsidRDefault="003843CD" w14:paraId="3D0D803F" w14:textId="77777777">
      <w:pPr>
        <w:rPr>
          <w:u w:val="single"/>
        </w:rPr>
      </w:pPr>
      <w:r>
        <w:t>7.</w:t>
      </w:r>
      <w:r w:rsidR="00AA7640">
        <w:t xml:space="preserve">  </w:t>
      </w:r>
      <w:r w:rsidR="00FF0C91">
        <w:rPr>
          <w:u w:val="single"/>
        </w:rPr>
        <w:t>Special Circumstances R</w:t>
      </w:r>
      <w:r w:rsidR="00AA7640">
        <w:rPr>
          <w:u w:val="single"/>
        </w:rPr>
        <w:t>elating to the Guidelines of 5 CFR 1320.5</w:t>
      </w:r>
    </w:p>
    <w:p w:rsidR="00221D10" w:rsidRDefault="00221D10" w14:paraId="49FDC375" w14:textId="77777777"/>
    <w:p w:rsidR="00221D10" w:rsidRDefault="00221D10" w14:paraId="27403FCA" w14:textId="77777777">
      <w:r>
        <w:t xml:space="preserve">There are </w:t>
      </w:r>
      <w:r w:rsidR="0096442A">
        <w:t>no special circumstances for this</w:t>
      </w:r>
      <w:r>
        <w:t xml:space="preserve"> collec</w:t>
      </w:r>
      <w:r w:rsidR="0096442A">
        <w:t>tion of information</w:t>
      </w:r>
      <w:r>
        <w:t>.</w:t>
      </w:r>
    </w:p>
    <w:p w:rsidR="00A912DA" w:rsidRDefault="00A912DA" w14:paraId="1DE71D91" w14:textId="0505F12E"/>
    <w:p w:rsidRPr="00AA7640" w:rsidR="00221D10" w:rsidP="007254C7" w:rsidRDefault="003843CD" w14:paraId="46660BC2" w14:textId="77777777">
      <w:pPr>
        <w:ind w:left="270" w:hanging="270"/>
        <w:rPr>
          <w:u w:val="single"/>
        </w:rPr>
      </w:pPr>
      <w:r>
        <w:t>8.</w:t>
      </w:r>
      <w:r w:rsidR="00AA7640">
        <w:t xml:space="preserve">  </w:t>
      </w:r>
      <w:r w:rsidR="00AA7640">
        <w:rPr>
          <w:u w:val="single"/>
        </w:rPr>
        <w:t>Comme</w:t>
      </w:r>
      <w:r w:rsidR="00BD566D">
        <w:rPr>
          <w:u w:val="single"/>
        </w:rPr>
        <w:t>nts in Response to the Federal R</w:t>
      </w:r>
      <w:r w:rsidR="00AA7640">
        <w:rPr>
          <w:u w:val="single"/>
        </w:rPr>
        <w:t>egister Notice and Efforts to Consult Outside the Agency</w:t>
      </w:r>
    </w:p>
    <w:p w:rsidR="00221D10" w:rsidRDefault="00221D10" w14:paraId="53DDE146" w14:textId="77777777"/>
    <w:p w:rsidR="00221D10" w:rsidRDefault="00221D10" w14:paraId="0218256E" w14:textId="3BDB36ED">
      <w:r>
        <w:t>In accordance with 5 CFR 1320.8(d),</w:t>
      </w:r>
      <w:r w:rsidR="00AA7640">
        <w:t xml:space="preserve"> </w:t>
      </w:r>
      <w:r w:rsidR="00A0682A">
        <w:t xml:space="preserve">we </w:t>
      </w:r>
      <w:r w:rsidR="00AA7640">
        <w:t>published</w:t>
      </w:r>
      <w:r>
        <w:t xml:space="preserve"> a 60</w:t>
      </w:r>
      <w:r w:rsidR="00E60303">
        <w:t xml:space="preserve"> </w:t>
      </w:r>
      <w:r>
        <w:t>day no</w:t>
      </w:r>
      <w:r w:rsidR="000905E9">
        <w:t>tice for public comment</w:t>
      </w:r>
      <w:r w:rsidR="00255CCB">
        <w:t xml:space="preserve"> in the </w:t>
      </w:r>
      <w:r w:rsidRPr="00A0682A" w:rsidR="00A0682A">
        <w:rPr>
          <w:u w:val="single"/>
        </w:rPr>
        <w:t>Federal Register</w:t>
      </w:r>
      <w:r w:rsidR="00A0682A">
        <w:t xml:space="preserve"> </w:t>
      </w:r>
      <w:r w:rsidR="0096442A">
        <w:t xml:space="preserve">of </w:t>
      </w:r>
      <w:r w:rsidR="00A54583">
        <w:t xml:space="preserve">November </w:t>
      </w:r>
      <w:r w:rsidR="00472702">
        <w:t xml:space="preserve">30, 2021 (87 FR </w:t>
      </w:r>
      <w:r w:rsidR="00485CF1">
        <w:t>67958)</w:t>
      </w:r>
      <w:r w:rsidR="00D50299">
        <w:t xml:space="preserve">.  </w:t>
      </w:r>
      <w:r w:rsidR="00E86324">
        <w:t>No c</w:t>
      </w:r>
      <w:r w:rsidR="0096442A">
        <w:t>omments were received.</w:t>
      </w:r>
    </w:p>
    <w:p w:rsidR="005F1F93" w:rsidRDefault="005F1F93" w14:paraId="5F2B2103" w14:textId="77777777"/>
    <w:p w:rsidRPr="00BD566D" w:rsidR="00221D10" w:rsidRDefault="003843CD" w14:paraId="149E5E76" w14:textId="77777777">
      <w:pPr>
        <w:rPr>
          <w:u w:val="single"/>
        </w:rPr>
      </w:pPr>
      <w:r>
        <w:t>9.</w:t>
      </w:r>
      <w:r w:rsidR="00BD566D">
        <w:t xml:space="preserve">  </w:t>
      </w:r>
      <w:r w:rsidR="00BD566D">
        <w:rPr>
          <w:u w:val="single"/>
        </w:rPr>
        <w:t>Explanation of Any Payment or Gift to Respondents</w:t>
      </w:r>
    </w:p>
    <w:p w:rsidR="00221D10" w:rsidRDefault="00221D10" w14:paraId="1A9A9DB3" w14:textId="77777777"/>
    <w:p w:rsidR="00221D10" w:rsidRDefault="00221D10" w14:paraId="05DE74CF" w14:textId="3FFE2B24">
      <w:r>
        <w:t xml:space="preserve">No payment or gift </w:t>
      </w:r>
      <w:r w:rsidR="00A0682A">
        <w:t xml:space="preserve">is </w:t>
      </w:r>
      <w:r w:rsidR="00E23ABA">
        <w:t>provided</w:t>
      </w:r>
      <w:r>
        <w:t xml:space="preserve"> to respondents.</w:t>
      </w:r>
    </w:p>
    <w:p w:rsidR="005F1F93" w:rsidRDefault="005F1F93" w14:paraId="4233EF1C" w14:textId="77777777"/>
    <w:p w:rsidRPr="00BD566D" w:rsidR="00BD566D" w:rsidRDefault="003843CD" w14:paraId="5D68CAB4" w14:textId="77777777">
      <w:pPr>
        <w:rPr>
          <w:u w:val="single"/>
        </w:rPr>
      </w:pPr>
      <w:r>
        <w:t>10.</w:t>
      </w:r>
      <w:r w:rsidR="00BD566D">
        <w:t xml:space="preserve">  </w:t>
      </w:r>
      <w:r w:rsidR="00BD566D">
        <w:rPr>
          <w:u w:val="single"/>
        </w:rPr>
        <w:t>Assurance of Confidentiality Provided to Respondents</w:t>
      </w:r>
    </w:p>
    <w:p w:rsidR="00221D10" w:rsidRDefault="00221D10" w14:paraId="18354AD0" w14:textId="77777777"/>
    <w:p w:rsidR="00221D10" w:rsidRDefault="00221D10" w14:paraId="4F83C4DC" w14:textId="4838A9B5">
      <w:r>
        <w:t xml:space="preserve">The confidentiality of information </w:t>
      </w:r>
      <w:r w:rsidR="00A0682A">
        <w:t xml:space="preserve">submitted to </w:t>
      </w:r>
      <w:r>
        <w:t>FDA is consistent with the Freedom of Information Ac</w:t>
      </w:r>
      <w:r w:rsidR="0061652F">
        <w:t>t (FOI</w:t>
      </w:r>
      <w:r w:rsidR="009407EA">
        <w:t>A)</w:t>
      </w:r>
      <w:r w:rsidR="0061652F">
        <w:t xml:space="preserve"> and </w:t>
      </w:r>
      <w:r w:rsidR="00E23ABA">
        <w:t xml:space="preserve">FDA’s </w:t>
      </w:r>
      <w:r w:rsidR="009407EA">
        <w:t xml:space="preserve">published </w:t>
      </w:r>
      <w:r w:rsidR="00E23ABA">
        <w:t>regulations</w:t>
      </w:r>
      <w:r w:rsidR="00A0682A">
        <w:t xml:space="preserve"> regarding</w:t>
      </w:r>
      <w:r w:rsidR="009407EA">
        <w:t xml:space="preserve"> “</w:t>
      </w:r>
      <w:r w:rsidRPr="00D50299" w:rsidR="009407EA">
        <w:rPr>
          <w:i/>
          <w:iCs/>
        </w:rPr>
        <w:t>Public Information</w:t>
      </w:r>
      <w:r w:rsidR="009407EA">
        <w:t>”</w:t>
      </w:r>
      <w:r w:rsidR="00E23ABA">
        <w:t xml:space="preserve"> </w:t>
      </w:r>
      <w:r w:rsidR="009407EA">
        <w:t>(</w:t>
      </w:r>
      <w:r w:rsidR="00E23ABA">
        <w:t>21 CFR Part 20</w:t>
      </w:r>
      <w:r w:rsidR="009407EA">
        <w:t>)</w:t>
      </w:r>
      <w:r w:rsidR="00F233AC">
        <w:t>.</w:t>
      </w:r>
      <w:r w:rsidR="009407EA">
        <w:t xml:space="preserve">  Proprietary or trade secret information is deleted from any information released by under the Freedom of Information Act.</w:t>
      </w:r>
    </w:p>
    <w:p w:rsidR="005F1F93" w:rsidRDefault="005F1F93" w14:paraId="3A489826" w14:textId="14C9CB57"/>
    <w:p w:rsidRPr="00B97776" w:rsidR="00221D10" w:rsidRDefault="003843CD" w14:paraId="0E01CB24" w14:textId="77777777">
      <w:pPr>
        <w:rPr>
          <w:u w:val="single"/>
        </w:rPr>
      </w:pPr>
      <w:r>
        <w:t xml:space="preserve">11.  </w:t>
      </w:r>
      <w:r w:rsidRPr="00B97776">
        <w:rPr>
          <w:u w:val="single"/>
        </w:rPr>
        <w:t>Justification for Sensitive Questions</w:t>
      </w:r>
    </w:p>
    <w:p w:rsidR="00221D10" w:rsidRDefault="00221D10" w14:paraId="75DAD5AD" w14:textId="77777777"/>
    <w:p w:rsidR="00221D10" w:rsidRDefault="00061617" w14:paraId="43DD4A2D" w14:textId="300C535E">
      <w:r>
        <w:t xml:space="preserve">The information does not include questions </w:t>
      </w:r>
      <w:r w:rsidR="00221D10">
        <w:t>of a sensitive nature</w:t>
      </w:r>
      <w:r w:rsidR="00B31ACA">
        <w:t>.</w:t>
      </w:r>
    </w:p>
    <w:p w:rsidR="005F1F93" w:rsidRDefault="005F1F93" w14:paraId="1B736C2D" w14:textId="77777777"/>
    <w:p w:rsidR="00672605" w:rsidRDefault="00672605" w14:paraId="29B47065" w14:textId="77777777">
      <w:r>
        <w:br w:type="page"/>
      </w:r>
    </w:p>
    <w:p w:rsidRPr="00191A3A" w:rsidR="00221D10" w:rsidRDefault="00191A3A" w14:paraId="3609CD4B" w14:textId="3C01BCCA">
      <w:r>
        <w:lastRenderedPageBreak/>
        <w:t xml:space="preserve">12.  </w:t>
      </w:r>
      <w:r w:rsidRPr="00191A3A">
        <w:rPr>
          <w:u w:val="single"/>
        </w:rPr>
        <w:t>Estimates of Annualized Burden Hours and Costs</w:t>
      </w:r>
    </w:p>
    <w:p w:rsidR="00221D10" w:rsidRDefault="00221D10" w14:paraId="31159302" w14:textId="77777777"/>
    <w:p w:rsidRPr="00D50299" w:rsidR="00D50299" w:rsidP="00FA566C" w:rsidRDefault="00D50299" w14:paraId="6E364525" w14:textId="77777777">
      <w:pPr>
        <w:rPr>
          <w:i/>
          <w:iCs/>
        </w:rPr>
      </w:pPr>
      <w:r>
        <w:tab/>
      </w:r>
      <w:r w:rsidRPr="00D50299">
        <w:rPr>
          <w:i/>
          <w:iCs/>
        </w:rPr>
        <w:t>12a.  Estimated Annual Hourly Burden</w:t>
      </w:r>
    </w:p>
    <w:p w:rsidR="00D50299" w:rsidP="00FA566C" w:rsidRDefault="00D50299" w14:paraId="464AB51A" w14:textId="77777777"/>
    <w:p w:rsidRPr="00FA566C" w:rsidR="00FA566C" w:rsidP="00D50299" w:rsidRDefault="00FA566C" w14:paraId="23884EC8" w14:textId="33079E25">
      <w:pPr>
        <w:jc w:val="center"/>
      </w:pPr>
      <w:r w:rsidRPr="00FA566C">
        <w:t>Table 1.--Estimated Annual Reporting Burden </w:t>
      </w:r>
      <w:r w:rsidRPr="00FA566C">
        <w:rPr>
          <w:vertAlign w:val="superscript"/>
        </w:rPr>
        <w:t>1</w:t>
      </w:r>
    </w:p>
    <w:tbl>
      <w:tblPr>
        <w:tblW w:w="0" w:type="auto"/>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0" w:type="dxa"/>
          <w:left w:w="150" w:type="dxa"/>
          <w:bottom w:w="150" w:type="dxa"/>
          <w:right w:w="150" w:type="dxa"/>
        </w:tblCellMar>
        <w:tblLook w:val="04A0" w:firstRow="1" w:lastRow="0" w:firstColumn="1" w:lastColumn="0" w:noHBand="0" w:noVBand="1"/>
      </w:tblPr>
      <w:tblGrid>
        <w:gridCol w:w="2872"/>
        <w:gridCol w:w="1350"/>
        <w:gridCol w:w="1440"/>
        <w:gridCol w:w="1260"/>
        <w:gridCol w:w="1170"/>
        <w:gridCol w:w="964"/>
      </w:tblGrid>
      <w:tr w:rsidRPr="00FA566C" w:rsidR="00353B68" w:rsidTr="0070391C" w14:paraId="3EED2397" w14:textId="77777777">
        <w:trPr>
          <w:cantSplit/>
          <w:tblHeader/>
        </w:trPr>
        <w:tc>
          <w:tcPr>
            <w:tcW w:w="2872" w:type="dxa"/>
            <w:shd w:val="clear" w:color="auto" w:fill="F2F2F2" w:themeFill="background1" w:themeFillShade="F2"/>
            <w:tcMar>
              <w:top w:w="90" w:type="dxa"/>
              <w:left w:w="90" w:type="dxa"/>
              <w:bottom w:w="90" w:type="dxa"/>
              <w:right w:w="90" w:type="dxa"/>
            </w:tcMar>
            <w:hideMark/>
          </w:tcPr>
          <w:p w:rsidRPr="00FA566C" w:rsidR="00FA566C" w:rsidP="00D50299" w:rsidRDefault="00FA566C" w14:paraId="3F43050E" w14:textId="77777777">
            <w:pPr>
              <w:jc w:val="center"/>
              <w:rPr>
                <w:sz w:val="21"/>
                <w:szCs w:val="21"/>
              </w:rPr>
            </w:pPr>
            <w:bookmarkStart w:name="_Hlk86763623" w:id="2"/>
            <w:r w:rsidRPr="00FA566C">
              <w:rPr>
                <w:sz w:val="21"/>
                <w:szCs w:val="21"/>
              </w:rPr>
              <w:t>Prescription Drug User Fee Activity</w:t>
            </w:r>
          </w:p>
        </w:tc>
        <w:tc>
          <w:tcPr>
            <w:tcW w:w="1350" w:type="dxa"/>
            <w:shd w:val="clear" w:color="auto" w:fill="F2F2F2" w:themeFill="background1" w:themeFillShade="F2"/>
            <w:tcMar>
              <w:top w:w="90" w:type="dxa"/>
              <w:left w:w="90" w:type="dxa"/>
              <w:bottom w:w="90" w:type="dxa"/>
              <w:right w:w="90" w:type="dxa"/>
            </w:tcMar>
            <w:hideMark/>
          </w:tcPr>
          <w:p w:rsidRPr="00FA566C" w:rsidR="00FA566C" w:rsidP="00D50299" w:rsidRDefault="00FA566C" w14:paraId="0925BEFC" w14:textId="77777777">
            <w:pPr>
              <w:jc w:val="center"/>
              <w:rPr>
                <w:sz w:val="21"/>
                <w:szCs w:val="21"/>
              </w:rPr>
            </w:pPr>
            <w:r w:rsidRPr="00FA566C">
              <w:rPr>
                <w:sz w:val="21"/>
                <w:szCs w:val="21"/>
              </w:rPr>
              <w:t>No. of Respondents</w:t>
            </w:r>
          </w:p>
        </w:tc>
        <w:tc>
          <w:tcPr>
            <w:tcW w:w="1440" w:type="dxa"/>
            <w:shd w:val="clear" w:color="auto" w:fill="F2F2F2" w:themeFill="background1" w:themeFillShade="F2"/>
            <w:tcMar>
              <w:top w:w="90" w:type="dxa"/>
              <w:left w:w="90" w:type="dxa"/>
              <w:bottom w:w="90" w:type="dxa"/>
              <w:right w:w="90" w:type="dxa"/>
            </w:tcMar>
            <w:hideMark/>
          </w:tcPr>
          <w:p w:rsidRPr="00FA566C" w:rsidR="00FA566C" w:rsidP="00D50299" w:rsidRDefault="00FA566C" w14:paraId="081C754F" w14:textId="77777777">
            <w:pPr>
              <w:jc w:val="center"/>
              <w:rPr>
                <w:sz w:val="21"/>
                <w:szCs w:val="21"/>
              </w:rPr>
            </w:pPr>
            <w:r w:rsidRPr="00FA566C">
              <w:rPr>
                <w:sz w:val="21"/>
                <w:szCs w:val="21"/>
              </w:rPr>
              <w:t>No. of Responses per Respondent</w:t>
            </w:r>
          </w:p>
        </w:tc>
        <w:tc>
          <w:tcPr>
            <w:tcW w:w="1260" w:type="dxa"/>
            <w:shd w:val="clear" w:color="auto" w:fill="F2F2F2" w:themeFill="background1" w:themeFillShade="F2"/>
            <w:tcMar>
              <w:top w:w="90" w:type="dxa"/>
              <w:left w:w="90" w:type="dxa"/>
              <w:bottom w:w="90" w:type="dxa"/>
              <w:right w:w="90" w:type="dxa"/>
            </w:tcMar>
            <w:hideMark/>
          </w:tcPr>
          <w:p w:rsidRPr="00FA566C" w:rsidR="00FA566C" w:rsidP="00D50299" w:rsidRDefault="00FA566C" w14:paraId="46CD0E2C" w14:textId="77777777">
            <w:pPr>
              <w:jc w:val="center"/>
              <w:rPr>
                <w:sz w:val="21"/>
                <w:szCs w:val="21"/>
              </w:rPr>
            </w:pPr>
            <w:r w:rsidRPr="00FA566C">
              <w:rPr>
                <w:sz w:val="21"/>
                <w:szCs w:val="21"/>
              </w:rPr>
              <w:t>Total Annual Responses</w:t>
            </w:r>
          </w:p>
        </w:tc>
        <w:tc>
          <w:tcPr>
            <w:tcW w:w="1170" w:type="dxa"/>
            <w:shd w:val="clear" w:color="auto" w:fill="F2F2F2" w:themeFill="background1" w:themeFillShade="F2"/>
            <w:tcMar>
              <w:top w:w="90" w:type="dxa"/>
              <w:left w:w="90" w:type="dxa"/>
              <w:bottom w:w="90" w:type="dxa"/>
              <w:right w:w="90" w:type="dxa"/>
            </w:tcMar>
            <w:hideMark/>
          </w:tcPr>
          <w:p w:rsidRPr="00FA566C" w:rsidR="00FA566C" w:rsidP="00D50299" w:rsidRDefault="00FA566C" w14:paraId="43A589D9" w14:textId="77777777">
            <w:pPr>
              <w:jc w:val="center"/>
              <w:rPr>
                <w:sz w:val="21"/>
                <w:szCs w:val="21"/>
              </w:rPr>
            </w:pPr>
            <w:r w:rsidRPr="00FA566C">
              <w:rPr>
                <w:sz w:val="21"/>
                <w:szCs w:val="21"/>
              </w:rPr>
              <w:t>Average Burden per Response</w:t>
            </w:r>
          </w:p>
        </w:tc>
        <w:tc>
          <w:tcPr>
            <w:tcW w:w="964" w:type="dxa"/>
            <w:shd w:val="clear" w:color="auto" w:fill="F2F2F2" w:themeFill="background1" w:themeFillShade="F2"/>
            <w:tcMar>
              <w:top w:w="90" w:type="dxa"/>
              <w:left w:w="90" w:type="dxa"/>
              <w:bottom w:w="90" w:type="dxa"/>
              <w:right w:w="90" w:type="dxa"/>
            </w:tcMar>
            <w:hideMark/>
          </w:tcPr>
          <w:p w:rsidRPr="00FA566C" w:rsidR="00FA566C" w:rsidP="00D50299" w:rsidRDefault="00FA566C" w14:paraId="40A617D5" w14:textId="77777777">
            <w:pPr>
              <w:jc w:val="center"/>
              <w:rPr>
                <w:b/>
                <w:sz w:val="21"/>
                <w:szCs w:val="21"/>
              </w:rPr>
            </w:pPr>
            <w:r w:rsidRPr="00FA566C">
              <w:rPr>
                <w:bCs/>
                <w:sz w:val="21"/>
                <w:szCs w:val="21"/>
              </w:rPr>
              <w:t>Total Hour</w:t>
            </w:r>
            <w:r w:rsidRPr="00FA566C">
              <w:rPr>
                <w:sz w:val="21"/>
                <w:szCs w:val="21"/>
              </w:rPr>
              <w:t>s</w:t>
            </w:r>
          </w:p>
        </w:tc>
      </w:tr>
      <w:tr w:rsidRPr="00FA566C" w:rsidR="00353B68" w:rsidTr="0070391C" w14:paraId="76195F68" w14:textId="77777777">
        <w:trPr>
          <w:cantSplit/>
        </w:trPr>
        <w:tc>
          <w:tcPr>
            <w:tcW w:w="2872" w:type="dxa"/>
            <w:shd w:val="clear" w:color="auto" w:fill="auto"/>
            <w:tcMar>
              <w:top w:w="90" w:type="dxa"/>
              <w:left w:w="90" w:type="dxa"/>
              <w:bottom w:w="90" w:type="dxa"/>
              <w:right w:w="90" w:type="dxa"/>
            </w:tcMar>
            <w:hideMark/>
          </w:tcPr>
          <w:p w:rsidRPr="00FA566C" w:rsidR="00FA566C" w:rsidP="00FA566C" w:rsidRDefault="00FA566C" w14:paraId="2A7B3033" w14:textId="3CD9EA1A">
            <w:pPr>
              <w:rPr>
                <w:sz w:val="22"/>
                <w:szCs w:val="22"/>
              </w:rPr>
            </w:pPr>
            <w:r w:rsidRPr="00FA566C">
              <w:rPr>
                <w:sz w:val="22"/>
                <w:szCs w:val="22"/>
              </w:rPr>
              <w:t>Sections 735 and 736 of the FD&amp;C Act (PDUFA waivers</w:t>
            </w:r>
            <w:r w:rsidR="00353B68">
              <w:rPr>
                <w:sz w:val="22"/>
                <w:szCs w:val="22"/>
              </w:rPr>
              <w:t xml:space="preserve"> and exemptions</w:t>
            </w:r>
            <w:r w:rsidRPr="00FA566C">
              <w:rPr>
                <w:sz w:val="22"/>
                <w:szCs w:val="22"/>
              </w:rPr>
              <w:t>, not including small business waivers</w:t>
            </w:r>
            <w:r w:rsidR="00653FEA">
              <w:rPr>
                <w:sz w:val="22"/>
                <w:szCs w:val="22"/>
              </w:rPr>
              <w:t xml:space="preserve"> – draft Form FDA 4068</w:t>
            </w:r>
            <w:r w:rsidRPr="00FA566C">
              <w:rPr>
                <w:sz w:val="22"/>
                <w:szCs w:val="22"/>
              </w:rPr>
              <w:t>)</w:t>
            </w:r>
          </w:p>
        </w:tc>
        <w:tc>
          <w:tcPr>
            <w:tcW w:w="1350" w:type="dxa"/>
            <w:shd w:val="clear" w:color="auto" w:fill="auto"/>
            <w:tcMar>
              <w:top w:w="90" w:type="dxa"/>
              <w:left w:w="90" w:type="dxa"/>
              <w:bottom w:w="90" w:type="dxa"/>
              <w:right w:w="90" w:type="dxa"/>
            </w:tcMar>
            <w:hideMark/>
          </w:tcPr>
          <w:p w:rsidRPr="00FA566C" w:rsidR="00FA566C" w:rsidP="00D50299" w:rsidRDefault="00FA566C" w14:paraId="52F4CDEC" w14:textId="77777777">
            <w:pPr>
              <w:jc w:val="right"/>
              <w:rPr>
                <w:sz w:val="22"/>
                <w:szCs w:val="22"/>
              </w:rPr>
            </w:pPr>
            <w:r w:rsidRPr="00FA566C">
              <w:rPr>
                <w:sz w:val="22"/>
                <w:szCs w:val="22"/>
              </w:rPr>
              <w:t>112</w:t>
            </w:r>
          </w:p>
        </w:tc>
        <w:tc>
          <w:tcPr>
            <w:tcW w:w="1440" w:type="dxa"/>
            <w:shd w:val="clear" w:color="auto" w:fill="auto"/>
            <w:tcMar>
              <w:top w:w="90" w:type="dxa"/>
              <w:left w:w="90" w:type="dxa"/>
              <w:bottom w:w="90" w:type="dxa"/>
              <w:right w:w="90" w:type="dxa"/>
            </w:tcMar>
          </w:tcPr>
          <w:p w:rsidRPr="00FA566C" w:rsidR="00FA566C" w:rsidP="00D50299" w:rsidRDefault="00FA566C" w14:paraId="148CB5D2" w14:textId="77777777">
            <w:pPr>
              <w:jc w:val="right"/>
              <w:rPr>
                <w:sz w:val="22"/>
                <w:szCs w:val="22"/>
              </w:rPr>
            </w:pPr>
            <w:r w:rsidRPr="00FA566C">
              <w:rPr>
                <w:sz w:val="22"/>
                <w:szCs w:val="22"/>
              </w:rPr>
              <w:t>1.68</w:t>
            </w:r>
          </w:p>
        </w:tc>
        <w:tc>
          <w:tcPr>
            <w:tcW w:w="1260" w:type="dxa"/>
            <w:shd w:val="clear" w:color="auto" w:fill="auto"/>
            <w:tcMar>
              <w:top w:w="90" w:type="dxa"/>
              <w:left w:w="90" w:type="dxa"/>
              <w:bottom w:w="90" w:type="dxa"/>
              <w:right w:w="90" w:type="dxa"/>
            </w:tcMar>
          </w:tcPr>
          <w:p w:rsidRPr="00FA566C" w:rsidR="00FA566C" w:rsidP="00D50299" w:rsidRDefault="00FA566C" w14:paraId="75280005" w14:textId="77777777">
            <w:pPr>
              <w:jc w:val="right"/>
              <w:rPr>
                <w:sz w:val="22"/>
                <w:szCs w:val="22"/>
              </w:rPr>
            </w:pPr>
            <w:r w:rsidRPr="00FA566C">
              <w:rPr>
                <w:sz w:val="22"/>
                <w:szCs w:val="22"/>
              </w:rPr>
              <w:t>189</w:t>
            </w:r>
          </w:p>
        </w:tc>
        <w:tc>
          <w:tcPr>
            <w:tcW w:w="1170" w:type="dxa"/>
            <w:shd w:val="clear" w:color="auto" w:fill="auto"/>
            <w:tcMar>
              <w:top w:w="90" w:type="dxa"/>
              <w:left w:w="90" w:type="dxa"/>
              <w:bottom w:w="90" w:type="dxa"/>
              <w:right w:w="90" w:type="dxa"/>
            </w:tcMar>
            <w:hideMark/>
          </w:tcPr>
          <w:p w:rsidRPr="00FA566C" w:rsidR="00FA566C" w:rsidP="00D50299" w:rsidRDefault="00FA566C" w14:paraId="1A95ABA4" w14:textId="77777777">
            <w:pPr>
              <w:jc w:val="right"/>
              <w:rPr>
                <w:sz w:val="22"/>
                <w:szCs w:val="22"/>
              </w:rPr>
            </w:pPr>
            <w:r w:rsidRPr="00FA566C">
              <w:rPr>
                <w:sz w:val="22"/>
                <w:szCs w:val="22"/>
              </w:rPr>
              <w:t>17</w:t>
            </w:r>
          </w:p>
        </w:tc>
        <w:tc>
          <w:tcPr>
            <w:tcW w:w="964" w:type="dxa"/>
            <w:shd w:val="clear" w:color="auto" w:fill="auto"/>
            <w:tcMar>
              <w:top w:w="90" w:type="dxa"/>
              <w:left w:w="90" w:type="dxa"/>
              <w:bottom w:w="90" w:type="dxa"/>
              <w:right w:w="90" w:type="dxa"/>
            </w:tcMar>
          </w:tcPr>
          <w:p w:rsidRPr="00FA566C" w:rsidR="00FA566C" w:rsidP="00D50299" w:rsidRDefault="00FA566C" w14:paraId="7AE674BD" w14:textId="77777777">
            <w:pPr>
              <w:jc w:val="right"/>
              <w:rPr>
                <w:sz w:val="22"/>
                <w:szCs w:val="22"/>
              </w:rPr>
            </w:pPr>
            <w:r w:rsidRPr="00FA566C">
              <w:rPr>
                <w:sz w:val="22"/>
                <w:szCs w:val="22"/>
              </w:rPr>
              <w:t>3,213</w:t>
            </w:r>
          </w:p>
        </w:tc>
      </w:tr>
      <w:tr w:rsidRPr="00FA566C" w:rsidR="00353B68" w:rsidTr="0070391C" w14:paraId="319A76D2" w14:textId="77777777">
        <w:trPr>
          <w:cantSplit/>
        </w:trPr>
        <w:tc>
          <w:tcPr>
            <w:tcW w:w="2872" w:type="dxa"/>
            <w:shd w:val="clear" w:color="auto" w:fill="auto"/>
            <w:tcMar>
              <w:top w:w="90" w:type="dxa"/>
              <w:left w:w="90" w:type="dxa"/>
              <w:bottom w:w="90" w:type="dxa"/>
              <w:right w:w="90" w:type="dxa"/>
            </w:tcMar>
            <w:hideMark/>
          </w:tcPr>
          <w:p w:rsidRPr="00FA566C" w:rsidR="00FA566C" w:rsidP="00FA566C" w:rsidRDefault="00FA566C" w14:paraId="466E1696" w14:textId="77777777">
            <w:pPr>
              <w:rPr>
                <w:sz w:val="22"/>
                <w:szCs w:val="22"/>
              </w:rPr>
            </w:pPr>
            <w:r w:rsidRPr="00FA566C">
              <w:rPr>
                <w:sz w:val="22"/>
                <w:szCs w:val="22"/>
              </w:rPr>
              <w:t>Section 736(d)(1)(C) of the FD&amp;C Act and Form FDA 3971 (small business waivers)</w:t>
            </w:r>
          </w:p>
        </w:tc>
        <w:tc>
          <w:tcPr>
            <w:tcW w:w="1350" w:type="dxa"/>
            <w:shd w:val="clear" w:color="auto" w:fill="auto"/>
            <w:tcMar>
              <w:top w:w="90" w:type="dxa"/>
              <w:left w:w="90" w:type="dxa"/>
              <w:bottom w:w="90" w:type="dxa"/>
              <w:right w:w="90" w:type="dxa"/>
            </w:tcMar>
          </w:tcPr>
          <w:p w:rsidRPr="00FA566C" w:rsidR="00FA566C" w:rsidP="00D50299" w:rsidRDefault="00FA566C" w14:paraId="08655170" w14:textId="77777777">
            <w:pPr>
              <w:jc w:val="right"/>
              <w:rPr>
                <w:sz w:val="22"/>
                <w:szCs w:val="22"/>
              </w:rPr>
            </w:pPr>
            <w:r w:rsidRPr="00FA566C">
              <w:rPr>
                <w:sz w:val="22"/>
                <w:szCs w:val="22"/>
              </w:rPr>
              <w:t>37</w:t>
            </w:r>
          </w:p>
        </w:tc>
        <w:tc>
          <w:tcPr>
            <w:tcW w:w="1440" w:type="dxa"/>
            <w:shd w:val="clear" w:color="auto" w:fill="auto"/>
            <w:tcMar>
              <w:top w:w="90" w:type="dxa"/>
              <w:left w:w="90" w:type="dxa"/>
              <w:bottom w:w="90" w:type="dxa"/>
              <w:right w:w="90" w:type="dxa"/>
            </w:tcMar>
          </w:tcPr>
          <w:p w:rsidRPr="00FA566C" w:rsidR="00FA566C" w:rsidP="00D50299" w:rsidRDefault="00FA566C" w14:paraId="31F1DA1B" w14:textId="77777777">
            <w:pPr>
              <w:jc w:val="right"/>
              <w:rPr>
                <w:sz w:val="22"/>
                <w:szCs w:val="22"/>
              </w:rPr>
            </w:pPr>
            <w:r w:rsidRPr="00FA566C">
              <w:rPr>
                <w:sz w:val="22"/>
                <w:szCs w:val="22"/>
              </w:rPr>
              <w:t>1</w:t>
            </w:r>
          </w:p>
        </w:tc>
        <w:tc>
          <w:tcPr>
            <w:tcW w:w="1260" w:type="dxa"/>
            <w:shd w:val="clear" w:color="auto" w:fill="auto"/>
            <w:tcMar>
              <w:top w:w="90" w:type="dxa"/>
              <w:left w:w="90" w:type="dxa"/>
              <w:bottom w:w="90" w:type="dxa"/>
              <w:right w:w="90" w:type="dxa"/>
            </w:tcMar>
          </w:tcPr>
          <w:p w:rsidRPr="00FA566C" w:rsidR="00FA566C" w:rsidP="00D50299" w:rsidRDefault="00FA566C" w14:paraId="2648FBED" w14:textId="77777777">
            <w:pPr>
              <w:jc w:val="right"/>
              <w:rPr>
                <w:sz w:val="22"/>
                <w:szCs w:val="22"/>
              </w:rPr>
            </w:pPr>
            <w:r w:rsidRPr="00FA566C">
              <w:rPr>
                <w:sz w:val="22"/>
                <w:szCs w:val="22"/>
              </w:rPr>
              <w:t>37</w:t>
            </w:r>
          </w:p>
        </w:tc>
        <w:tc>
          <w:tcPr>
            <w:tcW w:w="1170" w:type="dxa"/>
            <w:shd w:val="clear" w:color="auto" w:fill="auto"/>
            <w:tcMar>
              <w:top w:w="90" w:type="dxa"/>
              <w:left w:w="90" w:type="dxa"/>
              <w:bottom w:w="90" w:type="dxa"/>
              <w:right w:w="90" w:type="dxa"/>
            </w:tcMar>
            <w:hideMark/>
          </w:tcPr>
          <w:p w:rsidRPr="00FA566C" w:rsidR="00FA566C" w:rsidP="00D50299" w:rsidRDefault="00FA566C" w14:paraId="58F57CD3" w14:textId="77777777">
            <w:pPr>
              <w:jc w:val="right"/>
              <w:rPr>
                <w:sz w:val="22"/>
                <w:szCs w:val="22"/>
              </w:rPr>
            </w:pPr>
            <w:r w:rsidRPr="00FA566C">
              <w:rPr>
                <w:sz w:val="22"/>
                <w:szCs w:val="22"/>
              </w:rPr>
              <w:t>2</w:t>
            </w:r>
          </w:p>
        </w:tc>
        <w:tc>
          <w:tcPr>
            <w:tcW w:w="964" w:type="dxa"/>
            <w:shd w:val="clear" w:color="auto" w:fill="auto"/>
            <w:tcMar>
              <w:top w:w="90" w:type="dxa"/>
              <w:left w:w="90" w:type="dxa"/>
              <w:bottom w:w="90" w:type="dxa"/>
              <w:right w:w="90" w:type="dxa"/>
            </w:tcMar>
          </w:tcPr>
          <w:p w:rsidRPr="00FA566C" w:rsidR="00FA566C" w:rsidP="00D50299" w:rsidRDefault="00FA566C" w14:paraId="5CC2A0AA" w14:textId="77777777">
            <w:pPr>
              <w:jc w:val="right"/>
              <w:rPr>
                <w:sz w:val="22"/>
                <w:szCs w:val="22"/>
              </w:rPr>
            </w:pPr>
            <w:r w:rsidRPr="00FA566C">
              <w:rPr>
                <w:sz w:val="22"/>
                <w:szCs w:val="22"/>
              </w:rPr>
              <w:t>74</w:t>
            </w:r>
          </w:p>
        </w:tc>
      </w:tr>
      <w:tr w:rsidRPr="00FA566C" w:rsidR="00353B68" w:rsidTr="0070391C" w14:paraId="5AF99F4D" w14:textId="77777777">
        <w:trPr>
          <w:cantSplit/>
        </w:trPr>
        <w:tc>
          <w:tcPr>
            <w:tcW w:w="2872" w:type="dxa"/>
            <w:shd w:val="clear" w:color="auto" w:fill="auto"/>
            <w:tcMar>
              <w:top w:w="90" w:type="dxa"/>
              <w:left w:w="90" w:type="dxa"/>
              <w:bottom w:w="90" w:type="dxa"/>
              <w:right w:w="90" w:type="dxa"/>
            </w:tcMar>
            <w:hideMark/>
          </w:tcPr>
          <w:p w:rsidRPr="00FA566C" w:rsidR="00FA566C" w:rsidP="00FA566C" w:rsidRDefault="00FA566C" w14:paraId="0DCD20B2" w14:textId="77777777">
            <w:pPr>
              <w:rPr>
                <w:sz w:val="22"/>
                <w:szCs w:val="22"/>
              </w:rPr>
            </w:pPr>
            <w:r w:rsidRPr="00FA566C">
              <w:rPr>
                <w:sz w:val="22"/>
                <w:szCs w:val="22"/>
              </w:rPr>
              <w:t>Reconsideration Requests</w:t>
            </w:r>
          </w:p>
        </w:tc>
        <w:tc>
          <w:tcPr>
            <w:tcW w:w="1350" w:type="dxa"/>
            <w:shd w:val="clear" w:color="auto" w:fill="auto"/>
            <w:tcMar>
              <w:top w:w="90" w:type="dxa"/>
              <w:left w:w="90" w:type="dxa"/>
              <w:bottom w:w="90" w:type="dxa"/>
              <w:right w:w="90" w:type="dxa"/>
            </w:tcMar>
          </w:tcPr>
          <w:p w:rsidRPr="00FA566C" w:rsidR="00FA566C" w:rsidP="00D50299" w:rsidRDefault="00FA566C" w14:paraId="116C0E4E" w14:textId="77777777">
            <w:pPr>
              <w:jc w:val="right"/>
              <w:rPr>
                <w:sz w:val="22"/>
                <w:szCs w:val="22"/>
              </w:rPr>
            </w:pPr>
            <w:r w:rsidRPr="00FA566C">
              <w:rPr>
                <w:sz w:val="22"/>
                <w:szCs w:val="22"/>
              </w:rPr>
              <w:t>6</w:t>
            </w:r>
          </w:p>
        </w:tc>
        <w:tc>
          <w:tcPr>
            <w:tcW w:w="1440" w:type="dxa"/>
            <w:shd w:val="clear" w:color="auto" w:fill="auto"/>
            <w:tcMar>
              <w:top w:w="90" w:type="dxa"/>
              <w:left w:w="90" w:type="dxa"/>
              <w:bottom w:w="90" w:type="dxa"/>
              <w:right w:w="90" w:type="dxa"/>
            </w:tcMar>
          </w:tcPr>
          <w:p w:rsidRPr="00FA566C" w:rsidR="00FA566C" w:rsidP="00D50299" w:rsidRDefault="00FA566C" w14:paraId="796D7E4E" w14:textId="77777777">
            <w:pPr>
              <w:jc w:val="right"/>
              <w:rPr>
                <w:sz w:val="22"/>
                <w:szCs w:val="22"/>
              </w:rPr>
            </w:pPr>
            <w:r w:rsidRPr="00FA566C">
              <w:rPr>
                <w:sz w:val="22"/>
                <w:szCs w:val="22"/>
              </w:rPr>
              <w:t>1.67</w:t>
            </w:r>
          </w:p>
        </w:tc>
        <w:tc>
          <w:tcPr>
            <w:tcW w:w="1260" w:type="dxa"/>
            <w:shd w:val="clear" w:color="auto" w:fill="auto"/>
            <w:tcMar>
              <w:top w:w="90" w:type="dxa"/>
              <w:left w:w="90" w:type="dxa"/>
              <w:bottom w:w="90" w:type="dxa"/>
              <w:right w:w="90" w:type="dxa"/>
            </w:tcMar>
          </w:tcPr>
          <w:p w:rsidRPr="00FA566C" w:rsidR="00FA566C" w:rsidP="00D50299" w:rsidRDefault="00FA566C" w14:paraId="78936A79" w14:textId="77777777">
            <w:pPr>
              <w:jc w:val="right"/>
              <w:rPr>
                <w:sz w:val="22"/>
                <w:szCs w:val="22"/>
              </w:rPr>
            </w:pPr>
            <w:r w:rsidRPr="00FA566C">
              <w:rPr>
                <w:sz w:val="22"/>
                <w:szCs w:val="22"/>
              </w:rPr>
              <w:t>10</w:t>
            </w:r>
          </w:p>
        </w:tc>
        <w:tc>
          <w:tcPr>
            <w:tcW w:w="1170" w:type="dxa"/>
            <w:shd w:val="clear" w:color="auto" w:fill="auto"/>
            <w:tcMar>
              <w:top w:w="90" w:type="dxa"/>
              <w:left w:w="90" w:type="dxa"/>
              <w:bottom w:w="90" w:type="dxa"/>
              <w:right w:w="90" w:type="dxa"/>
            </w:tcMar>
            <w:hideMark/>
          </w:tcPr>
          <w:p w:rsidRPr="00FA566C" w:rsidR="00FA566C" w:rsidP="00D50299" w:rsidRDefault="00FA566C" w14:paraId="4A6892C7" w14:textId="77777777">
            <w:pPr>
              <w:jc w:val="right"/>
              <w:rPr>
                <w:sz w:val="22"/>
                <w:szCs w:val="22"/>
              </w:rPr>
            </w:pPr>
            <w:r w:rsidRPr="00FA566C">
              <w:rPr>
                <w:sz w:val="22"/>
                <w:szCs w:val="22"/>
              </w:rPr>
              <w:t>24</w:t>
            </w:r>
          </w:p>
        </w:tc>
        <w:tc>
          <w:tcPr>
            <w:tcW w:w="964" w:type="dxa"/>
            <w:shd w:val="clear" w:color="auto" w:fill="auto"/>
            <w:tcMar>
              <w:top w:w="90" w:type="dxa"/>
              <w:left w:w="90" w:type="dxa"/>
              <w:bottom w:w="90" w:type="dxa"/>
              <w:right w:w="90" w:type="dxa"/>
            </w:tcMar>
          </w:tcPr>
          <w:p w:rsidRPr="00FA566C" w:rsidR="00FA566C" w:rsidP="00D50299" w:rsidRDefault="00FA566C" w14:paraId="28D3A8A6" w14:textId="77777777">
            <w:pPr>
              <w:jc w:val="right"/>
              <w:rPr>
                <w:sz w:val="22"/>
                <w:szCs w:val="22"/>
              </w:rPr>
            </w:pPr>
            <w:r w:rsidRPr="00FA566C">
              <w:rPr>
                <w:sz w:val="22"/>
                <w:szCs w:val="22"/>
              </w:rPr>
              <w:t>240</w:t>
            </w:r>
          </w:p>
        </w:tc>
      </w:tr>
      <w:tr w:rsidRPr="00FA566C" w:rsidR="00353B68" w:rsidTr="0070391C" w14:paraId="7CF0264A" w14:textId="77777777">
        <w:trPr>
          <w:cantSplit/>
        </w:trPr>
        <w:tc>
          <w:tcPr>
            <w:tcW w:w="2872" w:type="dxa"/>
            <w:shd w:val="clear" w:color="auto" w:fill="auto"/>
            <w:tcMar>
              <w:top w:w="90" w:type="dxa"/>
              <w:left w:w="90" w:type="dxa"/>
              <w:bottom w:w="90" w:type="dxa"/>
              <w:right w:w="90" w:type="dxa"/>
            </w:tcMar>
            <w:hideMark/>
          </w:tcPr>
          <w:p w:rsidRPr="00FA566C" w:rsidR="00FA566C" w:rsidP="00FA566C" w:rsidRDefault="00FA566C" w14:paraId="35613340" w14:textId="77777777">
            <w:pPr>
              <w:rPr>
                <w:sz w:val="22"/>
                <w:szCs w:val="22"/>
              </w:rPr>
            </w:pPr>
            <w:r w:rsidRPr="00FA566C">
              <w:rPr>
                <w:sz w:val="22"/>
                <w:szCs w:val="22"/>
              </w:rPr>
              <w:t>Appeal Requests</w:t>
            </w:r>
          </w:p>
        </w:tc>
        <w:tc>
          <w:tcPr>
            <w:tcW w:w="1350" w:type="dxa"/>
            <w:shd w:val="clear" w:color="auto" w:fill="auto"/>
            <w:tcMar>
              <w:top w:w="90" w:type="dxa"/>
              <w:left w:w="90" w:type="dxa"/>
              <w:bottom w:w="90" w:type="dxa"/>
              <w:right w:w="90" w:type="dxa"/>
            </w:tcMar>
          </w:tcPr>
          <w:p w:rsidRPr="00FA566C" w:rsidR="00FA566C" w:rsidP="00D50299" w:rsidRDefault="00FA566C" w14:paraId="6CF7F5C4" w14:textId="77777777">
            <w:pPr>
              <w:jc w:val="right"/>
              <w:rPr>
                <w:sz w:val="22"/>
                <w:szCs w:val="22"/>
              </w:rPr>
            </w:pPr>
            <w:r w:rsidRPr="00FA566C">
              <w:rPr>
                <w:sz w:val="22"/>
                <w:szCs w:val="22"/>
              </w:rPr>
              <w:t>1</w:t>
            </w:r>
          </w:p>
        </w:tc>
        <w:tc>
          <w:tcPr>
            <w:tcW w:w="1440" w:type="dxa"/>
            <w:shd w:val="clear" w:color="auto" w:fill="auto"/>
            <w:tcMar>
              <w:top w:w="90" w:type="dxa"/>
              <w:left w:w="90" w:type="dxa"/>
              <w:bottom w:w="90" w:type="dxa"/>
              <w:right w:w="90" w:type="dxa"/>
            </w:tcMar>
          </w:tcPr>
          <w:p w:rsidRPr="00FA566C" w:rsidR="00FA566C" w:rsidP="00D50299" w:rsidRDefault="00FA566C" w14:paraId="7F9C4008" w14:textId="77777777">
            <w:pPr>
              <w:jc w:val="right"/>
              <w:rPr>
                <w:sz w:val="22"/>
                <w:szCs w:val="22"/>
              </w:rPr>
            </w:pPr>
            <w:r w:rsidRPr="00FA566C">
              <w:rPr>
                <w:sz w:val="22"/>
                <w:szCs w:val="22"/>
              </w:rPr>
              <w:t>1</w:t>
            </w:r>
          </w:p>
        </w:tc>
        <w:tc>
          <w:tcPr>
            <w:tcW w:w="1260" w:type="dxa"/>
            <w:shd w:val="clear" w:color="auto" w:fill="auto"/>
            <w:tcMar>
              <w:top w:w="90" w:type="dxa"/>
              <w:left w:w="90" w:type="dxa"/>
              <w:bottom w:w="90" w:type="dxa"/>
              <w:right w:w="90" w:type="dxa"/>
            </w:tcMar>
          </w:tcPr>
          <w:p w:rsidRPr="00FA566C" w:rsidR="00FA566C" w:rsidP="00D50299" w:rsidRDefault="00FA566C" w14:paraId="28517F66" w14:textId="77777777">
            <w:pPr>
              <w:jc w:val="right"/>
              <w:rPr>
                <w:sz w:val="22"/>
                <w:szCs w:val="22"/>
              </w:rPr>
            </w:pPr>
            <w:r w:rsidRPr="00FA566C">
              <w:rPr>
                <w:sz w:val="22"/>
                <w:szCs w:val="22"/>
              </w:rPr>
              <w:t>1</w:t>
            </w:r>
          </w:p>
        </w:tc>
        <w:tc>
          <w:tcPr>
            <w:tcW w:w="1170" w:type="dxa"/>
            <w:shd w:val="clear" w:color="auto" w:fill="auto"/>
            <w:tcMar>
              <w:top w:w="90" w:type="dxa"/>
              <w:left w:w="90" w:type="dxa"/>
              <w:bottom w:w="90" w:type="dxa"/>
              <w:right w:w="90" w:type="dxa"/>
            </w:tcMar>
            <w:hideMark/>
          </w:tcPr>
          <w:p w:rsidRPr="00FA566C" w:rsidR="00FA566C" w:rsidP="00D50299" w:rsidRDefault="00FA566C" w14:paraId="599135B5" w14:textId="77777777">
            <w:pPr>
              <w:jc w:val="right"/>
              <w:rPr>
                <w:sz w:val="22"/>
                <w:szCs w:val="22"/>
              </w:rPr>
            </w:pPr>
            <w:r w:rsidRPr="00FA566C">
              <w:rPr>
                <w:sz w:val="22"/>
                <w:szCs w:val="22"/>
              </w:rPr>
              <w:t>12</w:t>
            </w:r>
          </w:p>
        </w:tc>
        <w:tc>
          <w:tcPr>
            <w:tcW w:w="964" w:type="dxa"/>
            <w:shd w:val="clear" w:color="auto" w:fill="auto"/>
            <w:tcMar>
              <w:top w:w="90" w:type="dxa"/>
              <w:left w:w="90" w:type="dxa"/>
              <w:bottom w:w="90" w:type="dxa"/>
              <w:right w:w="90" w:type="dxa"/>
            </w:tcMar>
          </w:tcPr>
          <w:p w:rsidRPr="00FA566C" w:rsidR="00FA566C" w:rsidP="00D50299" w:rsidRDefault="00FA566C" w14:paraId="32C64FCC" w14:textId="77777777">
            <w:pPr>
              <w:jc w:val="right"/>
              <w:rPr>
                <w:sz w:val="22"/>
                <w:szCs w:val="22"/>
              </w:rPr>
            </w:pPr>
            <w:r w:rsidRPr="00FA566C">
              <w:rPr>
                <w:sz w:val="22"/>
                <w:szCs w:val="22"/>
              </w:rPr>
              <w:t>12</w:t>
            </w:r>
          </w:p>
        </w:tc>
      </w:tr>
      <w:tr w:rsidRPr="00FA566C" w:rsidR="00353B68" w:rsidTr="0070391C" w14:paraId="1E363B70" w14:textId="77777777">
        <w:trPr>
          <w:cantSplit/>
        </w:trPr>
        <w:tc>
          <w:tcPr>
            <w:tcW w:w="2872" w:type="dxa"/>
            <w:shd w:val="clear" w:color="auto" w:fill="auto"/>
            <w:tcMar>
              <w:top w:w="90" w:type="dxa"/>
              <w:left w:w="90" w:type="dxa"/>
              <w:bottom w:w="90" w:type="dxa"/>
              <w:right w:w="90" w:type="dxa"/>
            </w:tcMar>
          </w:tcPr>
          <w:p w:rsidRPr="00FA566C" w:rsidR="00FA566C" w:rsidP="00FA566C" w:rsidRDefault="00FA566C" w14:paraId="23F9D547" w14:textId="77777777">
            <w:pPr>
              <w:rPr>
                <w:sz w:val="22"/>
                <w:szCs w:val="22"/>
              </w:rPr>
            </w:pPr>
            <w:r w:rsidRPr="00FA566C">
              <w:rPr>
                <w:sz w:val="22"/>
                <w:szCs w:val="22"/>
              </w:rPr>
              <w:t>User Fee Cover Sheet Form FDA 3397</w:t>
            </w:r>
          </w:p>
        </w:tc>
        <w:tc>
          <w:tcPr>
            <w:tcW w:w="1350" w:type="dxa"/>
            <w:shd w:val="clear" w:color="auto" w:fill="auto"/>
            <w:tcMar>
              <w:top w:w="90" w:type="dxa"/>
              <w:left w:w="90" w:type="dxa"/>
              <w:bottom w:w="90" w:type="dxa"/>
              <w:right w:w="90" w:type="dxa"/>
            </w:tcMar>
          </w:tcPr>
          <w:p w:rsidRPr="00FA566C" w:rsidR="00FA566C" w:rsidP="00D50299" w:rsidRDefault="00FA566C" w14:paraId="4277C9F4" w14:textId="77777777">
            <w:pPr>
              <w:jc w:val="right"/>
              <w:rPr>
                <w:sz w:val="22"/>
                <w:szCs w:val="22"/>
              </w:rPr>
            </w:pPr>
            <w:r w:rsidRPr="00FA566C">
              <w:rPr>
                <w:sz w:val="22"/>
                <w:szCs w:val="22"/>
              </w:rPr>
              <w:t>174</w:t>
            </w:r>
          </w:p>
        </w:tc>
        <w:tc>
          <w:tcPr>
            <w:tcW w:w="1440" w:type="dxa"/>
            <w:shd w:val="clear" w:color="auto" w:fill="auto"/>
            <w:tcMar>
              <w:top w:w="90" w:type="dxa"/>
              <w:left w:w="90" w:type="dxa"/>
              <w:bottom w:w="90" w:type="dxa"/>
              <w:right w:w="90" w:type="dxa"/>
            </w:tcMar>
          </w:tcPr>
          <w:p w:rsidRPr="00FA566C" w:rsidR="00FA566C" w:rsidP="00D50299" w:rsidRDefault="00FA566C" w14:paraId="088B6239" w14:textId="77777777">
            <w:pPr>
              <w:jc w:val="right"/>
              <w:rPr>
                <w:sz w:val="22"/>
                <w:szCs w:val="22"/>
              </w:rPr>
            </w:pPr>
            <w:r w:rsidRPr="00FA566C">
              <w:rPr>
                <w:sz w:val="22"/>
                <w:szCs w:val="22"/>
              </w:rPr>
              <w:t>1</w:t>
            </w:r>
          </w:p>
        </w:tc>
        <w:tc>
          <w:tcPr>
            <w:tcW w:w="1260" w:type="dxa"/>
            <w:shd w:val="clear" w:color="auto" w:fill="auto"/>
            <w:tcMar>
              <w:top w:w="90" w:type="dxa"/>
              <w:left w:w="90" w:type="dxa"/>
              <w:bottom w:w="90" w:type="dxa"/>
              <w:right w:w="90" w:type="dxa"/>
            </w:tcMar>
          </w:tcPr>
          <w:p w:rsidRPr="00FA566C" w:rsidR="00FA566C" w:rsidP="00D50299" w:rsidRDefault="00FA566C" w14:paraId="6643CA3E" w14:textId="77777777">
            <w:pPr>
              <w:jc w:val="right"/>
              <w:rPr>
                <w:sz w:val="22"/>
                <w:szCs w:val="22"/>
              </w:rPr>
            </w:pPr>
            <w:r w:rsidRPr="00FA566C">
              <w:rPr>
                <w:sz w:val="22"/>
                <w:szCs w:val="22"/>
              </w:rPr>
              <w:t>174</w:t>
            </w:r>
          </w:p>
        </w:tc>
        <w:tc>
          <w:tcPr>
            <w:tcW w:w="1170" w:type="dxa"/>
            <w:shd w:val="clear" w:color="auto" w:fill="auto"/>
            <w:tcMar>
              <w:top w:w="90" w:type="dxa"/>
              <w:left w:w="90" w:type="dxa"/>
              <w:bottom w:w="90" w:type="dxa"/>
              <w:right w:w="90" w:type="dxa"/>
            </w:tcMar>
          </w:tcPr>
          <w:p w:rsidRPr="00FA566C" w:rsidR="00FA566C" w:rsidP="00D50299" w:rsidRDefault="00FA566C" w14:paraId="51B2ACCD" w14:textId="77777777">
            <w:pPr>
              <w:jc w:val="right"/>
              <w:rPr>
                <w:sz w:val="22"/>
                <w:szCs w:val="22"/>
              </w:rPr>
            </w:pPr>
            <w:r w:rsidRPr="00FA566C">
              <w:rPr>
                <w:sz w:val="22"/>
                <w:szCs w:val="22"/>
              </w:rPr>
              <w:t xml:space="preserve">0.5 </w:t>
            </w:r>
          </w:p>
          <w:p w:rsidRPr="00FA566C" w:rsidR="00FA566C" w:rsidP="00D50299" w:rsidRDefault="00FA566C" w14:paraId="4E9C0D1D" w14:textId="54AA18A2">
            <w:pPr>
              <w:jc w:val="right"/>
              <w:rPr>
                <w:sz w:val="22"/>
                <w:szCs w:val="22"/>
              </w:rPr>
            </w:pPr>
            <w:r w:rsidRPr="00FA566C">
              <w:rPr>
                <w:sz w:val="22"/>
                <w:szCs w:val="22"/>
              </w:rPr>
              <w:t>(30 mins</w:t>
            </w:r>
            <w:r w:rsidR="001F78A1">
              <w:rPr>
                <w:sz w:val="22"/>
                <w:szCs w:val="22"/>
              </w:rPr>
              <w:t>.</w:t>
            </w:r>
            <w:r w:rsidRPr="00FA566C">
              <w:rPr>
                <w:sz w:val="22"/>
                <w:szCs w:val="22"/>
              </w:rPr>
              <w:t>)</w:t>
            </w:r>
          </w:p>
        </w:tc>
        <w:tc>
          <w:tcPr>
            <w:tcW w:w="964" w:type="dxa"/>
            <w:shd w:val="clear" w:color="auto" w:fill="auto"/>
            <w:tcMar>
              <w:top w:w="90" w:type="dxa"/>
              <w:left w:w="90" w:type="dxa"/>
              <w:bottom w:w="90" w:type="dxa"/>
              <w:right w:w="90" w:type="dxa"/>
            </w:tcMar>
          </w:tcPr>
          <w:p w:rsidRPr="00FA566C" w:rsidR="00FA566C" w:rsidP="00D50299" w:rsidRDefault="00FA566C" w14:paraId="53AFE6CD" w14:textId="77777777">
            <w:pPr>
              <w:jc w:val="right"/>
              <w:rPr>
                <w:sz w:val="22"/>
                <w:szCs w:val="22"/>
              </w:rPr>
            </w:pPr>
            <w:r w:rsidRPr="00FA566C">
              <w:rPr>
                <w:sz w:val="22"/>
                <w:szCs w:val="22"/>
              </w:rPr>
              <w:t>87</w:t>
            </w:r>
          </w:p>
        </w:tc>
      </w:tr>
      <w:tr w:rsidRPr="00FA566C" w:rsidR="00353B68" w:rsidTr="0070391C" w14:paraId="24840A22" w14:textId="77777777">
        <w:trPr>
          <w:cantSplit/>
        </w:trPr>
        <w:tc>
          <w:tcPr>
            <w:tcW w:w="2872" w:type="dxa"/>
            <w:shd w:val="clear" w:color="auto" w:fill="auto"/>
            <w:tcMar>
              <w:top w:w="90" w:type="dxa"/>
              <w:left w:w="1200" w:type="dxa"/>
              <w:bottom w:w="90" w:type="dxa"/>
              <w:right w:w="90" w:type="dxa"/>
            </w:tcMar>
          </w:tcPr>
          <w:p w:rsidRPr="00FA566C" w:rsidR="00FA566C" w:rsidP="00FA566C" w:rsidRDefault="00FA566C" w14:paraId="2192FFEC" w14:textId="77777777">
            <w:pPr>
              <w:ind w:hanging="1110"/>
              <w:rPr>
                <w:sz w:val="22"/>
                <w:szCs w:val="22"/>
              </w:rPr>
            </w:pPr>
            <w:r w:rsidRPr="00FA566C">
              <w:rPr>
                <w:sz w:val="22"/>
                <w:szCs w:val="22"/>
              </w:rPr>
              <w:t>Total</w:t>
            </w:r>
          </w:p>
        </w:tc>
        <w:tc>
          <w:tcPr>
            <w:tcW w:w="1350" w:type="dxa"/>
            <w:shd w:val="clear" w:color="auto" w:fill="auto"/>
            <w:tcMar>
              <w:top w:w="90" w:type="dxa"/>
              <w:left w:w="90" w:type="dxa"/>
              <w:bottom w:w="90" w:type="dxa"/>
              <w:right w:w="90" w:type="dxa"/>
            </w:tcMar>
          </w:tcPr>
          <w:p w:rsidRPr="00FA566C" w:rsidR="00FA566C" w:rsidP="00D50299" w:rsidRDefault="00FA566C" w14:paraId="1F70B81C" w14:textId="77777777">
            <w:pPr>
              <w:jc w:val="right"/>
              <w:rPr>
                <w:sz w:val="22"/>
                <w:szCs w:val="22"/>
              </w:rPr>
            </w:pPr>
          </w:p>
        </w:tc>
        <w:tc>
          <w:tcPr>
            <w:tcW w:w="1440" w:type="dxa"/>
            <w:shd w:val="clear" w:color="auto" w:fill="auto"/>
            <w:tcMar>
              <w:top w:w="90" w:type="dxa"/>
              <w:left w:w="90" w:type="dxa"/>
              <w:bottom w:w="90" w:type="dxa"/>
              <w:right w:w="90" w:type="dxa"/>
            </w:tcMar>
          </w:tcPr>
          <w:p w:rsidRPr="00FA566C" w:rsidR="00FA566C" w:rsidP="00D50299" w:rsidRDefault="00FA566C" w14:paraId="4253C690" w14:textId="77777777">
            <w:pPr>
              <w:jc w:val="right"/>
              <w:rPr>
                <w:sz w:val="22"/>
                <w:szCs w:val="22"/>
              </w:rPr>
            </w:pPr>
          </w:p>
        </w:tc>
        <w:tc>
          <w:tcPr>
            <w:tcW w:w="1260" w:type="dxa"/>
            <w:shd w:val="clear" w:color="auto" w:fill="auto"/>
            <w:tcMar>
              <w:top w:w="90" w:type="dxa"/>
              <w:left w:w="90" w:type="dxa"/>
              <w:bottom w:w="90" w:type="dxa"/>
              <w:right w:w="90" w:type="dxa"/>
            </w:tcMar>
          </w:tcPr>
          <w:p w:rsidRPr="00FA566C" w:rsidR="00FA566C" w:rsidP="00D50299" w:rsidRDefault="00FA566C" w14:paraId="22F56B97" w14:textId="77777777">
            <w:pPr>
              <w:jc w:val="right"/>
              <w:rPr>
                <w:sz w:val="22"/>
                <w:szCs w:val="22"/>
              </w:rPr>
            </w:pPr>
            <w:r w:rsidRPr="00FA566C">
              <w:rPr>
                <w:sz w:val="22"/>
                <w:szCs w:val="22"/>
              </w:rPr>
              <w:t>411</w:t>
            </w:r>
          </w:p>
        </w:tc>
        <w:tc>
          <w:tcPr>
            <w:tcW w:w="1170" w:type="dxa"/>
            <w:shd w:val="clear" w:color="auto" w:fill="auto"/>
            <w:tcMar>
              <w:top w:w="90" w:type="dxa"/>
              <w:left w:w="90" w:type="dxa"/>
              <w:bottom w:w="90" w:type="dxa"/>
              <w:right w:w="90" w:type="dxa"/>
            </w:tcMar>
          </w:tcPr>
          <w:p w:rsidRPr="00FA566C" w:rsidR="00FA566C" w:rsidP="00D50299" w:rsidRDefault="00FA566C" w14:paraId="3C2D3B33" w14:textId="77777777">
            <w:pPr>
              <w:jc w:val="right"/>
              <w:rPr>
                <w:sz w:val="22"/>
                <w:szCs w:val="22"/>
              </w:rPr>
            </w:pPr>
          </w:p>
        </w:tc>
        <w:tc>
          <w:tcPr>
            <w:tcW w:w="964" w:type="dxa"/>
            <w:shd w:val="clear" w:color="auto" w:fill="auto"/>
            <w:tcMar>
              <w:top w:w="90" w:type="dxa"/>
              <w:left w:w="90" w:type="dxa"/>
              <w:bottom w:w="90" w:type="dxa"/>
              <w:right w:w="90" w:type="dxa"/>
            </w:tcMar>
          </w:tcPr>
          <w:p w:rsidRPr="00FA566C" w:rsidR="00FA566C" w:rsidP="00D50299" w:rsidRDefault="00FA566C" w14:paraId="2E44E7F9" w14:textId="77777777">
            <w:pPr>
              <w:jc w:val="right"/>
              <w:rPr>
                <w:sz w:val="22"/>
                <w:szCs w:val="22"/>
              </w:rPr>
            </w:pPr>
            <w:r w:rsidRPr="00FA566C">
              <w:rPr>
                <w:sz w:val="22"/>
                <w:szCs w:val="22"/>
              </w:rPr>
              <w:t>3626</w:t>
            </w:r>
          </w:p>
        </w:tc>
      </w:tr>
    </w:tbl>
    <w:bookmarkEnd w:id="2"/>
    <w:p w:rsidRPr="00FA566C" w:rsidR="00FA566C" w:rsidP="00FA566C" w:rsidRDefault="00FA566C" w14:paraId="7885898C" w14:textId="77777777">
      <w:pPr>
        <w:rPr>
          <w:sz w:val="20"/>
        </w:rPr>
      </w:pPr>
      <w:r w:rsidRPr="00FA566C">
        <w:rPr>
          <w:sz w:val="20"/>
          <w:vertAlign w:val="superscript"/>
        </w:rPr>
        <w:t>1</w:t>
      </w:r>
      <w:r w:rsidRPr="00FA566C">
        <w:rPr>
          <w:sz w:val="20"/>
        </w:rPr>
        <w:t> There are no capital costs or operating and maintenance costs associated with this collection of information.</w:t>
      </w:r>
    </w:p>
    <w:p w:rsidR="00D50299" w:rsidP="00FA566C" w:rsidRDefault="00D50299" w14:paraId="4FEFE0C5" w14:textId="77777777"/>
    <w:p w:rsidRPr="00FA566C" w:rsidR="00FA566C" w:rsidP="00FA566C" w:rsidRDefault="00FA566C" w14:paraId="35FABFD6" w14:textId="3E353742">
      <w:r w:rsidRPr="00FA566C">
        <w:t xml:space="preserve">Based on a review of </w:t>
      </w:r>
      <w:r w:rsidR="00D50299">
        <w:t>a</w:t>
      </w:r>
      <w:r w:rsidRPr="00FA566C">
        <w:t>gency records, we estimate that the number of initial waiver requests submitted annually (excluding small business waiver requests under section 736(d)(1)(C)) of the FD&amp;C Act) will be 189, submitted by 112 different applicants; and that 37 respondents annually will each submit a small business waiver request.  We have included in the burden estimate the time for preparation and submission of application fee waivers for small businesses, including completion of Form FDA 3971.  Small businesses requesting a waiver must submit documentation to FDA, including the number of their employees, as well as information that the application is the first human drug application, within the meaning of the FD&amp;C Act, to be submitted to the Agency for approval.</w:t>
      </w:r>
    </w:p>
    <w:p w:rsidR="00D50299" w:rsidP="00FA566C" w:rsidRDefault="00D50299" w14:paraId="7AB5348E" w14:textId="77777777"/>
    <w:p w:rsidRPr="00FA566C" w:rsidR="00FA566C" w:rsidP="00FA566C" w:rsidRDefault="00FA566C" w14:paraId="6F9E57DF" w14:textId="1A95AA5B">
      <w:r w:rsidRPr="00FA566C">
        <w:t xml:space="preserve">We estimate receiving 10 requests for reconsideration annually (including small business waiver reconsiderations) and assume the average burden for preparing and submitting each request is 24 hours.  In addition, we estimate receiving 1 request annually for appeal of user fee waiver determination, and assume the time needed to prepare an appeal is 12 hours.  We have included in this estimate both the time needed to prepare the request for appeal to the Chief Scientist and User Fee Appeals Officer within the Office of the Commissioner, and the time needed to create and send a copy of the request for an appeal to the Director Division of User Fee Management within the Office of Management at FDA’s Center for Drug Evaluation and Research. </w:t>
      </w:r>
    </w:p>
    <w:p w:rsidR="00D50299" w:rsidP="00FA566C" w:rsidRDefault="00D50299" w14:paraId="7737A88C" w14:textId="77777777"/>
    <w:p w:rsidRPr="00FA566C" w:rsidR="00FA566C" w:rsidP="00FA566C" w:rsidRDefault="00FA566C" w14:paraId="289DEBC4" w14:textId="14AE2114">
      <w:r w:rsidRPr="00FA566C">
        <w:t>We assume 87 hours of burden for completing and submitting Form FDA 3397 (Prescription Drug User Fee Coversheet) for submission of a new drug application or biologics license application.</w:t>
      </w:r>
    </w:p>
    <w:p w:rsidR="005F1F93" w:rsidRDefault="005F1F93" w14:paraId="61D700C3" w14:textId="3B79116E"/>
    <w:p w:rsidRPr="005A67CA" w:rsidR="00867086" w:rsidP="00C432A1" w:rsidRDefault="00C432A1" w14:paraId="104523C4" w14:textId="69F6F817">
      <w:pPr>
        <w:tabs>
          <w:tab w:val="left" w:pos="360"/>
          <w:tab w:val="left" w:pos="450"/>
          <w:tab w:val="left" w:pos="540"/>
        </w:tabs>
        <w:rPr>
          <w:i/>
        </w:rPr>
      </w:pPr>
      <w:r>
        <w:t xml:space="preserve">        </w:t>
      </w:r>
      <w:r w:rsidRPr="005A67CA">
        <w:rPr>
          <w:i/>
        </w:rPr>
        <w:t>1</w:t>
      </w:r>
      <w:r w:rsidR="005A67CA">
        <w:rPr>
          <w:i/>
        </w:rPr>
        <w:t>2</w:t>
      </w:r>
      <w:r w:rsidRPr="005A67CA" w:rsidR="00867086">
        <w:rPr>
          <w:i/>
        </w:rPr>
        <w:t>b.</w:t>
      </w:r>
      <w:r w:rsidRPr="005A67CA" w:rsidR="005354A6">
        <w:rPr>
          <w:i/>
        </w:rPr>
        <w:t xml:space="preserve"> </w:t>
      </w:r>
      <w:r w:rsidR="005A67CA">
        <w:rPr>
          <w:i/>
        </w:rPr>
        <w:t>Annualized Cost Burden Estimate</w:t>
      </w:r>
    </w:p>
    <w:p w:rsidR="00221D10" w:rsidRDefault="00221D10" w14:paraId="4779D165" w14:textId="77777777"/>
    <w:p w:rsidRPr="00EB7C74" w:rsidR="00221D10" w:rsidP="00EB7C74" w:rsidRDefault="00993546" w14:paraId="173C60E3" w14:textId="6F7DA5FF">
      <w:pPr>
        <w:pStyle w:val="Heading1"/>
        <w:rPr>
          <w:u w:val="none"/>
        </w:rPr>
      </w:pPr>
      <w:r>
        <w:rPr>
          <w:u w:val="none"/>
        </w:rPr>
        <w:t xml:space="preserve">Table 2. – Estimated </w:t>
      </w:r>
      <w:r w:rsidRPr="00EB7C74" w:rsidR="00221D10">
        <w:rPr>
          <w:u w:val="none"/>
        </w:rPr>
        <w:t>Cost to Respondents</w:t>
      </w:r>
    </w:p>
    <w:tbl>
      <w:tblPr>
        <w:tblW w:w="0" w:type="auto"/>
        <w:tblInd w:w="100" w:type="dxa"/>
        <w:tblLayout w:type="fixed"/>
        <w:tblCellMar>
          <w:left w:w="100" w:type="dxa"/>
          <w:right w:w="100" w:type="dxa"/>
        </w:tblCellMar>
        <w:tblLook w:val="0000" w:firstRow="0" w:lastRow="0" w:firstColumn="0" w:lastColumn="0" w:noHBand="0" w:noVBand="0"/>
      </w:tblPr>
      <w:tblGrid>
        <w:gridCol w:w="2340"/>
        <w:gridCol w:w="2340"/>
        <w:gridCol w:w="2340"/>
        <w:gridCol w:w="2340"/>
      </w:tblGrid>
      <w:tr w:rsidR="00221D10" w14:paraId="241E5854" w14:textId="77777777">
        <w:trPr>
          <w:cantSplit/>
          <w:trHeight w:val="403"/>
        </w:trPr>
        <w:tc>
          <w:tcPr>
            <w:tcW w:w="2340" w:type="dxa"/>
            <w:tcBorders>
              <w:top w:val="single" w:color="auto" w:sz="6" w:space="0"/>
              <w:left w:val="single" w:color="auto" w:sz="6" w:space="0"/>
              <w:bottom w:val="double" w:color="auto" w:sz="4" w:space="0"/>
            </w:tcBorders>
          </w:tcPr>
          <w:p w:rsidRPr="00993546" w:rsidR="00221D10" w:rsidRDefault="00221D10" w14:paraId="025D9EC3" w14:textId="77777777">
            <w:pPr>
              <w:jc w:val="center"/>
              <w:rPr>
                <w:sz w:val="23"/>
                <w:szCs w:val="23"/>
              </w:rPr>
            </w:pPr>
            <w:r w:rsidRPr="00993546">
              <w:rPr>
                <w:sz w:val="23"/>
                <w:szCs w:val="23"/>
              </w:rPr>
              <w:br w:type="page"/>
              <w:t>Activity</w:t>
            </w:r>
          </w:p>
        </w:tc>
        <w:tc>
          <w:tcPr>
            <w:tcW w:w="2340" w:type="dxa"/>
            <w:tcBorders>
              <w:top w:val="single" w:color="auto" w:sz="6" w:space="0"/>
              <w:left w:val="single" w:color="auto" w:sz="6" w:space="0"/>
              <w:bottom w:val="double" w:color="auto" w:sz="4" w:space="0"/>
            </w:tcBorders>
          </w:tcPr>
          <w:p w:rsidRPr="00993546" w:rsidR="00221D10" w:rsidP="00905CEA" w:rsidRDefault="00905CEA" w14:paraId="5CA05E74" w14:textId="77777777">
            <w:pPr>
              <w:jc w:val="center"/>
              <w:rPr>
                <w:sz w:val="23"/>
                <w:szCs w:val="23"/>
              </w:rPr>
            </w:pPr>
            <w:r w:rsidRPr="00993546">
              <w:rPr>
                <w:sz w:val="23"/>
                <w:szCs w:val="23"/>
              </w:rPr>
              <w:t xml:space="preserve">Total Burden </w:t>
            </w:r>
            <w:r w:rsidRPr="00993546" w:rsidR="00221D10">
              <w:rPr>
                <w:sz w:val="23"/>
                <w:szCs w:val="23"/>
              </w:rPr>
              <w:t xml:space="preserve"> Hours</w:t>
            </w:r>
          </w:p>
        </w:tc>
        <w:tc>
          <w:tcPr>
            <w:tcW w:w="2340" w:type="dxa"/>
            <w:tcBorders>
              <w:top w:val="single" w:color="auto" w:sz="6" w:space="0"/>
              <w:left w:val="single" w:color="auto" w:sz="6" w:space="0"/>
              <w:bottom w:val="double" w:color="auto" w:sz="4" w:space="0"/>
            </w:tcBorders>
          </w:tcPr>
          <w:p w:rsidRPr="00993546" w:rsidR="00221D10" w:rsidP="00905CEA" w:rsidRDefault="00905CEA" w14:paraId="0F546A27" w14:textId="77777777">
            <w:pPr>
              <w:jc w:val="center"/>
              <w:rPr>
                <w:sz w:val="23"/>
                <w:szCs w:val="23"/>
              </w:rPr>
            </w:pPr>
            <w:r w:rsidRPr="00993546">
              <w:rPr>
                <w:sz w:val="23"/>
                <w:szCs w:val="23"/>
              </w:rPr>
              <w:t xml:space="preserve">Hourly Wage </w:t>
            </w:r>
            <w:r w:rsidRPr="00993546" w:rsidR="00221D10">
              <w:rPr>
                <w:sz w:val="23"/>
                <w:szCs w:val="23"/>
              </w:rPr>
              <w:t xml:space="preserve"> </w:t>
            </w:r>
            <w:r w:rsidRPr="00993546">
              <w:rPr>
                <w:sz w:val="23"/>
                <w:szCs w:val="23"/>
              </w:rPr>
              <w:t>Rate</w:t>
            </w:r>
          </w:p>
        </w:tc>
        <w:tc>
          <w:tcPr>
            <w:tcW w:w="2340" w:type="dxa"/>
            <w:tcBorders>
              <w:top w:val="single" w:color="auto" w:sz="6" w:space="0"/>
              <w:left w:val="single" w:color="auto" w:sz="6" w:space="0"/>
              <w:bottom w:val="double" w:color="auto" w:sz="4" w:space="0"/>
              <w:right w:val="single" w:color="auto" w:sz="6" w:space="0"/>
            </w:tcBorders>
          </w:tcPr>
          <w:p w:rsidRPr="00993546" w:rsidR="00221D10" w:rsidRDefault="00221D10" w14:paraId="347914C3" w14:textId="77777777">
            <w:pPr>
              <w:jc w:val="center"/>
              <w:rPr>
                <w:sz w:val="23"/>
                <w:szCs w:val="23"/>
              </w:rPr>
            </w:pPr>
            <w:r w:rsidRPr="00993546">
              <w:rPr>
                <w:sz w:val="23"/>
                <w:szCs w:val="23"/>
              </w:rPr>
              <w:t xml:space="preserve">Total </w:t>
            </w:r>
            <w:r w:rsidRPr="00993546" w:rsidR="00905CEA">
              <w:rPr>
                <w:sz w:val="23"/>
                <w:szCs w:val="23"/>
              </w:rPr>
              <w:t xml:space="preserve">Respondent </w:t>
            </w:r>
            <w:r w:rsidRPr="00993546">
              <w:rPr>
                <w:sz w:val="23"/>
                <w:szCs w:val="23"/>
              </w:rPr>
              <w:t>Cost</w:t>
            </w:r>
          </w:p>
        </w:tc>
      </w:tr>
      <w:tr w:rsidR="00221D10" w14:paraId="6627BC08" w14:textId="77777777">
        <w:trPr>
          <w:cantSplit/>
          <w:trHeight w:val="403"/>
        </w:trPr>
        <w:tc>
          <w:tcPr>
            <w:tcW w:w="2340" w:type="dxa"/>
            <w:tcBorders>
              <w:left w:val="single" w:color="auto" w:sz="4" w:space="0"/>
              <w:bottom w:val="single" w:color="auto" w:sz="4" w:space="0"/>
              <w:right w:val="single" w:color="auto" w:sz="4" w:space="0"/>
            </w:tcBorders>
          </w:tcPr>
          <w:p w:rsidRPr="00993546" w:rsidR="00221D10" w:rsidRDefault="00221D10" w14:paraId="3B2F600A" w14:textId="77777777">
            <w:pPr>
              <w:jc w:val="center"/>
              <w:rPr>
                <w:sz w:val="23"/>
                <w:szCs w:val="23"/>
              </w:rPr>
            </w:pPr>
            <w:r w:rsidRPr="00993546">
              <w:rPr>
                <w:sz w:val="23"/>
                <w:szCs w:val="23"/>
              </w:rPr>
              <w:t>Reporting</w:t>
            </w:r>
          </w:p>
        </w:tc>
        <w:tc>
          <w:tcPr>
            <w:tcW w:w="2340" w:type="dxa"/>
            <w:tcBorders>
              <w:left w:val="single" w:color="auto" w:sz="4" w:space="0"/>
              <w:bottom w:val="single" w:color="auto" w:sz="4" w:space="0"/>
              <w:right w:val="single" w:color="auto" w:sz="4" w:space="0"/>
            </w:tcBorders>
          </w:tcPr>
          <w:p w:rsidRPr="00993546" w:rsidR="00221D10" w:rsidRDefault="00D50299" w14:paraId="23842B16" w14:textId="663D65D2">
            <w:pPr>
              <w:jc w:val="center"/>
              <w:rPr>
                <w:sz w:val="23"/>
                <w:szCs w:val="23"/>
              </w:rPr>
            </w:pPr>
            <w:r>
              <w:rPr>
                <w:sz w:val="23"/>
                <w:szCs w:val="23"/>
              </w:rPr>
              <w:t>87</w:t>
            </w:r>
          </w:p>
        </w:tc>
        <w:tc>
          <w:tcPr>
            <w:tcW w:w="2340" w:type="dxa"/>
            <w:tcBorders>
              <w:left w:val="single" w:color="auto" w:sz="4" w:space="0"/>
              <w:bottom w:val="single" w:color="auto" w:sz="4" w:space="0"/>
              <w:right w:val="single" w:color="auto" w:sz="4" w:space="0"/>
            </w:tcBorders>
          </w:tcPr>
          <w:p w:rsidRPr="00993546" w:rsidR="00221D10" w:rsidRDefault="00C9587A" w14:paraId="2075C176" w14:textId="77777777">
            <w:pPr>
              <w:jc w:val="center"/>
              <w:rPr>
                <w:sz w:val="23"/>
                <w:szCs w:val="23"/>
              </w:rPr>
            </w:pPr>
            <w:r w:rsidRPr="00993546">
              <w:rPr>
                <w:sz w:val="23"/>
                <w:szCs w:val="23"/>
              </w:rPr>
              <w:t>$</w:t>
            </w:r>
            <w:r w:rsidRPr="00993546" w:rsidR="004D6A42">
              <w:rPr>
                <w:sz w:val="23"/>
                <w:szCs w:val="23"/>
              </w:rPr>
              <w:t>72</w:t>
            </w:r>
          </w:p>
        </w:tc>
        <w:tc>
          <w:tcPr>
            <w:tcW w:w="2340" w:type="dxa"/>
            <w:tcBorders>
              <w:left w:val="single" w:color="auto" w:sz="4" w:space="0"/>
              <w:bottom w:val="single" w:color="auto" w:sz="4" w:space="0"/>
              <w:right w:val="single" w:color="auto" w:sz="4" w:space="0"/>
            </w:tcBorders>
          </w:tcPr>
          <w:p w:rsidRPr="00993546" w:rsidR="00221D10" w:rsidRDefault="00C9587A" w14:paraId="608B96DE" w14:textId="70C176A0">
            <w:pPr>
              <w:jc w:val="center"/>
              <w:rPr>
                <w:sz w:val="23"/>
                <w:szCs w:val="23"/>
              </w:rPr>
            </w:pPr>
            <w:r w:rsidRPr="00993546">
              <w:rPr>
                <w:sz w:val="23"/>
                <w:szCs w:val="23"/>
              </w:rPr>
              <w:t>$</w:t>
            </w:r>
            <w:r w:rsidR="00D50299">
              <w:rPr>
                <w:sz w:val="23"/>
                <w:szCs w:val="23"/>
              </w:rPr>
              <w:t>6,264</w:t>
            </w:r>
          </w:p>
        </w:tc>
      </w:tr>
    </w:tbl>
    <w:p w:rsidR="00221D10" w:rsidRDefault="00221D10" w14:paraId="1D6562A3" w14:textId="77777777"/>
    <w:p w:rsidR="00221D10" w:rsidRDefault="00221D10" w14:paraId="5585D7FD" w14:textId="5925D132">
      <w:r>
        <w:t xml:space="preserve">The cost to respondents </w:t>
      </w:r>
      <w:r w:rsidR="00353B68">
        <w:t>assumes</w:t>
      </w:r>
      <w:r w:rsidR="00FD7D2A">
        <w:t xml:space="preserve"> the </w:t>
      </w:r>
      <w:r w:rsidR="00353B68">
        <w:t xml:space="preserve">wage rate </w:t>
      </w:r>
      <w:r>
        <w:t xml:space="preserve">of a regulatory affairs </w:t>
      </w:r>
      <w:r w:rsidR="0011248C">
        <w:t xml:space="preserve">specialist, </w:t>
      </w:r>
      <w:r w:rsidR="005F14C3">
        <w:t>$</w:t>
      </w:r>
      <w:r w:rsidR="00835883">
        <w:t>72</w:t>
      </w:r>
      <w:r>
        <w:t xml:space="preserve"> per hour, respo</w:t>
      </w:r>
      <w:r w:rsidR="007C7064">
        <w:t xml:space="preserve">nsible for </w:t>
      </w:r>
      <w:r w:rsidR="00FD7D2A">
        <w:t xml:space="preserve">completing </w:t>
      </w:r>
      <w:r w:rsidR="00B97776">
        <w:t xml:space="preserve">and submitting the </w:t>
      </w:r>
      <w:r w:rsidR="00CC5ABF">
        <w:t xml:space="preserve">Prescription Drug </w:t>
      </w:r>
      <w:r w:rsidR="00B97776">
        <w:t>User Fee Cover Sheet</w:t>
      </w:r>
      <w:r>
        <w:t>.  This salary estimate includes benefits</w:t>
      </w:r>
      <w:r w:rsidR="00E9315E">
        <w:t>,</w:t>
      </w:r>
      <w:r>
        <w:t xml:space="preserve"> but no overhead costs.</w:t>
      </w:r>
    </w:p>
    <w:p w:rsidR="005F1F93" w:rsidRDefault="005F1F93" w14:paraId="63438A18" w14:textId="59C8BA06"/>
    <w:p w:rsidRPr="00DF0F8A" w:rsidR="00221D10" w:rsidRDefault="00221D10" w14:paraId="3115A857" w14:textId="77777777">
      <w:pPr>
        <w:rPr>
          <w:bCs/>
          <w:u w:val="single"/>
        </w:rPr>
      </w:pPr>
      <w:r>
        <w:t xml:space="preserve"> </w:t>
      </w:r>
      <w:r w:rsidR="00DF0F8A">
        <w:rPr>
          <w:bCs/>
        </w:rPr>
        <w:t xml:space="preserve">13.  </w:t>
      </w:r>
      <w:r w:rsidR="00DF0F8A">
        <w:rPr>
          <w:bCs/>
          <w:u w:val="single"/>
        </w:rPr>
        <w:t xml:space="preserve">Estimates of Other Total Annual </w:t>
      </w:r>
      <w:r w:rsidR="00FF0C91">
        <w:rPr>
          <w:bCs/>
          <w:u w:val="single"/>
        </w:rPr>
        <w:t>Cost</w:t>
      </w:r>
      <w:r w:rsidR="008742CD">
        <w:rPr>
          <w:bCs/>
          <w:u w:val="single"/>
        </w:rPr>
        <w:t>s</w:t>
      </w:r>
      <w:r w:rsidR="00FF0C91">
        <w:rPr>
          <w:bCs/>
          <w:u w:val="single"/>
        </w:rPr>
        <w:t xml:space="preserve"> to Respondents and</w:t>
      </w:r>
      <w:r w:rsidR="008742CD">
        <w:rPr>
          <w:bCs/>
          <w:u w:val="single"/>
        </w:rPr>
        <w:t>/or</w:t>
      </w:r>
      <w:r w:rsidR="00FF0C91">
        <w:rPr>
          <w:bCs/>
          <w:u w:val="single"/>
        </w:rPr>
        <w:t xml:space="preserve"> R</w:t>
      </w:r>
      <w:r w:rsidR="008742CD">
        <w:rPr>
          <w:bCs/>
          <w:u w:val="single"/>
        </w:rPr>
        <w:t>ecordk</w:t>
      </w:r>
      <w:r w:rsidR="00DF0F8A">
        <w:rPr>
          <w:bCs/>
          <w:u w:val="single"/>
        </w:rPr>
        <w:t>eepers</w:t>
      </w:r>
      <w:r w:rsidR="008742CD">
        <w:rPr>
          <w:bCs/>
          <w:u w:val="single"/>
        </w:rPr>
        <w:t>/Capital Costs</w:t>
      </w:r>
    </w:p>
    <w:p w:rsidR="00221D10" w:rsidRDefault="00221D10" w14:paraId="26E7E17B" w14:textId="77777777"/>
    <w:p w:rsidRPr="00213187" w:rsidR="00221D10" w:rsidRDefault="00221D10" w14:paraId="28C1F74A" w14:textId="3EBA7915">
      <w:r>
        <w:t>There are no capital</w:t>
      </w:r>
      <w:r w:rsidR="00E60303">
        <w:t xml:space="preserve">, </w:t>
      </w:r>
      <w:r w:rsidR="00213187">
        <w:t xml:space="preserve">operating </w:t>
      </w:r>
      <w:r w:rsidR="00E60303">
        <w:t xml:space="preserve">or </w:t>
      </w:r>
      <w:r w:rsidR="00213187">
        <w:t xml:space="preserve">maintenance costs </w:t>
      </w:r>
      <w:r w:rsidR="007C7064">
        <w:t>associated with this information</w:t>
      </w:r>
      <w:r w:rsidR="00E60303">
        <w:t xml:space="preserve"> collection</w:t>
      </w:r>
      <w:r w:rsidR="007C7064">
        <w:t xml:space="preserve">. </w:t>
      </w:r>
    </w:p>
    <w:p w:rsidR="005F1F93" w:rsidRDefault="005F1F93" w14:paraId="78F639DB" w14:textId="04956C8C">
      <w:pPr>
        <w:rPr>
          <w:u w:val="single"/>
        </w:rPr>
      </w:pPr>
    </w:p>
    <w:p w:rsidRPr="00DF0F8A" w:rsidR="00221D10" w:rsidRDefault="00DF0F8A" w14:paraId="191680B2" w14:textId="77777777">
      <w:pPr>
        <w:rPr>
          <w:u w:val="single"/>
        </w:rPr>
      </w:pPr>
      <w:r>
        <w:t xml:space="preserve">14.  </w:t>
      </w:r>
      <w:r>
        <w:rPr>
          <w:u w:val="single"/>
        </w:rPr>
        <w:t>Annualized Cost to the Federal Government</w:t>
      </w:r>
    </w:p>
    <w:p w:rsidR="00221D10" w:rsidRDefault="00221D10" w14:paraId="0F53E324" w14:textId="7849C81C"/>
    <w:p w:rsidR="00D50299" w:rsidRDefault="00D50299" w14:paraId="418EC0D3" w14:textId="59FABBC6">
      <w:r>
        <w:t>Costs of administering the information collection are absorbed from collected user fees.</w:t>
      </w:r>
    </w:p>
    <w:p w:rsidRPr="00D50299" w:rsidR="005F1F93" w:rsidRDefault="005F1F93" w14:paraId="6F79A531" w14:textId="14861E6C">
      <w:pPr>
        <w:rPr>
          <w:bCs/>
        </w:rPr>
      </w:pPr>
    </w:p>
    <w:p w:rsidRPr="00776110" w:rsidR="00221D10" w:rsidRDefault="00776110" w14:paraId="28C3415D" w14:textId="77777777">
      <w:pPr>
        <w:rPr>
          <w:u w:val="single"/>
        </w:rPr>
      </w:pPr>
      <w:r>
        <w:t xml:space="preserve">15.  </w:t>
      </w:r>
      <w:r>
        <w:rPr>
          <w:u w:val="single"/>
        </w:rPr>
        <w:t>Explanation for Program Change</w:t>
      </w:r>
      <w:r w:rsidR="008742CD">
        <w:rPr>
          <w:u w:val="single"/>
        </w:rPr>
        <w:t>s</w:t>
      </w:r>
      <w:r>
        <w:rPr>
          <w:u w:val="single"/>
        </w:rPr>
        <w:t xml:space="preserve"> or Adjustments</w:t>
      </w:r>
    </w:p>
    <w:p w:rsidR="00221D10" w:rsidRDefault="00221D10" w14:paraId="65AF4A4D" w14:textId="77777777"/>
    <w:p w:rsidR="006E7AC9" w:rsidRDefault="00DE4F82" w14:paraId="10C24AAF" w14:textId="401919D9">
      <w:r>
        <w:t xml:space="preserve">The information collection reflects </w:t>
      </w:r>
      <w:r w:rsidR="00E07D0B">
        <w:t xml:space="preserve">changes and </w:t>
      </w:r>
      <w:r>
        <w:t xml:space="preserve">adjustments.  We </w:t>
      </w:r>
      <w:r w:rsidR="009C7BD3">
        <w:t xml:space="preserve">have </w:t>
      </w:r>
      <w:r w:rsidR="00607EFA">
        <w:t xml:space="preserve">clarified </w:t>
      </w:r>
      <w:r w:rsidR="00B971FB">
        <w:t xml:space="preserve">that </w:t>
      </w:r>
      <w:r w:rsidR="00607EFA">
        <w:t>the scope of the collection include</w:t>
      </w:r>
      <w:r w:rsidR="00B971FB">
        <w:t>s</w:t>
      </w:r>
      <w:r w:rsidR="00607EFA">
        <w:t xml:space="preserve"> provisions found in </w:t>
      </w:r>
      <w:r w:rsidR="009C7BD3">
        <w:t xml:space="preserve">our current </w:t>
      </w:r>
      <w:r w:rsidR="00607EFA">
        <w:t xml:space="preserve">commitment goals </w:t>
      </w:r>
      <w:r w:rsidR="009C7BD3">
        <w:t>lette</w:t>
      </w:r>
      <w:r w:rsidR="005B3F2A">
        <w:t>r</w:t>
      </w:r>
      <w:r w:rsidR="009C7BD3">
        <w:t xml:space="preserve">, negotiated </w:t>
      </w:r>
      <w:r w:rsidR="00607EFA">
        <w:t>with industry</w:t>
      </w:r>
      <w:r w:rsidR="00B971FB">
        <w:t xml:space="preserve">, </w:t>
      </w:r>
      <w:r w:rsidR="005B3F2A">
        <w:t xml:space="preserve">pertaining to the assessment of fees, </w:t>
      </w:r>
      <w:r w:rsidR="00B971FB">
        <w:t xml:space="preserve">waivers, refunds, </w:t>
      </w:r>
      <w:r w:rsidR="005B3F2A">
        <w:t xml:space="preserve">and exemptions.  We have also </w:t>
      </w:r>
      <w:r w:rsidR="00CF5D53">
        <w:t xml:space="preserve">added relevant agency guidance documents that provide instruction in this regard and </w:t>
      </w:r>
      <w:r w:rsidR="00F052ED">
        <w:t xml:space="preserve">for which we attribute attendant burden.  </w:t>
      </w:r>
      <w:r w:rsidR="009A3930">
        <w:t>Cumulatively these changes and adjustments result in</w:t>
      </w:r>
      <w:r w:rsidR="00BA16CE">
        <w:t xml:space="preserve"> a decrease </w:t>
      </w:r>
      <w:r w:rsidR="002B7C7B">
        <w:t>of</w:t>
      </w:r>
      <w:r w:rsidR="00BA16CE">
        <w:t xml:space="preserve"> 34 responses</w:t>
      </w:r>
      <w:r w:rsidR="00D10E15">
        <w:t xml:space="preserve"> and an increase in 865 hours annually</w:t>
      </w:r>
      <w:r w:rsidR="00F052ED">
        <w:t>.</w:t>
      </w:r>
    </w:p>
    <w:p w:rsidR="00CF1844" w:rsidRDefault="00CF1844" w14:paraId="115375D8" w14:textId="77777777"/>
    <w:p w:rsidRPr="001D7E4C" w:rsidR="00221D10" w:rsidRDefault="001D7E4C" w14:paraId="49DCAC7F" w14:textId="77777777">
      <w:pPr>
        <w:rPr>
          <w:u w:val="single"/>
        </w:rPr>
      </w:pPr>
      <w:r>
        <w:t xml:space="preserve">16.  </w:t>
      </w:r>
      <w:r>
        <w:rPr>
          <w:u w:val="single"/>
        </w:rPr>
        <w:t>Plans for Tabulation and Publication and Project Time Schedule</w:t>
      </w:r>
    </w:p>
    <w:p w:rsidR="00221D10" w:rsidRDefault="00221D10" w14:paraId="31D2537D" w14:textId="77777777"/>
    <w:p w:rsidR="00221D10" w:rsidRDefault="00221D10" w14:paraId="6CD9A398" w14:textId="77777777">
      <w:r>
        <w:t>There are no tabulated results to publish for this information collection.</w:t>
      </w:r>
    </w:p>
    <w:p w:rsidR="005F1F93" w:rsidRDefault="005F1F93" w14:paraId="0806852D" w14:textId="7371EDB4"/>
    <w:p w:rsidR="00221D10" w:rsidRDefault="001D7E4C" w14:paraId="7D2FB615" w14:textId="77777777">
      <w:r>
        <w:t xml:space="preserve">17.  </w:t>
      </w:r>
      <w:r>
        <w:rPr>
          <w:u w:val="single"/>
        </w:rPr>
        <w:t>Reason(s) Dis</w:t>
      </w:r>
      <w:r w:rsidR="008742CD">
        <w:rPr>
          <w:u w:val="single"/>
        </w:rPr>
        <w:t>play of OMB Expiration Date is Ina</w:t>
      </w:r>
      <w:r>
        <w:rPr>
          <w:u w:val="single"/>
        </w:rPr>
        <w:t>ppropriate</w:t>
      </w:r>
      <w:r w:rsidR="00221D10">
        <w:t xml:space="preserve"> </w:t>
      </w:r>
    </w:p>
    <w:p w:rsidR="00221D10" w:rsidRDefault="00221D10" w14:paraId="2A694050" w14:textId="77777777"/>
    <w:p w:rsidR="00925D30" w:rsidP="00925D30" w:rsidRDefault="00925D30" w14:paraId="69DEE829" w14:textId="77777777">
      <w:r w:rsidRPr="007B2227">
        <w:t xml:space="preserve">FDA will display the OMB control number as required by 5 CFR 1320.5 (and 21 CFR 1320.8(b)(1)); however, because documents are more frequently being accessed electronically we are considering technological changes that will enable us to display the expiration date by linking to approval information found at www.reginfo.gov.  We intend to include the OMB </w:t>
      </w:r>
      <w:r w:rsidRPr="007B2227">
        <w:lastRenderedPageBreak/>
        <w:t>control number and expiration date on the guidance landing page, allowing those who download the document an easily identifiable option to view this information.  This also allows the agency to more easily update the expiration date upon renewal and/or revision of OMB approval.  We are taking this approach to improve compatibility with our current website platform (Drupal).</w:t>
      </w:r>
    </w:p>
    <w:p w:rsidR="001A0F1F" w:rsidP="00606404" w:rsidRDefault="00EB7C74" w14:paraId="22D4FA22" w14:textId="44705453">
      <w:r>
        <w:t xml:space="preserve">Display of the </w:t>
      </w:r>
      <w:r w:rsidR="001A0F1F">
        <w:t>OMB expiration date as required by 5 CFR 1320.5</w:t>
      </w:r>
      <w:r>
        <w:t xml:space="preserve"> is appropriate</w:t>
      </w:r>
      <w:r w:rsidR="00C377CE">
        <w:t>.</w:t>
      </w:r>
    </w:p>
    <w:p w:rsidR="005F1F93" w:rsidRDefault="005F1F93" w14:paraId="4027D840" w14:textId="245FC2D4"/>
    <w:p w:rsidRPr="001D7E4C" w:rsidR="00221D10" w:rsidRDefault="00221D10" w14:paraId="539FE498" w14:textId="77777777">
      <w:pPr>
        <w:rPr>
          <w:u w:val="single"/>
        </w:rPr>
      </w:pPr>
      <w:r w:rsidRPr="001D7E4C">
        <w:t xml:space="preserve">18.  </w:t>
      </w:r>
      <w:r w:rsidRPr="001D7E4C" w:rsidR="00E369E6">
        <w:rPr>
          <w:u w:val="single"/>
        </w:rPr>
        <w:t>Exceptions to</w:t>
      </w:r>
      <w:r w:rsidRPr="001D7E4C" w:rsidR="001D7E4C">
        <w:rPr>
          <w:u w:val="single"/>
        </w:rPr>
        <w:t xml:space="preserve"> </w:t>
      </w:r>
      <w:r w:rsidRPr="001D7E4C">
        <w:rPr>
          <w:u w:val="single"/>
        </w:rPr>
        <w:t>Certification for Paperwork Reduction Act Submissions</w:t>
      </w:r>
    </w:p>
    <w:p w:rsidR="00221D10" w:rsidRDefault="00221D10" w14:paraId="381170CA" w14:textId="77777777">
      <w:pPr>
        <w:rPr>
          <w:u w:val="single"/>
        </w:rPr>
      </w:pPr>
    </w:p>
    <w:p w:rsidR="00221D10" w:rsidRDefault="00285C70" w14:paraId="1020B97F" w14:textId="77777777">
      <w:r>
        <w:t>There are no exceptions to the certification.</w:t>
      </w:r>
    </w:p>
    <w:sectPr w:rsidR="00221D10" w:rsidSect="0081442F">
      <w:headerReference w:type="default" r:id="rId12"/>
      <w:footerReference w:type="even" r:id="rId13"/>
      <w:footerReference w:type="first" r:id="rId14"/>
      <w:footnotePr>
        <w:pos w:val="beneathText"/>
      </w:footnotePr>
      <w:type w:val="continuous"/>
      <w:pgSz w:w="12240" w:h="15840" w:code="1"/>
      <w:pgMar w:top="1440" w:right="1584" w:bottom="1440" w:left="1584" w:header="86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F4CCC" w14:textId="77777777" w:rsidR="007150EF" w:rsidRDefault="007150EF">
      <w:r>
        <w:separator/>
      </w:r>
    </w:p>
  </w:endnote>
  <w:endnote w:type="continuationSeparator" w:id="0">
    <w:p w14:paraId="08F09213" w14:textId="77777777" w:rsidR="007150EF" w:rsidRDefault="0071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15D12" w14:textId="77777777" w:rsidR="00320D0F" w:rsidRDefault="00320D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5C67BD" w14:textId="77777777" w:rsidR="00320D0F" w:rsidRDefault="00320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1490" w14:textId="1D13896E" w:rsidR="00320D0F" w:rsidRDefault="00320D0F">
    <w:pPr>
      <w:pStyle w:val="Footer"/>
      <w:rPr>
        <w:sz w:val="16"/>
      </w:rPr>
    </w:pPr>
  </w:p>
  <w:p w14:paraId="415C9B86" w14:textId="77777777" w:rsidR="00320D0F" w:rsidRDefault="00320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A2286" w14:textId="77777777" w:rsidR="007150EF" w:rsidRDefault="007150EF">
      <w:r>
        <w:separator/>
      </w:r>
    </w:p>
  </w:footnote>
  <w:footnote w:type="continuationSeparator" w:id="0">
    <w:p w14:paraId="336F676A" w14:textId="77777777" w:rsidR="007150EF" w:rsidRDefault="0071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1067121"/>
      <w:docPartObj>
        <w:docPartGallery w:val="Page Numbers (Top of Page)"/>
        <w:docPartUnique/>
      </w:docPartObj>
    </w:sdtPr>
    <w:sdtEndPr>
      <w:rPr>
        <w:noProof/>
      </w:rPr>
    </w:sdtEndPr>
    <w:sdtContent>
      <w:p w14:paraId="02AD5E66" w14:textId="77777777" w:rsidR="00BF53EF" w:rsidRDefault="00BF53EF">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754D6809" w14:textId="3752E87A" w:rsidR="00BF53EF" w:rsidRDefault="007150EF">
        <w:pPr>
          <w:pStyle w:val="Header"/>
          <w:jc w:val="right"/>
        </w:pPr>
      </w:p>
    </w:sdtContent>
  </w:sdt>
  <w:p w14:paraId="2D957805" w14:textId="77777777" w:rsidR="00BF53EF" w:rsidRDefault="00BF5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895A5B"/>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78D6040C"/>
    <w:multiLevelType w:val="hybridMultilevel"/>
    <w:tmpl w:val="CA0CC6B6"/>
    <w:lvl w:ilvl="0" w:tplc="0409000F">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BE85572"/>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10"/>
    <w:rsid w:val="00001F95"/>
    <w:rsid w:val="00005A31"/>
    <w:rsid w:val="00014451"/>
    <w:rsid w:val="0001698B"/>
    <w:rsid w:val="0004139C"/>
    <w:rsid w:val="000473A9"/>
    <w:rsid w:val="00057E8F"/>
    <w:rsid w:val="00061617"/>
    <w:rsid w:val="00086C44"/>
    <w:rsid w:val="000905E9"/>
    <w:rsid w:val="000945CE"/>
    <w:rsid w:val="000A1E97"/>
    <w:rsid w:val="000A6587"/>
    <w:rsid w:val="000B5C86"/>
    <w:rsid w:val="000D6DFE"/>
    <w:rsid w:val="001118BB"/>
    <w:rsid w:val="0011248C"/>
    <w:rsid w:val="001125D1"/>
    <w:rsid w:val="001205A6"/>
    <w:rsid w:val="001367FB"/>
    <w:rsid w:val="00141F78"/>
    <w:rsid w:val="00174A67"/>
    <w:rsid w:val="00174D43"/>
    <w:rsid w:val="00181469"/>
    <w:rsid w:val="001860FD"/>
    <w:rsid w:val="00191A3A"/>
    <w:rsid w:val="001A0F1F"/>
    <w:rsid w:val="001C1AD9"/>
    <w:rsid w:val="001C2B4A"/>
    <w:rsid w:val="001C4317"/>
    <w:rsid w:val="001D1B6F"/>
    <w:rsid w:val="001D7E4C"/>
    <w:rsid w:val="001E2794"/>
    <w:rsid w:val="001E4E91"/>
    <w:rsid w:val="001E5F46"/>
    <w:rsid w:val="001E779A"/>
    <w:rsid w:val="001F78A1"/>
    <w:rsid w:val="00207891"/>
    <w:rsid w:val="002107C5"/>
    <w:rsid w:val="00213187"/>
    <w:rsid w:val="00213F03"/>
    <w:rsid w:val="002217C1"/>
    <w:rsid w:val="00221D10"/>
    <w:rsid w:val="002373FE"/>
    <w:rsid w:val="00237D01"/>
    <w:rsid w:val="00243CCA"/>
    <w:rsid w:val="00246775"/>
    <w:rsid w:val="00251CC1"/>
    <w:rsid w:val="00255CCB"/>
    <w:rsid w:val="00261A38"/>
    <w:rsid w:val="00262CBA"/>
    <w:rsid w:val="00264A71"/>
    <w:rsid w:val="00265C0D"/>
    <w:rsid w:val="00285C70"/>
    <w:rsid w:val="002B0D58"/>
    <w:rsid w:val="002B1DA2"/>
    <w:rsid w:val="002B7C7B"/>
    <w:rsid w:val="002E5104"/>
    <w:rsid w:val="00306254"/>
    <w:rsid w:val="00320D0F"/>
    <w:rsid w:val="0033510B"/>
    <w:rsid w:val="00351A3A"/>
    <w:rsid w:val="00353B68"/>
    <w:rsid w:val="00354C12"/>
    <w:rsid w:val="00370644"/>
    <w:rsid w:val="003746A3"/>
    <w:rsid w:val="003843CD"/>
    <w:rsid w:val="00384BD2"/>
    <w:rsid w:val="00394F01"/>
    <w:rsid w:val="003A34C3"/>
    <w:rsid w:val="003C6265"/>
    <w:rsid w:val="003D269D"/>
    <w:rsid w:val="003D3FD0"/>
    <w:rsid w:val="003F0F87"/>
    <w:rsid w:val="003F44B4"/>
    <w:rsid w:val="003F6133"/>
    <w:rsid w:val="00413F8A"/>
    <w:rsid w:val="0041732C"/>
    <w:rsid w:val="00441067"/>
    <w:rsid w:val="004537BA"/>
    <w:rsid w:val="00461A03"/>
    <w:rsid w:val="00472702"/>
    <w:rsid w:val="00485CF1"/>
    <w:rsid w:val="0048706C"/>
    <w:rsid w:val="00487ED7"/>
    <w:rsid w:val="0049344B"/>
    <w:rsid w:val="00496995"/>
    <w:rsid w:val="004A18DB"/>
    <w:rsid w:val="004C4198"/>
    <w:rsid w:val="004D2FBE"/>
    <w:rsid w:val="004D6A42"/>
    <w:rsid w:val="004F5A23"/>
    <w:rsid w:val="00501311"/>
    <w:rsid w:val="00510F41"/>
    <w:rsid w:val="005142BB"/>
    <w:rsid w:val="00524D58"/>
    <w:rsid w:val="00525E66"/>
    <w:rsid w:val="00534E0F"/>
    <w:rsid w:val="005354A6"/>
    <w:rsid w:val="005356D2"/>
    <w:rsid w:val="0054038E"/>
    <w:rsid w:val="0057085F"/>
    <w:rsid w:val="00595D76"/>
    <w:rsid w:val="005A634C"/>
    <w:rsid w:val="005A67CA"/>
    <w:rsid w:val="005B3F2A"/>
    <w:rsid w:val="005D6643"/>
    <w:rsid w:val="005F14C3"/>
    <w:rsid w:val="005F1F93"/>
    <w:rsid w:val="005F6C7C"/>
    <w:rsid w:val="00606404"/>
    <w:rsid w:val="00607EFA"/>
    <w:rsid w:val="0061652F"/>
    <w:rsid w:val="006173B6"/>
    <w:rsid w:val="00621EC4"/>
    <w:rsid w:val="00642821"/>
    <w:rsid w:val="00646417"/>
    <w:rsid w:val="00653FEA"/>
    <w:rsid w:val="006704AA"/>
    <w:rsid w:val="00672605"/>
    <w:rsid w:val="006864A4"/>
    <w:rsid w:val="006A5D26"/>
    <w:rsid w:val="006B4DCD"/>
    <w:rsid w:val="006C54F6"/>
    <w:rsid w:val="006D5BB4"/>
    <w:rsid w:val="006E7573"/>
    <w:rsid w:val="006E7AC9"/>
    <w:rsid w:val="006F006D"/>
    <w:rsid w:val="006F057B"/>
    <w:rsid w:val="006F26AE"/>
    <w:rsid w:val="006F38E3"/>
    <w:rsid w:val="0070391C"/>
    <w:rsid w:val="007049AE"/>
    <w:rsid w:val="00712CC9"/>
    <w:rsid w:val="00712ED2"/>
    <w:rsid w:val="007150EF"/>
    <w:rsid w:val="00721E34"/>
    <w:rsid w:val="007254C7"/>
    <w:rsid w:val="00727F74"/>
    <w:rsid w:val="00736A76"/>
    <w:rsid w:val="00742C27"/>
    <w:rsid w:val="00746618"/>
    <w:rsid w:val="00754785"/>
    <w:rsid w:val="00763A1B"/>
    <w:rsid w:val="00772CF7"/>
    <w:rsid w:val="00776110"/>
    <w:rsid w:val="007A6F27"/>
    <w:rsid w:val="007A6F4E"/>
    <w:rsid w:val="007B1007"/>
    <w:rsid w:val="007B4DA1"/>
    <w:rsid w:val="007C51F9"/>
    <w:rsid w:val="007C7064"/>
    <w:rsid w:val="007F1A29"/>
    <w:rsid w:val="007F45C7"/>
    <w:rsid w:val="007F48D9"/>
    <w:rsid w:val="008009EE"/>
    <w:rsid w:val="0080644D"/>
    <w:rsid w:val="0081442F"/>
    <w:rsid w:val="00831981"/>
    <w:rsid w:val="00835883"/>
    <w:rsid w:val="00850467"/>
    <w:rsid w:val="00864BC1"/>
    <w:rsid w:val="00867086"/>
    <w:rsid w:val="008742CD"/>
    <w:rsid w:val="00880AB6"/>
    <w:rsid w:val="0089077C"/>
    <w:rsid w:val="008A3FD0"/>
    <w:rsid w:val="008A71B5"/>
    <w:rsid w:val="008B6AD1"/>
    <w:rsid w:val="008F118A"/>
    <w:rsid w:val="008F1DDC"/>
    <w:rsid w:val="008F2D75"/>
    <w:rsid w:val="008F3CF7"/>
    <w:rsid w:val="0090117C"/>
    <w:rsid w:val="00905CEA"/>
    <w:rsid w:val="0091719D"/>
    <w:rsid w:val="00923D0B"/>
    <w:rsid w:val="00925D30"/>
    <w:rsid w:val="00926182"/>
    <w:rsid w:val="00933677"/>
    <w:rsid w:val="009407EA"/>
    <w:rsid w:val="00962E56"/>
    <w:rsid w:val="0096442A"/>
    <w:rsid w:val="0098539F"/>
    <w:rsid w:val="009907C8"/>
    <w:rsid w:val="00991D2C"/>
    <w:rsid w:val="00993546"/>
    <w:rsid w:val="00995139"/>
    <w:rsid w:val="009970A3"/>
    <w:rsid w:val="009A3930"/>
    <w:rsid w:val="009B039C"/>
    <w:rsid w:val="009B19DB"/>
    <w:rsid w:val="009C3694"/>
    <w:rsid w:val="009C7BD3"/>
    <w:rsid w:val="00A02D90"/>
    <w:rsid w:val="00A0682A"/>
    <w:rsid w:val="00A12F2D"/>
    <w:rsid w:val="00A13307"/>
    <w:rsid w:val="00A13E3E"/>
    <w:rsid w:val="00A175CC"/>
    <w:rsid w:val="00A27854"/>
    <w:rsid w:val="00A409CC"/>
    <w:rsid w:val="00A43850"/>
    <w:rsid w:val="00A44969"/>
    <w:rsid w:val="00A54583"/>
    <w:rsid w:val="00A636C6"/>
    <w:rsid w:val="00A846CA"/>
    <w:rsid w:val="00A912DA"/>
    <w:rsid w:val="00AA7640"/>
    <w:rsid w:val="00AC7CB9"/>
    <w:rsid w:val="00AD62AD"/>
    <w:rsid w:val="00B118CE"/>
    <w:rsid w:val="00B31ACA"/>
    <w:rsid w:val="00B35FD2"/>
    <w:rsid w:val="00B52E1F"/>
    <w:rsid w:val="00B57723"/>
    <w:rsid w:val="00B60A0D"/>
    <w:rsid w:val="00B70419"/>
    <w:rsid w:val="00B77F88"/>
    <w:rsid w:val="00B81F7B"/>
    <w:rsid w:val="00B91ED7"/>
    <w:rsid w:val="00B94FC3"/>
    <w:rsid w:val="00B971FB"/>
    <w:rsid w:val="00B97776"/>
    <w:rsid w:val="00B97D47"/>
    <w:rsid w:val="00BA16CE"/>
    <w:rsid w:val="00BB48A5"/>
    <w:rsid w:val="00BD566D"/>
    <w:rsid w:val="00BE32EA"/>
    <w:rsid w:val="00BE779C"/>
    <w:rsid w:val="00BF28BE"/>
    <w:rsid w:val="00BF53EF"/>
    <w:rsid w:val="00C02522"/>
    <w:rsid w:val="00C07335"/>
    <w:rsid w:val="00C12AFF"/>
    <w:rsid w:val="00C15ACE"/>
    <w:rsid w:val="00C21AB4"/>
    <w:rsid w:val="00C25AB8"/>
    <w:rsid w:val="00C353FF"/>
    <w:rsid w:val="00C3579D"/>
    <w:rsid w:val="00C377CE"/>
    <w:rsid w:val="00C432A1"/>
    <w:rsid w:val="00C443FE"/>
    <w:rsid w:val="00C455D1"/>
    <w:rsid w:val="00C51FB1"/>
    <w:rsid w:val="00C74F61"/>
    <w:rsid w:val="00C8454B"/>
    <w:rsid w:val="00C91258"/>
    <w:rsid w:val="00C92615"/>
    <w:rsid w:val="00C9587A"/>
    <w:rsid w:val="00CA39EF"/>
    <w:rsid w:val="00CB0861"/>
    <w:rsid w:val="00CB47AE"/>
    <w:rsid w:val="00CB5723"/>
    <w:rsid w:val="00CB7A7F"/>
    <w:rsid w:val="00CC5ABF"/>
    <w:rsid w:val="00CD2C85"/>
    <w:rsid w:val="00CF1844"/>
    <w:rsid w:val="00CF57BA"/>
    <w:rsid w:val="00CF5D53"/>
    <w:rsid w:val="00D0075B"/>
    <w:rsid w:val="00D008BD"/>
    <w:rsid w:val="00D10E15"/>
    <w:rsid w:val="00D2567C"/>
    <w:rsid w:val="00D345C0"/>
    <w:rsid w:val="00D50299"/>
    <w:rsid w:val="00D502E6"/>
    <w:rsid w:val="00D64D91"/>
    <w:rsid w:val="00D738F7"/>
    <w:rsid w:val="00D756F9"/>
    <w:rsid w:val="00D75EF8"/>
    <w:rsid w:val="00D96020"/>
    <w:rsid w:val="00DA0C8E"/>
    <w:rsid w:val="00DA3DD4"/>
    <w:rsid w:val="00DA44B5"/>
    <w:rsid w:val="00DB2226"/>
    <w:rsid w:val="00DE4F82"/>
    <w:rsid w:val="00DF0F8A"/>
    <w:rsid w:val="00DF2993"/>
    <w:rsid w:val="00DF4326"/>
    <w:rsid w:val="00DF7EEF"/>
    <w:rsid w:val="00E07D0B"/>
    <w:rsid w:val="00E23ABA"/>
    <w:rsid w:val="00E2520B"/>
    <w:rsid w:val="00E35D2D"/>
    <w:rsid w:val="00E369E6"/>
    <w:rsid w:val="00E407F5"/>
    <w:rsid w:val="00E43340"/>
    <w:rsid w:val="00E46BD5"/>
    <w:rsid w:val="00E60303"/>
    <w:rsid w:val="00E820A0"/>
    <w:rsid w:val="00E8224C"/>
    <w:rsid w:val="00E86324"/>
    <w:rsid w:val="00E901B0"/>
    <w:rsid w:val="00E9315E"/>
    <w:rsid w:val="00EB34AA"/>
    <w:rsid w:val="00EB6C4B"/>
    <w:rsid w:val="00EB7C74"/>
    <w:rsid w:val="00F052ED"/>
    <w:rsid w:val="00F0678B"/>
    <w:rsid w:val="00F12CBF"/>
    <w:rsid w:val="00F233AC"/>
    <w:rsid w:val="00F44DC2"/>
    <w:rsid w:val="00F47C55"/>
    <w:rsid w:val="00F626BE"/>
    <w:rsid w:val="00F91CB9"/>
    <w:rsid w:val="00FA566C"/>
    <w:rsid w:val="00FB7390"/>
    <w:rsid w:val="00FC6C96"/>
    <w:rsid w:val="00FD2568"/>
    <w:rsid w:val="00FD7D2A"/>
    <w:rsid w:val="00FF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1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numPr>
        <w:ilvl w:val="12"/>
      </w:numPr>
      <w:ind w:left="720"/>
      <w:outlineLvl w:val="1"/>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after="120"/>
      <w:ind w:left="720" w:hanging="720"/>
    </w:pPr>
    <w:rPr>
      <w:rFonts w:ascii="CG Times" w:hAnsi="CG Times"/>
      <w:b/>
      <w:caps/>
    </w:rPr>
  </w:style>
  <w:style w:type="paragraph" w:styleId="TOC2">
    <w:name w:val="toc 2"/>
    <w:basedOn w:val="Normal"/>
    <w:next w:val="Normal"/>
    <w:autoRedefine/>
    <w:semiHidden/>
    <w:pPr>
      <w:ind w:left="1440" w:hanging="720"/>
    </w:pPr>
    <w:rPr>
      <w:rFonts w:ascii="CG Times" w:hAnsi="CG Times"/>
    </w:rPr>
  </w:style>
  <w:style w:type="paragraph" w:styleId="Title">
    <w:name w:val="Title"/>
    <w:basedOn w:val="Normal"/>
    <w:qFormat/>
    <w:pPr>
      <w:jc w:val="center"/>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394F01"/>
    <w:rPr>
      <w:rFonts w:ascii="Tahoma" w:hAnsi="Tahoma" w:cs="Tahoma"/>
      <w:sz w:val="16"/>
      <w:szCs w:val="16"/>
    </w:rPr>
  </w:style>
  <w:style w:type="character" w:styleId="CommentReference">
    <w:name w:val="annotation reference"/>
    <w:rsid w:val="00905CEA"/>
    <w:rPr>
      <w:sz w:val="16"/>
      <w:szCs w:val="16"/>
    </w:rPr>
  </w:style>
  <w:style w:type="paragraph" w:styleId="CommentText">
    <w:name w:val="annotation text"/>
    <w:basedOn w:val="Normal"/>
    <w:link w:val="CommentTextChar"/>
    <w:rsid w:val="00905CEA"/>
    <w:rPr>
      <w:sz w:val="20"/>
    </w:rPr>
  </w:style>
  <w:style w:type="character" w:customStyle="1" w:styleId="CommentTextChar">
    <w:name w:val="Comment Text Char"/>
    <w:basedOn w:val="DefaultParagraphFont"/>
    <w:link w:val="CommentText"/>
    <w:rsid w:val="00905CEA"/>
  </w:style>
  <w:style w:type="paragraph" w:styleId="CommentSubject">
    <w:name w:val="annotation subject"/>
    <w:basedOn w:val="CommentText"/>
    <w:next w:val="CommentText"/>
    <w:link w:val="CommentSubjectChar"/>
    <w:rsid w:val="00905CEA"/>
    <w:rPr>
      <w:b/>
      <w:bCs/>
    </w:rPr>
  </w:style>
  <w:style w:type="character" w:customStyle="1" w:styleId="CommentSubjectChar">
    <w:name w:val="Comment Subject Char"/>
    <w:link w:val="CommentSubject"/>
    <w:rsid w:val="00905CEA"/>
    <w:rPr>
      <w:b/>
      <w:bCs/>
    </w:rPr>
  </w:style>
  <w:style w:type="character" w:styleId="Hyperlink">
    <w:name w:val="Hyperlink"/>
    <w:basedOn w:val="DefaultParagraphFont"/>
    <w:unhideWhenUsed/>
    <w:rsid w:val="009C3694"/>
    <w:rPr>
      <w:color w:val="0000FF" w:themeColor="hyperlink"/>
      <w:u w:val="single"/>
    </w:rPr>
  </w:style>
  <w:style w:type="character" w:styleId="UnresolvedMention">
    <w:name w:val="Unresolved Mention"/>
    <w:basedOn w:val="DefaultParagraphFont"/>
    <w:uiPriority w:val="99"/>
    <w:semiHidden/>
    <w:unhideWhenUsed/>
    <w:rsid w:val="009C3694"/>
    <w:rPr>
      <w:color w:val="808080"/>
      <w:shd w:val="clear" w:color="auto" w:fill="E6E6E6"/>
    </w:rPr>
  </w:style>
  <w:style w:type="character" w:customStyle="1" w:styleId="HeaderChar">
    <w:name w:val="Header Char"/>
    <w:basedOn w:val="DefaultParagraphFont"/>
    <w:link w:val="Header"/>
    <w:uiPriority w:val="99"/>
    <w:rsid w:val="00BF53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2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regulatory-information/search-fda-guidance-docum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a.gov/media/99140/download"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downloads/Drugs/GuidanceComplianceRegulatoryInformation/Guidances/UCM580099.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da.gov/media/131797/download" TargetMode="External"/><Relationship Id="rId4" Type="http://schemas.openxmlformats.org/officeDocument/2006/relationships/webSettings" Target="webSettings.xml"/><Relationship Id="rId9" Type="http://schemas.openxmlformats.org/officeDocument/2006/relationships/hyperlink" Target="https://www.fda.gov/industry/fda-user-fee-programs%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2022-02-18T01:57:00Z</dcterms:created>
  <dcterms:modified xsi:type="dcterms:W3CDTF">2022-02-23T15:10:00Z</dcterms:modified>
</cp:coreProperties>
</file>