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5855" w:rsidP="00E12E90" w:rsidRDefault="00F95855" w14:paraId="17C2C478" w14:textId="618E375F">
      <w:pPr>
        <w:jc w:val="center"/>
        <w:rPr>
          <w:rFonts w:ascii="Times New Roman" w:hAnsi="Times New Roman"/>
          <w:szCs w:val="24"/>
        </w:rPr>
      </w:pPr>
      <w:r>
        <w:rPr>
          <w:rFonts w:ascii="Times New Roman" w:hAnsi="Times New Roman"/>
          <w:szCs w:val="24"/>
        </w:rPr>
        <w:t>UNITED STATES FOOD &amp; DRUG ADMINISTRATION</w:t>
      </w:r>
    </w:p>
    <w:p w:rsidR="00F95855" w:rsidP="00E12E90" w:rsidRDefault="00F95855" w14:paraId="27EF1686" w14:textId="77777777">
      <w:pPr>
        <w:jc w:val="center"/>
        <w:rPr>
          <w:rFonts w:ascii="Times New Roman" w:hAnsi="Times New Roman"/>
          <w:szCs w:val="24"/>
        </w:rPr>
      </w:pPr>
    </w:p>
    <w:p w:rsidR="00F95855" w:rsidP="00E12E90" w:rsidRDefault="00D12C1F" w14:paraId="1D7928FF" w14:textId="77777777">
      <w:pPr>
        <w:jc w:val="center"/>
        <w:rPr>
          <w:rFonts w:ascii="Times New Roman" w:hAnsi="Times New Roman"/>
          <w:szCs w:val="24"/>
        </w:rPr>
      </w:pPr>
      <w:r w:rsidRPr="00DA25A8">
        <w:rPr>
          <w:rFonts w:ascii="Times New Roman" w:hAnsi="Times New Roman"/>
          <w:szCs w:val="24"/>
        </w:rPr>
        <w:t xml:space="preserve">National Standards for the Licensure of </w:t>
      </w:r>
    </w:p>
    <w:p w:rsidRPr="00DA25A8" w:rsidR="00D12C1F" w:rsidP="00E12E90" w:rsidRDefault="00D12C1F" w14:paraId="38F5CBCF" w14:textId="1A3FD272">
      <w:pPr>
        <w:jc w:val="center"/>
        <w:rPr>
          <w:rFonts w:ascii="Times New Roman" w:hAnsi="Times New Roman"/>
          <w:szCs w:val="24"/>
        </w:rPr>
      </w:pPr>
      <w:r w:rsidRPr="00DA25A8">
        <w:rPr>
          <w:rFonts w:ascii="Times New Roman" w:hAnsi="Times New Roman"/>
          <w:szCs w:val="24"/>
        </w:rPr>
        <w:t>Wholesale Drug Distributors and Third-Party Logistics Providers</w:t>
      </w:r>
    </w:p>
    <w:p w:rsidR="00D12C1F" w:rsidP="00E12E90" w:rsidRDefault="00D12C1F" w14:paraId="1E8F9E5D" w14:textId="0909C127">
      <w:pPr>
        <w:jc w:val="center"/>
        <w:rPr>
          <w:rFonts w:ascii="Times New Roman" w:hAnsi="Times New Roman"/>
          <w:szCs w:val="24"/>
        </w:rPr>
      </w:pPr>
    </w:p>
    <w:p w:rsidR="00F95855" w:rsidP="00E12E90" w:rsidRDefault="00F95855" w14:paraId="7CC37272" w14:textId="1A8D6A23">
      <w:pPr>
        <w:jc w:val="center"/>
        <w:rPr>
          <w:rFonts w:ascii="Times New Roman" w:hAnsi="Times New Roman"/>
          <w:szCs w:val="24"/>
          <w:u w:val="single"/>
        </w:rPr>
      </w:pPr>
      <w:r w:rsidRPr="00FF45EB">
        <w:rPr>
          <w:rFonts w:ascii="Times New Roman" w:hAnsi="Times New Roman"/>
          <w:szCs w:val="24"/>
          <w:u w:val="single"/>
        </w:rPr>
        <w:t>OMB Control No. 0910-0251; Reinstatement With Change</w:t>
      </w:r>
    </w:p>
    <w:p w:rsidR="00A2668F" w:rsidP="00E12E90" w:rsidRDefault="00A2668F" w14:paraId="3E2D7158" w14:textId="70621262">
      <w:pPr>
        <w:jc w:val="center"/>
        <w:rPr>
          <w:rFonts w:ascii="Times New Roman" w:hAnsi="Times New Roman"/>
          <w:szCs w:val="24"/>
          <w:u w:val="single"/>
        </w:rPr>
      </w:pPr>
    </w:p>
    <w:p w:rsidR="00A2668F" w:rsidP="00E12E90" w:rsidRDefault="00A2668F" w14:paraId="22E5E0EE" w14:textId="77777777">
      <w:pPr>
        <w:jc w:val="center"/>
        <w:rPr>
          <w:rFonts w:ascii="Times New Roman" w:hAnsi="Times New Roman"/>
          <w:szCs w:val="24"/>
        </w:rPr>
      </w:pPr>
      <w:r>
        <w:rPr>
          <w:rFonts w:ascii="Times New Roman" w:hAnsi="Times New Roman"/>
          <w:szCs w:val="24"/>
        </w:rPr>
        <w:t>RIN 0910-AH11</w:t>
      </w:r>
    </w:p>
    <w:p w:rsidRPr="00DA25A8" w:rsidR="008752E5" w:rsidP="00E12E90" w:rsidRDefault="008752E5" w14:paraId="34DDF317" w14:textId="492C062D">
      <w:pPr>
        <w:rPr>
          <w:rFonts w:ascii="Times New Roman" w:hAnsi="Times New Roman"/>
          <w:szCs w:val="24"/>
        </w:rPr>
      </w:pPr>
    </w:p>
    <w:p w:rsidR="007409F1" w:rsidP="007409F1" w:rsidRDefault="008752E5" w14:paraId="18171078" w14:textId="27F95881">
      <w:pPr>
        <w:jc w:val="center"/>
        <w:rPr>
          <w:rFonts w:ascii="Times New Roman" w:hAnsi="Times New Roman"/>
          <w:szCs w:val="24"/>
        </w:rPr>
      </w:pPr>
      <w:r w:rsidRPr="00DA25A8">
        <w:rPr>
          <w:rFonts w:ascii="Times New Roman" w:hAnsi="Times New Roman"/>
          <w:szCs w:val="24"/>
        </w:rPr>
        <w:t>SUPPORTING STATEMENT</w:t>
      </w:r>
    </w:p>
    <w:p w:rsidR="007409F1" w:rsidP="00E12E90" w:rsidRDefault="007409F1" w14:paraId="641EF704" w14:textId="77777777">
      <w:pPr>
        <w:rPr>
          <w:rFonts w:ascii="Times New Roman" w:hAnsi="Times New Roman"/>
          <w:szCs w:val="24"/>
        </w:rPr>
      </w:pPr>
    </w:p>
    <w:p w:rsidR="00DA25A8" w:rsidP="00E12E90" w:rsidRDefault="00DA25A8" w14:paraId="10F3AAE9" w14:textId="47DF7F2F">
      <w:pPr>
        <w:rPr>
          <w:rFonts w:ascii="Times New Roman" w:hAnsi="Times New Roman"/>
          <w:szCs w:val="24"/>
        </w:rPr>
      </w:pPr>
      <w:r w:rsidRPr="00F95855">
        <w:rPr>
          <w:rFonts w:ascii="Times New Roman" w:hAnsi="Times New Roman"/>
          <w:b/>
          <w:szCs w:val="24"/>
        </w:rPr>
        <w:t>Part A:  Justification</w:t>
      </w:r>
    </w:p>
    <w:p w:rsidR="00DA25A8" w:rsidP="00E12E90" w:rsidRDefault="00DA25A8" w14:paraId="16FD72ED" w14:textId="77777777">
      <w:pPr>
        <w:rPr>
          <w:rFonts w:ascii="Times New Roman" w:hAnsi="Times New Roman"/>
          <w:szCs w:val="24"/>
        </w:rPr>
      </w:pPr>
    </w:p>
    <w:p w:rsidRPr="00DA25A8" w:rsidR="008752E5" w:rsidP="00E12E90" w:rsidRDefault="00DA25A8" w14:paraId="57CCD954" w14:textId="7CDCC3E8">
      <w:pPr>
        <w:rPr>
          <w:rFonts w:ascii="Times New Roman" w:hAnsi="Times New Roman"/>
          <w:szCs w:val="24"/>
        </w:rPr>
      </w:pPr>
      <w:r>
        <w:rPr>
          <w:rFonts w:ascii="Times New Roman" w:hAnsi="Times New Roman"/>
          <w:szCs w:val="24"/>
        </w:rPr>
        <w:t xml:space="preserve">1.  </w:t>
      </w:r>
      <w:r w:rsidRPr="00DA25A8" w:rsidR="008752E5">
        <w:rPr>
          <w:rFonts w:ascii="Times New Roman" w:hAnsi="Times New Roman"/>
          <w:szCs w:val="24"/>
          <w:u w:val="single"/>
        </w:rPr>
        <w:t>Circumstances Making the Collection of Information Necessary</w:t>
      </w:r>
    </w:p>
    <w:p w:rsidRPr="00DA25A8" w:rsidR="008752E5" w:rsidP="00E12E90" w:rsidRDefault="008752E5" w14:paraId="68BA5B28" w14:textId="77777777">
      <w:pPr>
        <w:rPr>
          <w:rFonts w:ascii="Times New Roman" w:hAnsi="Times New Roman"/>
          <w:szCs w:val="24"/>
        </w:rPr>
      </w:pPr>
    </w:p>
    <w:p w:rsidR="0040786E" w:rsidP="00E12E90" w:rsidRDefault="00642BAB" w14:paraId="1357F6B4" w14:textId="2EBDA586">
      <w:pPr>
        <w:rPr>
          <w:rFonts w:ascii="Times New Roman" w:hAnsi="Times New Roman"/>
          <w:szCs w:val="24"/>
        </w:rPr>
      </w:pPr>
      <w:r>
        <w:rPr>
          <w:rFonts w:ascii="Times New Roman" w:hAnsi="Times New Roman"/>
          <w:szCs w:val="24"/>
        </w:rPr>
        <w:t xml:space="preserve">This information collection supports </w:t>
      </w:r>
      <w:r w:rsidR="00A2668F">
        <w:rPr>
          <w:rFonts w:ascii="Times New Roman" w:hAnsi="Times New Roman"/>
          <w:szCs w:val="24"/>
        </w:rPr>
        <w:t>agency rulemaking entitled “</w:t>
      </w:r>
      <w:r w:rsidRPr="00AA6DCC" w:rsidR="00A2668F">
        <w:rPr>
          <w:rFonts w:ascii="Times New Roman" w:hAnsi="Times New Roman"/>
          <w:i/>
          <w:iCs/>
          <w:szCs w:val="24"/>
        </w:rPr>
        <w:t>National Standards for the Licensure of Wholesale Drug Distributors and Third-Party Logistics Providers</w:t>
      </w:r>
      <w:r w:rsidR="00A2668F">
        <w:rPr>
          <w:rFonts w:ascii="Times New Roman" w:hAnsi="Times New Roman"/>
          <w:szCs w:val="24"/>
        </w:rPr>
        <w:t>.”</w:t>
      </w:r>
      <w:r w:rsidR="005A210D">
        <w:rPr>
          <w:rFonts w:ascii="Times New Roman" w:hAnsi="Times New Roman"/>
          <w:szCs w:val="24"/>
        </w:rPr>
        <w:t xml:space="preserve"> The </w:t>
      </w:r>
      <w:r>
        <w:rPr>
          <w:rFonts w:ascii="Times New Roman" w:hAnsi="Times New Roman"/>
          <w:szCs w:val="24"/>
        </w:rPr>
        <w:t xml:space="preserve">Food and Drug </w:t>
      </w:r>
      <w:r w:rsidR="00802B4E">
        <w:rPr>
          <w:rFonts w:ascii="Times New Roman" w:hAnsi="Times New Roman"/>
          <w:szCs w:val="24"/>
        </w:rPr>
        <w:t>Administration</w:t>
      </w:r>
      <w:r>
        <w:rPr>
          <w:rFonts w:ascii="Times New Roman" w:hAnsi="Times New Roman"/>
          <w:szCs w:val="24"/>
        </w:rPr>
        <w:t xml:space="preserve"> (FDA) </w:t>
      </w:r>
      <w:r w:rsidR="005A210D">
        <w:rPr>
          <w:rFonts w:ascii="Times New Roman" w:hAnsi="Times New Roman"/>
          <w:szCs w:val="24"/>
        </w:rPr>
        <w:t>is issuing this proposed rule</w:t>
      </w:r>
      <w:r>
        <w:rPr>
          <w:rFonts w:ascii="Times New Roman" w:hAnsi="Times New Roman"/>
          <w:szCs w:val="24"/>
        </w:rPr>
        <w:t xml:space="preserve"> to establish </w:t>
      </w:r>
      <w:r w:rsidRPr="00DA25A8" w:rsidR="00B702E2">
        <w:rPr>
          <w:rFonts w:ascii="Times New Roman" w:hAnsi="Times New Roman"/>
          <w:szCs w:val="24"/>
        </w:rPr>
        <w:t>national standards for the licensing of wholesale distributors</w:t>
      </w:r>
      <w:r>
        <w:rPr>
          <w:rFonts w:ascii="Times New Roman" w:hAnsi="Times New Roman"/>
          <w:szCs w:val="24"/>
        </w:rPr>
        <w:t xml:space="preserve"> (WDDs) </w:t>
      </w:r>
      <w:r w:rsidRPr="00DA25A8" w:rsidR="00B702E2">
        <w:rPr>
          <w:rFonts w:ascii="Times New Roman" w:hAnsi="Times New Roman"/>
          <w:szCs w:val="24"/>
        </w:rPr>
        <w:t xml:space="preserve">and </w:t>
      </w:r>
      <w:r w:rsidR="00D05BF5">
        <w:rPr>
          <w:rFonts w:ascii="Times New Roman" w:hAnsi="Times New Roman"/>
          <w:szCs w:val="24"/>
        </w:rPr>
        <w:t>t</w:t>
      </w:r>
      <w:r>
        <w:rPr>
          <w:rFonts w:ascii="Times New Roman" w:hAnsi="Times New Roman"/>
          <w:szCs w:val="24"/>
        </w:rPr>
        <w:t xml:space="preserve">hird-party </w:t>
      </w:r>
      <w:r w:rsidR="00D05BF5">
        <w:rPr>
          <w:rFonts w:ascii="Times New Roman" w:hAnsi="Times New Roman"/>
          <w:szCs w:val="24"/>
        </w:rPr>
        <w:t>l</w:t>
      </w:r>
      <w:r>
        <w:rPr>
          <w:rFonts w:ascii="Times New Roman" w:hAnsi="Times New Roman"/>
          <w:szCs w:val="24"/>
        </w:rPr>
        <w:t xml:space="preserve">ogistics </w:t>
      </w:r>
      <w:r w:rsidR="00D05BF5">
        <w:rPr>
          <w:rFonts w:ascii="Times New Roman" w:hAnsi="Times New Roman"/>
          <w:szCs w:val="24"/>
        </w:rPr>
        <w:t>p</w:t>
      </w:r>
      <w:r>
        <w:rPr>
          <w:rFonts w:ascii="Times New Roman" w:hAnsi="Times New Roman"/>
          <w:szCs w:val="24"/>
        </w:rPr>
        <w:t>roviders (</w:t>
      </w:r>
      <w:r w:rsidRPr="00DA25A8" w:rsidR="00B702E2">
        <w:rPr>
          <w:rFonts w:ascii="Times New Roman" w:hAnsi="Times New Roman"/>
          <w:szCs w:val="24"/>
        </w:rPr>
        <w:t>3PLs</w:t>
      </w:r>
      <w:r>
        <w:rPr>
          <w:rFonts w:ascii="Times New Roman" w:hAnsi="Times New Roman"/>
          <w:szCs w:val="24"/>
        </w:rPr>
        <w:t>).</w:t>
      </w:r>
      <w:r w:rsidR="0040786E">
        <w:rPr>
          <w:rFonts w:ascii="Times New Roman" w:hAnsi="Times New Roman"/>
          <w:szCs w:val="24"/>
        </w:rPr>
        <w:t xml:space="preserve">  </w:t>
      </w:r>
      <w:r>
        <w:rPr>
          <w:rFonts w:ascii="Times New Roman" w:hAnsi="Times New Roman"/>
          <w:szCs w:val="24"/>
        </w:rPr>
        <w:t>In passing the Drug Supply Chain Security Act (DSCSA) (</w:t>
      </w:r>
      <w:r w:rsidRPr="00D05BF5" w:rsidR="00D05BF5">
        <w:rPr>
          <w:rFonts w:ascii="Times New Roman" w:hAnsi="Times New Roman" w:eastAsia="Calibri"/>
          <w:snapToGrid/>
          <w:szCs w:val="22"/>
        </w:rPr>
        <w:t>Title II of Pub. L. 113-54</w:t>
      </w:r>
      <w:r>
        <w:rPr>
          <w:rFonts w:ascii="Times New Roman" w:hAnsi="Times New Roman"/>
          <w:szCs w:val="24"/>
        </w:rPr>
        <w:t>),</w:t>
      </w:r>
      <w:r w:rsidRPr="00DA25A8" w:rsidR="00B702E2">
        <w:rPr>
          <w:rFonts w:ascii="Times New Roman" w:hAnsi="Times New Roman"/>
          <w:szCs w:val="24"/>
        </w:rPr>
        <w:t xml:space="preserve"> Congress recognized the need for national standards for the storage, handling, and transport of </w:t>
      </w:r>
      <w:r w:rsidRPr="00DA25A8" w:rsidR="00D86CAE">
        <w:rPr>
          <w:rFonts w:ascii="Times New Roman" w:hAnsi="Times New Roman"/>
          <w:szCs w:val="24"/>
        </w:rPr>
        <w:t xml:space="preserve">certain </w:t>
      </w:r>
      <w:r w:rsidRPr="00DA25A8" w:rsidR="00B702E2">
        <w:rPr>
          <w:rFonts w:ascii="Times New Roman" w:hAnsi="Times New Roman"/>
          <w:szCs w:val="24"/>
        </w:rPr>
        <w:t xml:space="preserve">prescription drugs and directed FDA to establish such standards by regulation. </w:t>
      </w:r>
      <w:r w:rsidRPr="00DA25A8" w:rsidR="00CC2076">
        <w:rPr>
          <w:rFonts w:ascii="Times New Roman" w:hAnsi="Times New Roman"/>
          <w:szCs w:val="24"/>
        </w:rPr>
        <w:t xml:space="preserve"> </w:t>
      </w:r>
      <w:r w:rsidRPr="00DA25A8" w:rsidR="00B702E2">
        <w:rPr>
          <w:rFonts w:ascii="Times New Roman" w:hAnsi="Times New Roman"/>
          <w:szCs w:val="24"/>
        </w:rPr>
        <w:t xml:space="preserve">These national standards </w:t>
      </w:r>
      <w:r w:rsidRPr="00DA25A8" w:rsidR="00844CDB">
        <w:rPr>
          <w:rFonts w:ascii="Times New Roman" w:hAnsi="Times New Roman"/>
          <w:szCs w:val="24"/>
        </w:rPr>
        <w:t xml:space="preserve">are necessary to </w:t>
      </w:r>
      <w:r w:rsidRPr="00DA25A8" w:rsidR="00B702E2">
        <w:rPr>
          <w:rFonts w:ascii="Times New Roman" w:hAnsi="Times New Roman"/>
          <w:szCs w:val="24"/>
        </w:rPr>
        <w:t xml:space="preserve">help diminish opportunities for dangerous and criminal conduct affecting the supply of </w:t>
      </w:r>
      <w:r w:rsidRPr="00DA25A8" w:rsidR="00D86CAE">
        <w:rPr>
          <w:rFonts w:ascii="Times New Roman" w:hAnsi="Times New Roman"/>
          <w:szCs w:val="24"/>
        </w:rPr>
        <w:t xml:space="preserve">these </w:t>
      </w:r>
      <w:r w:rsidRPr="00DA25A8" w:rsidR="00B702E2">
        <w:rPr>
          <w:rFonts w:ascii="Times New Roman" w:hAnsi="Times New Roman"/>
          <w:szCs w:val="24"/>
        </w:rPr>
        <w:t>prescription drugs in the United States</w:t>
      </w:r>
      <w:r w:rsidRPr="00DA25A8" w:rsidR="00844CDB">
        <w:rPr>
          <w:rFonts w:ascii="Times New Roman" w:hAnsi="Times New Roman"/>
          <w:szCs w:val="24"/>
        </w:rPr>
        <w:t xml:space="preserve">, and this </w:t>
      </w:r>
      <w:r w:rsidR="003648D7">
        <w:rPr>
          <w:rFonts w:ascii="Times New Roman" w:hAnsi="Times New Roman"/>
          <w:szCs w:val="24"/>
        </w:rPr>
        <w:t>information collection request (</w:t>
      </w:r>
      <w:r w:rsidRPr="00DA25A8" w:rsidR="00844CDB">
        <w:rPr>
          <w:rFonts w:ascii="Times New Roman" w:hAnsi="Times New Roman"/>
          <w:szCs w:val="24"/>
        </w:rPr>
        <w:t>ICR</w:t>
      </w:r>
      <w:r w:rsidR="003648D7">
        <w:rPr>
          <w:rFonts w:ascii="Times New Roman" w:hAnsi="Times New Roman"/>
          <w:szCs w:val="24"/>
        </w:rPr>
        <w:t>)</w:t>
      </w:r>
      <w:r w:rsidRPr="00DA25A8" w:rsidR="00844CDB">
        <w:rPr>
          <w:rFonts w:ascii="Times New Roman" w:hAnsi="Times New Roman"/>
          <w:szCs w:val="24"/>
        </w:rPr>
        <w:t xml:space="preserve"> is necessary for the States or FDA to assess the ability of 3PLs or wholesale distributors to properly maintain drug quality and security while the</w:t>
      </w:r>
      <w:r w:rsidRPr="00DA25A8" w:rsidR="00D86CAE">
        <w:rPr>
          <w:rFonts w:ascii="Times New Roman" w:hAnsi="Times New Roman"/>
          <w:szCs w:val="24"/>
        </w:rPr>
        <w:t>se</w:t>
      </w:r>
      <w:r w:rsidRPr="00DA25A8" w:rsidR="00844CDB">
        <w:rPr>
          <w:rFonts w:ascii="Times New Roman" w:hAnsi="Times New Roman"/>
          <w:szCs w:val="24"/>
        </w:rPr>
        <w:t xml:space="preserve"> drug products are under their possession or control.</w:t>
      </w:r>
      <w:r w:rsidR="00BA23A9">
        <w:rPr>
          <w:rFonts w:ascii="Times New Roman" w:hAnsi="Times New Roman"/>
          <w:szCs w:val="24"/>
        </w:rPr>
        <w:t xml:space="preserve">  W</w:t>
      </w:r>
      <w:r>
        <w:rPr>
          <w:rFonts w:ascii="Times New Roman" w:hAnsi="Times New Roman"/>
          <w:szCs w:val="24"/>
        </w:rPr>
        <w:t xml:space="preserve">e </w:t>
      </w:r>
      <w:r w:rsidR="00AA6DCC">
        <w:rPr>
          <w:rFonts w:ascii="Times New Roman" w:hAnsi="Times New Roman"/>
          <w:szCs w:val="24"/>
        </w:rPr>
        <w:t>are</w:t>
      </w:r>
      <w:r w:rsidR="00DD13DD">
        <w:rPr>
          <w:rFonts w:ascii="Times New Roman" w:hAnsi="Times New Roman"/>
          <w:szCs w:val="24"/>
        </w:rPr>
        <w:t xml:space="preserve"> therefore</w:t>
      </w:r>
      <w:r w:rsidR="00AA6DCC">
        <w:rPr>
          <w:rFonts w:ascii="Times New Roman" w:hAnsi="Times New Roman"/>
          <w:szCs w:val="24"/>
        </w:rPr>
        <w:t xml:space="preserve"> revising </w:t>
      </w:r>
      <w:r w:rsidR="00DD13DD">
        <w:rPr>
          <w:rFonts w:ascii="Times New Roman" w:hAnsi="Times New Roman"/>
          <w:szCs w:val="24"/>
        </w:rPr>
        <w:t xml:space="preserve">agency </w:t>
      </w:r>
      <w:r w:rsidR="00AA6DCC">
        <w:rPr>
          <w:rFonts w:ascii="Times New Roman" w:hAnsi="Times New Roman"/>
          <w:szCs w:val="24"/>
        </w:rPr>
        <w:t xml:space="preserve">regulations </w:t>
      </w:r>
      <w:r w:rsidR="00DD13DD">
        <w:rPr>
          <w:rFonts w:ascii="Times New Roman" w:hAnsi="Times New Roman"/>
          <w:szCs w:val="24"/>
        </w:rPr>
        <w:t xml:space="preserve">found </w:t>
      </w:r>
      <w:r w:rsidR="00AA6DCC">
        <w:rPr>
          <w:rFonts w:ascii="Times New Roman" w:hAnsi="Times New Roman"/>
          <w:szCs w:val="24"/>
        </w:rPr>
        <w:t xml:space="preserve">in </w:t>
      </w:r>
      <w:r>
        <w:rPr>
          <w:rFonts w:ascii="Times New Roman" w:hAnsi="Times New Roman"/>
          <w:szCs w:val="24"/>
        </w:rPr>
        <w:t>21 CFR part 205</w:t>
      </w:r>
      <w:r w:rsidR="00810AE3">
        <w:rPr>
          <w:rFonts w:ascii="Times New Roman" w:hAnsi="Times New Roman"/>
          <w:szCs w:val="24"/>
        </w:rPr>
        <w:t>.</w:t>
      </w:r>
      <w:r w:rsidR="0040786E">
        <w:rPr>
          <w:rFonts w:ascii="Times New Roman" w:hAnsi="Times New Roman"/>
          <w:szCs w:val="24"/>
        </w:rPr>
        <w:t xml:space="preserve">  </w:t>
      </w:r>
    </w:p>
    <w:p w:rsidR="0040786E" w:rsidP="00E12E90" w:rsidRDefault="0040786E" w14:paraId="06ED56E7" w14:textId="77777777">
      <w:pPr>
        <w:rPr>
          <w:rFonts w:ascii="Times New Roman" w:hAnsi="Times New Roman"/>
          <w:szCs w:val="24"/>
        </w:rPr>
      </w:pPr>
    </w:p>
    <w:p w:rsidRPr="00DA25A8" w:rsidR="00C27502" w:rsidP="00E12E90" w:rsidRDefault="00642BAB" w14:paraId="27E8D16F" w14:textId="334FC11D">
      <w:pPr>
        <w:rPr>
          <w:rFonts w:ascii="Times New Roman" w:hAnsi="Times New Roman"/>
          <w:szCs w:val="24"/>
        </w:rPr>
      </w:pPr>
      <w:r>
        <w:rPr>
          <w:rFonts w:ascii="Times New Roman" w:hAnsi="Times New Roman"/>
          <w:szCs w:val="24"/>
        </w:rPr>
        <w:t xml:space="preserve">The regulations are intended </w:t>
      </w:r>
      <w:r w:rsidRPr="0006280A" w:rsidR="0006280A">
        <w:rPr>
          <w:rFonts w:ascii="Times New Roman" w:hAnsi="Times New Roman"/>
          <w:szCs w:val="24"/>
        </w:rPr>
        <w:t>to ensure that the supply chain remains secure and that those prescription drugs subject to the DSCSA that are moving through the supply chain are properly stored, handled, and transported.</w:t>
      </w:r>
      <w:r w:rsidR="0087731F">
        <w:rPr>
          <w:rFonts w:ascii="Times New Roman" w:hAnsi="Times New Roman"/>
          <w:szCs w:val="24"/>
        </w:rPr>
        <w:t xml:space="preserve">  </w:t>
      </w:r>
      <w:r w:rsidRPr="0006280A" w:rsidR="0006280A">
        <w:rPr>
          <w:rFonts w:ascii="Times New Roman" w:hAnsi="Times New Roman"/>
          <w:szCs w:val="24"/>
        </w:rPr>
        <w:t>These measures are intended to help protect American consumers from drugs that may be counterfeit, stolen, contaminated, or otherwise harmful.</w:t>
      </w:r>
      <w:r w:rsidR="0040786E">
        <w:rPr>
          <w:rFonts w:ascii="Times New Roman" w:hAnsi="Times New Roman"/>
          <w:szCs w:val="24"/>
        </w:rPr>
        <w:t xml:space="preserve">  </w:t>
      </w:r>
      <w:r w:rsidR="00802B4E">
        <w:rPr>
          <w:rFonts w:ascii="Times New Roman" w:hAnsi="Times New Roman"/>
          <w:szCs w:val="24"/>
        </w:rPr>
        <w:t>Specifically, p</w:t>
      </w:r>
      <w:r w:rsidRPr="00DA25A8" w:rsidR="00C27502">
        <w:rPr>
          <w:rFonts w:ascii="Times New Roman" w:hAnsi="Times New Roman"/>
          <w:szCs w:val="24"/>
        </w:rPr>
        <w:t xml:space="preserve">roposed </w:t>
      </w:r>
      <w:r w:rsidR="0040786E">
        <w:rPr>
          <w:rFonts w:ascii="Times New Roman" w:hAnsi="Times New Roman"/>
          <w:szCs w:val="24"/>
        </w:rPr>
        <w:t xml:space="preserve">revisions to </w:t>
      </w:r>
      <w:r w:rsidRPr="00DA25A8" w:rsidR="00C27502">
        <w:rPr>
          <w:rFonts w:ascii="Times New Roman" w:hAnsi="Times New Roman"/>
          <w:szCs w:val="24"/>
        </w:rPr>
        <w:t xml:space="preserve">part 205, subpart A would </w:t>
      </w:r>
      <w:r>
        <w:rPr>
          <w:rFonts w:ascii="Times New Roman" w:hAnsi="Times New Roman"/>
          <w:szCs w:val="24"/>
        </w:rPr>
        <w:t xml:space="preserve">establish </w:t>
      </w:r>
      <w:r w:rsidRPr="00DA25A8" w:rsidR="00C27502">
        <w:rPr>
          <w:rFonts w:ascii="Times New Roman" w:hAnsi="Times New Roman"/>
          <w:szCs w:val="24"/>
        </w:rPr>
        <w:t xml:space="preserve">national licensing standards for State and federal licenses issued to 3PLs pursuant to section 584 of the </w:t>
      </w:r>
      <w:r>
        <w:rPr>
          <w:rFonts w:ascii="Times New Roman" w:hAnsi="Times New Roman"/>
          <w:szCs w:val="24"/>
        </w:rPr>
        <w:t>Federal Food, Drug, and Cosmetic Act (</w:t>
      </w:r>
      <w:r w:rsidRPr="00DA25A8" w:rsidR="00C27502">
        <w:rPr>
          <w:rFonts w:ascii="Times New Roman" w:hAnsi="Times New Roman"/>
          <w:szCs w:val="24"/>
        </w:rPr>
        <w:t>FD&amp;C Act</w:t>
      </w:r>
      <w:r>
        <w:rPr>
          <w:rFonts w:ascii="Times New Roman" w:hAnsi="Times New Roman"/>
          <w:szCs w:val="24"/>
        </w:rPr>
        <w:t>)</w:t>
      </w:r>
      <w:r w:rsidRPr="00DA25A8" w:rsidR="00C27502">
        <w:rPr>
          <w:rFonts w:ascii="Times New Roman" w:hAnsi="Times New Roman"/>
          <w:szCs w:val="24"/>
        </w:rPr>
        <w:t xml:space="preserve"> (21 U.S.C. 360eee-3).  Proposed part 205, subpart C would set forth the national licensing standards for State and federal licenses issued to wholesale distributors pursuant to sections 503(e) and 583 of the FD&amp;C Act (21 U.S.C. 353 and 21 U.S.C. 360eee-2)) and replace the existing regulations in proposed part 205 that outlined guidelines for State licensing of wholesale distributors that were developed under the Prescription Drug Marketing Act (Pub. L. 100-293)</w:t>
      </w:r>
      <w:r w:rsidRPr="00DA25A8" w:rsidR="00E979FB">
        <w:rPr>
          <w:rFonts w:ascii="Times New Roman" w:hAnsi="Times New Roman"/>
          <w:szCs w:val="24"/>
        </w:rPr>
        <w:t>,</w:t>
      </w:r>
      <w:r w:rsidRPr="00DA25A8" w:rsidR="00C27502">
        <w:rPr>
          <w:rFonts w:ascii="Times New Roman" w:hAnsi="Times New Roman"/>
          <w:szCs w:val="24"/>
        </w:rPr>
        <w:t xml:space="preserve"> sections that were replaced by added sections of the DSCSA.</w:t>
      </w:r>
    </w:p>
    <w:p w:rsidRPr="00DA25A8" w:rsidR="00C27502" w:rsidP="00E12E90" w:rsidRDefault="00C27502" w14:paraId="4251EB4C" w14:textId="77777777">
      <w:pPr>
        <w:rPr>
          <w:rFonts w:ascii="Times New Roman" w:hAnsi="Times New Roman"/>
          <w:szCs w:val="24"/>
        </w:rPr>
      </w:pPr>
    </w:p>
    <w:p w:rsidRPr="00DA25A8" w:rsidR="00C27502" w:rsidP="00E12E90" w:rsidRDefault="00C27502" w14:paraId="16238C9E" w14:textId="7283BCC2">
      <w:pPr>
        <w:rPr>
          <w:rFonts w:ascii="Times New Roman" w:hAnsi="Times New Roman"/>
          <w:szCs w:val="24"/>
        </w:rPr>
      </w:pPr>
      <w:r w:rsidRPr="00DA25A8">
        <w:rPr>
          <w:rFonts w:ascii="Times New Roman" w:hAnsi="Times New Roman"/>
          <w:szCs w:val="24"/>
        </w:rPr>
        <w:t>In addition, the FD&amp;C Act, as amended by DSCSA</w:t>
      </w:r>
      <w:r w:rsidRPr="00DA25A8" w:rsidR="00E979FB">
        <w:rPr>
          <w:rFonts w:ascii="Times New Roman" w:hAnsi="Times New Roman"/>
          <w:szCs w:val="24"/>
        </w:rPr>
        <w:t>,</w:t>
      </w:r>
      <w:r w:rsidRPr="00DA25A8">
        <w:rPr>
          <w:rFonts w:ascii="Times New Roman" w:hAnsi="Times New Roman"/>
          <w:szCs w:val="24"/>
        </w:rPr>
        <w:t xml:space="preserve"> </w:t>
      </w:r>
      <w:r w:rsidR="00642BAB">
        <w:rPr>
          <w:rFonts w:ascii="Times New Roman" w:hAnsi="Times New Roman"/>
          <w:szCs w:val="24"/>
        </w:rPr>
        <w:t xml:space="preserve">provides for </w:t>
      </w:r>
      <w:r w:rsidRPr="00DA25A8">
        <w:rPr>
          <w:rFonts w:ascii="Times New Roman" w:hAnsi="Times New Roman"/>
          <w:szCs w:val="24"/>
        </w:rPr>
        <w:t xml:space="preserve">FDA to approve third parties to evaluate the qualifications of 3PLs for licensure or inspect wholesale distributors facilities on behalf of the FDA.  These organizations are referred to as AOs.  The application to become an </w:t>
      </w:r>
      <w:r w:rsidRPr="00DA25A8">
        <w:rPr>
          <w:rFonts w:ascii="Times New Roman" w:hAnsi="Times New Roman"/>
          <w:szCs w:val="24"/>
        </w:rPr>
        <w:lastRenderedPageBreak/>
        <w:t xml:space="preserve">AO and the information to be submitted is the same for evaluation of the qualifications of 3PLs for licensure, inspection of wholesale distributors facilities, or both.  Subparts B and D of the proposed regulation outline the qualification for AOs to perform licensure reviews/inspections for 3PL facilities and inspections of wholesale distributors respectively. </w:t>
      </w:r>
    </w:p>
    <w:p w:rsidR="00802B4E" w:rsidP="00E12E90" w:rsidRDefault="00802B4E" w14:paraId="39F74B2A" w14:textId="5F0B5183">
      <w:pPr>
        <w:rPr>
          <w:rFonts w:ascii="Times New Roman" w:hAnsi="Times New Roman"/>
          <w:szCs w:val="24"/>
        </w:rPr>
      </w:pPr>
    </w:p>
    <w:p w:rsidR="000A05A9" w:rsidP="00E12E90" w:rsidRDefault="00802B4E" w14:paraId="1CBC5BB5" w14:textId="7EF03118">
      <w:pPr>
        <w:rPr>
          <w:rFonts w:ascii="Times New Roman" w:hAnsi="Times New Roman"/>
          <w:szCs w:val="24"/>
        </w:rPr>
      </w:pPr>
      <w:r>
        <w:rPr>
          <w:rFonts w:ascii="Times New Roman" w:hAnsi="Times New Roman"/>
          <w:szCs w:val="24"/>
        </w:rPr>
        <w:t xml:space="preserve">Accordingly, we are requesting </w:t>
      </w:r>
      <w:r w:rsidR="0040786E">
        <w:rPr>
          <w:rFonts w:ascii="Times New Roman" w:hAnsi="Times New Roman"/>
          <w:szCs w:val="24"/>
        </w:rPr>
        <w:t xml:space="preserve">to </w:t>
      </w:r>
      <w:r w:rsidR="00860C80">
        <w:rPr>
          <w:rFonts w:ascii="Times New Roman" w:hAnsi="Times New Roman"/>
          <w:szCs w:val="24"/>
        </w:rPr>
        <w:t>r</w:t>
      </w:r>
      <w:r w:rsidR="002417B5">
        <w:rPr>
          <w:rFonts w:ascii="Times New Roman" w:hAnsi="Times New Roman"/>
          <w:szCs w:val="24"/>
        </w:rPr>
        <w:t>einstate</w:t>
      </w:r>
      <w:r w:rsidR="0040786E">
        <w:rPr>
          <w:rFonts w:ascii="Times New Roman" w:hAnsi="Times New Roman"/>
          <w:szCs w:val="24"/>
        </w:rPr>
        <w:t>, with change, information collection provisions associated with requirements in 21 CFR part 205.</w:t>
      </w:r>
    </w:p>
    <w:p w:rsidR="00B5503B" w:rsidP="00E12E90" w:rsidRDefault="00B5503B" w14:paraId="5F9866AB" w14:textId="77777777">
      <w:pPr>
        <w:rPr>
          <w:rFonts w:ascii="Times New Roman" w:hAnsi="Times New Roman"/>
          <w:szCs w:val="24"/>
        </w:rPr>
      </w:pPr>
    </w:p>
    <w:p w:rsidRPr="00DA25A8" w:rsidR="008752E5" w:rsidP="00E12E90" w:rsidRDefault="00DA25A8" w14:paraId="693FB812" w14:textId="54D21B79">
      <w:pPr>
        <w:rPr>
          <w:rFonts w:ascii="Times New Roman" w:hAnsi="Times New Roman"/>
          <w:szCs w:val="24"/>
        </w:rPr>
      </w:pPr>
      <w:r>
        <w:rPr>
          <w:rFonts w:ascii="Times New Roman" w:hAnsi="Times New Roman"/>
          <w:szCs w:val="24"/>
        </w:rPr>
        <w:t xml:space="preserve">2.  </w:t>
      </w:r>
      <w:r w:rsidRPr="00DA25A8" w:rsidR="008752E5">
        <w:rPr>
          <w:rFonts w:ascii="Times New Roman" w:hAnsi="Times New Roman"/>
          <w:szCs w:val="24"/>
          <w:u w:val="single"/>
        </w:rPr>
        <w:t>Purpose and Use of the Information Collection</w:t>
      </w:r>
      <w:r w:rsidRPr="00DA25A8" w:rsidR="008752E5">
        <w:rPr>
          <w:rFonts w:ascii="Times New Roman" w:hAnsi="Times New Roman"/>
          <w:szCs w:val="24"/>
        </w:rPr>
        <w:t xml:space="preserve"> </w:t>
      </w:r>
    </w:p>
    <w:p w:rsidR="00DA25A8" w:rsidP="00E12E90" w:rsidRDefault="00DA25A8" w14:paraId="143C2002" w14:textId="77777777">
      <w:pPr>
        <w:rPr>
          <w:rFonts w:ascii="Times New Roman" w:hAnsi="Times New Roman"/>
          <w:szCs w:val="24"/>
        </w:rPr>
      </w:pPr>
    </w:p>
    <w:p w:rsidRPr="00DA25A8" w:rsidR="002A07DA" w:rsidP="00E12E90" w:rsidRDefault="002A07DA" w14:paraId="1077BD85" w14:textId="5D92D1F2">
      <w:pPr>
        <w:rPr>
          <w:rFonts w:ascii="Times New Roman" w:hAnsi="Times New Roman"/>
          <w:szCs w:val="24"/>
        </w:rPr>
      </w:pPr>
      <w:r w:rsidRPr="00DA25A8">
        <w:rPr>
          <w:rFonts w:ascii="Times New Roman" w:hAnsi="Times New Roman"/>
          <w:szCs w:val="24"/>
        </w:rPr>
        <w:t>The proposed regulation</w:t>
      </w:r>
      <w:r w:rsidR="00B5503B">
        <w:rPr>
          <w:rFonts w:ascii="Times New Roman" w:hAnsi="Times New Roman"/>
          <w:szCs w:val="24"/>
        </w:rPr>
        <w:t>s</w:t>
      </w:r>
      <w:r w:rsidRPr="00DA25A8">
        <w:rPr>
          <w:rFonts w:ascii="Times New Roman" w:hAnsi="Times New Roman"/>
          <w:szCs w:val="24"/>
        </w:rPr>
        <w:t xml:space="preserve"> outline requirements that 3PLs and wholesale distributors must meet to obtain a license.  Such licenses will be used to ship drug products into</w:t>
      </w:r>
      <w:r w:rsidRPr="00DA25A8" w:rsidR="00082236">
        <w:rPr>
          <w:rFonts w:ascii="Times New Roman" w:hAnsi="Times New Roman"/>
          <w:szCs w:val="24"/>
        </w:rPr>
        <w:t xml:space="preserve"> a</w:t>
      </w:r>
      <w:r w:rsidRPr="00DA25A8">
        <w:rPr>
          <w:rFonts w:ascii="Times New Roman" w:hAnsi="Times New Roman"/>
          <w:szCs w:val="24"/>
        </w:rPr>
        <w:t xml:space="preserve"> </w:t>
      </w:r>
      <w:r w:rsidRPr="00DA25A8" w:rsidR="00082236">
        <w:rPr>
          <w:rFonts w:ascii="Times New Roman" w:hAnsi="Times New Roman"/>
          <w:szCs w:val="24"/>
        </w:rPr>
        <w:t>s</w:t>
      </w:r>
      <w:r w:rsidRPr="00DA25A8">
        <w:rPr>
          <w:rFonts w:ascii="Times New Roman" w:hAnsi="Times New Roman"/>
          <w:szCs w:val="24"/>
        </w:rPr>
        <w:t xml:space="preserve">tate. The licensing authority is the State, from which the 3PLs distribute drug or the State from which wholesale distributors distribute drug.  However, if a State does not establish the licensure programs for 3PLs or wholesale distributors consistent with these regulations, FDA will issue the licenses to 3PLs or wholesale distributors in that State.  </w:t>
      </w:r>
    </w:p>
    <w:p w:rsidRPr="00DA25A8" w:rsidR="00303407" w:rsidP="00E12E90" w:rsidRDefault="00303407" w14:paraId="72B8BD50" w14:textId="77777777">
      <w:pPr>
        <w:rPr>
          <w:rFonts w:ascii="Times New Roman" w:hAnsi="Times New Roman"/>
          <w:szCs w:val="24"/>
        </w:rPr>
      </w:pPr>
    </w:p>
    <w:p w:rsidRPr="00DA25A8" w:rsidR="008752E5" w:rsidP="00E12E90" w:rsidRDefault="00DA25A8" w14:paraId="53E895E3" w14:textId="7DCA3A5E">
      <w:pPr>
        <w:rPr>
          <w:rFonts w:ascii="Times New Roman" w:hAnsi="Times New Roman"/>
          <w:szCs w:val="24"/>
        </w:rPr>
      </w:pPr>
      <w:r>
        <w:rPr>
          <w:rFonts w:ascii="Times New Roman" w:hAnsi="Times New Roman"/>
          <w:szCs w:val="24"/>
        </w:rPr>
        <w:t xml:space="preserve">3.  </w:t>
      </w:r>
      <w:r w:rsidRPr="00DA25A8" w:rsidR="008752E5">
        <w:rPr>
          <w:rFonts w:ascii="Times New Roman" w:hAnsi="Times New Roman"/>
          <w:szCs w:val="24"/>
          <w:u w:val="single"/>
        </w:rPr>
        <w:t xml:space="preserve">Use of Improved Information </w:t>
      </w:r>
      <w:r w:rsidRPr="00DA25A8" w:rsidR="007F11E3">
        <w:rPr>
          <w:rFonts w:ascii="Times New Roman" w:hAnsi="Times New Roman"/>
          <w:szCs w:val="24"/>
          <w:u w:val="single"/>
        </w:rPr>
        <w:t>Technology and Burden Reduction</w:t>
      </w:r>
    </w:p>
    <w:p w:rsidRPr="00DA25A8" w:rsidR="007F11E3" w:rsidP="00E12E90" w:rsidRDefault="007F11E3" w14:paraId="2E40AB52" w14:textId="77777777">
      <w:pPr>
        <w:rPr>
          <w:rFonts w:ascii="Times New Roman" w:hAnsi="Times New Roman"/>
          <w:szCs w:val="24"/>
        </w:rPr>
      </w:pPr>
    </w:p>
    <w:p w:rsidRPr="00DA25A8" w:rsidR="008752E5" w:rsidP="00E12E90" w:rsidRDefault="005C3CC8" w14:paraId="35F59F60" w14:textId="7A81BDF7">
      <w:pPr>
        <w:rPr>
          <w:rFonts w:ascii="Times New Roman" w:hAnsi="Times New Roman"/>
          <w:szCs w:val="24"/>
        </w:rPr>
      </w:pPr>
      <w:r>
        <w:rPr>
          <w:rFonts w:ascii="Times New Roman" w:hAnsi="Times New Roman"/>
          <w:szCs w:val="24"/>
        </w:rPr>
        <w:t>As required under by</w:t>
      </w:r>
      <w:r w:rsidR="00D00332">
        <w:rPr>
          <w:rFonts w:ascii="Times New Roman" w:hAnsi="Times New Roman"/>
          <w:szCs w:val="24"/>
        </w:rPr>
        <w:t xml:space="preserve"> section 582 of</w:t>
      </w:r>
      <w:r>
        <w:rPr>
          <w:rFonts w:ascii="Times New Roman" w:hAnsi="Times New Roman"/>
          <w:szCs w:val="24"/>
        </w:rPr>
        <w:t xml:space="preserve"> the DSCSA, </w:t>
      </w:r>
      <w:r w:rsidRPr="00DA25A8" w:rsidR="00571576">
        <w:rPr>
          <w:rFonts w:ascii="Times New Roman" w:hAnsi="Times New Roman"/>
          <w:szCs w:val="24"/>
        </w:rPr>
        <w:t xml:space="preserve">FDA is </w:t>
      </w:r>
      <w:r w:rsidR="000701AF">
        <w:rPr>
          <w:rFonts w:ascii="Times New Roman" w:hAnsi="Times New Roman"/>
          <w:szCs w:val="24"/>
        </w:rPr>
        <w:t xml:space="preserve">continuing to </w:t>
      </w:r>
      <w:r w:rsidR="00105AAF">
        <w:rPr>
          <w:rFonts w:ascii="Times New Roman" w:hAnsi="Times New Roman"/>
          <w:szCs w:val="24"/>
        </w:rPr>
        <w:t xml:space="preserve">institute the </w:t>
      </w:r>
      <w:r w:rsidR="00E45664">
        <w:rPr>
          <w:rFonts w:ascii="Times New Roman" w:hAnsi="Times New Roman"/>
          <w:szCs w:val="24"/>
        </w:rPr>
        <w:t xml:space="preserve">standards for the interoperable exchange of transaction information with regard to the </w:t>
      </w:r>
      <w:r w:rsidR="004E66AA">
        <w:rPr>
          <w:rFonts w:ascii="Times New Roman" w:hAnsi="Times New Roman"/>
          <w:szCs w:val="24"/>
        </w:rPr>
        <w:t xml:space="preserve">tracing of </w:t>
      </w:r>
      <w:r w:rsidR="00E45664">
        <w:rPr>
          <w:rFonts w:ascii="Times New Roman" w:hAnsi="Times New Roman"/>
          <w:szCs w:val="24"/>
        </w:rPr>
        <w:t xml:space="preserve">drug </w:t>
      </w:r>
      <w:r w:rsidR="00C8387C">
        <w:rPr>
          <w:rFonts w:ascii="Times New Roman" w:hAnsi="Times New Roman"/>
          <w:szCs w:val="24"/>
        </w:rPr>
        <w:t xml:space="preserve">products throughout </w:t>
      </w:r>
      <w:r w:rsidR="00E45664">
        <w:rPr>
          <w:rFonts w:ascii="Times New Roman" w:hAnsi="Times New Roman"/>
          <w:szCs w:val="24"/>
        </w:rPr>
        <w:t>the supply chain.</w:t>
      </w:r>
      <w:r w:rsidR="007B0C63">
        <w:rPr>
          <w:rFonts w:ascii="Times New Roman" w:hAnsi="Times New Roman"/>
          <w:szCs w:val="24"/>
        </w:rPr>
        <w:t xml:space="preserve">  </w:t>
      </w:r>
      <w:r w:rsidRPr="00DA25A8" w:rsidR="00571576">
        <w:rPr>
          <w:rFonts w:ascii="Times New Roman" w:hAnsi="Times New Roman"/>
          <w:szCs w:val="24"/>
        </w:rPr>
        <w:t>This electronic system will increase efficiency by providing uniformity in the content and format of reports, thereby making the information easier to process.</w:t>
      </w:r>
      <w:r w:rsidR="00802B4E">
        <w:rPr>
          <w:rFonts w:ascii="Times New Roman" w:hAnsi="Times New Roman"/>
          <w:szCs w:val="24"/>
        </w:rPr>
        <w:t xml:space="preserve">  We therefore </w:t>
      </w:r>
      <w:r w:rsidRPr="00DA25A8" w:rsidR="00CF6BC2">
        <w:rPr>
          <w:rFonts w:ascii="Times New Roman" w:hAnsi="Times New Roman"/>
          <w:szCs w:val="24"/>
        </w:rPr>
        <w:t xml:space="preserve">estimate that </w:t>
      </w:r>
      <w:r w:rsidRPr="00DA25A8" w:rsidR="00362368">
        <w:rPr>
          <w:rFonts w:ascii="Times New Roman" w:hAnsi="Times New Roman"/>
          <w:szCs w:val="24"/>
        </w:rPr>
        <w:t>100</w:t>
      </w:r>
      <w:r w:rsidRPr="00DA25A8" w:rsidR="00CF6BC2">
        <w:rPr>
          <w:rFonts w:ascii="Times New Roman" w:hAnsi="Times New Roman"/>
          <w:szCs w:val="24"/>
        </w:rPr>
        <w:t>% of the respondents will use electronic means to fulfill</w:t>
      </w:r>
      <w:r w:rsidR="00802B4E">
        <w:rPr>
          <w:rFonts w:ascii="Times New Roman" w:hAnsi="Times New Roman"/>
          <w:szCs w:val="24"/>
        </w:rPr>
        <w:t xml:space="preserve"> the information collection requirements</w:t>
      </w:r>
      <w:r w:rsidR="007B0C63">
        <w:rPr>
          <w:rFonts w:ascii="Times New Roman" w:hAnsi="Times New Roman"/>
          <w:szCs w:val="24"/>
        </w:rPr>
        <w:t>, however we intend to account for costs associated with implementation under OMB control no. 0910-0806.</w:t>
      </w:r>
    </w:p>
    <w:p w:rsidRPr="00DA25A8" w:rsidR="00CF6BC2" w:rsidP="00E12E90" w:rsidRDefault="00CF6BC2" w14:paraId="0820BFB7" w14:textId="77777777">
      <w:pPr>
        <w:rPr>
          <w:rFonts w:ascii="Times New Roman" w:hAnsi="Times New Roman"/>
          <w:szCs w:val="24"/>
        </w:rPr>
      </w:pPr>
    </w:p>
    <w:p w:rsidRPr="00DA25A8" w:rsidR="008752E5" w:rsidP="00E12E90" w:rsidRDefault="00DA25A8" w14:paraId="2AEFF54D" w14:textId="4592BD97">
      <w:pPr>
        <w:rPr>
          <w:rFonts w:ascii="Times New Roman" w:hAnsi="Times New Roman"/>
          <w:szCs w:val="24"/>
        </w:rPr>
      </w:pPr>
      <w:r>
        <w:rPr>
          <w:rFonts w:ascii="Times New Roman" w:hAnsi="Times New Roman"/>
          <w:szCs w:val="24"/>
        </w:rPr>
        <w:t xml:space="preserve">4.  </w:t>
      </w:r>
      <w:r w:rsidRPr="00DA25A8" w:rsidR="008752E5">
        <w:rPr>
          <w:rFonts w:ascii="Times New Roman" w:hAnsi="Times New Roman"/>
          <w:szCs w:val="24"/>
          <w:u w:val="single"/>
        </w:rPr>
        <w:t>Efforts to Identify Duplication and Use of Similar Information</w:t>
      </w:r>
    </w:p>
    <w:p w:rsidRPr="00DA25A8" w:rsidR="008752E5" w:rsidP="00E12E90" w:rsidRDefault="008752E5" w14:paraId="52A25321" w14:textId="77777777">
      <w:pPr>
        <w:rPr>
          <w:rFonts w:ascii="Times New Roman" w:hAnsi="Times New Roman"/>
          <w:szCs w:val="24"/>
        </w:rPr>
      </w:pPr>
    </w:p>
    <w:p w:rsidRPr="00DA25A8" w:rsidR="002333C2" w:rsidP="00E12E90" w:rsidRDefault="00802B4E" w14:paraId="07BD05FF" w14:textId="5641F5C9">
      <w:pPr>
        <w:rPr>
          <w:rFonts w:ascii="Times New Roman" w:hAnsi="Times New Roman"/>
          <w:szCs w:val="24"/>
        </w:rPr>
      </w:pPr>
      <w:r>
        <w:rPr>
          <w:rFonts w:ascii="Times New Roman" w:hAnsi="Times New Roman"/>
          <w:szCs w:val="24"/>
        </w:rPr>
        <w:t>We are unaware of duplicative information collection.</w:t>
      </w:r>
    </w:p>
    <w:p w:rsidRPr="00DA25A8" w:rsidR="008752E5" w:rsidP="00E12E90" w:rsidRDefault="008752E5" w14:paraId="3A09A5FE" w14:textId="686B8F9E">
      <w:pPr>
        <w:rPr>
          <w:rFonts w:ascii="Times New Roman" w:hAnsi="Times New Roman"/>
          <w:szCs w:val="24"/>
        </w:rPr>
      </w:pPr>
    </w:p>
    <w:p w:rsidRPr="00E3168E" w:rsidR="00DA25A8" w:rsidP="00E12E90" w:rsidRDefault="00DA25A8" w14:paraId="01718EFF" w14:textId="0612B714">
      <w:pPr>
        <w:rPr>
          <w:rFonts w:ascii="Times New Roman" w:hAnsi="Times New Roman"/>
          <w:szCs w:val="24"/>
          <w:u w:val="single"/>
        </w:rPr>
      </w:pPr>
      <w:r w:rsidRPr="00E3168E">
        <w:rPr>
          <w:rFonts w:ascii="Times New Roman" w:hAnsi="Times New Roman"/>
          <w:szCs w:val="24"/>
          <w:u w:val="single"/>
        </w:rPr>
        <w:t>5.  Impact on Small Entities</w:t>
      </w:r>
    </w:p>
    <w:p w:rsidRPr="00DA25A8" w:rsidR="008D4C79" w:rsidP="00E12E90" w:rsidRDefault="008D4C79" w14:paraId="3D4EF94E" w14:textId="77777777">
      <w:pPr>
        <w:rPr>
          <w:rFonts w:ascii="Times New Roman" w:hAnsi="Times New Roman"/>
          <w:szCs w:val="24"/>
        </w:rPr>
      </w:pPr>
    </w:p>
    <w:p w:rsidR="005E049A" w:rsidP="00E12E90" w:rsidRDefault="00090711" w14:paraId="2ACA3808" w14:textId="4CBC05EC">
      <w:pPr>
        <w:rPr>
          <w:rFonts w:ascii="Times New Roman" w:hAnsi="Times New Roman"/>
          <w:szCs w:val="24"/>
        </w:rPr>
      </w:pPr>
      <w:r>
        <w:rPr>
          <w:rFonts w:ascii="Times New Roman" w:hAnsi="Times New Roman"/>
          <w:szCs w:val="24"/>
        </w:rPr>
        <w:t>The information collection does not impose undue burden on small entities.</w:t>
      </w:r>
      <w:r w:rsidR="00B5503B">
        <w:rPr>
          <w:rFonts w:ascii="Times New Roman" w:hAnsi="Times New Roman"/>
          <w:szCs w:val="24"/>
        </w:rPr>
        <w:t xml:space="preserve"> </w:t>
      </w:r>
    </w:p>
    <w:p w:rsidRPr="00DA25A8" w:rsidR="005E049A" w:rsidP="00E12E90" w:rsidRDefault="005E049A" w14:paraId="2971E7B8" w14:textId="77777777">
      <w:pPr>
        <w:rPr>
          <w:rFonts w:ascii="Times New Roman" w:hAnsi="Times New Roman"/>
          <w:szCs w:val="24"/>
        </w:rPr>
      </w:pPr>
    </w:p>
    <w:p w:rsidRPr="00DA25A8" w:rsidR="00EC22EA" w:rsidP="00E12E90" w:rsidRDefault="00DA25A8" w14:paraId="43EB389E" w14:textId="64C9B4B4">
      <w:pPr>
        <w:rPr>
          <w:rFonts w:ascii="Times New Roman" w:hAnsi="Times New Roman"/>
          <w:szCs w:val="24"/>
        </w:rPr>
      </w:pPr>
      <w:r>
        <w:rPr>
          <w:rFonts w:ascii="Times New Roman" w:hAnsi="Times New Roman"/>
          <w:szCs w:val="24"/>
        </w:rPr>
        <w:t xml:space="preserve">6.  </w:t>
      </w:r>
      <w:r w:rsidRPr="00DA25A8" w:rsidR="00EC22EA">
        <w:rPr>
          <w:rFonts w:ascii="Times New Roman" w:hAnsi="Times New Roman"/>
          <w:szCs w:val="24"/>
          <w:u w:val="single"/>
        </w:rPr>
        <w:t>Consequences of Collecting the Information Less Frequently</w:t>
      </w:r>
    </w:p>
    <w:p w:rsidRPr="00DA25A8" w:rsidR="001F56F3" w:rsidP="00E12E90" w:rsidRDefault="001F56F3" w14:paraId="05B86DC1" w14:textId="77777777">
      <w:pPr>
        <w:rPr>
          <w:rFonts w:ascii="Times New Roman" w:hAnsi="Times New Roman"/>
          <w:szCs w:val="24"/>
        </w:rPr>
      </w:pPr>
    </w:p>
    <w:p w:rsidR="00A04455" w:rsidP="00E12E90" w:rsidRDefault="00802B4E" w14:paraId="790FA35F" w14:textId="2D1EAAC6">
      <w:pPr>
        <w:rPr>
          <w:rFonts w:ascii="Times New Roman" w:hAnsi="Times New Roman"/>
          <w:szCs w:val="24"/>
        </w:rPr>
      </w:pPr>
      <w:r>
        <w:rPr>
          <w:rFonts w:ascii="Times New Roman" w:hAnsi="Times New Roman"/>
          <w:szCs w:val="24"/>
        </w:rPr>
        <w:t xml:space="preserve">The proposed information collection schedule is consistent with statutory </w:t>
      </w:r>
      <w:r w:rsidR="004116A0">
        <w:rPr>
          <w:rFonts w:ascii="Times New Roman" w:hAnsi="Times New Roman"/>
          <w:szCs w:val="24"/>
        </w:rPr>
        <w:t xml:space="preserve">and regulatory </w:t>
      </w:r>
      <w:r>
        <w:rPr>
          <w:rFonts w:ascii="Times New Roman" w:hAnsi="Times New Roman"/>
          <w:szCs w:val="24"/>
        </w:rPr>
        <w:t>requirements</w:t>
      </w:r>
      <w:r w:rsidR="004116A0">
        <w:rPr>
          <w:rFonts w:ascii="Times New Roman" w:hAnsi="Times New Roman"/>
          <w:szCs w:val="24"/>
        </w:rPr>
        <w:t>.</w:t>
      </w:r>
      <w:r w:rsidRPr="00DA25A8" w:rsidR="001F56F3">
        <w:rPr>
          <w:rFonts w:ascii="Times New Roman" w:hAnsi="Times New Roman"/>
          <w:szCs w:val="24"/>
        </w:rPr>
        <w:t xml:space="preserve"> </w:t>
      </w:r>
    </w:p>
    <w:p w:rsidRPr="00DA25A8" w:rsidR="00694916" w:rsidP="00E12E90" w:rsidRDefault="00694916" w14:paraId="0C8A4B12" w14:textId="77777777">
      <w:pPr>
        <w:rPr>
          <w:rFonts w:ascii="Times New Roman" w:hAnsi="Times New Roman"/>
          <w:szCs w:val="24"/>
        </w:rPr>
      </w:pPr>
    </w:p>
    <w:p w:rsidRPr="00DA25A8" w:rsidR="00FE3E6E" w:rsidP="00E12E90" w:rsidRDefault="00DA25A8" w14:paraId="347FDE8A" w14:textId="5A462FEB">
      <w:pPr>
        <w:rPr>
          <w:rFonts w:ascii="Times New Roman" w:hAnsi="Times New Roman"/>
          <w:szCs w:val="24"/>
        </w:rPr>
      </w:pPr>
      <w:r>
        <w:rPr>
          <w:rFonts w:ascii="Times New Roman" w:hAnsi="Times New Roman"/>
          <w:szCs w:val="24"/>
        </w:rPr>
        <w:t xml:space="preserve">7.  </w:t>
      </w:r>
      <w:r w:rsidRPr="00DA25A8" w:rsidR="00FE3E6E">
        <w:rPr>
          <w:rFonts w:ascii="Times New Roman" w:hAnsi="Times New Roman"/>
          <w:szCs w:val="24"/>
          <w:u w:val="single"/>
        </w:rPr>
        <w:t>Special Circumstances Relating to the Guidelines of 5 CFR 1320.5</w:t>
      </w:r>
    </w:p>
    <w:p w:rsidRPr="00DA25A8" w:rsidR="002A2189" w:rsidP="00E12E90" w:rsidRDefault="002A2189" w14:paraId="70F31BD7" w14:textId="77777777">
      <w:pPr>
        <w:rPr>
          <w:rFonts w:ascii="Times New Roman" w:hAnsi="Times New Roman"/>
          <w:szCs w:val="24"/>
        </w:rPr>
      </w:pPr>
    </w:p>
    <w:p w:rsidR="002A2189" w:rsidP="00E12E90" w:rsidRDefault="002A2189" w14:paraId="62D0E95D" w14:textId="5AE69A3A">
      <w:pPr>
        <w:rPr>
          <w:rFonts w:ascii="Times New Roman" w:hAnsi="Times New Roman"/>
          <w:szCs w:val="24"/>
        </w:rPr>
      </w:pPr>
      <w:r w:rsidRPr="00DA25A8">
        <w:rPr>
          <w:rFonts w:ascii="Times New Roman" w:hAnsi="Times New Roman"/>
          <w:szCs w:val="24"/>
        </w:rPr>
        <w:t>There are no special circumstances relating to this information collection.</w:t>
      </w:r>
    </w:p>
    <w:p w:rsidRPr="00DA25A8" w:rsidR="00F95855" w:rsidP="00E12E90" w:rsidRDefault="00F95855" w14:paraId="5BB78C6B" w14:textId="77777777">
      <w:pPr>
        <w:rPr>
          <w:rFonts w:ascii="Times New Roman" w:hAnsi="Times New Roman"/>
          <w:szCs w:val="24"/>
        </w:rPr>
      </w:pPr>
    </w:p>
    <w:p w:rsidR="00941783" w:rsidRDefault="00941783" w14:paraId="6408A1B6" w14:textId="77777777">
      <w:pPr>
        <w:widowControl/>
        <w:spacing w:after="200" w:line="276" w:lineRule="auto"/>
        <w:rPr>
          <w:rFonts w:ascii="Times New Roman" w:hAnsi="Times New Roman"/>
          <w:szCs w:val="24"/>
        </w:rPr>
      </w:pPr>
      <w:r>
        <w:rPr>
          <w:rFonts w:ascii="Times New Roman" w:hAnsi="Times New Roman"/>
          <w:szCs w:val="24"/>
        </w:rPr>
        <w:br w:type="page"/>
      </w:r>
    </w:p>
    <w:p w:rsidRPr="00DA25A8" w:rsidR="00FE3E6E" w:rsidP="00E12E90" w:rsidRDefault="00DA25A8" w14:paraId="4D4E8905" w14:textId="04B9B95C">
      <w:pPr>
        <w:rPr>
          <w:rFonts w:ascii="Times New Roman" w:hAnsi="Times New Roman"/>
          <w:szCs w:val="24"/>
        </w:rPr>
      </w:pPr>
      <w:r>
        <w:rPr>
          <w:rFonts w:ascii="Times New Roman" w:hAnsi="Times New Roman"/>
          <w:szCs w:val="24"/>
        </w:rPr>
        <w:lastRenderedPageBreak/>
        <w:t xml:space="preserve">8.  </w:t>
      </w:r>
      <w:r w:rsidRPr="00DA25A8" w:rsidR="00FE3E6E">
        <w:rPr>
          <w:rFonts w:ascii="Times New Roman" w:hAnsi="Times New Roman"/>
          <w:szCs w:val="24"/>
          <w:u w:val="single"/>
        </w:rPr>
        <w:t>Comments in Response to the Federal Register Notice and Efforts to Consult Outside the Agency</w:t>
      </w:r>
    </w:p>
    <w:p w:rsidRPr="00DA25A8" w:rsidR="00FE3E6E" w:rsidP="00E12E90" w:rsidRDefault="00FE3E6E" w14:paraId="58EB6AF1" w14:textId="77777777">
      <w:pPr>
        <w:rPr>
          <w:rFonts w:ascii="Times New Roman" w:hAnsi="Times New Roman"/>
          <w:szCs w:val="24"/>
        </w:rPr>
      </w:pPr>
    </w:p>
    <w:p w:rsidR="007172F5" w:rsidP="00E12E90" w:rsidRDefault="00142BEC" w14:paraId="1579F543" w14:textId="04885954">
      <w:pPr>
        <w:rPr>
          <w:rFonts w:ascii="Times New Roman" w:hAnsi="Times New Roman"/>
          <w:szCs w:val="24"/>
        </w:rPr>
      </w:pPr>
      <w:r>
        <w:rPr>
          <w:rFonts w:ascii="Times New Roman" w:hAnsi="Times New Roman"/>
          <w:szCs w:val="24"/>
        </w:rPr>
        <w:t xml:space="preserve">We published a rule in the </w:t>
      </w:r>
      <w:r w:rsidRPr="001F3665">
        <w:rPr>
          <w:rFonts w:ascii="Times New Roman" w:hAnsi="Times New Roman"/>
          <w:szCs w:val="24"/>
          <w:u w:val="single"/>
        </w:rPr>
        <w:t>Fe</w:t>
      </w:r>
      <w:r w:rsidRPr="001F3665" w:rsidR="000F5C6F">
        <w:rPr>
          <w:rFonts w:ascii="Times New Roman" w:hAnsi="Times New Roman"/>
          <w:szCs w:val="24"/>
          <w:u w:val="single"/>
        </w:rPr>
        <w:t>deral Register</w:t>
      </w:r>
      <w:r w:rsidR="000F5C6F">
        <w:rPr>
          <w:rFonts w:ascii="Times New Roman" w:hAnsi="Times New Roman"/>
          <w:szCs w:val="24"/>
        </w:rPr>
        <w:t xml:space="preserve"> of February 4, 2022 (87 FR </w:t>
      </w:r>
      <w:r w:rsidR="000E4F90">
        <w:rPr>
          <w:rFonts w:ascii="Times New Roman" w:hAnsi="Times New Roman"/>
          <w:szCs w:val="24"/>
        </w:rPr>
        <w:t>6708), including a PRA analysis, inviting public comment on the proposed collection of information.  Related references, including the agency’s Preliminary Regulatory Impact Analysis (PRIA)</w:t>
      </w:r>
      <w:r w:rsidR="00487F89">
        <w:rPr>
          <w:rFonts w:ascii="Times New Roman" w:hAnsi="Times New Roman"/>
          <w:szCs w:val="24"/>
        </w:rPr>
        <w:t xml:space="preserve"> may be found in the public docket, FDA-</w:t>
      </w:r>
      <w:r w:rsidR="003A0453">
        <w:rPr>
          <w:rFonts w:ascii="Times New Roman" w:hAnsi="Times New Roman"/>
          <w:szCs w:val="24"/>
        </w:rPr>
        <w:t>2020-N-1663</w:t>
      </w:r>
    </w:p>
    <w:p w:rsidRPr="00DA25A8" w:rsidR="003A0453" w:rsidP="00E12E90" w:rsidRDefault="003A0453" w14:paraId="78ED4AEB" w14:textId="77777777">
      <w:pPr>
        <w:rPr>
          <w:rFonts w:ascii="Times New Roman" w:hAnsi="Times New Roman"/>
          <w:szCs w:val="24"/>
        </w:rPr>
      </w:pPr>
    </w:p>
    <w:p w:rsidRPr="00DA25A8" w:rsidR="007172F5" w:rsidP="00E12E90" w:rsidRDefault="00DA25A8" w14:paraId="000DB45F" w14:textId="6D2DF0F5">
      <w:pPr>
        <w:rPr>
          <w:rFonts w:ascii="Times New Roman" w:hAnsi="Times New Roman"/>
          <w:szCs w:val="24"/>
        </w:rPr>
      </w:pPr>
      <w:r>
        <w:rPr>
          <w:rFonts w:ascii="Times New Roman" w:hAnsi="Times New Roman"/>
          <w:szCs w:val="24"/>
        </w:rPr>
        <w:t xml:space="preserve">9.  </w:t>
      </w:r>
      <w:r w:rsidRPr="00DA25A8" w:rsidR="007172F5">
        <w:rPr>
          <w:rFonts w:ascii="Times New Roman" w:hAnsi="Times New Roman"/>
          <w:szCs w:val="24"/>
          <w:u w:val="single"/>
        </w:rPr>
        <w:t>Explanation of Any Payment or Gift to Respondents</w:t>
      </w:r>
    </w:p>
    <w:p w:rsidR="00DA25A8" w:rsidP="00E12E90" w:rsidRDefault="00DA25A8" w14:paraId="10C64B9F" w14:textId="77777777">
      <w:pPr>
        <w:rPr>
          <w:rFonts w:ascii="Times New Roman" w:hAnsi="Times New Roman"/>
          <w:szCs w:val="24"/>
        </w:rPr>
      </w:pPr>
    </w:p>
    <w:p w:rsidRPr="00DA25A8" w:rsidR="008752E5" w:rsidP="00E12E90" w:rsidRDefault="008752E5" w14:paraId="139C265F" w14:textId="51721331">
      <w:pPr>
        <w:rPr>
          <w:rFonts w:ascii="Times New Roman" w:hAnsi="Times New Roman"/>
          <w:szCs w:val="24"/>
        </w:rPr>
      </w:pPr>
      <w:r w:rsidRPr="00DA25A8">
        <w:rPr>
          <w:rFonts w:ascii="Times New Roman" w:hAnsi="Times New Roman"/>
          <w:szCs w:val="24"/>
        </w:rPr>
        <w:t xml:space="preserve">No remuneration </w:t>
      </w:r>
      <w:r w:rsidR="004116A0">
        <w:rPr>
          <w:rFonts w:ascii="Times New Roman" w:hAnsi="Times New Roman"/>
          <w:szCs w:val="24"/>
        </w:rPr>
        <w:t>is associated with the information collection.</w:t>
      </w:r>
      <w:r w:rsidRPr="00DA25A8">
        <w:rPr>
          <w:rFonts w:ascii="Times New Roman" w:hAnsi="Times New Roman"/>
          <w:szCs w:val="24"/>
        </w:rPr>
        <w:t xml:space="preserve"> </w:t>
      </w:r>
    </w:p>
    <w:p w:rsidR="00DA25A8" w:rsidP="00E12E90" w:rsidRDefault="00DA25A8" w14:paraId="6B3DEF44" w14:textId="77777777">
      <w:pPr>
        <w:rPr>
          <w:rFonts w:ascii="Times New Roman" w:hAnsi="Times New Roman"/>
          <w:szCs w:val="24"/>
        </w:rPr>
      </w:pPr>
    </w:p>
    <w:p w:rsidRPr="00DA25A8" w:rsidR="007172F5" w:rsidP="00E12E90" w:rsidRDefault="00DA25A8" w14:paraId="02DD3EEB" w14:textId="62434CD6">
      <w:pPr>
        <w:rPr>
          <w:rFonts w:ascii="Times New Roman" w:hAnsi="Times New Roman"/>
          <w:szCs w:val="24"/>
        </w:rPr>
      </w:pPr>
      <w:r>
        <w:rPr>
          <w:rFonts w:ascii="Times New Roman" w:hAnsi="Times New Roman"/>
          <w:szCs w:val="24"/>
        </w:rPr>
        <w:t xml:space="preserve">10.  </w:t>
      </w:r>
      <w:r w:rsidRPr="00DA25A8" w:rsidR="007172F5">
        <w:rPr>
          <w:rFonts w:ascii="Times New Roman" w:hAnsi="Times New Roman"/>
          <w:szCs w:val="24"/>
          <w:u w:val="single"/>
        </w:rPr>
        <w:t>Assurance of Confidentiality Provided to Respondents</w:t>
      </w:r>
    </w:p>
    <w:p w:rsidRPr="00DA25A8" w:rsidR="00F03311" w:rsidP="00E12E90" w:rsidRDefault="00F03311" w14:paraId="42106805" w14:textId="77777777">
      <w:pPr>
        <w:rPr>
          <w:rFonts w:ascii="Times New Roman" w:hAnsi="Times New Roman"/>
          <w:szCs w:val="24"/>
        </w:rPr>
      </w:pPr>
    </w:p>
    <w:p w:rsidRPr="00B835F0" w:rsidR="00B835F0" w:rsidP="00E12E90" w:rsidRDefault="00B835F0" w14:paraId="60F8B214" w14:textId="491704C9">
      <w:pPr>
        <w:rPr>
          <w:rFonts w:ascii="Times New Roman" w:hAnsi="Times New Roman"/>
          <w:szCs w:val="24"/>
        </w:rPr>
      </w:pPr>
      <w:r w:rsidRPr="00B835F0">
        <w:rPr>
          <w:rFonts w:ascii="Times New Roman" w:hAnsi="Times New Roman"/>
          <w:szCs w:val="24"/>
        </w:rPr>
        <w:t>In preparing this</w:t>
      </w:r>
      <w:r w:rsidR="0040786E">
        <w:rPr>
          <w:rFonts w:ascii="Times New Roman" w:hAnsi="Times New Roman"/>
          <w:szCs w:val="24"/>
        </w:rPr>
        <w:t xml:space="preserve"> s</w:t>
      </w:r>
      <w:r w:rsidRPr="00B835F0">
        <w:rPr>
          <w:rFonts w:ascii="Times New Roman" w:hAnsi="Times New Roman"/>
          <w:szCs w:val="24"/>
        </w:rPr>
        <w:t xml:space="preserve">upporting </w:t>
      </w:r>
      <w:r w:rsidR="0040786E">
        <w:rPr>
          <w:rFonts w:ascii="Times New Roman" w:hAnsi="Times New Roman"/>
          <w:szCs w:val="24"/>
        </w:rPr>
        <w:t>s</w:t>
      </w:r>
      <w:r w:rsidRPr="00B835F0">
        <w:rPr>
          <w:rFonts w:ascii="Times New Roman" w:hAnsi="Times New Roman"/>
          <w:szCs w:val="24"/>
        </w:rPr>
        <w:t>tatement, we consulted our Privacy Office to ensure appropriate identification and handling of information collected.</w:t>
      </w:r>
      <w:r w:rsidR="0040786E">
        <w:rPr>
          <w:rFonts w:ascii="Times New Roman" w:hAnsi="Times New Roman"/>
          <w:szCs w:val="24"/>
        </w:rPr>
        <w:t xml:space="preserve">  We have determined that the </w:t>
      </w:r>
      <w:r w:rsidRPr="00B835F0">
        <w:rPr>
          <w:rFonts w:ascii="Times New Roman" w:hAnsi="Times New Roman"/>
          <w:szCs w:val="24"/>
        </w:rPr>
        <w:t>ICR does not collect personally identifiable information (PII) or information of a personal nature</w:t>
      </w:r>
      <w:r w:rsidR="0040786E">
        <w:rPr>
          <w:rFonts w:ascii="Times New Roman" w:hAnsi="Times New Roman"/>
          <w:szCs w:val="24"/>
        </w:rPr>
        <w:t>, and therefore the</w:t>
      </w:r>
      <w:r w:rsidRPr="00B835F0">
        <w:rPr>
          <w:rFonts w:ascii="Times New Roman" w:hAnsi="Times New Roman"/>
          <w:szCs w:val="24"/>
        </w:rPr>
        <w:t xml:space="preserve"> ICR is not subject to the Privacy Act of 1974 and the requirements of the Privacy Act</w:t>
      </w:r>
      <w:r w:rsidR="0040786E">
        <w:rPr>
          <w:rFonts w:ascii="Times New Roman" w:hAnsi="Times New Roman"/>
          <w:szCs w:val="24"/>
        </w:rPr>
        <w:t>,</w:t>
      </w:r>
      <w:r w:rsidRPr="00B835F0">
        <w:rPr>
          <w:rFonts w:ascii="Times New Roman" w:hAnsi="Times New Roman"/>
          <w:szCs w:val="24"/>
        </w:rPr>
        <w:t xml:space="preserve"> such as displaying a Privacy Act Statement on a collection form</w:t>
      </w:r>
      <w:r w:rsidR="0040786E">
        <w:rPr>
          <w:rFonts w:ascii="Times New Roman" w:hAnsi="Times New Roman"/>
          <w:szCs w:val="24"/>
        </w:rPr>
        <w:t>,</w:t>
      </w:r>
      <w:r w:rsidRPr="00B835F0">
        <w:rPr>
          <w:rFonts w:ascii="Times New Roman" w:hAnsi="Times New Roman"/>
          <w:szCs w:val="24"/>
        </w:rPr>
        <w:t xml:space="preserve"> do not apply.</w:t>
      </w:r>
    </w:p>
    <w:p w:rsidRPr="00B835F0" w:rsidR="00B835F0" w:rsidP="00E12E90" w:rsidRDefault="00B835F0" w14:paraId="3FD4838E" w14:textId="77777777">
      <w:pPr>
        <w:rPr>
          <w:rFonts w:ascii="Times New Roman" w:hAnsi="Times New Roman"/>
          <w:szCs w:val="24"/>
        </w:rPr>
      </w:pPr>
    </w:p>
    <w:p w:rsidR="002774D4" w:rsidP="00E12E90" w:rsidRDefault="00B835F0" w14:paraId="489315CF" w14:textId="097B770B">
      <w:pPr>
        <w:rPr>
          <w:rFonts w:ascii="Times New Roman" w:hAnsi="Times New Roman"/>
          <w:szCs w:val="24"/>
        </w:rPr>
      </w:pPr>
      <w:r w:rsidRPr="00B835F0">
        <w:rPr>
          <w:rFonts w:ascii="Times New Roman" w:hAnsi="Times New Roman"/>
          <w:szCs w:val="24"/>
        </w:rPr>
        <w:t xml:space="preserve">Only information that is releasable under </w:t>
      </w:r>
      <w:r w:rsidR="00111C1E">
        <w:rPr>
          <w:rFonts w:ascii="Times New Roman" w:hAnsi="Times New Roman"/>
          <w:szCs w:val="24"/>
        </w:rPr>
        <w:t>a</w:t>
      </w:r>
      <w:r w:rsidRPr="00B835F0">
        <w:rPr>
          <w:rFonts w:ascii="Times New Roman" w:hAnsi="Times New Roman"/>
          <w:szCs w:val="24"/>
        </w:rPr>
        <w:t>gency’s regulations in 21 CFR part 20 would be released to the public.  This information is also safeguarded by Section 301(j) of the FD&amp;C Act and would be protected from disclosure under the Freedom of Information Act (FOIA) under sections 552(a) and (b) (5 U.S.C. 552(a) and (b)).</w:t>
      </w:r>
    </w:p>
    <w:p w:rsidR="0040786E" w:rsidP="00E12E90" w:rsidRDefault="0040786E" w14:paraId="74FBF57F" w14:textId="77777777">
      <w:pPr>
        <w:rPr>
          <w:rFonts w:ascii="Times New Roman" w:hAnsi="Times New Roman"/>
          <w:szCs w:val="24"/>
        </w:rPr>
      </w:pPr>
    </w:p>
    <w:p w:rsidR="00AD3AFE" w:rsidP="00E12E90" w:rsidRDefault="00DA25A8" w14:paraId="4BEFC454" w14:textId="201B959F">
      <w:pPr>
        <w:rPr>
          <w:rFonts w:ascii="Times New Roman" w:hAnsi="Times New Roman"/>
          <w:szCs w:val="24"/>
          <w:u w:val="single"/>
        </w:rPr>
      </w:pPr>
      <w:r>
        <w:rPr>
          <w:rFonts w:ascii="Times New Roman" w:hAnsi="Times New Roman"/>
          <w:szCs w:val="24"/>
        </w:rPr>
        <w:t xml:space="preserve">11.  </w:t>
      </w:r>
      <w:r w:rsidRPr="00DA25A8" w:rsidR="00AD3AFE">
        <w:rPr>
          <w:rFonts w:ascii="Times New Roman" w:hAnsi="Times New Roman"/>
          <w:szCs w:val="24"/>
          <w:u w:val="single"/>
        </w:rPr>
        <w:t>Justification for Sensitive Questions</w:t>
      </w:r>
    </w:p>
    <w:p w:rsidRPr="00DA25A8" w:rsidR="00204766" w:rsidP="00E12E90" w:rsidRDefault="00204766" w14:paraId="5D47CA2E" w14:textId="77777777">
      <w:pPr>
        <w:rPr>
          <w:rFonts w:ascii="Times New Roman" w:hAnsi="Times New Roman"/>
          <w:szCs w:val="24"/>
        </w:rPr>
      </w:pPr>
    </w:p>
    <w:p w:rsidRPr="00DA25A8" w:rsidR="008752E5" w:rsidP="00E12E90" w:rsidRDefault="008752E5" w14:paraId="4FEA01EA" w14:textId="77777777">
      <w:pPr>
        <w:rPr>
          <w:rFonts w:ascii="Times New Roman" w:hAnsi="Times New Roman"/>
          <w:szCs w:val="24"/>
        </w:rPr>
      </w:pPr>
      <w:r w:rsidRPr="00DA25A8">
        <w:rPr>
          <w:rFonts w:ascii="Times New Roman" w:hAnsi="Times New Roman"/>
          <w:szCs w:val="24"/>
        </w:rPr>
        <w:t>There are no questions of a sensitive nature.</w:t>
      </w:r>
    </w:p>
    <w:p w:rsidR="00DA25A8" w:rsidP="00E12E90" w:rsidRDefault="00DA25A8" w14:paraId="24AE1AF8" w14:textId="77777777">
      <w:pPr>
        <w:rPr>
          <w:rFonts w:ascii="Times New Roman" w:hAnsi="Times New Roman"/>
          <w:szCs w:val="24"/>
        </w:rPr>
      </w:pPr>
    </w:p>
    <w:p w:rsidRPr="00DA25A8" w:rsidR="00E20505" w:rsidP="00E12E90" w:rsidRDefault="00DA25A8" w14:paraId="114E94EC" w14:textId="23C50CEE">
      <w:pPr>
        <w:rPr>
          <w:rFonts w:ascii="Times New Roman" w:hAnsi="Times New Roman"/>
          <w:szCs w:val="24"/>
        </w:rPr>
      </w:pPr>
      <w:r>
        <w:rPr>
          <w:rFonts w:ascii="Times New Roman" w:hAnsi="Times New Roman"/>
          <w:szCs w:val="24"/>
        </w:rPr>
        <w:t xml:space="preserve">12.  </w:t>
      </w:r>
      <w:r w:rsidRPr="00DA25A8" w:rsidR="00E20505">
        <w:rPr>
          <w:rFonts w:ascii="Times New Roman" w:hAnsi="Times New Roman"/>
          <w:szCs w:val="24"/>
          <w:u w:val="single"/>
        </w:rPr>
        <w:t>Estimates of Annualized Burden Hours and Costs</w:t>
      </w:r>
    </w:p>
    <w:p w:rsidRPr="00DA25A8" w:rsidR="00E20505" w:rsidP="00E12E90" w:rsidRDefault="00E20505" w14:paraId="26828DB6" w14:textId="77777777">
      <w:pPr>
        <w:rPr>
          <w:rFonts w:ascii="Times New Roman" w:hAnsi="Times New Roman"/>
          <w:szCs w:val="24"/>
        </w:rPr>
      </w:pPr>
    </w:p>
    <w:p w:rsidR="002C394A" w:rsidP="00E12E90" w:rsidRDefault="0040786E" w14:paraId="69EAFBAD" w14:textId="39495B9B">
      <w:pPr>
        <w:rPr>
          <w:rFonts w:ascii="Times New Roman" w:hAnsi="Times New Roman"/>
          <w:i/>
          <w:szCs w:val="24"/>
        </w:rPr>
      </w:pPr>
      <w:r>
        <w:rPr>
          <w:rFonts w:ascii="Times New Roman" w:hAnsi="Times New Roman"/>
          <w:i/>
          <w:szCs w:val="24"/>
        </w:rPr>
        <w:tab/>
      </w:r>
      <w:r w:rsidRPr="00DA25A8" w:rsidR="00DA25A8">
        <w:rPr>
          <w:rFonts w:ascii="Times New Roman" w:hAnsi="Times New Roman"/>
          <w:i/>
          <w:szCs w:val="24"/>
        </w:rPr>
        <w:t>12</w:t>
      </w:r>
      <w:r w:rsidRPr="00DA25A8" w:rsidR="00E20505">
        <w:rPr>
          <w:rFonts w:ascii="Times New Roman" w:hAnsi="Times New Roman"/>
          <w:i/>
          <w:szCs w:val="24"/>
        </w:rPr>
        <w:t>a. Annualized Hour Burden Estimate</w:t>
      </w:r>
    </w:p>
    <w:p w:rsidR="00435090" w:rsidP="00E12E90" w:rsidRDefault="00435090" w14:paraId="38B64BEB" w14:textId="77777777">
      <w:pPr>
        <w:rPr>
          <w:rFonts w:ascii="Times New Roman" w:hAnsi="Times New Roman"/>
          <w:sz w:val="20"/>
        </w:rPr>
      </w:pPr>
    </w:p>
    <w:p w:rsidRPr="002C394A" w:rsidR="002C394A" w:rsidP="00E12E90" w:rsidRDefault="002C394A" w14:paraId="71A2FB29" w14:textId="148FDBDD">
      <w:pPr>
        <w:jc w:val="center"/>
        <w:rPr>
          <w:rFonts w:ascii="Times New Roman" w:hAnsi="Times New Roman"/>
          <w:sz w:val="20"/>
        </w:rPr>
      </w:pPr>
      <w:r w:rsidRPr="002C394A">
        <w:rPr>
          <w:rFonts w:ascii="Times New Roman" w:hAnsi="Times New Roman"/>
          <w:sz w:val="20"/>
        </w:rPr>
        <w:t xml:space="preserve">Table </w:t>
      </w:r>
      <w:r>
        <w:rPr>
          <w:rFonts w:ascii="Times New Roman" w:hAnsi="Times New Roman"/>
          <w:sz w:val="20"/>
        </w:rPr>
        <w:t>1</w:t>
      </w:r>
      <w:r w:rsidRPr="002C394A">
        <w:rPr>
          <w:rFonts w:ascii="Times New Roman" w:hAnsi="Times New Roman"/>
          <w:sz w:val="20"/>
        </w:rPr>
        <w:t>.--Estimated Annual Reporting Burden</w:t>
      </w:r>
    </w:p>
    <w:tbl>
      <w:tblPr>
        <w:tblW w:w="9540" w:type="dxa"/>
        <w:tblInd w:w="-10" w:type="dxa"/>
        <w:tblCellMar>
          <w:top w:w="17" w:type="dxa"/>
          <w:left w:w="120" w:type="dxa"/>
          <w:right w:w="65" w:type="dxa"/>
        </w:tblCellMar>
        <w:tblLook w:val="04A0" w:firstRow="1" w:lastRow="0" w:firstColumn="1" w:lastColumn="0" w:noHBand="0" w:noVBand="1"/>
      </w:tblPr>
      <w:tblGrid>
        <w:gridCol w:w="3510"/>
        <w:gridCol w:w="1208"/>
        <w:gridCol w:w="1402"/>
        <w:gridCol w:w="1170"/>
        <w:gridCol w:w="1350"/>
        <w:gridCol w:w="900"/>
      </w:tblGrid>
      <w:tr w:rsidRPr="002C394A" w:rsidR="00A317CC" w:rsidTr="00941783" w14:paraId="00CE359A" w14:textId="77777777">
        <w:trPr>
          <w:cantSplit/>
          <w:trHeight w:val="838"/>
          <w:tblHeader/>
        </w:trPr>
        <w:tc>
          <w:tcPr>
            <w:tcW w:w="351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941783" w:rsidRDefault="002C394A" w14:paraId="148A475D" w14:textId="77777777">
            <w:pPr>
              <w:jc w:val="center"/>
              <w:rPr>
                <w:rFonts w:ascii="Times New Roman" w:hAnsi="Times New Roman"/>
                <w:sz w:val="20"/>
              </w:rPr>
            </w:pPr>
            <w:r w:rsidRPr="002C394A">
              <w:rPr>
                <w:rFonts w:ascii="Times New Roman" w:hAnsi="Times New Roman"/>
                <w:sz w:val="20"/>
              </w:rPr>
              <w:t>Proposed 21 CFR Part 205 Section;</w:t>
            </w:r>
          </w:p>
          <w:p w:rsidRPr="002C394A" w:rsidR="002C394A" w:rsidP="00941783" w:rsidRDefault="002C394A" w14:paraId="17E06AD1" w14:textId="77777777">
            <w:pPr>
              <w:jc w:val="center"/>
              <w:rPr>
                <w:rFonts w:ascii="Times New Roman" w:hAnsi="Times New Roman"/>
                <w:sz w:val="20"/>
              </w:rPr>
            </w:pPr>
            <w:r w:rsidRPr="002C394A">
              <w:rPr>
                <w:rFonts w:ascii="Times New Roman" w:hAnsi="Times New Roman"/>
                <w:sz w:val="20"/>
              </w:rPr>
              <w:t>IC Activity</w:t>
            </w:r>
          </w:p>
        </w:tc>
        <w:tc>
          <w:tcPr>
            <w:tcW w:w="1208"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941783" w:rsidRDefault="002C394A" w14:paraId="176E97F7" w14:textId="77777777">
            <w:pPr>
              <w:jc w:val="center"/>
              <w:rPr>
                <w:rFonts w:ascii="Times New Roman" w:hAnsi="Times New Roman"/>
                <w:sz w:val="20"/>
              </w:rPr>
            </w:pPr>
            <w:r w:rsidRPr="002C394A">
              <w:rPr>
                <w:rFonts w:ascii="Times New Roman" w:hAnsi="Times New Roman"/>
                <w:sz w:val="20"/>
              </w:rPr>
              <w:t>No. of Respondents</w:t>
            </w:r>
          </w:p>
        </w:tc>
        <w:tc>
          <w:tcPr>
            <w:tcW w:w="1402"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941783" w:rsidRDefault="002C394A" w14:paraId="08C88F83" w14:textId="77777777">
            <w:pPr>
              <w:jc w:val="center"/>
              <w:rPr>
                <w:rFonts w:ascii="Times New Roman" w:hAnsi="Times New Roman"/>
                <w:sz w:val="20"/>
              </w:rPr>
            </w:pPr>
            <w:r w:rsidRPr="002C394A">
              <w:rPr>
                <w:rFonts w:ascii="Times New Roman" w:hAnsi="Times New Roman"/>
                <w:sz w:val="20"/>
              </w:rPr>
              <w:t>No. of</w:t>
            </w:r>
          </w:p>
          <w:p w:rsidRPr="002C394A" w:rsidR="002C394A" w:rsidP="00941783" w:rsidRDefault="002C394A" w14:paraId="11365196" w14:textId="77777777">
            <w:pPr>
              <w:jc w:val="center"/>
              <w:rPr>
                <w:rFonts w:ascii="Times New Roman" w:hAnsi="Times New Roman"/>
                <w:sz w:val="20"/>
              </w:rPr>
            </w:pPr>
            <w:r w:rsidRPr="002C394A">
              <w:rPr>
                <w:rFonts w:ascii="Times New Roman" w:hAnsi="Times New Roman"/>
                <w:sz w:val="20"/>
              </w:rPr>
              <w:t>Responses per Respondent</w:t>
            </w:r>
          </w:p>
        </w:tc>
        <w:tc>
          <w:tcPr>
            <w:tcW w:w="117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941783" w:rsidRDefault="002C394A" w14:paraId="6BE4956C" w14:textId="77777777">
            <w:pPr>
              <w:jc w:val="center"/>
              <w:rPr>
                <w:rFonts w:ascii="Times New Roman" w:hAnsi="Times New Roman"/>
                <w:sz w:val="20"/>
              </w:rPr>
            </w:pPr>
            <w:r w:rsidRPr="002C394A">
              <w:rPr>
                <w:rFonts w:ascii="Times New Roman" w:hAnsi="Times New Roman"/>
                <w:sz w:val="20"/>
              </w:rPr>
              <w:t>Total</w:t>
            </w:r>
          </w:p>
          <w:p w:rsidRPr="002C394A" w:rsidR="002C394A" w:rsidP="00941783" w:rsidRDefault="002C394A" w14:paraId="3B453756" w14:textId="77777777">
            <w:pPr>
              <w:jc w:val="center"/>
              <w:rPr>
                <w:rFonts w:ascii="Times New Roman" w:hAnsi="Times New Roman"/>
                <w:sz w:val="20"/>
              </w:rPr>
            </w:pPr>
            <w:r w:rsidRPr="002C394A">
              <w:rPr>
                <w:rFonts w:ascii="Times New Roman" w:hAnsi="Times New Roman"/>
                <w:sz w:val="20"/>
              </w:rPr>
              <w:t>Annual</w:t>
            </w:r>
          </w:p>
          <w:p w:rsidRPr="002C394A" w:rsidR="002C394A" w:rsidP="00941783" w:rsidRDefault="002C394A" w14:paraId="6968B5AE" w14:textId="77777777">
            <w:pPr>
              <w:jc w:val="center"/>
              <w:rPr>
                <w:rFonts w:ascii="Times New Roman" w:hAnsi="Times New Roman"/>
                <w:sz w:val="20"/>
              </w:rPr>
            </w:pPr>
            <w:r w:rsidRPr="002C394A">
              <w:rPr>
                <w:rFonts w:ascii="Times New Roman" w:hAnsi="Times New Roman"/>
                <w:sz w:val="20"/>
              </w:rPr>
              <w:t>Responses</w:t>
            </w:r>
          </w:p>
        </w:tc>
        <w:tc>
          <w:tcPr>
            <w:tcW w:w="135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941783" w:rsidRDefault="002C394A" w14:paraId="710ED370" w14:textId="4B5A87F5">
            <w:pPr>
              <w:jc w:val="center"/>
              <w:rPr>
                <w:rFonts w:ascii="Times New Roman" w:hAnsi="Times New Roman"/>
                <w:sz w:val="20"/>
              </w:rPr>
            </w:pPr>
            <w:r w:rsidRPr="002C394A">
              <w:rPr>
                <w:rFonts w:ascii="Times New Roman" w:hAnsi="Times New Roman"/>
                <w:sz w:val="20"/>
              </w:rPr>
              <w:t>Av</w:t>
            </w:r>
            <w:r w:rsidR="00142BEC">
              <w:rPr>
                <w:rFonts w:ascii="Times New Roman" w:hAnsi="Times New Roman"/>
                <w:sz w:val="20"/>
              </w:rPr>
              <w:t xml:space="preserve">g. </w:t>
            </w:r>
            <w:r w:rsidRPr="002C394A">
              <w:rPr>
                <w:rFonts w:ascii="Times New Roman" w:hAnsi="Times New Roman"/>
                <w:sz w:val="20"/>
              </w:rPr>
              <w:t>Burden per Response (in hours)</w:t>
            </w:r>
          </w:p>
        </w:tc>
        <w:tc>
          <w:tcPr>
            <w:tcW w:w="90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941783" w:rsidRDefault="002C394A" w14:paraId="60D259DC" w14:textId="77777777">
            <w:pPr>
              <w:jc w:val="center"/>
              <w:rPr>
                <w:rFonts w:ascii="Times New Roman" w:hAnsi="Times New Roman"/>
                <w:sz w:val="20"/>
              </w:rPr>
            </w:pPr>
            <w:r w:rsidRPr="002C394A">
              <w:rPr>
                <w:rFonts w:ascii="Times New Roman" w:hAnsi="Times New Roman"/>
                <w:sz w:val="20"/>
              </w:rPr>
              <w:t>Total Hours</w:t>
            </w:r>
          </w:p>
        </w:tc>
      </w:tr>
      <w:tr w:rsidRPr="002C394A" w:rsidR="00A317CC" w:rsidTr="0040786E" w14:paraId="7C9C75E8" w14:textId="77777777">
        <w:trPr>
          <w:trHeight w:val="494"/>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1EAFEE9" w14:textId="77777777">
            <w:pPr>
              <w:rPr>
                <w:rFonts w:ascii="Times New Roman" w:hAnsi="Times New Roman"/>
                <w:sz w:val="20"/>
              </w:rPr>
            </w:pPr>
            <w:r w:rsidRPr="002C394A">
              <w:rPr>
                <w:rFonts w:ascii="Times New Roman" w:hAnsi="Times New Roman"/>
                <w:sz w:val="20"/>
              </w:rPr>
              <w:t>SUBPART A (3PLs)</w:t>
            </w:r>
          </w:p>
          <w:p w:rsidRPr="002C394A" w:rsidR="002C394A" w:rsidP="00E12E90" w:rsidRDefault="002C394A" w14:paraId="2F41D955" w14:textId="77777777">
            <w:pPr>
              <w:rPr>
                <w:rFonts w:ascii="Times New Roman" w:hAnsi="Times New Roman"/>
                <w:sz w:val="20"/>
              </w:rPr>
            </w:pPr>
            <w:r w:rsidRPr="002C394A">
              <w:rPr>
                <w:rFonts w:ascii="Times New Roman" w:hAnsi="Times New Roman"/>
                <w:sz w:val="20"/>
              </w:rPr>
              <w:t>§§ 205.5 and 205.6; application and process requirements</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C3B690F" w14:textId="77777777">
            <w:pPr>
              <w:jc w:val="right"/>
              <w:rPr>
                <w:rFonts w:ascii="Times New Roman" w:hAnsi="Times New Roman"/>
                <w:sz w:val="20"/>
              </w:rPr>
            </w:pPr>
            <w:r w:rsidRPr="002C394A">
              <w:rPr>
                <w:rFonts w:ascii="Times New Roman" w:hAnsi="Times New Roman"/>
                <w:sz w:val="20"/>
              </w:rPr>
              <w:t>459</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E3A211A"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714D0ED"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49FFA99" w14:textId="77777777">
            <w:pPr>
              <w:jc w:val="right"/>
              <w:rPr>
                <w:rFonts w:ascii="Times New Roman" w:hAnsi="Times New Roman"/>
                <w:sz w:val="20"/>
              </w:rPr>
            </w:pPr>
            <w:r w:rsidRPr="002C394A">
              <w:rPr>
                <w:rFonts w:ascii="Times New Roman" w:hAnsi="Times New Roman"/>
                <w:sz w:val="20"/>
              </w:rPr>
              <w:t>2</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85DAC01" w14:textId="77777777">
            <w:pPr>
              <w:jc w:val="right"/>
              <w:rPr>
                <w:rFonts w:ascii="Times New Roman" w:hAnsi="Times New Roman"/>
                <w:sz w:val="20"/>
              </w:rPr>
            </w:pPr>
            <w:r w:rsidRPr="002C394A">
              <w:rPr>
                <w:rFonts w:ascii="Times New Roman" w:hAnsi="Times New Roman"/>
                <w:sz w:val="20"/>
              </w:rPr>
              <w:t>918</w:t>
            </w:r>
          </w:p>
        </w:tc>
      </w:tr>
      <w:tr w:rsidRPr="002C394A" w:rsidR="00A317CC" w:rsidTr="0040786E" w14:paraId="3AC248F0" w14:textId="77777777">
        <w:trPr>
          <w:trHeight w:val="224"/>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964336E" w14:textId="77777777">
            <w:pPr>
              <w:rPr>
                <w:rFonts w:ascii="Times New Roman" w:hAnsi="Times New Roman"/>
                <w:sz w:val="20"/>
              </w:rPr>
            </w:pPr>
            <w:r w:rsidRPr="002C394A">
              <w:rPr>
                <w:rFonts w:ascii="Times New Roman" w:hAnsi="Times New Roman"/>
                <w:sz w:val="20"/>
              </w:rPr>
              <w:t>§ 205.7; changes to licensure</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415B70A" w14:textId="77777777">
            <w:pPr>
              <w:jc w:val="right"/>
              <w:rPr>
                <w:rFonts w:ascii="Times New Roman" w:hAnsi="Times New Roman"/>
                <w:sz w:val="20"/>
              </w:rPr>
            </w:pPr>
            <w:r w:rsidRPr="002C394A">
              <w:rPr>
                <w:rFonts w:ascii="Times New Roman" w:hAnsi="Times New Roman"/>
                <w:sz w:val="20"/>
              </w:rPr>
              <w:t>6</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01BB753"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254C9F1" w14:textId="77777777">
            <w:pPr>
              <w:jc w:val="right"/>
              <w:rPr>
                <w:rFonts w:ascii="Times New Roman" w:hAnsi="Times New Roman"/>
                <w:sz w:val="20"/>
              </w:rPr>
            </w:pPr>
            <w:r w:rsidRPr="002C394A">
              <w:rPr>
                <w:rFonts w:ascii="Times New Roman" w:hAnsi="Times New Roman"/>
                <w:sz w:val="20"/>
              </w:rPr>
              <w:t>6</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9D3CD6A" w14:textId="77777777">
            <w:pPr>
              <w:jc w:val="right"/>
              <w:rPr>
                <w:rFonts w:ascii="Times New Roman" w:hAnsi="Times New Roman"/>
                <w:sz w:val="20"/>
              </w:rPr>
            </w:pPr>
            <w:r w:rsidRPr="002C394A">
              <w:rPr>
                <w:rFonts w:ascii="Times New Roman" w:hAnsi="Times New Roman"/>
                <w:sz w:val="20"/>
              </w:rPr>
              <w:t>1</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D7C0B18" w14:textId="77777777">
            <w:pPr>
              <w:jc w:val="right"/>
              <w:rPr>
                <w:rFonts w:ascii="Times New Roman" w:hAnsi="Times New Roman"/>
                <w:sz w:val="20"/>
              </w:rPr>
            </w:pPr>
            <w:r w:rsidRPr="002C394A">
              <w:rPr>
                <w:rFonts w:ascii="Times New Roman" w:hAnsi="Times New Roman"/>
                <w:sz w:val="20"/>
              </w:rPr>
              <w:t>6</w:t>
            </w:r>
          </w:p>
        </w:tc>
      </w:tr>
      <w:tr w:rsidRPr="002C394A" w:rsidR="00A317CC" w:rsidTr="0040786E" w14:paraId="6A7246AB"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A74F6BE" w14:textId="77777777">
            <w:pPr>
              <w:rPr>
                <w:rFonts w:ascii="Times New Roman" w:hAnsi="Times New Roman"/>
                <w:sz w:val="20"/>
              </w:rPr>
            </w:pPr>
            <w:r w:rsidRPr="002C394A">
              <w:rPr>
                <w:rFonts w:ascii="Times New Roman" w:hAnsi="Times New Roman"/>
                <w:sz w:val="20"/>
              </w:rPr>
              <w:t>§ 205.8; expiry and renewal of licensure</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42AA733" w14:textId="77777777">
            <w:pPr>
              <w:jc w:val="right"/>
              <w:rPr>
                <w:rFonts w:ascii="Times New Roman" w:hAnsi="Times New Roman"/>
                <w:sz w:val="20"/>
              </w:rPr>
            </w:pPr>
            <w:r w:rsidRPr="002C394A">
              <w:rPr>
                <w:rFonts w:ascii="Times New Roman" w:hAnsi="Times New Roman"/>
                <w:sz w:val="20"/>
              </w:rPr>
              <w:t>149</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35D10A3"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454377F" w14:textId="77777777">
            <w:pPr>
              <w:jc w:val="right"/>
              <w:rPr>
                <w:rFonts w:ascii="Times New Roman" w:hAnsi="Times New Roman"/>
                <w:sz w:val="20"/>
              </w:rPr>
            </w:pPr>
            <w:r w:rsidRPr="002C394A">
              <w:rPr>
                <w:rFonts w:ascii="Times New Roman" w:hAnsi="Times New Roman"/>
                <w:sz w:val="20"/>
              </w:rPr>
              <w:t>149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DE1EDC3" w14:textId="77777777">
            <w:pPr>
              <w:jc w:val="right"/>
              <w:rPr>
                <w:rFonts w:ascii="Times New Roman" w:hAnsi="Times New Roman"/>
                <w:sz w:val="20"/>
              </w:rPr>
            </w:pPr>
            <w:r w:rsidRPr="002C394A">
              <w:rPr>
                <w:rFonts w:ascii="Times New Roman" w:hAnsi="Times New Roman"/>
                <w:sz w:val="20"/>
              </w:rPr>
              <w:t>1</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F6B1787" w14:textId="77777777">
            <w:pPr>
              <w:jc w:val="right"/>
              <w:rPr>
                <w:rFonts w:ascii="Times New Roman" w:hAnsi="Times New Roman"/>
                <w:sz w:val="20"/>
              </w:rPr>
            </w:pPr>
            <w:r w:rsidRPr="002C394A">
              <w:rPr>
                <w:rFonts w:ascii="Times New Roman" w:hAnsi="Times New Roman"/>
                <w:sz w:val="20"/>
              </w:rPr>
              <w:t>149</w:t>
            </w:r>
          </w:p>
        </w:tc>
      </w:tr>
      <w:tr w:rsidRPr="002C394A" w:rsidR="00A317CC" w:rsidTr="0040786E" w14:paraId="452C953D"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D0E09E7" w14:textId="77777777">
            <w:pPr>
              <w:rPr>
                <w:rFonts w:ascii="Times New Roman" w:hAnsi="Times New Roman"/>
                <w:sz w:val="20"/>
              </w:rPr>
            </w:pPr>
            <w:r w:rsidRPr="002C394A">
              <w:rPr>
                <w:rFonts w:ascii="Times New Roman" w:hAnsi="Times New Roman"/>
                <w:sz w:val="20"/>
              </w:rPr>
              <w:t>§ 205.9; denials, suspensions, reinstatements, revocations</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E9EBF74" w14:textId="77777777">
            <w:pPr>
              <w:jc w:val="right"/>
              <w:rPr>
                <w:rFonts w:ascii="Times New Roman" w:hAnsi="Times New Roman"/>
                <w:sz w:val="20"/>
              </w:rPr>
            </w:pPr>
            <w:r w:rsidRPr="002C394A">
              <w:rPr>
                <w:rFonts w:ascii="Times New Roman" w:hAnsi="Times New Roman"/>
                <w:sz w:val="20"/>
              </w:rPr>
              <w:t>35</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B23AB7F"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276DF41" w14:textId="77777777">
            <w:pPr>
              <w:jc w:val="right"/>
              <w:rPr>
                <w:rFonts w:ascii="Times New Roman" w:hAnsi="Times New Roman"/>
                <w:sz w:val="20"/>
              </w:rPr>
            </w:pPr>
            <w:r w:rsidRPr="002C394A">
              <w:rPr>
                <w:rFonts w:ascii="Times New Roman" w:hAnsi="Times New Roman"/>
                <w:sz w:val="20"/>
              </w:rPr>
              <w:t>35</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55FC2B0" w14:textId="77777777">
            <w:pPr>
              <w:jc w:val="right"/>
              <w:rPr>
                <w:rFonts w:ascii="Times New Roman" w:hAnsi="Times New Roman"/>
                <w:sz w:val="20"/>
              </w:rPr>
            </w:pPr>
            <w:r w:rsidRPr="002C394A">
              <w:rPr>
                <w:rFonts w:ascii="Times New Roman" w:hAnsi="Times New Roman"/>
                <w:sz w:val="20"/>
              </w:rPr>
              <w:t>1</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5BCC05D" w14:textId="77777777">
            <w:pPr>
              <w:jc w:val="right"/>
              <w:rPr>
                <w:rFonts w:ascii="Times New Roman" w:hAnsi="Times New Roman"/>
                <w:sz w:val="20"/>
              </w:rPr>
            </w:pPr>
            <w:r w:rsidRPr="002C394A">
              <w:rPr>
                <w:rFonts w:ascii="Times New Roman" w:hAnsi="Times New Roman"/>
                <w:sz w:val="20"/>
              </w:rPr>
              <w:t>35</w:t>
            </w:r>
          </w:p>
        </w:tc>
      </w:tr>
      <w:tr w:rsidRPr="002C394A" w:rsidR="00A317CC" w:rsidTr="0040786E" w14:paraId="278D8A9D"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A661CC0" w14:textId="77777777">
            <w:pPr>
              <w:rPr>
                <w:rFonts w:ascii="Times New Roman" w:hAnsi="Times New Roman"/>
                <w:sz w:val="20"/>
              </w:rPr>
            </w:pPr>
            <w:r w:rsidRPr="002C394A">
              <w:rPr>
                <w:rFonts w:ascii="Times New Roman" w:hAnsi="Times New Roman"/>
                <w:sz w:val="20"/>
              </w:rPr>
              <w:t>§ 205.11; personnel list</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A69D88E" w14:textId="77777777">
            <w:pPr>
              <w:jc w:val="right"/>
              <w:rPr>
                <w:rFonts w:ascii="Times New Roman" w:hAnsi="Times New Roman"/>
                <w:sz w:val="20"/>
              </w:rPr>
            </w:pPr>
            <w:r w:rsidRPr="002C394A">
              <w:rPr>
                <w:rFonts w:ascii="Times New Roman" w:hAnsi="Times New Roman"/>
                <w:sz w:val="20"/>
              </w:rPr>
              <w:t>459</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9A57B27"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C727085"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D94E23" w14:paraId="1D5360A1" w14:textId="5E81AB2D">
            <w:pPr>
              <w:jc w:val="right"/>
              <w:rPr>
                <w:rFonts w:ascii="Times New Roman" w:hAnsi="Times New Roman"/>
                <w:sz w:val="20"/>
              </w:rPr>
            </w:pPr>
            <w:r>
              <w:rPr>
                <w:rFonts w:ascii="Times New Roman" w:hAnsi="Times New Roman"/>
                <w:sz w:val="20"/>
              </w:rPr>
              <w:t>0</w:t>
            </w:r>
            <w:r w:rsidRPr="002C394A" w:rsidR="002C394A">
              <w:rPr>
                <w:rFonts w:ascii="Times New Roman" w:hAnsi="Times New Roman"/>
                <w:sz w:val="20"/>
              </w:rPr>
              <w:t>.5</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2AED0D0" w14:textId="77777777">
            <w:pPr>
              <w:jc w:val="right"/>
              <w:rPr>
                <w:rFonts w:ascii="Times New Roman" w:hAnsi="Times New Roman"/>
                <w:sz w:val="20"/>
              </w:rPr>
            </w:pPr>
            <w:r w:rsidRPr="002C394A">
              <w:rPr>
                <w:rFonts w:ascii="Times New Roman" w:hAnsi="Times New Roman"/>
                <w:sz w:val="20"/>
              </w:rPr>
              <w:t>230</w:t>
            </w:r>
          </w:p>
        </w:tc>
      </w:tr>
      <w:tr w:rsidRPr="002C394A" w:rsidR="00A317CC" w:rsidTr="0040786E" w14:paraId="49F7CA4C" w14:textId="77777777">
        <w:trPr>
          <w:trHeight w:val="233"/>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C0B74B6" w14:textId="77777777">
            <w:pPr>
              <w:rPr>
                <w:rFonts w:ascii="Times New Roman" w:hAnsi="Times New Roman"/>
                <w:sz w:val="20"/>
              </w:rPr>
            </w:pPr>
            <w:r w:rsidRPr="002C394A">
              <w:rPr>
                <w:rFonts w:ascii="Times New Roman" w:hAnsi="Times New Roman"/>
                <w:sz w:val="20"/>
              </w:rPr>
              <w:lastRenderedPageBreak/>
              <w:t>§ 205.15; annual reports</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E89557D" w14:textId="77777777">
            <w:pPr>
              <w:jc w:val="right"/>
              <w:rPr>
                <w:rFonts w:ascii="Times New Roman" w:hAnsi="Times New Roman"/>
                <w:sz w:val="20"/>
              </w:rPr>
            </w:pPr>
            <w:r w:rsidRPr="002C394A">
              <w:rPr>
                <w:rFonts w:ascii="Times New Roman" w:hAnsi="Times New Roman"/>
                <w:sz w:val="20"/>
              </w:rPr>
              <w:t>459</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5A1817D"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FF17386"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D94E23" w14:paraId="5CE9B0B9" w14:textId="2F90CCC4">
            <w:pPr>
              <w:jc w:val="right"/>
              <w:rPr>
                <w:rFonts w:ascii="Times New Roman" w:hAnsi="Times New Roman"/>
                <w:sz w:val="20"/>
              </w:rPr>
            </w:pPr>
            <w:r>
              <w:rPr>
                <w:rFonts w:ascii="Times New Roman" w:hAnsi="Times New Roman"/>
                <w:sz w:val="20"/>
              </w:rPr>
              <w:t>0</w:t>
            </w:r>
            <w:r w:rsidRPr="002C394A" w:rsidR="002C394A">
              <w:rPr>
                <w:rFonts w:ascii="Times New Roman" w:hAnsi="Times New Roman"/>
                <w:sz w:val="20"/>
              </w:rPr>
              <w:t>.25</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C2D8945" w14:textId="77777777">
            <w:pPr>
              <w:jc w:val="right"/>
              <w:rPr>
                <w:rFonts w:ascii="Times New Roman" w:hAnsi="Times New Roman"/>
                <w:sz w:val="20"/>
              </w:rPr>
            </w:pPr>
            <w:r w:rsidRPr="002C394A">
              <w:rPr>
                <w:rFonts w:ascii="Times New Roman" w:hAnsi="Times New Roman"/>
                <w:sz w:val="20"/>
              </w:rPr>
              <w:t>115</w:t>
            </w:r>
          </w:p>
        </w:tc>
      </w:tr>
      <w:tr w:rsidRPr="002C394A" w:rsidR="00A317CC" w:rsidTr="0040786E" w14:paraId="5CEDBCFE"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218A239" w14:textId="77777777">
            <w:pPr>
              <w:rPr>
                <w:rFonts w:ascii="Times New Roman" w:hAnsi="Times New Roman"/>
                <w:sz w:val="20"/>
              </w:rPr>
            </w:pPr>
            <w:r w:rsidRPr="002C394A">
              <w:rPr>
                <w:rFonts w:ascii="Times New Roman" w:hAnsi="Times New Roman"/>
                <w:sz w:val="20"/>
              </w:rPr>
              <w:t>SUBPART B (Approved Organizations for 3PLs)</w:t>
            </w:r>
          </w:p>
          <w:p w:rsidRPr="002C394A" w:rsidR="002C394A" w:rsidP="00E12E90" w:rsidRDefault="002C394A" w14:paraId="46142BAA" w14:textId="77777777">
            <w:pPr>
              <w:rPr>
                <w:rFonts w:ascii="Times New Roman" w:hAnsi="Times New Roman"/>
                <w:sz w:val="20"/>
              </w:rPr>
            </w:pPr>
            <w:r w:rsidRPr="002C394A">
              <w:rPr>
                <w:rFonts w:ascii="Times New Roman" w:hAnsi="Times New Roman"/>
                <w:sz w:val="20"/>
              </w:rPr>
              <w:t xml:space="preserve">§ 205.17; licensure review and inspection reports of 3PL facilities </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EDBF320" w14:textId="77777777">
            <w:pPr>
              <w:jc w:val="right"/>
              <w:rPr>
                <w:rFonts w:ascii="Times New Roman" w:hAnsi="Times New Roman"/>
                <w:sz w:val="20"/>
              </w:rPr>
            </w:pPr>
            <w:r w:rsidRPr="002C394A">
              <w:rPr>
                <w:rFonts w:ascii="Times New Roman" w:hAnsi="Times New Roman"/>
                <w:sz w:val="20"/>
              </w:rPr>
              <w:t>6</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70AC85A" w14:textId="77777777">
            <w:pPr>
              <w:jc w:val="right"/>
              <w:rPr>
                <w:rFonts w:ascii="Times New Roman" w:hAnsi="Times New Roman"/>
                <w:sz w:val="20"/>
              </w:rPr>
            </w:pPr>
            <w:r w:rsidRPr="002C394A">
              <w:rPr>
                <w:rFonts w:ascii="Times New Roman" w:hAnsi="Times New Roman"/>
                <w:sz w:val="20"/>
              </w:rPr>
              <w:t>15</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3B4E13C" w14:textId="77777777">
            <w:pPr>
              <w:jc w:val="right"/>
              <w:rPr>
                <w:rFonts w:ascii="Times New Roman" w:hAnsi="Times New Roman"/>
                <w:sz w:val="20"/>
              </w:rPr>
            </w:pPr>
            <w:r w:rsidRPr="002C394A">
              <w:rPr>
                <w:rFonts w:ascii="Times New Roman" w:hAnsi="Times New Roman"/>
                <w:sz w:val="20"/>
              </w:rPr>
              <w:t>90</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D31B202" w14:textId="77777777">
            <w:pPr>
              <w:jc w:val="right"/>
              <w:rPr>
                <w:rFonts w:ascii="Times New Roman" w:hAnsi="Times New Roman"/>
                <w:sz w:val="20"/>
              </w:rPr>
            </w:pPr>
            <w:r w:rsidRPr="002C394A">
              <w:rPr>
                <w:rFonts w:ascii="Times New Roman" w:hAnsi="Times New Roman"/>
                <w:sz w:val="20"/>
              </w:rPr>
              <w:t>5</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686D030" w14:textId="77777777">
            <w:pPr>
              <w:jc w:val="right"/>
              <w:rPr>
                <w:rFonts w:ascii="Times New Roman" w:hAnsi="Times New Roman"/>
                <w:sz w:val="20"/>
              </w:rPr>
            </w:pPr>
            <w:r w:rsidRPr="002C394A">
              <w:rPr>
                <w:rFonts w:ascii="Times New Roman" w:hAnsi="Times New Roman"/>
                <w:sz w:val="20"/>
              </w:rPr>
              <w:t>450</w:t>
            </w:r>
          </w:p>
        </w:tc>
      </w:tr>
      <w:tr w:rsidRPr="002C394A" w:rsidR="00A317CC" w:rsidTr="0040786E" w14:paraId="4066CAA0"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7784A45" w14:textId="77777777">
            <w:pPr>
              <w:rPr>
                <w:rFonts w:ascii="Times New Roman" w:hAnsi="Times New Roman"/>
                <w:sz w:val="20"/>
              </w:rPr>
            </w:pPr>
            <w:r w:rsidRPr="002C394A">
              <w:rPr>
                <w:rFonts w:ascii="Times New Roman" w:hAnsi="Times New Roman"/>
                <w:sz w:val="20"/>
              </w:rPr>
              <w:t>§ 205.19; applications, denials, revocations, suspensions, renewals, reinstatements for AO status</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CC6056B" w14:textId="77777777">
            <w:pPr>
              <w:jc w:val="right"/>
              <w:rPr>
                <w:rFonts w:ascii="Times New Roman" w:hAnsi="Times New Roman"/>
                <w:sz w:val="20"/>
              </w:rPr>
            </w:pPr>
            <w:r w:rsidRPr="002C394A">
              <w:rPr>
                <w:rFonts w:ascii="Times New Roman" w:hAnsi="Times New Roman"/>
                <w:sz w:val="20"/>
              </w:rPr>
              <w:t>3</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3CAB73B"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2E438B5" w14:textId="77777777">
            <w:pPr>
              <w:jc w:val="right"/>
              <w:rPr>
                <w:rFonts w:ascii="Times New Roman" w:hAnsi="Times New Roman"/>
                <w:sz w:val="20"/>
              </w:rPr>
            </w:pPr>
            <w:r w:rsidRPr="002C394A">
              <w:rPr>
                <w:rFonts w:ascii="Times New Roman" w:hAnsi="Times New Roman"/>
                <w:sz w:val="20"/>
              </w:rPr>
              <w:t>3</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86075A2" w14:textId="77777777">
            <w:pPr>
              <w:jc w:val="right"/>
              <w:rPr>
                <w:rFonts w:ascii="Times New Roman" w:hAnsi="Times New Roman"/>
                <w:sz w:val="20"/>
              </w:rPr>
            </w:pPr>
            <w:r w:rsidRPr="002C394A">
              <w:rPr>
                <w:rFonts w:ascii="Times New Roman" w:hAnsi="Times New Roman"/>
                <w:sz w:val="20"/>
              </w:rPr>
              <w:t>2</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78DA7AF" w14:textId="77777777">
            <w:pPr>
              <w:jc w:val="right"/>
              <w:rPr>
                <w:rFonts w:ascii="Times New Roman" w:hAnsi="Times New Roman"/>
                <w:sz w:val="20"/>
              </w:rPr>
            </w:pPr>
            <w:r w:rsidRPr="002C394A">
              <w:rPr>
                <w:rFonts w:ascii="Times New Roman" w:hAnsi="Times New Roman"/>
                <w:sz w:val="20"/>
              </w:rPr>
              <w:t>6</w:t>
            </w:r>
          </w:p>
        </w:tc>
      </w:tr>
      <w:tr w:rsidRPr="002C394A" w:rsidR="00A317CC" w:rsidTr="0040786E" w14:paraId="2B524623"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278451A" w14:textId="77777777">
            <w:pPr>
              <w:rPr>
                <w:rFonts w:ascii="Times New Roman" w:hAnsi="Times New Roman"/>
                <w:sz w:val="20"/>
              </w:rPr>
            </w:pPr>
            <w:r w:rsidRPr="002C394A">
              <w:rPr>
                <w:rFonts w:ascii="Times New Roman" w:hAnsi="Times New Roman"/>
                <w:sz w:val="20"/>
              </w:rPr>
              <w:t>SUBPART C (WDD Standards)</w:t>
            </w:r>
          </w:p>
          <w:p w:rsidRPr="002C394A" w:rsidR="002C394A" w:rsidP="00E12E90" w:rsidRDefault="002C394A" w14:paraId="1AFFBC48" w14:textId="77777777">
            <w:pPr>
              <w:rPr>
                <w:rFonts w:ascii="Times New Roman" w:hAnsi="Times New Roman"/>
                <w:sz w:val="20"/>
              </w:rPr>
            </w:pPr>
            <w:r w:rsidRPr="002C394A">
              <w:rPr>
                <w:rFonts w:ascii="Times New Roman" w:hAnsi="Times New Roman"/>
                <w:sz w:val="20"/>
              </w:rPr>
              <w:t>§§ 205.22 and 205.23; application and process requirements for licensure</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FE6D4B8" w14:textId="77777777">
            <w:pPr>
              <w:jc w:val="right"/>
              <w:rPr>
                <w:rFonts w:ascii="Times New Roman" w:hAnsi="Times New Roman"/>
                <w:sz w:val="20"/>
              </w:rPr>
            </w:pPr>
            <w:r w:rsidRPr="002C394A">
              <w:rPr>
                <w:rFonts w:ascii="Times New Roman" w:hAnsi="Times New Roman"/>
                <w:sz w:val="20"/>
              </w:rPr>
              <w:t>1,951</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57B8A62"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F78AEE3" w14:textId="77777777">
            <w:pPr>
              <w:jc w:val="right"/>
              <w:rPr>
                <w:rFonts w:ascii="Times New Roman" w:hAnsi="Times New Roman"/>
                <w:sz w:val="20"/>
              </w:rPr>
            </w:pPr>
            <w:r w:rsidRPr="002C394A">
              <w:rPr>
                <w:rFonts w:ascii="Times New Roman" w:hAnsi="Times New Roman"/>
                <w:sz w:val="20"/>
              </w:rPr>
              <w:t>1,951</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3DA19C6" w14:textId="77777777">
            <w:pPr>
              <w:jc w:val="right"/>
              <w:rPr>
                <w:rFonts w:ascii="Times New Roman" w:hAnsi="Times New Roman"/>
                <w:sz w:val="20"/>
              </w:rPr>
            </w:pPr>
            <w:r w:rsidRPr="002C394A">
              <w:rPr>
                <w:rFonts w:ascii="Times New Roman" w:hAnsi="Times New Roman"/>
                <w:sz w:val="20"/>
              </w:rPr>
              <w:t>2</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11B9C91" w14:textId="77777777">
            <w:pPr>
              <w:jc w:val="right"/>
              <w:rPr>
                <w:rFonts w:ascii="Times New Roman" w:hAnsi="Times New Roman"/>
                <w:sz w:val="20"/>
              </w:rPr>
            </w:pPr>
            <w:r w:rsidRPr="002C394A">
              <w:rPr>
                <w:rFonts w:ascii="Times New Roman" w:hAnsi="Times New Roman"/>
                <w:sz w:val="20"/>
              </w:rPr>
              <w:t>3,902</w:t>
            </w:r>
          </w:p>
        </w:tc>
      </w:tr>
      <w:tr w:rsidRPr="002C394A" w:rsidR="00A317CC" w:rsidTr="0040786E" w14:paraId="2D2FDD78"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E596FEE" w14:textId="77777777">
            <w:pPr>
              <w:rPr>
                <w:rFonts w:ascii="Times New Roman" w:hAnsi="Times New Roman"/>
                <w:sz w:val="20"/>
              </w:rPr>
            </w:pPr>
            <w:r w:rsidRPr="002C394A">
              <w:rPr>
                <w:rFonts w:ascii="Times New Roman" w:hAnsi="Times New Roman"/>
                <w:sz w:val="20"/>
              </w:rPr>
              <w:t>§ 205.24; changes to WDD information</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827AE51" w14:textId="77777777">
            <w:pPr>
              <w:jc w:val="right"/>
              <w:rPr>
                <w:rFonts w:ascii="Times New Roman" w:hAnsi="Times New Roman"/>
                <w:sz w:val="20"/>
              </w:rPr>
            </w:pPr>
            <w:r w:rsidRPr="002C394A">
              <w:rPr>
                <w:rFonts w:ascii="Times New Roman" w:hAnsi="Times New Roman"/>
                <w:sz w:val="20"/>
              </w:rPr>
              <w:t>39</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5571D63"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A0F2F24" w14:textId="77777777">
            <w:pPr>
              <w:jc w:val="right"/>
              <w:rPr>
                <w:rFonts w:ascii="Times New Roman" w:hAnsi="Times New Roman"/>
                <w:sz w:val="20"/>
              </w:rPr>
            </w:pPr>
            <w:r w:rsidRPr="002C394A">
              <w:rPr>
                <w:rFonts w:ascii="Times New Roman" w:hAnsi="Times New Roman"/>
                <w:sz w:val="20"/>
              </w:rPr>
              <w:t>39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3903930" w14:textId="77777777">
            <w:pPr>
              <w:jc w:val="right"/>
              <w:rPr>
                <w:rFonts w:ascii="Times New Roman" w:hAnsi="Times New Roman"/>
                <w:sz w:val="20"/>
              </w:rPr>
            </w:pPr>
            <w:r w:rsidRPr="002C394A">
              <w:rPr>
                <w:rFonts w:ascii="Times New Roman" w:hAnsi="Times New Roman"/>
                <w:sz w:val="20"/>
              </w:rPr>
              <w:t>1</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EEEE0B8" w14:textId="77777777">
            <w:pPr>
              <w:jc w:val="right"/>
              <w:rPr>
                <w:rFonts w:ascii="Times New Roman" w:hAnsi="Times New Roman"/>
                <w:sz w:val="20"/>
              </w:rPr>
            </w:pPr>
            <w:r w:rsidRPr="002C394A">
              <w:rPr>
                <w:rFonts w:ascii="Times New Roman" w:hAnsi="Times New Roman"/>
                <w:sz w:val="20"/>
              </w:rPr>
              <w:t>39</w:t>
            </w:r>
          </w:p>
        </w:tc>
      </w:tr>
      <w:tr w:rsidRPr="002C394A" w:rsidR="00A317CC" w:rsidTr="0040786E" w14:paraId="565207B1"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0500A5B" w14:textId="77777777">
            <w:pPr>
              <w:rPr>
                <w:rFonts w:ascii="Times New Roman" w:hAnsi="Times New Roman"/>
                <w:sz w:val="20"/>
              </w:rPr>
            </w:pPr>
            <w:r w:rsidRPr="002C394A">
              <w:rPr>
                <w:rFonts w:ascii="Times New Roman" w:hAnsi="Times New Roman"/>
                <w:sz w:val="20"/>
              </w:rPr>
              <w:t>§ 205.26; confirmation of theft or loss of Rx drug</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9A9FCA8" w14:textId="77777777">
            <w:pPr>
              <w:jc w:val="right"/>
              <w:rPr>
                <w:rFonts w:ascii="Times New Roman" w:hAnsi="Times New Roman"/>
                <w:sz w:val="20"/>
              </w:rPr>
            </w:pPr>
            <w:r w:rsidRPr="002C394A">
              <w:rPr>
                <w:rFonts w:ascii="Times New Roman" w:hAnsi="Times New Roman"/>
                <w:sz w:val="20"/>
              </w:rPr>
              <w:t>25</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94E8A54"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51D956D" w14:textId="77777777">
            <w:pPr>
              <w:jc w:val="right"/>
              <w:rPr>
                <w:rFonts w:ascii="Times New Roman" w:hAnsi="Times New Roman"/>
                <w:sz w:val="20"/>
              </w:rPr>
            </w:pPr>
            <w:r w:rsidRPr="002C394A">
              <w:rPr>
                <w:rFonts w:ascii="Times New Roman" w:hAnsi="Times New Roman"/>
                <w:sz w:val="20"/>
              </w:rPr>
              <w:t>25</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D94E23" w14:paraId="3AFA596E" w14:textId="610C58DD">
            <w:pPr>
              <w:jc w:val="right"/>
              <w:rPr>
                <w:rFonts w:ascii="Times New Roman" w:hAnsi="Times New Roman"/>
                <w:sz w:val="20"/>
              </w:rPr>
            </w:pPr>
            <w:r>
              <w:rPr>
                <w:rFonts w:ascii="Times New Roman" w:hAnsi="Times New Roman"/>
                <w:sz w:val="20"/>
              </w:rPr>
              <w:t>0</w:t>
            </w:r>
            <w:r w:rsidRPr="002C394A" w:rsidR="002C394A">
              <w:rPr>
                <w:rFonts w:ascii="Times New Roman" w:hAnsi="Times New Roman"/>
                <w:sz w:val="20"/>
              </w:rPr>
              <w:t>.5</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1459AD7" w14:textId="77777777">
            <w:pPr>
              <w:jc w:val="right"/>
              <w:rPr>
                <w:rFonts w:ascii="Times New Roman" w:hAnsi="Times New Roman"/>
                <w:sz w:val="20"/>
              </w:rPr>
            </w:pPr>
            <w:r w:rsidRPr="002C394A">
              <w:rPr>
                <w:rFonts w:ascii="Times New Roman" w:hAnsi="Times New Roman"/>
                <w:sz w:val="20"/>
              </w:rPr>
              <w:t>13</w:t>
            </w:r>
          </w:p>
        </w:tc>
      </w:tr>
      <w:tr w:rsidRPr="002C394A" w:rsidR="00A317CC" w:rsidTr="0040786E" w14:paraId="21F1F46A"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3FDE61F" w14:textId="77777777">
            <w:pPr>
              <w:rPr>
                <w:rFonts w:ascii="Times New Roman" w:hAnsi="Times New Roman"/>
                <w:sz w:val="20"/>
              </w:rPr>
            </w:pPr>
            <w:r w:rsidRPr="002C394A">
              <w:rPr>
                <w:rFonts w:ascii="Times New Roman" w:hAnsi="Times New Roman"/>
                <w:sz w:val="20"/>
              </w:rPr>
              <w:t>§§ 205.29 and 205.30; denials, suspensions, reinstatements, revisions, and terminations – requests for hearing</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E71FE6A" w14:textId="77777777">
            <w:pPr>
              <w:jc w:val="right"/>
              <w:rPr>
                <w:rFonts w:ascii="Times New Roman" w:hAnsi="Times New Roman"/>
                <w:sz w:val="20"/>
              </w:rPr>
            </w:pPr>
            <w:r w:rsidRPr="002C394A">
              <w:rPr>
                <w:rFonts w:ascii="Times New Roman" w:hAnsi="Times New Roman"/>
                <w:sz w:val="20"/>
              </w:rPr>
              <w:t>38</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63A0977"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B89F5B9" w14:textId="77777777">
            <w:pPr>
              <w:jc w:val="right"/>
              <w:rPr>
                <w:rFonts w:ascii="Times New Roman" w:hAnsi="Times New Roman"/>
                <w:sz w:val="20"/>
              </w:rPr>
            </w:pPr>
            <w:r w:rsidRPr="002C394A">
              <w:rPr>
                <w:rFonts w:ascii="Times New Roman" w:hAnsi="Times New Roman"/>
                <w:sz w:val="20"/>
              </w:rPr>
              <w:t>38</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6A4655E" w14:textId="77777777">
            <w:pPr>
              <w:jc w:val="right"/>
              <w:rPr>
                <w:rFonts w:ascii="Times New Roman" w:hAnsi="Times New Roman"/>
                <w:sz w:val="20"/>
              </w:rPr>
            </w:pPr>
            <w:r w:rsidRPr="002C394A">
              <w:rPr>
                <w:rFonts w:ascii="Times New Roman" w:hAnsi="Times New Roman"/>
                <w:sz w:val="20"/>
              </w:rPr>
              <w:t>1</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BD1929A" w14:textId="77777777">
            <w:pPr>
              <w:jc w:val="right"/>
              <w:rPr>
                <w:rFonts w:ascii="Times New Roman" w:hAnsi="Times New Roman"/>
                <w:sz w:val="20"/>
              </w:rPr>
            </w:pPr>
            <w:r w:rsidRPr="002C394A">
              <w:rPr>
                <w:rFonts w:ascii="Times New Roman" w:hAnsi="Times New Roman"/>
                <w:sz w:val="20"/>
              </w:rPr>
              <w:t>38</w:t>
            </w:r>
          </w:p>
        </w:tc>
      </w:tr>
      <w:tr w:rsidRPr="002C394A" w:rsidR="00A317CC" w:rsidTr="0040786E" w14:paraId="31FF225B"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A3A5182" w14:textId="77777777">
            <w:pPr>
              <w:rPr>
                <w:rFonts w:ascii="Times New Roman" w:hAnsi="Times New Roman"/>
                <w:sz w:val="20"/>
              </w:rPr>
            </w:pPr>
            <w:r w:rsidRPr="002C394A">
              <w:rPr>
                <w:rFonts w:ascii="Times New Roman" w:hAnsi="Times New Roman"/>
                <w:sz w:val="20"/>
              </w:rPr>
              <w:t>§ 205.29(a) – WDD annual reports</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A55E19D" w14:textId="77777777">
            <w:pPr>
              <w:jc w:val="right"/>
              <w:rPr>
                <w:rFonts w:ascii="Times New Roman" w:hAnsi="Times New Roman"/>
                <w:sz w:val="20"/>
              </w:rPr>
            </w:pPr>
            <w:r w:rsidRPr="002C394A">
              <w:rPr>
                <w:rFonts w:ascii="Times New Roman" w:hAnsi="Times New Roman"/>
                <w:sz w:val="20"/>
              </w:rPr>
              <w:t>1,951</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BBD0167" w14:textId="77777777">
            <w:pPr>
              <w:jc w:val="right"/>
              <w:rPr>
                <w:rFonts w:ascii="Times New Roman" w:hAnsi="Times New Roman"/>
                <w:sz w:val="20"/>
              </w:rPr>
            </w:pPr>
            <w:r w:rsidRPr="002C394A">
              <w:rPr>
                <w:rFonts w:ascii="Times New Roman" w:hAnsi="Times New Roman"/>
                <w:sz w:val="20"/>
              </w:rPr>
              <w:t>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CEB9D31" w14:textId="77777777">
            <w:pPr>
              <w:jc w:val="right"/>
              <w:rPr>
                <w:rFonts w:ascii="Times New Roman" w:hAnsi="Times New Roman"/>
                <w:sz w:val="20"/>
              </w:rPr>
            </w:pPr>
            <w:r w:rsidRPr="002C394A">
              <w:rPr>
                <w:rFonts w:ascii="Times New Roman" w:hAnsi="Times New Roman"/>
                <w:sz w:val="20"/>
              </w:rPr>
              <w:t>1,951</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5FA334C" w14:textId="77777777">
            <w:pPr>
              <w:jc w:val="right"/>
              <w:rPr>
                <w:rFonts w:ascii="Times New Roman" w:hAnsi="Times New Roman"/>
                <w:sz w:val="20"/>
              </w:rPr>
            </w:pPr>
            <w:r w:rsidRPr="002C394A">
              <w:rPr>
                <w:rFonts w:ascii="Times New Roman" w:hAnsi="Times New Roman"/>
                <w:sz w:val="20"/>
              </w:rPr>
              <w:t>1</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A8EC3EC" w14:textId="77777777">
            <w:pPr>
              <w:jc w:val="right"/>
              <w:rPr>
                <w:rFonts w:ascii="Times New Roman" w:hAnsi="Times New Roman"/>
                <w:sz w:val="20"/>
              </w:rPr>
            </w:pPr>
            <w:r w:rsidRPr="002C394A">
              <w:rPr>
                <w:rFonts w:ascii="Times New Roman" w:hAnsi="Times New Roman"/>
                <w:sz w:val="20"/>
              </w:rPr>
              <w:t>1,951</w:t>
            </w:r>
          </w:p>
        </w:tc>
      </w:tr>
      <w:tr w:rsidRPr="002C394A" w:rsidR="00A317CC" w:rsidTr="0040786E" w14:paraId="11A6F181"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3D5CCEF" w14:textId="77777777">
            <w:pPr>
              <w:rPr>
                <w:rFonts w:ascii="Times New Roman" w:hAnsi="Times New Roman"/>
                <w:sz w:val="20"/>
              </w:rPr>
            </w:pPr>
            <w:r w:rsidRPr="002C394A">
              <w:rPr>
                <w:rFonts w:ascii="Times New Roman" w:hAnsi="Times New Roman"/>
                <w:sz w:val="20"/>
              </w:rPr>
              <w:t>SUBPART D (Approved Organizations for WDDs)</w:t>
            </w:r>
          </w:p>
          <w:p w:rsidRPr="002C394A" w:rsidR="002C394A" w:rsidP="00E12E90" w:rsidRDefault="002C394A" w14:paraId="5C23B86D" w14:textId="77777777">
            <w:pPr>
              <w:rPr>
                <w:rFonts w:ascii="Times New Roman" w:hAnsi="Times New Roman"/>
                <w:sz w:val="20"/>
              </w:rPr>
            </w:pPr>
            <w:r w:rsidRPr="002C394A">
              <w:rPr>
                <w:rFonts w:ascii="Times New Roman" w:hAnsi="Times New Roman"/>
                <w:sz w:val="20"/>
              </w:rPr>
              <w:t>§§ 205.32 and 205.33; documentation of qualifications and disclosures to FDA</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1671200" w14:textId="77777777">
            <w:pPr>
              <w:jc w:val="right"/>
              <w:rPr>
                <w:rFonts w:ascii="Times New Roman" w:hAnsi="Times New Roman"/>
                <w:sz w:val="20"/>
              </w:rPr>
            </w:pPr>
            <w:r w:rsidRPr="002C394A">
              <w:rPr>
                <w:rFonts w:ascii="Times New Roman" w:hAnsi="Times New Roman"/>
                <w:sz w:val="20"/>
              </w:rPr>
              <w:t>6</w:t>
            </w: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A2A7320" w14:textId="77777777">
            <w:pPr>
              <w:jc w:val="right"/>
              <w:rPr>
                <w:rFonts w:ascii="Times New Roman" w:hAnsi="Times New Roman"/>
                <w:sz w:val="20"/>
              </w:rPr>
            </w:pPr>
            <w:r w:rsidRPr="002C394A">
              <w:rPr>
                <w:rFonts w:ascii="Times New Roman" w:hAnsi="Times New Roman"/>
                <w:sz w:val="20"/>
              </w:rPr>
              <w:t>31</w:t>
            </w: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98F6665" w14:textId="77777777">
            <w:pPr>
              <w:jc w:val="right"/>
              <w:rPr>
                <w:rFonts w:ascii="Times New Roman" w:hAnsi="Times New Roman"/>
                <w:sz w:val="20"/>
              </w:rPr>
            </w:pPr>
            <w:r w:rsidRPr="002C394A">
              <w:rPr>
                <w:rFonts w:ascii="Times New Roman" w:hAnsi="Times New Roman"/>
                <w:sz w:val="20"/>
              </w:rPr>
              <w:t>186</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D580D60" w14:textId="77777777">
            <w:pPr>
              <w:jc w:val="right"/>
              <w:rPr>
                <w:rFonts w:ascii="Times New Roman" w:hAnsi="Times New Roman"/>
                <w:sz w:val="20"/>
              </w:rPr>
            </w:pPr>
            <w:r w:rsidRPr="002C394A">
              <w:rPr>
                <w:rFonts w:ascii="Times New Roman" w:hAnsi="Times New Roman"/>
                <w:sz w:val="20"/>
              </w:rPr>
              <w:t>5</w:t>
            </w: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6061029" w14:textId="77777777">
            <w:pPr>
              <w:jc w:val="right"/>
              <w:rPr>
                <w:rFonts w:ascii="Times New Roman" w:hAnsi="Times New Roman"/>
                <w:sz w:val="20"/>
              </w:rPr>
            </w:pPr>
            <w:r w:rsidRPr="002C394A">
              <w:rPr>
                <w:rFonts w:ascii="Times New Roman" w:hAnsi="Times New Roman"/>
                <w:sz w:val="20"/>
              </w:rPr>
              <w:t>930</w:t>
            </w:r>
          </w:p>
        </w:tc>
      </w:tr>
      <w:tr w:rsidRPr="002C394A" w:rsidR="00A317CC" w:rsidTr="0040786E" w14:paraId="4CDA52E3" w14:textId="77777777">
        <w:trPr>
          <w:trHeight w:val="332"/>
        </w:trPr>
        <w:tc>
          <w:tcPr>
            <w:tcW w:w="351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C8B97F6" w14:textId="77777777">
            <w:pPr>
              <w:rPr>
                <w:rFonts w:ascii="Times New Roman" w:hAnsi="Times New Roman"/>
                <w:sz w:val="20"/>
              </w:rPr>
            </w:pPr>
            <w:r w:rsidRPr="002C394A">
              <w:rPr>
                <w:rFonts w:ascii="Times New Roman" w:hAnsi="Times New Roman"/>
                <w:sz w:val="20"/>
              </w:rPr>
              <w:t>Total</w:t>
            </w:r>
          </w:p>
        </w:tc>
        <w:tc>
          <w:tcPr>
            <w:tcW w:w="1208"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25197C1" w14:textId="77777777">
            <w:pPr>
              <w:jc w:val="right"/>
              <w:rPr>
                <w:rFonts w:ascii="Times New Roman" w:hAnsi="Times New Roman"/>
                <w:sz w:val="20"/>
              </w:rPr>
            </w:pPr>
          </w:p>
        </w:tc>
        <w:tc>
          <w:tcPr>
            <w:tcW w:w="1402"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F37835B" w14:textId="77777777">
            <w:pPr>
              <w:jc w:val="right"/>
              <w:rPr>
                <w:rFonts w:ascii="Times New Roman" w:hAnsi="Times New Roman"/>
                <w:sz w:val="20"/>
              </w:rPr>
            </w:pPr>
          </w:p>
        </w:tc>
        <w:tc>
          <w:tcPr>
            <w:tcW w:w="117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FB71565" w14:textId="07390E6C">
            <w:pPr>
              <w:jc w:val="right"/>
              <w:rPr>
                <w:rFonts w:ascii="Times New Roman" w:hAnsi="Times New Roman"/>
                <w:sz w:val="20"/>
              </w:rPr>
            </w:pPr>
            <w:r w:rsidRPr="002C394A">
              <w:rPr>
                <w:rFonts w:ascii="Times New Roman" w:hAnsi="Times New Roman"/>
                <w:sz w:val="20"/>
              </w:rPr>
              <w:t>5,8</w:t>
            </w:r>
            <w:r w:rsidR="00A317CC">
              <w:rPr>
                <w:rFonts w:ascii="Times New Roman" w:hAnsi="Times New Roman"/>
                <w:sz w:val="20"/>
              </w:rPr>
              <w:t>5</w:t>
            </w:r>
            <w:r w:rsidRPr="002C394A">
              <w:rPr>
                <w:rFonts w:ascii="Times New Roman" w:hAnsi="Times New Roman"/>
                <w:sz w:val="20"/>
              </w:rPr>
              <w:t>0</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DBCADA4" w14:textId="77777777">
            <w:pPr>
              <w:jc w:val="right"/>
              <w:rPr>
                <w:rFonts w:ascii="Times New Roman" w:hAnsi="Times New Roman"/>
                <w:sz w:val="20"/>
              </w:rPr>
            </w:pPr>
          </w:p>
        </w:tc>
        <w:tc>
          <w:tcPr>
            <w:tcW w:w="900" w:type="dxa"/>
            <w:tcBorders>
              <w:top w:val="single" w:color="000000" w:sz="8" w:space="0"/>
              <w:left w:val="single" w:color="000000" w:sz="8" w:space="0"/>
              <w:bottom w:val="single" w:color="000000" w:sz="8" w:space="0"/>
              <w:right w:val="single" w:color="000000" w:sz="8" w:space="0"/>
            </w:tcBorders>
          </w:tcPr>
          <w:p w:rsidRPr="002C394A" w:rsidR="002C394A" w:rsidP="00E12E90" w:rsidRDefault="00A317CC" w14:paraId="3A5E406C" w14:textId="4CB6ACF8">
            <w:pPr>
              <w:jc w:val="right"/>
              <w:rPr>
                <w:rFonts w:ascii="Times New Roman" w:hAnsi="Times New Roman"/>
                <w:sz w:val="20"/>
              </w:rPr>
            </w:pPr>
            <w:r>
              <w:rPr>
                <w:rFonts w:ascii="Times New Roman" w:hAnsi="Times New Roman"/>
                <w:sz w:val="20"/>
              </w:rPr>
              <w:t>8,782</w:t>
            </w:r>
          </w:p>
        </w:tc>
      </w:tr>
    </w:tbl>
    <w:p w:rsidR="001A60C2" w:rsidP="00E12E90" w:rsidRDefault="001A60C2" w14:paraId="679E0D11" w14:textId="370F8D27">
      <w:pPr>
        <w:widowControl/>
        <w:spacing w:after="200" w:line="276" w:lineRule="auto"/>
        <w:rPr>
          <w:rFonts w:ascii="Times New Roman" w:hAnsi="Times New Roman"/>
          <w:sz w:val="20"/>
          <w:vertAlign w:val="superscript"/>
        </w:rPr>
      </w:pPr>
    </w:p>
    <w:p w:rsidRPr="002C394A" w:rsidR="002C394A" w:rsidP="00E12E90" w:rsidRDefault="002C394A" w14:paraId="2E3D8B89" w14:textId="2D319124">
      <w:pPr>
        <w:jc w:val="center"/>
        <w:rPr>
          <w:rFonts w:ascii="Times New Roman" w:hAnsi="Times New Roman"/>
          <w:sz w:val="20"/>
        </w:rPr>
      </w:pPr>
      <w:r w:rsidRPr="002C394A">
        <w:rPr>
          <w:rFonts w:ascii="Times New Roman" w:hAnsi="Times New Roman"/>
          <w:sz w:val="20"/>
        </w:rPr>
        <w:t xml:space="preserve">Table </w:t>
      </w:r>
      <w:r w:rsidR="001A60C2">
        <w:rPr>
          <w:rFonts w:ascii="Times New Roman" w:hAnsi="Times New Roman"/>
          <w:sz w:val="20"/>
        </w:rPr>
        <w:t>2</w:t>
      </w:r>
      <w:r w:rsidRPr="002C394A">
        <w:rPr>
          <w:rFonts w:ascii="Times New Roman" w:hAnsi="Times New Roman"/>
          <w:sz w:val="20"/>
        </w:rPr>
        <w:t>.--Estimated Annual Recordkeeping Burden</w:t>
      </w:r>
      <w:r w:rsidRPr="002C394A">
        <w:rPr>
          <w:rFonts w:ascii="Times New Roman" w:hAnsi="Times New Roman"/>
          <w:sz w:val="20"/>
          <w:vertAlign w:val="superscript"/>
        </w:rPr>
        <w:t>1</w:t>
      </w:r>
    </w:p>
    <w:tbl>
      <w:tblPr>
        <w:tblW w:w="9450" w:type="dxa"/>
        <w:tblCellMar>
          <w:top w:w="17" w:type="dxa"/>
          <w:left w:w="120" w:type="dxa"/>
          <w:right w:w="65" w:type="dxa"/>
        </w:tblCellMar>
        <w:tblLook w:val="04A0" w:firstRow="1" w:lastRow="0" w:firstColumn="1" w:lastColumn="0" w:noHBand="0" w:noVBand="1"/>
      </w:tblPr>
      <w:tblGrid>
        <w:gridCol w:w="3500"/>
        <w:gridCol w:w="1350"/>
        <w:gridCol w:w="1350"/>
        <w:gridCol w:w="1080"/>
        <w:gridCol w:w="1265"/>
        <w:gridCol w:w="905"/>
      </w:tblGrid>
      <w:tr w:rsidRPr="002C394A" w:rsidR="002C394A" w:rsidTr="00941783" w14:paraId="5EB2E2DE" w14:textId="77777777">
        <w:trPr>
          <w:cantSplit/>
          <w:trHeight w:val="838"/>
          <w:tblHeader/>
        </w:trPr>
        <w:tc>
          <w:tcPr>
            <w:tcW w:w="350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E12E90" w:rsidRDefault="002C394A" w14:paraId="0A1ED18D" w14:textId="77777777">
            <w:pPr>
              <w:rPr>
                <w:rFonts w:ascii="Times New Roman" w:hAnsi="Times New Roman"/>
                <w:sz w:val="20"/>
              </w:rPr>
            </w:pPr>
            <w:r w:rsidRPr="002C394A">
              <w:rPr>
                <w:rFonts w:ascii="Times New Roman" w:hAnsi="Times New Roman"/>
                <w:sz w:val="20"/>
              </w:rPr>
              <w:t xml:space="preserve">Proposed 21 CFR part 205 section; </w:t>
            </w:r>
          </w:p>
          <w:p w:rsidRPr="002C394A" w:rsidR="002C394A" w:rsidP="00E12E90" w:rsidRDefault="002C394A" w14:paraId="5B59CC56" w14:textId="77777777">
            <w:pPr>
              <w:rPr>
                <w:rFonts w:ascii="Times New Roman" w:hAnsi="Times New Roman"/>
                <w:sz w:val="20"/>
              </w:rPr>
            </w:pPr>
            <w:r w:rsidRPr="002C394A">
              <w:rPr>
                <w:rFonts w:ascii="Times New Roman" w:hAnsi="Times New Roman"/>
                <w:sz w:val="20"/>
              </w:rPr>
              <w:t>IC Activity</w:t>
            </w:r>
          </w:p>
        </w:tc>
        <w:tc>
          <w:tcPr>
            <w:tcW w:w="135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E12E90" w:rsidRDefault="002C394A" w14:paraId="1F00EF56" w14:textId="77777777">
            <w:pPr>
              <w:rPr>
                <w:rFonts w:ascii="Times New Roman" w:hAnsi="Times New Roman"/>
                <w:sz w:val="20"/>
              </w:rPr>
            </w:pPr>
            <w:r w:rsidRPr="002C394A">
              <w:rPr>
                <w:rFonts w:ascii="Times New Roman" w:hAnsi="Times New Roman"/>
                <w:sz w:val="20"/>
              </w:rPr>
              <w:t>No of Respondents</w:t>
            </w:r>
          </w:p>
        </w:tc>
        <w:tc>
          <w:tcPr>
            <w:tcW w:w="135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E12E90" w:rsidRDefault="002C394A" w14:paraId="01EA85E5" w14:textId="77777777">
            <w:pPr>
              <w:rPr>
                <w:rFonts w:ascii="Times New Roman" w:hAnsi="Times New Roman"/>
                <w:sz w:val="20"/>
              </w:rPr>
            </w:pPr>
            <w:r w:rsidRPr="002C394A">
              <w:rPr>
                <w:rFonts w:ascii="Times New Roman" w:hAnsi="Times New Roman"/>
                <w:sz w:val="20"/>
              </w:rPr>
              <w:t>No. of</w:t>
            </w:r>
          </w:p>
          <w:p w:rsidRPr="002C394A" w:rsidR="002C394A" w:rsidP="00E12E90" w:rsidRDefault="002C394A" w14:paraId="1D1F58E4" w14:textId="77777777">
            <w:pPr>
              <w:rPr>
                <w:rFonts w:ascii="Times New Roman" w:hAnsi="Times New Roman"/>
                <w:sz w:val="20"/>
              </w:rPr>
            </w:pPr>
            <w:r w:rsidRPr="002C394A">
              <w:rPr>
                <w:rFonts w:ascii="Times New Roman" w:hAnsi="Times New Roman"/>
                <w:sz w:val="20"/>
              </w:rPr>
              <w:t>Responses per Respondent</w:t>
            </w:r>
          </w:p>
        </w:tc>
        <w:tc>
          <w:tcPr>
            <w:tcW w:w="1080"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E12E90" w:rsidRDefault="002C394A" w14:paraId="56A1ED3C" w14:textId="77777777">
            <w:pPr>
              <w:rPr>
                <w:rFonts w:ascii="Times New Roman" w:hAnsi="Times New Roman"/>
                <w:sz w:val="20"/>
              </w:rPr>
            </w:pPr>
            <w:r w:rsidRPr="002C394A">
              <w:rPr>
                <w:rFonts w:ascii="Times New Roman" w:hAnsi="Times New Roman"/>
                <w:sz w:val="20"/>
              </w:rPr>
              <w:t>Total</w:t>
            </w:r>
          </w:p>
          <w:p w:rsidRPr="002C394A" w:rsidR="002C394A" w:rsidP="00E12E90" w:rsidRDefault="002C394A" w14:paraId="1D16EF71" w14:textId="77777777">
            <w:pPr>
              <w:rPr>
                <w:rFonts w:ascii="Times New Roman" w:hAnsi="Times New Roman"/>
                <w:sz w:val="20"/>
              </w:rPr>
            </w:pPr>
            <w:r w:rsidRPr="002C394A">
              <w:rPr>
                <w:rFonts w:ascii="Times New Roman" w:hAnsi="Times New Roman"/>
                <w:sz w:val="20"/>
              </w:rPr>
              <w:t>Annual</w:t>
            </w:r>
          </w:p>
          <w:p w:rsidRPr="002C394A" w:rsidR="002C394A" w:rsidP="00E12E90" w:rsidRDefault="002C394A" w14:paraId="13EC70F5" w14:textId="77777777">
            <w:pPr>
              <w:rPr>
                <w:rFonts w:ascii="Times New Roman" w:hAnsi="Times New Roman"/>
                <w:sz w:val="20"/>
              </w:rPr>
            </w:pPr>
            <w:r w:rsidRPr="002C394A">
              <w:rPr>
                <w:rFonts w:ascii="Times New Roman" w:hAnsi="Times New Roman"/>
                <w:sz w:val="20"/>
              </w:rPr>
              <w:t>Responses</w:t>
            </w:r>
          </w:p>
        </w:tc>
        <w:tc>
          <w:tcPr>
            <w:tcW w:w="1265"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E12E90" w:rsidRDefault="002C394A" w14:paraId="70B6359A" w14:textId="4F44BCD3">
            <w:pPr>
              <w:rPr>
                <w:rFonts w:ascii="Times New Roman" w:hAnsi="Times New Roman"/>
                <w:sz w:val="20"/>
              </w:rPr>
            </w:pPr>
            <w:r w:rsidRPr="002C394A">
              <w:rPr>
                <w:rFonts w:ascii="Times New Roman" w:hAnsi="Times New Roman"/>
                <w:sz w:val="20"/>
              </w:rPr>
              <w:t>Av</w:t>
            </w:r>
            <w:r w:rsidR="00142BEC">
              <w:rPr>
                <w:rFonts w:ascii="Times New Roman" w:hAnsi="Times New Roman"/>
                <w:sz w:val="20"/>
              </w:rPr>
              <w:t>g.</w:t>
            </w:r>
            <w:r w:rsidRPr="002C394A">
              <w:rPr>
                <w:rFonts w:ascii="Times New Roman" w:hAnsi="Times New Roman"/>
                <w:sz w:val="20"/>
              </w:rPr>
              <w:t xml:space="preserve"> Burden per Response (in hours)</w:t>
            </w:r>
          </w:p>
        </w:tc>
        <w:tc>
          <w:tcPr>
            <w:tcW w:w="905" w:type="dxa"/>
            <w:tcBorders>
              <w:top w:val="single" w:color="000000" w:sz="8" w:space="0"/>
              <w:left w:val="single" w:color="000000" w:sz="8" w:space="0"/>
              <w:bottom w:val="single" w:color="000000" w:sz="8" w:space="0"/>
              <w:right w:val="single" w:color="000000" w:sz="8" w:space="0"/>
            </w:tcBorders>
            <w:shd w:val="clear" w:color="auto" w:fill="F2F2F2" w:themeFill="background1" w:themeFillShade="F2"/>
          </w:tcPr>
          <w:p w:rsidRPr="002C394A" w:rsidR="002C394A" w:rsidP="00E12E90" w:rsidRDefault="002C394A" w14:paraId="1933438B" w14:textId="77777777">
            <w:pPr>
              <w:rPr>
                <w:rFonts w:ascii="Times New Roman" w:hAnsi="Times New Roman"/>
                <w:sz w:val="20"/>
              </w:rPr>
            </w:pPr>
            <w:r w:rsidRPr="002C394A">
              <w:rPr>
                <w:rFonts w:ascii="Times New Roman" w:hAnsi="Times New Roman"/>
                <w:sz w:val="20"/>
              </w:rPr>
              <w:t>Total Hours</w:t>
            </w:r>
          </w:p>
        </w:tc>
      </w:tr>
      <w:tr w:rsidRPr="002C394A" w:rsidR="002C394A" w:rsidTr="00142BEC" w14:paraId="63A7984A" w14:textId="77777777">
        <w:trPr>
          <w:trHeight w:val="494"/>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FB64168" w14:textId="77777777">
            <w:pPr>
              <w:rPr>
                <w:rFonts w:ascii="Times New Roman" w:hAnsi="Times New Roman"/>
                <w:sz w:val="20"/>
              </w:rPr>
            </w:pPr>
            <w:r w:rsidRPr="002C394A">
              <w:rPr>
                <w:rFonts w:ascii="Times New Roman" w:hAnsi="Times New Roman"/>
                <w:sz w:val="20"/>
              </w:rPr>
              <w:t>SUBPART A (3PLs)</w:t>
            </w:r>
          </w:p>
          <w:p w:rsidRPr="002C394A" w:rsidR="002C394A" w:rsidP="00E12E90" w:rsidRDefault="002C394A" w14:paraId="5DF7F5B1" w14:textId="77777777">
            <w:pPr>
              <w:rPr>
                <w:rFonts w:ascii="Times New Roman" w:hAnsi="Times New Roman"/>
                <w:sz w:val="20"/>
              </w:rPr>
            </w:pPr>
            <w:r w:rsidRPr="002C394A">
              <w:rPr>
                <w:rFonts w:ascii="Times New Roman" w:hAnsi="Times New Roman"/>
                <w:sz w:val="20"/>
              </w:rPr>
              <w:t>205.4; general requirements (retrievable records)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C996903"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45E462B"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FB6D4A8" w14:textId="77777777">
            <w:pPr>
              <w:jc w:val="right"/>
              <w:rPr>
                <w:rFonts w:ascii="Times New Roman" w:hAnsi="Times New Roman"/>
                <w:sz w:val="20"/>
              </w:rPr>
            </w:pPr>
            <w:r w:rsidRPr="002C394A">
              <w:rPr>
                <w:rFonts w:ascii="Times New Roman" w:hAnsi="Times New Roman"/>
                <w:sz w:val="20"/>
              </w:rPr>
              <w:t>459</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40926BF" w14:textId="77777777">
            <w:pPr>
              <w:jc w:val="right"/>
              <w:rPr>
                <w:rFonts w:ascii="Times New Roman" w:hAnsi="Times New Roman"/>
                <w:sz w:val="20"/>
              </w:rPr>
            </w:pPr>
            <w:r w:rsidRPr="002C394A">
              <w:rPr>
                <w:rFonts w:ascii="Times New Roman" w:hAnsi="Times New Roman"/>
                <w:sz w:val="20"/>
              </w:rPr>
              <w:t>.5</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E202E92" w14:textId="77777777">
            <w:pPr>
              <w:jc w:val="right"/>
              <w:rPr>
                <w:rFonts w:ascii="Times New Roman" w:hAnsi="Times New Roman"/>
                <w:sz w:val="20"/>
              </w:rPr>
            </w:pPr>
            <w:r w:rsidRPr="002C394A">
              <w:rPr>
                <w:rFonts w:ascii="Times New Roman" w:hAnsi="Times New Roman"/>
                <w:sz w:val="20"/>
              </w:rPr>
              <w:t>230</w:t>
            </w:r>
          </w:p>
        </w:tc>
      </w:tr>
      <w:tr w:rsidRPr="002C394A" w:rsidR="002C394A" w:rsidTr="00142BEC" w14:paraId="614BEC91" w14:textId="77777777">
        <w:trPr>
          <w:trHeight w:val="331"/>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F8A3576" w14:textId="77777777">
            <w:pPr>
              <w:rPr>
                <w:rFonts w:ascii="Times New Roman" w:hAnsi="Times New Roman"/>
                <w:sz w:val="20"/>
              </w:rPr>
            </w:pPr>
            <w:r w:rsidRPr="002C394A">
              <w:rPr>
                <w:rFonts w:ascii="Times New Roman" w:hAnsi="Times New Roman"/>
                <w:sz w:val="20"/>
              </w:rPr>
              <w:t>205.12; written procedures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431BCE4"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3286C8A"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0D8D1B0" w14:textId="77777777">
            <w:pPr>
              <w:jc w:val="right"/>
              <w:rPr>
                <w:rFonts w:ascii="Times New Roman" w:hAnsi="Times New Roman"/>
                <w:sz w:val="20"/>
              </w:rPr>
            </w:pPr>
            <w:r w:rsidRPr="002C394A">
              <w:rPr>
                <w:rFonts w:ascii="Times New Roman" w:hAnsi="Times New Roman"/>
                <w:sz w:val="20"/>
              </w:rPr>
              <w:t>459</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8F10177" w14:textId="77777777">
            <w:pPr>
              <w:jc w:val="right"/>
              <w:rPr>
                <w:rFonts w:ascii="Times New Roman" w:hAnsi="Times New Roman"/>
                <w:sz w:val="20"/>
              </w:rPr>
            </w:pPr>
            <w:r w:rsidRPr="002C394A">
              <w:rPr>
                <w:rFonts w:ascii="Times New Roman" w:hAnsi="Times New Roman"/>
                <w:sz w:val="20"/>
              </w:rPr>
              <w:t>21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0D1F25F" w14:textId="77777777">
            <w:pPr>
              <w:jc w:val="right"/>
              <w:rPr>
                <w:rFonts w:ascii="Times New Roman" w:hAnsi="Times New Roman"/>
                <w:sz w:val="20"/>
              </w:rPr>
            </w:pPr>
            <w:r w:rsidRPr="002C394A">
              <w:rPr>
                <w:rFonts w:ascii="Times New Roman" w:hAnsi="Times New Roman"/>
                <w:sz w:val="20"/>
              </w:rPr>
              <w:t>9,639</w:t>
            </w:r>
          </w:p>
        </w:tc>
      </w:tr>
      <w:tr w:rsidRPr="002C394A" w:rsidR="002C394A" w:rsidTr="00142BEC" w14:paraId="782366D4"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8BF7083" w14:textId="77777777">
            <w:pPr>
              <w:rPr>
                <w:rFonts w:ascii="Times New Roman" w:hAnsi="Times New Roman"/>
                <w:sz w:val="20"/>
              </w:rPr>
            </w:pPr>
            <w:r w:rsidRPr="002C394A">
              <w:rPr>
                <w:rFonts w:ascii="Times New Roman" w:hAnsi="Times New Roman"/>
                <w:sz w:val="20"/>
              </w:rPr>
              <w:t>205.13; record and document maintenance</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34C1268"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86AD7D4"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5E6B4C2" w14:textId="77777777">
            <w:pPr>
              <w:jc w:val="right"/>
              <w:rPr>
                <w:rFonts w:ascii="Times New Roman" w:hAnsi="Times New Roman"/>
                <w:sz w:val="20"/>
              </w:rPr>
            </w:pPr>
            <w:r w:rsidRPr="002C394A">
              <w:rPr>
                <w:rFonts w:ascii="Times New Roman" w:hAnsi="Times New Roman"/>
                <w:sz w:val="20"/>
              </w:rPr>
              <w:t>459</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EB16107" w14:textId="77777777">
            <w:pPr>
              <w:jc w:val="right"/>
              <w:rPr>
                <w:rFonts w:ascii="Times New Roman" w:hAnsi="Times New Roman"/>
                <w:sz w:val="20"/>
              </w:rPr>
            </w:pPr>
            <w:r w:rsidRPr="002C394A">
              <w:rPr>
                <w:rFonts w:ascii="Times New Roman" w:hAnsi="Times New Roman"/>
                <w:sz w:val="20"/>
              </w:rPr>
              <w:t>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5E40868" w14:textId="77777777">
            <w:pPr>
              <w:jc w:val="right"/>
              <w:rPr>
                <w:rFonts w:ascii="Times New Roman" w:hAnsi="Times New Roman"/>
                <w:sz w:val="20"/>
              </w:rPr>
            </w:pPr>
            <w:r w:rsidRPr="002C394A">
              <w:rPr>
                <w:rFonts w:ascii="Times New Roman" w:hAnsi="Times New Roman"/>
                <w:sz w:val="20"/>
              </w:rPr>
              <w:t>459</w:t>
            </w:r>
          </w:p>
        </w:tc>
      </w:tr>
      <w:tr w:rsidRPr="002C394A" w:rsidR="002C394A" w:rsidTr="00142BEC" w14:paraId="6B7577EF"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12CC62F" w14:textId="77777777">
            <w:pPr>
              <w:rPr>
                <w:rFonts w:ascii="Times New Roman" w:hAnsi="Times New Roman"/>
                <w:sz w:val="20"/>
              </w:rPr>
            </w:pPr>
            <w:r w:rsidRPr="002C394A">
              <w:rPr>
                <w:rFonts w:ascii="Times New Roman" w:hAnsi="Times New Roman"/>
                <w:sz w:val="20"/>
              </w:rPr>
              <w:t>205.14; list of trading partners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DBBB398" w14:textId="77777777">
            <w:pPr>
              <w:jc w:val="right"/>
              <w:rPr>
                <w:rFonts w:ascii="Times New Roman" w:hAnsi="Times New Roman"/>
                <w:sz w:val="20"/>
              </w:rPr>
            </w:pPr>
            <w:r w:rsidRPr="002C394A">
              <w:rPr>
                <w:rFonts w:ascii="Times New Roman" w:hAnsi="Times New Roman"/>
                <w:sz w:val="20"/>
              </w:rPr>
              <w:t>459</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4E5A2BE"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8A10DCE" w14:textId="77777777">
            <w:pPr>
              <w:jc w:val="right"/>
              <w:rPr>
                <w:rFonts w:ascii="Times New Roman" w:hAnsi="Times New Roman"/>
                <w:sz w:val="20"/>
              </w:rPr>
            </w:pPr>
            <w:r w:rsidRPr="002C394A">
              <w:rPr>
                <w:rFonts w:ascii="Times New Roman" w:hAnsi="Times New Roman"/>
                <w:sz w:val="20"/>
              </w:rPr>
              <w:t>459</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59B7190" w14:textId="77777777">
            <w:pPr>
              <w:jc w:val="right"/>
              <w:rPr>
                <w:rFonts w:ascii="Times New Roman" w:hAnsi="Times New Roman"/>
                <w:sz w:val="20"/>
              </w:rPr>
            </w:pPr>
            <w:r w:rsidRPr="002C394A">
              <w:rPr>
                <w:rFonts w:ascii="Times New Roman" w:hAnsi="Times New Roman"/>
                <w:sz w:val="20"/>
              </w:rPr>
              <w:t>2</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7607BAE" w14:textId="77777777">
            <w:pPr>
              <w:jc w:val="right"/>
              <w:rPr>
                <w:rFonts w:ascii="Times New Roman" w:hAnsi="Times New Roman"/>
                <w:sz w:val="20"/>
              </w:rPr>
            </w:pPr>
            <w:r w:rsidRPr="002C394A">
              <w:rPr>
                <w:rFonts w:ascii="Times New Roman" w:hAnsi="Times New Roman"/>
                <w:sz w:val="20"/>
              </w:rPr>
              <w:t>918</w:t>
            </w:r>
          </w:p>
        </w:tc>
      </w:tr>
      <w:tr w:rsidRPr="002C394A" w:rsidR="002C394A" w:rsidTr="00142BEC" w14:paraId="33493633"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486EEBC" w14:textId="77777777">
            <w:pPr>
              <w:rPr>
                <w:rFonts w:ascii="Times New Roman" w:hAnsi="Times New Roman"/>
                <w:sz w:val="20"/>
              </w:rPr>
            </w:pPr>
            <w:r w:rsidRPr="002C394A">
              <w:rPr>
                <w:rFonts w:ascii="Times New Roman" w:hAnsi="Times New Roman"/>
                <w:sz w:val="20"/>
              </w:rPr>
              <w:t>SUBPART B (Approved Organizations for 3PLs)</w:t>
            </w:r>
          </w:p>
          <w:p w:rsidRPr="002C394A" w:rsidR="002C394A" w:rsidP="00E12E90" w:rsidRDefault="002C394A" w14:paraId="17814CC9" w14:textId="77777777">
            <w:pPr>
              <w:rPr>
                <w:rFonts w:ascii="Times New Roman" w:hAnsi="Times New Roman"/>
                <w:sz w:val="20"/>
              </w:rPr>
            </w:pPr>
            <w:r w:rsidRPr="002C394A">
              <w:rPr>
                <w:rFonts w:ascii="Times New Roman" w:hAnsi="Times New Roman"/>
                <w:sz w:val="20"/>
              </w:rPr>
              <w:t>205.17; licensure review and inspection records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66B6E1F" w14:textId="77777777">
            <w:pPr>
              <w:jc w:val="right"/>
              <w:rPr>
                <w:rFonts w:ascii="Times New Roman" w:hAnsi="Times New Roman"/>
                <w:sz w:val="20"/>
              </w:rPr>
            </w:pPr>
            <w:r w:rsidRPr="002C394A">
              <w:rPr>
                <w:rFonts w:ascii="Times New Roman" w:hAnsi="Times New Roman"/>
                <w:sz w:val="20"/>
              </w:rPr>
              <w:t>6</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26C7074" w14:textId="77777777">
            <w:pPr>
              <w:jc w:val="right"/>
              <w:rPr>
                <w:rFonts w:ascii="Times New Roman" w:hAnsi="Times New Roman"/>
                <w:sz w:val="20"/>
              </w:rPr>
            </w:pPr>
            <w:r w:rsidRPr="002C394A">
              <w:rPr>
                <w:rFonts w:ascii="Times New Roman" w:hAnsi="Times New Roman"/>
                <w:sz w:val="20"/>
              </w:rPr>
              <w:t>15</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5230023" w14:textId="77777777">
            <w:pPr>
              <w:jc w:val="right"/>
              <w:rPr>
                <w:rFonts w:ascii="Times New Roman" w:hAnsi="Times New Roman"/>
                <w:sz w:val="20"/>
              </w:rPr>
            </w:pPr>
            <w:r w:rsidRPr="002C394A">
              <w:rPr>
                <w:rFonts w:ascii="Times New Roman" w:hAnsi="Times New Roman"/>
                <w:sz w:val="20"/>
              </w:rPr>
              <w:t>90</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AC90B11" w14:textId="77777777">
            <w:pPr>
              <w:jc w:val="right"/>
              <w:rPr>
                <w:rFonts w:ascii="Times New Roman" w:hAnsi="Times New Roman"/>
                <w:sz w:val="20"/>
              </w:rPr>
            </w:pPr>
            <w:r w:rsidRPr="002C394A">
              <w:rPr>
                <w:rFonts w:ascii="Times New Roman" w:hAnsi="Times New Roman"/>
                <w:sz w:val="20"/>
              </w:rPr>
              <w:t>2</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DBA6889" w14:textId="77777777">
            <w:pPr>
              <w:jc w:val="right"/>
              <w:rPr>
                <w:rFonts w:ascii="Times New Roman" w:hAnsi="Times New Roman"/>
                <w:sz w:val="20"/>
              </w:rPr>
            </w:pPr>
            <w:r w:rsidRPr="002C394A">
              <w:rPr>
                <w:rFonts w:ascii="Times New Roman" w:hAnsi="Times New Roman"/>
                <w:sz w:val="20"/>
              </w:rPr>
              <w:t>180</w:t>
            </w:r>
          </w:p>
        </w:tc>
      </w:tr>
      <w:tr w:rsidRPr="002C394A" w:rsidR="002C394A" w:rsidTr="00142BEC" w14:paraId="2F11365C"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AB1019F" w14:textId="77777777">
            <w:pPr>
              <w:rPr>
                <w:rFonts w:ascii="Times New Roman" w:hAnsi="Times New Roman"/>
                <w:sz w:val="20"/>
              </w:rPr>
            </w:pPr>
            <w:r w:rsidRPr="002C394A">
              <w:rPr>
                <w:rFonts w:ascii="Times New Roman" w:hAnsi="Times New Roman"/>
                <w:sz w:val="20"/>
              </w:rPr>
              <w:t>205.19; written procedures, policies, training records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397E1FE" w14:textId="77777777">
            <w:pPr>
              <w:jc w:val="right"/>
              <w:rPr>
                <w:rFonts w:ascii="Times New Roman" w:hAnsi="Times New Roman"/>
                <w:sz w:val="20"/>
              </w:rPr>
            </w:pPr>
            <w:r w:rsidRPr="002C394A">
              <w:rPr>
                <w:rFonts w:ascii="Times New Roman" w:hAnsi="Times New Roman"/>
                <w:sz w:val="20"/>
              </w:rPr>
              <w:t>6</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4C58DB6"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9DA610C" w14:textId="77777777">
            <w:pPr>
              <w:jc w:val="right"/>
              <w:rPr>
                <w:rFonts w:ascii="Times New Roman" w:hAnsi="Times New Roman"/>
                <w:sz w:val="20"/>
              </w:rPr>
            </w:pPr>
            <w:r w:rsidRPr="002C394A">
              <w:rPr>
                <w:rFonts w:ascii="Times New Roman" w:hAnsi="Times New Roman"/>
                <w:sz w:val="20"/>
              </w:rPr>
              <w:t>6</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9C9F2B5" w14:textId="77777777">
            <w:pPr>
              <w:jc w:val="right"/>
              <w:rPr>
                <w:rFonts w:ascii="Times New Roman" w:hAnsi="Times New Roman"/>
                <w:sz w:val="20"/>
              </w:rPr>
            </w:pPr>
            <w:r w:rsidRPr="002C394A">
              <w:rPr>
                <w:rFonts w:ascii="Times New Roman" w:hAnsi="Times New Roman"/>
                <w:sz w:val="20"/>
              </w:rPr>
              <w:t>3</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370F26E" w14:textId="77777777">
            <w:pPr>
              <w:jc w:val="right"/>
              <w:rPr>
                <w:rFonts w:ascii="Times New Roman" w:hAnsi="Times New Roman"/>
                <w:sz w:val="20"/>
              </w:rPr>
            </w:pPr>
            <w:r w:rsidRPr="002C394A">
              <w:rPr>
                <w:rFonts w:ascii="Times New Roman" w:hAnsi="Times New Roman"/>
                <w:sz w:val="20"/>
              </w:rPr>
              <w:t>18</w:t>
            </w:r>
          </w:p>
        </w:tc>
      </w:tr>
      <w:tr w:rsidRPr="002C394A" w:rsidR="002C394A" w:rsidTr="00142BEC" w14:paraId="52D38FE9"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25F3D71" w14:textId="77777777">
            <w:pPr>
              <w:rPr>
                <w:rFonts w:ascii="Times New Roman" w:hAnsi="Times New Roman"/>
                <w:sz w:val="20"/>
              </w:rPr>
            </w:pPr>
            <w:r w:rsidRPr="002C394A">
              <w:rPr>
                <w:rFonts w:ascii="Times New Roman" w:hAnsi="Times New Roman"/>
                <w:sz w:val="20"/>
              </w:rPr>
              <w:t>SUBPART C (WDD Standards)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AC4DF9B" w14:textId="77777777">
            <w:pPr>
              <w:jc w:val="right"/>
              <w:rPr>
                <w:rFonts w:ascii="Times New Roman" w:hAnsi="Times New Roman"/>
                <w:sz w:val="20"/>
              </w:rPr>
            </w:pP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DC3290E" w14:textId="77777777">
            <w:pPr>
              <w:jc w:val="right"/>
              <w:rPr>
                <w:rFonts w:ascii="Times New Roman" w:hAnsi="Times New Roman"/>
                <w:sz w:val="20"/>
              </w:rPr>
            </w:pP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30ADF91" w14:textId="77777777">
            <w:pPr>
              <w:jc w:val="right"/>
              <w:rPr>
                <w:rFonts w:ascii="Times New Roman" w:hAnsi="Times New Roman"/>
                <w:sz w:val="20"/>
              </w:rPr>
            </w:pP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32FA394" w14:textId="77777777">
            <w:pPr>
              <w:jc w:val="right"/>
              <w:rPr>
                <w:rFonts w:ascii="Times New Roman" w:hAnsi="Times New Roman"/>
                <w:sz w:val="20"/>
              </w:rPr>
            </w:pP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5A33FCE" w14:textId="77777777">
            <w:pPr>
              <w:jc w:val="right"/>
              <w:rPr>
                <w:rFonts w:ascii="Times New Roman" w:hAnsi="Times New Roman"/>
                <w:sz w:val="20"/>
              </w:rPr>
            </w:pPr>
          </w:p>
        </w:tc>
      </w:tr>
      <w:tr w:rsidRPr="002C394A" w:rsidR="002C394A" w:rsidTr="00142BEC" w14:paraId="788598DF"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944C1D4" w14:textId="77777777">
            <w:pPr>
              <w:rPr>
                <w:rFonts w:ascii="Times New Roman" w:hAnsi="Times New Roman"/>
                <w:sz w:val="20"/>
              </w:rPr>
            </w:pPr>
            <w:r w:rsidRPr="002C394A">
              <w:rPr>
                <w:rFonts w:ascii="Times New Roman" w:hAnsi="Times New Roman"/>
                <w:sz w:val="20"/>
              </w:rPr>
              <w:lastRenderedPageBreak/>
              <w:t>205.21; surety bond</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DCC8FDE" w14:textId="77777777">
            <w:pPr>
              <w:jc w:val="right"/>
              <w:rPr>
                <w:rFonts w:ascii="Times New Roman" w:hAnsi="Times New Roman"/>
                <w:sz w:val="20"/>
              </w:rPr>
            </w:pPr>
            <w:r w:rsidRPr="002C394A">
              <w:rPr>
                <w:rFonts w:ascii="Times New Roman" w:hAnsi="Times New Roman"/>
                <w:sz w:val="20"/>
              </w:rPr>
              <w:t>1,951</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BB83E25"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634ED14" w14:textId="77777777">
            <w:pPr>
              <w:jc w:val="right"/>
              <w:rPr>
                <w:rFonts w:ascii="Times New Roman" w:hAnsi="Times New Roman"/>
                <w:sz w:val="20"/>
              </w:rPr>
            </w:pPr>
            <w:r w:rsidRPr="002C394A">
              <w:rPr>
                <w:rFonts w:ascii="Times New Roman" w:hAnsi="Times New Roman"/>
                <w:sz w:val="20"/>
              </w:rPr>
              <w:t>1,951</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777F7B9" w14:textId="77777777">
            <w:pPr>
              <w:jc w:val="right"/>
              <w:rPr>
                <w:rFonts w:ascii="Times New Roman" w:hAnsi="Times New Roman"/>
                <w:sz w:val="20"/>
              </w:rPr>
            </w:pPr>
            <w:r w:rsidRPr="002C394A">
              <w:rPr>
                <w:rFonts w:ascii="Times New Roman" w:hAnsi="Times New Roman"/>
                <w:sz w:val="20"/>
              </w:rPr>
              <w:t>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0675DC8" w14:textId="77777777">
            <w:pPr>
              <w:jc w:val="right"/>
              <w:rPr>
                <w:rFonts w:ascii="Times New Roman" w:hAnsi="Times New Roman"/>
                <w:sz w:val="20"/>
              </w:rPr>
            </w:pPr>
            <w:r w:rsidRPr="002C394A">
              <w:rPr>
                <w:rFonts w:ascii="Times New Roman" w:hAnsi="Times New Roman"/>
                <w:sz w:val="20"/>
              </w:rPr>
              <w:t>1,951</w:t>
            </w:r>
          </w:p>
        </w:tc>
      </w:tr>
      <w:tr w:rsidRPr="002C394A" w:rsidR="002C394A" w:rsidTr="00142BEC" w14:paraId="13A3BE6D"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8468D56" w14:textId="77777777">
            <w:pPr>
              <w:rPr>
                <w:rFonts w:ascii="Times New Roman" w:hAnsi="Times New Roman"/>
                <w:sz w:val="20"/>
              </w:rPr>
            </w:pPr>
            <w:r w:rsidRPr="002C394A">
              <w:rPr>
                <w:rFonts w:ascii="Times New Roman" w:hAnsi="Times New Roman"/>
                <w:sz w:val="20"/>
              </w:rPr>
              <w:t>205.25; personnel records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5A8EC7F" w14:textId="77777777">
            <w:pPr>
              <w:jc w:val="right"/>
              <w:rPr>
                <w:rFonts w:ascii="Times New Roman" w:hAnsi="Times New Roman"/>
                <w:sz w:val="20"/>
              </w:rPr>
            </w:pPr>
            <w:r w:rsidRPr="002C394A">
              <w:rPr>
                <w:rFonts w:ascii="Times New Roman" w:hAnsi="Times New Roman"/>
                <w:sz w:val="20"/>
              </w:rPr>
              <w:t>1,951</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C8565DB"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4A1525B" w14:textId="77777777">
            <w:pPr>
              <w:jc w:val="right"/>
              <w:rPr>
                <w:rFonts w:ascii="Times New Roman" w:hAnsi="Times New Roman"/>
                <w:sz w:val="20"/>
              </w:rPr>
            </w:pPr>
            <w:r w:rsidRPr="002C394A">
              <w:rPr>
                <w:rFonts w:ascii="Times New Roman" w:hAnsi="Times New Roman"/>
                <w:sz w:val="20"/>
              </w:rPr>
              <w:t>1,951</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BE1580F" w14:textId="77777777">
            <w:pPr>
              <w:jc w:val="right"/>
              <w:rPr>
                <w:rFonts w:ascii="Times New Roman" w:hAnsi="Times New Roman"/>
                <w:sz w:val="20"/>
              </w:rPr>
            </w:pPr>
            <w:r w:rsidRPr="002C394A">
              <w:rPr>
                <w:rFonts w:ascii="Times New Roman" w:hAnsi="Times New Roman"/>
                <w:sz w:val="20"/>
              </w:rPr>
              <w:t>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EFBF99D" w14:textId="77777777">
            <w:pPr>
              <w:jc w:val="right"/>
              <w:rPr>
                <w:rFonts w:ascii="Times New Roman" w:hAnsi="Times New Roman"/>
                <w:sz w:val="20"/>
              </w:rPr>
            </w:pPr>
            <w:r w:rsidRPr="002C394A">
              <w:rPr>
                <w:rFonts w:ascii="Times New Roman" w:hAnsi="Times New Roman"/>
                <w:sz w:val="20"/>
              </w:rPr>
              <w:t>1,951</w:t>
            </w:r>
          </w:p>
        </w:tc>
      </w:tr>
      <w:tr w:rsidRPr="002C394A" w:rsidR="002C394A" w:rsidTr="00142BEC" w14:paraId="6BC33FA1"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BCD0C88" w14:textId="77777777">
            <w:pPr>
              <w:rPr>
                <w:rFonts w:ascii="Times New Roman" w:hAnsi="Times New Roman"/>
                <w:sz w:val="20"/>
              </w:rPr>
            </w:pPr>
            <w:r w:rsidRPr="002C394A">
              <w:rPr>
                <w:rFonts w:ascii="Times New Roman" w:hAnsi="Times New Roman"/>
                <w:sz w:val="20"/>
              </w:rPr>
              <w:t>205.26; facility records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46661F8" w14:textId="77777777">
            <w:pPr>
              <w:jc w:val="right"/>
              <w:rPr>
                <w:rFonts w:ascii="Times New Roman" w:hAnsi="Times New Roman"/>
                <w:sz w:val="20"/>
              </w:rPr>
            </w:pPr>
            <w:r w:rsidRPr="002C394A">
              <w:rPr>
                <w:rFonts w:ascii="Times New Roman" w:hAnsi="Times New Roman"/>
                <w:sz w:val="20"/>
              </w:rPr>
              <w:t>1,951</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76C95982"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57BB814" w14:textId="77777777">
            <w:pPr>
              <w:jc w:val="right"/>
              <w:rPr>
                <w:rFonts w:ascii="Times New Roman" w:hAnsi="Times New Roman"/>
                <w:sz w:val="20"/>
              </w:rPr>
            </w:pPr>
            <w:r w:rsidRPr="002C394A">
              <w:rPr>
                <w:rFonts w:ascii="Times New Roman" w:hAnsi="Times New Roman"/>
                <w:sz w:val="20"/>
              </w:rPr>
              <w:t>1,951</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651A7D1" w14:textId="77777777">
            <w:pPr>
              <w:jc w:val="right"/>
              <w:rPr>
                <w:rFonts w:ascii="Times New Roman" w:hAnsi="Times New Roman"/>
                <w:sz w:val="20"/>
              </w:rPr>
            </w:pPr>
            <w:r w:rsidRPr="002C394A">
              <w:rPr>
                <w:rFonts w:ascii="Times New Roman" w:hAnsi="Times New Roman"/>
                <w:sz w:val="20"/>
              </w:rPr>
              <w:t>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59FBA84" w14:textId="77777777">
            <w:pPr>
              <w:jc w:val="right"/>
              <w:rPr>
                <w:rFonts w:ascii="Times New Roman" w:hAnsi="Times New Roman"/>
                <w:sz w:val="20"/>
              </w:rPr>
            </w:pPr>
            <w:r w:rsidRPr="002C394A">
              <w:rPr>
                <w:rFonts w:ascii="Times New Roman" w:hAnsi="Times New Roman"/>
                <w:sz w:val="20"/>
              </w:rPr>
              <w:t>1,951</w:t>
            </w:r>
          </w:p>
        </w:tc>
      </w:tr>
      <w:tr w:rsidRPr="002C394A" w:rsidR="002C394A" w:rsidTr="00142BEC" w14:paraId="2A1BCBE9"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C6CEFFC" w14:textId="77777777">
            <w:pPr>
              <w:rPr>
                <w:rFonts w:ascii="Times New Roman" w:hAnsi="Times New Roman"/>
                <w:sz w:val="20"/>
              </w:rPr>
            </w:pPr>
            <w:r w:rsidRPr="002C394A">
              <w:rPr>
                <w:rFonts w:ascii="Times New Roman" w:hAnsi="Times New Roman"/>
                <w:sz w:val="20"/>
              </w:rPr>
              <w:t>205.28; inspection records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A3F70FC" w14:textId="77777777">
            <w:pPr>
              <w:jc w:val="right"/>
              <w:rPr>
                <w:rFonts w:ascii="Times New Roman" w:hAnsi="Times New Roman"/>
                <w:sz w:val="20"/>
              </w:rPr>
            </w:pPr>
            <w:r w:rsidRPr="002C394A">
              <w:rPr>
                <w:rFonts w:ascii="Times New Roman" w:hAnsi="Times New Roman"/>
                <w:sz w:val="20"/>
              </w:rPr>
              <w:t>1,951</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EDE569A"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2AD30BB" w14:textId="77777777">
            <w:pPr>
              <w:jc w:val="right"/>
              <w:rPr>
                <w:rFonts w:ascii="Times New Roman" w:hAnsi="Times New Roman"/>
                <w:sz w:val="20"/>
              </w:rPr>
            </w:pPr>
            <w:r w:rsidRPr="002C394A">
              <w:rPr>
                <w:rFonts w:ascii="Times New Roman" w:hAnsi="Times New Roman"/>
                <w:sz w:val="20"/>
              </w:rPr>
              <w:t>1,951</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9334727" w14:textId="77777777">
            <w:pPr>
              <w:jc w:val="right"/>
              <w:rPr>
                <w:rFonts w:ascii="Times New Roman" w:hAnsi="Times New Roman"/>
                <w:sz w:val="20"/>
              </w:rPr>
            </w:pPr>
            <w:r w:rsidRPr="002C394A">
              <w:rPr>
                <w:rFonts w:ascii="Times New Roman" w:hAnsi="Times New Roman"/>
                <w:sz w:val="20"/>
              </w:rPr>
              <w:t>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6F3D9F79" w14:textId="77777777">
            <w:pPr>
              <w:jc w:val="right"/>
              <w:rPr>
                <w:rFonts w:ascii="Times New Roman" w:hAnsi="Times New Roman"/>
                <w:sz w:val="20"/>
              </w:rPr>
            </w:pPr>
            <w:r w:rsidRPr="002C394A">
              <w:rPr>
                <w:rFonts w:ascii="Times New Roman" w:hAnsi="Times New Roman"/>
                <w:sz w:val="20"/>
              </w:rPr>
              <w:t>1,951</w:t>
            </w:r>
          </w:p>
        </w:tc>
      </w:tr>
      <w:tr w:rsidRPr="002C394A" w:rsidR="002C394A" w:rsidTr="00142BEC" w14:paraId="19065331" w14:textId="77777777">
        <w:trPr>
          <w:trHeight w:val="33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76A734E" w14:textId="77777777">
            <w:pPr>
              <w:rPr>
                <w:rFonts w:ascii="Times New Roman" w:hAnsi="Times New Roman"/>
                <w:sz w:val="20"/>
              </w:rPr>
            </w:pPr>
            <w:r w:rsidRPr="002C394A">
              <w:rPr>
                <w:rFonts w:ascii="Times New Roman" w:hAnsi="Times New Roman"/>
                <w:sz w:val="20"/>
              </w:rPr>
              <w:t xml:space="preserve">SUBPART D (Approved Organizations for WDDs) </w:t>
            </w:r>
          </w:p>
          <w:p w:rsidRPr="002C394A" w:rsidR="002C394A" w:rsidP="00E12E90" w:rsidRDefault="002C394A" w14:paraId="19D619A8" w14:textId="77777777">
            <w:pPr>
              <w:rPr>
                <w:rFonts w:ascii="Times New Roman" w:hAnsi="Times New Roman"/>
                <w:sz w:val="20"/>
              </w:rPr>
            </w:pPr>
            <w:r w:rsidRPr="002C394A">
              <w:rPr>
                <w:rFonts w:ascii="Times New Roman" w:hAnsi="Times New Roman"/>
                <w:sz w:val="20"/>
              </w:rPr>
              <w:t>205.31; records demonstrating qualification status</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5A2FCDA" w14:textId="77777777">
            <w:pPr>
              <w:jc w:val="right"/>
              <w:rPr>
                <w:rFonts w:ascii="Times New Roman" w:hAnsi="Times New Roman"/>
                <w:sz w:val="20"/>
              </w:rPr>
            </w:pPr>
            <w:r w:rsidRPr="002C394A">
              <w:rPr>
                <w:rFonts w:ascii="Times New Roman" w:hAnsi="Times New Roman"/>
                <w:sz w:val="20"/>
              </w:rPr>
              <w:t>6</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18CB013A" w14:textId="77777777">
            <w:pPr>
              <w:jc w:val="right"/>
              <w:rPr>
                <w:rFonts w:ascii="Times New Roman" w:hAnsi="Times New Roman"/>
                <w:sz w:val="20"/>
              </w:rPr>
            </w:pPr>
            <w:r w:rsidRPr="002C394A">
              <w:rPr>
                <w:rFonts w:ascii="Times New Roman" w:hAnsi="Times New Roman"/>
                <w:sz w:val="20"/>
              </w:rPr>
              <w:t>1</w:t>
            </w: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EFAD33B" w14:textId="77777777">
            <w:pPr>
              <w:jc w:val="right"/>
              <w:rPr>
                <w:rFonts w:ascii="Times New Roman" w:hAnsi="Times New Roman"/>
                <w:sz w:val="20"/>
              </w:rPr>
            </w:pPr>
            <w:r w:rsidRPr="002C394A">
              <w:rPr>
                <w:rFonts w:ascii="Times New Roman" w:hAnsi="Times New Roman"/>
                <w:sz w:val="20"/>
              </w:rPr>
              <w:t>6</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7864B03" w14:textId="77777777">
            <w:pPr>
              <w:jc w:val="right"/>
              <w:rPr>
                <w:rFonts w:ascii="Times New Roman" w:hAnsi="Times New Roman"/>
                <w:sz w:val="20"/>
              </w:rPr>
            </w:pPr>
            <w:r w:rsidRPr="002C394A">
              <w:rPr>
                <w:rFonts w:ascii="Times New Roman" w:hAnsi="Times New Roman"/>
                <w:sz w:val="20"/>
              </w:rPr>
              <w:t>1</w:t>
            </w: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35F87DFE" w14:textId="77777777">
            <w:pPr>
              <w:jc w:val="right"/>
              <w:rPr>
                <w:rFonts w:ascii="Times New Roman" w:hAnsi="Times New Roman"/>
                <w:sz w:val="20"/>
              </w:rPr>
            </w:pPr>
            <w:r w:rsidRPr="002C394A">
              <w:rPr>
                <w:rFonts w:ascii="Times New Roman" w:hAnsi="Times New Roman"/>
                <w:sz w:val="20"/>
              </w:rPr>
              <w:t>6</w:t>
            </w:r>
          </w:p>
        </w:tc>
      </w:tr>
      <w:tr w:rsidRPr="002C394A" w:rsidR="002C394A" w:rsidTr="00142BEC" w14:paraId="59AA9EB5" w14:textId="77777777">
        <w:trPr>
          <w:trHeight w:val="242"/>
        </w:trPr>
        <w:tc>
          <w:tcPr>
            <w:tcW w:w="350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2B23114" w14:textId="77777777">
            <w:pPr>
              <w:rPr>
                <w:rFonts w:ascii="Times New Roman" w:hAnsi="Times New Roman"/>
                <w:sz w:val="20"/>
              </w:rPr>
            </w:pPr>
            <w:r w:rsidRPr="002C394A">
              <w:rPr>
                <w:rFonts w:ascii="Times New Roman" w:hAnsi="Times New Roman"/>
                <w:sz w:val="20"/>
              </w:rPr>
              <w:t>TOTAL</w:t>
            </w: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911A189" w14:textId="77777777">
            <w:pPr>
              <w:jc w:val="right"/>
              <w:rPr>
                <w:rFonts w:ascii="Times New Roman" w:hAnsi="Times New Roman"/>
                <w:sz w:val="20"/>
              </w:rPr>
            </w:pPr>
          </w:p>
        </w:tc>
        <w:tc>
          <w:tcPr>
            <w:tcW w:w="135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246ED35F" w14:textId="77777777">
            <w:pPr>
              <w:jc w:val="right"/>
              <w:rPr>
                <w:rFonts w:ascii="Times New Roman" w:hAnsi="Times New Roman"/>
                <w:sz w:val="20"/>
              </w:rPr>
            </w:pPr>
          </w:p>
        </w:tc>
        <w:tc>
          <w:tcPr>
            <w:tcW w:w="1080"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4AAFABBE" w14:textId="77777777">
            <w:pPr>
              <w:jc w:val="right"/>
              <w:rPr>
                <w:rFonts w:ascii="Times New Roman" w:hAnsi="Times New Roman"/>
                <w:sz w:val="20"/>
              </w:rPr>
            </w:pPr>
            <w:r w:rsidRPr="002C394A">
              <w:rPr>
                <w:rFonts w:ascii="Times New Roman" w:hAnsi="Times New Roman"/>
                <w:sz w:val="20"/>
              </w:rPr>
              <w:t>9,742</w:t>
            </w:r>
          </w:p>
        </w:tc>
        <w:tc>
          <w:tcPr>
            <w:tcW w:w="126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505C75C2" w14:textId="77777777">
            <w:pPr>
              <w:jc w:val="right"/>
              <w:rPr>
                <w:rFonts w:ascii="Times New Roman" w:hAnsi="Times New Roman"/>
                <w:sz w:val="20"/>
              </w:rPr>
            </w:pPr>
          </w:p>
        </w:tc>
        <w:tc>
          <w:tcPr>
            <w:tcW w:w="905" w:type="dxa"/>
            <w:tcBorders>
              <w:top w:val="single" w:color="000000" w:sz="8" w:space="0"/>
              <w:left w:val="single" w:color="000000" w:sz="8" w:space="0"/>
              <w:bottom w:val="single" w:color="000000" w:sz="8" w:space="0"/>
              <w:right w:val="single" w:color="000000" w:sz="8" w:space="0"/>
            </w:tcBorders>
          </w:tcPr>
          <w:p w:rsidRPr="002C394A" w:rsidR="002C394A" w:rsidP="00E12E90" w:rsidRDefault="002C394A" w14:paraId="061E763C" w14:textId="77777777">
            <w:pPr>
              <w:jc w:val="right"/>
              <w:rPr>
                <w:rFonts w:ascii="Times New Roman" w:hAnsi="Times New Roman"/>
                <w:sz w:val="20"/>
              </w:rPr>
            </w:pPr>
            <w:r w:rsidRPr="002C394A">
              <w:rPr>
                <w:rFonts w:ascii="Times New Roman" w:hAnsi="Times New Roman"/>
                <w:sz w:val="20"/>
              </w:rPr>
              <w:t>19,254</w:t>
            </w:r>
          </w:p>
        </w:tc>
      </w:tr>
    </w:tbl>
    <w:p w:rsidR="00131831" w:rsidP="00E12E90" w:rsidRDefault="00131831" w14:paraId="4F04E3D1" w14:textId="77777777">
      <w:pPr>
        <w:rPr>
          <w:rFonts w:ascii="Times New Roman" w:hAnsi="Times New Roman"/>
          <w:i/>
          <w:szCs w:val="24"/>
        </w:rPr>
      </w:pPr>
    </w:p>
    <w:p w:rsidRPr="002C394A" w:rsidR="002C394A" w:rsidP="00E12E90" w:rsidRDefault="007B0C63" w14:paraId="2868EE50" w14:textId="57211595">
      <w:pPr>
        <w:rPr>
          <w:rFonts w:ascii="Times New Roman" w:hAnsi="Times New Roman"/>
          <w:szCs w:val="24"/>
        </w:rPr>
      </w:pPr>
      <w:r>
        <w:rPr>
          <w:rFonts w:ascii="Times New Roman" w:hAnsi="Times New Roman"/>
          <w:iCs/>
          <w:szCs w:val="24"/>
        </w:rPr>
        <w:tab/>
      </w:r>
      <w:r w:rsidRPr="002C394A" w:rsidR="002C394A">
        <w:rPr>
          <w:rFonts w:ascii="Times New Roman" w:hAnsi="Times New Roman"/>
          <w:i/>
          <w:szCs w:val="24"/>
        </w:rPr>
        <w:t>Reporting Burden</w:t>
      </w:r>
    </w:p>
    <w:p w:rsidR="0040786E" w:rsidP="00E12E90" w:rsidRDefault="0040786E" w14:paraId="72E21DC9" w14:textId="77777777">
      <w:pPr>
        <w:rPr>
          <w:rFonts w:ascii="Times New Roman" w:hAnsi="Times New Roman"/>
          <w:szCs w:val="24"/>
        </w:rPr>
      </w:pPr>
    </w:p>
    <w:p w:rsidR="002C394A" w:rsidP="00E12E90" w:rsidRDefault="007B0C63" w14:paraId="5C8B41BD" w14:textId="65BB2255">
      <w:pPr>
        <w:rPr>
          <w:rFonts w:ascii="Times New Roman" w:hAnsi="Times New Roman"/>
          <w:szCs w:val="24"/>
        </w:rPr>
      </w:pPr>
      <w:r>
        <w:rPr>
          <w:rFonts w:ascii="Times New Roman" w:hAnsi="Times New Roman"/>
          <w:szCs w:val="24"/>
        </w:rPr>
        <w:tab/>
      </w:r>
      <w:r w:rsidRPr="002C394A" w:rsidR="002C394A">
        <w:rPr>
          <w:rFonts w:ascii="Times New Roman" w:hAnsi="Times New Roman"/>
          <w:szCs w:val="24"/>
        </w:rPr>
        <w:t xml:space="preserve">Among the reporting requirements found in proposed part 205 are content and format provisions pertaining to issuance, changes, expiry, renewal, and annual reports for 3PLs, as well as WDDs, as reflected above in table </w:t>
      </w:r>
      <w:r w:rsidR="008B4D43">
        <w:rPr>
          <w:rFonts w:ascii="Times New Roman" w:hAnsi="Times New Roman"/>
          <w:szCs w:val="24"/>
        </w:rPr>
        <w:t>1</w:t>
      </w:r>
      <w:r w:rsidRPr="002C394A" w:rsidR="002C394A">
        <w:rPr>
          <w:rFonts w:ascii="Times New Roman" w:hAnsi="Times New Roman"/>
          <w:szCs w:val="24"/>
        </w:rPr>
        <w:t xml:space="preserve">.  The proposed regulations also prescribe procedural steps and reporting schedules for submitting information regarding licensure, changes to licensure, reinstatement, and annual reporting, including requisite reporting timeframes.  Consistent with our PRIA, we estimate that 459 3PL facilities and 1,951 WDDs will become subject to the reporting requirements described in proposed part 205, where we ascribe specific burden associated with the provisions found in table 3.  Because we currently lack specific submission data regarding the proposed reporting requirements, </w:t>
      </w:r>
      <w:bookmarkStart w:name="_Hlk79152409" w:id="0"/>
      <w:r w:rsidRPr="002C394A" w:rsidR="002C394A">
        <w:rPr>
          <w:rFonts w:ascii="Times New Roman" w:hAnsi="Times New Roman"/>
          <w:szCs w:val="24"/>
        </w:rPr>
        <w:t xml:space="preserve">we rely on our experience with similar information collection as the primary basis for our estimates.  </w:t>
      </w:r>
      <w:bookmarkEnd w:id="0"/>
      <w:r w:rsidRPr="002C394A" w:rsidR="002C394A">
        <w:rPr>
          <w:rFonts w:ascii="Times New Roman" w:hAnsi="Times New Roman"/>
          <w:szCs w:val="24"/>
        </w:rPr>
        <w:t>However, we invite specific comment from potential respondents regarding burden estimates we ascribe to the reporting elements found in the proposed regulations, along with a discussion of the basis for their computation.</w:t>
      </w:r>
    </w:p>
    <w:p w:rsidRPr="00E12E90" w:rsidR="00D94E23" w:rsidP="00E12E90" w:rsidRDefault="00D94E23" w14:paraId="458889EF" w14:textId="77777777">
      <w:pPr>
        <w:rPr>
          <w:rFonts w:ascii="Times New Roman" w:hAnsi="Times New Roman"/>
          <w:szCs w:val="24"/>
        </w:rPr>
      </w:pPr>
    </w:p>
    <w:p w:rsidRPr="00E12E90" w:rsidR="002C394A" w:rsidP="00E12E90" w:rsidRDefault="007B0C63" w14:paraId="6565CA5C" w14:textId="0B94C7A1">
      <w:pPr>
        <w:rPr>
          <w:rFonts w:ascii="Times New Roman" w:hAnsi="Times New Roman"/>
          <w:i/>
          <w:szCs w:val="24"/>
        </w:rPr>
      </w:pPr>
      <w:r>
        <w:rPr>
          <w:rFonts w:ascii="Times New Roman" w:hAnsi="Times New Roman"/>
          <w:iCs/>
          <w:szCs w:val="24"/>
        </w:rPr>
        <w:tab/>
      </w:r>
      <w:r w:rsidRPr="00E12E90" w:rsidR="002C394A">
        <w:rPr>
          <w:rFonts w:ascii="Times New Roman" w:hAnsi="Times New Roman"/>
          <w:i/>
          <w:szCs w:val="24"/>
        </w:rPr>
        <w:t>Recordkeeping Burden</w:t>
      </w:r>
    </w:p>
    <w:p w:rsidRPr="00E12E90" w:rsidR="0040786E" w:rsidP="00E12E90" w:rsidRDefault="0040786E" w14:paraId="265F83A0" w14:textId="77777777">
      <w:pPr>
        <w:rPr>
          <w:rFonts w:ascii="Times New Roman" w:hAnsi="Times New Roman"/>
          <w:szCs w:val="24"/>
        </w:rPr>
      </w:pPr>
    </w:p>
    <w:p w:rsidRPr="00E12E90" w:rsidR="002C394A" w:rsidP="00E12E90" w:rsidRDefault="007B0C63" w14:paraId="0D1113BA" w14:textId="5A41061F">
      <w:pPr>
        <w:rPr>
          <w:rFonts w:ascii="Times New Roman" w:hAnsi="Times New Roman"/>
          <w:szCs w:val="24"/>
        </w:rPr>
      </w:pPr>
      <w:r>
        <w:rPr>
          <w:rFonts w:ascii="Times New Roman" w:hAnsi="Times New Roman"/>
          <w:szCs w:val="24"/>
        </w:rPr>
        <w:tab/>
      </w:r>
      <w:r w:rsidRPr="00E12E90" w:rsidR="002C394A">
        <w:rPr>
          <w:rFonts w:ascii="Times New Roman" w:hAnsi="Times New Roman"/>
          <w:szCs w:val="24"/>
        </w:rPr>
        <w:t xml:space="preserve">As set forth in the proposed regulations, 3PLs and WDDs must maintain records documenting procedures, management practice, policies, training, and personnel, among others.  Under proposed § 205.4, all records are subject to FDA inspection and must be made available upon request in the format prescribed by the proposed regulations.  Additional specific recordkeeping practice elements are also enumerated in the proposed regulations.  Consistent with our PRIA, we estimate that 459 3PLs and 1,951 WDDs will become subject to these </w:t>
      </w:r>
      <w:r w:rsidRPr="00E12E90">
        <w:rPr>
          <w:rFonts w:ascii="Times New Roman" w:hAnsi="Times New Roman"/>
          <w:szCs w:val="24"/>
        </w:rPr>
        <w:t>requirements if</w:t>
      </w:r>
      <w:r w:rsidRPr="00E12E90" w:rsidR="002C394A">
        <w:rPr>
          <w:rFonts w:ascii="Times New Roman" w:hAnsi="Times New Roman"/>
          <w:szCs w:val="24"/>
        </w:rPr>
        <w:t xml:space="preserve"> the proposed rule is finalized.  These provisions are reflected above in table 4, along with an estimated number of annual records and recordkeeping hours we attribute to the corresponding activity.  As with the proposed reporting requirements, we currently lack specific data regarding recordkeeping associated with the proposed regulations.  We invite specific comment from potential respondents regarding burden estimates we ascribe to the recordkeeping activities, along with a discussion of the basis for their computation.</w:t>
      </w:r>
    </w:p>
    <w:p w:rsidRPr="00E12E90" w:rsidR="00D12C1F" w:rsidP="00E12E90" w:rsidRDefault="00D12C1F" w14:paraId="33AB55A4" w14:textId="79DCE76F">
      <w:pPr>
        <w:rPr>
          <w:rFonts w:ascii="Times New Roman" w:hAnsi="Times New Roman"/>
          <w:szCs w:val="24"/>
        </w:rPr>
      </w:pPr>
    </w:p>
    <w:p w:rsidRPr="00E12E90" w:rsidR="008752E5" w:rsidP="00E12E90" w:rsidRDefault="00F95855" w14:paraId="160251C5" w14:textId="53C6ED79">
      <w:pPr>
        <w:rPr>
          <w:rFonts w:ascii="Times New Roman" w:hAnsi="Times New Roman"/>
          <w:i/>
          <w:szCs w:val="24"/>
        </w:rPr>
      </w:pPr>
      <w:r w:rsidRPr="00E12E90">
        <w:rPr>
          <w:rFonts w:ascii="Times New Roman" w:hAnsi="Times New Roman"/>
          <w:szCs w:val="24"/>
        </w:rPr>
        <w:lastRenderedPageBreak/>
        <w:tab/>
      </w:r>
      <w:r w:rsidRPr="00E12E90" w:rsidR="008752E5">
        <w:rPr>
          <w:rFonts w:ascii="Times New Roman" w:hAnsi="Times New Roman"/>
          <w:i/>
          <w:szCs w:val="24"/>
        </w:rPr>
        <w:t>12b. Annualized Cost Burden Estimate</w:t>
      </w:r>
    </w:p>
    <w:p w:rsidRPr="00E12E90" w:rsidR="00F95855" w:rsidP="00E12E90" w:rsidRDefault="00F95855" w14:paraId="059582C8" w14:textId="77777777">
      <w:pPr>
        <w:rPr>
          <w:rFonts w:ascii="Times New Roman" w:hAnsi="Times New Roman"/>
          <w:szCs w:val="24"/>
        </w:rPr>
      </w:pPr>
    </w:p>
    <w:p w:rsidRPr="00E12E90" w:rsidR="00375B0E" w:rsidP="00E12E90" w:rsidRDefault="0040786E" w14:paraId="5EC44F8E" w14:textId="6AF7B53C">
      <w:pPr>
        <w:rPr>
          <w:rFonts w:ascii="Times New Roman" w:hAnsi="Times New Roman"/>
          <w:szCs w:val="24"/>
        </w:rPr>
      </w:pPr>
      <w:bookmarkStart w:name="_Hlk94706937" w:id="1"/>
      <w:r w:rsidRPr="00E12E90">
        <w:rPr>
          <w:rFonts w:ascii="Times New Roman" w:hAnsi="Times New Roman"/>
          <w:szCs w:val="24"/>
        </w:rPr>
        <w:tab/>
      </w:r>
      <w:r w:rsidRPr="00E12E90" w:rsidR="00CD493A">
        <w:rPr>
          <w:rFonts w:ascii="Times New Roman" w:hAnsi="Times New Roman"/>
          <w:szCs w:val="24"/>
        </w:rPr>
        <w:t xml:space="preserve">As discussed in </w:t>
      </w:r>
      <w:r w:rsidRPr="00E12E90">
        <w:rPr>
          <w:rFonts w:ascii="Times New Roman" w:hAnsi="Times New Roman"/>
          <w:szCs w:val="24"/>
        </w:rPr>
        <w:t xml:space="preserve">the </w:t>
      </w:r>
      <w:r w:rsidRPr="00E12E90" w:rsidR="00CD493A">
        <w:rPr>
          <w:rFonts w:ascii="Times New Roman" w:hAnsi="Times New Roman"/>
          <w:szCs w:val="24"/>
        </w:rPr>
        <w:t xml:space="preserve">PRIA, affected entities would incur costs to </w:t>
      </w:r>
      <w:r w:rsidRPr="00E12E90" w:rsidR="002B5CBD">
        <w:rPr>
          <w:rFonts w:ascii="Times New Roman" w:hAnsi="Times New Roman"/>
          <w:szCs w:val="24"/>
        </w:rPr>
        <w:t xml:space="preserve">renew licenses, create and revise written procedures, </w:t>
      </w:r>
      <w:r w:rsidRPr="00E12E90" w:rsidR="00BA4688">
        <w:rPr>
          <w:rFonts w:ascii="Times New Roman" w:hAnsi="Times New Roman"/>
          <w:szCs w:val="24"/>
        </w:rPr>
        <w:t xml:space="preserve">and maintain </w:t>
      </w:r>
      <w:r w:rsidRPr="00E12E90" w:rsidR="002B5CBD">
        <w:rPr>
          <w:rFonts w:ascii="Times New Roman" w:hAnsi="Times New Roman"/>
          <w:szCs w:val="24"/>
        </w:rPr>
        <w:t>surety bonds</w:t>
      </w:r>
      <w:bookmarkEnd w:id="1"/>
      <w:r w:rsidRPr="00E12E90" w:rsidR="00760C25">
        <w:rPr>
          <w:rFonts w:ascii="Times New Roman" w:hAnsi="Times New Roman"/>
          <w:szCs w:val="24"/>
        </w:rPr>
        <w:t>.</w:t>
      </w:r>
      <w:r w:rsidRPr="00E12E90">
        <w:rPr>
          <w:rFonts w:ascii="Times New Roman" w:hAnsi="Times New Roman"/>
          <w:szCs w:val="24"/>
        </w:rPr>
        <w:t xml:space="preserve">.  </w:t>
      </w:r>
      <w:r w:rsidRPr="00E12E90" w:rsidR="0013538E">
        <w:rPr>
          <w:rFonts w:ascii="Times New Roman" w:hAnsi="Times New Roman"/>
          <w:szCs w:val="24"/>
        </w:rPr>
        <w:t xml:space="preserve">Affected </w:t>
      </w:r>
      <w:r w:rsidRPr="00E12E90" w:rsidR="008756F9">
        <w:rPr>
          <w:rFonts w:ascii="Times New Roman" w:hAnsi="Times New Roman"/>
          <w:szCs w:val="24"/>
        </w:rPr>
        <w:t>entities</w:t>
      </w:r>
      <w:r w:rsidRPr="00E12E90" w:rsidR="0013538E">
        <w:rPr>
          <w:rFonts w:ascii="Times New Roman" w:hAnsi="Times New Roman"/>
          <w:szCs w:val="24"/>
        </w:rPr>
        <w:t xml:space="preserve"> will incu</w:t>
      </w:r>
      <w:r w:rsidRPr="00E12E90" w:rsidR="000B3A65">
        <w:rPr>
          <w:rFonts w:ascii="Times New Roman" w:hAnsi="Times New Roman"/>
          <w:szCs w:val="24"/>
        </w:rPr>
        <w:t>r</w:t>
      </w:r>
      <w:r w:rsidRPr="00E12E90" w:rsidR="0013538E">
        <w:rPr>
          <w:rFonts w:ascii="Times New Roman" w:hAnsi="Times New Roman"/>
          <w:szCs w:val="24"/>
        </w:rPr>
        <w:t xml:space="preserve"> cost</w:t>
      </w:r>
      <w:r w:rsidRPr="00E12E90" w:rsidR="000B3A65">
        <w:rPr>
          <w:rFonts w:ascii="Times New Roman" w:hAnsi="Times New Roman"/>
          <w:szCs w:val="24"/>
        </w:rPr>
        <w:t>s</w:t>
      </w:r>
      <w:r w:rsidRPr="00E12E90" w:rsidR="0013538E">
        <w:rPr>
          <w:rFonts w:ascii="Times New Roman" w:hAnsi="Times New Roman"/>
          <w:szCs w:val="24"/>
        </w:rPr>
        <w:t xml:space="preserve"> to maintain bonds</w:t>
      </w:r>
      <w:r w:rsidRPr="00E12E90" w:rsidR="000B3A65">
        <w:rPr>
          <w:rFonts w:ascii="Times New Roman" w:hAnsi="Times New Roman"/>
          <w:szCs w:val="24"/>
        </w:rPr>
        <w:t xml:space="preserve">. Estimation of those costs </w:t>
      </w:r>
      <w:r w:rsidRPr="00E12E90" w:rsidR="001255FD">
        <w:rPr>
          <w:rFonts w:ascii="Times New Roman" w:hAnsi="Times New Roman"/>
          <w:szCs w:val="24"/>
        </w:rPr>
        <w:t xml:space="preserve">is </w:t>
      </w:r>
      <w:r w:rsidRPr="00E12E90" w:rsidR="00775746">
        <w:rPr>
          <w:rFonts w:ascii="Times New Roman" w:hAnsi="Times New Roman"/>
          <w:szCs w:val="24"/>
        </w:rPr>
        <w:t xml:space="preserve">approximately </w:t>
      </w:r>
      <w:r w:rsidRPr="00E12E90" w:rsidR="001255FD">
        <w:rPr>
          <w:rFonts w:ascii="Times New Roman" w:hAnsi="Times New Roman"/>
          <w:szCs w:val="24"/>
        </w:rPr>
        <w:t>equivalent to the product of the surety bond’s principal</w:t>
      </w:r>
      <w:r w:rsidRPr="00E12E90" w:rsidR="00775746">
        <w:rPr>
          <w:rFonts w:ascii="Times New Roman" w:hAnsi="Times New Roman"/>
          <w:szCs w:val="24"/>
        </w:rPr>
        <w:t xml:space="preserve"> and interest rate</w:t>
      </w:r>
      <w:r w:rsidRPr="00E12E90" w:rsidR="001255FD">
        <w:rPr>
          <w:rFonts w:ascii="Times New Roman" w:hAnsi="Times New Roman"/>
          <w:szCs w:val="24"/>
        </w:rPr>
        <w:t xml:space="preserve">.  We estimate that the total annual cost to maintain surety bonds is $0.08 million ($1,750 per year </w:t>
      </w:r>
      <m:oMath>
        <m:r>
          <w:rPr>
            <w:rFonts w:ascii="Cambria Math" w:hAnsi="Cambria Math"/>
            <w:szCs w:val="24"/>
          </w:rPr>
          <m:t>×</m:t>
        </m:r>
      </m:oMath>
      <w:r w:rsidRPr="00E12E90" w:rsidR="001255FD">
        <w:rPr>
          <w:rFonts w:ascii="Times New Roman" w:hAnsi="Times New Roman"/>
          <w:szCs w:val="24"/>
        </w:rPr>
        <w:t xml:space="preserve"> 47 firms) for firms with greater than $10 million in annual revenue and $0.11 million ($438 per year </w:t>
      </w:r>
      <m:oMath>
        <m:r>
          <w:rPr>
            <w:rFonts w:ascii="Cambria Math" w:hAnsi="Cambria Math"/>
            <w:szCs w:val="24"/>
          </w:rPr>
          <m:t>×</m:t>
        </m:r>
      </m:oMath>
      <w:r w:rsidRPr="00E12E90" w:rsidR="001255FD">
        <w:rPr>
          <w:rFonts w:ascii="Times New Roman" w:hAnsi="Times New Roman"/>
          <w:szCs w:val="24"/>
        </w:rPr>
        <w:t xml:space="preserve"> 244 firms) for firms with less than $10 million in annual revenue. Thus, estimated total cost of </w:t>
      </w:r>
      <w:r w:rsidRPr="00E12E90" w:rsidR="00775746">
        <w:rPr>
          <w:rFonts w:ascii="Times New Roman" w:hAnsi="Times New Roman"/>
          <w:szCs w:val="24"/>
        </w:rPr>
        <w:t xml:space="preserve">maintaining </w:t>
      </w:r>
      <w:r w:rsidRPr="00E12E90" w:rsidR="001255FD">
        <w:rPr>
          <w:rFonts w:ascii="Times New Roman" w:hAnsi="Times New Roman"/>
          <w:szCs w:val="24"/>
        </w:rPr>
        <w:t>surety bonds equals $0.19 million per year.</w:t>
      </w:r>
    </w:p>
    <w:p w:rsidRPr="00E12E90" w:rsidR="0013538E" w:rsidP="00E12E90" w:rsidRDefault="0013538E" w14:paraId="1F8FCEAB" w14:textId="6AF838BB">
      <w:pPr>
        <w:pStyle w:val="BodyText"/>
        <w:kinsoku w:val="0"/>
        <w:overflowPunct w:val="0"/>
        <w:ind w:right="227"/>
        <w:rPr>
          <w:sz w:val="28"/>
          <w:szCs w:val="28"/>
        </w:rPr>
      </w:pPr>
    </w:p>
    <w:p w:rsidRPr="00E12E90" w:rsidR="008752E5" w:rsidP="00E12E90" w:rsidRDefault="005D4AA1" w14:paraId="2EA155D2" w14:textId="5BAB282E">
      <w:pPr>
        <w:rPr>
          <w:rFonts w:ascii="Times New Roman" w:hAnsi="Times New Roman"/>
          <w:szCs w:val="24"/>
        </w:rPr>
      </w:pPr>
      <w:r w:rsidRPr="00E12E90">
        <w:rPr>
          <w:rFonts w:ascii="Times New Roman" w:hAnsi="Times New Roman"/>
          <w:sz w:val="28"/>
          <w:szCs w:val="28"/>
        </w:rPr>
        <w:t>13.</w:t>
      </w:r>
      <w:r w:rsidRPr="00E12E90">
        <w:rPr>
          <w:rFonts w:ascii="Times New Roman" w:hAnsi="Times New Roman"/>
          <w:szCs w:val="24"/>
        </w:rPr>
        <w:t xml:space="preserve">  </w:t>
      </w:r>
      <w:r w:rsidRPr="00E12E90" w:rsidR="008752E5">
        <w:rPr>
          <w:rFonts w:ascii="Times New Roman" w:hAnsi="Times New Roman"/>
          <w:szCs w:val="24"/>
          <w:u w:val="single"/>
        </w:rPr>
        <w:t>Estimates of Other Total Annual Cost</w:t>
      </w:r>
      <w:r w:rsidRPr="00E12E90" w:rsidR="00193516">
        <w:rPr>
          <w:rFonts w:ascii="Times New Roman" w:hAnsi="Times New Roman"/>
          <w:szCs w:val="24"/>
          <w:u w:val="single"/>
        </w:rPr>
        <w:t>s</w:t>
      </w:r>
      <w:r w:rsidRPr="00E12E90" w:rsidR="008752E5">
        <w:rPr>
          <w:rFonts w:ascii="Times New Roman" w:hAnsi="Times New Roman"/>
          <w:szCs w:val="24"/>
          <w:u w:val="single"/>
        </w:rPr>
        <w:t xml:space="preserve"> to Respondents and</w:t>
      </w:r>
      <w:r w:rsidRPr="00E12E90" w:rsidR="00193516">
        <w:rPr>
          <w:rFonts w:ascii="Times New Roman" w:hAnsi="Times New Roman"/>
          <w:szCs w:val="24"/>
          <w:u w:val="single"/>
        </w:rPr>
        <w:t>/or</w:t>
      </w:r>
      <w:r w:rsidRPr="00E12E90" w:rsidR="008752E5">
        <w:rPr>
          <w:rFonts w:ascii="Times New Roman" w:hAnsi="Times New Roman"/>
          <w:szCs w:val="24"/>
          <w:u w:val="single"/>
        </w:rPr>
        <w:t xml:space="preserve"> Recordkeepers</w:t>
      </w:r>
      <w:r w:rsidRPr="00E12E90" w:rsidR="00193516">
        <w:rPr>
          <w:rFonts w:ascii="Times New Roman" w:hAnsi="Times New Roman"/>
          <w:szCs w:val="24"/>
          <w:u w:val="single"/>
        </w:rPr>
        <w:t>/Capital Costs</w:t>
      </w:r>
    </w:p>
    <w:p w:rsidRPr="00E12E90" w:rsidR="00193516" w:rsidP="00E12E90" w:rsidRDefault="00193516" w14:paraId="23DCE0F2" w14:textId="77777777">
      <w:pPr>
        <w:rPr>
          <w:rFonts w:ascii="Times New Roman" w:hAnsi="Times New Roman"/>
          <w:szCs w:val="24"/>
        </w:rPr>
      </w:pPr>
    </w:p>
    <w:p w:rsidRPr="00E12E90" w:rsidR="00D8187D" w:rsidP="00E12E90" w:rsidRDefault="003B6F3C" w14:paraId="78890664" w14:textId="170136B1">
      <w:pPr>
        <w:rPr>
          <w:rFonts w:ascii="Times New Roman" w:hAnsi="Times New Roman"/>
          <w:szCs w:val="24"/>
        </w:rPr>
      </w:pPr>
      <w:r w:rsidRPr="00E12E90">
        <w:rPr>
          <w:rFonts w:ascii="Times New Roman" w:hAnsi="Times New Roman"/>
          <w:szCs w:val="24"/>
        </w:rPr>
        <w:t xml:space="preserve">There are no capital, start-up, operating or maintenance costs associated with this information collection.  </w:t>
      </w:r>
    </w:p>
    <w:p w:rsidRPr="00E12E90" w:rsidR="00D8187D" w:rsidP="00E12E90" w:rsidRDefault="00D8187D" w14:paraId="3675DFE6" w14:textId="77777777">
      <w:pPr>
        <w:rPr>
          <w:rFonts w:ascii="Times New Roman" w:hAnsi="Times New Roman"/>
          <w:szCs w:val="24"/>
        </w:rPr>
      </w:pPr>
    </w:p>
    <w:p w:rsidRPr="00E12E90" w:rsidR="008752E5" w:rsidP="00E12E90" w:rsidRDefault="005D4AA1" w14:paraId="2D68FCD7" w14:textId="50D5BFB9">
      <w:pPr>
        <w:rPr>
          <w:rFonts w:ascii="Times New Roman" w:hAnsi="Times New Roman"/>
          <w:szCs w:val="24"/>
        </w:rPr>
      </w:pPr>
      <w:r w:rsidRPr="00E12E90">
        <w:rPr>
          <w:rFonts w:ascii="Times New Roman" w:hAnsi="Times New Roman"/>
          <w:szCs w:val="24"/>
        </w:rPr>
        <w:t xml:space="preserve">14.  </w:t>
      </w:r>
      <w:r w:rsidRPr="00E12E90" w:rsidR="008752E5">
        <w:rPr>
          <w:rFonts w:ascii="Times New Roman" w:hAnsi="Times New Roman"/>
          <w:szCs w:val="24"/>
          <w:u w:val="single"/>
        </w:rPr>
        <w:t>Annualized Cost to the Federal Government</w:t>
      </w:r>
    </w:p>
    <w:p w:rsidRPr="00E12E90" w:rsidR="00775324" w:rsidP="00E12E90" w:rsidRDefault="00775324" w14:paraId="0D8AEFE9" w14:textId="77777777">
      <w:pPr>
        <w:rPr>
          <w:rFonts w:ascii="Times New Roman" w:hAnsi="Times New Roman"/>
          <w:szCs w:val="24"/>
        </w:rPr>
      </w:pPr>
    </w:p>
    <w:p w:rsidR="00F95855" w:rsidP="00E12E90" w:rsidRDefault="00F3456D" w14:paraId="7749D2B1" w14:textId="30A67E35">
      <w:pPr>
        <w:rPr>
          <w:rFonts w:ascii="Times New Roman" w:hAnsi="Times New Roman"/>
          <w:szCs w:val="24"/>
        </w:rPr>
      </w:pPr>
      <w:r>
        <w:rPr>
          <w:rFonts w:ascii="Times New Roman" w:hAnsi="Times New Roman"/>
          <w:szCs w:val="24"/>
        </w:rPr>
        <w:t xml:space="preserve">Consistent with annualized cost projections found in our PRIA, we estimate annual costs in the amount of </w:t>
      </w:r>
      <w:r w:rsidR="00A2601A">
        <w:rPr>
          <w:rFonts w:ascii="Times New Roman" w:hAnsi="Times New Roman"/>
          <w:szCs w:val="24"/>
        </w:rPr>
        <w:t xml:space="preserve">$1.48 million annually, using upper-bound but discounted </w:t>
      </w:r>
      <w:r w:rsidR="00B81B88">
        <w:rPr>
          <w:rFonts w:ascii="Times New Roman" w:hAnsi="Times New Roman"/>
          <w:szCs w:val="24"/>
        </w:rPr>
        <w:t>figures.</w:t>
      </w:r>
    </w:p>
    <w:p w:rsidRPr="00204766" w:rsidR="00B81B88" w:rsidP="00E12E90" w:rsidRDefault="00B81B88" w14:paraId="7E4484BA" w14:textId="77777777">
      <w:pPr>
        <w:rPr>
          <w:rFonts w:ascii="Times New Roman" w:hAnsi="Times New Roman"/>
          <w:szCs w:val="24"/>
        </w:rPr>
      </w:pPr>
    </w:p>
    <w:p w:rsidRPr="00204766" w:rsidR="003175F6" w:rsidP="00E12E90" w:rsidRDefault="005D4AA1" w14:paraId="0AF86DE3" w14:textId="1A0C8C1A">
      <w:pPr>
        <w:rPr>
          <w:rFonts w:ascii="Times New Roman" w:hAnsi="Times New Roman"/>
          <w:szCs w:val="24"/>
        </w:rPr>
      </w:pPr>
      <w:r w:rsidRPr="00204766">
        <w:rPr>
          <w:rFonts w:ascii="Times New Roman" w:hAnsi="Times New Roman"/>
          <w:szCs w:val="24"/>
        </w:rPr>
        <w:t xml:space="preserve">15.  </w:t>
      </w:r>
      <w:r w:rsidRPr="00204766" w:rsidR="008752E5">
        <w:rPr>
          <w:rFonts w:ascii="Times New Roman" w:hAnsi="Times New Roman"/>
          <w:szCs w:val="24"/>
          <w:u w:val="single"/>
        </w:rPr>
        <w:t>Explanation for Program Changes or Adjustments</w:t>
      </w:r>
    </w:p>
    <w:p w:rsidRPr="00204766" w:rsidR="00087A9A" w:rsidP="00E12E90" w:rsidRDefault="00087A9A" w14:paraId="2A7D979D" w14:textId="77777777">
      <w:pPr>
        <w:rPr>
          <w:rFonts w:ascii="Times New Roman" w:hAnsi="Times New Roman"/>
          <w:szCs w:val="24"/>
        </w:rPr>
      </w:pPr>
    </w:p>
    <w:p w:rsidRPr="00204766" w:rsidR="00775324" w:rsidP="00E12E90" w:rsidRDefault="00221DD1" w14:paraId="17DEAD88" w14:textId="464A6DD9">
      <w:pPr>
        <w:rPr>
          <w:rFonts w:ascii="Times New Roman" w:hAnsi="Times New Roman"/>
          <w:szCs w:val="24"/>
        </w:rPr>
      </w:pPr>
      <w:r>
        <w:rPr>
          <w:rFonts w:ascii="Times New Roman" w:hAnsi="Times New Roman"/>
          <w:szCs w:val="24"/>
        </w:rPr>
        <w:t xml:space="preserve">We are revising regulations </w:t>
      </w:r>
      <w:r w:rsidR="00641464">
        <w:rPr>
          <w:rFonts w:ascii="Times New Roman" w:hAnsi="Times New Roman"/>
          <w:szCs w:val="24"/>
        </w:rPr>
        <w:t xml:space="preserve">in 21 CFR part 205 and are revising the </w:t>
      </w:r>
      <w:r w:rsidR="00B40E4C">
        <w:rPr>
          <w:rFonts w:ascii="Times New Roman" w:hAnsi="Times New Roman"/>
          <w:szCs w:val="24"/>
        </w:rPr>
        <w:t xml:space="preserve">corresponding, inactive </w:t>
      </w:r>
      <w:r w:rsidR="00641464">
        <w:rPr>
          <w:rFonts w:ascii="Times New Roman" w:hAnsi="Times New Roman"/>
          <w:szCs w:val="24"/>
        </w:rPr>
        <w:t>information collection 0910-0251</w:t>
      </w:r>
      <w:r w:rsidR="00B40E4C">
        <w:rPr>
          <w:rFonts w:ascii="Times New Roman" w:hAnsi="Times New Roman"/>
          <w:szCs w:val="24"/>
        </w:rPr>
        <w:t xml:space="preserve"> to implement these provisions.</w:t>
      </w:r>
      <w:r w:rsidRPr="00204766" w:rsidR="00C37B09">
        <w:rPr>
          <w:rFonts w:ascii="Times New Roman" w:hAnsi="Times New Roman"/>
          <w:szCs w:val="24"/>
        </w:rPr>
        <w:t xml:space="preserve"> </w:t>
      </w:r>
    </w:p>
    <w:p w:rsidRPr="00204766" w:rsidR="005D4AA1" w:rsidP="00E12E90" w:rsidRDefault="005D4AA1" w14:paraId="1176397D" w14:textId="77777777">
      <w:pPr>
        <w:rPr>
          <w:rFonts w:ascii="Times New Roman" w:hAnsi="Times New Roman"/>
          <w:szCs w:val="24"/>
        </w:rPr>
      </w:pPr>
    </w:p>
    <w:p w:rsidRPr="00204766" w:rsidR="005639E0" w:rsidP="00E12E90" w:rsidRDefault="005D4AA1" w14:paraId="6CAAB720" w14:textId="1BE79730">
      <w:pPr>
        <w:rPr>
          <w:rFonts w:ascii="Times New Roman" w:hAnsi="Times New Roman"/>
          <w:szCs w:val="24"/>
        </w:rPr>
      </w:pPr>
      <w:r w:rsidRPr="00204766">
        <w:rPr>
          <w:rFonts w:ascii="Times New Roman" w:hAnsi="Times New Roman"/>
          <w:szCs w:val="24"/>
        </w:rPr>
        <w:t xml:space="preserve">16.  </w:t>
      </w:r>
      <w:r w:rsidRPr="00204766" w:rsidR="005639E0">
        <w:rPr>
          <w:rFonts w:ascii="Times New Roman" w:hAnsi="Times New Roman"/>
          <w:szCs w:val="24"/>
          <w:u w:val="single"/>
        </w:rPr>
        <w:t>Plans for Tabulation and Publication and Project Time Schedule</w:t>
      </w:r>
    </w:p>
    <w:p w:rsidRPr="00204766" w:rsidR="001039F3" w:rsidP="00E12E90" w:rsidRDefault="001039F3" w14:paraId="0AFF7176" w14:textId="77777777">
      <w:pPr>
        <w:rPr>
          <w:rFonts w:ascii="Times New Roman" w:hAnsi="Times New Roman"/>
          <w:szCs w:val="24"/>
        </w:rPr>
      </w:pPr>
    </w:p>
    <w:p w:rsidRPr="00204766" w:rsidR="008752E5" w:rsidP="00E12E90" w:rsidRDefault="008752E5" w14:paraId="1F10A32F" w14:textId="5274FC5D">
      <w:pPr>
        <w:rPr>
          <w:rFonts w:ascii="Times New Roman" w:hAnsi="Times New Roman"/>
          <w:szCs w:val="24"/>
        </w:rPr>
      </w:pPr>
      <w:r w:rsidRPr="00204766">
        <w:rPr>
          <w:rFonts w:ascii="Times New Roman" w:hAnsi="Times New Roman"/>
          <w:szCs w:val="24"/>
        </w:rPr>
        <w:t>There are no publications or other schedules.</w:t>
      </w:r>
      <w:r w:rsidRPr="00204766" w:rsidR="007B7301">
        <w:rPr>
          <w:rFonts w:ascii="Times New Roman" w:hAnsi="Times New Roman"/>
          <w:szCs w:val="24"/>
        </w:rPr>
        <w:t xml:space="preserve">  </w:t>
      </w:r>
    </w:p>
    <w:p w:rsidRPr="00204766" w:rsidR="00C37B09" w:rsidP="00E12E90" w:rsidRDefault="00C37B09" w14:paraId="5F4C9D2B" w14:textId="77777777">
      <w:pPr>
        <w:rPr>
          <w:rFonts w:ascii="Times New Roman" w:hAnsi="Times New Roman"/>
          <w:szCs w:val="24"/>
        </w:rPr>
      </w:pPr>
    </w:p>
    <w:p w:rsidRPr="00204766" w:rsidR="008752E5" w:rsidP="00E12E90" w:rsidRDefault="005D4AA1" w14:paraId="5C510EA6" w14:textId="01DB90BF">
      <w:pPr>
        <w:rPr>
          <w:rFonts w:ascii="Times New Roman" w:hAnsi="Times New Roman"/>
          <w:szCs w:val="24"/>
        </w:rPr>
      </w:pPr>
      <w:r w:rsidRPr="00204766">
        <w:rPr>
          <w:rFonts w:ascii="Times New Roman" w:hAnsi="Times New Roman"/>
          <w:szCs w:val="24"/>
        </w:rPr>
        <w:t xml:space="preserve">17.  </w:t>
      </w:r>
      <w:r w:rsidRPr="00204766" w:rsidR="008752E5">
        <w:rPr>
          <w:rFonts w:ascii="Times New Roman" w:hAnsi="Times New Roman"/>
          <w:szCs w:val="24"/>
          <w:u w:val="single"/>
        </w:rPr>
        <w:t>Reason(s) Display of OMB Expiration Date is Inappropriate</w:t>
      </w:r>
    </w:p>
    <w:p w:rsidRPr="00204766" w:rsidR="000E7BEF" w:rsidP="00E12E90" w:rsidRDefault="000E7BEF" w14:paraId="40ED7D4A" w14:textId="77777777">
      <w:pPr>
        <w:rPr>
          <w:rFonts w:ascii="Times New Roman" w:hAnsi="Times New Roman"/>
          <w:szCs w:val="24"/>
        </w:rPr>
      </w:pPr>
    </w:p>
    <w:p w:rsidRPr="00204766" w:rsidR="001039F3" w:rsidP="00E12E90" w:rsidRDefault="001039F3" w14:paraId="4E4BD037" w14:textId="0B01C098">
      <w:pPr>
        <w:rPr>
          <w:rFonts w:ascii="Times New Roman" w:hAnsi="Times New Roman"/>
          <w:szCs w:val="24"/>
        </w:rPr>
      </w:pPr>
      <w:r w:rsidRPr="00204766">
        <w:rPr>
          <w:rFonts w:ascii="Times New Roman" w:hAnsi="Times New Roman"/>
          <w:szCs w:val="24"/>
        </w:rPr>
        <w:t>FDA will display the OMB expiration date as required by 5 CFR 1320.5</w:t>
      </w:r>
      <w:r w:rsidRPr="00204766" w:rsidR="000E7BEF">
        <w:rPr>
          <w:rFonts w:ascii="Times New Roman" w:hAnsi="Times New Roman"/>
          <w:szCs w:val="24"/>
        </w:rPr>
        <w:t>.</w:t>
      </w:r>
    </w:p>
    <w:p w:rsidRPr="00204766" w:rsidR="001039F3" w:rsidP="00E12E90" w:rsidRDefault="001039F3" w14:paraId="71CE734B" w14:textId="77777777">
      <w:pPr>
        <w:rPr>
          <w:rFonts w:ascii="Times New Roman" w:hAnsi="Times New Roman"/>
          <w:szCs w:val="24"/>
        </w:rPr>
      </w:pPr>
    </w:p>
    <w:p w:rsidRPr="00204766" w:rsidR="008752E5" w:rsidP="00E12E90" w:rsidRDefault="005D4AA1" w14:paraId="5A0602F4" w14:textId="13541855">
      <w:pPr>
        <w:rPr>
          <w:rFonts w:ascii="Times New Roman" w:hAnsi="Times New Roman"/>
          <w:szCs w:val="24"/>
        </w:rPr>
      </w:pPr>
      <w:r w:rsidRPr="00204766">
        <w:rPr>
          <w:rFonts w:ascii="Times New Roman" w:hAnsi="Times New Roman"/>
          <w:szCs w:val="24"/>
        </w:rPr>
        <w:t xml:space="preserve">18.  </w:t>
      </w:r>
      <w:r w:rsidRPr="00204766" w:rsidR="008752E5">
        <w:rPr>
          <w:rFonts w:ascii="Times New Roman" w:hAnsi="Times New Roman"/>
          <w:szCs w:val="24"/>
          <w:u w:val="single"/>
        </w:rPr>
        <w:t>Exceptions to Certification for Paperwork Reduction Act Submissions</w:t>
      </w:r>
    </w:p>
    <w:p w:rsidRPr="00204766" w:rsidR="00B32F6C" w:rsidP="00E12E90" w:rsidRDefault="00B32F6C" w14:paraId="4B95324D" w14:textId="77777777">
      <w:pPr>
        <w:rPr>
          <w:rFonts w:ascii="Times New Roman" w:hAnsi="Times New Roman"/>
          <w:szCs w:val="24"/>
        </w:rPr>
      </w:pPr>
    </w:p>
    <w:p w:rsidRPr="00204766" w:rsidR="008752E5" w:rsidP="00E12E90" w:rsidRDefault="008752E5" w14:paraId="33AC2348" w14:textId="46E49E2E">
      <w:pPr>
        <w:rPr>
          <w:rFonts w:ascii="Times New Roman" w:hAnsi="Times New Roman"/>
          <w:szCs w:val="24"/>
        </w:rPr>
      </w:pPr>
      <w:r w:rsidRPr="00204766">
        <w:rPr>
          <w:rFonts w:ascii="Times New Roman" w:hAnsi="Times New Roman"/>
          <w:szCs w:val="24"/>
        </w:rPr>
        <w:t xml:space="preserve">There are no exceptions to the certification statement. </w:t>
      </w:r>
    </w:p>
    <w:p w:rsidRPr="00204766" w:rsidR="00E15D55" w:rsidP="00E12E90" w:rsidRDefault="00E15D55" w14:paraId="6DD2566C" w14:textId="77777777">
      <w:pPr>
        <w:rPr>
          <w:rFonts w:ascii="Times New Roman" w:hAnsi="Times New Roman"/>
          <w:szCs w:val="24"/>
        </w:rPr>
      </w:pPr>
    </w:p>
    <w:sectPr w:rsidRPr="00204766" w:rsidR="00E15D55" w:rsidSect="007409F1">
      <w:footerReference w:type="default" r:id="rId8"/>
      <w:endnotePr>
        <w:numFmt w:val="decimal"/>
      </w:endnotePr>
      <w:pgSz w:w="12240" w:h="15840"/>
      <w:pgMar w:top="1440" w:right="1584" w:bottom="1440" w:left="1440" w:header="144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73632" w14:textId="77777777" w:rsidR="00865A29" w:rsidRDefault="00865A29">
      <w:r>
        <w:separator/>
      </w:r>
    </w:p>
  </w:endnote>
  <w:endnote w:type="continuationSeparator" w:id="0">
    <w:p w14:paraId="0A135324" w14:textId="77777777" w:rsidR="00865A29" w:rsidRDefault="00865A29">
      <w:r>
        <w:continuationSeparator/>
      </w:r>
    </w:p>
  </w:endnote>
  <w:endnote w:type="continuationNotice" w:id="1">
    <w:p w14:paraId="3C1C6C39" w14:textId="77777777" w:rsidR="00865A29" w:rsidRDefault="00865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0199" w14:textId="77777777" w:rsidR="00A2668F" w:rsidRDefault="00A2668F">
    <w:pPr>
      <w:spacing w:line="240" w:lineRule="exact"/>
    </w:pPr>
  </w:p>
  <w:p w14:paraId="7D99393F" w14:textId="5FF42EB2" w:rsidR="00A2668F" w:rsidRPr="00A235C7" w:rsidRDefault="00A2668F">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Pr>
        <w:rFonts w:ascii="Times New Roman" w:hAnsi="Times New Roman"/>
        <w:noProof/>
      </w:rPr>
      <w:t>12</w:t>
    </w:r>
    <w:r w:rsidRPr="00A235C7">
      <w:rPr>
        <w:rFonts w:ascii="Times New Roman" w:hAnsi="Times New Roman"/>
      </w:rPr>
      <w:fldChar w:fldCharType="end"/>
    </w:r>
  </w:p>
  <w:p w14:paraId="7A3630F3" w14:textId="77777777" w:rsidR="00A2668F" w:rsidRDefault="00A266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C148A" w14:textId="77777777" w:rsidR="00865A29" w:rsidRDefault="00865A29">
      <w:r>
        <w:separator/>
      </w:r>
    </w:p>
  </w:footnote>
  <w:footnote w:type="continuationSeparator" w:id="0">
    <w:p w14:paraId="090530DB" w14:textId="77777777" w:rsidR="00865A29" w:rsidRDefault="00865A29">
      <w:r>
        <w:continuationSeparator/>
      </w:r>
    </w:p>
  </w:footnote>
  <w:footnote w:type="continuationNotice" w:id="1">
    <w:p w14:paraId="73B324A4" w14:textId="77777777" w:rsidR="00865A29" w:rsidRDefault="00865A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E0B"/>
    <w:multiLevelType w:val="multilevel"/>
    <w:tmpl w:val="8310A656"/>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0" w:firstLine="0"/>
      </w:pPr>
    </w:lvl>
    <w:lvl w:ilvl="4">
      <w:start w:val="1"/>
      <w:numFmt w:val="lowerRoman"/>
      <w:lvlText w:val="(%5)"/>
      <w:lvlJc w:val="right"/>
      <w:pPr>
        <w:tabs>
          <w:tab w:val="num" w:pos="1800"/>
        </w:tabs>
        <w:ind w:left="1800" w:hanging="360"/>
      </w:pPr>
    </w:lvl>
    <w:lvl w:ilvl="5">
      <w:start w:val="1"/>
      <w:numFmt w:val="upperRoman"/>
      <w:lvlText w:val="(%6)"/>
      <w:lvlJc w:val="righ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2" w15:restartNumberingAfterBreak="0">
    <w:nsid w:val="135146DE"/>
    <w:multiLevelType w:val="hybridMultilevel"/>
    <w:tmpl w:val="C0A87140"/>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0332F"/>
    <w:multiLevelType w:val="hybridMultilevel"/>
    <w:tmpl w:val="8F960BB2"/>
    <w:lvl w:ilvl="0" w:tplc="1542D362">
      <w:start w:val="1"/>
      <w:numFmt w:val="upp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660FC"/>
    <w:multiLevelType w:val="hybridMultilevel"/>
    <w:tmpl w:val="419A396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0368D6"/>
    <w:multiLevelType w:val="hybridMultilevel"/>
    <w:tmpl w:val="0D6403F4"/>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7"/>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13EFF"/>
    <w:rsid w:val="000212E1"/>
    <w:rsid w:val="00022A70"/>
    <w:rsid w:val="000560DE"/>
    <w:rsid w:val="00060802"/>
    <w:rsid w:val="0006280A"/>
    <w:rsid w:val="000701AF"/>
    <w:rsid w:val="00077325"/>
    <w:rsid w:val="00082236"/>
    <w:rsid w:val="00087A9A"/>
    <w:rsid w:val="00090711"/>
    <w:rsid w:val="000A03BD"/>
    <w:rsid w:val="000A05A9"/>
    <w:rsid w:val="000B3A65"/>
    <w:rsid w:val="000B62F4"/>
    <w:rsid w:val="000E4F90"/>
    <w:rsid w:val="000E7AD2"/>
    <w:rsid w:val="000E7BEF"/>
    <w:rsid w:val="000F4AF7"/>
    <w:rsid w:val="000F5C6F"/>
    <w:rsid w:val="000F6058"/>
    <w:rsid w:val="001039F3"/>
    <w:rsid w:val="00105AAF"/>
    <w:rsid w:val="00106760"/>
    <w:rsid w:val="00111C1E"/>
    <w:rsid w:val="001255FD"/>
    <w:rsid w:val="001258C4"/>
    <w:rsid w:val="00126582"/>
    <w:rsid w:val="00130EA2"/>
    <w:rsid w:val="00131831"/>
    <w:rsid w:val="0013538E"/>
    <w:rsid w:val="0014041A"/>
    <w:rsid w:val="00142BEC"/>
    <w:rsid w:val="001775AE"/>
    <w:rsid w:val="00180CFB"/>
    <w:rsid w:val="001922C0"/>
    <w:rsid w:val="00193516"/>
    <w:rsid w:val="001950CA"/>
    <w:rsid w:val="001A1162"/>
    <w:rsid w:val="001A2A07"/>
    <w:rsid w:val="001A60C2"/>
    <w:rsid w:val="001B4684"/>
    <w:rsid w:val="001C7954"/>
    <w:rsid w:val="001D0EB6"/>
    <w:rsid w:val="001E1E18"/>
    <w:rsid w:val="001E6FD6"/>
    <w:rsid w:val="001E747D"/>
    <w:rsid w:val="001F3665"/>
    <w:rsid w:val="001F4A73"/>
    <w:rsid w:val="001F56F3"/>
    <w:rsid w:val="001F5DCB"/>
    <w:rsid w:val="001F7FEF"/>
    <w:rsid w:val="00200BF8"/>
    <w:rsid w:val="00203EB3"/>
    <w:rsid w:val="00204766"/>
    <w:rsid w:val="00211665"/>
    <w:rsid w:val="00213D95"/>
    <w:rsid w:val="002142A6"/>
    <w:rsid w:val="00221DD1"/>
    <w:rsid w:val="002333C2"/>
    <w:rsid w:val="002417B5"/>
    <w:rsid w:val="00243F5D"/>
    <w:rsid w:val="002450E4"/>
    <w:rsid w:val="0025454C"/>
    <w:rsid w:val="00254B60"/>
    <w:rsid w:val="002677B4"/>
    <w:rsid w:val="00273315"/>
    <w:rsid w:val="002774D4"/>
    <w:rsid w:val="00281A25"/>
    <w:rsid w:val="002978AF"/>
    <w:rsid w:val="002A07DA"/>
    <w:rsid w:val="002A2189"/>
    <w:rsid w:val="002B5BA5"/>
    <w:rsid w:val="002B5CBD"/>
    <w:rsid w:val="002B6DE3"/>
    <w:rsid w:val="002C394A"/>
    <w:rsid w:val="002C4C69"/>
    <w:rsid w:val="002D17F6"/>
    <w:rsid w:val="002E0DAC"/>
    <w:rsid w:val="002E53E0"/>
    <w:rsid w:val="00303407"/>
    <w:rsid w:val="00303F45"/>
    <w:rsid w:val="003175F6"/>
    <w:rsid w:val="00331EE7"/>
    <w:rsid w:val="00333EA2"/>
    <w:rsid w:val="00343ECC"/>
    <w:rsid w:val="00353B9E"/>
    <w:rsid w:val="00354B86"/>
    <w:rsid w:val="00362368"/>
    <w:rsid w:val="003648D7"/>
    <w:rsid w:val="00375B0E"/>
    <w:rsid w:val="00383330"/>
    <w:rsid w:val="003868D3"/>
    <w:rsid w:val="00387AFD"/>
    <w:rsid w:val="003919B7"/>
    <w:rsid w:val="00395CA5"/>
    <w:rsid w:val="0039607D"/>
    <w:rsid w:val="003A0453"/>
    <w:rsid w:val="003A4DC3"/>
    <w:rsid w:val="003B6F3C"/>
    <w:rsid w:val="003F3216"/>
    <w:rsid w:val="00402299"/>
    <w:rsid w:val="0040786E"/>
    <w:rsid w:val="004116A0"/>
    <w:rsid w:val="00424F1A"/>
    <w:rsid w:val="00425EAB"/>
    <w:rsid w:val="004334D6"/>
    <w:rsid w:val="00435090"/>
    <w:rsid w:val="00470454"/>
    <w:rsid w:val="00476697"/>
    <w:rsid w:val="00480056"/>
    <w:rsid w:val="00487F89"/>
    <w:rsid w:val="00496B9E"/>
    <w:rsid w:val="00496DF2"/>
    <w:rsid w:val="004A0881"/>
    <w:rsid w:val="004A0CF7"/>
    <w:rsid w:val="004A204A"/>
    <w:rsid w:val="004A63BE"/>
    <w:rsid w:val="004B329B"/>
    <w:rsid w:val="004B4A43"/>
    <w:rsid w:val="004B6AB8"/>
    <w:rsid w:val="004D1532"/>
    <w:rsid w:val="004D30C4"/>
    <w:rsid w:val="004E5B1E"/>
    <w:rsid w:val="004E66AA"/>
    <w:rsid w:val="004E6EA2"/>
    <w:rsid w:val="00502169"/>
    <w:rsid w:val="00507535"/>
    <w:rsid w:val="005211E3"/>
    <w:rsid w:val="00526116"/>
    <w:rsid w:val="00537C0B"/>
    <w:rsid w:val="005639E0"/>
    <w:rsid w:val="00564B9D"/>
    <w:rsid w:val="00566C10"/>
    <w:rsid w:val="00571576"/>
    <w:rsid w:val="00574643"/>
    <w:rsid w:val="00584581"/>
    <w:rsid w:val="00590A5A"/>
    <w:rsid w:val="00592AEE"/>
    <w:rsid w:val="005A210D"/>
    <w:rsid w:val="005C13E9"/>
    <w:rsid w:val="005C3CC8"/>
    <w:rsid w:val="005C6AF7"/>
    <w:rsid w:val="005D4AA1"/>
    <w:rsid w:val="005D6302"/>
    <w:rsid w:val="005E049A"/>
    <w:rsid w:val="005E0F37"/>
    <w:rsid w:val="005E1F80"/>
    <w:rsid w:val="005F19AE"/>
    <w:rsid w:val="00603000"/>
    <w:rsid w:val="00603174"/>
    <w:rsid w:val="0061113A"/>
    <w:rsid w:val="006221B0"/>
    <w:rsid w:val="00623768"/>
    <w:rsid w:val="006239FA"/>
    <w:rsid w:val="00627D5E"/>
    <w:rsid w:val="00631683"/>
    <w:rsid w:val="00641464"/>
    <w:rsid w:val="00642BAB"/>
    <w:rsid w:val="006576D0"/>
    <w:rsid w:val="00666D20"/>
    <w:rsid w:val="0067048D"/>
    <w:rsid w:val="00674580"/>
    <w:rsid w:val="006770D5"/>
    <w:rsid w:val="00677209"/>
    <w:rsid w:val="006774A8"/>
    <w:rsid w:val="0068293F"/>
    <w:rsid w:val="00686FB9"/>
    <w:rsid w:val="00691386"/>
    <w:rsid w:val="00694916"/>
    <w:rsid w:val="006A0318"/>
    <w:rsid w:val="006B0F49"/>
    <w:rsid w:val="006B34FA"/>
    <w:rsid w:val="006E77B2"/>
    <w:rsid w:val="006F063E"/>
    <w:rsid w:val="006F651A"/>
    <w:rsid w:val="0070261D"/>
    <w:rsid w:val="0071297C"/>
    <w:rsid w:val="00712C0A"/>
    <w:rsid w:val="007172F5"/>
    <w:rsid w:val="00724A35"/>
    <w:rsid w:val="00732D7A"/>
    <w:rsid w:val="00733A09"/>
    <w:rsid w:val="00737E2C"/>
    <w:rsid w:val="007409F1"/>
    <w:rsid w:val="00741336"/>
    <w:rsid w:val="007525D1"/>
    <w:rsid w:val="00760C25"/>
    <w:rsid w:val="0076287B"/>
    <w:rsid w:val="00765079"/>
    <w:rsid w:val="007736F8"/>
    <w:rsid w:val="00773E3E"/>
    <w:rsid w:val="00775324"/>
    <w:rsid w:val="00775746"/>
    <w:rsid w:val="00786B87"/>
    <w:rsid w:val="00790E43"/>
    <w:rsid w:val="007B0C63"/>
    <w:rsid w:val="007B1AAC"/>
    <w:rsid w:val="007B5897"/>
    <w:rsid w:val="007B5917"/>
    <w:rsid w:val="007B6F11"/>
    <w:rsid w:val="007B7301"/>
    <w:rsid w:val="007D19C3"/>
    <w:rsid w:val="007F11E3"/>
    <w:rsid w:val="007F7564"/>
    <w:rsid w:val="008012BC"/>
    <w:rsid w:val="00802B4E"/>
    <w:rsid w:val="00810AE3"/>
    <w:rsid w:val="008125D2"/>
    <w:rsid w:val="008327EC"/>
    <w:rsid w:val="00834A56"/>
    <w:rsid w:val="0084145B"/>
    <w:rsid w:val="008444BE"/>
    <w:rsid w:val="00844CDB"/>
    <w:rsid w:val="00852ED2"/>
    <w:rsid w:val="00856D41"/>
    <w:rsid w:val="00860C80"/>
    <w:rsid w:val="00861D06"/>
    <w:rsid w:val="00862161"/>
    <w:rsid w:val="00862557"/>
    <w:rsid w:val="00865A29"/>
    <w:rsid w:val="00871B4E"/>
    <w:rsid w:val="008739DC"/>
    <w:rsid w:val="008752E5"/>
    <w:rsid w:val="008756F9"/>
    <w:rsid w:val="00875F7F"/>
    <w:rsid w:val="0087731F"/>
    <w:rsid w:val="00891EC2"/>
    <w:rsid w:val="00893C0F"/>
    <w:rsid w:val="008A3A5C"/>
    <w:rsid w:val="008B20EB"/>
    <w:rsid w:val="008B4D43"/>
    <w:rsid w:val="008C7381"/>
    <w:rsid w:val="008C7CE2"/>
    <w:rsid w:val="008D09DA"/>
    <w:rsid w:val="008D4C79"/>
    <w:rsid w:val="008E3FB3"/>
    <w:rsid w:val="008E4F05"/>
    <w:rsid w:val="009070BF"/>
    <w:rsid w:val="00912318"/>
    <w:rsid w:val="009136A7"/>
    <w:rsid w:val="00914385"/>
    <w:rsid w:val="009171AA"/>
    <w:rsid w:val="00922357"/>
    <w:rsid w:val="00941783"/>
    <w:rsid w:val="00965088"/>
    <w:rsid w:val="009652AF"/>
    <w:rsid w:val="00980F1F"/>
    <w:rsid w:val="009849D1"/>
    <w:rsid w:val="0099150E"/>
    <w:rsid w:val="00995A4E"/>
    <w:rsid w:val="009A185A"/>
    <w:rsid w:val="009B1767"/>
    <w:rsid w:val="009B2797"/>
    <w:rsid w:val="009B2CBC"/>
    <w:rsid w:val="009B6CFA"/>
    <w:rsid w:val="009C1860"/>
    <w:rsid w:val="009D6FCF"/>
    <w:rsid w:val="009E4817"/>
    <w:rsid w:val="00A04455"/>
    <w:rsid w:val="00A0605D"/>
    <w:rsid w:val="00A12474"/>
    <w:rsid w:val="00A16341"/>
    <w:rsid w:val="00A20653"/>
    <w:rsid w:val="00A247C5"/>
    <w:rsid w:val="00A2601A"/>
    <w:rsid w:val="00A2668F"/>
    <w:rsid w:val="00A317CC"/>
    <w:rsid w:val="00A32629"/>
    <w:rsid w:val="00A34CF4"/>
    <w:rsid w:val="00A37278"/>
    <w:rsid w:val="00A43581"/>
    <w:rsid w:val="00A44251"/>
    <w:rsid w:val="00A44D7B"/>
    <w:rsid w:val="00A47606"/>
    <w:rsid w:val="00A47E2C"/>
    <w:rsid w:val="00A47E8E"/>
    <w:rsid w:val="00A536CE"/>
    <w:rsid w:val="00A60495"/>
    <w:rsid w:val="00A61876"/>
    <w:rsid w:val="00A70C07"/>
    <w:rsid w:val="00A73C35"/>
    <w:rsid w:val="00A90F8F"/>
    <w:rsid w:val="00AA186D"/>
    <w:rsid w:val="00AA6DCC"/>
    <w:rsid w:val="00AB19D3"/>
    <w:rsid w:val="00AC2BAF"/>
    <w:rsid w:val="00AC5251"/>
    <w:rsid w:val="00AD3AFE"/>
    <w:rsid w:val="00AD5FA3"/>
    <w:rsid w:val="00AE2B6F"/>
    <w:rsid w:val="00AF2051"/>
    <w:rsid w:val="00AF71C1"/>
    <w:rsid w:val="00B124D3"/>
    <w:rsid w:val="00B15E67"/>
    <w:rsid w:val="00B323A0"/>
    <w:rsid w:val="00B32F6C"/>
    <w:rsid w:val="00B40E4C"/>
    <w:rsid w:val="00B44F62"/>
    <w:rsid w:val="00B461C3"/>
    <w:rsid w:val="00B539DA"/>
    <w:rsid w:val="00B5503B"/>
    <w:rsid w:val="00B56456"/>
    <w:rsid w:val="00B57D2B"/>
    <w:rsid w:val="00B702E2"/>
    <w:rsid w:val="00B70B46"/>
    <w:rsid w:val="00B72580"/>
    <w:rsid w:val="00B72AAE"/>
    <w:rsid w:val="00B80D21"/>
    <w:rsid w:val="00B81B88"/>
    <w:rsid w:val="00B835F0"/>
    <w:rsid w:val="00B83D8B"/>
    <w:rsid w:val="00B862AE"/>
    <w:rsid w:val="00B96066"/>
    <w:rsid w:val="00BA23A9"/>
    <w:rsid w:val="00BA4688"/>
    <w:rsid w:val="00BC1515"/>
    <w:rsid w:val="00BD0831"/>
    <w:rsid w:val="00BE6967"/>
    <w:rsid w:val="00BE773D"/>
    <w:rsid w:val="00BF0C3F"/>
    <w:rsid w:val="00BF4DBD"/>
    <w:rsid w:val="00C15DFB"/>
    <w:rsid w:val="00C22181"/>
    <w:rsid w:val="00C23124"/>
    <w:rsid w:val="00C25256"/>
    <w:rsid w:val="00C26915"/>
    <w:rsid w:val="00C27502"/>
    <w:rsid w:val="00C37B09"/>
    <w:rsid w:val="00C402B0"/>
    <w:rsid w:val="00C435CB"/>
    <w:rsid w:val="00C52017"/>
    <w:rsid w:val="00C64FBE"/>
    <w:rsid w:val="00C73A06"/>
    <w:rsid w:val="00C8387C"/>
    <w:rsid w:val="00C946AA"/>
    <w:rsid w:val="00CA1602"/>
    <w:rsid w:val="00CA1A7C"/>
    <w:rsid w:val="00CA450C"/>
    <w:rsid w:val="00CA5D18"/>
    <w:rsid w:val="00CA714B"/>
    <w:rsid w:val="00CC2076"/>
    <w:rsid w:val="00CD493A"/>
    <w:rsid w:val="00CE1102"/>
    <w:rsid w:val="00CE7B72"/>
    <w:rsid w:val="00CF014A"/>
    <w:rsid w:val="00CF659D"/>
    <w:rsid w:val="00CF6BC2"/>
    <w:rsid w:val="00D00332"/>
    <w:rsid w:val="00D014B4"/>
    <w:rsid w:val="00D03239"/>
    <w:rsid w:val="00D05BF5"/>
    <w:rsid w:val="00D11CA3"/>
    <w:rsid w:val="00D12C1F"/>
    <w:rsid w:val="00D13E7A"/>
    <w:rsid w:val="00D227DF"/>
    <w:rsid w:val="00D2560C"/>
    <w:rsid w:val="00D256CE"/>
    <w:rsid w:val="00D31FE4"/>
    <w:rsid w:val="00D413CA"/>
    <w:rsid w:val="00D5399D"/>
    <w:rsid w:val="00D72A6C"/>
    <w:rsid w:val="00D8187D"/>
    <w:rsid w:val="00D82B58"/>
    <w:rsid w:val="00D83B93"/>
    <w:rsid w:val="00D858D7"/>
    <w:rsid w:val="00D86CAE"/>
    <w:rsid w:val="00D94E23"/>
    <w:rsid w:val="00DA25A8"/>
    <w:rsid w:val="00DB488C"/>
    <w:rsid w:val="00DB57D3"/>
    <w:rsid w:val="00DC1AB7"/>
    <w:rsid w:val="00DD13DD"/>
    <w:rsid w:val="00DE559B"/>
    <w:rsid w:val="00DF22C6"/>
    <w:rsid w:val="00E12E90"/>
    <w:rsid w:val="00E15D55"/>
    <w:rsid w:val="00E16C19"/>
    <w:rsid w:val="00E203AF"/>
    <w:rsid w:val="00E20505"/>
    <w:rsid w:val="00E3168E"/>
    <w:rsid w:val="00E31EEC"/>
    <w:rsid w:val="00E34710"/>
    <w:rsid w:val="00E367A1"/>
    <w:rsid w:val="00E3791D"/>
    <w:rsid w:val="00E405F2"/>
    <w:rsid w:val="00E43473"/>
    <w:rsid w:val="00E4370C"/>
    <w:rsid w:val="00E45664"/>
    <w:rsid w:val="00E567C3"/>
    <w:rsid w:val="00E569F4"/>
    <w:rsid w:val="00E6075F"/>
    <w:rsid w:val="00E71B88"/>
    <w:rsid w:val="00E71F81"/>
    <w:rsid w:val="00E84DB3"/>
    <w:rsid w:val="00E94F6B"/>
    <w:rsid w:val="00E979FB"/>
    <w:rsid w:val="00EA0AFA"/>
    <w:rsid w:val="00EA1076"/>
    <w:rsid w:val="00EA1978"/>
    <w:rsid w:val="00EB5DD6"/>
    <w:rsid w:val="00EC22EA"/>
    <w:rsid w:val="00EC23F4"/>
    <w:rsid w:val="00EC6D79"/>
    <w:rsid w:val="00ED19DB"/>
    <w:rsid w:val="00ED32E6"/>
    <w:rsid w:val="00F03311"/>
    <w:rsid w:val="00F10344"/>
    <w:rsid w:val="00F26508"/>
    <w:rsid w:val="00F3313F"/>
    <w:rsid w:val="00F3456D"/>
    <w:rsid w:val="00F44FBB"/>
    <w:rsid w:val="00F60258"/>
    <w:rsid w:val="00F6569B"/>
    <w:rsid w:val="00F95855"/>
    <w:rsid w:val="00F97EE4"/>
    <w:rsid w:val="00F97FD7"/>
    <w:rsid w:val="00FB4D88"/>
    <w:rsid w:val="00FB64F9"/>
    <w:rsid w:val="00FB7AF1"/>
    <w:rsid w:val="00FD138F"/>
    <w:rsid w:val="00FD240E"/>
    <w:rsid w:val="00FE3E6E"/>
    <w:rsid w:val="00FF45EB"/>
    <w:rsid w:val="00FF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D0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FD"/>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uiPriority w:val="9"/>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uiPriority w:val="9"/>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paragraph" w:styleId="Heading6">
    <w:name w:val="heading 6"/>
    <w:basedOn w:val="Normal"/>
    <w:next w:val="Normal"/>
    <w:link w:val="Heading6Char"/>
    <w:qFormat/>
    <w:rsid w:val="00D12C1F"/>
    <w:pPr>
      <w:keepNext/>
      <w:widowControl/>
      <w:spacing w:line="480" w:lineRule="auto"/>
      <w:ind w:firstLine="720"/>
      <w:outlineLvl w:val="5"/>
    </w:pPr>
    <w:rPr>
      <w:rFonts w:ascii="Courier New" w:hAnsi="Courier New"/>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uiPriority w:val="9"/>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1"/>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rsid w:val="008752E5"/>
    <w:pPr>
      <w:widowControl/>
    </w:pPr>
    <w:rPr>
      <w:rFonts w:ascii="Times New Roman" w:hAnsi="Times New Roman"/>
      <w:snapToGrid/>
    </w:rPr>
  </w:style>
  <w:style w:type="character" w:customStyle="1" w:styleId="BodyTextChar">
    <w:name w:val="Body Text Char"/>
    <w:basedOn w:val="DefaultParagraphFont"/>
    <w:link w:val="BodyText"/>
    <w:rsid w:val="008752E5"/>
    <w:rPr>
      <w:rFonts w:ascii="Times New Roman" w:eastAsia="Times New Roman" w:hAnsi="Times New Roman" w:cs="Times New Roman"/>
      <w:sz w:val="24"/>
      <w:szCs w:val="20"/>
    </w:rPr>
  </w:style>
  <w:style w:type="paragraph" w:styleId="Header">
    <w:name w:val="header"/>
    <w:basedOn w:val="Normal"/>
    <w:link w:val="HeaderChar"/>
    <w:uiPriority w:val="99"/>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uiPriority w:val="99"/>
    <w:rsid w:val="008752E5"/>
    <w:rPr>
      <w:rFonts w:ascii="Times New Roman" w:eastAsia="Times New Roman" w:hAnsi="Times New Roman" w:cs="Times New Roman"/>
      <w:sz w:val="24"/>
      <w:szCs w:val="20"/>
    </w:rPr>
  </w:style>
  <w:style w:type="paragraph" w:styleId="FootnoteText">
    <w:name w:val="footnote text"/>
    <w:basedOn w:val="Normal"/>
    <w:link w:val="FootnoteTextChar"/>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uiPriority w:val="59"/>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uiPriority w:val="99"/>
    <w:rsid w:val="008752E5"/>
    <w:rPr>
      <w:rFonts w:ascii="Tahoma" w:hAnsi="Tahoma" w:cs="Tahoma"/>
      <w:sz w:val="16"/>
      <w:szCs w:val="16"/>
    </w:rPr>
  </w:style>
  <w:style w:type="character" w:customStyle="1" w:styleId="BalloonTextChar">
    <w:name w:val="Balloon Text Char"/>
    <w:basedOn w:val="DefaultParagraphFont"/>
    <w:link w:val="BalloonText"/>
    <w:uiPriority w:val="99"/>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uiPriority w:val="99"/>
    <w:rsid w:val="008752E5"/>
    <w:rPr>
      <w:rFonts w:ascii="Times New Roman" w:hAnsi="Times New Roman"/>
      <w:sz w:val="20"/>
    </w:rPr>
  </w:style>
  <w:style w:type="character" w:customStyle="1" w:styleId="CommentTextChar">
    <w:name w:val="Comment Text Char"/>
    <w:basedOn w:val="DefaultParagraphFont"/>
    <w:link w:val="CommentText"/>
    <w:uiPriority w:val="99"/>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uiPriority w:val="99"/>
    <w:rsid w:val="008752E5"/>
    <w:rPr>
      <w:rFonts w:ascii="Courier" w:hAnsi="Courier"/>
      <w:b/>
      <w:bCs/>
    </w:rPr>
  </w:style>
  <w:style w:type="character" w:customStyle="1" w:styleId="CommentSubjectChar">
    <w:name w:val="Comment Subject Char"/>
    <w:basedOn w:val="CommentTextChar"/>
    <w:link w:val="CommentSubject"/>
    <w:uiPriority w:val="99"/>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uiPriority w:val="99"/>
    <w:rsid w:val="008752E5"/>
    <w:rPr>
      <w:color w:val="800080" w:themeColor="followedHyperlink"/>
      <w:u w:val="single"/>
    </w:rPr>
  </w:style>
  <w:style w:type="paragraph" w:styleId="ListParagraph">
    <w:name w:val="List Paragraph"/>
    <w:basedOn w:val="Normal"/>
    <w:uiPriority w:val="34"/>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6Char">
    <w:name w:val="Heading 6 Char"/>
    <w:basedOn w:val="DefaultParagraphFont"/>
    <w:link w:val="Heading6"/>
    <w:rsid w:val="00D12C1F"/>
    <w:rPr>
      <w:rFonts w:ascii="Courier New" w:eastAsia="Times New Roman" w:hAnsi="Courier New" w:cs="Times New Roman"/>
      <w:sz w:val="24"/>
      <w:szCs w:val="20"/>
      <w:u w:val="single"/>
    </w:rPr>
  </w:style>
  <w:style w:type="character" w:styleId="HTMLAcronym">
    <w:name w:val="HTML Acronym"/>
    <w:basedOn w:val="DefaultParagraphFont"/>
    <w:rsid w:val="00D12C1F"/>
  </w:style>
  <w:style w:type="paragraph" w:styleId="z-TopofForm">
    <w:name w:val="HTML Top of Form"/>
    <w:basedOn w:val="Normal"/>
    <w:next w:val="Normal"/>
    <w:link w:val="z-TopofFormChar"/>
    <w:hidden/>
    <w:rsid w:val="00D12C1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rsid w:val="00D12C1F"/>
    <w:rPr>
      <w:rFonts w:ascii="Arial" w:eastAsia="Times New Roman" w:hAnsi="Arial" w:cs="Arial"/>
      <w:vanish/>
      <w:sz w:val="16"/>
      <w:szCs w:val="16"/>
    </w:rPr>
  </w:style>
  <w:style w:type="paragraph" w:styleId="z-BottomofForm">
    <w:name w:val="HTML Bottom of Form"/>
    <w:basedOn w:val="Normal"/>
    <w:next w:val="Normal"/>
    <w:link w:val="z-BottomofFormChar"/>
    <w:hidden/>
    <w:rsid w:val="00D12C1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rsid w:val="00D12C1F"/>
    <w:rPr>
      <w:rFonts w:ascii="Arial" w:eastAsia="Times New Roman" w:hAnsi="Arial" w:cs="Arial"/>
      <w:vanish/>
      <w:sz w:val="16"/>
      <w:szCs w:val="16"/>
    </w:rPr>
  </w:style>
  <w:style w:type="character" w:styleId="PageNumber">
    <w:name w:val="page number"/>
    <w:basedOn w:val="DefaultParagraphFont"/>
    <w:rsid w:val="00D12C1F"/>
  </w:style>
  <w:style w:type="character" w:styleId="LineNumber">
    <w:name w:val="line number"/>
    <w:uiPriority w:val="99"/>
    <w:unhideWhenUsed/>
    <w:rsid w:val="00D12C1F"/>
  </w:style>
  <w:style w:type="character" w:styleId="Strong">
    <w:name w:val="Strong"/>
    <w:uiPriority w:val="22"/>
    <w:qFormat/>
    <w:rsid w:val="00D12C1F"/>
    <w:rPr>
      <w:b/>
      <w:bCs/>
    </w:rPr>
  </w:style>
  <w:style w:type="paragraph" w:customStyle="1" w:styleId="psection-2">
    <w:name w:val="psection-2"/>
    <w:basedOn w:val="Normal"/>
    <w:rsid w:val="00D12C1F"/>
    <w:pPr>
      <w:widowControl/>
      <w:spacing w:before="100" w:beforeAutospacing="1" w:after="100" w:afterAutospacing="1"/>
    </w:pPr>
    <w:rPr>
      <w:rFonts w:ascii="Times New Roman" w:hAnsi="Times New Roman"/>
      <w:snapToGrid/>
      <w:szCs w:val="24"/>
    </w:rPr>
  </w:style>
  <w:style w:type="character" w:customStyle="1" w:styleId="enumxml">
    <w:name w:val="enumxml"/>
    <w:rsid w:val="00D12C1F"/>
  </w:style>
  <w:style w:type="paragraph" w:styleId="Caption">
    <w:name w:val="caption"/>
    <w:basedOn w:val="Normal"/>
    <w:next w:val="Normal"/>
    <w:uiPriority w:val="35"/>
    <w:unhideWhenUsed/>
    <w:qFormat/>
    <w:rsid w:val="00D12C1F"/>
    <w:pPr>
      <w:widowControl/>
      <w:spacing w:after="200"/>
    </w:pPr>
    <w:rPr>
      <w:rFonts w:ascii="Calibri" w:hAnsi="Calibri"/>
      <w:b/>
      <w:bCs/>
      <w:snapToGrid/>
      <w:color w:val="4F81BD"/>
      <w:sz w:val="18"/>
      <w:szCs w:val="18"/>
    </w:rPr>
  </w:style>
  <w:style w:type="paragraph" w:styleId="NoSpacing">
    <w:name w:val="No Spacing"/>
    <w:aliases w:val="Sections"/>
    <w:basedOn w:val="Normal"/>
    <w:uiPriority w:val="1"/>
    <w:qFormat/>
    <w:rsid w:val="00D12C1F"/>
    <w:pPr>
      <w:widowControl/>
      <w:spacing w:line="480" w:lineRule="auto"/>
    </w:pPr>
    <w:rPr>
      <w:rFonts w:ascii="Times New Roman" w:eastAsia="Calibri" w:hAnsi="Times New Roman"/>
      <w:snapToGrid/>
      <w:szCs w:val="22"/>
    </w:rPr>
  </w:style>
  <w:style w:type="character" w:styleId="UnresolvedMention">
    <w:name w:val="Unresolved Mention"/>
    <w:basedOn w:val="DefaultParagraphFont"/>
    <w:uiPriority w:val="99"/>
    <w:semiHidden/>
    <w:unhideWhenUsed/>
    <w:rsid w:val="005E049A"/>
    <w:rPr>
      <w:color w:val="605E5C"/>
      <w:shd w:val="clear" w:color="auto" w:fill="E1DFDD"/>
    </w:rPr>
  </w:style>
  <w:style w:type="paragraph" w:styleId="Revision">
    <w:name w:val="Revision"/>
    <w:hidden/>
    <w:uiPriority w:val="99"/>
    <w:semiHidden/>
    <w:rsid w:val="00775746"/>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339">
      <w:bodyDiv w:val="1"/>
      <w:marLeft w:val="0"/>
      <w:marRight w:val="0"/>
      <w:marTop w:val="0"/>
      <w:marBottom w:val="0"/>
      <w:divBdr>
        <w:top w:val="none" w:sz="0" w:space="0" w:color="auto"/>
        <w:left w:val="none" w:sz="0" w:space="0" w:color="auto"/>
        <w:bottom w:val="none" w:sz="0" w:space="0" w:color="auto"/>
        <w:right w:val="none" w:sz="0" w:space="0" w:color="auto"/>
      </w:divBdr>
    </w:div>
    <w:div w:id="159005997">
      <w:bodyDiv w:val="1"/>
      <w:marLeft w:val="0"/>
      <w:marRight w:val="0"/>
      <w:marTop w:val="0"/>
      <w:marBottom w:val="0"/>
      <w:divBdr>
        <w:top w:val="none" w:sz="0" w:space="0" w:color="auto"/>
        <w:left w:val="none" w:sz="0" w:space="0" w:color="auto"/>
        <w:bottom w:val="none" w:sz="0" w:space="0" w:color="auto"/>
        <w:right w:val="none" w:sz="0" w:space="0" w:color="auto"/>
      </w:divBdr>
    </w:div>
    <w:div w:id="184564468">
      <w:bodyDiv w:val="1"/>
      <w:marLeft w:val="0"/>
      <w:marRight w:val="0"/>
      <w:marTop w:val="0"/>
      <w:marBottom w:val="0"/>
      <w:divBdr>
        <w:top w:val="none" w:sz="0" w:space="0" w:color="auto"/>
        <w:left w:val="none" w:sz="0" w:space="0" w:color="auto"/>
        <w:bottom w:val="none" w:sz="0" w:space="0" w:color="auto"/>
        <w:right w:val="none" w:sz="0" w:space="0" w:color="auto"/>
      </w:divBdr>
    </w:div>
    <w:div w:id="209927661">
      <w:bodyDiv w:val="1"/>
      <w:marLeft w:val="0"/>
      <w:marRight w:val="0"/>
      <w:marTop w:val="0"/>
      <w:marBottom w:val="0"/>
      <w:divBdr>
        <w:top w:val="none" w:sz="0" w:space="0" w:color="auto"/>
        <w:left w:val="none" w:sz="0" w:space="0" w:color="auto"/>
        <w:bottom w:val="none" w:sz="0" w:space="0" w:color="auto"/>
        <w:right w:val="none" w:sz="0" w:space="0" w:color="auto"/>
      </w:divBdr>
    </w:div>
    <w:div w:id="248582451">
      <w:bodyDiv w:val="1"/>
      <w:marLeft w:val="0"/>
      <w:marRight w:val="0"/>
      <w:marTop w:val="0"/>
      <w:marBottom w:val="0"/>
      <w:divBdr>
        <w:top w:val="none" w:sz="0" w:space="0" w:color="auto"/>
        <w:left w:val="none" w:sz="0" w:space="0" w:color="auto"/>
        <w:bottom w:val="none" w:sz="0" w:space="0" w:color="auto"/>
        <w:right w:val="none" w:sz="0" w:space="0" w:color="auto"/>
      </w:divBdr>
    </w:div>
    <w:div w:id="299195600">
      <w:bodyDiv w:val="1"/>
      <w:marLeft w:val="0"/>
      <w:marRight w:val="0"/>
      <w:marTop w:val="0"/>
      <w:marBottom w:val="0"/>
      <w:divBdr>
        <w:top w:val="none" w:sz="0" w:space="0" w:color="auto"/>
        <w:left w:val="none" w:sz="0" w:space="0" w:color="auto"/>
        <w:bottom w:val="none" w:sz="0" w:space="0" w:color="auto"/>
        <w:right w:val="none" w:sz="0" w:space="0" w:color="auto"/>
      </w:divBdr>
    </w:div>
    <w:div w:id="561064919">
      <w:bodyDiv w:val="1"/>
      <w:marLeft w:val="0"/>
      <w:marRight w:val="0"/>
      <w:marTop w:val="0"/>
      <w:marBottom w:val="0"/>
      <w:divBdr>
        <w:top w:val="none" w:sz="0" w:space="0" w:color="auto"/>
        <w:left w:val="none" w:sz="0" w:space="0" w:color="auto"/>
        <w:bottom w:val="none" w:sz="0" w:space="0" w:color="auto"/>
        <w:right w:val="none" w:sz="0" w:space="0" w:color="auto"/>
      </w:divBdr>
    </w:div>
    <w:div w:id="580287068">
      <w:bodyDiv w:val="1"/>
      <w:marLeft w:val="0"/>
      <w:marRight w:val="0"/>
      <w:marTop w:val="0"/>
      <w:marBottom w:val="0"/>
      <w:divBdr>
        <w:top w:val="none" w:sz="0" w:space="0" w:color="auto"/>
        <w:left w:val="none" w:sz="0" w:space="0" w:color="auto"/>
        <w:bottom w:val="none" w:sz="0" w:space="0" w:color="auto"/>
        <w:right w:val="none" w:sz="0" w:space="0" w:color="auto"/>
      </w:divBdr>
    </w:div>
    <w:div w:id="594674872">
      <w:bodyDiv w:val="1"/>
      <w:marLeft w:val="0"/>
      <w:marRight w:val="0"/>
      <w:marTop w:val="0"/>
      <w:marBottom w:val="0"/>
      <w:divBdr>
        <w:top w:val="none" w:sz="0" w:space="0" w:color="auto"/>
        <w:left w:val="none" w:sz="0" w:space="0" w:color="auto"/>
        <w:bottom w:val="none" w:sz="0" w:space="0" w:color="auto"/>
        <w:right w:val="none" w:sz="0" w:space="0" w:color="auto"/>
      </w:divBdr>
    </w:div>
    <w:div w:id="650140309">
      <w:bodyDiv w:val="1"/>
      <w:marLeft w:val="0"/>
      <w:marRight w:val="0"/>
      <w:marTop w:val="0"/>
      <w:marBottom w:val="0"/>
      <w:divBdr>
        <w:top w:val="none" w:sz="0" w:space="0" w:color="auto"/>
        <w:left w:val="none" w:sz="0" w:space="0" w:color="auto"/>
        <w:bottom w:val="none" w:sz="0" w:space="0" w:color="auto"/>
        <w:right w:val="none" w:sz="0" w:space="0" w:color="auto"/>
      </w:divBdr>
    </w:div>
    <w:div w:id="776028556">
      <w:bodyDiv w:val="1"/>
      <w:marLeft w:val="0"/>
      <w:marRight w:val="0"/>
      <w:marTop w:val="0"/>
      <w:marBottom w:val="0"/>
      <w:divBdr>
        <w:top w:val="none" w:sz="0" w:space="0" w:color="auto"/>
        <w:left w:val="none" w:sz="0" w:space="0" w:color="auto"/>
        <w:bottom w:val="none" w:sz="0" w:space="0" w:color="auto"/>
        <w:right w:val="none" w:sz="0" w:space="0" w:color="auto"/>
      </w:divBdr>
    </w:div>
    <w:div w:id="790126594">
      <w:bodyDiv w:val="1"/>
      <w:marLeft w:val="0"/>
      <w:marRight w:val="0"/>
      <w:marTop w:val="0"/>
      <w:marBottom w:val="0"/>
      <w:divBdr>
        <w:top w:val="none" w:sz="0" w:space="0" w:color="auto"/>
        <w:left w:val="none" w:sz="0" w:space="0" w:color="auto"/>
        <w:bottom w:val="none" w:sz="0" w:space="0" w:color="auto"/>
        <w:right w:val="none" w:sz="0" w:space="0" w:color="auto"/>
      </w:divBdr>
    </w:div>
    <w:div w:id="805587110">
      <w:bodyDiv w:val="1"/>
      <w:marLeft w:val="0"/>
      <w:marRight w:val="0"/>
      <w:marTop w:val="0"/>
      <w:marBottom w:val="0"/>
      <w:divBdr>
        <w:top w:val="none" w:sz="0" w:space="0" w:color="auto"/>
        <w:left w:val="none" w:sz="0" w:space="0" w:color="auto"/>
        <w:bottom w:val="none" w:sz="0" w:space="0" w:color="auto"/>
        <w:right w:val="none" w:sz="0" w:space="0" w:color="auto"/>
      </w:divBdr>
    </w:div>
    <w:div w:id="878471415">
      <w:bodyDiv w:val="1"/>
      <w:marLeft w:val="0"/>
      <w:marRight w:val="0"/>
      <w:marTop w:val="0"/>
      <w:marBottom w:val="0"/>
      <w:divBdr>
        <w:top w:val="none" w:sz="0" w:space="0" w:color="auto"/>
        <w:left w:val="none" w:sz="0" w:space="0" w:color="auto"/>
        <w:bottom w:val="none" w:sz="0" w:space="0" w:color="auto"/>
        <w:right w:val="none" w:sz="0" w:space="0" w:color="auto"/>
      </w:divBdr>
    </w:div>
    <w:div w:id="886844076">
      <w:bodyDiv w:val="1"/>
      <w:marLeft w:val="0"/>
      <w:marRight w:val="0"/>
      <w:marTop w:val="0"/>
      <w:marBottom w:val="0"/>
      <w:divBdr>
        <w:top w:val="none" w:sz="0" w:space="0" w:color="auto"/>
        <w:left w:val="none" w:sz="0" w:space="0" w:color="auto"/>
        <w:bottom w:val="none" w:sz="0" w:space="0" w:color="auto"/>
        <w:right w:val="none" w:sz="0" w:space="0" w:color="auto"/>
      </w:divBdr>
    </w:div>
    <w:div w:id="993801489">
      <w:bodyDiv w:val="1"/>
      <w:marLeft w:val="0"/>
      <w:marRight w:val="0"/>
      <w:marTop w:val="0"/>
      <w:marBottom w:val="0"/>
      <w:divBdr>
        <w:top w:val="none" w:sz="0" w:space="0" w:color="auto"/>
        <w:left w:val="none" w:sz="0" w:space="0" w:color="auto"/>
        <w:bottom w:val="none" w:sz="0" w:space="0" w:color="auto"/>
        <w:right w:val="none" w:sz="0" w:space="0" w:color="auto"/>
      </w:divBdr>
    </w:div>
    <w:div w:id="1105078054">
      <w:bodyDiv w:val="1"/>
      <w:marLeft w:val="0"/>
      <w:marRight w:val="0"/>
      <w:marTop w:val="0"/>
      <w:marBottom w:val="0"/>
      <w:divBdr>
        <w:top w:val="none" w:sz="0" w:space="0" w:color="auto"/>
        <w:left w:val="none" w:sz="0" w:space="0" w:color="auto"/>
        <w:bottom w:val="none" w:sz="0" w:space="0" w:color="auto"/>
        <w:right w:val="none" w:sz="0" w:space="0" w:color="auto"/>
      </w:divBdr>
    </w:div>
    <w:div w:id="1168983950">
      <w:bodyDiv w:val="1"/>
      <w:marLeft w:val="0"/>
      <w:marRight w:val="0"/>
      <w:marTop w:val="0"/>
      <w:marBottom w:val="0"/>
      <w:divBdr>
        <w:top w:val="none" w:sz="0" w:space="0" w:color="auto"/>
        <w:left w:val="none" w:sz="0" w:space="0" w:color="auto"/>
        <w:bottom w:val="none" w:sz="0" w:space="0" w:color="auto"/>
        <w:right w:val="none" w:sz="0" w:space="0" w:color="auto"/>
      </w:divBdr>
    </w:div>
    <w:div w:id="1217857488">
      <w:bodyDiv w:val="1"/>
      <w:marLeft w:val="0"/>
      <w:marRight w:val="0"/>
      <w:marTop w:val="0"/>
      <w:marBottom w:val="0"/>
      <w:divBdr>
        <w:top w:val="none" w:sz="0" w:space="0" w:color="auto"/>
        <w:left w:val="none" w:sz="0" w:space="0" w:color="auto"/>
        <w:bottom w:val="none" w:sz="0" w:space="0" w:color="auto"/>
        <w:right w:val="none" w:sz="0" w:space="0" w:color="auto"/>
      </w:divBdr>
    </w:div>
    <w:div w:id="1283342969">
      <w:bodyDiv w:val="1"/>
      <w:marLeft w:val="0"/>
      <w:marRight w:val="0"/>
      <w:marTop w:val="0"/>
      <w:marBottom w:val="0"/>
      <w:divBdr>
        <w:top w:val="none" w:sz="0" w:space="0" w:color="auto"/>
        <w:left w:val="none" w:sz="0" w:space="0" w:color="auto"/>
        <w:bottom w:val="none" w:sz="0" w:space="0" w:color="auto"/>
        <w:right w:val="none" w:sz="0" w:space="0" w:color="auto"/>
      </w:divBdr>
    </w:div>
    <w:div w:id="1296448406">
      <w:bodyDiv w:val="1"/>
      <w:marLeft w:val="0"/>
      <w:marRight w:val="0"/>
      <w:marTop w:val="0"/>
      <w:marBottom w:val="0"/>
      <w:divBdr>
        <w:top w:val="none" w:sz="0" w:space="0" w:color="auto"/>
        <w:left w:val="none" w:sz="0" w:space="0" w:color="auto"/>
        <w:bottom w:val="none" w:sz="0" w:space="0" w:color="auto"/>
        <w:right w:val="none" w:sz="0" w:space="0" w:color="auto"/>
      </w:divBdr>
    </w:div>
    <w:div w:id="1312826825">
      <w:bodyDiv w:val="1"/>
      <w:marLeft w:val="0"/>
      <w:marRight w:val="0"/>
      <w:marTop w:val="0"/>
      <w:marBottom w:val="0"/>
      <w:divBdr>
        <w:top w:val="none" w:sz="0" w:space="0" w:color="auto"/>
        <w:left w:val="none" w:sz="0" w:space="0" w:color="auto"/>
        <w:bottom w:val="none" w:sz="0" w:space="0" w:color="auto"/>
        <w:right w:val="none" w:sz="0" w:space="0" w:color="auto"/>
      </w:divBdr>
    </w:div>
    <w:div w:id="1362510750">
      <w:bodyDiv w:val="1"/>
      <w:marLeft w:val="0"/>
      <w:marRight w:val="0"/>
      <w:marTop w:val="0"/>
      <w:marBottom w:val="0"/>
      <w:divBdr>
        <w:top w:val="none" w:sz="0" w:space="0" w:color="auto"/>
        <w:left w:val="none" w:sz="0" w:space="0" w:color="auto"/>
        <w:bottom w:val="none" w:sz="0" w:space="0" w:color="auto"/>
        <w:right w:val="none" w:sz="0" w:space="0" w:color="auto"/>
      </w:divBdr>
    </w:div>
    <w:div w:id="1410300732">
      <w:bodyDiv w:val="1"/>
      <w:marLeft w:val="0"/>
      <w:marRight w:val="0"/>
      <w:marTop w:val="0"/>
      <w:marBottom w:val="0"/>
      <w:divBdr>
        <w:top w:val="none" w:sz="0" w:space="0" w:color="auto"/>
        <w:left w:val="none" w:sz="0" w:space="0" w:color="auto"/>
        <w:bottom w:val="none" w:sz="0" w:space="0" w:color="auto"/>
        <w:right w:val="none" w:sz="0" w:space="0" w:color="auto"/>
      </w:divBdr>
    </w:div>
    <w:div w:id="1445266746">
      <w:bodyDiv w:val="1"/>
      <w:marLeft w:val="0"/>
      <w:marRight w:val="0"/>
      <w:marTop w:val="0"/>
      <w:marBottom w:val="0"/>
      <w:divBdr>
        <w:top w:val="none" w:sz="0" w:space="0" w:color="auto"/>
        <w:left w:val="none" w:sz="0" w:space="0" w:color="auto"/>
        <w:bottom w:val="none" w:sz="0" w:space="0" w:color="auto"/>
        <w:right w:val="none" w:sz="0" w:space="0" w:color="auto"/>
      </w:divBdr>
    </w:div>
    <w:div w:id="1453937901">
      <w:bodyDiv w:val="1"/>
      <w:marLeft w:val="0"/>
      <w:marRight w:val="0"/>
      <w:marTop w:val="0"/>
      <w:marBottom w:val="0"/>
      <w:divBdr>
        <w:top w:val="none" w:sz="0" w:space="0" w:color="auto"/>
        <w:left w:val="none" w:sz="0" w:space="0" w:color="auto"/>
        <w:bottom w:val="none" w:sz="0" w:space="0" w:color="auto"/>
        <w:right w:val="none" w:sz="0" w:space="0" w:color="auto"/>
      </w:divBdr>
    </w:div>
    <w:div w:id="1554580603">
      <w:bodyDiv w:val="1"/>
      <w:marLeft w:val="0"/>
      <w:marRight w:val="0"/>
      <w:marTop w:val="0"/>
      <w:marBottom w:val="0"/>
      <w:divBdr>
        <w:top w:val="none" w:sz="0" w:space="0" w:color="auto"/>
        <w:left w:val="none" w:sz="0" w:space="0" w:color="auto"/>
        <w:bottom w:val="none" w:sz="0" w:space="0" w:color="auto"/>
        <w:right w:val="none" w:sz="0" w:space="0" w:color="auto"/>
      </w:divBdr>
    </w:div>
    <w:div w:id="1633098509">
      <w:bodyDiv w:val="1"/>
      <w:marLeft w:val="0"/>
      <w:marRight w:val="0"/>
      <w:marTop w:val="0"/>
      <w:marBottom w:val="0"/>
      <w:divBdr>
        <w:top w:val="none" w:sz="0" w:space="0" w:color="auto"/>
        <w:left w:val="none" w:sz="0" w:space="0" w:color="auto"/>
        <w:bottom w:val="none" w:sz="0" w:space="0" w:color="auto"/>
        <w:right w:val="none" w:sz="0" w:space="0" w:color="auto"/>
      </w:divBdr>
    </w:div>
    <w:div w:id="1698506452">
      <w:bodyDiv w:val="1"/>
      <w:marLeft w:val="0"/>
      <w:marRight w:val="0"/>
      <w:marTop w:val="0"/>
      <w:marBottom w:val="0"/>
      <w:divBdr>
        <w:top w:val="none" w:sz="0" w:space="0" w:color="auto"/>
        <w:left w:val="none" w:sz="0" w:space="0" w:color="auto"/>
        <w:bottom w:val="none" w:sz="0" w:space="0" w:color="auto"/>
        <w:right w:val="none" w:sz="0" w:space="0" w:color="auto"/>
      </w:divBdr>
    </w:div>
    <w:div w:id="1797522759">
      <w:bodyDiv w:val="1"/>
      <w:marLeft w:val="0"/>
      <w:marRight w:val="0"/>
      <w:marTop w:val="0"/>
      <w:marBottom w:val="0"/>
      <w:divBdr>
        <w:top w:val="none" w:sz="0" w:space="0" w:color="auto"/>
        <w:left w:val="none" w:sz="0" w:space="0" w:color="auto"/>
        <w:bottom w:val="none" w:sz="0" w:space="0" w:color="auto"/>
        <w:right w:val="none" w:sz="0" w:space="0" w:color="auto"/>
      </w:divBdr>
    </w:div>
    <w:div w:id="205916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Eas05</b:Tag>
    <b:SourceType>Report</b:SourceType>
    <b:Guid>{3B720926-7BC9-4820-AEAF-69510C1F494C}</b:Guid>
    <b:Author>
      <b:Author>
        <b:Corporate>Eastern Research Group</b:Corporate>
      </b:Author>
    </b:Author>
    <b:Title>Foreign and Domestic Establishment Registration and Listing: Requirements for Human Drugs, Certain Biological Drugs, and Animal Drugs</b:Title>
    <b:Year>2005</b:Year>
    <b:RefOrder>4</b:RefOrder>
  </b:Source>
  <b:Source>
    <b:Tag>Eas07</b:Tag>
    <b:SourceType>Report</b:SourceType>
    <b:Guid>{8952A7D8-CFB0-49C4-A82C-58A11F13A701}</b:Guid>
    <b:Author>
      <b:Author>
        <b:Corporate>Eastern Research Group</b:Corporate>
      </b:Author>
    </b:Author>
    <b:Title>Evaluation of Recordkeeping Costs for Food Manufacturers</b:Title>
    <b:Year>2007</b:Year>
    <b:RefOrder>5</b:RefOrder>
  </b:Source>
  <b:Source>
    <b:Tag>Foo13</b:Tag>
    <b:SourceType>Report</b:SourceType>
    <b:Guid>{B61A4CF4-A85B-4928-8F14-20C0CC8A77BA}</b:Guid>
    <b:Author>
      <b:Author>
        <b:Corporate>Food and Drug Administration</b:Corporate>
      </b:Author>
    </b:Author>
    <b:Title>Unique Device Identification System, Proposed Rule Regulatory Impact Analysis</b:Title>
    <b:Year>2013</b:Year>
    <b:URL>https://www.fda.gov/downloads/AboutFDA/ReportsManualsForms/Reports/EconomicAnalyses/UCM310427.pdf</b:URL>
    <b:RefOrder>6</b:RefOrder>
  </b:Source>
</b:Sources>
</file>

<file path=customXml/itemProps1.xml><?xml version="1.0" encoding="utf-8"?>
<ds:datastoreItem xmlns:ds="http://schemas.openxmlformats.org/officeDocument/2006/customXml" ds:itemID="{CCB6F016-65BB-4459-A010-5B3897AA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11162</Characters>
  <Application>Microsoft Office Word</Application>
  <DocSecurity>0</DocSecurity>
  <Lines>360</Lines>
  <Paragraphs>222</Paragraphs>
  <ScaleCrop>false</ScaleCrop>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2022-02-19T16:10:00Z</dcterms:created>
  <dcterms:modified xsi:type="dcterms:W3CDTF">2022-02-19T16:21:00Z</dcterms:modified>
</cp:coreProperties>
</file>