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1D5E" w:rsidR="00DD3FBF" w:rsidP="00901D5E" w:rsidRDefault="00DD3FBF" w14:paraId="2E66372B" w14:textId="77777777">
      <w:bookmarkStart w:name="_Toc68687799" w:id="0"/>
    </w:p>
    <w:p w:rsidRPr="00275459" w:rsidR="00DD3FBF" w:rsidP="00DD3FBF" w:rsidRDefault="00DD3FBF" w14:paraId="225F2EB6" w14:textId="77777777">
      <w:pPr>
        <w:jc w:val="center"/>
        <w:rPr>
          <w:rFonts w:cs="Calibri"/>
          <w:color w:val="000000"/>
        </w:rPr>
      </w:pPr>
    </w:p>
    <w:p w:rsidRPr="00275459" w:rsidR="00DD3FBF" w:rsidP="00DD3FBF" w:rsidRDefault="00DD3FBF" w14:paraId="388FB789" w14:textId="77777777">
      <w:pPr>
        <w:jc w:val="center"/>
        <w:rPr>
          <w:rFonts w:cs="Calibri"/>
          <w:color w:val="000000"/>
        </w:rPr>
      </w:pPr>
    </w:p>
    <w:p w:rsidRPr="00275459" w:rsidR="00DD3FBF" w:rsidP="00DD3FBF" w:rsidRDefault="00DD3FBF" w14:paraId="7C80DE2E" w14:textId="77777777">
      <w:pPr>
        <w:pBdr>
          <w:bottom w:val="single" w:color="auto" w:sz="24" w:space="1"/>
        </w:pBdr>
        <w:jc w:val="center"/>
        <w:rPr>
          <w:rFonts w:cs="Calibri"/>
          <w:color w:val="000000"/>
        </w:rPr>
      </w:pPr>
      <w:bookmarkStart w:name="OLE_LINK2" w:id="1"/>
      <w:bookmarkStart w:name="OLE_LINK3" w:id="2"/>
    </w:p>
    <w:p w:rsidRPr="00275459" w:rsidR="00DD3FBF" w:rsidP="00DD3FBF" w:rsidRDefault="00DD3FBF" w14:paraId="76D87BA0" w14:textId="77777777">
      <w:pPr>
        <w:jc w:val="center"/>
        <w:rPr>
          <w:rFonts w:cs="Calibri"/>
          <w:color w:val="000000"/>
        </w:rPr>
      </w:pPr>
    </w:p>
    <w:p w:rsidRPr="00275459" w:rsidR="00D9621A" w:rsidP="00197BCF" w:rsidRDefault="0071598C" w14:paraId="6A0B9F23" w14:textId="77777777">
      <w:pPr>
        <w:jc w:val="center"/>
        <w:rPr>
          <w:rFonts w:cs="Calibri"/>
          <w:b/>
          <w:bCs/>
          <w:color w:val="000000"/>
        </w:rPr>
      </w:pPr>
      <w:r w:rsidRPr="00275459">
        <w:rPr>
          <w:rFonts w:cs="Calibri"/>
          <w:b/>
          <w:bCs/>
          <w:color w:val="000000"/>
        </w:rPr>
        <w:t>Focus Group</w:t>
      </w:r>
      <w:r w:rsidRPr="00275459" w:rsidR="00953210">
        <w:rPr>
          <w:rFonts w:cs="Calibri"/>
          <w:b/>
          <w:bCs/>
          <w:color w:val="000000"/>
        </w:rPr>
        <w:t xml:space="preserve"> </w:t>
      </w:r>
      <w:r w:rsidRPr="00275459" w:rsidR="00197BCF">
        <w:rPr>
          <w:rFonts w:cs="Calibri"/>
          <w:b/>
          <w:bCs/>
          <w:color w:val="000000"/>
        </w:rPr>
        <w:t>Testing</w:t>
      </w:r>
      <w:r w:rsidRPr="00275459" w:rsidR="00953210">
        <w:rPr>
          <w:rFonts w:cs="Calibri"/>
          <w:b/>
          <w:bCs/>
          <w:color w:val="000000"/>
        </w:rPr>
        <w:t xml:space="preserve"> to Effectively Plan and Tailor</w:t>
      </w:r>
      <w:r w:rsidRPr="00275459" w:rsidR="00097C12">
        <w:rPr>
          <w:rFonts w:cs="Calibri"/>
          <w:b/>
          <w:bCs/>
          <w:color w:val="000000"/>
        </w:rPr>
        <w:t xml:space="preserve"> </w:t>
      </w:r>
      <w:r w:rsidRPr="00275459" w:rsidR="00D52559">
        <w:rPr>
          <w:rFonts w:cs="Calibri"/>
          <w:b/>
          <w:bCs/>
          <w:color w:val="000000"/>
        </w:rPr>
        <w:t>Cancer Prevention and Control</w:t>
      </w:r>
      <w:r w:rsidRPr="00275459" w:rsidR="00097C12">
        <w:rPr>
          <w:rFonts w:cs="Calibri"/>
          <w:b/>
          <w:bCs/>
          <w:color w:val="000000"/>
        </w:rPr>
        <w:t xml:space="preserve"> Communication Campaigns</w:t>
      </w:r>
    </w:p>
    <w:p w:rsidRPr="00275459" w:rsidR="00D9621A" w:rsidP="00197BCF" w:rsidRDefault="00D9621A" w14:paraId="5AE4DED9" w14:textId="77777777">
      <w:pPr>
        <w:jc w:val="center"/>
        <w:rPr>
          <w:rFonts w:cs="Calibri"/>
          <w:bCs/>
          <w:color w:val="000000"/>
        </w:rPr>
      </w:pPr>
    </w:p>
    <w:p w:rsidRPr="00275459" w:rsidR="007A498F" w:rsidP="00197BCF" w:rsidRDefault="00097C12" w14:paraId="19462292" w14:textId="77777777">
      <w:pPr>
        <w:jc w:val="center"/>
        <w:rPr>
          <w:rFonts w:cs="Calibri"/>
          <w:bCs/>
          <w:color w:val="000000"/>
        </w:rPr>
      </w:pPr>
      <w:r w:rsidRPr="00275459">
        <w:rPr>
          <w:rFonts w:cs="Calibri"/>
          <w:bCs/>
          <w:color w:val="000000"/>
        </w:rPr>
        <w:t xml:space="preserve">Generic </w:t>
      </w:r>
      <w:r w:rsidRPr="00275459" w:rsidR="00EA510F">
        <w:rPr>
          <w:rFonts w:cs="Calibri"/>
          <w:bCs/>
          <w:color w:val="000000"/>
        </w:rPr>
        <w:t>Information Collection</w:t>
      </w:r>
    </w:p>
    <w:p w:rsidRPr="00275459" w:rsidR="007A498F" w:rsidP="00197BCF" w:rsidRDefault="007A498F" w14:paraId="32A8F88E" w14:textId="77777777">
      <w:pPr>
        <w:jc w:val="center"/>
        <w:rPr>
          <w:rFonts w:cs="Calibri"/>
          <w:bCs/>
          <w:color w:val="000000"/>
        </w:rPr>
      </w:pPr>
      <w:r w:rsidRPr="00275459">
        <w:rPr>
          <w:rFonts w:cs="Calibri"/>
          <w:bCs/>
          <w:color w:val="000000"/>
        </w:rPr>
        <w:t>OMB No. 0920-0800</w:t>
      </w:r>
    </w:p>
    <w:p w:rsidRPr="00275459" w:rsidR="00DD3FBF" w:rsidP="00197BCF" w:rsidRDefault="00A03DB4" w14:paraId="17543E4C" w14:textId="37734744">
      <w:pPr>
        <w:jc w:val="center"/>
        <w:rPr>
          <w:rFonts w:cs="Calibri"/>
          <w:bCs/>
          <w:color w:val="000000"/>
        </w:rPr>
      </w:pPr>
      <w:r>
        <w:t>Reinstatement</w:t>
      </w:r>
    </w:p>
    <w:p w:rsidRPr="00275459" w:rsidR="00097C12" w:rsidP="00DD3FBF" w:rsidRDefault="00097C12" w14:paraId="15E6B3DE" w14:textId="77777777">
      <w:pPr>
        <w:jc w:val="center"/>
        <w:rPr>
          <w:rFonts w:cs="Calibri"/>
          <w:bCs/>
          <w:color w:val="000000"/>
        </w:rPr>
      </w:pPr>
    </w:p>
    <w:p w:rsidRPr="00275459" w:rsidR="00DD3FBF" w:rsidP="00DD3FBF" w:rsidRDefault="00DD3FBF" w14:paraId="4E8EFF59" w14:textId="77777777">
      <w:pPr>
        <w:pBdr>
          <w:top w:val="single" w:color="auto" w:sz="24" w:space="1"/>
        </w:pBdr>
        <w:jc w:val="center"/>
        <w:rPr>
          <w:rFonts w:cs="Calibri"/>
          <w:color w:val="000000"/>
        </w:rPr>
      </w:pPr>
    </w:p>
    <w:bookmarkEnd w:id="1"/>
    <w:bookmarkEnd w:id="2"/>
    <w:p w:rsidRPr="00275459" w:rsidR="00DD3FBF" w:rsidP="00DD3FBF" w:rsidRDefault="00DD3FBF" w14:paraId="5EE6DFE8" w14:textId="77777777">
      <w:pPr>
        <w:jc w:val="center"/>
        <w:rPr>
          <w:rFonts w:cs="Calibri"/>
          <w:color w:val="000000"/>
        </w:rPr>
      </w:pPr>
    </w:p>
    <w:p w:rsidRPr="00275459" w:rsidR="00DD3FBF" w:rsidP="00E32154" w:rsidRDefault="00DD3FBF" w14:paraId="5A28BAAB" w14:textId="77777777">
      <w:pPr>
        <w:jc w:val="center"/>
        <w:rPr>
          <w:rFonts w:cs="Calibri"/>
          <w:color w:val="000000"/>
        </w:rPr>
      </w:pPr>
    </w:p>
    <w:p w:rsidRPr="00275459" w:rsidR="00DD3FBF" w:rsidP="00DD3FBF" w:rsidRDefault="00DD3FBF" w14:paraId="678E27D5" w14:textId="77777777">
      <w:pPr>
        <w:jc w:val="center"/>
        <w:rPr>
          <w:rFonts w:cs="Calibri"/>
          <w:color w:val="000000"/>
        </w:rPr>
      </w:pPr>
    </w:p>
    <w:p w:rsidRPr="00275459" w:rsidR="00D9621A" w:rsidP="00E32154" w:rsidRDefault="00D9621A" w14:paraId="539AFDEE" w14:textId="77777777">
      <w:pPr>
        <w:jc w:val="center"/>
        <w:rPr>
          <w:rFonts w:cs="Calibri"/>
          <w:bCs/>
          <w:color w:val="000000"/>
        </w:rPr>
      </w:pPr>
      <w:bookmarkStart w:name="OLE_LINK4" w:id="3"/>
      <w:bookmarkStart w:name="OLE_LINK5" w:id="4"/>
    </w:p>
    <w:p w:rsidRPr="00275459" w:rsidR="00D9621A" w:rsidP="00D9621A" w:rsidRDefault="00D9621A" w14:paraId="7C0C6E58" w14:textId="77777777">
      <w:pPr>
        <w:jc w:val="center"/>
        <w:rPr>
          <w:rFonts w:cs="Calibri"/>
          <w:color w:val="000000"/>
        </w:rPr>
      </w:pPr>
      <w:r w:rsidRPr="00275459">
        <w:rPr>
          <w:rFonts w:cs="Calibri"/>
          <w:bCs/>
          <w:color w:val="000000"/>
        </w:rPr>
        <w:t>Supporting Statement Part A</w:t>
      </w:r>
    </w:p>
    <w:p w:rsidRPr="00275459" w:rsidR="00DD3FBF" w:rsidP="00DD3FBF" w:rsidRDefault="00DD3FBF" w14:paraId="03F232D7" w14:textId="77777777">
      <w:pPr>
        <w:jc w:val="center"/>
        <w:rPr>
          <w:rFonts w:cs="Calibri"/>
          <w:color w:val="000000"/>
        </w:rPr>
      </w:pPr>
    </w:p>
    <w:bookmarkEnd w:id="3"/>
    <w:bookmarkEnd w:id="4"/>
    <w:p w:rsidRPr="00275459" w:rsidR="00DD3FBF" w:rsidP="00DD3FBF" w:rsidRDefault="00DD3FBF" w14:paraId="7D9501CC" w14:textId="77777777">
      <w:pPr>
        <w:jc w:val="center"/>
        <w:rPr>
          <w:rFonts w:cs="Calibri"/>
          <w:b/>
          <w:color w:val="000000"/>
        </w:rPr>
      </w:pPr>
    </w:p>
    <w:p w:rsidRPr="00275459" w:rsidR="00DD3FBF" w:rsidP="00DD3FBF" w:rsidRDefault="00DD3FBF" w14:paraId="5872E8F1" w14:textId="77777777">
      <w:pPr>
        <w:jc w:val="center"/>
        <w:rPr>
          <w:rFonts w:cs="Calibri"/>
          <w:b/>
          <w:color w:val="000000"/>
        </w:rPr>
      </w:pPr>
    </w:p>
    <w:p w:rsidRPr="00275459" w:rsidR="00DD3FBF" w:rsidP="00DD3FBF" w:rsidRDefault="00BD1DDD" w14:paraId="4B5F4CE0" w14:textId="4A7185CC">
      <w:pPr>
        <w:jc w:val="center"/>
        <w:rPr>
          <w:rFonts w:cs="Calibri"/>
          <w:color w:val="000000"/>
        </w:rPr>
      </w:pPr>
      <w:r>
        <w:rPr>
          <w:rFonts w:cs="Calibri"/>
          <w:color w:val="000000"/>
        </w:rPr>
        <w:t>November 3</w:t>
      </w:r>
      <w:r w:rsidR="00E32154">
        <w:rPr>
          <w:rFonts w:cs="Calibri"/>
          <w:color w:val="000000"/>
        </w:rPr>
        <w:t>, 2021</w:t>
      </w:r>
    </w:p>
    <w:p w:rsidRPr="00275459" w:rsidR="00DD3FBF" w:rsidP="00DD3FBF" w:rsidRDefault="00DD3FBF" w14:paraId="221519B9" w14:textId="77777777">
      <w:pPr>
        <w:jc w:val="center"/>
        <w:rPr>
          <w:rFonts w:cs="Calibri"/>
          <w:color w:val="000000"/>
        </w:rPr>
      </w:pPr>
    </w:p>
    <w:p w:rsidRPr="00275459" w:rsidR="00DD3FBF" w:rsidP="00DD3FBF" w:rsidRDefault="00DD3FBF" w14:paraId="1E889AB6" w14:textId="77777777">
      <w:pPr>
        <w:jc w:val="center"/>
        <w:rPr>
          <w:rFonts w:cs="Calibri"/>
          <w:color w:val="000000"/>
        </w:rPr>
      </w:pPr>
    </w:p>
    <w:p w:rsidRPr="00275459" w:rsidR="00DD3FBF" w:rsidP="00DD3FBF" w:rsidRDefault="00DD3FBF" w14:paraId="79A3FD0C" w14:textId="77777777">
      <w:pPr>
        <w:jc w:val="center"/>
        <w:rPr>
          <w:rFonts w:cs="Calibri"/>
          <w:color w:val="000000"/>
        </w:rPr>
      </w:pPr>
    </w:p>
    <w:p w:rsidRPr="00275459" w:rsidR="00D9621A" w:rsidP="00DD3FBF" w:rsidRDefault="00D9621A" w14:paraId="232FB9C2" w14:textId="77777777">
      <w:pPr>
        <w:jc w:val="center"/>
        <w:rPr>
          <w:rFonts w:cs="Calibri"/>
          <w:color w:val="000000"/>
        </w:rPr>
      </w:pPr>
    </w:p>
    <w:p w:rsidRPr="00275459" w:rsidR="00D9621A" w:rsidP="00DD3FBF" w:rsidRDefault="00D9621A" w14:paraId="78F61FD0" w14:textId="77777777">
      <w:pPr>
        <w:jc w:val="center"/>
        <w:rPr>
          <w:rFonts w:cs="Calibri"/>
          <w:color w:val="000000"/>
        </w:rPr>
      </w:pPr>
    </w:p>
    <w:p w:rsidRPr="00901D5E" w:rsidR="00D9621A" w:rsidP="000E6BEE" w:rsidRDefault="00D9621A" w14:paraId="152F74B0" w14:textId="77777777">
      <w:pPr>
        <w:jc w:val="center"/>
      </w:pPr>
    </w:p>
    <w:p w:rsidR="00DD3FBF" w:rsidP="000E6BEE" w:rsidRDefault="00DD3FBF" w14:paraId="589C3CCF" w14:textId="4BAF71E8">
      <w:pPr>
        <w:jc w:val="center"/>
      </w:pPr>
    </w:p>
    <w:p w:rsidRPr="00901D5E" w:rsidR="00102EF4" w:rsidP="000E6BEE" w:rsidRDefault="00102EF4" w14:paraId="24B1A547" w14:textId="77777777">
      <w:pPr>
        <w:jc w:val="center"/>
      </w:pPr>
    </w:p>
    <w:p w:rsidRPr="00901D5E" w:rsidR="00DD3FBF" w:rsidP="000E6BEE" w:rsidRDefault="00DD3FBF" w14:paraId="7CD5A5DD" w14:textId="77777777">
      <w:pPr>
        <w:jc w:val="center"/>
      </w:pPr>
    </w:p>
    <w:p w:rsidRPr="00901D5E" w:rsidR="00DD3FBF" w:rsidP="000E6BEE" w:rsidRDefault="00102EF4" w14:paraId="2B49193B" w14:textId="442D23AE">
      <w:pPr>
        <w:jc w:val="center"/>
      </w:pPr>
      <w:bookmarkStart w:name="_Hlk83971846" w:id="5"/>
      <w:r>
        <w:t>Cheryll C. Thomas</w:t>
      </w:r>
    </w:p>
    <w:p w:rsidRPr="00901D5E" w:rsidR="00DD3FBF" w:rsidP="000E6BEE" w:rsidRDefault="00DD3FBF" w14:paraId="2E59AF59" w14:textId="77777777">
      <w:pPr>
        <w:jc w:val="center"/>
      </w:pPr>
      <w:r w:rsidRPr="00901D5E">
        <w:t>Division of Cancer Prevention and Control</w:t>
      </w:r>
    </w:p>
    <w:p w:rsidRPr="00901D5E" w:rsidR="00DD3FBF" w:rsidP="00901D5E" w:rsidRDefault="00097C12" w14:paraId="41A8A4AD" w14:textId="41BA7162">
      <w:pPr>
        <w:jc w:val="center"/>
      </w:pPr>
      <w:r w:rsidRPr="00901D5E">
        <w:t xml:space="preserve">Phone: </w:t>
      </w:r>
      <w:r w:rsidR="00102EF4">
        <w:t>770-488-3254</w:t>
      </w:r>
    </w:p>
    <w:p w:rsidRPr="00901D5E" w:rsidR="00DD3FBF" w:rsidP="00901D5E" w:rsidRDefault="00097C12" w14:paraId="234EECEC" w14:textId="1DE1A10D">
      <w:pPr>
        <w:jc w:val="center"/>
      </w:pPr>
      <w:r w:rsidRPr="00901D5E">
        <w:t xml:space="preserve">E-mail: </w:t>
      </w:r>
      <w:r w:rsidR="00102EF4">
        <w:t>zzg3@cdc.gov</w:t>
      </w:r>
    </w:p>
    <w:p w:rsidRPr="000E6BEE" w:rsidR="002F2906" w:rsidP="000E6BEE" w:rsidRDefault="008C243F" w14:paraId="25E3E916" w14:textId="3D9A3ABB">
      <w:pPr>
        <w:jc w:val="center"/>
        <w:rPr>
          <w:bCs/>
          <w:noProof/>
        </w:rPr>
      </w:pPr>
      <w:r w:rsidRPr="000E6BEE">
        <w:rPr>
          <w:bCs/>
          <w:noProof/>
        </w:rPr>
        <w:t>4770 Buford Highway NE</w:t>
      </w:r>
      <w:r w:rsidRPr="000E6BEE" w:rsidR="002F2906">
        <w:rPr>
          <w:bCs/>
          <w:noProof/>
        </w:rPr>
        <w:t xml:space="preserve"> | Bldg. 107</w:t>
      </w:r>
    </w:p>
    <w:p w:rsidRPr="000E6BEE" w:rsidR="002F2906" w:rsidP="00901D5E" w:rsidRDefault="002F2906" w14:paraId="3371B22E" w14:textId="77777777">
      <w:pPr>
        <w:jc w:val="center"/>
        <w:rPr>
          <w:bCs/>
          <w:noProof/>
        </w:rPr>
      </w:pPr>
      <w:r w:rsidRPr="000E6BEE">
        <w:rPr>
          <w:bCs/>
          <w:noProof/>
        </w:rPr>
        <w:t>Chamblee, GA 30341</w:t>
      </w:r>
    </w:p>
    <w:p w:rsidRPr="000E6BEE" w:rsidR="00DD3FBF" w:rsidP="000E6BEE" w:rsidRDefault="00CF1530" w14:paraId="2BCD699A" w14:textId="77777777">
      <w:pPr>
        <w:jc w:val="center"/>
        <w:rPr>
          <w:bCs/>
          <w:noProof/>
        </w:rPr>
      </w:pPr>
      <w:r w:rsidRPr="000E6BEE">
        <w:rPr>
          <w:bCs/>
          <w:noProof/>
        </w:rPr>
        <w:t>MailStop F76</w:t>
      </w:r>
    </w:p>
    <w:bookmarkEnd w:id="5"/>
    <w:p w:rsidRPr="00901D5E" w:rsidR="00CF1530" w:rsidP="000E6BEE" w:rsidRDefault="00CF1530" w14:paraId="0258F917" w14:textId="77777777">
      <w:pPr>
        <w:jc w:val="center"/>
      </w:pPr>
    </w:p>
    <w:p w:rsidRPr="00901D5E" w:rsidR="00DD3FBF" w:rsidP="000E6BEE" w:rsidRDefault="00DD3FBF" w14:paraId="2A58870D" w14:textId="77777777">
      <w:pPr>
        <w:jc w:val="center"/>
      </w:pPr>
      <w:r w:rsidRPr="00901D5E">
        <w:t>Supported by:</w:t>
      </w:r>
    </w:p>
    <w:p w:rsidRPr="00901D5E" w:rsidR="00DD3FBF" w:rsidP="000E6BEE" w:rsidRDefault="00DD3FBF" w14:paraId="2141D133" w14:textId="77777777">
      <w:pPr>
        <w:jc w:val="center"/>
      </w:pPr>
      <w:r w:rsidRPr="00901D5E">
        <w:t>Centers for Disease Control and Prevention</w:t>
      </w:r>
    </w:p>
    <w:p w:rsidRPr="00901D5E" w:rsidR="00DD3FBF" w:rsidP="000E6BEE" w:rsidRDefault="00DD3FBF" w14:paraId="750342FA" w14:textId="77777777">
      <w:pPr>
        <w:jc w:val="center"/>
      </w:pPr>
      <w:r w:rsidRPr="00901D5E">
        <w:t>National Center for Chronic Disease Prevention and Health Promotion</w:t>
      </w:r>
    </w:p>
    <w:p w:rsidRPr="00901D5E" w:rsidR="00DD3FBF" w:rsidP="000E6BEE" w:rsidRDefault="00DD3FBF" w14:paraId="192D6C88" w14:textId="77777777">
      <w:pPr>
        <w:jc w:val="center"/>
      </w:pPr>
      <w:r w:rsidRPr="00901D5E">
        <w:t>Division of Cancer Prevention and Control</w:t>
      </w:r>
    </w:p>
    <w:p w:rsidRPr="00275459" w:rsidR="000A325D" w:rsidP="000A325D" w:rsidRDefault="000A325D" w14:paraId="20469467" w14:textId="77777777">
      <w:pPr>
        <w:autoSpaceDE w:val="0"/>
        <w:autoSpaceDN w:val="0"/>
        <w:jc w:val="center"/>
        <w:rPr>
          <w:rFonts w:cs="Calibri"/>
          <w:bCs/>
          <w:noProof/>
        </w:rPr>
      </w:pPr>
    </w:p>
    <w:p w:rsidR="00264D72" w:rsidRDefault="00264D72" w14:paraId="5207D05A" w14:textId="77777777">
      <w:pPr>
        <w:pStyle w:val="TOCHeading"/>
      </w:pPr>
      <w:r>
        <w:t>Contents</w:t>
      </w:r>
    </w:p>
    <w:p w:rsidRPr="00B73B7D" w:rsidR="00763E78" w:rsidRDefault="00264D72" w14:paraId="33C77241" w14:textId="65B3ED1A">
      <w:pPr>
        <w:pStyle w:val="TOC1"/>
        <w:tabs>
          <w:tab w:val="right" w:leader="dot" w:pos="9350"/>
        </w:tabs>
        <w:rPr>
          <w:noProof/>
          <w:sz w:val="22"/>
          <w:szCs w:val="22"/>
        </w:rPr>
      </w:pPr>
      <w:r>
        <w:fldChar w:fldCharType="begin"/>
      </w:r>
      <w:r>
        <w:instrText xml:space="preserve"> TOC \o "1-3" \h \z \u </w:instrText>
      </w:r>
      <w:r>
        <w:fldChar w:fldCharType="separate"/>
      </w:r>
      <w:hyperlink w:history="1" w:anchor="_Toc74723221">
        <w:r w:rsidRPr="00537D09" w:rsidR="00763E78">
          <w:rPr>
            <w:rStyle w:val="Hyperlink"/>
            <w:noProof/>
          </w:rPr>
          <w:t xml:space="preserve">A. </w:t>
        </w:r>
        <w:r w:rsidRPr="003457D5" w:rsidR="00763E78">
          <w:rPr>
            <w:rStyle w:val="Hyperlink"/>
            <w:b/>
            <w:bCs/>
            <w:noProof/>
          </w:rPr>
          <w:t>Justification</w:t>
        </w:r>
        <w:r w:rsidR="00763E78">
          <w:rPr>
            <w:noProof/>
            <w:webHidden/>
          </w:rPr>
          <w:tab/>
        </w:r>
        <w:r w:rsidR="00763E78">
          <w:rPr>
            <w:noProof/>
            <w:webHidden/>
          </w:rPr>
          <w:fldChar w:fldCharType="begin"/>
        </w:r>
        <w:r w:rsidR="00763E78">
          <w:rPr>
            <w:noProof/>
            <w:webHidden/>
          </w:rPr>
          <w:instrText xml:space="preserve"> PAGEREF _Toc74723221 \h </w:instrText>
        </w:r>
        <w:r w:rsidR="00763E78">
          <w:rPr>
            <w:noProof/>
            <w:webHidden/>
          </w:rPr>
        </w:r>
        <w:r w:rsidR="00763E78">
          <w:rPr>
            <w:noProof/>
            <w:webHidden/>
          </w:rPr>
          <w:fldChar w:fldCharType="separate"/>
        </w:r>
        <w:r w:rsidR="00763E78">
          <w:rPr>
            <w:noProof/>
            <w:webHidden/>
          </w:rPr>
          <w:t>4</w:t>
        </w:r>
        <w:r w:rsidR="00763E78">
          <w:rPr>
            <w:noProof/>
            <w:webHidden/>
          </w:rPr>
          <w:fldChar w:fldCharType="end"/>
        </w:r>
      </w:hyperlink>
    </w:p>
    <w:p w:rsidRPr="00B73B7D" w:rsidR="00763E78" w:rsidRDefault="00DC529D" w14:paraId="0576EBA7" w14:textId="3E4DB0FB">
      <w:pPr>
        <w:pStyle w:val="TOC2"/>
        <w:tabs>
          <w:tab w:val="right" w:leader="dot" w:pos="9350"/>
        </w:tabs>
        <w:rPr>
          <w:noProof/>
          <w:sz w:val="22"/>
          <w:szCs w:val="22"/>
        </w:rPr>
      </w:pPr>
      <w:hyperlink w:history="1" w:anchor="_Toc74723222">
        <w:r w:rsidRPr="00537D09" w:rsidR="00763E78">
          <w:rPr>
            <w:rStyle w:val="Hyperlink"/>
            <w:noProof/>
          </w:rPr>
          <w:t>A1. Circumstances Making the Collection of Information Necessary</w:t>
        </w:r>
        <w:r w:rsidR="00763E78">
          <w:rPr>
            <w:noProof/>
            <w:webHidden/>
          </w:rPr>
          <w:tab/>
        </w:r>
        <w:r w:rsidR="00763E78">
          <w:rPr>
            <w:noProof/>
            <w:webHidden/>
          </w:rPr>
          <w:fldChar w:fldCharType="begin"/>
        </w:r>
        <w:r w:rsidR="00763E78">
          <w:rPr>
            <w:noProof/>
            <w:webHidden/>
          </w:rPr>
          <w:instrText xml:space="preserve"> PAGEREF _Toc74723222 \h </w:instrText>
        </w:r>
        <w:r w:rsidR="00763E78">
          <w:rPr>
            <w:noProof/>
            <w:webHidden/>
          </w:rPr>
        </w:r>
        <w:r w:rsidR="00763E78">
          <w:rPr>
            <w:noProof/>
            <w:webHidden/>
          </w:rPr>
          <w:fldChar w:fldCharType="separate"/>
        </w:r>
        <w:r w:rsidR="00763E78">
          <w:rPr>
            <w:noProof/>
            <w:webHidden/>
          </w:rPr>
          <w:t>4</w:t>
        </w:r>
        <w:r w:rsidR="00763E78">
          <w:rPr>
            <w:noProof/>
            <w:webHidden/>
          </w:rPr>
          <w:fldChar w:fldCharType="end"/>
        </w:r>
      </w:hyperlink>
    </w:p>
    <w:p w:rsidRPr="00B73B7D" w:rsidR="00763E78" w:rsidRDefault="00DC529D" w14:paraId="3E3B1672" w14:textId="5930517D">
      <w:pPr>
        <w:pStyle w:val="TOC2"/>
        <w:tabs>
          <w:tab w:val="right" w:leader="dot" w:pos="9350"/>
        </w:tabs>
        <w:rPr>
          <w:noProof/>
          <w:sz w:val="22"/>
          <w:szCs w:val="22"/>
        </w:rPr>
      </w:pPr>
      <w:hyperlink w:history="1" w:anchor="_Toc74723223">
        <w:r w:rsidRPr="00537D09" w:rsidR="00763E78">
          <w:rPr>
            <w:rStyle w:val="Hyperlink"/>
            <w:noProof/>
          </w:rPr>
          <w:t>A2. Purpose and Use of the Information Collection</w:t>
        </w:r>
        <w:r w:rsidR="00763E78">
          <w:rPr>
            <w:noProof/>
            <w:webHidden/>
          </w:rPr>
          <w:tab/>
        </w:r>
        <w:r w:rsidR="00763E78">
          <w:rPr>
            <w:noProof/>
            <w:webHidden/>
          </w:rPr>
          <w:fldChar w:fldCharType="begin"/>
        </w:r>
        <w:r w:rsidR="00763E78">
          <w:rPr>
            <w:noProof/>
            <w:webHidden/>
          </w:rPr>
          <w:instrText xml:space="preserve"> PAGEREF _Toc74723223 \h </w:instrText>
        </w:r>
        <w:r w:rsidR="00763E78">
          <w:rPr>
            <w:noProof/>
            <w:webHidden/>
          </w:rPr>
        </w:r>
        <w:r w:rsidR="00763E78">
          <w:rPr>
            <w:noProof/>
            <w:webHidden/>
          </w:rPr>
          <w:fldChar w:fldCharType="separate"/>
        </w:r>
        <w:r w:rsidR="00763E78">
          <w:rPr>
            <w:noProof/>
            <w:webHidden/>
          </w:rPr>
          <w:t>5</w:t>
        </w:r>
        <w:r w:rsidR="00763E78">
          <w:rPr>
            <w:noProof/>
            <w:webHidden/>
          </w:rPr>
          <w:fldChar w:fldCharType="end"/>
        </w:r>
      </w:hyperlink>
    </w:p>
    <w:p w:rsidRPr="00B73B7D" w:rsidR="00763E78" w:rsidRDefault="00DC529D" w14:paraId="7BD8F6C4" w14:textId="0EDC5859">
      <w:pPr>
        <w:pStyle w:val="TOC2"/>
        <w:tabs>
          <w:tab w:val="right" w:leader="dot" w:pos="9350"/>
        </w:tabs>
        <w:rPr>
          <w:noProof/>
          <w:sz w:val="22"/>
          <w:szCs w:val="22"/>
        </w:rPr>
      </w:pPr>
      <w:hyperlink w:history="1" w:anchor="_Toc74723224">
        <w:r w:rsidRPr="00537D09" w:rsidR="00763E78">
          <w:rPr>
            <w:rStyle w:val="Hyperlink"/>
            <w:noProof/>
          </w:rPr>
          <w:t>A3. Use of Improved Information Technology and Burden Reduction</w:t>
        </w:r>
        <w:r w:rsidR="00763E78">
          <w:rPr>
            <w:noProof/>
            <w:webHidden/>
          </w:rPr>
          <w:tab/>
        </w:r>
        <w:r w:rsidR="00763E78">
          <w:rPr>
            <w:noProof/>
            <w:webHidden/>
          </w:rPr>
          <w:fldChar w:fldCharType="begin"/>
        </w:r>
        <w:r w:rsidR="00763E78">
          <w:rPr>
            <w:noProof/>
            <w:webHidden/>
          </w:rPr>
          <w:instrText xml:space="preserve"> PAGEREF _Toc74723224 \h </w:instrText>
        </w:r>
        <w:r w:rsidR="00763E78">
          <w:rPr>
            <w:noProof/>
            <w:webHidden/>
          </w:rPr>
        </w:r>
        <w:r w:rsidR="00763E78">
          <w:rPr>
            <w:noProof/>
            <w:webHidden/>
          </w:rPr>
          <w:fldChar w:fldCharType="separate"/>
        </w:r>
        <w:r w:rsidR="00763E78">
          <w:rPr>
            <w:noProof/>
            <w:webHidden/>
          </w:rPr>
          <w:t>6</w:t>
        </w:r>
        <w:r w:rsidR="00763E78">
          <w:rPr>
            <w:noProof/>
            <w:webHidden/>
          </w:rPr>
          <w:fldChar w:fldCharType="end"/>
        </w:r>
      </w:hyperlink>
    </w:p>
    <w:p w:rsidRPr="00B73B7D" w:rsidR="00763E78" w:rsidRDefault="00DC529D" w14:paraId="4D7FB7DC" w14:textId="2A354E46">
      <w:pPr>
        <w:pStyle w:val="TOC2"/>
        <w:tabs>
          <w:tab w:val="right" w:leader="dot" w:pos="9350"/>
        </w:tabs>
        <w:rPr>
          <w:noProof/>
          <w:sz w:val="22"/>
          <w:szCs w:val="22"/>
        </w:rPr>
      </w:pPr>
      <w:hyperlink w:history="1" w:anchor="_Toc74723225">
        <w:r w:rsidRPr="00537D09" w:rsidR="00763E78">
          <w:rPr>
            <w:rStyle w:val="Hyperlink"/>
            <w:noProof/>
          </w:rPr>
          <w:t>A4. Efforts to Identify Duplication and Use of Similar Information</w:t>
        </w:r>
        <w:r w:rsidR="00763E78">
          <w:rPr>
            <w:noProof/>
            <w:webHidden/>
          </w:rPr>
          <w:tab/>
        </w:r>
        <w:r w:rsidR="00763E78">
          <w:rPr>
            <w:noProof/>
            <w:webHidden/>
          </w:rPr>
          <w:fldChar w:fldCharType="begin"/>
        </w:r>
        <w:r w:rsidR="00763E78">
          <w:rPr>
            <w:noProof/>
            <w:webHidden/>
          </w:rPr>
          <w:instrText xml:space="preserve"> PAGEREF _Toc74723225 \h </w:instrText>
        </w:r>
        <w:r w:rsidR="00763E78">
          <w:rPr>
            <w:noProof/>
            <w:webHidden/>
          </w:rPr>
        </w:r>
        <w:r w:rsidR="00763E78">
          <w:rPr>
            <w:noProof/>
            <w:webHidden/>
          </w:rPr>
          <w:fldChar w:fldCharType="separate"/>
        </w:r>
        <w:r w:rsidR="00763E78">
          <w:rPr>
            <w:noProof/>
            <w:webHidden/>
          </w:rPr>
          <w:t>6</w:t>
        </w:r>
        <w:r w:rsidR="00763E78">
          <w:rPr>
            <w:noProof/>
            <w:webHidden/>
          </w:rPr>
          <w:fldChar w:fldCharType="end"/>
        </w:r>
      </w:hyperlink>
    </w:p>
    <w:p w:rsidRPr="00B73B7D" w:rsidR="00763E78" w:rsidRDefault="00DC529D" w14:paraId="37BD5A19" w14:textId="4B48711C">
      <w:pPr>
        <w:pStyle w:val="TOC2"/>
        <w:tabs>
          <w:tab w:val="right" w:leader="dot" w:pos="9350"/>
        </w:tabs>
        <w:rPr>
          <w:noProof/>
          <w:sz w:val="22"/>
          <w:szCs w:val="22"/>
        </w:rPr>
      </w:pPr>
      <w:hyperlink w:history="1" w:anchor="_Toc74723226">
        <w:r w:rsidRPr="00537D09" w:rsidR="00763E78">
          <w:rPr>
            <w:rStyle w:val="Hyperlink"/>
            <w:noProof/>
          </w:rPr>
          <w:t>A5. Impact on Small Businesses or Other Small Entities</w:t>
        </w:r>
        <w:r w:rsidR="00763E78">
          <w:rPr>
            <w:noProof/>
            <w:webHidden/>
          </w:rPr>
          <w:tab/>
        </w:r>
        <w:r w:rsidR="00763E78">
          <w:rPr>
            <w:noProof/>
            <w:webHidden/>
          </w:rPr>
          <w:fldChar w:fldCharType="begin"/>
        </w:r>
        <w:r w:rsidR="00763E78">
          <w:rPr>
            <w:noProof/>
            <w:webHidden/>
          </w:rPr>
          <w:instrText xml:space="preserve"> PAGEREF _Toc74723226 \h </w:instrText>
        </w:r>
        <w:r w:rsidR="00763E78">
          <w:rPr>
            <w:noProof/>
            <w:webHidden/>
          </w:rPr>
        </w:r>
        <w:r w:rsidR="00763E78">
          <w:rPr>
            <w:noProof/>
            <w:webHidden/>
          </w:rPr>
          <w:fldChar w:fldCharType="separate"/>
        </w:r>
        <w:r w:rsidR="00763E78">
          <w:rPr>
            <w:noProof/>
            <w:webHidden/>
          </w:rPr>
          <w:t>6</w:t>
        </w:r>
        <w:r w:rsidR="00763E78">
          <w:rPr>
            <w:noProof/>
            <w:webHidden/>
          </w:rPr>
          <w:fldChar w:fldCharType="end"/>
        </w:r>
      </w:hyperlink>
    </w:p>
    <w:p w:rsidRPr="00B73B7D" w:rsidR="00763E78" w:rsidRDefault="00DC529D" w14:paraId="76364F7D" w14:textId="43C938ED">
      <w:pPr>
        <w:pStyle w:val="TOC2"/>
        <w:tabs>
          <w:tab w:val="right" w:leader="dot" w:pos="9350"/>
        </w:tabs>
        <w:rPr>
          <w:noProof/>
          <w:sz w:val="22"/>
          <w:szCs w:val="22"/>
        </w:rPr>
      </w:pPr>
      <w:hyperlink w:history="1" w:anchor="_Toc74723227">
        <w:r w:rsidRPr="00537D09" w:rsidR="00763E78">
          <w:rPr>
            <w:rStyle w:val="Hyperlink"/>
            <w:noProof/>
          </w:rPr>
          <w:t>A6. Consequences of Collecting the Information Less Frequently</w:t>
        </w:r>
        <w:r w:rsidR="00763E78">
          <w:rPr>
            <w:noProof/>
            <w:webHidden/>
          </w:rPr>
          <w:tab/>
        </w:r>
        <w:r w:rsidR="00763E78">
          <w:rPr>
            <w:noProof/>
            <w:webHidden/>
          </w:rPr>
          <w:fldChar w:fldCharType="begin"/>
        </w:r>
        <w:r w:rsidR="00763E78">
          <w:rPr>
            <w:noProof/>
            <w:webHidden/>
          </w:rPr>
          <w:instrText xml:space="preserve"> PAGEREF _Toc74723227 \h </w:instrText>
        </w:r>
        <w:r w:rsidR="00763E78">
          <w:rPr>
            <w:noProof/>
            <w:webHidden/>
          </w:rPr>
        </w:r>
        <w:r w:rsidR="00763E78">
          <w:rPr>
            <w:noProof/>
            <w:webHidden/>
          </w:rPr>
          <w:fldChar w:fldCharType="separate"/>
        </w:r>
        <w:r w:rsidR="00763E78">
          <w:rPr>
            <w:noProof/>
            <w:webHidden/>
          </w:rPr>
          <w:t>6</w:t>
        </w:r>
        <w:r w:rsidR="00763E78">
          <w:rPr>
            <w:noProof/>
            <w:webHidden/>
          </w:rPr>
          <w:fldChar w:fldCharType="end"/>
        </w:r>
      </w:hyperlink>
    </w:p>
    <w:p w:rsidRPr="00B73B7D" w:rsidR="00763E78" w:rsidRDefault="00DC529D" w14:paraId="1C946985" w14:textId="2304B829">
      <w:pPr>
        <w:pStyle w:val="TOC2"/>
        <w:tabs>
          <w:tab w:val="right" w:leader="dot" w:pos="9350"/>
        </w:tabs>
        <w:rPr>
          <w:noProof/>
          <w:sz w:val="22"/>
          <w:szCs w:val="22"/>
        </w:rPr>
      </w:pPr>
      <w:hyperlink w:history="1" w:anchor="_Toc74723228">
        <w:r w:rsidRPr="00537D09" w:rsidR="00763E78">
          <w:rPr>
            <w:rStyle w:val="Hyperlink"/>
            <w:noProof/>
          </w:rPr>
          <w:t>A7. Special Circumstances Relating to the Guidelines of 5 CFR 1320.5</w:t>
        </w:r>
        <w:r w:rsidR="00763E78">
          <w:rPr>
            <w:noProof/>
            <w:webHidden/>
          </w:rPr>
          <w:tab/>
        </w:r>
        <w:r w:rsidR="00763E78">
          <w:rPr>
            <w:noProof/>
            <w:webHidden/>
          </w:rPr>
          <w:fldChar w:fldCharType="begin"/>
        </w:r>
        <w:r w:rsidR="00763E78">
          <w:rPr>
            <w:noProof/>
            <w:webHidden/>
          </w:rPr>
          <w:instrText xml:space="preserve"> PAGEREF _Toc74723228 \h </w:instrText>
        </w:r>
        <w:r w:rsidR="00763E78">
          <w:rPr>
            <w:noProof/>
            <w:webHidden/>
          </w:rPr>
        </w:r>
        <w:r w:rsidR="00763E78">
          <w:rPr>
            <w:noProof/>
            <w:webHidden/>
          </w:rPr>
          <w:fldChar w:fldCharType="separate"/>
        </w:r>
        <w:r w:rsidR="00763E78">
          <w:rPr>
            <w:noProof/>
            <w:webHidden/>
          </w:rPr>
          <w:t>7</w:t>
        </w:r>
        <w:r w:rsidR="00763E78">
          <w:rPr>
            <w:noProof/>
            <w:webHidden/>
          </w:rPr>
          <w:fldChar w:fldCharType="end"/>
        </w:r>
      </w:hyperlink>
    </w:p>
    <w:p w:rsidRPr="00B73B7D" w:rsidR="00763E78" w:rsidRDefault="00DC529D" w14:paraId="04A0D794" w14:textId="66852786">
      <w:pPr>
        <w:pStyle w:val="TOC2"/>
        <w:tabs>
          <w:tab w:val="right" w:leader="dot" w:pos="9350"/>
        </w:tabs>
        <w:rPr>
          <w:noProof/>
          <w:sz w:val="22"/>
          <w:szCs w:val="22"/>
        </w:rPr>
      </w:pPr>
      <w:hyperlink w:history="1" w:anchor="_Toc74723229">
        <w:r w:rsidRPr="00537D09" w:rsidR="00763E78">
          <w:rPr>
            <w:rStyle w:val="Hyperlink"/>
            <w:noProof/>
          </w:rPr>
          <w:t>A8. Comments in Response to the Federal Register Notice and Efforts to Consult Outside the Agency</w:t>
        </w:r>
        <w:r w:rsidR="00763E78">
          <w:rPr>
            <w:noProof/>
            <w:webHidden/>
          </w:rPr>
          <w:tab/>
        </w:r>
        <w:r w:rsidR="00763E78">
          <w:rPr>
            <w:noProof/>
            <w:webHidden/>
          </w:rPr>
          <w:fldChar w:fldCharType="begin"/>
        </w:r>
        <w:r w:rsidR="00763E78">
          <w:rPr>
            <w:noProof/>
            <w:webHidden/>
          </w:rPr>
          <w:instrText xml:space="preserve"> PAGEREF _Toc74723229 \h </w:instrText>
        </w:r>
        <w:r w:rsidR="00763E78">
          <w:rPr>
            <w:noProof/>
            <w:webHidden/>
          </w:rPr>
        </w:r>
        <w:r w:rsidR="00763E78">
          <w:rPr>
            <w:noProof/>
            <w:webHidden/>
          </w:rPr>
          <w:fldChar w:fldCharType="separate"/>
        </w:r>
        <w:r w:rsidR="00763E78">
          <w:rPr>
            <w:noProof/>
            <w:webHidden/>
          </w:rPr>
          <w:t>7</w:t>
        </w:r>
        <w:r w:rsidR="00763E78">
          <w:rPr>
            <w:noProof/>
            <w:webHidden/>
          </w:rPr>
          <w:fldChar w:fldCharType="end"/>
        </w:r>
      </w:hyperlink>
    </w:p>
    <w:p w:rsidRPr="00B73B7D" w:rsidR="00763E78" w:rsidRDefault="00DC529D" w14:paraId="297B0E73" w14:textId="6D6D7EE5">
      <w:pPr>
        <w:pStyle w:val="TOC2"/>
        <w:tabs>
          <w:tab w:val="right" w:leader="dot" w:pos="9350"/>
        </w:tabs>
        <w:rPr>
          <w:noProof/>
          <w:sz w:val="22"/>
          <w:szCs w:val="22"/>
        </w:rPr>
      </w:pPr>
      <w:hyperlink w:history="1" w:anchor="_Toc74723230">
        <w:r w:rsidRPr="00537D09" w:rsidR="00763E78">
          <w:rPr>
            <w:rStyle w:val="Hyperlink"/>
            <w:noProof/>
          </w:rPr>
          <w:t>A9. Explanation of Any Payment or Gift to Respondents</w:t>
        </w:r>
        <w:r w:rsidR="00763E78">
          <w:rPr>
            <w:noProof/>
            <w:webHidden/>
          </w:rPr>
          <w:tab/>
        </w:r>
        <w:r w:rsidR="00763E78">
          <w:rPr>
            <w:noProof/>
            <w:webHidden/>
          </w:rPr>
          <w:fldChar w:fldCharType="begin"/>
        </w:r>
        <w:r w:rsidR="00763E78">
          <w:rPr>
            <w:noProof/>
            <w:webHidden/>
          </w:rPr>
          <w:instrText xml:space="preserve"> PAGEREF _Toc74723230 \h </w:instrText>
        </w:r>
        <w:r w:rsidR="00763E78">
          <w:rPr>
            <w:noProof/>
            <w:webHidden/>
          </w:rPr>
        </w:r>
        <w:r w:rsidR="00763E78">
          <w:rPr>
            <w:noProof/>
            <w:webHidden/>
          </w:rPr>
          <w:fldChar w:fldCharType="separate"/>
        </w:r>
        <w:r w:rsidR="00763E78">
          <w:rPr>
            <w:noProof/>
            <w:webHidden/>
          </w:rPr>
          <w:t>7</w:t>
        </w:r>
        <w:r w:rsidR="00763E78">
          <w:rPr>
            <w:noProof/>
            <w:webHidden/>
          </w:rPr>
          <w:fldChar w:fldCharType="end"/>
        </w:r>
      </w:hyperlink>
    </w:p>
    <w:p w:rsidRPr="00B73B7D" w:rsidR="00763E78" w:rsidRDefault="00DC529D" w14:paraId="70E628C4" w14:textId="51768186">
      <w:pPr>
        <w:pStyle w:val="TOC2"/>
        <w:tabs>
          <w:tab w:val="right" w:leader="dot" w:pos="9350"/>
        </w:tabs>
        <w:rPr>
          <w:noProof/>
          <w:sz w:val="22"/>
          <w:szCs w:val="22"/>
        </w:rPr>
      </w:pPr>
      <w:hyperlink w:history="1" w:anchor="_Toc74723231">
        <w:r w:rsidRPr="00537D09" w:rsidR="00763E78">
          <w:rPr>
            <w:rStyle w:val="Hyperlink"/>
            <w:noProof/>
          </w:rPr>
          <w:t>A10. Assurance of Confidentiality Provided to Respondents</w:t>
        </w:r>
        <w:r w:rsidR="00763E78">
          <w:rPr>
            <w:noProof/>
            <w:webHidden/>
          </w:rPr>
          <w:tab/>
        </w:r>
        <w:r w:rsidR="00763E78">
          <w:rPr>
            <w:noProof/>
            <w:webHidden/>
          </w:rPr>
          <w:fldChar w:fldCharType="begin"/>
        </w:r>
        <w:r w:rsidR="00763E78">
          <w:rPr>
            <w:noProof/>
            <w:webHidden/>
          </w:rPr>
          <w:instrText xml:space="preserve"> PAGEREF _Toc74723231 \h </w:instrText>
        </w:r>
        <w:r w:rsidR="00763E78">
          <w:rPr>
            <w:noProof/>
            <w:webHidden/>
          </w:rPr>
        </w:r>
        <w:r w:rsidR="00763E78">
          <w:rPr>
            <w:noProof/>
            <w:webHidden/>
          </w:rPr>
          <w:fldChar w:fldCharType="separate"/>
        </w:r>
        <w:r w:rsidR="00763E78">
          <w:rPr>
            <w:noProof/>
            <w:webHidden/>
          </w:rPr>
          <w:t>8</w:t>
        </w:r>
        <w:r w:rsidR="00763E78">
          <w:rPr>
            <w:noProof/>
            <w:webHidden/>
          </w:rPr>
          <w:fldChar w:fldCharType="end"/>
        </w:r>
      </w:hyperlink>
    </w:p>
    <w:p w:rsidRPr="00B73B7D" w:rsidR="00763E78" w:rsidRDefault="00DC529D" w14:paraId="48B6E2FC" w14:textId="5F96A857">
      <w:pPr>
        <w:pStyle w:val="TOC2"/>
        <w:tabs>
          <w:tab w:val="right" w:leader="dot" w:pos="9350"/>
        </w:tabs>
        <w:rPr>
          <w:noProof/>
          <w:sz w:val="22"/>
          <w:szCs w:val="22"/>
        </w:rPr>
      </w:pPr>
      <w:hyperlink w:history="1" w:anchor="_Toc74723232">
        <w:r w:rsidRPr="00537D09" w:rsidR="00763E78">
          <w:rPr>
            <w:rStyle w:val="Hyperlink"/>
            <w:noProof/>
          </w:rPr>
          <w:t>A11. Institutional Review Board (IRB) and Justification for Sensitive Questions</w:t>
        </w:r>
        <w:r w:rsidR="00763E78">
          <w:rPr>
            <w:noProof/>
            <w:webHidden/>
          </w:rPr>
          <w:tab/>
        </w:r>
        <w:r w:rsidR="00763E78">
          <w:rPr>
            <w:noProof/>
            <w:webHidden/>
          </w:rPr>
          <w:fldChar w:fldCharType="begin"/>
        </w:r>
        <w:r w:rsidR="00763E78">
          <w:rPr>
            <w:noProof/>
            <w:webHidden/>
          </w:rPr>
          <w:instrText xml:space="preserve"> PAGEREF _Toc74723232 \h </w:instrText>
        </w:r>
        <w:r w:rsidR="00763E78">
          <w:rPr>
            <w:noProof/>
            <w:webHidden/>
          </w:rPr>
        </w:r>
        <w:r w:rsidR="00763E78">
          <w:rPr>
            <w:noProof/>
            <w:webHidden/>
          </w:rPr>
          <w:fldChar w:fldCharType="separate"/>
        </w:r>
        <w:r w:rsidR="00763E78">
          <w:rPr>
            <w:noProof/>
            <w:webHidden/>
          </w:rPr>
          <w:t>9</w:t>
        </w:r>
        <w:r w:rsidR="00763E78">
          <w:rPr>
            <w:noProof/>
            <w:webHidden/>
          </w:rPr>
          <w:fldChar w:fldCharType="end"/>
        </w:r>
      </w:hyperlink>
    </w:p>
    <w:p w:rsidRPr="00B73B7D" w:rsidR="00763E78" w:rsidRDefault="00DC529D" w14:paraId="2B2EBA16" w14:textId="1C8BDA81">
      <w:pPr>
        <w:pStyle w:val="TOC2"/>
        <w:tabs>
          <w:tab w:val="right" w:leader="dot" w:pos="9350"/>
        </w:tabs>
        <w:rPr>
          <w:noProof/>
          <w:sz w:val="22"/>
          <w:szCs w:val="22"/>
        </w:rPr>
      </w:pPr>
      <w:hyperlink w:history="1" w:anchor="_Toc74723233">
        <w:r w:rsidRPr="00537D09" w:rsidR="00763E78">
          <w:rPr>
            <w:rStyle w:val="Hyperlink"/>
            <w:noProof/>
          </w:rPr>
          <w:t>A12. Estimates of Annualized Burden Hours and Costs</w:t>
        </w:r>
        <w:r w:rsidR="00763E78">
          <w:rPr>
            <w:noProof/>
            <w:webHidden/>
          </w:rPr>
          <w:tab/>
        </w:r>
        <w:r w:rsidR="00763E78">
          <w:rPr>
            <w:noProof/>
            <w:webHidden/>
          </w:rPr>
          <w:fldChar w:fldCharType="begin"/>
        </w:r>
        <w:r w:rsidR="00763E78">
          <w:rPr>
            <w:noProof/>
            <w:webHidden/>
          </w:rPr>
          <w:instrText xml:space="preserve"> PAGEREF _Toc74723233 \h </w:instrText>
        </w:r>
        <w:r w:rsidR="00763E78">
          <w:rPr>
            <w:noProof/>
            <w:webHidden/>
          </w:rPr>
        </w:r>
        <w:r w:rsidR="00763E78">
          <w:rPr>
            <w:noProof/>
            <w:webHidden/>
          </w:rPr>
          <w:fldChar w:fldCharType="separate"/>
        </w:r>
        <w:r w:rsidR="00763E78">
          <w:rPr>
            <w:noProof/>
            <w:webHidden/>
          </w:rPr>
          <w:t>10</w:t>
        </w:r>
        <w:r w:rsidR="00763E78">
          <w:rPr>
            <w:noProof/>
            <w:webHidden/>
          </w:rPr>
          <w:fldChar w:fldCharType="end"/>
        </w:r>
      </w:hyperlink>
    </w:p>
    <w:p w:rsidRPr="00B73B7D" w:rsidR="00763E78" w:rsidRDefault="00DC529D" w14:paraId="3AA59DFB" w14:textId="36238B46">
      <w:pPr>
        <w:pStyle w:val="TOC2"/>
        <w:tabs>
          <w:tab w:val="right" w:leader="dot" w:pos="9350"/>
        </w:tabs>
        <w:rPr>
          <w:noProof/>
          <w:sz w:val="22"/>
          <w:szCs w:val="22"/>
        </w:rPr>
      </w:pPr>
      <w:hyperlink w:history="1" w:anchor="_Toc74723234">
        <w:r w:rsidRPr="00537D09" w:rsidR="00763E78">
          <w:rPr>
            <w:rStyle w:val="Hyperlink"/>
            <w:noProof/>
          </w:rPr>
          <w:t>A13. Estimates of Other Total Annual Cost Burden to Respondents or Recordkeepers</w:t>
        </w:r>
        <w:r w:rsidR="00763E78">
          <w:rPr>
            <w:noProof/>
            <w:webHidden/>
          </w:rPr>
          <w:tab/>
        </w:r>
        <w:r w:rsidR="00763E78">
          <w:rPr>
            <w:noProof/>
            <w:webHidden/>
          </w:rPr>
          <w:fldChar w:fldCharType="begin"/>
        </w:r>
        <w:r w:rsidR="00763E78">
          <w:rPr>
            <w:noProof/>
            <w:webHidden/>
          </w:rPr>
          <w:instrText xml:space="preserve"> PAGEREF _Toc74723234 \h </w:instrText>
        </w:r>
        <w:r w:rsidR="00763E78">
          <w:rPr>
            <w:noProof/>
            <w:webHidden/>
          </w:rPr>
        </w:r>
        <w:r w:rsidR="00763E78">
          <w:rPr>
            <w:noProof/>
            <w:webHidden/>
          </w:rPr>
          <w:fldChar w:fldCharType="separate"/>
        </w:r>
        <w:r w:rsidR="00763E78">
          <w:rPr>
            <w:noProof/>
            <w:webHidden/>
          </w:rPr>
          <w:t>11</w:t>
        </w:r>
        <w:r w:rsidR="00763E78">
          <w:rPr>
            <w:noProof/>
            <w:webHidden/>
          </w:rPr>
          <w:fldChar w:fldCharType="end"/>
        </w:r>
      </w:hyperlink>
    </w:p>
    <w:p w:rsidRPr="00B73B7D" w:rsidR="00763E78" w:rsidRDefault="00DC529D" w14:paraId="7EAA84AA" w14:textId="162EA153">
      <w:pPr>
        <w:pStyle w:val="TOC2"/>
        <w:tabs>
          <w:tab w:val="right" w:leader="dot" w:pos="9350"/>
        </w:tabs>
        <w:rPr>
          <w:noProof/>
          <w:sz w:val="22"/>
          <w:szCs w:val="22"/>
        </w:rPr>
      </w:pPr>
      <w:hyperlink w:history="1" w:anchor="_Toc74723235">
        <w:r w:rsidRPr="00537D09" w:rsidR="00763E78">
          <w:rPr>
            <w:rStyle w:val="Hyperlink"/>
            <w:noProof/>
          </w:rPr>
          <w:t>A14. Annualized Cost to the Government</w:t>
        </w:r>
        <w:r w:rsidR="00763E78">
          <w:rPr>
            <w:noProof/>
            <w:webHidden/>
          </w:rPr>
          <w:tab/>
        </w:r>
        <w:r w:rsidR="00763E78">
          <w:rPr>
            <w:noProof/>
            <w:webHidden/>
          </w:rPr>
          <w:fldChar w:fldCharType="begin"/>
        </w:r>
        <w:r w:rsidR="00763E78">
          <w:rPr>
            <w:noProof/>
            <w:webHidden/>
          </w:rPr>
          <w:instrText xml:space="preserve"> PAGEREF _Toc74723235 \h </w:instrText>
        </w:r>
        <w:r w:rsidR="00763E78">
          <w:rPr>
            <w:noProof/>
            <w:webHidden/>
          </w:rPr>
        </w:r>
        <w:r w:rsidR="00763E78">
          <w:rPr>
            <w:noProof/>
            <w:webHidden/>
          </w:rPr>
          <w:fldChar w:fldCharType="separate"/>
        </w:r>
        <w:r w:rsidR="00763E78">
          <w:rPr>
            <w:noProof/>
            <w:webHidden/>
          </w:rPr>
          <w:t>11</w:t>
        </w:r>
        <w:r w:rsidR="00763E78">
          <w:rPr>
            <w:noProof/>
            <w:webHidden/>
          </w:rPr>
          <w:fldChar w:fldCharType="end"/>
        </w:r>
      </w:hyperlink>
    </w:p>
    <w:p w:rsidRPr="00B73B7D" w:rsidR="00763E78" w:rsidRDefault="00DC529D" w14:paraId="6EB06FD5" w14:textId="1FAD20B7">
      <w:pPr>
        <w:pStyle w:val="TOC2"/>
        <w:tabs>
          <w:tab w:val="right" w:leader="dot" w:pos="9350"/>
        </w:tabs>
        <w:rPr>
          <w:noProof/>
          <w:sz w:val="22"/>
          <w:szCs w:val="22"/>
        </w:rPr>
      </w:pPr>
      <w:hyperlink w:history="1" w:anchor="_Toc74723236">
        <w:r w:rsidRPr="00537D09" w:rsidR="00763E78">
          <w:rPr>
            <w:rStyle w:val="Hyperlink"/>
            <w:noProof/>
          </w:rPr>
          <w:t>A15. Explanation for Program Changes or Adjustments</w:t>
        </w:r>
        <w:r w:rsidR="00763E78">
          <w:rPr>
            <w:noProof/>
            <w:webHidden/>
          </w:rPr>
          <w:tab/>
        </w:r>
        <w:r w:rsidR="00763E78">
          <w:rPr>
            <w:noProof/>
            <w:webHidden/>
          </w:rPr>
          <w:fldChar w:fldCharType="begin"/>
        </w:r>
        <w:r w:rsidR="00763E78">
          <w:rPr>
            <w:noProof/>
            <w:webHidden/>
          </w:rPr>
          <w:instrText xml:space="preserve"> PAGEREF _Toc74723236 \h </w:instrText>
        </w:r>
        <w:r w:rsidR="00763E78">
          <w:rPr>
            <w:noProof/>
            <w:webHidden/>
          </w:rPr>
        </w:r>
        <w:r w:rsidR="00763E78">
          <w:rPr>
            <w:noProof/>
            <w:webHidden/>
          </w:rPr>
          <w:fldChar w:fldCharType="separate"/>
        </w:r>
        <w:r w:rsidR="00763E78">
          <w:rPr>
            <w:noProof/>
            <w:webHidden/>
          </w:rPr>
          <w:t>11</w:t>
        </w:r>
        <w:r w:rsidR="00763E78">
          <w:rPr>
            <w:noProof/>
            <w:webHidden/>
          </w:rPr>
          <w:fldChar w:fldCharType="end"/>
        </w:r>
      </w:hyperlink>
    </w:p>
    <w:p w:rsidRPr="00B73B7D" w:rsidR="00763E78" w:rsidRDefault="00DC529D" w14:paraId="01BF24CF" w14:textId="35DCC596">
      <w:pPr>
        <w:pStyle w:val="TOC2"/>
        <w:tabs>
          <w:tab w:val="right" w:leader="dot" w:pos="9350"/>
        </w:tabs>
        <w:rPr>
          <w:noProof/>
          <w:sz w:val="22"/>
          <w:szCs w:val="22"/>
        </w:rPr>
      </w:pPr>
      <w:hyperlink w:history="1" w:anchor="_Toc74723237">
        <w:r w:rsidRPr="00537D09" w:rsidR="00763E78">
          <w:rPr>
            <w:rStyle w:val="Hyperlink"/>
            <w:noProof/>
          </w:rPr>
          <w:t>A16. Plans for Tabulation and Publication and Project Time Schedule</w:t>
        </w:r>
        <w:r w:rsidR="00763E78">
          <w:rPr>
            <w:noProof/>
            <w:webHidden/>
          </w:rPr>
          <w:tab/>
        </w:r>
        <w:r w:rsidR="00763E78">
          <w:rPr>
            <w:noProof/>
            <w:webHidden/>
          </w:rPr>
          <w:fldChar w:fldCharType="begin"/>
        </w:r>
        <w:r w:rsidR="00763E78">
          <w:rPr>
            <w:noProof/>
            <w:webHidden/>
          </w:rPr>
          <w:instrText xml:space="preserve"> PAGEREF _Toc74723237 \h </w:instrText>
        </w:r>
        <w:r w:rsidR="00763E78">
          <w:rPr>
            <w:noProof/>
            <w:webHidden/>
          </w:rPr>
        </w:r>
        <w:r w:rsidR="00763E78">
          <w:rPr>
            <w:noProof/>
            <w:webHidden/>
          </w:rPr>
          <w:fldChar w:fldCharType="separate"/>
        </w:r>
        <w:r w:rsidR="00763E78">
          <w:rPr>
            <w:noProof/>
            <w:webHidden/>
          </w:rPr>
          <w:t>12</w:t>
        </w:r>
        <w:r w:rsidR="00763E78">
          <w:rPr>
            <w:noProof/>
            <w:webHidden/>
          </w:rPr>
          <w:fldChar w:fldCharType="end"/>
        </w:r>
      </w:hyperlink>
    </w:p>
    <w:p w:rsidRPr="00B73B7D" w:rsidR="00763E78" w:rsidRDefault="00DC529D" w14:paraId="1CF3D85E" w14:textId="0146BF9F">
      <w:pPr>
        <w:pStyle w:val="TOC2"/>
        <w:tabs>
          <w:tab w:val="right" w:leader="dot" w:pos="9350"/>
        </w:tabs>
        <w:rPr>
          <w:noProof/>
          <w:sz w:val="22"/>
          <w:szCs w:val="22"/>
        </w:rPr>
      </w:pPr>
      <w:hyperlink w:history="1" w:anchor="_Toc74723238">
        <w:r w:rsidRPr="00537D09" w:rsidR="00763E78">
          <w:rPr>
            <w:rStyle w:val="Hyperlink"/>
            <w:noProof/>
          </w:rPr>
          <w:t>A17. Reason(s) Display of OMB Expiration Date Is Inappropriate</w:t>
        </w:r>
        <w:r w:rsidR="00763E78">
          <w:rPr>
            <w:noProof/>
            <w:webHidden/>
          </w:rPr>
          <w:tab/>
        </w:r>
        <w:r w:rsidR="00763E78">
          <w:rPr>
            <w:noProof/>
            <w:webHidden/>
          </w:rPr>
          <w:fldChar w:fldCharType="begin"/>
        </w:r>
        <w:r w:rsidR="00763E78">
          <w:rPr>
            <w:noProof/>
            <w:webHidden/>
          </w:rPr>
          <w:instrText xml:space="preserve"> PAGEREF _Toc74723238 \h </w:instrText>
        </w:r>
        <w:r w:rsidR="00763E78">
          <w:rPr>
            <w:noProof/>
            <w:webHidden/>
          </w:rPr>
        </w:r>
        <w:r w:rsidR="00763E78">
          <w:rPr>
            <w:noProof/>
            <w:webHidden/>
          </w:rPr>
          <w:fldChar w:fldCharType="separate"/>
        </w:r>
        <w:r w:rsidR="00763E78">
          <w:rPr>
            <w:noProof/>
            <w:webHidden/>
          </w:rPr>
          <w:t>12</w:t>
        </w:r>
        <w:r w:rsidR="00763E78">
          <w:rPr>
            <w:noProof/>
            <w:webHidden/>
          </w:rPr>
          <w:fldChar w:fldCharType="end"/>
        </w:r>
      </w:hyperlink>
    </w:p>
    <w:p w:rsidR="00763E78" w:rsidRDefault="00DC529D" w14:paraId="51C04659" w14:textId="4799EB9C">
      <w:pPr>
        <w:pStyle w:val="TOC2"/>
        <w:tabs>
          <w:tab w:val="right" w:leader="dot" w:pos="9350"/>
        </w:tabs>
        <w:rPr>
          <w:rStyle w:val="Hyperlink"/>
          <w:noProof/>
        </w:rPr>
      </w:pPr>
      <w:hyperlink w:history="1" w:anchor="_Toc74723239">
        <w:r w:rsidRPr="00537D09" w:rsidR="00763E78">
          <w:rPr>
            <w:rStyle w:val="Hyperlink"/>
            <w:noProof/>
          </w:rPr>
          <w:t>A18. Exemptions to Certification for Paperwork Reduction Act Submissions</w:t>
        </w:r>
        <w:r w:rsidR="00763E78">
          <w:rPr>
            <w:noProof/>
            <w:webHidden/>
          </w:rPr>
          <w:tab/>
        </w:r>
        <w:r w:rsidR="00763E78">
          <w:rPr>
            <w:noProof/>
            <w:webHidden/>
          </w:rPr>
          <w:fldChar w:fldCharType="begin"/>
        </w:r>
        <w:r w:rsidR="00763E78">
          <w:rPr>
            <w:noProof/>
            <w:webHidden/>
          </w:rPr>
          <w:instrText xml:space="preserve"> PAGEREF _Toc74723239 \h </w:instrText>
        </w:r>
        <w:r w:rsidR="00763E78">
          <w:rPr>
            <w:noProof/>
            <w:webHidden/>
          </w:rPr>
        </w:r>
        <w:r w:rsidR="00763E78">
          <w:rPr>
            <w:noProof/>
            <w:webHidden/>
          </w:rPr>
          <w:fldChar w:fldCharType="separate"/>
        </w:r>
        <w:r w:rsidR="00763E78">
          <w:rPr>
            <w:noProof/>
            <w:webHidden/>
          </w:rPr>
          <w:t>12</w:t>
        </w:r>
        <w:r w:rsidR="00763E78">
          <w:rPr>
            <w:noProof/>
            <w:webHidden/>
          </w:rPr>
          <w:fldChar w:fldCharType="end"/>
        </w:r>
      </w:hyperlink>
    </w:p>
    <w:p w:rsidRPr="00B73B7D" w:rsidR="002923C9" w:rsidP="002923C9" w:rsidRDefault="002923C9" w14:paraId="76F0A160" w14:textId="77777777"/>
    <w:p w:rsidRPr="00B73B7D" w:rsidR="00763E78" w:rsidRDefault="00DC529D" w14:paraId="585797A7" w14:textId="44227216">
      <w:pPr>
        <w:pStyle w:val="TOC1"/>
        <w:tabs>
          <w:tab w:val="right" w:leader="dot" w:pos="9350"/>
        </w:tabs>
        <w:rPr>
          <w:noProof/>
          <w:sz w:val="22"/>
          <w:szCs w:val="22"/>
        </w:rPr>
      </w:pPr>
      <w:hyperlink w:history="1" w:anchor="_Toc74723240">
        <w:r w:rsidRPr="003457D5" w:rsidR="003457D5">
          <w:rPr>
            <w:rStyle w:val="Hyperlink"/>
            <w:b/>
            <w:bCs/>
            <w:noProof/>
          </w:rPr>
          <w:t>R</w:t>
        </w:r>
        <w:r w:rsidRPr="003457D5" w:rsidR="00763E78">
          <w:rPr>
            <w:rStyle w:val="Hyperlink"/>
            <w:b/>
            <w:bCs/>
            <w:noProof/>
          </w:rPr>
          <w:t>eferences</w:t>
        </w:r>
        <w:r w:rsidR="00763E78">
          <w:rPr>
            <w:noProof/>
            <w:webHidden/>
          </w:rPr>
          <w:tab/>
        </w:r>
        <w:r w:rsidR="00763E78">
          <w:rPr>
            <w:noProof/>
            <w:webHidden/>
          </w:rPr>
          <w:fldChar w:fldCharType="begin"/>
        </w:r>
        <w:r w:rsidR="00763E78">
          <w:rPr>
            <w:noProof/>
            <w:webHidden/>
          </w:rPr>
          <w:instrText xml:space="preserve"> PAGEREF _Toc74723240 \h </w:instrText>
        </w:r>
        <w:r w:rsidR="00763E78">
          <w:rPr>
            <w:noProof/>
            <w:webHidden/>
          </w:rPr>
        </w:r>
        <w:r w:rsidR="00763E78">
          <w:rPr>
            <w:noProof/>
            <w:webHidden/>
          </w:rPr>
          <w:fldChar w:fldCharType="separate"/>
        </w:r>
        <w:r w:rsidR="00763E78">
          <w:rPr>
            <w:noProof/>
            <w:webHidden/>
          </w:rPr>
          <w:t>13</w:t>
        </w:r>
        <w:r w:rsidR="00763E78">
          <w:rPr>
            <w:noProof/>
            <w:webHidden/>
          </w:rPr>
          <w:fldChar w:fldCharType="end"/>
        </w:r>
      </w:hyperlink>
    </w:p>
    <w:p w:rsidR="00264D72" w:rsidRDefault="00264D72" w14:paraId="10D0F90B" w14:textId="3361BAE9">
      <w:r>
        <w:rPr>
          <w:b/>
          <w:bCs/>
          <w:noProof/>
        </w:rPr>
        <w:fldChar w:fldCharType="end"/>
      </w:r>
    </w:p>
    <w:p w:rsidR="00CE0760" w:rsidP="00CE0760" w:rsidRDefault="002923C9" w14:paraId="1662CCD8" w14:textId="77777777">
      <w:pPr>
        <w:tabs>
          <w:tab w:val="left" w:pos="540"/>
          <w:tab w:val="left" w:pos="648"/>
          <w:tab w:val="left" w:pos="900"/>
          <w:tab w:val="right" w:leader="dot" w:pos="9360"/>
        </w:tabs>
        <w:rPr>
          <w:rFonts w:cs="Calibri"/>
          <w:b/>
          <w:color w:val="000000"/>
        </w:rPr>
      </w:pPr>
      <w:r w:rsidRPr="00275459">
        <w:rPr>
          <w:rFonts w:cs="Calibri"/>
          <w:b/>
          <w:color w:val="000000"/>
        </w:rPr>
        <w:t>List of Tables</w:t>
      </w:r>
    </w:p>
    <w:p w:rsidR="00C06638" w:rsidP="002A1E85" w:rsidRDefault="00C06638" w14:paraId="30A9EF6A" w14:textId="433B907F">
      <w:pPr>
        <w:ind w:left="548" w:hanging="278"/>
        <w:rPr>
          <w:rFonts w:cs="Calibri"/>
          <w:color w:val="000000"/>
        </w:rPr>
      </w:pPr>
      <w:r w:rsidRPr="00C06638">
        <w:rPr>
          <w:rFonts w:cs="Calibri"/>
          <w:color w:val="000000"/>
        </w:rPr>
        <w:t>Table A8-A. Consultations within DCPC</w:t>
      </w:r>
      <w:r w:rsidR="00B76C30">
        <w:rPr>
          <w:rFonts w:cs="Calibri"/>
          <w:color w:val="000000"/>
        </w:rPr>
        <w:t>………………………………………………………………………………</w:t>
      </w:r>
      <w:r w:rsidR="005D3C77">
        <w:rPr>
          <w:rFonts w:cs="Calibri"/>
          <w:color w:val="000000"/>
        </w:rPr>
        <w:t>…6</w:t>
      </w:r>
    </w:p>
    <w:p w:rsidRPr="00CE0760" w:rsidR="002923C9" w:rsidP="000B5C66" w:rsidRDefault="002923C9" w14:paraId="4F1A3A5D" w14:textId="2BE7A001">
      <w:pPr>
        <w:ind w:left="548" w:hanging="274"/>
        <w:rPr>
          <w:rFonts w:cs="Calibri"/>
          <w:b/>
          <w:color w:val="000000"/>
        </w:rPr>
      </w:pPr>
      <w:r w:rsidRPr="00275459">
        <w:rPr>
          <w:rFonts w:cs="Calibri"/>
          <w:color w:val="000000"/>
        </w:rPr>
        <w:t>Table A12-A: Estimated Annualized Response Burden for each Method……………</w:t>
      </w:r>
      <w:r w:rsidR="005D3C77">
        <w:rPr>
          <w:rFonts w:cs="Calibri"/>
          <w:color w:val="000000"/>
        </w:rPr>
        <w:t>…………….</w:t>
      </w:r>
      <w:r w:rsidRPr="00275459">
        <w:rPr>
          <w:rFonts w:cs="Calibri"/>
          <w:color w:val="000000"/>
        </w:rPr>
        <w:t>……</w:t>
      </w:r>
      <w:r w:rsidR="005D3C77">
        <w:rPr>
          <w:rFonts w:cs="Calibri"/>
          <w:color w:val="000000"/>
        </w:rPr>
        <w:t>9</w:t>
      </w:r>
    </w:p>
    <w:p w:rsidRPr="00275459" w:rsidR="002923C9" w:rsidP="000B5C66" w:rsidRDefault="002923C9" w14:paraId="3C3DD136" w14:textId="29FDB5A1">
      <w:pPr>
        <w:ind w:left="548" w:hanging="274"/>
        <w:rPr>
          <w:rFonts w:cs="Calibri"/>
          <w:color w:val="000000"/>
        </w:rPr>
      </w:pPr>
      <w:r w:rsidRPr="00275459">
        <w:rPr>
          <w:rFonts w:cs="Calibri"/>
          <w:color w:val="000000"/>
        </w:rPr>
        <w:t>Table A12-B: Estimated Annualized Cost to Respondents……………………………</w:t>
      </w:r>
      <w:r w:rsidR="003457D5">
        <w:rPr>
          <w:rFonts w:cs="Calibri"/>
          <w:color w:val="000000"/>
        </w:rPr>
        <w:t>…………………..</w:t>
      </w:r>
      <w:r w:rsidRPr="00275459">
        <w:rPr>
          <w:rFonts w:cs="Calibri"/>
          <w:color w:val="000000"/>
        </w:rPr>
        <w:t>...</w:t>
      </w:r>
      <w:r w:rsidR="003457D5">
        <w:rPr>
          <w:rFonts w:cs="Calibri"/>
          <w:color w:val="000000"/>
        </w:rPr>
        <w:t>10</w:t>
      </w:r>
    </w:p>
    <w:p w:rsidR="002923C9" w:rsidP="002923C9" w:rsidRDefault="002923C9" w14:paraId="2A8FCCC6" w14:textId="77777777">
      <w:pPr>
        <w:tabs>
          <w:tab w:val="left" w:pos="540"/>
          <w:tab w:val="left" w:pos="648"/>
          <w:tab w:val="left" w:pos="900"/>
          <w:tab w:val="right" w:leader="dot" w:pos="9360"/>
        </w:tabs>
        <w:rPr>
          <w:rFonts w:cs="Calibri"/>
          <w:color w:val="000000"/>
        </w:rPr>
      </w:pPr>
    </w:p>
    <w:p w:rsidRPr="00275459" w:rsidR="002923C9" w:rsidP="000B5C66" w:rsidRDefault="002923C9" w14:paraId="69AF9EB2" w14:textId="77777777">
      <w:pPr>
        <w:rPr>
          <w:rFonts w:cs="Calibri"/>
          <w:b/>
          <w:color w:val="000000"/>
        </w:rPr>
      </w:pPr>
      <w:bookmarkStart w:name="_Hlk83972935" w:id="6"/>
      <w:r w:rsidRPr="00275459">
        <w:rPr>
          <w:rFonts w:cs="Calibri"/>
          <w:b/>
          <w:color w:val="000000"/>
        </w:rPr>
        <w:t>List of Appendices</w:t>
      </w:r>
    </w:p>
    <w:p w:rsidRPr="00901D5E" w:rsidR="002923C9" w:rsidP="00CA0D52" w:rsidRDefault="002923C9" w14:paraId="1167F98B" w14:textId="77777777">
      <w:pPr>
        <w:ind w:left="180"/>
      </w:pPr>
      <w:r w:rsidRPr="00901D5E">
        <w:t>A1.</w:t>
      </w:r>
      <w:r w:rsidRPr="00901D5E">
        <w:tab/>
        <w:t>Legislative Authority: Public Health Service Act, 42 U.S.C. 241</w:t>
      </w:r>
    </w:p>
    <w:p w:rsidR="002923C9" w:rsidP="00E61A37" w:rsidRDefault="002923C9" w14:paraId="5CDD0C08" w14:textId="7E244A2C">
      <w:pPr>
        <w:ind w:left="187"/>
        <w:rPr>
          <w:rFonts w:cs="Calibri"/>
          <w:color w:val="000000"/>
        </w:rPr>
      </w:pPr>
      <w:r w:rsidRPr="00275459">
        <w:rPr>
          <w:rFonts w:cs="Calibri"/>
          <w:color w:val="000000"/>
        </w:rPr>
        <w:t>A2.</w:t>
      </w:r>
      <w:r w:rsidR="00E61A37">
        <w:rPr>
          <w:rFonts w:cs="Calibri"/>
          <w:color w:val="000000"/>
        </w:rPr>
        <w:tab/>
      </w:r>
      <w:r w:rsidR="00154535">
        <w:rPr>
          <w:rFonts w:cs="Calibri"/>
          <w:color w:val="000000"/>
        </w:rPr>
        <w:t>T</w:t>
      </w:r>
      <w:r w:rsidRPr="00154535" w:rsidR="00154535">
        <w:rPr>
          <w:rFonts w:cs="Calibri"/>
          <w:color w:val="000000"/>
        </w:rPr>
        <w:t>he Gynecologic Cancer Education and Awareness Act of 2005</w:t>
      </w:r>
    </w:p>
    <w:p w:rsidRPr="00275459" w:rsidR="00374DAF" w:rsidP="00E61A37" w:rsidRDefault="00374DAF" w14:paraId="0CE2E235" w14:textId="7FDD8E60">
      <w:pPr>
        <w:ind w:left="187"/>
        <w:rPr>
          <w:rFonts w:cs="Calibri"/>
          <w:color w:val="000000"/>
        </w:rPr>
      </w:pPr>
      <w:r>
        <w:rPr>
          <w:rFonts w:cs="Calibri"/>
          <w:color w:val="000000"/>
        </w:rPr>
        <w:t>A3.</w:t>
      </w:r>
      <w:r>
        <w:rPr>
          <w:rFonts w:cs="Calibri"/>
          <w:color w:val="000000"/>
        </w:rPr>
        <w:tab/>
      </w:r>
      <w:r w:rsidR="00154535">
        <w:t>Education and Awareness Requires Learning Young (EARLY) Act</w:t>
      </w:r>
    </w:p>
    <w:p w:rsidRPr="00275459" w:rsidR="002923C9" w:rsidP="00E61A37" w:rsidRDefault="002923C9" w14:paraId="27237423" w14:textId="03B1EF67">
      <w:pPr>
        <w:ind w:left="187"/>
        <w:rPr>
          <w:rFonts w:cs="Calibri"/>
          <w:color w:val="000000"/>
        </w:rPr>
      </w:pPr>
      <w:r w:rsidRPr="00275459">
        <w:rPr>
          <w:rFonts w:cs="Calibri"/>
          <w:color w:val="000000"/>
        </w:rPr>
        <w:t>B.</w:t>
      </w:r>
      <w:r w:rsidRPr="00275459">
        <w:rPr>
          <w:rFonts w:cs="Calibri"/>
          <w:color w:val="000000"/>
        </w:rPr>
        <w:tab/>
        <w:t>60-Day Federal Register Notice</w:t>
      </w:r>
    </w:p>
    <w:p w:rsidRPr="00275459" w:rsidR="002923C9" w:rsidP="00E61A37" w:rsidRDefault="002923C9" w14:paraId="162B2567" w14:textId="3EB38949">
      <w:pPr>
        <w:ind w:left="187"/>
        <w:rPr>
          <w:rFonts w:cs="Calibri"/>
          <w:color w:val="000000"/>
        </w:rPr>
      </w:pPr>
      <w:r w:rsidRPr="00275459">
        <w:rPr>
          <w:rFonts w:cs="Calibri"/>
          <w:color w:val="000000"/>
        </w:rPr>
        <w:t>C</w:t>
      </w:r>
      <w:r w:rsidR="00154535">
        <w:rPr>
          <w:rFonts w:cs="Calibri"/>
          <w:color w:val="000000"/>
        </w:rPr>
        <w:t>1</w:t>
      </w:r>
      <w:r w:rsidRPr="00275459">
        <w:rPr>
          <w:rFonts w:cs="Calibri"/>
          <w:color w:val="000000"/>
        </w:rPr>
        <w:t>.</w:t>
      </w:r>
      <w:r w:rsidRPr="00275459">
        <w:rPr>
          <w:rFonts w:cs="Calibri"/>
          <w:color w:val="000000"/>
        </w:rPr>
        <w:tab/>
        <w:t xml:space="preserve">Example </w:t>
      </w:r>
      <w:r w:rsidR="00B73616">
        <w:rPr>
          <w:rFonts w:cs="Calibri"/>
          <w:color w:val="000000"/>
        </w:rPr>
        <w:t xml:space="preserve">of a </w:t>
      </w:r>
      <w:r w:rsidRPr="00275459">
        <w:rPr>
          <w:rFonts w:cs="Calibri"/>
          <w:color w:val="000000"/>
        </w:rPr>
        <w:t>Screening Form</w:t>
      </w:r>
    </w:p>
    <w:p w:rsidRPr="00275459" w:rsidR="002923C9" w:rsidP="00E61A37" w:rsidRDefault="00154535" w14:paraId="1046AD39" w14:textId="7428CBA0">
      <w:pPr>
        <w:ind w:left="187"/>
        <w:rPr>
          <w:rFonts w:cs="Calibri"/>
          <w:color w:val="000000"/>
        </w:rPr>
      </w:pPr>
      <w:r>
        <w:rPr>
          <w:rFonts w:cs="Calibri"/>
          <w:color w:val="000000"/>
        </w:rPr>
        <w:t>C2</w:t>
      </w:r>
      <w:r w:rsidRPr="00275459" w:rsidR="002923C9">
        <w:rPr>
          <w:rFonts w:cs="Calibri"/>
          <w:color w:val="000000"/>
        </w:rPr>
        <w:t>.</w:t>
      </w:r>
      <w:r w:rsidRPr="00275459" w:rsidR="002923C9">
        <w:rPr>
          <w:rFonts w:cs="Calibri"/>
          <w:color w:val="000000"/>
        </w:rPr>
        <w:tab/>
        <w:t xml:space="preserve">Example </w:t>
      </w:r>
      <w:r w:rsidR="00B8700F">
        <w:rPr>
          <w:rFonts w:cs="Calibri"/>
          <w:color w:val="000000"/>
        </w:rPr>
        <w:t xml:space="preserve">of a </w:t>
      </w:r>
      <w:r w:rsidRPr="00275459" w:rsidR="002923C9">
        <w:rPr>
          <w:rFonts w:cs="Calibri"/>
          <w:color w:val="000000"/>
        </w:rPr>
        <w:t>Consent Form</w:t>
      </w:r>
    </w:p>
    <w:p w:rsidR="002923C9" w:rsidP="00E61A37" w:rsidRDefault="00154535" w14:paraId="02701E28" w14:textId="4FDA0EDF">
      <w:pPr>
        <w:ind w:left="187"/>
        <w:rPr>
          <w:rFonts w:cs="Calibri"/>
          <w:color w:val="000000"/>
        </w:rPr>
      </w:pPr>
      <w:r>
        <w:rPr>
          <w:rFonts w:cs="Calibri"/>
          <w:color w:val="000000"/>
        </w:rPr>
        <w:t>C3</w:t>
      </w:r>
      <w:r w:rsidRPr="00275459" w:rsidR="002923C9">
        <w:rPr>
          <w:rFonts w:cs="Calibri"/>
          <w:color w:val="000000"/>
        </w:rPr>
        <w:t>.</w:t>
      </w:r>
      <w:r w:rsidR="004F3EDC">
        <w:rPr>
          <w:rFonts w:cs="Calibri"/>
          <w:color w:val="000000"/>
        </w:rPr>
        <w:tab/>
      </w:r>
      <w:r w:rsidRPr="00275459" w:rsidR="002923C9">
        <w:rPr>
          <w:rFonts w:cs="Calibri"/>
          <w:color w:val="000000"/>
        </w:rPr>
        <w:t xml:space="preserve">Example </w:t>
      </w:r>
      <w:r w:rsidR="00B73616">
        <w:rPr>
          <w:rFonts w:cs="Calibri"/>
          <w:color w:val="000000"/>
        </w:rPr>
        <w:t>of a</w:t>
      </w:r>
      <w:r w:rsidRPr="00275459" w:rsidR="002923C9">
        <w:rPr>
          <w:rFonts w:cs="Calibri"/>
          <w:color w:val="000000"/>
        </w:rPr>
        <w:t xml:space="preserve"> Discussion Guide</w:t>
      </w:r>
    </w:p>
    <w:p w:rsidR="00154535" w:rsidP="00E61A37" w:rsidRDefault="00154535" w14:paraId="6510FFDD" w14:textId="32399544">
      <w:pPr>
        <w:ind w:left="187"/>
        <w:rPr>
          <w:rFonts w:cs="Calibri"/>
          <w:color w:val="000000"/>
        </w:rPr>
      </w:pPr>
      <w:r>
        <w:rPr>
          <w:rFonts w:cs="Calibri"/>
          <w:color w:val="000000"/>
        </w:rPr>
        <w:t>D.</w:t>
      </w:r>
      <w:r>
        <w:rPr>
          <w:rFonts w:cs="Calibri"/>
          <w:color w:val="000000"/>
        </w:rPr>
        <w:tab/>
      </w:r>
      <w:r w:rsidRPr="00207368" w:rsidR="00207368">
        <w:rPr>
          <w:rFonts w:cs="Calibri"/>
          <w:color w:val="000000"/>
        </w:rPr>
        <w:t>Health Messages for DCPC’s Current Campaigns</w:t>
      </w:r>
    </w:p>
    <w:bookmarkEnd w:id="6"/>
    <w:p w:rsidR="002A1E85" w:rsidP="002923C9" w:rsidRDefault="002A1E85" w14:paraId="0EC1FB0F" w14:textId="77777777">
      <w:pPr>
        <w:tabs>
          <w:tab w:val="left" w:pos="540"/>
          <w:tab w:val="left" w:pos="1530"/>
        </w:tabs>
        <w:ind w:left="1440" w:hanging="540"/>
        <w:rPr>
          <w:rFonts w:cs="Calibri"/>
          <w:color w:val="000000"/>
        </w:rPr>
      </w:pPr>
    </w:p>
    <w:p w:rsidRPr="00275459" w:rsidR="00EC62E7" w:rsidP="00EC62E7" w:rsidRDefault="00EC62E7" w14:paraId="3F922A04" w14:textId="22418BB9">
      <w:pPr>
        <w:tabs>
          <w:tab w:val="left" w:pos="540"/>
          <w:tab w:val="left" w:pos="900"/>
          <w:tab w:val="left" w:pos="1440"/>
        </w:tabs>
        <w:rPr>
          <w:rFonts w:cs="Calibri"/>
          <w:color w:val="000000"/>
        </w:rPr>
        <w:sectPr w:rsidRPr="00275459" w:rsidR="00EC62E7" w:rsidSect="00DD3FBF">
          <w:headerReference w:type="even" r:id="rId8"/>
          <w:headerReference w:type="default" r:id="rId9"/>
          <w:footerReference w:type="even" r:id="rId10"/>
          <w:footerReference w:type="default" r:id="rId11"/>
          <w:headerReference w:type="first" r:id="rId12"/>
          <w:footerReference w:type="first" r:id="rId13"/>
          <w:pgSz w:w="12240" w:h="15840" w:code="1"/>
          <w:pgMar w:top="1080" w:right="1440" w:bottom="1800" w:left="1440" w:header="720" w:footer="720" w:gutter="0"/>
          <w:pgNumType w:start="1"/>
          <w:cols w:space="720"/>
          <w:titlePg/>
        </w:sectPr>
      </w:pPr>
    </w:p>
    <w:p w:rsidRPr="00275459" w:rsidR="008460E6" w:rsidP="008460E6" w:rsidRDefault="008460E6" w14:paraId="6562A734" w14:textId="77777777">
      <w:pPr>
        <w:pBdr>
          <w:top w:val="single" w:color="auto" w:sz="4" w:space="1"/>
          <w:left w:val="single" w:color="auto" w:sz="4" w:space="4"/>
          <w:bottom w:val="single" w:color="auto" w:sz="4" w:space="1"/>
          <w:right w:val="single" w:color="auto" w:sz="4" w:space="4"/>
        </w:pBdr>
        <w:rPr>
          <w:rFonts w:cs="Calibri"/>
          <w:color w:val="000000"/>
        </w:rPr>
      </w:pPr>
    </w:p>
    <w:p w:rsidRPr="00275459" w:rsidR="008460E6" w:rsidP="008460E6" w:rsidRDefault="008460E6" w14:paraId="14B5683C" w14:textId="0135921F">
      <w:pPr>
        <w:pBdr>
          <w:top w:val="single" w:color="auto" w:sz="4" w:space="1"/>
          <w:left w:val="single" w:color="auto" w:sz="4" w:space="4"/>
          <w:bottom w:val="single" w:color="auto" w:sz="4" w:space="1"/>
          <w:right w:val="single" w:color="auto" w:sz="4" w:space="4"/>
        </w:pBdr>
        <w:rPr>
          <w:rFonts w:cs="Calibri"/>
          <w:color w:val="000000"/>
        </w:rPr>
      </w:pPr>
      <w:r w:rsidRPr="00275459">
        <w:rPr>
          <w:rFonts w:cs="Calibri"/>
          <w:b/>
          <w:color w:val="000000"/>
        </w:rPr>
        <w:t xml:space="preserve">Goal of the </w:t>
      </w:r>
      <w:r w:rsidRPr="00275459" w:rsidR="00211BEA">
        <w:rPr>
          <w:rFonts w:cs="Calibri"/>
          <w:b/>
          <w:color w:val="000000"/>
        </w:rPr>
        <w:t>project</w:t>
      </w:r>
      <w:r w:rsidRPr="00275459">
        <w:rPr>
          <w:rFonts w:cs="Calibri"/>
          <w:b/>
          <w:color w:val="000000"/>
        </w:rPr>
        <w:t>:</w:t>
      </w:r>
      <w:r w:rsidRPr="00275459">
        <w:rPr>
          <w:rFonts w:cs="Calibri"/>
          <w:color w:val="000000"/>
        </w:rPr>
        <w:t xml:space="preserve"> To plan, develop, and/or tailor cancer-related health messages and communication campaigns.</w:t>
      </w:r>
    </w:p>
    <w:p w:rsidRPr="00275459" w:rsidR="008460E6" w:rsidP="008460E6" w:rsidRDefault="008460E6" w14:paraId="0E6C8052" w14:textId="0A10A155">
      <w:pPr>
        <w:pBdr>
          <w:top w:val="single" w:color="auto" w:sz="4" w:space="1"/>
          <w:left w:val="single" w:color="auto" w:sz="4" w:space="4"/>
          <w:bottom w:val="single" w:color="auto" w:sz="4" w:space="1"/>
          <w:right w:val="single" w:color="auto" w:sz="4" w:space="4"/>
        </w:pBdr>
        <w:rPr>
          <w:rFonts w:cs="Calibri"/>
          <w:color w:val="000000"/>
        </w:rPr>
      </w:pPr>
      <w:r w:rsidRPr="00275459">
        <w:rPr>
          <w:rFonts w:cs="Calibri"/>
          <w:b/>
          <w:color w:val="000000"/>
        </w:rPr>
        <w:t>Intended use of the resulting data:</w:t>
      </w:r>
      <w:r w:rsidRPr="00275459">
        <w:rPr>
          <w:rFonts w:cs="Calibri"/>
          <w:color w:val="000000"/>
        </w:rPr>
        <w:t xml:space="preserve"> To design, produce, and disseminate cancer educational materials and information for the general public.</w:t>
      </w:r>
    </w:p>
    <w:p w:rsidRPr="00275459" w:rsidR="008460E6" w:rsidP="008460E6" w:rsidRDefault="008460E6" w14:paraId="738377F1" w14:textId="08AC992C">
      <w:pPr>
        <w:pBdr>
          <w:top w:val="single" w:color="auto" w:sz="4" w:space="1"/>
          <w:left w:val="single" w:color="auto" w:sz="4" w:space="4"/>
          <w:bottom w:val="single" w:color="auto" w:sz="4" w:space="1"/>
          <w:right w:val="single" w:color="auto" w:sz="4" w:space="4"/>
        </w:pBdr>
        <w:rPr>
          <w:rFonts w:cs="Calibri"/>
          <w:color w:val="000000"/>
        </w:rPr>
      </w:pPr>
      <w:r w:rsidRPr="00275459">
        <w:rPr>
          <w:rFonts w:cs="Calibri"/>
          <w:b/>
          <w:color w:val="000000"/>
        </w:rPr>
        <w:t>Methods to be used to collect data:</w:t>
      </w:r>
      <w:r w:rsidRPr="00275459">
        <w:rPr>
          <w:rFonts w:cs="Calibri"/>
          <w:color w:val="000000"/>
        </w:rPr>
        <w:t xml:space="preserve"> Focus groups</w:t>
      </w:r>
      <w:r w:rsidRPr="00275459" w:rsidR="00B506B2">
        <w:rPr>
          <w:rFonts w:cs="Calibri"/>
          <w:color w:val="000000"/>
        </w:rPr>
        <w:t>, in-depth interviews</w:t>
      </w:r>
      <w:r w:rsidRPr="00275459">
        <w:rPr>
          <w:rFonts w:cs="Calibri"/>
          <w:color w:val="000000"/>
        </w:rPr>
        <w:t>.</w:t>
      </w:r>
    </w:p>
    <w:p w:rsidRPr="00275459" w:rsidR="008460E6" w:rsidP="008460E6" w:rsidRDefault="008460E6" w14:paraId="159D548F" w14:textId="607CDCF0">
      <w:pPr>
        <w:pBdr>
          <w:top w:val="single" w:color="auto" w:sz="4" w:space="1"/>
          <w:left w:val="single" w:color="auto" w:sz="4" w:space="4"/>
          <w:bottom w:val="single" w:color="auto" w:sz="4" w:space="1"/>
          <w:right w:val="single" w:color="auto" w:sz="4" w:space="4"/>
        </w:pBdr>
        <w:rPr>
          <w:rFonts w:cs="Calibri"/>
          <w:color w:val="000000"/>
        </w:rPr>
      </w:pPr>
      <w:r w:rsidRPr="00275459">
        <w:rPr>
          <w:rFonts w:cs="Calibri"/>
          <w:b/>
          <w:color w:val="000000"/>
        </w:rPr>
        <w:t>The subpopulation to be studied:</w:t>
      </w:r>
      <w:r w:rsidRPr="00275459">
        <w:rPr>
          <w:rFonts w:cs="Calibri"/>
          <w:color w:val="000000"/>
        </w:rPr>
        <w:t xml:space="preserve"> General public.</w:t>
      </w:r>
    </w:p>
    <w:p w:rsidRPr="00275459" w:rsidR="008460E6" w:rsidP="008460E6" w:rsidRDefault="008460E6" w14:paraId="4FC1BD1A" w14:textId="43309549">
      <w:pPr>
        <w:pBdr>
          <w:top w:val="single" w:color="auto" w:sz="4" w:space="1"/>
          <w:left w:val="single" w:color="auto" w:sz="4" w:space="4"/>
          <w:bottom w:val="single" w:color="auto" w:sz="4" w:space="1"/>
          <w:right w:val="single" w:color="auto" w:sz="4" w:space="4"/>
        </w:pBdr>
        <w:rPr>
          <w:rFonts w:cs="Calibri"/>
          <w:color w:val="000000"/>
        </w:rPr>
      </w:pPr>
      <w:r w:rsidRPr="00275459">
        <w:rPr>
          <w:rFonts w:cs="Calibri"/>
          <w:b/>
          <w:color w:val="000000"/>
        </w:rPr>
        <w:t>How data will be analyzed:</w:t>
      </w:r>
      <w:r w:rsidRPr="00275459">
        <w:rPr>
          <w:rFonts w:cs="Calibri"/>
          <w:color w:val="000000"/>
        </w:rPr>
        <w:t xml:space="preserve"> Focus</w:t>
      </w:r>
      <w:r w:rsidRPr="00275459" w:rsidR="004F4613">
        <w:rPr>
          <w:rFonts w:cs="Calibri"/>
          <w:color w:val="000000"/>
        </w:rPr>
        <w:t>-</w:t>
      </w:r>
      <w:r w:rsidRPr="00275459">
        <w:rPr>
          <w:rFonts w:cs="Calibri"/>
          <w:color w:val="000000"/>
        </w:rPr>
        <w:t xml:space="preserve">group </w:t>
      </w:r>
      <w:r w:rsidRPr="00275459" w:rsidR="004F4613">
        <w:rPr>
          <w:rFonts w:cs="Calibri"/>
          <w:color w:val="000000"/>
        </w:rPr>
        <w:t xml:space="preserve">and in-depth </w:t>
      </w:r>
      <w:r w:rsidR="00D319C9">
        <w:rPr>
          <w:rFonts w:cs="Calibri"/>
          <w:color w:val="000000"/>
        </w:rPr>
        <w:t xml:space="preserve">interview </w:t>
      </w:r>
      <w:r w:rsidRPr="00275459">
        <w:rPr>
          <w:rFonts w:cs="Calibri"/>
          <w:color w:val="000000"/>
        </w:rPr>
        <w:t>methodology.</w:t>
      </w:r>
    </w:p>
    <w:p w:rsidRPr="00275459" w:rsidR="008460E6" w:rsidP="008460E6" w:rsidRDefault="008460E6" w14:paraId="56806F67" w14:textId="77777777">
      <w:pPr>
        <w:pBdr>
          <w:top w:val="single" w:color="auto" w:sz="4" w:space="1"/>
          <w:left w:val="single" w:color="auto" w:sz="4" w:space="4"/>
          <w:bottom w:val="single" w:color="auto" w:sz="4" w:space="1"/>
          <w:right w:val="single" w:color="auto" w:sz="4" w:space="4"/>
        </w:pBdr>
        <w:rPr>
          <w:rFonts w:cs="Calibri"/>
          <w:b/>
        </w:rPr>
      </w:pPr>
    </w:p>
    <w:p w:rsidRPr="00275459" w:rsidR="008460E6" w:rsidP="00852AB2" w:rsidRDefault="008460E6" w14:paraId="183E9DE8" w14:textId="77777777">
      <w:pPr>
        <w:rPr>
          <w:rFonts w:cs="Calibri"/>
          <w:b/>
          <w:color w:val="000000"/>
        </w:rPr>
      </w:pPr>
    </w:p>
    <w:p w:rsidRPr="00901D5E" w:rsidR="00DD3FBF" w:rsidP="004A4152" w:rsidRDefault="00DD3FBF" w14:paraId="77750817" w14:textId="737E2860">
      <w:pPr>
        <w:pStyle w:val="Heading1"/>
      </w:pPr>
      <w:bookmarkStart w:name="_Toc74723221" w:id="7"/>
      <w:r w:rsidRPr="00901D5E">
        <w:t>A. J</w:t>
      </w:r>
      <w:r w:rsidR="001166B3">
        <w:t>ustification</w:t>
      </w:r>
      <w:bookmarkEnd w:id="7"/>
    </w:p>
    <w:p w:rsidRPr="00275459" w:rsidR="000E5E63" w:rsidP="00DD3FBF" w:rsidRDefault="000E5E63" w14:paraId="37C30D7A" w14:textId="77777777">
      <w:pPr>
        <w:rPr>
          <w:rFonts w:cs="Calibri"/>
          <w:color w:val="000000"/>
        </w:rPr>
      </w:pPr>
    </w:p>
    <w:p w:rsidRPr="00901D5E" w:rsidR="000F5E2B" w:rsidP="00A81980" w:rsidRDefault="00DD3FBF" w14:paraId="460DBCF5" w14:textId="77777777">
      <w:pPr>
        <w:pStyle w:val="Heading2"/>
      </w:pPr>
      <w:bookmarkStart w:name="_Toc74723222" w:id="8"/>
      <w:r w:rsidRPr="00901D5E">
        <w:t>A1. Circumstances Making the Collection of Information Necessary</w:t>
      </w:r>
      <w:bookmarkEnd w:id="8"/>
    </w:p>
    <w:p w:rsidRPr="00275459" w:rsidR="00133E80" w:rsidP="00DD3FBF" w:rsidRDefault="00133E80" w14:paraId="1816CE03" w14:textId="77777777">
      <w:pPr>
        <w:rPr>
          <w:rFonts w:cs="Calibri"/>
          <w:color w:val="000000"/>
        </w:rPr>
      </w:pPr>
    </w:p>
    <w:p w:rsidRPr="00901D5E" w:rsidR="004A2388" w:rsidP="00230D0D" w:rsidRDefault="00DD3FBF" w14:paraId="0B80A713" w14:textId="15642180">
      <w:r w:rsidRPr="00901D5E">
        <w:t>The Centers for Disease Control and Prevention (CDC), Division of Cancer Prevention and Control</w:t>
      </w:r>
      <w:r w:rsidRPr="00901D5E" w:rsidR="004157B2">
        <w:t xml:space="preserve"> (DCPC)</w:t>
      </w:r>
      <w:r w:rsidRPr="00901D5E">
        <w:t>, request</w:t>
      </w:r>
      <w:r w:rsidRPr="00901D5E" w:rsidR="00D9621A">
        <w:t>s</w:t>
      </w:r>
      <w:r w:rsidRPr="00901D5E">
        <w:t xml:space="preserve"> </w:t>
      </w:r>
      <w:r w:rsidRPr="00901D5E" w:rsidR="00FE7626">
        <w:t xml:space="preserve">a three-year </w:t>
      </w:r>
      <w:r w:rsidRPr="00901D5E">
        <w:t>Office of Management and Budget (OMB)</w:t>
      </w:r>
      <w:r w:rsidRPr="00901D5E" w:rsidR="002420E3">
        <w:t xml:space="preserve"> </w:t>
      </w:r>
      <w:r w:rsidRPr="00901D5E" w:rsidR="00FE7626">
        <w:t xml:space="preserve">approval for an existing generic collection </w:t>
      </w:r>
      <w:r w:rsidRPr="00901D5E" w:rsidR="00D22001">
        <w:t xml:space="preserve">(OMB number 0920-0800, expires </w:t>
      </w:r>
      <w:r w:rsidR="00DE47BB">
        <w:t>10</w:t>
      </w:r>
      <w:r w:rsidRPr="00901D5E" w:rsidR="00D22001">
        <w:t>/3</w:t>
      </w:r>
      <w:r w:rsidR="00DE47BB">
        <w:t>1</w:t>
      </w:r>
      <w:r w:rsidRPr="00901D5E" w:rsidR="00D22001">
        <w:t xml:space="preserve">/2021) </w:t>
      </w:r>
      <w:r w:rsidRPr="00901D5E" w:rsidR="00FE7626">
        <w:t xml:space="preserve">with </w:t>
      </w:r>
      <w:r w:rsidR="00A03DB4">
        <w:t>reinstatement</w:t>
      </w:r>
      <w:r w:rsidR="00CA6ABE">
        <w:t>s</w:t>
      </w:r>
      <w:r w:rsidRPr="00901D5E" w:rsidR="004F4613">
        <w:t xml:space="preserve">. </w:t>
      </w:r>
      <w:r w:rsidRPr="00901D5E" w:rsidR="00CF6BC4">
        <w:t>As noted in the original application, the cancer burdens had evolved</w:t>
      </w:r>
      <w:r w:rsidRPr="00901D5E" w:rsidR="00AB54DC">
        <w:t>,</w:t>
      </w:r>
      <w:r w:rsidRPr="00901D5E" w:rsidR="00CF6BC4">
        <w:t xml:space="preserve"> priorities have shifted</w:t>
      </w:r>
      <w:r w:rsidRPr="00901D5E" w:rsidR="00AB54DC">
        <w:t>,</w:t>
      </w:r>
      <w:r w:rsidRPr="00901D5E" w:rsidR="00CF6BC4">
        <w:t xml:space="preserve"> and DCPC </w:t>
      </w:r>
      <w:r w:rsidRPr="00901D5E" w:rsidR="00FE7626">
        <w:t xml:space="preserve">has </w:t>
      </w:r>
      <w:r w:rsidRPr="00901D5E" w:rsidR="00CF6BC4">
        <w:t>engaged in additional communication campaign efforts</w:t>
      </w:r>
      <w:r w:rsidRPr="00901D5E" w:rsidR="009D224F">
        <w:t xml:space="preserve">, such as </w:t>
      </w:r>
      <w:r w:rsidRPr="00901D5E" w:rsidR="00CB5AB2">
        <w:t>one for</w:t>
      </w:r>
      <w:r w:rsidRPr="00901D5E" w:rsidR="009D224F">
        <w:t xml:space="preserve"> breast cancer for women under age 45</w:t>
      </w:r>
      <w:r w:rsidRPr="00901D5E" w:rsidR="00CF6BC4">
        <w:t>.</w:t>
      </w:r>
      <w:r w:rsidRPr="00901D5E" w:rsidR="00651DD7">
        <w:t xml:space="preserve"> </w:t>
      </w:r>
      <w:r w:rsidRPr="00901D5E" w:rsidR="00AB54DC">
        <w:t>The</w:t>
      </w:r>
      <w:r w:rsidRPr="00901D5E" w:rsidR="00CB5AB2">
        <w:t xml:space="preserve"> modes </w:t>
      </w:r>
      <w:r w:rsidR="00DA6D62">
        <w:t xml:space="preserve">available to </w:t>
      </w:r>
      <w:r w:rsidRPr="00901D5E" w:rsidR="00CB5AB2">
        <w:t>gather information to inform health communication campaigns</w:t>
      </w:r>
      <w:r w:rsidRPr="00901D5E" w:rsidR="00AB54DC">
        <w:t xml:space="preserve"> have also changed</w:t>
      </w:r>
      <w:r w:rsidRPr="00901D5E" w:rsidR="00CB5AB2">
        <w:t xml:space="preserve">. The original application included focus groups conducted in person or by telephone. This </w:t>
      </w:r>
      <w:r w:rsidR="00A03DB4">
        <w:t>reinstatement</w:t>
      </w:r>
      <w:r w:rsidRPr="00901D5E" w:rsidR="00CB5AB2">
        <w:t xml:space="preserve"> includes four </w:t>
      </w:r>
      <w:r w:rsidRPr="00901D5E" w:rsidR="00FE7626">
        <w:t>other</w:t>
      </w:r>
      <w:r w:rsidRPr="00901D5E" w:rsidR="00CB5AB2">
        <w:t xml:space="preserve"> modes: (1) online focus groups</w:t>
      </w:r>
      <w:r w:rsidRPr="00901D5E" w:rsidR="000D0CE2">
        <w:t xml:space="preserve"> and in-depth interviews conducted </w:t>
      </w:r>
      <w:r w:rsidRPr="00901D5E" w:rsidR="00CB5AB2">
        <w:t>(2) in</w:t>
      </w:r>
      <w:r w:rsidRPr="00901D5E" w:rsidR="000D0CE2">
        <w:t xml:space="preserve"> </w:t>
      </w:r>
      <w:r w:rsidRPr="00901D5E" w:rsidR="00CB5AB2">
        <w:t xml:space="preserve">person, </w:t>
      </w:r>
      <w:r w:rsidRPr="00901D5E" w:rsidR="000D0CE2">
        <w:t>(3) by phone, or (4) online</w:t>
      </w:r>
      <w:r w:rsidR="00C274BA">
        <w:t xml:space="preserve"> (using a videoconferencing</w:t>
      </w:r>
      <w:r w:rsidR="00161593">
        <w:t xml:space="preserve"> </w:t>
      </w:r>
      <w:r w:rsidR="000E61B3">
        <w:t>platform)</w:t>
      </w:r>
      <w:r w:rsidRPr="00901D5E" w:rsidR="00651DD7">
        <w:t xml:space="preserve">. Each </w:t>
      </w:r>
      <w:r w:rsidR="00330102">
        <w:t>application using this generic information request</w:t>
      </w:r>
      <w:r w:rsidRPr="00901D5E" w:rsidR="00651DD7">
        <w:t xml:space="preserve"> wou</w:t>
      </w:r>
      <w:r w:rsidRPr="00901D5E" w:rsidR="00595FC1">
        <w:t xml:space="preserve">ld specify the mode and audience. </w:t>
      </w:r>
      <w:r w:rsidR="004827B1">
        <w:t>In addition, the original application focused on the general public</w:t>
      </w:r>
      <w:r w:rsidR="00A42DF7">
        <w:t xml:space="preserve"> and healthcare professionals. </w:t>
      </w:r>
      <w:r w:rsidR="001C35F3">
        <w:t xml:space="preserve">This </w:t>
      </w:r>
      <w:r w:rsidR="00A03DB4">
        <w:t xml:space="preserve">reinstatement </w:t>
      </w:r>
      <w:r w:rsidR="00CF4CC8">
        <w:t>includes the general public only</w:t>
      </w:r>
      <w:r w:rsidR="00332CA1">
        <w:t xml:space="preserve"> to align with </w:t>
      </w:r>
      <w:r w:rsidR="003E358D">
        <w:t xml:space="preserve">the current </w:t>
      </w:r>
      <w:r w:rsidR="00204068">
        <w:t xml:space="preserve">communications </w:t>
      </w:r>
      <w:r w:rsidR="003E358D">
        <w:t>contracts</w:t>
      </w:r>
      <w:r w:rsidR="00CF4CC8">
        <w:t xml:space="preserve">. </w:t>
      </w:r>
      <w:r w:rsidRPr="00901D5E" w:rsidR="00595FC1">
        <w:t>There is no</w:t>
      </w:r>
      <w:r w:rsidRPr="00901D5E" w:rsidR="003128DF">
        <w:t xml:space="preserve"> change in burden hours and respondents</w:t>
      </w:r>
      <w:r w:rsidRPr="00901D5E" w:rsidR="00E26E12">
        <w:t xml:space="preserve"> at this time.</w:t>
      </w:r>
    </w:p>
    <w:p w:rsidRPr="00901D5E" w:rsidR="00B44692" w:rsidP="00230D0D" w:rsidRDefault="00B44692" w14:paraId="4654F185" w14:textId="77777777"/>
    <w:p w:rsidR="00E6277D" w:rsidP="00230D0D" w:rsidRDefault="00DD3FBF" w14:paraId="3DE9F5BF" w14:textId="21EA89C9">
      <w:r w:rsidRPr="00901D5E">
        <w:t xml:space="preserve">The </w:t>
      </w:r>
      <w:r w:rsidRPr="00901D5E" w:rsidR="003855C9">
        <w:t xml:space="preserve">generic </w:t>
      </w:r>
      <w:r w:rsidRPr="00901D5E">
        <w:t xml:space="preserve">information collection </w:t>
      </w:r>
      <w:r w:rsidRPr="00901D5E" w:rsidR="003855C9">
        <w:t xml:space="preserve">request </w:t>
      </w:r>
      <w:r w:rsidRPr="00901D5E" w:rsidR="006E5809">
        <w:t>is in</w:t>
      </w:r>
      <w:r w:rsidRPr="00901D5E">
        <w:t xml:space="preserve"> accordance with CDC’s mission to conduct, support, and promote efforts to prevent cancer</w:t>
      </w:r>
      <w:r w:rsidRPr="00901D5E" w:rsidR="007C31A2">
        <w:t xml:space="preserve">, reduce </w:t>
      </w:r>
      <w:r w:rsidRPr="00901D5E" w:rsidR="00511075">
        <w:t xml:space="preserve">its </w:t>
      </w:r>
      <w:r w:rsidRPr="00901D5E" w:rsidR="007C31A2">
        <w:t>risk, increase early detection and better treatment, and improve the quality of life for cancer survivors</w:t>
      </w:r>
      <w:r w:rsidRPr="00901D5E">
        <w:t xml:space="preserve"> authorized by Section 301 of the Public Health Service Act (</w:t>
      </w:r>
      <w:r w:rsidRPr="00901D5E" w:rsidR="00E047A9">
        <w:t xml:space="preserve">PHSA, </w:t>
      </w:r>
      <w:r w:rsidRPr="00901D5E">
        <w:t>42 U.S.C. 241)</w:t>
      </w:r>
      <w:r w:rsidR="00C7188D">
        <w:t xml:space="preserve"> (</w:t>
      </w:r>
      <w:r w:rsidRPr="00C7188D" w:rsidR="00C7188D">
        <w:rPr>
          <w:b/>
          <w:bCs/>
        </w:rPr>
        <w:t>A</w:t>
      </w:r>
      <w:r w:rsidR="00BA70CD">
        <w:rPr>
          <w:b/>
          <w:bCs/>
        </w:rPr>
        <w:t>ttachment</w:t>
      </w:r>
      <w:r w:rsidRPr="00C7188D" w:rsidR="00C7188D">
        <w:rPr>
          <w:b/>
          <w:bCs/>
        </w:rPr>
        <w:t xml:space="preserve"> A1</w:t>
      </w:r>
      <w:r w:rsidR="00C7188D">
        <w:t>)</w:t>
      </w:r>
      <w:r w:rsidRPr="00901D5E">
        <w:t xml:space="preserve">. </w:t>
      </w:r>
      <w:r w:rsidR="00330102">
        <w:t xml:space="preserve">To date, </w:t>
      </w:r>
      <w:r w:rsidR="00C7188D">
        <w:t xml:space="preserve">there is authorizing legislation for two current </w:t>
      </w:r>
      <w:r w:rsidRPr="00121BDC" w:rsidR="00C7188D">
        <w:rPr>
          <w:rFonts w:eastAsia="Arial Unicode MS"/>
        </w:rPr>
        <w:t xml:space="preserve">DCPC </w:t>
      </w:r>
      <w:r w:rsidR="00C7188D">
        <w:rPr>
          <w:rFonts w:eastAsia="Arial Unicode MS"/>
        </w:rPr>
        <w:t>campaigns:</w:t>
      </w:r>
      <w:r w:rsidR="00C7188D">
        <w:t xml:space="preserve"> (1) </w:t>
      </w:r>
      <w:r w:rsidRPr="00121BDC" w:rsidR="00C7188D">
        <w:t>the Gynecologic Cancer Education and Awareness Act of 2005, Section 247b-17 of the PHSA, also known as Johanna’s Law</w:t>
      </w:r>
      <w:r w:rsidR="00C7188D">
        <w:t xml:space="preserve"> (</w:t>
      </w:r>
      <w:r w:rsidRPr="00C7188D" w:rsidR="00BA70CD">
        <w:rPr>
          <w:b/>
          <w:bCs/>
        </w:rPr>
        <w:t>A</w:t>
      </w:r>
      <w:r w:rsidR="00BA70CD">
        <w:rPr>
          <w:b/>
          <w:bCs/>
        </w:rPr>
        <w:t>ttachment</w:t>
      </w:r>
      <w:r w:rsidRPr="00C7188D" w:rsidR="00C7188D">
        <w:rPr>
          <w:b/>
          <w:bCs/>
        </w:rPr>
        <w:t xml:space="preserve"> A2</w:t>
      </w:r>
      <w:r w:rsidR="00C7188D">
        <w:t xml:space="preserve">) and (2) </w:t>
      </w:r>
      <w:r w:rsidR="00587E5C">
        <w:t>the Education and Awareness Requires Learning Young (EARLY) Act, section 280m</w:t>
      </w:r>
      <w:r w:rsidR="00CA4B35">
        <w:t>)</w:t>
      </w:r>
      <w:r w:rsidR="005C5323">
        <w:t xml:space="preserve"> </w:t>
      </w:r>
      <w:r w:rsidR="00C7188D">
        <w:t>(</w:t>
      </w:r>
      <w:r w:rsidRPr="00C7188D" w:rsidR="00BA70CD">
        <w:rPr>
          <w:b/>
          <w:bCs/>
        </w:rPr>
        <w:t>A</w:t>
      </w:r>
      <w:r w:rsidR="00BA70CD">
        <w:rPr>
          <w:b/>
          <w:bCs/>
        </w:rPr>
        <w:t>ttachment</w:t>
      </w:r>
      <w:r w:rsidRPr="00C7188D" w:rsidR="00C7188D">
        <w:rPr>
          <w:b/>
          <w:bCs/>
        </w:rPr>
        <w:t xml:space="preserve"> A3</w:t>
      </w:r>
      <w:r w:rsidR="00C7188D">
        <w:t>)</w:t>
      </w:r>
      <w:r w:rsidRPr="00121BDC" w:rsidR="00C7188D">
        <w:t>.</w:t>
      </w:r>
    </w:p>
    <w:p w:rsidRPr="00901D5E" w:rsidR="000E6BEE" w:rsidP="00230D0D" w:rsidRDefault="000E6BEE" w14:paraId="10B4D2A6" w14:textId="77777777"/>
    <w:p w:rsidR="00FE40EF" w:rsidP="00230D0D" w:rsidRDefault="00FE40EF" w14:paraId="5385841E" w14:textId="592B184D">
      <w:r w:rsidRPr="00901D5E">
        <w:t xml:space="preserve">Cancer is the second leading cause of death in the United States, exceeded only by heart disease. In </w:t>
      </w:r>
      <w:r w:rsidRPr="00901D5E" w:rsidR="008C243F">
        <w:t>201</w:t>
      </w:r>
      <w:r w:rsidR="005C5323">
        <w:t>8</w:t>
      </w:r>
      <w:r w:rsidRPr="00901D5E" w:rsidR="008C243F">
        <w:t xml:space="preserve"> </w:t>
      </w:r>
      <w:r w:rsidRPr="00901D5E">
        <w:t>(the most recent year numbers are available</w:t>
      </w:r>
      <w:r w:rsidRPr="00901D5E" w:rsidR="006158E0">
        <w:t>)</w:t>
      </w:r>
      <w:r w:rsidRPr="00901D5E">
        <w:t xml:space="preserve">, </w:t>
      </w:r>
      <w:r w:rsidR="00330102">
        <w:t xml:space="preserve">more than </w:t>
      </w:r>
      <w:r w:rsidRPr="00901D5E" w:rsidR="008C243F">
        <w:t>1.</w:t>
      </w:r>
      <w:r w:rsidR="00330102">
        <w:t>7</w:t>
      </w:r>
      <w:r w:rsidRPr="00901D5E">
        <w:t xml:space="preserve"> million were diagnosed with cancer</w:t>
      </w:r>
      <w:r w:rsidR="00330102">
        <w:t xml:space="preserve"> and</w:t>
      </w:r>
      <w:r w:rsidRPr="00901D5E">
        <w:t xml:space="preserve"> </w:t>
      </w:r>
      <w:r w:rsidR="00330102">
        <w:t>nearly</w:t>
      </w:r>
      <w:r w:rsidRPr="00901D5E">
        <w:t xml:space="preserve"> </w:t>
      </w:r>
      <w:r w:rsidR="00330102">
        <w:t>600</w:t>
      </w:r>
      <w:r w:rsidRPr="00901D5E">
        <w:t>,000 died of the disease in the United States</w:t>
      </w:r>
      <w:r w:rsidRPr="00901D5E" w:rsidR="006158E0">
        <w:t xml:space="preserve"> (</w:t>
      </w:r>
      <w:hyperlink w:history="1" r:id="rId14">
        <w:r w:rsidRPr="00CF17C1" w:rsidR="00A32401">
          <w:rPr>
            <w:rStyle w:val="Hyperlink"/>
            <w:rFonts w:cs="Calibri"/>
          </w:rPr>
          <w:t>http://www.cdc.gov/uscs</w:t>
        </w:r>
      </w:hyperlink>
      <w:r w:rsidRPr="00901D5E" w:rsidR="006158E0">
        <w:t>)</w:t>
      </w:r>
      <w:r w:rsidRPr="00901D5E">
        <w:t>.</w:t>
      </w:r>
      <w:r w:rsidRPr="00901D5E" w:rsidR="00525298">
        <w:t xml:space="preserve"> </w:t>
      </w:r>
      <w:r w:rsidRPr="00901D5E" w:rsidR="005C3070">
        <w:t xml:space="preserve">It is also a group of related diseases that have different calls to </w:t>
      </w:r>
      <w:r w:rsidRPr="00901D5E" w:rsidR="005C3070">
        <w:lastRenderedPageBreak/>
        <w:t xml:space="preserve">action to lower risk depending on the risk factors and/or availability of recommending screenings. </w:t>
      </w:r>
    </w:p>
    <w:p w:rsidRPr="00901D5E" w:rsidR="000E6BEE" w:rsidP="00901D5E" w:rsidRDefault="000E6BEE" w14:paraId="45624580" w14:textId="77777777"/>
    <w:p w:rsidRPr="00901D5E" w:rsidR="00DC0086" w:rsidP="00230D0D" w:rsidRDefault="00651DD7" w14:paraId="38923F66" w14:textId="0569D7AA">
      <w:r w:rsidRPr="00901D5E">
        <w:t xml:space="preserve">Since its approval in 2009, this generic collection has been used to collect information </w:t>
      </w:r>
      <w:r w:rsidRPr="00901D5E" w:rsidR="00912102">
        <w:t xml:space="preserve">via in-person focus groups </w:t>
      </w:r>
      <w:r w:rsidRPr="00901D5E">
        <w:t xml:space="preserve">to inform DCPC’s </w:t>
      </w:r>
      <w:r w:rsidRPr="00901D5E" w:rsidR="00595FC1">
        <w:rPr>
          <w:i/>
        </w:rPr>
        <w:t>Inside Knowledge: Get the Facts About Gynecologic Cancer Campaign</w:t>
      </w:r>
      <w:r w:rsidRPr="00901D5E" w:rsidR="000E5E63">
        <w:t xml:space="preserve">, </w:t>
      </w:r>
      <w:r w:rsidRPr="00901D5E" w:rsidR="00595FC1">
        <w:rPr>
          <w:i/>
        </w:rPr>
        <w:t>Screen for Life: National Colorectal Cancer Action Campaign</w:t>
      </w:r>
      <w:r w:rsidRPr="00901D5E" w:rsidR="000E5E63">
        <w:rPr>
          <w:i/>
        </w:rPr>
        <w:t xml:space="preserve"> </w:t>
      </w:r>
      <w:r w:rsidRPr="00901D5E" w:rsidR="000E5E63">
        <w:rPr>
          <w:iCs/>
        </w:rPr>
        <w:t>and</w:t>
      </w:r>
      <w:r w:rsidRPr="00901D5E" w:rsidR="00595FC1">
        <w:t xml:space="preserve"> other CDC cancer communication campaign initiatives</w:t>
      </w:r>
      <w:r w:rsidR="004C2B69">
        <w:t xml:space="preserve"> like </w:t>
      </w:r>
      <w:r w:rsidR="004C2B69">
        <w:rPr>
          <w:i/>
          <w:iCs/>
        </w:rPr>
        <w:t>Bring Your Brave</w:t>
      </w:r>
      <w:r w:rsidRPr="00901D5E" w:rsidR="00595FC1">
        <w:t>.</w:t>
      </w:r>
      <w:r w:rsidRPr="00901D5E">
        <w:t xml:space="preserve"> </w:t>
      </w:r>
      <w:r w:rsidRPr="00901D5E" w:rsidR="00D40B46">
        <w:t xml:space="preserve">This </w:t>
      </w:r>
      <w:r w:rsidRPr="00901D5E" w:rsidR="00595FC1">
        <w:t xml:space="preserve">data collection </w:t>
      </w:r>
      <w:r w:rsidRPr="00901D5E" w:rsidR="00D40B46">
        <w:t xml:space="preserve">has enabled CDC to </w:t>
      </w:r>
      <w:r w:rsidRPr="00901D5E" w:rsidR="00BA70CD">
        <w:t>design, produce, and disseminate colorectal cancer, gynecologic cancer, and breast cancer in young women educational materials and information for the public and for health care providers more effectively</w:t>
      </w:r>
      <w:r w:rsidRPr="00901D5E" w:rsidR="00267280">
        <w:t>.</w:t>
      </w:r>
    </w:p>
    <w:p w:rsidRPr="00901D5E" w:rsidR="00EF765C" w:rsidP="00230D0D" w:rsidRDefault="00EF765C" w14:paraId="00C0BA14" w14:textId="77777777">
      <w:pPr>
        <w:rPr>
          <w:b/>
          <w:bCs/>
        </w:rPr>
      </w:pPr>
    </w:p>
    <w:p w:rsidRPr="00901D5E" w:rsidR="007C643F" w:rsidP="00230D0D" w:rsidRDefault="00CD5606" w14:paraId="5E232FF2" w14:textId="31DE2293">
      <w:r w:rsidRPr="00901D5E">
        <w:t>DCPC</w:t>
      </w:r>
      <w:r w:rsidRPr="00901D5E" w:rsidR="00912102">
        <w:t xml:space="preserve">’s health communication campaigns </w:t>
      </w:r>
      <w:r w:rsidRPr="00901D5E">
        <w:t xml:space="preserve">are </w:t>
      </w:r>
      <w:r w:rsidRPr="00901D5E" w:rsidR="00EE5BA0">
        <w:t>rooted in the Health Communication P</w:t>
      </w:r>
      <w:r w:rsidRPr="00901D5E">
        <w:t>rocess</w:t>
      </w:r>
      <w:r w:rsidR="001D767B">
        <w:t xml:space="preserve"> (HCP)</w:t>
      </w:r>
      <w:r w:rsidRPr="00901D5E">
        <w:t xml:space="preserve">, a scientific model </w:t>
      </w:r>
      <w:r w:rsidRPr="00901D5E" w:rsidR="00912102">
        <w:t>with</w:t>
      </w:r>
      <w:r w:rsidRPr="00901D5E" w:rsidR="00440180">
        <w:t xml:space="preserve"> four stages: </w:t>
      </w:r>
      <w:r w:rsidRPr="00901D5E" w:rsidR="009F7EA1">
        <w:t xml:space="preserve">1) </w:t>
      </w:r>
      <w:r w:rsidRPr="00901D5E" w:rsidR="00440180">
        <w:t xml:space="preserve">planning and strategy development, </w:t>
      </w:r>
      <w:r w:rsidRPr="00901D5E" w:rsidR="009F7EA1">
        <w:t xml:space="preserve">2) </w:t>
      </w:r>
      <w:r w:rsidRPr="00901D5E" w:rsidR="00440180">
        <w:t>developing and pretesting concepts, messages, and materials,</w:t>
      </w:r>
      <w:r w:rsidRPr="00901D5E" w:rsidR="009F7EA1">
        <w:t xml:space="preserve"> 3)</w:t>
      </w:r>
      <w:r w:rsidRPr="00901D5E" w:rsidR="00440180">
        <w:t xml:space="preserve"> implementing the program, and </w:t>
      </w:r>
      <w:r w:rsidRPr="00901D5E" w:rsidR="009F7EA1">
        <w:t xml:space="preserve">4) </w:t>
      </w:r>
      <w:r w:rsidRPr="00901D5E" w:rsidR="00440180">
        <w:t xml:space="preserve">assessing effectiveness and making refinements (National Cancer Institute, 2002). </w:t>
      </w:r>
      <w:r w:rsidRPr="00901D5E" w:rsidR="00912102">
        <w:t xml:space="preserve">Strategic participation in </w:t>
      </w:r>
      <w:r w:rsidRPr="00901D5E" w:rsidR="00344662">
        <w:t xml:space="preserve">evaluation increases the ability to achieve </w:t>
      </w:r>
      <w:r w:rsidRPr="00901D5E" w:rsidR="00912102">
        <w:t xml:space="preserve">the goals and/or objectives of a health communication campaign. </w:t>
      </w:r>
      <w:r w:rsidRPr="00901D5E" w:rsidR="00344662">
        <w:t>E</w:t>
      </w:r>
      <w:r w:rsidRPr="00901D5E" w:rsidR="000E5E63">
        <w:t xml:space="preserve">valuation </w:t>
      </w:r>
      <w:r w:rsidRPr="00901D5E" w:rsidR="00344662">
        <w:t>can occur during different</w:t>
      </w:r>
      <w:r w:rsidRPr="00901D5E" w:rsidR="000E5E63">
        <w:t xml:space="preserve"> stage</w:t>
      </w:r>
      <w:r w:rsidRPr="00901D5E" w:rsidR="00344662">
        <w:t>s, namely</w:t>
      </w:r>
      <w:r w:rsidRPr="00901D5E" w:rsidR="000E5E63">
        <w:t xml:space="preserve"> </w:t>
      </w:r>
      <w:r w:rsidRPr="00901D5E" w:rsidR="00A378D8">
        <w:t>formati</w:t>
      </w:r>
      <w:r w:rsidRPr="00901D5E" w:rsidR="00D91D24">
        <w:t xml:space="preserve">ve </w:t>
      </w:r>
      <w:r w:rsidRPr="00901D5E" w:rsidR="000B5638">
        <w:t>evaluation</w:t>
      </w:r>
      <w:r w:rsidRPr="00901D5E" w:rsidR="00D91D24">
        <w:t xml:space="preserve"> (stage</w:t>
      </w:r>
      <w:r w:rsidRPr="00901D5E" w:rsidR="00A378D8">
        <w:t xml:space="preserve"> 2), process</w:t>
      </w:r>
      <w:r w:rsidRPr="00901D5E" w:rsidR="00901B0D">
        <w:t xml:space="preserve"> evaluation</w:t>
      </w:r>
      <w:r w:rsidRPr="00901D5E" w:rsidR="00A378D8">
        <w:t xml:space="preserve"> (stage 3), and extending to outco</w:t>
      </w:r>
      <w:r w:rsidRPr="00901D5E" w:rsidR="0091125B">
        <w:t xml:space="preserve">me or summative </w:t>
      </w:r>
      <w:r w:rsidRPr="00901D5E" w:rsidR="00901B0D">
        <w:t xml:space="preserve">evaluation </w:t>
      </w:r>
      <w:r w:rsidRPr="00901D5E" w:rsidR="0091125B">
        <w:t>(stage 4) (Cooper et. al, 2005).</w:t>
      </w:r>
    </w:p>
    <w:p w:rsidRPr="00901D5E" w:rsidR="00027806" w:rsidP="00230D0D" w:rsidRDefault="00027806" w14:paraId="06F33A7F" w14:textId="77777777"/>
    <w:p w:rsidRPr="00D23EE7" w:rsidR="009F6C22" w:rsidP="00D23EE7" w:rsidRDefault="00DD3FBF" w14:paraId="7B9B95BF" w14:textId="77777777">
      <w:pPr>
        <w:pStyle w:val="Heading2"/>
      </w:pPr>
      <w:bookmarkStart w:name="_Toc74723223" w:id="9"/>
      <w:r w:rsidRPr="00D23EE7">
        <w:t>A2. Purpose and Use of the Information Collection</w:t>
      </w:r>
      <w:bookmarkEnd w:id="9"/>
    </w:p>
    <w:p w:rsidRPr="00275459" w:rsidR="00517C7E" w:rsidP="00C42A43" w:rsidRDefault="00517C7E" w14:paraId="1ACCBABF" w14:textId="77777777">
      <w:pPr>
        <w:rPr>
          <w:rFonts w:cs="Calibri"/>
          <w:color w:val="000000"/>
        </w:rPr>
      </w:pPr>
    </w:p>
    <w:p w:rsidRPr="00275459" w:rsidR="001111BF" w:rsidP="001111BF" w:rsidRDefault="001304FA" w14:paraId="4157AF39" w14:textId="2662927E">
      <w:pPr>
        <w:shd w:val="clear" w:color="auto" w:fill="FFFFFF"/>
        <w:rPr>
          <w:rFonts w:cs="Calibri"/>
          <w:color w:val="000000"/>
        </w:rPr>
      </w:pPr>
      <w:r w:rsidRPr="00275459">
        <w:rPr>
          <w:rFonts w:cs="Calibri"/>
          <w:color w:val="000000"/>
        </w:rPr>
        <w:t>DCPC’s communication campaigns</w:t>
      </w:r>
      <w:r w:rsidRPr="00275459" w:rsidR="00AB54DC">
        <w:rPr>
          <w:rFonts w:cs="Calibri"/>
          <w:color w:val="000000"/>
        </w:rPr>
        <w:t xml:space="preserve"> are at different </w:t>
      </w:r>
      <w:r w:rsidRPr="00275459" w:rsidR="00344662">
        <w:rPr>
          <w:rFonts w:cs="Calibri"/>
          <w:color w:val="000000"/>
        </w:rPr>
        <w:t xml:space="preserve">stages in the </w:t>
      </w:r>
      <w:r w:rsidRPr="00275459" w:rsidR="001D767B">
        <w:rPr>
          <w:rFonts w:cs="Calibri"/>
          <w:color w:val="000000"/>
        </w:rPr>
        <w:t>HCP</w:t>
      </w:r>
      <w:r w:rsidRPr="00275459" w:rsidR="00AB54DC">
        <w:rPr>
          <w:rFonts w:cs="Calibri"/>
          <w:color w:val="000000"/>
        </w:rPr>
        <w:t xml:space="preserve">. </w:t>
      </w:r>
      <w:r w:rsidRPr="00275459">
        <w:rPr>
          <w:rFonts w:cs="Calibri"/>
          <w:color w:val="000000"/>
        </w:rPr>
        <w:t xml:space="preserve"> </w:t>
      </w:r>
      <w:r w:rsidRPr="00275459" w:rsidR="00DD3FBF">
        <w:rPr>
          <w:rFonts w:cs="Calibri"/>
          <w:color w:val="000000"/>
        </w:rPr>
        <w:t xml:space="preserve">The purpose of this </w:t>
      </w:r>
      <w:r w:rsidRPr="00275459" w:rsidR="000F3FAE">
        <w:rPr>
          <w:rFonts w:cs="Calibri"/>
          <w:color w:val="000000"/>
        </w:rPr>
        <w:t xml:space="preserve">generic clearance request is to </w:t>
      </w:r>
      <w:r w:rsidRPr="00275459" w:rsidR="00C42A43">
        <w:rPr>
          <w:rFonts w:cs="Calibri"/>
          <w:color w:val="000000"/>
        </w:rPr>
        <w:t xml:space="preserve">continue </w:t>
      </w:r>
      <w:r w:rsidRPr="00275459" w:rsidR="00344662">
        <w:rPr>
          <w:rFonts w:cs="Calibri"/>
          <w:color w:val="000000"/>
        </w:rPr>
        <w:t>moving current campaign</w:t>
      </w:r>
      <w:r w:rsidRPr="00275459" w:rsidR="00A212E5">
        <w:rPr>
          <w:rFonts w:cs="Calibri"/>
          <w:color w:val="000000"/>
        </w:rPr>
        <w:t>s</w:t>
      </w:r>
      <w:r w:rsidRPr="00275459" w:rsidR="00344662">
        <w:rPr>
          <w:rFonts w:cs="Calibri"/>
          <w:color w:val="000000"/>
        </w:rPr>
        <w:t xml:space="preserve"> and new health messages toward the next stage</w:t>
      </w:r>
      <w:r w:rsidRPr="00275459" w:rsidR="001111BF">
        <w:rPr>
          <w:rFonts w:cs="Calibri"/>
          <w:color w:val="000000"/>
        </w:rPr>
        <w:t xml:space="preserve">, </w:t>
      </w:r>
      <w:r w:rsidRPr="00275459" w:rsidR="00344662">
        <w:rPr>
          <w:rFonts w:cs="Calibri"/>
          <w:color w:val="000000"/>
        </w:rPr>
        <w:t>conducting the complementary evaluation components</w:t>
      </w:r>
      <w:r w:rsidRPr="00275459" w:rsidR="001111BF">
        <w:rPr>
          <w:rFonts w:cs="Calibri"/>
          <w:color w:val="000000"/>
        </w:rPr>
        <w:t xml:space="preserve">, and starting at the beginning of the </w:t>
      </w:r>
      <w:r w:rsidRPr="00275459" w:rsidR="001D767B">
        <w:rPr>
          <w:rFonts w:cs="Calibri"/>
          <w:color w:val="000000"/>
        </w:rPr>
        <w:t>HCP</w:t>
      </w:r>
      <w:r w:rsidRPr="00275459" w:rsidR="001111BF">
        <w:rPr>
          <w:rFonts w:cs="Calibri"/>
          <w:color w:val="000000"/>
        </w:rPr>
        <w:t xml:space="preserve"> as needed</w:t>
      </w:r>
      <w:r w:rsidRPr="00275459" w:rsidR="00344662">
        <w:rPr>
          <w:rFonts w:cs="Calibri"/>
          <w:color w:val="000000"/>
        </w:rPr>
        <w:t xml:space="preserve">. In instances when focus group testing and in-person interviews can contribute </w:t>
      </w:r>
      <w:r w:rsidRPr="00275459" w:rsidR="001D767B">
        <w:rPr>
          <w:rFonts w:cs="Calibri"/>
          <w:color w:val="000000"/>
        </w:rPr>
        <w:t>information</w:t>
      </w:r>
      <w:r w:rsidRPr="00275459" w:rsidR="00344662">
        <w:rPr>
          <w:rFonts w:cs="Calibri"/>
          <w:color w:val="000000"/>
        </w:rPr>
        <w:t xml:space="preserve">, this generic would be used. </w:t>
      </w:r>
      <w:r w:rsidRPr="00275459" w:rsidR="004D0075">
        <w:rPr>
          <w:rFonts w:cs="Calibri"/>
          <w:color w:val="000000"/>
        </w:rPr>
        <w:t>OMB approval will be requested separately for each information collection activity describing each activity’s specific purpose</w:t>
      </w:r>
      <w:r w:rsidRPr="00275459" w:rsidR="00A212E5">
        <w:rPr>
          <w:rFonts w:cs="Calibri"/>
          <w:color w:val="000000"/>
        </w:rPr>
        <w:t xml:space="preserve"> with respect to the </w:t>
      </w:r>
      <w:r w:rsidRPr="00275459" w:rsidR="001D767B">
        <w:rPr>
          <w:rFonts w:cs="Calibri"/>
          <w:color w:val="000000"/>
        </w:rPr>
        <w:t>HCP</w:t>
      </w:r>
      <w:r w:rsidRPr="00275459" w:rsidR="004D0075">
        <w:rPr>
          <w:rFonts w:cs="Calibri"/>
          <w:color w:val="000000"/>
        </w:rPr>
        <w:t>, methods, and burden estimate</w:t>
      </w:r>
      <w:r w:rsidRPr="00275459" w:rsidR="001111BF">
        <w:rPr>
          <w:rFonts w:cs="Calibri"/>
          <w:color w:val="000000"/>
        </w:rPr>
        <w:t xml:space="preserve">, including a screening form, example consent form, and discussion guide. Samples are presented in </w:t>
      </w:r>
      <w:r w:rsidRPr="00275459" w:rsidR="00BA70CD">
        <w:rPr>
          <w:rFonts w:cs="Calibri"/>
          <w:b/>
          <w:bCs/>
          <w:color w:val="000000"/>
        </w:rPr>
        <w:t>Attachments</w:t>
      </w:r>
      <w:r w:rsidRPr="00275459" w:rsidR="001111BF">
        <w:rPr>
          <w:rFonts w:cs="Calibri"/>
          <w:b/>
          <w:bCs/>
          <w:color w:val="000000"/>
        </w:rPr>
        <w:t xml:space="preserve"> C</w:t>
      </w:r>
      <w:r w:rsidRPr="00275459" w:rsidR="00C7188D">
        <w:rPr>
          <w:rFonts w:cs="Calibri"/>
          <w:b/>
          <w:bCs/>
          <w:color w:val="000000"/>
        </w:rPr>
        <w:t>1</w:t>
      </w:r>
      <w:r w:rsidRPr="00275459" w:rsidR="001111BF">
        <w:rPr>
          <w:rFonts w:cs="Calibri"/>
          <w:color w:val="000000"/>
        </w:rPr>
        <w:t xml:space="preserve"> (screening form), </w:t>
      </w:r>
      <w:r w:rsidRPr="00275459" w:rsidR="00C7188D">
        <w:rPr>
          <w:rFonts w:cs="Calibri"/>
          <w:b/>
          <w:bCs/>
          <w:color w:val="000000"/>
        </w:rPr>
        <w:t>C2</w:t>
      </w:r>
      <w:r w:rsidRPr="00275459" w:rsidR="001111BF">
        <w:rPr>
          <w:rFonts w:cs="Calibri"/>
          <w:color w:val="000000"/>
        </w:rPr>
        <w:t xml:space="preserve"> (consent form), and </w:t>
      </w:r>
      <w:r w:rsidRPr="00275459" w:rsidR="00C7188D">
        <w:rPr>
          <w:rFonts w:cs="Calibri"/>
          <w:b/>
          <w:bCs/>
          <w:color w:val="000000"/>
        </w:rPr>
        <w:t>C3</w:t>
      </w:r>
      <w:r w:rsidRPr="00275459" w:rsidR="001111BF">
        <w:rPr>
          <w:rFonts w:cs="Calibri"/>
          <w:color w:val="000000"/>
        </w:rPr>
        <w:t xml:space="preserve"> (discussion guide).</w:t>
      </w:r>
    </w:p>
    <w:p w:rsidRPr="00275459" w:rsidR="001D767B" w:rsidP="001111BF" w:rsidRDefault="001D767B" w14:paraId="76E1B0C1" w14:textId="4B46CBD5">
      <w:pPr>
        <w:shd w:val="clear" w:color="auto" w:fill="FFFFFF"/>
        <w:rPr>
          <w:rFonts w:cs="Calibri"/>
          <w:color w:val="000000"/>
        </w:rPr>
      </w:pPr>
    </w:p>
    <w:p w:rsidRPr="00275459" w:rsidR="006E390A" w:rsidP="004D0075" w:rsidRDefault="00A212E5" w14:paraId="51265AD2" w14:textId="6800F7CF">
      <w:pPr>
        <w:rPr>
          <w:rFonts w:cs="Calibri"/>
          <w:color w:val="000000"/>
        </w:rPr>
      </w:pPr>
      <w:r w:rsidRPr="00275459">
        <w:rPr>
          <w:rFonts w:cs="Calibri"/>
          <w:color w:val="000000"/>
        </w:rPr>
        <w:t xml:space="preserve">The ability to tailor information collections to specific circumstances and the ability to move rapidly from one </w:t>
      </w:r>
      <w:r w:rsidRPr="00275459" w:rsidR="001D767B">
        <w:rPr>
          <w:rFonts w:cs="Calibri"/>
          <w:color w:val="000000"/>
        </w:rPr>
        <w:t>stage</w:t>
      </w:r>
      <w:r w:rsidRPr="00275459">
        <w:rPr>
          <w:rFonts w:cs="Calibri"/>
          <w:color w:val="000000"/>
        </w:rPr>
        <w:t xml:space="preserve"> of the </w:t>
      </w:r>
      <w:r w:rsidRPr="00275459" w:rsidR="001D767B">
        <w:rPr>
          <w:rFonts w:cs="Calibri"/>
          <w:color w:val="000000"/>
        </w:rPr>
        <w:t>HCP</w:t>
      </w:r>
      <w:r w:rsidRPr="00275459">
        <w:rPr>
          <w:rFonts w:cs="Calibri"/>
          <w:color w:val="000000"/>
        </w:rPr>
        <w:t xml:space="preserve"> to another </w:t>
      </w:r>
      <w:r w:rsidRPr="00275459" w:rsidR="00364404">
        <w:rPr>
          <w:rFonts w:cs="Calibri"/>
          <w:color w:val="000000"/>
        </w:rPr>
        <w:t xml:space="preserve">is the </w:t>
      </w:r>
      <w:r w:rsidRPr="00275459">
        <w:rPr>
          <w:rFonts w:cs="Calibri"/>
          <w:color w:val="000000"/>
        </w:rPr>
        <w:t>major advantage</w:t>
      </w:r>
      <w:r w:rsidRPr="00275459" w:rsidR="00364404">
        <w:rPr>
          <w:rFonts w:cs="Calibri"/>
          <w:color w:val="000000"/>
        </w:rPr>
        <w:t xml:space="preserve"> </w:t>
      </w:r>
      <w:r w:rsidRPr="00275459">
        <w:rPr>
          <w:rFonts w:cs="Calibri"/>
          <w:color w:val="000000"/>
        </w:rPr>
        <w:t>of th</w:t>
      </w:r>
      <w:r w:rsidRPr="00275459" w:rsidR="001D767B">
        <w:rPr>
          <w:rFonts w:cs="Calibri"/>
          <w:color w:val="000000"/>
        </w:rPr>
        <w:t>is</w:t>
      </w:r>
      <w:r w:rsidRPr="00275459">
        <w:rPr>
          <w:rFonts w:cs="Calibri"/>
          <w:color w:val="000000"/>
        </w:rPr>
        <w:t xml:space="preserve"> generic clearance. In cases</w:t>
      </w:r>
      <w:r w:rsidRPr="00275459" w:rsidR="001D767B">
        <w:rPr>
          <w:rFonts w:cs="Calibri"/>
          <w:color w:val="000000"/>
        </w:rPr>
        <w:t xml:space="preserve"> for new cancer prevention or control health messages</w:t>
      </w:r>
      <w:r w:rsidRPr="00275459">
        <w:rPr>
          <w:rFonts w:cs="Calibri"/>
          <w:color w:val="000000"/>
        </w:rPr>
        <w:t xml:space="preserve">, preliminary </w:t>
      </w:r>
      <w:r w:rsidRPr="00275459" w:rsidR="00364404">
        <w:rPr>
          <w:rFonts w:cs="Calibri"/>
          <w:color w:val="000000"/>
        </w:rPr>
        <w:t xml:space="preserve">ones </w:t>
      </w:r>
      <w:r w:rsidRPr="00275459">
        <w:rPr>
          <w:rFonts w:cs="Calibri"/>
          <w:color w:val="000000"/>
        </w:rPr>
        <w:t>may already exist, and DCPC could begin focus group</w:t>
      </w:r>
      <w:r w:rsidRPr="00275459" w:rsidR="001D767B">
        <w:rPr>
          <w:rFonts w:cs="Calibri"/>
          <w:color w:val="000000"/>
        </w:rPr>
        <w:t>s</w:t>
      </w:r>
      <w:r w:rsidRPr="00275459">
        <w:rPr>
          <w:rFonts w:cs="Calibri"/>
          <w:color w:val="000000"/>
        </w:rPr>
        <w:t xml:space="preserve"> </w:t>
      </w:r>
      <w:r w:rsidRPr="00275459" w:rsidR="001D767B">
        <w:rPr>
          <w:rFonts w:cs="Calibri"/>
          <w:color w:val="000000"/>
        </w:rPr>
        <w:t xml:space="preserve">or in-depth interviews </w:t>
      </w:r>
      <w:r w:rsidRPr="00275459">
        <w:rPr>
          <w:rFonts w:cs="Calibri"/>
          <w:color w:val="000000"/>
        </w:rPr>
        <w:t xml:space="preserve">at a later stage of the </w:t>
      </w:r>
      <w:r w:rsidRPr="00275459" w:rsidR="001D767B">
        <w:rPr>
          <w:rFonts w:cs="Calibri"/>
          <w:color w:val="000000"/>
        </w:rPr>
        <w:t>HCP</w:t>
      </w:r>
      <w:r w:rsidRPr="00275459" w:rsidR="00364404">
        <w:rPr>
          <w:rFonts w:cs="Calibri"/>
          <w:color w:val="000000"/>
        </w:rPr>
        <w:t>.</w:t>
      </w:r>
      <w:r w:rsidRPr="00275459" w:rsidR="001D767B">
        <w:rPr>
          <w:rFonts w:cs="Calibri"/>
          <w:color w:val="000000"/>
        </w:rPr>
        <w:t xml:space="preserve"> </w:t>
      </w:r>
      <w:r w:rsidRPr="00275459" w:rsidR="00364404">
        <w:rPr>
          <w:rFonts w:cs="Calibri"/>
          <w:color w:val="000000"/>
        </w:rPr>
        <w:t>Also,</w:t>
      </w:r>
      <w:r w:rsidRPr="00275459" w:rsidR="001D767B">
        <w:rPr>
          <w:rFonts w:cs="Calibri"/>
          <w:color w:val="000000"/>
        </w:rPr>
        <w:t xml:space="preserve"> </w:t>
      </w:r>
      <w:r w:rsidRPr="00275459">
        <w:rPr>
          <w:rFonts w:cs="Calibri"/>
          <w:color w:val="000000"/>
        </w:rPr>
        <w:t xml:space="preserve">tailored information collections </w:t>
      </w:r>
      <w:r w:rsidRPr="00275459" w:rsidR="00364404">
        <w:rPr>
          <w:rFonts w:cs="Calibri"/>
          <w:color w:val="000000"/>
        </w:rPr>
        <w:t xml:space="preserve">can be conducted </w:t>
      </w:r>
      <w:r w:rsidRPr="00275459">
        <w:rPr>
          <w:rFonts w:cs="Calibri"/>
          <w:color w:val="000000"/>
        </w:rPr>
        <w:t>on an as-needed basis.</w:t>
      </w:r>
      <w:r w:rsidRPr="00275459" w:rsidR="00364404">
        <w:rPr>
          <w:rFonts w:cs="Calibri"/>
          <w:color w:val="000000"/>
        </w:rPr>
        <w:t xml:space="preserve"> </w:t>
      </w:r>
    </w:p>
    <w:p w:rsidRPr="00275459" w:rsidR="00A212E5" w:rsidP="00A212E5" w:rsidRDefault="00A212E5" w14:paraId="00311FCE" w14:textId="77777777">
      <w:pPr>
        <w:rPr>
          <w:rFonts w:cs="Calibri"/>
          <w:color w:val="000000"/>
        </w:rPr>
      </w:pPr>
    </w:p>
    <w:p w:rsidRPr="00275459" w:rsidR="00A212E5" w:rsidP="00574EA1" w:rsidRDefault="006F33E0" w14:paraId="5929A3DD" w14:textId="1B2FA9C9">
      <w:pPr>
        <w:rPr>
          <w:rFonts w:cs="Calibri"/>
          <w:color w:val="000000"/>
        </w:rPr>
      </w:pPr>
      <w:r w:rsidRPr="00275459">
        <w:rPr>
          <w:rFonts w:cs="Calibri"/>
          <w:color w:val="000000"/>
        </w:rPr>
        <w:t>This generic has helped to inform the health messages for DCPC’s campaigns (</w:t>
      </w:r>
      <w:r w:rsidRPr="00275459">
        <w:rPr>
          <w:rFonts w:cs="Calibri"/>
          <w:b/>
          <w:bCs/>
          <w:color w:val="000000"/>
        </w:rPr>
        <w:t xml:space="preserve">Attachment </w:t>
      </w:r>
      <w:r w:rsidRPr="00275459" w:rsidR="00BA70CD">
        <w:rPr>
          <w:rFonts w:cs="Calibri"/>
          <w:b/>
          <w:bCs/>
          <w:color w:val="000000"/>
        </w:rPr>
        <w:t>D</w:t>
      </w:r>
      <w:r w:rsidRPr="00275459">
        <w:rPr>
          <w:rFonts w:cs="Calibri"/>
          <w:color w:val="000000"/>
        </w:rPr>
        <w:t>)</w:t>
      </w:r>
      <w:r w:rsidR="005806DC">
        <w:rPr>
          <w:rFonts w:cs="Calibri"/>
          <w:color w:val="000000"/>
        </w:rPr>
        <w:t xml:space="preserve">. </w:t>
      </w:r>
      <w:r>
        <w:rPr>
          <w:rFonts w:cs="Calibri"/>
          <w:color w:val="000000"/>
        </w:rPr>
        <w:t>O</w:t>
      </w:r>
      <w:r w:rsidRPr="006F33E0">
        <w:rPr>
          <w:rFonts w:cs="Calibri"/>
          <w:color w:val="000000"/>
        </w:rPr>
        <w:t xml:space="preserve">ver the </w:t>
      </w:r>
      <w:r>
        <w:rPr>
          <w:rFonts w:cs="Calibri"/>
          <w:color w:val="000000"/>
        </w:rPr>
        <w:t xml:space="preserve">past </w:t>
      </w:r>
      <w:r w:rsidRPr="006F33E0">
        <w:rPr>
          <w:rFonts w:cs="Calibri"/>
          <w:color w:val="000000"/>
        </w:rPr>
        <w:t>three years</w:t>
      </w:r>
      <w:r>
        <w:rPr>
          <w:rFonts w:cs="Calibri"/>
          <w:color w:val="000000"/>
        </w:rPr>
        <w:t>, this generic has informed breast cancer in young women messages for African-American and American Indian/Alaska Native women</w:t>
      </w:r>
      <w:r w:rsidR="00574EA1">
        <w:rPr>
          <w:rFonts w:cs="Calibri"/>
          <w:color w:val="000000"/>
        </w:rPr>
        <w:t>. T</w:t>
      </w:r>
      <w:r>
        <w:rPr>
          <w:rFonts w:cs="Calibri"/>
          <w:color w:val="000000"/>
        </w:rPr>
        <w:t xml:space="preserve">he </w:t>
      </w:r>
      <w:r w:rsidR="00574EA1">
        <w:rPr>
          <w:rFonts w:cs="Calibri"/>
          <w:color w:val="000000"/>
        </w:rPr>
        <w:t>materials from these focus groups are in development</w:t>
      </w:r>
      <w:r>
        <w:rPr>
          <w:rFonts w:cs="Calibri"/>
          <w:color w:val="000000"/>
        </w:rPr>
        <w:t>.</w:t>
      </w:r>
    </w:p>
    <w:p w:rsidRPr="00275459" w:rsidR="00416985" w:rsidP="00887D2B" w:rsidRDefault="00416985" w14:paraId="14FEDAD6" w14:textId="77777777">
      <w:pPr>
        <w:rPr>
          <w:rFonts w:cs="Calibri"/>
          <w:color w:val="000000"/>
        </w:rPr>
      </w:pPr>
    </w:p>
    <w:p w:rsidRPr="00275459" w:rsidR="009C0923" w:rsidP="00574EA1" w:rsidRDefault="003A0A6B" w14:paraId="686BFACF" w14:textId="3F345A71">
      <w:pPr>
        <w:rPr>
          <w:rFonts w:cs="Calibri"/>
          <w:color w:val="000000"/>
        </w:rPr>
      </w:pPr>
      <w:r>
        <w:rPr>
          <w:rFonts w:cs="Calibri"/>
          <w:color w:val="000000"/>
        </w:rPr>
        <w:lastRenderedPageBreak/>
        <w:t xml:space="preserve">There is an opportunity to </w:t>
      </w:r>
      <w:r w:rsidR="00364404">
        <w:rPr>
          <w:rFonts w:cs="Calibri"/>
          <w:color w:val="000000"/>
        </w:rPr>
        <w:t>modify</w:t>
      </w:r>
      <w:r>
        <w:rPr>
          <w:rFonts w:cs="Calibri"/>
          <w:color w:val="000000"/>
        </w:rPr>
        <w:t xml:space="preserve"> our </w:t>
      </w:r>
      <w:r w:rsidR="00364404">
        <w:rPr>
          <w:rFonts w:cs="Calibri"/>
          <w:color w:val="000000"/>
        </w:rPr>
        <w:t xml:space="preserve">existing </w:t>
      </w:r>
      <w:r>
        <w:rPr>
          <w:rFonts w:cs="Calibri"/>
          <w:color w:val="000000"/>
        </w:rPr>
        <w:t>messages as new cohorts become eligible for recommended cancer screenings</w:t>
      </w:r>
      <w:r w:rsidR="00364404">
        <w:rPr>
          <w:rFonts w:cs="Calibri"/>
          <w:color w:val="000000"/>
        </w:rPr>
        <w:t xml:space="preserve">, increases in rates of new cancers that are diagnosed are reported (when rates are decreasing for all cancers combined), or as screening recommendations change. </w:t>
      </w:r>
    </w:p>
    <w:p w:rsidRPr="00275459" w:rsidR="009C0923" w:rsidP="000C3D48" w:rsidRDefault="009C0923" w14:paraId="559D63E5" w14:textId="77777777">
      <w:pPr>
        <w:rPr>
          <w:rFonts w:cs="Calibri"/>
          <w:color w:val="000000"/>
        </w:rPr>
      </w:pPr>
    </w:p>
    <w:p w:rsidRPr="00901D5E" w:rsidR="00DD3FBF" w:rsidP="00D23EE7" w:rsidRDefault="00DD3FBF" w14:paraId="5BBB99D5" w14:textId="77777777">
      <w:pPr>
        <w:pStyle w:val="Heading2"/>
        <w:rPr>
          <w:i/>
        </w:rPr>
      </w:pPr>
      <w:bookmarkStart w:name="_Toc74723224" w:id="10"/>
      <w:r w:rsidRPr="00901D5E">
        <w:t>A3. Use of Improved Information Technology and Burden Reduction</w:t>
      </w:r>
      <w:bookmarkEnd w:id="0"/>
      <w:bookmarkEnd w:id="10"/>
    </w:p>
    <w:p w:rsidRPr="00275459" w:rsidR="00DD3FBF" w:rsidP="00DD3FBF" w:rsidRDefault="00DD3FBF" w14:paraId="4709775D" w14:textId="77777777">
      <w:pPr>
        <w:rPr>
          <w:rFonts w:cs="Calibri"/>
          <w:color w:val="000000"/>
        </w:rPr>
      </w:pPr>
    </w:p>
    <w:p w:rsidRPr="00275459" w:rsidR="00F67236" w:rsidP="00B407C6" w:rsidRDefault="006B1F99" w14:paraId="513515B5" w14:textId="7411D704">
      <w:pPr>
        <w:rPr>
          <w:rFonts w:cs="Calibri"/>
          <w:color w:val="000000"/>
        </w:rPr>
      </w:pPr>
      <w:r w:rsidRPr="00275459">
        <w:rPr>
          <w:rFonts w:cs="Calibri"/>
          <w:color w:val="000000"/>
        </w:rPr>
        <w:t>E</w:t>
      </w:r>
      <w:r w:rsidRPr="00275459" w:rsidR="000F5E2B">
        <w:rPr>
          <w:rFonts w:cs="Calibri"/>
          <w:color w:val="000000"/>
        </w:rPr>
        <w:t>lectronic data collection methods</w:t>
      </w:r>
      <w:r w:rsidRPr="00275459">
        <w:rPr>
          <w:rFonts w:cs="Calibri"/>
          <w:color w:val="000000"/>
        </w:rPr>
        <w:t xml:space="preserve"> have limited applicability to focus groups</w:t>
      </w:r>
      <w:r w:rsidRPr="00275459" w:rsidR="000F5E2B">
        <w:rPr>
          <w:rFonts w:cs="Calibri"/>
          <w:color w:val="000000"/>
        </w:rPr>
        <w:t xml:space="preserve">, other than </w:t>
      </w:r>
      <w:r w:rsidRPr="00275459" w:rsidR="00EF1B83">
        <w:rPr>
          <w:rFonts w:cs="Calibri"/>
          <w:color w:val="000000"/>
        </w:rPr>
        <w:t xml:space="preserve">video- or </w:t>
      </w:r>
      <w:r w:rsidRPr="00275459" w:rsidR="000F5E2B">
        <w:rPr>
          <w:rFonts w:cs="Calibri"/>
          <w:color w:val="000000"/>
        </w:rPr>
        <w:t>audio-taping discussions. However, w</w:t>
      </w:r>
      <w:r w:rsidRPr="00275459" w:rsidR="00506C40">
        <w:rPr>
          <w:rFonts w:cs="Calibri"/>
          <w:color w:val="000000"/>
        </w:rPr>
        <w:t xml:space="preserve">henever possible, DCPC staff will employ </w:t>
      </w:r>
      <w:r w:rsidRPr="00275459" w:rsidR="000F5E2B">
        <w:rPr>
          <w:rFonts w:cs="Calibri"/>
          <w:color w:val="000000"/>
        </w:rPr>
        <w:t>electronic</w:t>
      </w:r>
      <w:r w:rsidRPr="00275459" w:rsidR="00506C40">
        <w:rPr>
          <w:rFonts w:cs="Calibri"/>
          <w:color w:val="000000"/>
        </w:rPr>
        <w:t xml:space="preserve"> technology to collect and process data in order to reduce respondent burden and aid in </w:t>
      </w:r>
      <w:r w:rsidRPr="00275459" w:rsidR="007A617B">
        <w:rPr>
          <w:rFonts w:cs="Calibri"/>
          <w:color w:val="000000"/>
        </w:rPr>
        <w:t xml:space="preserve">data processing and reporting </w:t>
      </w:r>
      <w:r w:rsidRPr="00275459" w:rsidR="00506C40">
        <w:rPr>
          <w:rFonts w:cs="Calibri"/>
          <w:color w:val="000000"/>
        </w:rPr>
        <w:t>efficiency.</w:t>
      </w:r>
      <w:r w:rsidRPr="00275459" w:rsidR="00B407C6">
        <w:rPr>
          <w:rFonts w:cs="Calibri"/>
          <w:color w:val="000000"/>
        </w:rPr>
        <w:t xml:space="preserve"> </w:t>
      </w:r>
    </w:p>
    <w:p w:rsidRPr="00275459" w:rsidR="00F67236" w:rsidP="00B407C6" w:rsidRDefault="00F67236" w14:paraId="7C8EA24F" w14:textId="77777777">
      <w:pPr>
        <w:rPr>
          <w:rFonts w:cs="Calibri"/>
          <w:color w:val="000000"/>
        </w:rPr>
      </w:pPr>
    </w:p>
    <w:p w:rsidRPr="00901D5E" w:rsidR="00FB2F91" w:rsidP="00FB2F91" w:rsidRDefault="00B407C6" w14:paraId="056F256E" w14:textId="536A20DA">
      <w:r w:rsidRPr="00901D5E">
        <w:t>Efforts have been made to design items that are easily understandable, not duplicative in nature, and least burdensome.</w:t>
      </w:r>
      <w:r w:rsidRPr="00901D5E" w:rsidR="007A617B">
        <w:t xml:space="preserve"> </w:t>
      </w:r>
      <w:r w:rsidRPr="00901D5E" w:rsidR="00561C87">
        <w:t xml:space="preserve">In all instances, the number of </w:t>
      </w:r>
      <w:r w:rsidRPr="00901D5E">
        <w:t>items</w:t>
      </w:r>
      <w:r w:rsidRPr="00901D5E" w:rsidR="00561C87">
        <w:t xml:space="preserve"> </w:t>
      </w:r>
      <w:r w:rsidRPr="00901D5E" w:rsidR="001E78F8">
        <w:t xml:space="preserve">posed </w:t>
      </w:r>
      <w:r w:rsidRPr="00901D5E" w:rsidR="00561C87">
        <w:t xml:space="preserve">will be held to the minimum required in order </w:t>
      </w:r>
      <w:r w:rsidRPr="00901D5E" w:rsidR="00EE60F5">
        <w:t xml:space="preserve">to </w:t>
      </w:r>
      <w:r w:rsidRPr="00901D5E" w:rsidR="0017252E">
        <w:t xml:space="preserve">elicit </w:t>
      </w:r>
      <w:r w:rsidRPr="00901D5E" w:rsidR="00B57773">
        <w:t xml:space="preserve">the necessary formative or materials-testing </w:t>
      </w:r>
      <w:r w:rsidRPr="00901D5E" w:rsidR="001E78F8">
        <w:t xml:space="preserve">data. </w:t>
      </w:r>
      <w:r w:rsidR="005C2D13">
        <w:t xml:space="preserve">One indirect cost of online modes </w:t>
      </w:r>
      <w:r w:rsidR="00C06675">
        <w:t>is</w:t>
      </w:r>
      <w:r w:rsidR="005C2D13">
        <w:t xml:space="preserve"> the saving in travel costs and facility rentals and in-depth interviews allows for flexibility of scheduling.</w:t>
      </w:r>
    </w:p>
    <w:p w:rsidRPr="00901D5E" w:rsidR="00713AF6" w:rsidP="00901D5E" w:rsidRDefault="00713AF6" w14:paraId="0CBC2554" w14:textId="77777777">
      <w:pPr>
        <w:rPr>
          <w:b/>
          <w:bCs/>
          <w:i/>
          <w:iCs/>
        </w:rPr>
      </w:pPr>
    </w:p>
    <w:p w:rsidRPr="00901D5E" w:rsidR="00DD3FBF" w:rsidP="00D23EE7" w:rsidRDefault="00DD3FBF" w14:paraId="28F0BDB1" w14:textId="77777777">
      <w:pPr>
        <w:pStyle w:val="Heading2"/>
        <w:rPr>
          <w:i/>
        </w:rPr>
      </w:pPr>
      <w:bookmarkStart w:name="_Toc74723225" w:id="11"/>
      <w:r w:rsidRPr="00901D5E">
        <w:t>A4. Efforts to Identify Duplication and Use of Similar Information</w:t>
      </w:r>
      <w:bookmarkEnd w:id="11"/>
      <w:r w:rsidRPr="00901D5E">
        <w:t xml:space="preserve"> </w:t>
      </w:r>
    </w:p>
    <w:p w:rsidRPr="00275459" w:rsidR="00DD3FBF" w:rsidP="00DD3FBF" w:rsidRDefault="00DD3FBF" w14:paraId="36A9EF4A" w14:textId="77777777">
      <w:pPr>
        <w:rPr>
          <w:rFonts w:cs="Calibri"/>
          <w:color w:val="000000"/>
        </w:rPr>
      </w:pPr>
    </w:p>
    <w:p w:rsidRPr="00F57FE7" w:rsidR="00DD3FBF" w:rsidP="009C3EFB" w:rsidRDefault="00DD3FBF" w14:paraId="304DC85E" w14:textId="1CDCB719">
      <w:pPr>
        <w:rPr>
          <w:rFonts w:cs="Calibri"/>
          <w:iCs/>
          <w:color w:val="000000"/>
        </w:rPr>
      </w:pPr>
      <w:r w:rsidRPr="00275459">
        <w:rPr>
          <w:rFonts w:cs="Calibri"/>
          <w:color w:val="000000"/>
        </w:rPr>
        <w:t>CDC has determined that the planned data collection efforts do not duplicate any other current or previous data collection efforts</w:t>
      </w:r>
      <w:r w:rsidR="00395D4F">
        <w:rPr>
          <w:rFonts w:cs="Calibri"/>
          <w:color w:val="000000"/>
        </w:rPr>
        <w:t xml:space="preserve"> </w:t>
      </w:r>
      <w:r w:rsidR="00D261CF">
        <w:rPr>
          <w:rFonts w:cs="Calibri"/>
          <w:color w:val="000000"/>
        </w:rPr>
        <w:t>at other Federal agencies</w:t>
      </w:r>
      <w:r w:rsidRPr="00275459">
        <w:rPr>
          <w:rFonts w:cs="Calibri"/>
          <w:color w:val="000000"/>
        </w:rPr>
        <w:t>.</w:t>
      </w:r>
      <w:r w:rsidR="00D261CF">
        <w:rPr>
          <w:rFonts w:cs="Calibri"/>
          <w:color w:val="000000"/>
        </w:rPr>
        <w:t xml:space="preserve"> Congress </w:t>
      </w:r>
      <w:r w:rsidR="00BF60F7">
        <w:rPr>
          <w:rFonts w:cs="Calibri"/>
          <w:color w:val="000000"/>
        </w:rPr>
        <w:t xml:space="preserve">has authorized CDC to </w:t>
      </w:r>
      <w:r w:rsidR="00945C26">
        <w:rPr>
          <w:rFonts w:cs="Calibri"/>
          <w:color w:val="000000"/>
        </w:rPr>
        <w:t>manage</w:t>
      </w:r>
      <w:r w:rsidR="00FB2DB8">
        <w:rPr>
          <w:rFonts w:cs="Calibri"/>
          <w:color w:val="000000"/>
        </w:rPr>
        <w:t xml:space="preserve"> </w:t>
      </w:r>
      <w:r w:rsidRPr="00901D5E" w:rsidR="00D20DF7">
        <w:rPr>
          <w:i/>
        </w:rPr>
        <w:t>Inside Knowledge: Get the Facts About Gynecologic Cancer Campaign</w:t>
      </w:r>
      <w:r w:rsidR="00D20DF7">
        <w:rPr>
          <w:i/>
          <w:iCs/>
        </w:rPr>
        <w:t xml:space="preserve"> </w:t>
      </w:r>
      <w:r w:rsidR="00D20DF7">
        <w:t xml:space="preserve">and </w:t>
      </w:r>
      <w:r w:rsidR="00D20DF7">
        <w:rPr>
          <w:i/>
          <w:iCs/>
        </w:rPr>
        <w:t>Bring Your Brave</w:t>
      </w:r>
      <w:r w:rsidR="00D20DF7">
        <w:t xml:space="preserve">. </w:t>
      </w:r>
      <w:r w:rsidR="00F57FE7">
        <w:t>The</w:t>
      </w:r>
      <w:r w:rsidRPr="00901D5E" w:rsidR="00D20DF7">
        <w:t xml:space="preserve"> </w:t>
      </w:r>
      <w:r w:rsidRPr="00901D5E" w:rsidR="00D20DF7">
        <w:rPr>
          <w:i/>
        </w:rPr>
        <w:t>Screen for Life: National Colorectal Cancer Action Campaign</w:t>
      </w:r>
      <w:r w:rsidR="00F57FE7">
        <w:rPr>
          <w:iCs/>
        </w:rPr>
        <w:t xml:space="preserve"> has been </w:t>
      </w:r>
      <w:r w:rsidR="00B95CB6">
        <w:rPr>
          <w:iCs/>
        </w:rPr>
        <w:t>managed by CDC for more than 20 years.</w:t>
      </w:r>
    </w:p>
    <w:p w:rsidRPr="00275459" w:rsidR="00DD3FBF" w:rsidP="00DD3FBF" w:rsidRDefault="00DD3FBF" w14:paraId="330C99DD" w14:textId="77777777">
      <w:pPr>
        <w:rPr>
          <w:rFonts w:cs="Calibri"/>
          <w:color w:val="000000"/>
        </w:rPr>
      </w:pPr>
    </w:p>
    <w:p w:rsidRPr="00901D5E" w:rsidR="00DD3FBF" w:rsidP="00D23EE7" w:rsidRDefault="00DD3FBF" w14:paraId="0577735A" w14:textId="77777777">
      <w:pPr>
        <w:pStyle w:val="Heading2"/>
      </w:pPr>
      <w:bookmarkStart w:name="_Toc74723226" w:id="12"/>
      <w:r w:rsidRPr="00901D5E">
        <w:t>A5. Impact on Small Businesses or Other Small Entities</w:t>
      </w:r>
      <w:bookmarkEnd w:id="12"/>
    </w:p>
    <w:p w:rsidRPr="00275459" w:rsidR="00DD3FBF" w:rsidP="00DD3FBF" w:rsidRDefault="00DD3FBF" w14:paraId="529102C9" w14:textId="77777777">
      <w:pPr>
        <w:rPr>
          <w:rFonts w:cs="Calibri"/>
          <w:color w:val="000000"/>
        </w:rPr>
      </w:pPr>
    </w:p>
    <w:p w:rsidRPr="00275459" w:rsidR="00FB2F91" w:rsidP="005B5EF9" w:rsidRDefault="00065135" w14:paraId="058EA3AD" w14:textId="3B7AC29A">
      <w:pPr>
        <w:rPr>
          <w:rFonts w:cs="Calibri"/>
          <w:color w:val="000000"/>
        </w:rPr>
      </w:pPr>
      <w:r w:rsidRPr="00275459">
        <w:rPr>
          <w:rFonts w:cs="Calibri"/>
          <w:color w:val="000000"/>
        </w:rPr>
        <w:t xml:space="preserve">As is the case with </w:t>
      </w:r>
      <w:r w:rsidRPr="00275459" w:rsidR="003564F7">
        <w:rPr>
          <w:rFonts w:cs="Calibri"/>
          <w:color w:val="000000"/>
        </w:rPr>
        <w:t xml:space="preserve">many </w:t>
      </w:r>
      <w:r w:rsidRPr="00275459">
        <w:rPr>
          <w:rFonts w:cs="Calibri"/>
          <w:color w:val="000000"/>
        </w:rPr>
        <w:t>communication campaigns</w:t>
      </w:r>
      <w:r w:rsidRPr="00275459" w:rsidR="005C2D13">
        <w:rPr>
          <w:rFonts w:cs="Calibri"/>
          <w:color w:val="000000"/>
        </w:rPr>
        <w:t>, DCPC</w:t>
      </w:r>
      <w:r w:rsidRPr="00275459">
        <w:rPr>
          <w:rFonts w:cs="Calibri"/>
          <w:color w:val="000000"/>
        </w:rPr>
        <w:t xml:space="preserve"> incorporate</w:t>
      </w:r>
      <w:r w:rsidRPr="00275459" w:rsidR="005C2D13">
        <w:rPr>
          <w:rFonts w:cs="Calibri"/>
          <w:color w:val="000000"/>
        </w:rPr>
        <w:t>s</w:t>
      </w:r>
      <w:r w:rsidRPr="00275459">
        <w:rPr>
          <w:rFonts w:cs="Calibri"/>
          <w:color w:val="000000"/>
        </w:rPr>
        <w:t xml:space="preserve"> health </w:t>
      </w:r>
      <w:r w:rsidRPr="00275459" w:rsidR="00497905">
        <w:rPr>
          <w:rFonts w:cs="Calibri"/>
          <w:color w:val="000000"/>
        </w:rPr>
        <w:t xml:space="preserve">care </w:t>
      </w:r>
      <w:r w:rsidRPr="00275459" w:rsidR="00B97F0A">
        <w:rPr>
          <w:rFonts w:cs="Calibri"/>
          <w:color w:val="000000"/>
        </w:rPr>
        <w:t xml:space="preserve">professionals </w:t>
      </w:r>
      <w:r w:rsidRPr="00275459">
        <w:rPr>
          <w:rFonts w:cs="Calibri"/>
          <w:color w:val="000000"/>
        </w:rPr>
        <w:t>into the target population</w:t>
      </w:r>
      <w:r w:rsidRPr="00275459" w:rsidR="005C2D13">
        <w:rPr>
          <w:rFonts w:cs="Calibri"/>
          <w:color w:val="000000"/>
        </w:rPr>
        <w:t>s</w:t>
      </w:r>
      <w:r w:rsidRPr="00275459">
        <w:rPr>
          <w:rFonts w:cs="Calibri"/>
          <w:color w:val="000000"/>
        </w:rPr>
        <w:t xml:space="preserve">. </w:t>
      </w:r>
      <w:r w:rsidRPr="00275459" w:rsidR="003564F7">
        <w:rPr>
          <w:rFonts w:cs="Calibri"/>
          <w:color w:val="000000"/>
        </w:rPr>
        <w:t>When formative</w:t>
      </w:r>
      <w:r w:rsidRPr="00275459" w:rsidR="00B57773">
        <w:rPr>
          <w:rFonts w:cs="Calibri"/>
          <w:color w:val="000000"/>
        </w:rPr>
        <w:t>, materials-testing,</w:t>
      </w:r>
      <w:r w:rsidRPr="00275459" w:rsidR="003564F7">
        <w:rPr>
          <w:rFonts w:cs="Calibri"/>
          <w:color w:val="000000"/>
        </w:rPr>
        <w:t xml:space="preserve"> and/or outcome research is a necessity with this audience, CDC works through established medical and professional societi</w:t>
      </w:r>
      <w:r w:rsidRPr="00275459" w:rsidR="00821D15">
        <w:rPr>
          <w:rFonts w:cs="Calibri"/>
          <w:color w:val="000000"/>
        </w:rPr>
        <w:t xml:space="preserve">es </w:t>
      </w:r>
      <w:r w:rsidRPr="00275459" w:rsidR="00B57773">
        <w:rPr>
          <w:rFonts w:cs="Calibri"/>
          <w:color w:val="000000"/>
        </w:rPr>
        <w:t xml:space="preserve">and contractors </w:t>
      </w:r>
      <w:r w:rsidRPr="00275459" w:rsidR="00821D15">
        <w:rPr>
          <w:rFonts w:cs="Calibri"/>
          <w:color w:val="000000"/>
        </w:rPr>
        <w:t xml:space="preserve">to gain access and obtain necessary participation. </w:t>
      </w:r>
      <w:r w:rsidRPr="00275459" w:rsidR="005C2D13">
        <w:rPr>
          <w:rFonts w:cs="Calibri"/>
          <w:color w:val="000000"/>
        </w:rPr>
        <w:t>E</w:t>
      </w:r>
      <w:r w:rsidRPr="00275459" w:rsidR="002A7D6E">
        <w:rPr>
          <w:rFonts w:cs="Calibri"/>
          <w:color w:val="000000"/>
        </w:rPr>
        <w:t>fforts will be carefully planned to minimize the burden on physician practices and other small entities</w:t>
      </w:r>
      <w:r w:rsidRPr="00275459" w:rsidR="00821D15">
        <w:rPr>
          <w:rFonts w:cs="Calibri"/>
          <w:color w:val="000000"/>
        </w:rPr>
        <w:t>.</w:t>
      </w:r>
    </w:p>
    <w:p w:rsidRPr="00D23EE7" w:rsidR="00B53B14" w:rsidP="00901D5E" w:rsidRDefault="00B53B14" w14:paraId="7C94FEE3" w14:textId="77777777">
      <w:pPr>
        <w:rPr>
          <w:rFonts w:cs="Calibri"/>
          <w:color w:val="000000"/>
        </w:rPr>
      </w:pPr>
    </w:p>
    <w:p w:rsidRPr="00D23EE7" w:rsidR="00DD3FBF" w:rsidP="00D23EE7" w:rsidRDefault="00DD3FBF" w14:paraId="7B0333D0" w14:textId="77777777">
      <w:pPr>
        <w:pStyle w:val="Heading2"/>
        <w:rPr>
          <w:b w:val="0"/>
          <w:bCs w:val="0"/>
          <w:iCs w:val="0"/>
        </w:rPr>
      </w:pPr>
      <w:bookmarkStart w:name="_Toc74723227" w:id="13"/>
      <w:r w:rsidRPr="00901D5E">
        <w:t>A6. Consequences of Collecting the Information Less Frequently</w:t>
      </w:r>
      <w:bookmarkEnd w:id="13"/>
    </w:p>
    <w:p w:rsidRPr="00275459" w:rsidR="00DD3FBF" w:rsidP="00DD3FBF" w:rsidRDefault="00DD3FBF" w14:paraId="44E79B63" w14:textId="77777777">
      <w:pPr>
        <w:rPr>
          <w:rFonts w:cs="Calibri"/>
          <w:color w:val="000000"/>
        </w:rPr>
      </w:pPr>
    </w:p>
    <w:p w:rsidRPr="00275459" w:rsidR="00C62340" w:rsidP="00412126" w:rsidRDefault="00E13F43" w14:paraId="0441034E" w14:textId="2014B341">
      <w:pPr>
        <w:rPr>
          <w:rFonts w:cs="Calibri"/>
          <w:color w:val="000000"/>
        </w:rPr>
      </w:pPr>
      <w:r w:rsidRPr="00275459">
        <w:rPr>
          <w:rFonts w:cs="Calibri"/>
          <w:color w:val="000000"/>
        </w:rPr>
        <w:t xml:space="preserve">As the </w:t>
      </w:r>
      <w:r w:rsidRPr="00275459" w:rsidR="005C2D13">
        <w:rPr>
          <w:rFonts w:cs="Calibri"/>
          <w:color w:val="000000"/>
        </w:rPr>
        <w:t>HCP</w:t>
      </w:r>
      <w:r w:rsidRPr="00275459">
        <w:rPr>
          <w:rFonts w:cs="Calibri"/>
          <w:color w:val="000000"/>
        </w:rPr>
        <w:t xml:space="preserve"> illustrates, formative </w:t>
      </w:r>
      <w:r w:rsidRPr="00275459" w:rsidR="00A73A49">
        <w:rPr>
          <w:rFonts w:cs="Calibri"/>
          <w:color w:val="000000"/>
        </w:rPr>
        <w:t>evaluation is a critical segment</w:t>
      </w:r>
      <w:r w:rsidRPr="00275459">
        <w:rPr>
          <w:rFonts w:cs="Calibri"/>
          <w:color w:val="000000"/>
        </w:rPr>
        <w:t xml:space="preserve"> of a scientifically sound campaign effort. Formative </w:t>
      </w:r>
      <w:r w:rsidRPr="00275459" w:rsidR="000B5638">
        <w:rPr>
          <w:rFonts w:cs="Calibri"/>
          <w:color w:val="000000"/>
        </w:rPr>
        <w:t>evaluation</w:t>
      </w:r>
      <w:r w:rsidRPr="00275459">
        <w:rPr>
          <w:rFonts w:cs="Calibri"/>
          <w:color w:val="000000"/>
        </w:rPr>
        <w:t xml:space="preserve">, often encompassing concept, message, and materials testing activities, </w:t>
      </w:r>
      <w:r w:rsidRPr="00275459" w:rsidR="00412126">
        <w:rPr>
          <w:rFonts w:cs="Calibri"/>
          <w:color w:val="000000"/>
        </w:rPr>
        <w:t xml:space="preserve">is essential in pre-testing </w:t>
      </w:r>
      <w:r w:rsidRPr="00275459" w:rsidR="001456D2">
        <w:rPr>
          <w:rFonts w:cs="Calibri"/>
          <w:color w:val="000000"/>
        </w:rPr>
        <w:t xml:space="preserve">materials to evaluate a wide variety of dimensions that include, but are not limited to, </w:t>
      </w:r>
      <w:r w:rsidRPr="00275459" w:rsidR="00C51ABC">
        <w:rPr>
          <w:rFonts w:cs="Calibri"/>
          <w:color w:val="000000"/>
        </w:rPr>
        <w:t xml:space="preserve">appeal, </w:t>
      </w:r>
      <w:r w:rsidRPr="00275459" w:rsidR="00412126">
        <w:rPr>
          <w:rFonts w:cs="Calibri"/>
          <w:color w:val="000000"/>
        </w:rPr>
        <w:t>saliency, clarity, cultural appropriateness and readability/understandabilit</w:t>
      </w:r>
      <w:r w:rsidRPr="00275459" w:rsidR="00697D45">
        <w:rPr>
          <w:rFonts w:cs="Calibri"/>
          <w:color w:val="000000"/>
        </w:rPr>
        <w:t xml:space="preserve">y. If </w:t>
      </w:r>
      <w:r w:rsidRPr="00275459" w:rsidR="00C51ABC">
        <w:rPr>
          <w:rFonts w:cs="Calibri"/>
          <w:color w:val="000000"/>
        </w:rPr>
        <w:t xml:space="preserve">a concept and/or a message </w:t>
      </w:r>
      <w:r w:rsidRPr="00275459" w:rsidR="0019175E">
        <w:rPr>
          <w:rFonts w:cs="Calibri"/>
          <w:color w:val="000000"/>
        </w:rPr>
        <w:t xml:space="preserve">is </w:t>
      </w:r>
      <w:r w:rsidRPr="00275459" w:rsidR="00412126">
        <w:rPr>
          <w:rFonts w:cs="Calibri"/>
          <w:color w:val="000000"/>
        </w:rPr>
        <w:t>not tested</w:t>
      </w:r>
      <w:r w:rsidRPr="00275459" w:rsidR="000B5638">
        <w:rPr>
          <w:rFonts w:cs="Calibri"/>
          <w:color w:val="000000"/>
        </w:rPr>
        <w:t>,</w:t>
      </w:r>
      <w:r w:rsidRPr="00275459" w:rsidR="00412126">
        <w:rPr>
          <w:rFonts w:cs="Calibri"/>
          <w:color w:val="000000"/>
        </w:rPr>
        <w:t xml:space="preserve"> then resources could be expended without </w:t>
      </w:r>
      <w:r w:rsidRPr="00275459" w:rsidR="001121E5">
        <w:rPr>
          <w:rFonts w:cs="Calibri"/>
          <w:color w:val="000000"/>
        </w:rPr>
        <w:t>necessary attention and preparation paid to the</w:t>
      </w:r>
      <w:r w:rsidRPr="00275459" w:rsidR="00412126">
        <w:rPr>
          <w:rFonts w:cs="Calibri"/>
          <w:color w:val="000000"/>
        </w:rPr>
        <w:t xml:space="preserve"> </w:t>
      </w:r>
      <w:r w:rsidRPr="00275459" w:rsidR="00C51ABC">
        <w:rPr>
          <w:rFonts w:cs="Calibri"/>
          <w:color w:val="000000"/>
        </w:rPr>
        <w:t xml:space="preserve">overall communication </w:t>
      </w:r>
      <w:r w:rsidRPr="00275459" w:rsidR="00C51ABC">
        <w:rPr>
          <w:rFonts w:cs="Calibri"/>
          <w:color w:val="000000"/>
        </w:rPr>
        <w:lastRenderedPageBreak/>
        <w:t>objective</w:t>
      </w:r>
      <w:r w:rsidRPr="00275459" w:rsidR="00412126">
        <w:rPr>
          <w:rFonts w:cs="Calibri"/>
          <w:color w:val="000000"/>
        </w:rPr>
        <w:t>.</w:t>
      </w:r>
      <w:r w:rsidRPr="00275459" w:rsidR="00C51ABC">
        <w:rPr>
          <w:rFonts w:cs="Calibri"/>
          <w:color w:val="000000"/>
        </w:rPr>
        <w:t xml:space="preserve"> Forgoing testing can also increase the likelihood of unintended consequences from an i</w:t>
      </w:r>
      <w:r w:rsidRPr="00275459" w:rsidR="00C416B9">
        <w:rPr>
          <w:rFonts w:cs="Calibri"/>
          <w:color w:val="000000"/>
        </w:rPr>
        <w:t xml:space="preserve">rrelevantly perceived message and/or </w:t>
      </w:r>
      <w:r w:rsidRPr="00275459" w:rsidR="00C51ABC">
        <w:rPr>
          <w:rFonts w:cs="Calibri"/>
          <w:color w:val="000000"/>
        </w:rPr>
        <w:t>decreased credibility of an organization and/or a Federal health official (Wallendorf, 2001 &amp; Harris-Kojetin et. al, 2001).</w:t>
      </w:r>
      <w:r w:rsidRPr="00275459" w:rsidR="00412126">
        <w:rPr>
          <w:rFonts w:cs="Calibri"/>
          <w:color w:val="000000"/>
        </w:rPr>
        <w:t xml:space="preserve"> </w:t>
      </w:r>
      <w:r w:rsidRPr="00275459" w:rsidR="00C51ABC">
        <w:rPr>
          <w:rFonts w:cs="Calibri"/>
          <w:color w:val="000000"/>
        </w:rPr>
        <w:t>Finally</w:t>
      </w:r>
      <w:r w:rsidRPr="00275459" w:rsidR="00412126">
        <w:rPr>
          <w:rFonts w:cs="Calibri"/>
          <w:color w:val="000000"/>
        </w:rPr>
        <w:t>, if materials are not te</w:t>
      </w:r>
      <w:r w:rsidRPr="00275459" w:rsidR="009C6F30">
        <w:rPr>
          <w:rFonts w:cs="Calibri"/>
          <w:color w:val="000000"/>
        </w:rPr>
        <w:t xml:space="preserve">sted with the intended audience, </w:t>
      </w:r>
      <w:r w:rsidRPr="00275459" w:rsidR="00412126">
        <w:rPr>
          <w:rFonts w:cs="Calibri"/>
          <w:color w:val="000000"/>
        </w:rPr>
        <w:t>a poor execution</w:t>
      </w:r>
      <w:r w:rsidRPr="00275459" w:rsidR="00C51ABC">
        <w:rPr>
          <w:rFonts w:cs="Calibri"/>
          <w:color w:val="000000"/>
        </w:rPr>
        <w:t xml:space="preserve"> strategy</w:t>
      </w:r>
      <w:r w:rsidRPr="00275459" w:rsidR="00412126">
        <w:rPr>
          <w:rFonts w:cs="Calibri"/>
          <w:color w:val="000000"/>
        </w:rPr>
        <w:t xml:space="preserve"> could weaken a sound concept. </w:t>
      </w:r>
    </w:p>
    <w:p w:rsidRPr="00901D5E" w:rsidR="00C62340" w:rsidP="00901D5E" w:rsidRDefault="00C62340" w14:paraId="4D286EBF" w14:textId="77777777"/>
    <w:p w:rsidRPr="00901D5E" w:rsidR="00B75F07" w:rsidP="00901D5E" w:rsidRDefault="00B75F07" w14:paraId="232D840F" w14:textId="77777777">
      <w:r w:rsidRPr="00901D5E">
        <w:t xml:space="preserve">There are no legal obstacles to reducing the burden. </w:t>
      </w:r>
    </w:p>
    <w:p w:rsidRPr="00901D5E" w:rsidR="00B75F07" w:rsidP="00901D5E" w:rsidRDefault="00B75F07" w14:paraId="242FF1CB" w14:textId="77777777"/>
    <w:p w:rsidRPr="00901D5E" w:rsidR="00DD3FBF" w:rsidP="005067A7" w:rsidRDefault="00DD3FBF" w14:paraId="7EA2D019" w14:textId="77777777">
      <w:pPr>
        <w:pStyle w:val="Heading2"/>
        <w:rPr>
          <w:i/>
        </w:rPr>
      </w:pPr>
      <w:bookmarkStart w:name="_Toc74723228" w:id="14"/>
      <w:r w:rsidRPr="00901D5E">
        <w:t>A7. Special Circumstances Relating to the Guidelines of 5 CFR 1320.5</w:t>
      </w:r>
      <w:bookmarkEnd w:id="14"/>
    </w:p>
    <w:p w:rsidRPr="00275459" w:rsidR="00DD3FBF" w:rsidP="00DD3FBF" w:rsidRDefault="00DD3FBF" w14:paraId="471653A1" w14:textId="77777777">
      <w:pPr>
        <w:rPr>
          <w:rFonts w:cs="Calibri"/>
          <w:color w:val="000000"/>
        </w:rPr>
      </w:pPr>
    </w:p>
    <w:p w:rsidRPr="00901D5E" w:rsidR="00DD3FBF" w:rsidP="00FB2F91" w:rsidRDefault="006D6E58" w14:paraId="2F4F8FB9" w14:textId="10FD1F5D">
      <w:r w:rsidRPr="00901D5E">
        <w:t>There are no special circumstances. The activities outlined in this package</w:t>
      </w:r>
      <w:r w:rsidRPr="00901D5E" w:rsidR="00C416B9">
        <w:t xml:space="preserve"> fully comply</w:t>
      </w:r>
      <w:r w:rsidRPr="00901D5E" w:rsidR="00DD3FBF">
        <w:t xml:space="preserve"> with all guidelines of 5 CFR 1320.5.</w:t>
      </w:r>
    </w:p>
    <w:p w:rsidRPr="00275459" w:rsidR="00DB656C" w:rsidP="00DD3FBF" w:rsidRDefault="00DB656C" w14:paraId="1A4965AE" w14:textId="77777777">
      <w:pPr>
        <w:rPr>
          <w:rFonts w:cs="Calibri"/>
          <w:color w:val="000000"/>
        </w:rPr>
      </w:pPr>
    </w:p>
    <w:p w:rsidRPr="005067A7" w:rsidR="00DD3FBF" w:rsidP="005067A7" w:rsidRDefault="00DD3FBF" w14:paraId="0CCE83E7" w14:textId="3FB8E408">
      <w:pPr>
        <w:pStyle w:val="Heading2"/>
        <w:rPr>
          <w:iCs w:val="0"/>
        </w:rPr>
      </w:pPr>
      <w:bookmarkStart w:name="_Toc74723229" w:id="15"/>
      <w:r w:rsidRPr="00901D5E">
        <w:t>A8. Comments in Response to the Federal Register Notice and Efforts to Consult Outside the Agency</w:t>
      </w:r>
      <w:bookmarkEnd w:id="15"/>
    </w:p>
    <w:p w:rsidRPr="00275459" w:rsidR="00DD3FBF" w:rsidP="00DD3FBF" w:rsidRDefault="00DD3FBF" w14:paraId="69A6F787" w14:textId="77777777">
      <w:pPr>
        <w:rPr>
          <w:rFonts w:cs="Calibri"/>
          <w:b/>
          <w:color w:val="000000"/>
        </w:rPr>
      </w:pPr>
    </w:p>
    <w:p w:rsidRPr="00EE0EF4" w:rsidR="002B4E43" w:rsidP="00EE0EF4" w:rsidRDefault="002B4E43" w14:paraId="4572E23D" w14:textId="552D8041">
      <w:pPr>
        <w:ind w:left="720"/>
        <w:rPr>
          <w:b/>
          <w:bCs/>
        </w:rPr>
      </w:pPr>
      <w:r w:rsidRPr="00EE0EF4">
        <w:rPr>
          <w:b/>
          <w:bCs/>
        </w:rPr>
        <w:t xml:space="preserve">A8.a </w:t>
      </w:r>
      <w:r w:rsidRPr="00EE0EF4" w:rsidR="00656E2D">
        <w:rPr>
          <w:b/>
          <w:bCs/>
        </w:rPr>
        <w:t>Public</w:t>
      </w:r>
      <w:r w:rsidRPr="00EE0EF4">
        <w:rPr>
          <w:b/>
          <w:bCs/>
        </w:rPr>
        <w:t xml:space="preserve"> Notice</w:t>
      </w:r>
    </w:p>
    <w:p w:rsidRPr="00275459" w:rsidR="002B4E43" w:rsidP="00901D5E" w:rsidRDefault="002B4E43" w14:paraId="635E2316" w14:textId="77777777">
      <w:pPr>
        <w:ind w:left="720"/>
        <w:rPr>
          <w:rFonts w:cs="Calibri"/>
          <w:color w:val="000000"/>
        </w:rPr>
      </w:pPr>
    </w:p>
    <w:p w:rsidRPr="00275459" w:rsidR="00DD3FBF" w:rsidP="00901D5E" w:rsidRDefault="006075F0" w14:paraId="2D74F688" w14:textId="419D6DD2">
      <w:pPr>
        <w:ind w:left="720"/>
        <w:rPr>
          <w:rFonts w:cs="Calibri"/>
          <w:color w:val="000000"/>
        </w:rPr>
      </w:pPr>
      <w:r w:rsidRPr="00275459">
        <w:rPr>
          <w:rFonts w:cs="Calibri"/>
          <w:color w:val="000000"/>
        </w:rPr>
        <w:t>As required by 5 CFR 1320.8(d), a</w:t>
      </w:r>
      <w:r w:rsidRPr="00275459" w:rsidR="00DD3FBF">
        <w:rPr>
          <w:rFonts w:cs="Calibri"/>
          <w:color w:val="000000"/>
        </w:rPr>
        <w:t xml:space="preserve"> notice for public comments was published in the Fe</w:t>
      </w:r>
      <w:r w:rsidRPr="00275459" w:rsidR="00F14066">
        <w:rPr>
          <w:rFonts w:cs="Calibri"/>
          <w:color w:val="000000"/>
        </w:rPr>
        <w:t xml:space="preserve">deral Register on </w:t>
      </w:r>
      <w:r w:rsidR="00F74B34">
        <w:rPr>
          <w:rFonts w:cs="Calibri"/>
          <w:color w:val="000000"/>
        </w:rPr>
        <w:t>July 26, 2021</w:t>
      </w:r>
      <w:r w:rsidRPr="00275459" w:rsidR="00656E2D">
        <w:rPr>
          <w:rFonts w:cs="Calibri"/>
          <w:color w:val="000000"/>
        </w:rPr>
        <w:t xml:space="preserve"> </w:t>
      </w:r>
      <w:r w:rsidRPr="00275459" w:rsidR="00B619E7">
        <w:rPr>
          <w:rFonts w:cs="Calibri"/>
          <w:color w:val="000000"/>
        </w:rPr>
        <w:t xml:space="preserve">(Vol. </w:t>
      </w:r>
      <w:r w:rsidR="00F74B34">
        <w:rPr>
          <w:rFonts w:cs="Calibri"/>
          <w:color w:val="000000"/>
        </w:rPr>
        <w:t>86</w:t>
      </w:r>
      <w:r w:rsidRPr="00275459" w:rsidR="00B619E7">
        <w:rPr>
          <w:rFonts w:cs="Calibri"/>
          <w:color w:val="000000"/>
        </w:rPr>
        <w:t xml:space="preserve">, </w:t>
      </w:r>
      <w:r w:rsidR="00DC529D">
        <w:rPr>
          <w:rFonts w:cs="Calibri"/>
          <w:color w:val="000000"/>
        </w:rPr>
        <w:t>FR</w:t>
      </w:r>
      <w:r w:rsidRPr="00275459" w:rsidR="00B619E7">
        <w:rPr>
          <w:rFonts w:cs="Calibri"/>
          <w:color w:val="000000"/>
        </w:rPr>
        <w:t xml:space="preserve">. </w:t>
      </w:r>
      <w:r w:rsidR="00DC529D">
        <w:rPr>
          <w:rFonts w:cs="Calibri"/>
          <w:color w:val="000000"/>
        </w:rPr>
        <w:t>40050</w:t>
      </w:r>
      <w:r w:rsidRPr="00275459" w:rsidR="00B619E7">
        <w:rPr>
          <w:rFonts w:cs="Calibri"/>
          <w:color w:val="000000"/>
        </w:rPr>
        <w:t>, page</w:t>
      </w:r>
      <w:r w:rsidRPr="00275459" w:rsidR="0089386C">
        <w:rPr>
          <w:rFonts w:cs="Calibri"/>
          <w:color w:val="000000"/>
        </w:rPr>
        <w:t>s</w:t>
      </w:r>
      <w:r w:rsidRPr="00275459" w:rsidR="00B619E7">
        <w:rPr>
          <w:rFonts w:cs="Calibri"/>
          <w:color w:val="000000"/>
        </w:rPr>
        <w:t xml:space="preserve"> </w:t>
      </w:r>
      <w:r w:rsidR="00F74B34">
        <w:rPr>
          <w:rFonts w:cs="Calibri"/>
          <w:color w:val="000000"/>
        </w:rPr>
        <w:t>40050-40051</w:t>
      </w:r>
      <w:r w:rsidRPr="00275459" w:rsidR="0089386C">
        <w:rPr>
          <w:rFonts w:cs="Calibri"/>
          <w:color w:val="000000"/>
        </w:rPr>
        <w:t xml:space="preserve">; </w:t>
      </w:r>
      <w:r w:rsidRPr="00275459" w:rsidR="0089386C">
        <w:rPr>
          <w:rFonts w:cs="Calibri"/>
          <w:b/>
          <w:bCs/>
          <w:color w:val="000000"/>
        </w:rPr>
        <w:t>Appendix B</w:t>
      </w:r>
      <w:r w:rsidRPr="00275459" w:rsidR="00DD3FBF">
        <w:rPr>
          <w:rFonts w:cs="Calibri"/>
          <w:color w:val="000000"/>
        </w:rPr>
        <w:t xml:space="preserve">).  </w:t>
      </w:r>
    </w:p>
    <w:p w:rsidRPr="00275459" w:rsidR="00D53819" w:rsidP="00901D5E" w:rsidRDefault="00D53819" w14:paraId="7B229CB0" w14:textId="77777777">
      <w:pPr>
        <w:ind w:left="720"/>
        <w:rPr>
          <w:rFonts w:cs="Calibri"/>
          <w:color w:val="000000"/>
        </w:rPr>
      </w:pPr>
    </w:p>
    <w:p w:rsidRPr="00EE0EF4" w:rsidR="00E5102E" w:rsidP="00EE0EF4" w:rsidRDefault="00E5102E" w14:paraId="79E2119B" w14:textId="66D18319">
      <w:pPr>
        <w:ind w:left="720"/>
        <w:rPr>
          <w:b/>
          <w:bCs/>
        </w:rPr>
      </w:pPr>
      <w:r w:rsidRPr="00EE0EF4">
        <w:rPr>
          <w:b/>
          <w:bCs/>
        </w:rPr>
        <w:t xml:space="preserve">A8.b </w:t>
      </w:r>
      <w:r w:rsidRPr="00EE0EF4" w:rsidR="00656E2D">
        <w:rPr>
          <w:b/>
          <w:bCs/>
        </w:rPr>
        <w:t>Consultation</w:t>
      </w:r>
    </w:p>
    <w:p w:rsidRPr="00275459" w:rsidR="004D1346" w:rsidP="00901D5E" w:rsidRDefault="004D1346" w14:paraId="70CA694E" w14:textId="77777777">
      <w:pPr>
        <w:ind w:left="720"/>
        <w:rPr>
          <w:rFonts w:cs="Calibri"/>
          <w:color w:val="000000"/>
        </w:rPr>
      </w:pPr>
    </w:p>
    <w:p w:rsidRPr="00275459" w:rsidR="00D53819" w:rsidP="00FB2F91" w:rsidRDefault="00D53819" w14:paraId="2036DB3C" w14:textId="5FF694CF">
      <w:pPr>
        <w:ind w:left="720"/>
        <w:rPr>
          <w:rFonts w:cs="Calibri"/>
          <w:color w:val="000000"/>
        </w:rPr>
      </w:pPr>
      <w:r w:rsidRPr="00275459">
        <w:rPr>
          <w:rFonts w:cs="Calibri"/>
          <w:color w:val="000000"/>
        </w:rPr>
        <w:t>The proposed protocol</w:t>
      </w:r>
      <w:r w:rsidR="007A097E">
        <w:rPr>
          <w:rFonts w:cs="Calibri"/>
          <w:color w:val="000000"/>
        </w:rPr>
        <w:t xml:space="preserve"> and </w:t>
      </w:r>
      <w:r w:rsidRPr="00275459">
        <w:rPr>
          <w:rFonts w:cs="Calibri"/>
          <w:color w:val="000000"/>
        </w:rPr>
        <w:t>example</w:t>
      </w:r>
      <w:r w:rsidR="007A097E">
        <w:rPr>
          <w:rFonts w:cs="Calibri"/>
          <w:color w:val="000000"/>
        </w:rPr>
        <w:t>s</w:t>
      </w:r>
      <w:r w:rsidRPr="00275459">
        <w:rPr>
          <w:rFonts w:cs="Calibri"/>
          <w:color w:val="000000"/>
        </w:rPr>
        <w:t xml:space="preserve"> </w:t>
      </w:r>
      <w:r w:rsidR="007A097E">
        <w:rPr>
          <w:rFonts w:cs="Calibri"/>
          <w:color w:val="000000"/>
        </w:rPr>
        <w:t>of the data collection instruments</w:t>
      </w:r>
      <w:r w:rsidRPr="00275459">
        <w:rPr>
          <w:rFonts w:cs="Calibri"/>
          <w:color w:val="000000"/>
        </w:rPr>
        <w:t xml:space="preserve"> were developed and reviewed </w:t>
      </w:r>
      <w:r w:rsidRPr="00275459" w:rsidR="00407387">
        <w:rPr>
          <w:rFonts w:cs="Calibri"/>
          <w:color w:val="000000"/>
        </w:rPr>
        <w:t xml:space="preserve">by DCPC staff </w:t>
      </w:r>
      <w:r w:rsidRPr="00275459" w:rsidR="00656E2D">
        <w:rPr>
          <w:rFonts w:cs="Calibri"/>
          <w:color w:val="000000"/>
        </w:rPr>
        <w:t>noted who are</w:t>
      </w:r>
      <w:r w:rsidRPr="00275459" w:rsidR="00407387">
        <w:rPr>
          <w:rFonts w:cs="Calibri"/>
          <w:color w:val="000000"/>
        </w:rPr>
        <w:t xml:space="preserve"> </w:t>
      </w:r>
      <w:r w:rsidRPr="00275459" w:rsidR="003324AC">
        <w:rPr>
          <w:rFonts w:cs="Calibri"/>
          <w:color w:val="000000"/>
        </w:rPr>
        <w:t xml:space="preserve">directly involved in implementing </w:t>
      </w:r>
      <w:r w:rsidRPr="00275459" w:rsidR="00407387">
        <w:rPr>
          <w:rFonts w:cs="Calibri"/>
          <w:color w:val="000000"/>
        </w:rPr>
        <w:t xml:space="preserve">the DCPC communications campaigns.  </w:t>
      </w:r>
    </w:p>
    <w:p w:rsidRPr="00275459" w:rsidR="00656E2D" w:rsidP="00FB2F91" w:rsidRDefault="00656E2D" w14:paraId="0E3F13DE" w14:textId="1372602F">
      <w:pPr>
        <w:ind w:left="720"/>
        <w:rPr>
          <w:rFonts w:cs="Calibri"/>
          <w:color w:val="000000"/>
        </w:rPr>
      </w:pPr>
    </w:p>
    <w:p w:rsidRPr="007546C1" w:rsidR="00656E2D" w:rsidP="009070F7" w:rsidRDefault="00656E2D" w14:paraId="0C278235" w14:textId="6770CD0A">
      <w:pPr>
        <w:ind w:left="720"/>
        <w:rPr>
          <w:rFonts w:cs="Calibri"/>
          <w:b/>
        </w:rPr>
      </w:pPr>
      <w:r w:rsidRPr="007546C1">
        <w:rPr>
          <w:rFonts w:cs="Calibri"/>
          <w:b/>
        </w:rPr>
        <w:t xml:space="preserve">Table </w:t>
      </w:r>
      <w:r w:rsidRPr="007546C1" w:rsidR="00360219">
        <w:rPr>
          <w:rFonts w:cs="Calibri"/>
          <w:b/>
        </w:rPr>
        <w:t>A</w:t>
      </w:r>
      <w:r w:rsidRPr="007546C1" w:rsidR="003C1737">
        <w:rPr>
          <w:rFonts w:cs="Calibri"/>
          <w:b/>
        </w:rPr>
        <w:t>8-A</w:t>
      </w:r>
      <w:r w:rsidRPr="007546C1">
        <w:rPr>
          <w:rFonts w:cs="Calibri"/>
          <w:b/>
        </w:rPr>
        <w:t>. Consultations within DC</w:t>
      </w:r>
      <w:r w:rsidRPr="007546C1" w:rsidR="00950D62">
        <w:rPr>
          <w:rFonts w:cs="Calibri"/>
          <w:b/>
        </w:rPr>
        <w:t>PC</w:t>
      </w:r>
    </w:p>
    <w:tbl>
      <w:tblPr>
        <w:tblW w:w="9193"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1970"/>
        <w:gridCol w:w="1800"/>
        <w:gridCol w:w="2250"/>
        <w:gridCol w:w="1620"/>
      </w:tblGrid>
      <w:tr w:rsidRPr="007546C1" w:rsidR="00360219" w:rsidTr="00360219" w14:paraId="440FDF89" w14:textId="77777777">
        <w:trPr>
          <w:trHeight w:val="111"/>
        </w:trPr>
        <w:tc>
          <w:tcPr>
            <w:tcW w:w="1553" w:type="dxa"/>
          </w:tcPr>
          <w:p w:rsidRPr="007546C1" w:rsidR="00360219" w:rsidP="00330102" w:rsidRDefault="00360219" w14:paraId="62BADA75" w14:textId="77777777">
            <w:pPr>
              <w:autoSpaceDE w:val="0"/>
              <w:autoSpaceDN w:val="0"/>
              <w:adjustRightInd w:val="0"/>
              <w:rPr>
                <w:rFonts w:cs="Calibri"/>
              </w:rPr>
            </w:pPr>
            <w:r w:rsidRPr="007546C1">
              <w:rPr>
                <w:rFonts w:cs="Calibri"/>
                <w:b/>
                <w:bCs/>
              </w:rPr>
              <w:t xml:space="preserve">Name </w:t>
            </w:r>
          </w:p>
        </w:tc>
        <w:tc>
          <w:tcPr>
            <w:tcW w:w="1970" w:type="dxa"/>
          </w:tcPr>
          <w:p w:rsidRPr="007546C1" w:rsidR="00360219" w:rsidP="00330102" w:rsidRDefault="00360219" w14:paraId="355BA4FA" w14:textId="77777777">
            <w:pPr>
              <w:autoSpaceDE w:val="0"/>
              <w:autoSpaceDN w:val="0"/>
              <w:adjustRightInd w:val="0"/>
              <w:rPr>
                <w:rFonts w:cs="Calibri"/>
              </w:rPr>
            </w:pPr>
            <w:r w:rsidRPr="007546C1">
              <w:rPr>
                <w:rFonts w:cs="Calibri"/>
                <w:b/>
                <w:bCs/>
              </w:rPr>
              <w:t xml:space="preserve">Title </w:t>
            </w:r>
          </w:p>
        </w:tc>
        <w:tc>
          <w:tcPr>
            <w:tcW w:w="1800" w:type="dxa"/>
          </w:tcPr>
          <w:p w:rsidRPr="007546C1" w:rsidR="00360219" w:rsidP="00330102" w:rsidRDefault="00360219" w14:paraId="5DF8D1B1" w14:textId="77777777">
            <w:pPr>
              <w:autoSpaceDE w:val="0"/>
              <w:autoSpaceDN w:val="0"/>
              <w:adjustRightInd w:val="0"/>
              <w:rPr>
                <w:rFonts w:cs="Calibri"/>
              </w:rPr>
            </w:pPr>
            <w:r w:rsidRPr="007546C1">
              <w:rPr>
                <w:rFonts w:cs="Calibri"/>
                <w:b/>
                <w:bCs/>
              </w:rPr>
              <w:t xml:space="preserve">Phone </w:t>
            </w:r>
          </w:p>
        </w:tc>
        <w:tc>
          <w:tcPr>
            <w:tcW w:w="2250" w:type="dxa"/>
          </w:tcPr>
          <w:p w:rsidRPr="007546C1" w:rsidR="00360219" w:rsidP="00330102" w:rsidRDefault="00360219" w14:paraId="2D916E56" w14:textId="77777777">
            <w:pPr>
              <w:autoSpaceDE w:val="0"/>
              <w:autoSpaceDN w:val="0"/>
              <w:adjustRightInd w:val="0"/>
              <w:rPr>
                <w:rFonts w:cs="Calibri"/>
              </w:rPr>
            </w:pPr>
            <w:r w:rsidRPr="007546C1">
              <w:rPr>
                <w:rFonts w:cs="Calibri"/>
                <w:b/>
                <w:bCs/>
              </w:rPr>
              <w:t xml:space="preserve">Email </w:t>
            </w:r>
          </w:p>
        </w:tc>
        <w:tc>
          <w:tcPr>
            <w:tcW w:w="1620" w:type="dxa"/>
          </w:tcPr>
          <w:p w:rsidRPr="007546C1" w:rsidR="00360219" w:rsidP="00330102" w:rsidRDefault="00360219" w14:paraId="3F429675" w14:textId="77777777">
            <w:pPr>
              <w:autoSpaceDE w:val="0"/>
              <w:autoSpaceDN w:val="0"/>
              <w:adjustRightInd w:val="0"/>
              <w:rPr>
                <w:rFonts w:cs="Calibri"/>
                <w:b/>
                <w:bCs/>
              </w:rPr>
            </w:pPr>
            <w:r w:rsidRPr="007546C1">
              <w:rPr>
                <w:rFonts w:cs="Calibri"/>
                <w:b/>
                <w:bCs/>
              </w:rPr>
              <w:t>Role</w:t>
            </w:r>
          </w:p>
        </w:tc>
      </w:tr>
      <w:tr w:rsidRPr="007546C1" w:rsidR="00360219" w:rsidTr="00360219" w14:paraId="20FE4B66" w14:textId="77777777">
        <w:trPr>
          <w:trHeight w:val="107"/>
        </w:trPr>
        <w:tc>
          <w:tcPr>
            <w:tcW w:w="1553" w:type="dxa"/>
          </w:tcPr>
          <w:p w:rsidRPr="007546C1" w:rsidR="00360219" w:rsidP="00330102" w:rsidRDefault="00FD582E" w14:paraId="3802A721" w14:textId="11354FFA">
            <w:pPr>
              <w:autoSpaceDE w:val="0"/>
              <w:autoSpaceDN w:val="0"/>
              <w:adjustRightInd w:val="0"/>
              <w:rPr>
                <w:rFonts w:cs="Calibri"/>
              </w:rPr>
            </w:pPr>
            <w:r>
              <w:rPr>
                <w:rFonts w:cs="Calibri"/>
              </w:rPr>
              <w:t>Temeika Fairley</w:t>
            </w:r>
            <w:r w:rsidRPr="007546C1" w:rsidR="00360219">
              <w:rPr>
                <w:rFonts w:cs="Calibri"/>
              </w:rPr>
              <w:t xml:space="preserve"> </w:t>
            </w:r>
          </w:p>
        </w:tc>
        <w:tc>
          <w:tcPr>
            <w:tcW w:w="1970" w:type="dxa"/>
          </w:tcPr>
          <w:p w:rsidRPr="007546C1" w:rsidR="00360219" w:rsidP="00330102" w:rsidRDefault="00FD582E" w14:paraId="58D275A1" w14:textId="1DC541B2">
            <w:pPr>
              <w:autoSpaceDE w:val="0"/>
              <w:autoSpaceDN w:val="0"/>
              <w:adjustRightInd w:val="0"/>
              <w:rPr>
                <w:rFonts w:cs="Calibri"/>
              </w:rPr>
            </w:pPr>
            <w:r>
              <w:rPr>
                <w:rFonts w:cs="Calibri"/>
              </w:rPr>
              <w:t>Health Scientist</w:t>
            </w:r>
          </w:p>
        </w:tc>
        <w:tc>
          <w:tcPr>
            <w:tcW w:w="1800" w:type="dxa"/>
          </w:tcPr>
          <w:p w:rsidRPr="007A097E" w:rsidR="00360219" w:rsidP="00330102" w:rsidRDefault="00FD582E" w14:paraId="5C93BF13" w14:textId="1CC44105">
            <w:pPr>
              <w:autoSpaceDE w:val="0"/>
              <w:autoSpaceDN w:val="0"/>
              <w:adjustRightInd w:val="0"/>
              <w:rPr>
                <w:rFonts w:cs="Calibri"/>
              </w:rPr>
            </w:pPr>
            <w:r>
              <w:rPr>
                <w:rFonts w:cs="Calibri"/>
              </w:rPr>
              <w:t>770-488-</w:t>
            </w:r>
            <w:r w:rsidR="00105102">
              <w:rPr>
                <w:rFonts w:cs="Calibri"/>
              </w:rPr>
              <w:t>45</w:t>
            </w:r>
            <w:r>
              <w:rPr>
                <w:rFonts w:cs="Calibri"/>
              </w:rPr>
              <w:t>18</w:t>
            </w:r>
          </w:p>
        </w:tc>
        <w:tc>
          <w:tcPr>
            <w:tcW w:w="2250" w:type="dxa"/>
          </w:tcPr>
          <w:p w:rsidRPr="007546C1" w:rsidR="00360219" w:rsidP="00330102" w:rsidRDefault="00105102" w14:paraId="2B162A80" w14:textId="3842C93B">
            <w:pPr>
              <w:autoSpaceDE w:val="0"/>
              <w:autoSpaceDN w:val="0"/>
              <w:adjustRightInd w:val="0"/>
              <w:rPr>
                <w:rFonts w:cs="Calibri"/>
              </w:rPr>
            </w:pPr>
            <w:r>
              <w:rPr>
                <w:rFonts w:cs="Calibri"/>
              </w:rPr>
              <w:t>tff9</w:t>
            </w:r>
            <w:r w:rsidRPr="007546C1" w:rsidR="00360219">
              <w:rPr>
                <w:rFonts w:cs="Calibri"/>
              </w:rPr>
              <w:t xml:space="preserve">@cdc.gov </w:t>
            </w:r>
          </w:p>
        </w:tc>
        <w:tc>
          <w:tcPr>
            <w:tcW w:w="1620" w:type="dxa"/>
          </w:tcPr>
          <w:p w:rsidRPr="007546C1" w:rsidR="00360219" w:rsidP="00330102" w:rsidRDefault="00211698" w14:paraId="0C6927E0" w14:textId="31208197">
            <w:pPr>
              <w:autoSpaceDE w:val="0"/>
              <w:autoSpaceDN w:val="0"/>
              <w:adjustRightInd w:val="0"/>
              <w:rPr>
                <w:rFonts w:cs="Calibri"/>
              </w:rPr>
            </w:pPr>
            <w:r>
              <w:rPr>
                <w:rFonts w:cs="Calibri"/>
              </w:rPr>
              <w:t>COR</w:t>
            </w:r>
          </w:p>
        </w:tc>
      </w:tr>
      <w:tr w:rsidRPr="007546C1" w:rsidR="00360219" w:rsidTr="00360219" w14:paraId="192F164A" w14:textId="77777777">
        <w:trPr>
          <w:trHeight w:val="101"/>
        </w:trPr>
        <w:tc>
          <w:tcPr>
            <w:tcW w:w="1553" w:type="dxa"/>
          </w:tcPr>
          <w:p w:rsidRPr="007546C1" w:rsidR="00360219" w:rsidP="00330102" w:rsidRDefault="00E41506" w14:paraId="53C4E07A" w14:textId="2A33F55D">
            <w:pPr>
              <w:autoSpaceDE w:val="0"/>
              <w:autoSpaceDN w:val="0"/>
              <w:adjustRightInd w:val="0"/>
              <w:rPr>
                <w:rFonts w:cs="Calibri"/>
              </w:rPr>
            </w:pPr>
            <w:r>
              <w:rPr>
                <w:rFonts w:cs="Calibri"/>
              </w:rPr>
              <w:t>Virginia Kincaid</w:t>
            </w:r>
            <w:r w:rsidRPr="007546C1" w:rsidR="00360219">
              <w:rPr>
                <w:rFonts w:cs="Calibri"/>
              </w:rPr>
              <w:t xml:space="preserve"> </w:t>
            </w:r>
          </w:p>
        </w:tc>
        <w:tc>
          <w:tcPr>
            <w:tcW w:w="1970" w:type="dxa"/>
          </w:tcPr>
          <w:p w:rsidRPr="007546C1" w:rsidR="00360219" w:rsidP="00330102" w:rsidRDefault="00E41506" w14:paraId="42E48A07" w14:textId="5EA8BA47">
            <w:pPr>
              <w:autoSpaceDE w:val="0"/>
              <w:autoSpaceDN w:val="0"/>
              <w:adjustRightInd w:val="0"/>
              <w:rPr>
                <w:rFonts w:cs="Calibri"/>
              </w:rPr>
            </w:pPr>
            <w:r>
              <w:rPr>
                <w:rFonts w:cs="Calibri"/>
              </w:rPr>
              <w:t>Health Communication Specialist</w:t>
            </w:r>
            <w:r w:rsidRPr="007546C1" w:rsidR="00360219">
              <w:rPr>
                <w:rFonts w:cs="Calibri"/>
              </w:rPr>
              <w:t xml:space="preserve"> </w:t>
            </w:r>
          </w:p>
        </w:tc>
        <w:tc>
          <w:tcPr>
            <w:tcW w:w="1800" w:type="dxa"/>
          </w:tcPr>
          <w:p w:rsidRPr="007A097E" w:rsidR="00360219" w:rsidP="00330102" w:rsidRDefault="00E41506" w14:paraId="33CF7296" w14:textId="3AE9847D">
            <w:pPr>
              <w:autoSpaceDE w:val="0"/>
              <w:autoSpaceDN w:val="0"/>
              <w:adjustRightInd w:val="0"/>
              <w:rPr>
                <w:rFonts w:cs="Calibri"/>
              </w:rPr>
            </w:pPr>
            <w:r>
              <w:rPr>
                <w:rFonts w:cs="Calibri"/>
              </w:rPr>
              <w:t>770-488-2914</w:t>
            </w:r>
          </w:p>
        </w:tc>
        <w:tc>
          <w:tcPr>
            <w:tcW w:w="2250" w:type="dxa"/>
          </w:tcPr>
          <w:p w:rsidRPr="007546C1" w:rsidR="00360219" w:rsidP="00330102" w:rsidRDefault="00E41506" w14:paraId="386BB3B1" w14:textId="0A789296">
            <w:pPr>
              <w:autoSpaceDE w:val="0"/>
              <w:autoSpaceDN w:val="0"/>
              <w:adjustRightInd w:val="0"/>
              <w:rPr>
                <w:rFonts w:cs="Calibri"/>
              </w:rPr>
            </w:pPr>
            <w:r>
              <w:rPr>
                <w:rFonts w:cs="Calibri"/>
              </w:rPr>
              <w:t>ycn6@cdc.gov</w:t>
            </w:r>
          </w:p>
        </w:tc>
        <w:tc>
          <w:tcPr>
            <w:tcW w:w="1620" w:type="dxa"/>
          </w:tcPr>
          <w:p w:rsidRPr="007546C1" w:rsidR="00360219" w:rsidP="00330102" w:rsidRDefault="00E41506" w14:paraId="16D966EB" w14:textId="33FA5795">
            <w:pPr>
              <w:autoSpaceDE w:val="0"/>
              <w:autoSpaceDN w:val="0"/>
              <w:adjustRightInd w:val="0"/>
              <w:rPr>
                <w:rFonts w:cs="Calibri"/>
              </w:rPr>
            </w:pPr>
            <w:r>
              <w:rPr>
                <w:rFonts w:cs="Calibri"/>
              </w:rPr>
              <w:t>Subject matter expert</w:t>
            </w:r>
          </w:p>
        </w:tc>
      </w:tr>
      <w:tr w:rsidRPr="007546C1" w:rsidR="00360219" w:rsidTr="00360219" w14:paraId="5449FD68" w14:textId="77777777">
        <w:trPr>
          <w:trHeight w:val="101"/>
        </w:trPr>
        <w:tc>
          <w:tcPr>
            <w:tcW w:w="1553" w:type="dxa"/>
          </w:tcPr>
          <w:p w:rsidRPr="007546C1" w:rsidR="00360219" w:rsidP="00330102" w:rsidRDefault="00E41506" w14:paraId="24B4DE78" w14:textId="1809C4E3">
            <w:pPr>
              <w:autoSpaceDE w:val="0"/>
              <w:autoSpaceDN w:val="0"/>
              <w:adjustRightInd w:val="0"/>
              <w:rPr>
                <w:rFonts w:cs="Calibri"/>
              </w:rPr>
            </w:pPr>
            <w:r>
              <w:rPr>
                <w:rFonts w:cs="Calibri"/>
              </w:rPr>
              <w:t>Allyson Moehring</w:t>
            </w:r>
            <w:r w:rsidRPr="007546C1" w:rsidR="00360219">
              <w:rPr>
                <w:rFonts w:cs="Calibri"/>
              </w:rPr>
              <w:t xml:space="preserve"> </w:t>
            </w:r>
          </w:p>
        </w:tc>
        <w:tc>
          <w:tcPr>
            <w:tcW w:w="1970" w:type="dxa"/>
          </w:tcPr>
          <w:p w:rsidRPr="007546C1" w:rsidR="00360219" w:rsidP="00330102" w:rsidRDefault="00E41506" w14:paraId="49C76EB2" w14:textId="24F734E9">
            <w:pPr>
              <w:autoSpaceDE w:val="0"/>
              <w:autoSpaceDN w:val="0"/>
              <w:adjustRightInd w:val="0"/>
              <w:rPr>
                <w:rFonts w:cs="Calibri"/>
              </w:rPr>
            </w:pPr>
            <w:r>
              <w:rPr>
                <w:rFonts w:cs="Calibri"/>
              </w:rPr>
              <w:t>Health Communication Specialist</w:t>
            </w:r>
          </w:p>
        </w:tc>
        <w:tc>
          <w:tcPr>
            <w:tcW w:w="1800" w:type="dxa"/>
          </w:tcPr>
          <w:p w:rsidRPr="007A097E" w:rsidR="00360219" w:rsidP="00330102" w:rsidRDefault="00E41506" w14:paraId="11A4189E" w14:textId="4E24F992">
            <w:pPr>
              <w:autoSpaceDE w:val="0"/>
              <w:autoSpaceDN w:val="0"/>
              <w:adjustRightInd w:val="0"/>
              <w:rPr>
                <w:rFonts w:cs="Calibri"/>
              </w:rPr>
            </w:pPr>
            <w:r>
              <w:rPr>
                <w:rFonts w:cs="Calibri"/>
              </w:rPr>
              <w:t>404-498-1576</w:t>
            </w:r>
          </w:p>
        </w:tc>
        <w:tc>
          <w:tcPr>
            <w:tcW w:w="2250" w:type="dxa"/>
          </w:tcPr>
          <w:p w:rsidRPr="007546C1" w:rsidR="00360219" w:rsidP="00330102" w:rsidRDefault="00E41506" w14:paraId="5F511A4C" w14:textId="16A7D9CF">
            <w:pPr>
              <w:autoSpaceDE w:val="0"/>
              <w:autoSpaceDN w:val="0"/>
              <w:adjustRightInd w:val="0"/>
              <w:rPr>
                <w:rFonts w:cs="Calibri"/>
              </w:rPr>
            </w:pPr>
            <w:r>
              <w:rPr>
                <w:rFonts w:cs="Calibri"/>
              </w:rPr>
              <w:t>nhx1@cdc.gov</w:t>
            </w:r>
          </w:p>
        </w:tc>
        <w:tc>
          <w:tcPr>
            <w:tcW w:w="1620" w:type="dxa"/>
          </w:tcPr>
          <w:p w:rsidRPr="007546C1" w:rsidR="00360219" w:rsidP="00330102" w:rsidRDefault="00E41506" w14:paraId="456ACF98" w14:textId="14CEC32E">
            <w:pPr>
              <w:autoSpaceDE w:val="0"/>
              <w:autoSpaceDN w:val="0"/>
              <w:adjustRightInd w:val="0"/>
              <w:rPr>
                <w:rFonts w:cs="Calibri"/>
              </w:rPr>
            </w:pPr>
            <w:r>
              <w:rPr>
                <w:rFonts w:cs="Calibri"/>
              </w:rPr>
              <w:t>Subject matter expert</w:t>
            </w:r>
          </w:p>
        </w:tc>
      </w:tr>
    </w:tbl>
    <w:p w:rsidRPr="007546C1" w:rsidR="00F95FBB" w:rsidP="009070F7" w:rsidRDefault="00F95FBB" w14:paraId="7385570C" w14:textId="77777777">
      <w:pPr>
        <w:ind w:left="720"/>
        <w:rPr>
          <w:rFonts w:cs="Calibri"/>
          <w:b/>
          <w:color w:val="000000"/>
        </w:rPr>
      </w:pPr>
    </w:p>
    <w:p w:rsidRPr="00901D5E" w:rsidR="00933B96" w:rsidP="00D66C78" w:rsidRDefault="00933B96" w14:paraId="5D6967C9" w14:textId="77777777">
      <w:pPr>
        <w:pStyle w:val="Heading2"/>
        <w:rPr>
          <w:i/>
        </w:rPr>
      </w:pPr>
      <w:bookmarkStart w:name="_Toc68687805" w:id="16"/>
      <w:bookmarkStart w:name="_Toc74723230" w:id="17"/>
      <w:r w:rsidRPr="00901D5E">
        <w:t>A9. Explanation of Any Payment or Gift to Respondents</w:t>
      </w:r>
      <w:bookmarkEnd w:id="16"/>
      <w:bookmarkEnd w:id="17"/>
    </w:p>
    <w:p w:rsidRPr="00275459" w:rsidR="00953515" w:rsidP="00933B96" w:rsidRDefault="00953515" w14:paraId="2FBF70BF" w14:textId="77777777">
      <w:pPr>
        <w:rPr>
          <w:rFonts w:cs="Calibri"/>
          <w:color w:val="000000"/>
        </w:rPr>
      </w:pPr>
    </w:p>
    <w:p w:rsidRPr="00275459" w:rsidR="00D57D4E" w:rsidP="00BD6BD7" w:rsidRDefault="00933B96" w14:paraId="5E552A59" w14:textId="2CA5CE68">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r w:rsidRPr="00275459">
        <w:rPr>
          <w:rFonts w:ascii="Calibri" w:hAnsi="Calibri" w:cs="Calibri"/>
          <w:color w:val="000000"/>
          <w:sz w:val="24"/>
          <w:szCs w:val="24"/>
        </w:rPr>
        <w:t>Incorporating modest incentives to aid in recruitment is considered justifiable in order to</w:t>
      </w:r>
      <w:r w:rsidRPr="00275459" w:rsidR="00953515">
        <w:rPr>
          <w:rFonts w:ascii="Calibri" w:hAnsi="Calibri" w:cs="Calibri"/>
          <w:color w:val="000000"/>
          <w:sz w:val="24"/>
          <w:szCs w:val="24"/>
        </w:rPr>
        <w:t xml:space="preserve"> boost response rates and defray the cost of participation (</w:t>
      </w:r>
      <w:r w:rsidRPr="00275459" w:rsidR="002A7D6E">
        <w:rPr>
          <w:rFonts w:ascii="Calibri" w:hAnsi="Calibri" w:cs="Calibri"/>
          <w:color w:val="000000"/>
          <w:sz w:val="24"/>
          <w:szCs w:val="24"/>
        </w:rPr>
        <w:t>e.g.</w:t>
      </w:r>
      <w:r w:rsidRPr="00275459" w:rsidR="00437BDA">
        <w:rPr>
          <w:rFonts w:ascii="Calibri" w:hAnsi="Calibri" w:cs="Calibri"/>
          <w:color w:val="000000"/>
          <w:sz w:val="24"/>
          <w:szCs w:val="24"/>
        </w:rPr>
        <w:t>,</w:t>
      </w:r>
      <w:r w:rsidRPr="00275459" w:rsidR="002A7D6E">
        <w:rPr>
          <w:rFonts w:ascii="Calibri" w:hAnsi="Calibri" w:cs="Calibri"/>
          <w:color w:val="000000"/>
          <w:sz w:val="24"/>
          <w:szCs w:val="24"/>
        </w:rPr>
        <w:t xml:space="preserve"> </w:t>
      </w:r>
      <w:r w:rsidRPr="00275459" w:rsidR="00953515">
        <w:rPr>
          <w:rFonts w:ascii="Calibri" w:hAnsi="Calibri" w:cs="Calibri"/>
          <w:color w:val="000000"/>
          <w:sz w:val="24"/>
          <w:szCs w:val="24"/>
        </w:rPr>
        <w:t>transportation</w:t>
      </w:r>
      <w:r w:rsidRPr="00275459" w:rsidR="002A7D6E">
        <w:rPr>
          <w:rFonts w:ascii="Calibri" w:hAnsi="Calibri" w:cs="Calibri"/>
          <w:color w:val="000000"/>
          <w:sz w:val="24"/>
          <w:szCs w:val="24"/>
        </w:rPr>
        <w:t xml:space="preserve"> and </w:t>
      </w:r>
      <w:r w:rsidRPr="00275459" w:rsidR="00953515">
        <w:rPr>
          <w:rFonts w:ascii="Calibri" w:hAnsi="Calibri" w:cs="Calibri"/>
          <w:color w:val="000000"/>
          <w:sz w:val="24"/>
          <w:szCs w:val="24"/>
        </w:rPr>
        <w:t xml:space="preserve">childcare). </w:t>
      </w:r>
      <w:r w:rsidRPr="00275459" w:rsidR="008B698F">
        <w:rPr>
          <w:rFonts w:ascii="Calibri" w:hAnsi="Calibri" w:cs="Calibri"/>
          <w:color w:val="000000"/>
          <w:sz w:val="24"/>
          <w:szCs w:val="24"/>
        </w:rPr>
        <w:t xml:space="preserve">Also, </w:t>
      </w:r>
      <w:r w:rsidRPr="00275459" w:rsidR="00874E6F">
        <w:rPr>
          <w:rFonts w:ascii="Calibri" w:hAnsi="Calibri" w:cs="Calibri"/>
          <w:color w:val="000000"/>
          <w:sz w:val="24"/>
          <w:szCs w:val="24"/>
        </w:rPr>
        <w:t xml:space="preserve">it is </w:t>
      </w:r>
      <w:r w:rsidRPr="00275459" w:rsidR="00874E6F">
        <w:rPr>
          <w:rFonts w:ascii="Calibri" w:hAnsi="Calibri" w:cs="Calibri"/>
          <w:color w:val="000000"/>
          <w:sz w:val="24"/>
          <w:szCs w:val="24"/>
        </w:rPr>
        <w:lastRenderedPageBreak/>
        <w:t>standard practice among commercial market researchers to offer incentives</w:t>
      </w:r>
      <w:r w:rsidRPr="00275459" w:rsidR="008B698F">
        <w:rPr>
          <w:rFonts w:ascii="Calibri" w:hAnsi="Calibri" w:cs="Calibri"/>
          <w:color w:val="000000"/>
          <w:sz w:val="24"/>
          <w:szCs w:val="24"/>
        </w:rPr>
        <w:t xml:space="preserve"> to participants in message and materials-testing focus groups</w:t>
      </w:r>
      <w:r w:rsidRPr="00275459" w:rsidR="00874E6F">
        <w:rPr>
          <w:rFonts w:ascii="Calibri" w:hAnsi="Calibri" w:cs="Calibri"/>
          <w:color w:val="000000"/>
          <w:sz w:val="24"/>
          <w:szCs w:val="24"/>
        </w:rPr>
        <w:t>.</w:t>
      </w:r>
    </w:p>
    <w:p w:rsidRPr="00275459" w:rsidR="00D57D4E" w:rsidP="00BD6BD7" w:rsidRDefault="00D57D4E" w14:paraId="044685CE"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p>
    <w:p w:rsidRPr="00275459" w:rsidR="00874E6F" w:rsidP="00BD6BD7" w:rsidRDefault="00953515" w14:paraId="2087F1C6"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r w:rsidRPr="00275459">
        <w:rPr>
          <w:rFonts w:ascii="Calibri" w:hAnsi="Calibri" w:cs="Calibri"/>
          <w:color w:val="000000"/>
          <w:sz w:val="24"/>
          <w:szCs w:val="24"/>
        </w:rPr>
        <w:t>As shown by the literature</w:t>
      </w:r>
      <w:r w:rsidRPr="00275459" w:rsidR="00D57D4E">
        <w:rPr>
          <w:rFonts w:ascii="Calibri" w:hAnsi="Calibri" w:cs="Calibri"/>
          <w:color w:val="000000"/>
          <w:sz w:val="24"/>
          <w:szCs w:val="24"/>
        </w:rPr>
        <w:t xml:space="preserve"> referenced</w:t>
      </w:r>
      <w:r w:rsidRPr="00275459">
        <w:rPr>
          <w:rFonts w:ascii="Calibri" w:hAnsi="Calibri" w:cs="Calibri"/>
          <w:color w:val="000000"/>
          <w:sz w:val="24"/>
          <w:szCs w:val="24"/>
        </w:rPr>
        <w:t xml:space="preserve"> below, the payment of incentives can provide significant advantages to the government in terms of direct cost savings and improved data quality. </w:t>
      </w:r>
    </w:p>
    <w:p w:rsidRPr="00275459" w:rsidR="00874E6F" w:rsidP="00BD6BD7" w:rsidRDefault="00874E6F" w14:paraId="1A530CC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p>
    <w:p w:rsidRPr="00275459" w:rsidR="00BD6BD7" w:rsidP="00F87B10" w:rsidRDefault="006534F2" w14:paraId="7F1DEB95" w14:textId="1E22611B">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rPr>
      </w:pPr>
      <w:r w:rsidRPr="00275459">
        <w:rPr>
          <w:rFonts w:ascii="Calibri" w:hAnsi="Calibri" w:cs="Calibri"/>
          <w:color w:val="000000"/>
          <w:sz w:val="24"/>
          <w:szCs w:val="24"/>
        </w:rPr>
        <w:t>While impact of monetary compensation of focus group participation ha</w:t>
      </w:r>
      <w:r w:rsidRPr="00275459" w:rsidR="000147FE">
        <w:rPr>
          <w:rFonts w:ascii="Calibri" w:hAnsi="Calibri" w:cs="Calibri"/>
          <w:color w:val="000000"/>
          <w:sz w:val="24"/>
          <w:szCs w:val="24"/>
        </w:rPr>
        <w:t>s not been empirically studied</w:t>
      </w:r>
      <w:r w:rsidRPr="00275459" w:rsidR="004C532B">
        <w:rPr>
          <w:rFonts w:ascii="Calibri" w:hAnsi="Calibri" w:cs="Calibri"/>
          <w:color w:val="000000"/>
          <w:sz w:val="24"/>
          <w:szCs w:val="24"/>
        </w:rPr>
        <w:t xml:space="preserve">, </w:t>
      </w:r>
      <w:r w:rsidRPr="00275459" w:rsidR="003F2648">
        <w:rPr>
          <w:rFonts w:ascii="Calibri" w:hAnsi="Calibri" w:cs="Calibri"/>
          <w:color w:val="000000"/>
          <w:sz w:val="24"/>
          <w:szCs w:val="24"/>
        </w:rPr>
        <w:t xml:space="preserve">Krueger </w:t>
      </w:r>
      <w:r w:rsidRPr="00275459" w:rsidR="000147FE">
        <w:rPr>
          <w:rFonts w:ascii="Calibri" w:hAnsi="Calibri" w:cs="Calibri"/>
          <w:color w:val="000000"/>
          <w:sz w:val="24"/>
          <w:szCs w:val="24"/>
        </w:rPr>
        <w:t>(1994) cautions</w:t>
      </w:r>
      <w:r w:rsidRPr="00275459">
        <w:rPr>
          <w:rFonts w:ascii="Calibri" w:hAnsi="Calibri" w:cs="Calibri"/>
          <w:color w:val="000000"/>
          <w:sz w:val="24"/>
          <w:szCs w:val="24"/>
        </w:rPr>
        <w:t xml:space="preserve"> that </w:t>
      </w:r>
      <w:r w:rsidRPr="00275459" w:rsidR="001A6FA8">
        <w:rPr>
          <w:rFonts w:ascii="Calibri" w:hAnsi="Calibri" w:cs="Calibri"/>
          <w:color w:val="000000"/>
          <w:sz w:val="24"/>
          <w:szCs w:val="24"/>
        </w:rPr>
        <w:t>without providing minimal levels of monetary compensation, insufficient numbers of participants will attend and results will not be useful</w:t>
      </w:r>
      <w:r w:rsidRPr="00275459">
        <w:rPr>
          <w:rFonts w:ascii="Calibri" w:hAnsi="Calibri" w:cs="Calibri"/>
          <w:color w:val="000000"/>
          <w:sz w:val="24"/>
          <w:szCs w:val="24"/>
        </w:rPr>
        <w:t xml:space="preserve">.  </w:t>
      </w:r>
      <w:r w:rsidRPr="00275459" w:rsidR="000147FE">
        <w:rPr>
          <w:rFonts w:ascii="Calibri" w:hAnsi="Calibri" w:cs="Calibri"/>
          <w:color w:val="000000"/>
          <w:sz w:val="24"/>
          <w:szCs w:val="24"/>
        </w:rPr>
        <w:t>However</w:t>
      </w:r>
      <w:r w:rsidRPr="00275459">
        <w:rPr>
          <w:rFonts w:ascii="Calibri" w:hAnsi="Calibri" w:cs="Calibri"/>
          <w:color w:val="000000"/>
          <w:sz w:val="24"/>
          <w:szCs w:val="24"/>
        </w:rPr>
        <w:t>, there is substantial evidence that monetary incentives increase response rates</w:t>
      </w:r>
      <w:r w:rsidRPr="00275459" w:rsidR="000147FE">
        <w:rPr>
          <w:rFonts w:ascii="Calibri" w:hAnsi="Calibri" w:cs="Calibri"/>
          <w:color w:val="000000"/>
          <w:sz w:val="24"/>
          <w:szCs w:val="24"/>
        </w:rPr>
        <w:t xml:space="preserve"> to </w:t>
      </w:r>
      <w:r w:rsidRPr="00275459" w:rsidR="00C32E7A">
        <w:rPr>
          <w:rFonts w:ascii="Calibri" w:hAnsi="Calibri" w:cs="Calibri"/>
          <w:color w:val="000000"/>
          <w:sz w:val="24"/>
          <w:szCs w:val="24"/>
        </w:rPr>
        <w:t xml:space="preserve">focus groups </w:t>
      </w:r>
      <w:r w:rsidRPr="00275459" w:rsidR="003F2648">
        <w:rPr>
          <w:rFonts w:ascii="Calibri" w:hAnsi="Calibri" w:cs="Calibri"/>
          <w:color w:val="000000"/>
          <w:sz w:val="24"/>
          <w:szCs w:val="24"/>
        </w:rPr>
        <w:t>(</w:t>
      </w:r>
      <w:r w:rsidRPr="00275459" w:rsidR="00C32E7A">
        <w:rPr>
          <w:rFonts w:ascii="Calibri" w:hAnsi="Calibri" w:cs="Calibri"/>
          <w:color w:val="000000"/>
          <w:sz w:val="24"/>
          <w:szCs w:val="24"/>
        </w:rPr>
        <w:t>Krueger</w:t>
      </w:r>
      <w:r w:rsidRPr="00275459" w:rsidR="003F2648">
        <w:rPr>
          <w:rFonts w:ascii="Calibri" w:hAnsi="Calibri" w:cs="Calibri"/>
          <w:color w:val="000000"/>
          <w:sz w:val="24"/>
          <w:szCs w:val="24"/>
        </w:rPr>
        <w:t>, RA and Casey, MA</w:t>
      </w:r>
      <w:r w:rsidR="005C5923">
        <w:rPr>
          <w:rFonts w:ascii="Calibri" w:hAnsi="Calibri" w:cs="Calibri"/>
          <w:color w:val="000000"/>
          <w:sz w:val="24"/>
          <w:szCs w:val="24"/>
        </w:rPr>
        <w:t xml:space="preserve"> </w:t>
      </w:r>
      <w:r w:rsidRPr="00275459" w:rsidR="003F2648">
        <w:rPr>
          <w:rFonts w:ascii="Calibri" w:hAnsi="Calibri" w:cs="Calibri"/>
          <w:color w:val="000000"/>
          <w:sz w:val="24"/>
          <w:szCs w:val="24"/>
        </w:rPr>
        <w:t>(2009))</w:t>
      </w:r>
      <w:r w:rsidRPr="00275459" w:rsidR="000147FE">
        <w:rPr>
          <w:rFonts w:ascii="Calibri" w:hAnsi="Calibri" w:cs="Calibri"/>
          <w:color w:val="000000"/>
          <w:sz w:val="24"/>
          <w:szCs w:val="24"/>
        </w:rPr>
        <w:t>.</w:t>
      </w:r>
    </w:p>
    <w:p w:rsidRPr="00275459" w:rsidR="00561E75" w:rsidP="00BD6BD7" w:rsidRDefault="00561E75" w14:paraId="39E3A34C" w14:textId="77777777">
      <w:pPr>
        <w:tabs>
          <w:tab w:val="left" w:pos="90"/>
        </w:tabs>
        <w:rPr>
          <w:rFonts w:cs="Calibri"/>
          <w:i/>
          <w:color w:val="000000"/>
        </w:rPr>
      </w:pPr>
    </w:p>
    <w:p w:rsidRPr="00275459" w:rsidR="00BD6BD7" w:rsidP="00BD6BD7" w:rsidRDefault="00BD6BD7" w14:paraId="6CFC714D" w14:textId="77777777">
      <w:pPr>
        <w:tabs>
          <w:tab w:val="left" w:pos="90"/>
        </w:tabs>
        <w:rPr>
          <w:rFonts w:cs="Calibri"/>
          <w:i/>
          <w:color w:val="000000"/>
        </w:rPr>
      </w:pPr>
      <w:r w:rsidRPr="00275459">
        <w:rPr>
          <w:rFonts w:cs="Calibri"/>
          <w:i/>
          <w:color w:val="000000"/>
        </w:rPr>
        <w:t xml:space="preserve">Level of Incentive Payment </w:t>
      </w:r>
    </w:p>
    <w:p w:rsidRPr="00275459" w:rsidR="00BD6BD7" w:rsidP="00BD6BD7" w:rsidRDefault="00BD6BD7" w14:paraId="2B9376E2" w14:textId="27A210DF">
      <w:pPr>
        <w:tabs>
          <w:tab w:val="left" w:pos="90"/>
        </w:tabs>
        <w:rPr>
          <w:rFonts w:cs="Calibri"/>
          <w:color w:val="000000"/>
        </w:rPr>
      </w:pPr>
    </w:p>
    <w:p w:rsidRPr="00275459" w:rsidR="006A4F12" w:rsidP="0021611E" w:rsidRDefault="00517C7E" w14:paraId="534482C2" w14:textId="0F6E0FE9">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sidRPr="00275459">
        <w:rPr>
          <w:rFonts w:ascii="Calibri" w:hAnsi="Calibri" w:cs="Calibri"/>
          <w:color w:val="000000"/>
          <w:sz w:val="24"/>
          <w:szCs w:val="24"/>
        </w:rPr>
        <w:t>F</w:t>
      </w:r>
      <w:r w:rsidRPr="00275459" w:rsidR="006A4F12">
        <w:rPr>
          <w:rFonts w:ascii="Calibri" w:hAnsi="Calibri" w:cs="Calibri"/>
          <w:color w:val="000000"/>
          <w:sz w:val="24"/>
          <w:szCs w:val="24"/>
        </w:rPr>
        <w:t xml:space="preserve">ocus group participants </w:t>
      </w:r>
      <w:r w:rsidRPr="00275459" w:rsidR="00215E9A">
        <w:rPr>
          <w:rFonts w:ascii="Calibri" w:hAnsi="Calibri" w:cs="Calibri"/>
          <w:color w:val="000000"/>
          <w:sz w:val="24"/>
          <w:szCs w:val="24"/>
        </w:rPr>
        <w:t xml:space="preserve">may </w:t>
      </w:r>
      <w:r w:rsidRPr="00275459" w:rsidR="006A4F12">
        <w:rPr>
          <w:rFonts w:ascii="Calibri" w:hAnsi="Calibri" w:cs="Calibri"/>
          <w:color w:val="000000"/>
          <w:sz w:val="24"/>
          <w:szCs w:val="24"/>
        </w:rPr>
        <w:t xml:space="preserve">be provided with a modest incentive for their participation. </w:t>
      </w:r>
      <w:r w:rsidRPr="00275459" w:rsidR="00677867">
        <w:rPr>
          <w:rFonts w:ascii="Calibri" w:hAnsi="Calibri" w:cs="Calibri"/>
          <w:color w:val="000000"/>
          <w:sz w:val="24"/>
          <w:szCs w:val="24"/>
        </w:rPr>
        <w:t xml:space="preserve">If CDC determines that an incentive is needed to support </w:t>
      </w:r>
      <w:r w:rsidRPr="00275459" w:rsidR="000C05C9">
        <w:rPr>
          <w:rFonts w:ascii="Calibri" w:hAnsi="Calibri" w:cs="Calibri"/>
          <w:color w:val="000000"/>
          <w:sz w:val="24"/>
          <w:szCs w:val="24"/>
        </w:rPr>
        <w:t>successful completion of a project</w:t>
      </w:r>
      <w:r w:rsidRPr="00275459" w:rsidR="00677867">
        <w:rPr>
          <w:rFonts w:ascii="Calibri" w:hAnsi="Calibri" w:cs="Calibri"/>
          <w:color w:val="000000"/>
          <w:sz w:val="24"/>
          <w:szCs w:val="24"/>
        </w:rPr>
        <w:t>, the</w:t>
      </w:r>
      <w:r w:rsidRPr="00275459" w:rsidR="000C05C9">
        <w:rPr>
          <w:rFonts w:ascii="Calibri" w:hAnsi="Calibri" w:cs="Calibri"/>
          <w:color w:val="000000"/>
          <w:sz w:val="24"/>
          <w:szCs w:val="24"/>
        </w:rPr>
        <w:t xml:space="preserve"> information collection</w:t>
      </w:r>
      <w:r w:rsidRPr="00275459" w:rsidR="00677867">
        <w:rPr>
          <w:rFonts w:ascii="Calibri" w:hAnsi="Calibri" w:cs="Calibri"/>
          <w:color w:val="000000"/>
          <w:sz w:val="24"/>
          <w:szCs w:val="24"/>
        </w:rPr>
        <w:t xml:space="preserve"> request</w:t>
      </w:r>
      <w:r w:rsidRPr="00275459" w:rsidR="000C05C9">
        <w:rPr>
          <w:rFonts w:ascii="Calibri" w:hAnsi="Calibri" w:cs="Calibri"/>
          <w:color w:val="000000"/>
          <w:sz w:val="24"/>
          <w:szCs w:val="24"/>
        </w:rPr>
        <w:t xml:space="preserve"> submitted to OMB</w:t>
      </w:r>
      <w:r w:rsidRPr="00275459" w:rsidR="00677867">
        <w:rPr>
          <w:rFonts w:ascii="Calibri" w:hAnsi="Calibri" w:cs="Calibri"/>
          <w:color w:val="000000"/>
          <w:sz w:val="24"/>
          <w:szCs w:val="24"/>
        </w:rPr>
        <w:t xml:space="preserve"> will include a case-specific justification describing the circumstances, amount, and type of incentive proposed</w:t>
      </w:r>
      <w:r w:rsidRPr="00275459" w:rsidR="00F37C41">
        <w:rPr>
          <w:rFonts w:ascii="Calibri" w:hAnsi="Calibri" w:cs="Calibri"/>
          <w:color w:val="000000"/>
          <w:sz w:val="24"/>
          <w:szCs w:val="24"/>
        </w:rPr>
        <w:t>.</w:t>
      </w:r>
      <w:r w:rsidRPr="00275459" w:rsidR="00AA4647">
        <w:rPr>
          <w:rFonts w:ascii="Calibri" w:hAnsi="Calibri" w:cs="Calibri"/>
          <w:color w:val="000000"/>
          <w:sz w:val="24"/>
          <w:szCs w:val="24"/>
        </w:rPr>
        <w:t xml:space="preserve"> CDC understands that </w:t>
      </w:r>
      <w:r w:rsidRPr="00275459" w:rsidR="0021611E">
        <w:rPr>
          <w:rFonts w:ascii="Calibri" w:hAnsi="Calibri" w:cs="Calibri"/>
          <w:color w:val="000000"/>
          <w:sz w:val="24"/>
          <w:szCs w:val="24"/>
        </w:rPr>
        <w:t>approval of any incentive offered under each individual genIC is at the discretion of OMB.</w:t>
      </w:r>
    </w:p>
    <w:p w:rsidRPr="00275459" w:rsidR="00901D5E" w:rsidP="0021611E" w:rsidRDefault="00901D5E" w14:paraId="30A4F368"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rsidRPr="00275459" w:rsidR="00BD6BD7" w:rsidP="00BD6BD7" w:rsidRDefault="00BD6BD7" w14:paraId="06593155"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sidRPr="00275459">
        <w:rPr>
          <w:rFonts w:ascii="Calibri" w:hAnsi="Calibri" w:cs="Calibri"/>
          <w:i/>
          <w:color w:val="000000"/>
          <w:sz w:val="24"/>
          <w:szCs w:val="24"/>
        </w:rPr>
        <w:t>Reduced Data Collection Cost</w:t>
      </w:r>
    </w:p>
    <w:p w:rsidRPr="00275459" w:rsidR="00BD6BD7" w:rsidP="00BD6BD7" w:rsidRDefault="00BD6BD7" w14:paraId="26C65017"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p>
    <w:p w:rsidRPr="00275459" w:rsidR="00BD6BD7" w:rsidP="00BD6BD7" w:rsidRDefault="00B111A0" w14:paraId="20FB3D67" w14:textId="016D1D4C">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Calibri"/>
          <w:color w:val="000000"/>
          <w:sz w:val="24"/>
          <w:szCs w:val="24"/>
        </w:rPr>
      </w:pPr>
      <w:r w:rsidRPr="00275459">
        <w:rPr>
          <w:rFonts w:ascii="Calibri" w:hAnsi="Calibri" w:cs="Calibri"/>
          <w:color w:val="000000"/>
          <w:sz w:val="24"/>
          <w:szCs w:val="24"/>
        </w:rPr>
        <w:t xml:space="preserve">While there is minimal </w:t>
      </w:r>
      <w:r w:rsidRPr="00275459" w:rsidR="00385336">
        <w:rPr>
          <w:rFonts w:ascii="Calibri" w:hAnsi="Calibri" w:cs="Calibri"/>
          <w:color w:val="000000"/>
          <w:sz w:val="24"/>
          <w:szCs w:val="24"/>
        </w:rPr>
        <w:t xml:space="preserve">published </w:t>
      </w:r>
      <w:r w:rsidRPr="00275459">
        <w:rPr>
          <w:rFonts w:ascii="Calibri" w:hAnsi="Calibri" w:cs="Calibri"/>
          <w:color w:val="000000"/>
          <w:sz w:val="24"/>
          <w:szCs w:val="24"/>
        </w:rPr>
        <w:t>lite</w:t>
      </w:r>
      <w:r w:rsidRPr="00275459" w:rsidR="007A0D00">
        <w:rPr>
          <w:rFonts w:ascii="Calibri" w:hAnsi="Calibri" w:cs="Calibri"/>
          <w:color w:val="000000"/>
          <w:sz w:val="24"/>
          <w:szCs w:val="24"/>
        </w:rPr>
        <w:t>rature on focus group incentive rates</w:t>
      </w:r>
      <w:r w:rsidRPr="00275459">
        <w:rPr>
          <w:rFonts w:ascii="Calibri" w:hAnsi="Calibri" w:cs="Calibri"/>
          <w:color w:val="000000"/>
          <w:sz w:val="24"/>
          <w:szCs w:val="24"/>
        </w:rPr>
        <w:t xml:space="preserve">, </w:t>
      </w:r>
      <w:r w:rsidRPr="00275459" w:rsidR="007A0D00">
        <w:rPr>
          <w:rFonts w:ascii="Calibri" w:hAnsi="Calibri" w:cs="Calibri"/>
          <w:color w:val="000000"/>
          <w:sz w:val="24"/>
          <w:szCs w:val="24"/>
        </w:rPr>
        <w:t xml:space="preserve">empirical evidence suggests that motivation is increased when an incentive is present. </w:t>
      </w:r>
      <w:r w:rsidRPr="00275459" w:rsidR="00CE0D97">
        <w:rPr>
          <w:rFonts w:ascii="Calibri" w:hAnsi="Calibri" w:cs="Calibri"/>
          <w:color w:val="000000"/>
          <w:sz w:val="24"/>
          <w:szCs w:val="24"/>
        </w:rPr>
        <w:t>D</w:t>
      </w:r>
      <w:r w:rsidRPr="00275459" w:rsidR="00BD6BD7">
        <w:rPr>
          <w:rFonts w:ascii="Calibri" w:hAnsi="Calibri" w:cs="Calibri"/>
          <w:color w:val="000000"/>
          <w:sz w:val="24"/>
          <w:szCs w:val="24"/>
        </w:rPr>
        <w:t xml:space="preserve">iscussion of </w:t>
      </w:r>
      <w:r w:rsidRPr="00275459">
        <w:rPr>
          <w:rFonts w:ascii="Calibri" w:hAnsi="Calibri" w:cs="Calibri"/>
          <w:color w:val="000000"/>
          <w:sz w:val="24"/>
          <w:szCs w:val="24"/>
        </w:rPr>
        <w:t xml:space="preserve">remuneration </w:t>
      </w:r>
      <w:r w:rsidRPr="00275459" w:rsidR="00BD6BD7">
        <w:rPr>
          <w:rFonts w:ascii="Calibri" w:hAnsi="Calibri" w:cs="Calibri"/>
          <w:color w:val="000000"/>
          <w:sz w:val="24"/>
          <w:szCs w:val="24"/>
        </w:rPr>
        <w:t>as a technique to speed</w:t>
      </w:r>
      <w:r w:rsidRPr="00275459" w:rsidR="00CE0D97">
        <w:rPr>
          <w:rFonts w:ascii="Calibri" w:hAnsi="Calibri" w:cs="Calibri"/>
          <w:color w:val="000000"/>
          <w:sz w:val="24"/>
          <w:szCs w:val="24"/>
        </w:rPr>
        <w:t xml:space="preserve"> </w:t>
      </w:r>
      <w:r w:rsidRPr="00275459" w:rsidR="00BD6BD7">
        <w:rPr>
          <w:rFonts w:ascii="Calibri" w:hAnsi="Calibri" w:cs="Calibri"/>
          <w:color w:val="000000"/>
          <w:sz w:val="24"/>
          <w:szCs w:val="24"/>
        </w:rPr>
        <w:t>responses and expand response rates is not complete without mentioning the trade-off between the costs of incentives and the costs of efforts to foster t</w:t>
      </w:r>
      <w:r w:rsidRPr="00275459" w:rsidR="006F6AF0">
        <w:rPr>
          <w:rFonts w:ascii="Calibri" w:hAnsi="Calibri" w:cs="Calibri"/>
          <w:color w:val="000000"/>
          <w:sz w:val="24"/>
          <w:szCs w:val="24"/>
        </w:rPr>
        <w:t xml:space="preserve">imely and complete participation. </w:t>
      </w:r>
      <w:r w:rsidRPr="00275459" w:rsidR="00BD6BD7">
        <w:rPr>
          <w:rFonts w:ascii="Calibri" w:hAnsi="Calibri" w:cs="Calibri"/>
          <w:color w:val="000000"/>
          <w:sz w:val="24"/>
          <w:szCs w:val="24"/>
        </w:rPr>
        <w:t>The goal is to find the highest response rate at the lowest overall cost to the government.</w:t>
      </w:r>
    </w:p>
    <w:p w:rsidRPr="00275459" w:rsidR="00BD6BD7" w:rsidP="00BD6BD7" w:rsidRDefault="00BD6BD7" w14:paraId="616F50FD"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r w:rsidRPr="00275459">
        <w:rPr>
          <w:rFonts w:ascii="Calibri" w:hAnsi="Calibri" w:cs="Calibri"/>
          <w:color w:val="000000"/>
          <w:sz w:val="24"/>
          <w:szCs w:val="24"/>
        </w:rPr>
        <w:t xml:space="preserve"> </w:t>
      </w:r>
    </w:p>
    <w:p w:rsidRPr="00275459" w:rsidR="00BD6BD7" w:rsidP="00BD6BD7" w:rsidRDefault="00BD6BD7" w14:paraId="0682D913"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r w:rsidRPr="00275459">
        <w:rPr>
          <w:rFonts w:ascii="Calibri" w:hAnsi="Calibri" w:cs="Calibri"/>
          <w:color w:val="000000"/>
          <w:sz w:val="24"/>
          <w:szCs w:val="24"/>
        </w:rPr>
        <w:t>In the National Adult Literacy Survey by Berlin</w:t>
      </w:r>
      <w:r w:rsidRPr="00275459" w:rsidR="008F279D">
        <w:rPr>
          <w:rFonts w:ascii="Calibri" w:hAnsi="Calibri" w:cs="Calibri"/>
          <w:color w:val="000000"/>
          <w:sz w:val="24"/>
          <w:szCs w:val="24"/>
        </w:rPr>
        <w:t xml:space="preserve"> (</w:t>
      </w:r>
      <w:r w:rsidRPr="00275459" w:rsidR="005B0533">
        <w:rPr>
          <w:rFonts w:ascii="Calibri" w:hAnsi="Calibri" w:cs="Calibri"/>
          <w:color w:val="000000"/>
          <w:sz w:val="24"/>
          <w:szCs w:val="24"/>
        </w:rPr>
        <w:t>1992</w:t>
      </w:r>
      <w:r w:rsidRPr="00275459" w:rsidR="008F279D">
        <w:rPr>
          <w:rFonts w:ascii="Calibri" w:hAnsi="Calibri" w:cs="Calibri"/>
          <w:color w:val="000000"/>
          <w:sz w:val="24"/>
          <w:szCs w:val="24"/>
        </w:rPr>
        <w:t>)</w:t>
      </w:r>
      <w:r w:rsidRPr="00275459">
        <w:rPr>
          <w:rFonts w:ascii="Calibri" w:hAnsi="Calibri" w:cs="Calibri"/>
          <w:color w:val="000000"/>
          <w:sz w:val="24"/>
          <w:szCs w:val="24"/>
        </w:rPr>
        <w:t xml:space="preserve"> and colleagues</w:t>
      </w:r>
      <w:r w:rsidRPr="00275459" w:rsidR="00517C7E">
        <w:rPr>
          <w:rFonts w:ascii="Calibri" w:hAnsi="Calibri" w:cs="Calibri"/>
          <w:color w:val="000000"/>
          <w:sz w:val="24"/>
          <w:szCs w:val="24"/>
        </w:rPr>
        <w:t xml:space="preserve"> (OMB No. 1850-0654, exp. 8/31/1993)</w:t>
      </w:r>
      <w:r w:rsidRPr="00275459">
        <w:rPr>
          <w:rFonts w:ascii="Calibri" w:hAnsi="Calibri" w:cs="Calibri"/>
          <w:color w:val="000000"/>
          <w:sz w:val="24"/>
          <w:szCs w:val="24"/>
        </w:rPr>
        <w:t>, a $20 incentive resulted in not only higher response rates from the sample cohort but also lower costs per completed case than the comparison group.  Importantly, the incentives provided higher response rates from adults with lower-than-average levels of education and basic literacy and numeracy skills (e.g., the NELS: 88 subset of high school dropouts).</w:t>
      </w:r>
    </w:p>
    <w:p w:rsidRPr="00275459" w:rsidR="00BD6BD7" w:rsidP="00BD6BD7" w:rsidRDefault="00BD6BD7" w14:paraId="64CE553D"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cs="Calibri"/>
          <w:color w:val="000000"/>
          <w:sz w:val="24"/>
          <w:szCs w:val="24"/>
        </w:rPr>
      </w:pPr>
    </w:p>
    <w:p w:rsidRPr="00275459" w:rsidR="00BD6BD7" w:rsidP="00BD6BD7" w:rsidRDefault="00BD6BD7" w14:paraId="5AA8ECDC"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jc w:val="both"/>
        <w:rPr>
          <w:rFonts w:ascii="Calibri" w:hAnsi="Calibri" w:cs="Calibri"/>
          <w:i/>
          <w:color w:val="000000"/>
          <w:sz w:val="24"/>
          <w:szCs w:val="24"/>
        </w:rPr>
      </w:pPr>
      <w:r w:rsidRPr="00275459">
        <w:rPr>
          <w:rFonts w:ascii="Calibri" w:hAnsi="Calibri" w:cs="Calibri"/>
          <w:i/>
          <w:color w:val="000000"/>
          <w:sz w:val="24"/>
          <w:szCs w:val="24"/>
        </w:rPr>
        <w:t xml:space="preserve">Reduced Bias </w:t>
      </w:r>
    </w:p>
    <w:p w:rsidRPr="00275459" w:rsidR="00BD6BD7" w:rsidP="00BD6BD7" w:rsidRDefault="00BD6BD7" w14:paraId="1D939CC0" w14:textId="77777777">
      <w:pPr>
        <w:pStyle w:val="PlainText"/>
        <w:widowControl/>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s>
        <w:ind w:right="900"/>
        <w:jc w:val="both"/>
        <w:rPr>
          <w:rFonts w:ascii="Calibri" w:hAnsi="Calibri" w:cs="Calibri"/>
          <w:i/>
          <w:color w:val="000000"/>
          <w:sz w:val="24"/>
          <w:szCs w:val="24"/>
        </w:rPr>
      </w:pPr>
    </w:p>
    <w:p w:rsidRPr="00275459" w:rsidR="00953515" w:rsidP="00B33D76" w:rsidRDefault="00BD6BD7" w14:paraId="42F129A6" w14:textId="1AE53298">
      <w:pPr>
        <w:tabs>
          <w:tab w:val="left" w:pos="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Calibri"/>
          <w:color w:val="000000"/>
        </w:rPr>
      </w:pPr>
      <w:r w:rsidRPr="00275459">
        <w:rPr>
          <w:rFonts w:cs="Calibri"/>
          <w:color w:val="000000"/>
        </w:rPr>
        <w:t xml:space="preserve">The most important aspect of an incentive plan may be its potential for reducing response bias, underreporting bias, and similar sources of error. Findings from the </w:t>
      </w:r>
      <w:hyperlink w:history="1" r:id="rId15">
        <w:r w:rsidRPr="00862F07">
          <w:rPr>
            <w:rStyle w:val="Hyperlink"/>
            <w:rFonts w:cs="Calibri"/>
          </w:rPr>
          <w:t>National Survey of Family Growth</w:t>
        </w:r>
      </w:hyperlink>
      <w:r w:rsidRPr="00275459">
        <w:rPr>
          <w:rFonts w:cs="Calibri"/>
          <w:color w:val="000000"/>
        </w:rPr>
        <w:t xml:space="preserve">  demonstrated that incentives not only had positive effects on response rates, but they also increased the accuracy of reporting</w:t>
      </w:r>
      <w:r w:rsidRPr="00275459" w:rsidR="00063DC5">
        <w:rPr>
          <w:rFonts w:cs="Calibri"/>
          <w:color w:val="000000"/>
        </w:rPr>
        <w:t>.</w:t>
      </w:r>
      <w:r w:rsidRPr="00275459" w:rsidR="00063DC5">
        <w:rPr>
          <w:rFonts w:cs="Calibri"/>
        </w:rPr>
        <w:t xml:space="preserve"> </w:t>
      </w:r>
      <w:r w:rsidRPr="00275459">
        <w:rPr>
          <w:rFonts w:cs="Calibri"/>
          <w:color w:val="000000"/>
        </w:rPr>
        <w:t xml:space="preserve">Incentives are necessary for testing in order to ensure that those who are willing to participate are as representative as possible of the wider public. </w:t>
      </w:r>
      <w:r w:rsidRPr="00275459">
        <w:rPr>
          <w:rFonts w:cs="Calibri"/>
          <w:color w:val="000000"/>
        </w:rPr>
        <w:lastRenderedPageBreak/>
        <w:t>Failure to provide a basic incentive is likely to bias samples in the direction of well-educated individuals who are genera</w:t>
      </w:r>
      <w:r w:rsidRPr="00275459" w:rsidR="00B33D76">
        <w:rPr>
          <w:rFonts w:cs="Calibri"/>
          <w:color w:val="000000"/>
        </w:rPr>
        <w:t>lly predisposed to be helpful</w:t>
      </w:r>
      <w:r w:rsidRPr="00275459" w:rsidR="00063DC5">
        <w:rPr>
          <w:rFonts w:cs="Calibri"/>
          <w:color w:val="000000"/>
        </w:rPr>
        <w:t>.</w:t>
      </w:r>
    </w:p>
    <w:p w:rsidRPr="00901D5E" w:rsidR="00A44C79" w:rsidP="00901D5E" w:rsidRDefault="00A44C79" w14:paraId="402700F6" w14:textId="77777777"/>
    <w:p w:rsidRPr="00901D5E" w:rsidR="00933B96" w:rsidP="00636D0C" w:rsidRDefault="00933B96" w14:paraId="335CC1B3" w14:textId="77777777">
      <w:pPr>
        <w:pStyle w:val="Heading2"/>
        <w:rPr>
          <w:i/>
        </w:rPr>
      </w:pPr>
      <w:bookmarkStart w:name="_Toc74723231" w:id="18"/>
      <w:r w:rsidRPr="00901D5E">
        <w:t>A10. Assurance of Confidentiality Provided to Respondents</w:t>
      </w:r>
      <w:bookmarkEnd w:id="18"/>
    </w:p>
    <w:p w:rsidRPr="00275459" w:rsidR="0010381D" w:rsidP="00437BDA" w:rsidRDefault="00933B96" w14:paraId="10891407" w14:textId="77777777">
      <w:pPr>
        <w:rPr>
          <w:rFonts w:cs="Calibri"/>
          <w:bCs/>
          <w:iCs/>
          <w:color w:val="000000"/>
        </w:rPr>
      </w:pPr>
      <w:r w:rsidRPr="00275459">
        <w:rPr>
          <w:rFonts w:cs="Calibri"/>
          <w:bCs/>
          <w:iCs/>
          <w:color w:val="000000"/>
        </w:rPr>
        <w:t xml:space="preserve">The </w:t>
      </w:r>
      <w:r w:rsidRPr="00275459" w:rsidR="00403CB2">
        <w:rPr>
          <w:rFonts w:cs="Calibri"/>
          <w:bCs/>
          <w:iCs/>
          <w:color w:val="000000"/>
        </w:rPr>
        <w:t>National Center for Chronic Disease Prevention and Health Promotion (NCCDPHP)</w:t>
      </w:r>
      <w:r w:rsidRPr="00275459">
        <w:rPr>
          <w:rFonts w:cs="Calibri"/>
          <w:bCs/>
          <w:iCs/>
          <w:color w:val="000000"/>
        </w:rPr>
        <w:t xml:space="preserve"> has reviewed this </w:t>
      </w:r>
      <w:r w:rsidRPr="00275459" w:rsidR="00030ED0">
        <w:rPr>
          <w:rFonts w:cs="Calibri"/>
          <w:bCs/>
          <w:iCs/>
          <w:color w:val="000000"/>
        </w:rPr>
        <w:t xml:space="preserve">OMB </w:t>
      </w:r>
      <w:r w:rsidRPr="00275459">
        <w:rPr>
          <w:rFonts w:cs="Calibri"/>
          <w:bCs/>
          <w:iCs/>
          <w:color w:val="000000"/>
        </w:rPr>
        <w:t>submission and determi</w:t>
      </w:r>
      <w:r w:rsidRPr="00275459" w:rsidR="00030ED0">
        <w:rPr>
          <w:rFonts w:cs="Calibri"/>
          <w:bCs/>
          <w:iCs/>
          <w:color w:val="000000"/>
        </w:rPr>
        <w:t xml:space="preserve">ned that the Privacy Act is </w:t>
      </w:r>
      <w:r w:rsidRPr="00275459" w:rsidR="00B30865">
        <w:rPr>
          <w:rFonts w:cs="Calibri"/>
          <w:bCs/>
          <w:iCs/>
          <w:color w:val="000000"/>
        </w:rPr>
        <w:t>not</w:t>
      </w:r>
      <w:r w:rsidRPr="00275459" w:rsidR="00030ED0">
        <w:rPr>
          <w:rFonts w:cs="Calibri"/>
          <w:bCs/>
          <w:iCs/>
          <w:color w:val="000000"/>
        </w:rPr>
        <w:t xml:space="preserve"> applicable</w:t>
      </w:r>
      <w:r w:rsidRPr="00275459">
        <w:rPr>
          <w:rFonts w:cs="Calibri"/>
          <w:bCs/>
          <w:iCs/>
          <w:color w:val="000000"/>
        </w:rPr>
        <w:t xml:space="preserve">. </w:t>
      </w:r>
      <w:r w:rsidRPr="00275459" w:rsidR="00403CB2">
        <w:rPr>
          <w:rFonts w:cs="Calibri"/>
          <w:bCs/>
          <w:iCs/>
          <w:color w:val="000000"/>
        </w:rPr>
        <w:t xml:space="preserve"> Privacy Act applicability will be </w:t>
      </w:r>
      <w:r w:rsidRPr="00275459" w:rsidR="007021F3">
        <w:rPr>
          <w:rFonts w:cs="Calibri"/>
          <w:bCs/>
          <w:iCs/>
          <w:color w:val="000000"/>
        </w:rPr>
        <w:t>re-</w:t>
      </w:r>
      <w:r w:rsidRPr="00275459" w:rsidR="00403CB2">
        <w:rPr>
          <w:rFonts w:cs="Calibri"/>
          <w:bCs/>
          <w:iCs/>
          <w:color w:val="000000"/>
        </w:rPr>
        <w:t>reviewed for each individual information collection request submitted under this generic clearance.</w:t>
      </w:r>
    </w:p>
    <w:p w:rsidRPr="00275459" w:rsidR="00FD64EE" w:rsidP="00437BDA" w:rsidRDefault="00FD64EE" w14:paraId="75D1FBA0" w14:textId="77777777">
      <w:pPr>
        <w:rPr>
          <w:rFonts w:cs="Calibri"/>
          <w:color w:val="000000"/>
        </w:rPr>
      </w:pPr>
    </w:p>
    <w:p w:rsidRPr="00275459" w:rsidR="00FD5323" w:rsidP="00437BDA" w:rsidRDefault="0010381D" w14:paraId="13AF13FA" w14:textId="77777777">
      <w:pPr>
        <w:numPr>
          <w:ilvl w:val="0"/>
          <w:numId w:val="22"/>
        </w:numPr>
        <w:rPr>
          <w:rFonts w:cs="Calibri"/>
          <w:color w:val="000000"/>
          <w:u w:val="single"/>
        </w:rPr>
      </w:pPr>
      <w:r w:rsidRPr="00275459">
        <w:rPr>
          <w:rFonts w:cs="Calibri"/>
          <w:color w:val="000000"/>
          <w:u w:val="single"/>
        </w:rPr>
        <w:t>Safeguards</w:t>
      </w:r>
    </w:p>
    <w:p w:rsidRPr="00275459" w:rsidR="00D561D7" w:rsidP="00BA70CD" w:rsidRDefault="00FD5323" w14:paraId="3E9E1232" w14:textId="06DEAF91">
      <w:pPr>
        <w:ind w:left="720"/>
        <w:rPr>
          <w:rFonts w:cs="Calibri"/>
          <w:color w:val="000000"/>
        </w:rPr>
      </w:pPr>
      <w:r w:rsidRPr="00275459">
        <w:rPr>
          <w:rFonts w:cs="Calibri"/>
          <w:bCs/>
          <w:iCs/>
          <w:color w:val="000000"/>
        </w:rPr>
        <w:t>Respondents will be recruited by the data collection contractor</w:t>
      </w:r>
      <w:r w:rsidRPr="00275459">
        <w:rPr>
          <w:rFonts w:cs="Calibri"/>
          <w:color w:val="000000"/>
        </w:rPr>
        <w:t xml:space="preserve"> using commercial focus group companies, and other sources. </w:t>
      </w:r>
      <w:r w:rsidRPr="00275459" w:rsidR="00EA6F5E">
        <w:rPr>
          <w:rFonts w:cs="Calibri"/>
          <w:color w:val="000000"/>
        </w:rPr>
        <w:t xml:space="preserve">CDC will not create a record system for this project. </w:t>
      </w:r>
      <w:r w:rsidRPr="00275459" w:rsidR="00437BDA">
        <w:rPr>
          <w:rFonts w:cs="Calibri"/>
          <w:color w:val="000000"/>
        </w:rPr>
        <w:t>Although respondent names and contact/demographic</w:t>
      </w:r>
      <w:r w:rsidRPr="00275459" w:rsidR="00D561D7">
        <w:rPr>
          <w:rFonts w:cs="Calibri"/>
          <w:color w:val="000000"/>
        </w:rPr>
        <w:t xml:space="preserve"> information may</w:t>
      </w:r>
      <w:r w:rsidRPr="00275459" w:rsidR="00437BDA">
        <w:rPr>
          <w:rFonts w:cs="Calibri"/>
          <w:color w:val="000000"/>
        </w:rPr>
        <w:t xml:space="preserve"> be used to </w:t>
      </w:r>
      <w:r w:rsidRPr="00275459" w:rsidR="00EA6F5E">
        <w:rPr>
          <w:rFonts w:cs="Calibri"/>
          <w:color w:val="000000"/>
        </w:rPr>
        <w:t xml:space="preserve">determine eligibility and to </w:t>
      </w:r>
      <w:r w:rsidRPr="00275459" w:rsidR="00437BDA">
        <w:rPr>
          <w:rFonts w:cs="Calibri"/>
          <w:color w:val="000000"/>
        </w:rPr>
        <w:t>sche</w:t>
      </w:r>
      <w:r w:rsidRPr="00275459" w:rsidR="00D561D7">
        <w:rPr>
          <w:rFonts w:cs="Calibri"/>
          <w:color w:val="000000"/>
        </w:rPr>
        <w:t>dule focus group participation,</w:t>
      </w:r>
      <w:r w:rsidRPr="00275459" w:rsidR="00EA6F5E">
        <w:rPr>
          <w:rFonts w:cs="Calibri"/>
          <w:color w:val="000000"/>
        </w:rPr>
        <w:t xml:space="preserve"> personal identifying</w:t>
      </w:r>
      <w:r w:rsidRPr="00275459" w:rsidR="00437BDA">
        <w:rPr>
          <w:rFonts w:cs="Calibri"/>
          <w:color w:val="000000"/>
        </w:rPr>
        <w:t xml:space="preserve"> information will not be</w:t>
      </w:r>
      <w:r w:rsidRPr="00275459" w:rsidR="00EA6F5E">
        <w:rPr>
          <w:rFonts w:cs="Calibri"/>
          <w:color w:val="000000"/>
        </w:rPr>
        <w:t xml:space="preserve"> linkable at any time to response data</w:t>
      </w:r>
      <w:r w:rsidRPr="00275459" w:rsidR="00D561D7">
        <w:rPr>
          <w:rFonts w:cs="Calibri"/>
          <w:color w:val="000000"/>
        </w:rPr>
        <w:t xml:space="preserve"> collected during </w:t>
      </w:r>
      <w:r w:rsidR="00C14696">
        <w:rPr>
          <w:rFonts w:cs="Calibri"/>
          <w:color w:val="000000"/>
        </w:rPr>
        <w:t>these</w:t>
      </w:r>
      <w:r w:rsidRPr="00275459" w:rsidR="00270447">
        <w:rPr>
          <w:rFonts w:cs="Calibri"/>
          <w:color w:val="000000"/>
        </w:rPr>
        <w:t xml:space="preserve"> discussions</w:t>
      </w:r>
      <w:r w:rsidRPr="00275459" w:rsidR="00D561D7">
        <w:rPr>
          <w:rFonts w:cs="Calibri"/>
          <w:color w:val="000000"/>
        </w:rPr>
        <w:t xml:space="preserve">. A minimum amount of demographic information may be retained in notes for purposes </w:t>
      </w:r>
      <w:r w:rsidRPr="00275459" w:rsidR="00656E2D">
        <w:rPr>
          <w:rFonts w:cs="Calibri"/>
          <w:color w:val="000000"/>
        </w:rPr>
        <w:t xml:space="preserve">of reporting novel </w:t>
      </w:r>
      <w:r w:rsidRPr="00275459" w:rsidR="00A67809">
        <w:rPr>
          <w:rFonts w:cs="Calibri"/>
          <w:color w:val="000000"/>
        </w:rPr>
        <w:t>findings but</w:t>
      </w:r>
      <w:r w:rsidRPr="00275459" w:rsidR="00D561D7">
        <w:rPr>
          <w:rFonts w:cs="Calibri"/>
          <w:color w:val="000000"/>
        </w:rPr>
        <w:t xml:space="preserve"> will not be sufficient to identify respondents</w:t>
      </w:r>
      <w:r w:rsidRPr="00275459" w:rsidR="00C72770">
        <w:rPr>
          <w:rFonts w:cs="Calibri"/>
          <w:color w:val="000000"/>
        </w:rPr>
        <w:t>.</w:t>
      </w:r>
      <w:r w:rsidRPr="00275459" w:rsidR="003E6117">
        <w:rPr>
          <w:rFonts w:cs="Calibri"/>
          <w:color w:val="000000"/>
        </w:rPr>
        <w:t xml:space="preserve"> </w:t>
      </w:r>
      <w:r w:rsidRPr="00275459" w:rsidR="00721C6D">
        <w:rPr>
          <w:rFonts w:cs="Calibri"/>
          <w:color w:val="000000"/>
        </w:rPr>
        <w:t xml:space="preserve">Participants </w:t>
      </w:r>
      <w:r w:rsidRPr="00275459" w:rsidR="00D561D7">
        <w:rPr>
          <w:rFonts w:cs="Calibri"/>
          <w:color w:val="000000"/>
        </w:rPr>
        <w:t xml:space="preserve">will be informed that </w:t>
      </w:r>
      <w:r w:rsidR="00EB33D5">
        <w:rPr>
          <w:rFonts w:cs="Calibri"/>
          <w:color w:val="000000"/>
        </w:rPr>
        <w:t>discussions</w:t>
      </w:r>
      <w:r w:rsidRPr="00275459" w:rsidR="00D561D7">
        <w:rPr>
          <w:rFonts w:cs="Calibri"/>
          <w:color w:val="000000"/>
        </w:rPr>
        <w:t xml:space="preserve"> will be </w:t>
      </w:r>
      <w:r w:rsidRPr="00275459" w:rsidR="00806B7C">
        <w:rPr>
          <w:rFonts w:cs="Calibri"/>
          <w:color w:val="000000"/>
        </w:rPr>
        <w:t xml:space="preserve">video and/or </w:t>
      </w:r>
      <w:r w:rsidRPr="00275459" w:rsidR="00D561D7">
        <w:rPr>
          <w:rFonts w:cs="Calibri"/>
          <w:color w:val="000000"/>
        </w:rPr>
        <w:t xml:space="preserve">audio-taped and transcribed, and that </w:t>
      </w:r>
      <w:r w:rsidRPr="00275459" w:rsidR="006B151B">
        <w:rPr>
          <w:rFonts w:cs="Calibri"/>
          <w:color w:val="000000"/>
        </w:rPr>
        <w:t xml:space="preserve">recordings </w:t>
      </w:r>
      <w:r w:rsidRPr="00275459" w:rsidR="00D561D7">
        <w:rPr>
          <w:rFonts w:cs="Calibri"/>
          <w:color w:val="000000"/>
        </w:rPr>
        <w:t xml:space="preserve">will be destroyed after completion of each report on findings. DCPC staff, in conjunction with a communications contractor, will collect and evaluate the </w:t>
      </w:r>
      <w:r w:rsidRPr="00275459" w:rsidR="00911E42">
        <w:rPr>
          <w:rFonts w:cs="Calibri"/>
          <w:color w:val="000000"/>
        </w:rPr>
        <w:t>audience research</w:t>
      </w:r>
      <w:r w:rsidRPr="00275459" w:rsidR="00D561D7">
        <w:rPr>
          <w:rFonts w:cs="Calibri"/>
          <w:color w:val="000000"/>
        </w:rPr>
        <w:t xml:space="preserve"> data.</w:t>
      </w:r>
    </w:p>
    <w:p w:rsidRPr="00275459" w:rsidR="00DD3FBF" w:rsidP="00DD3FBF" w:rsidRDefault="00DD3FBF" w14:paraId="512CE0BB" w14:textId="77777777">
      <w:pPr>
        <w:rPr>
          <w:rFonts w:cs="Calibri"/>
          <w:color w:val="000000"/>
        </w:rPr>
      </w:pPr>
      <w:bookmarkStart w:name="_Toc68687807" w:id="19"/>
    </w:p>
    <w:p w:rsidRPr="00275459" w:rsidR="00C72770" w:rsidP="00C72770" w:rsidRDefault="00C72770" w14:paraId="41B6343C" w14:textId="77777777">
      <w:pPr>
        <w:numPr>
          <w:ilvl w:val="0"/>
          <w:numId w:val="22"/>
        </w:numPr>
        <w:rPr>
          <w:rFonts w:cs="Calibri"/>
          <w:color w:val="000000"/>
          <w:u w:val="single"/>
        </w:rPr>
      </w:pPr>
      <w:r w:rsidRPr="00275459">
        <w:rPr>
          <w:rFonts w:cs="Calibri"/>
          <w:color w:val="000000"/>
          <w:u w:val="single"/>
        </w:rPr>
        <w:t>Consent</w:t>
      </w:r>
    </w:p>
    <w:p w:rsidRPr="00275459" w:rsidR="0091357A" w:rsidP="00BA70CD" w:rsidRDefault="00E84D69" w14:paraId="05FEB486" w14:textId="27F40667">
      <w:pPr>
        <w:ind w:left="720"/>
        <w:rPr>
          <w:rFonts w:cs="Calibri"/>
        </w:rPr>
      </w:pPr>
      <w:r w:rsidRPr="00275459">
        <w:rPr>
          <w:rFonts w:cs="Calibri"/>
          <w:color w:val="000000"/>
        </w:rPr>
        <w:t xml:space="preserve">All information provided by respondents will be treated in a </w:t>
      </w:r>
      <w:r w:rsidRPr="00275459" w:rsidR="00C72770">
        <w:rPr>
          <w:rFonts w:cs="Calibri"/>
          <w:color w:val="000000"/>
        </w:rPr>
        <w:t xml:space="preserve">secure </w:t>
      </w:r>
      <w:r w:rsidRPr="00275459">
        <w:rPr>
          <w:rFonts w:cs="Calibri"/>
          <w:color w:val="000000"/>
        </w:rPr>
        <w:t>manner</w:t>
      </w:r>
      <w:r w:rsidRPr="00275459" w:rsidR="00EA6F5E">
        <w:rPr>
          <w:rFonts w:cs="Calibri"/>
          <w:color w:val="000000"/>
        </w:rPr>
        <w:t xml:space="preserve"> and will not be disclosed</w:t>
      </w:r>
      <w:r w:rsidRPr="00275459">
        <w:rPr>
          <w:rFonts w:cs="Calibri"/>
          <w:color w:val="000000"/>
        </w:rPr>
        <w:t xml:space="preserve">, unless otherwise compelled by law. </w:t>
      </w:r>
      <w:r w:rsidRPr="00275459" w:rsidR="007021F3">
        <w:rPr>
          <w:rFonts w:cs="Calibri"/>
          <w:color w:val="000000"/>
        </w:rPr>
        <w:t>Typically, i</w:t>
      </w:r>
      <w:r w:rsidRPr="00275459" w:rsidR="00985871">
        <w:rPr>
          <w:rFonts w:cs="Calibri"/>
          <w:color w:val="000000"/>
        </w:rPr>
        <w:t>nformed consent will be obtained from r</w:t>
      </w:r>
      <w:r w:rsidRPr="00275459">
        <w:rPr>
          <w:rFonts w:cs="Calibri"/>
          <w:color w:val="000000"/>
        </w:rPr>
        <w:t xml:space="preserve">espondents </w:t>
      </w:r>
      <w:r w:rsidRPr="00275459" w:rsidR="00985871">
        <w:rPr>
          <w:rFonts w:cs="Calibri"/>
          <w:color w:val="000000"/>
        </w:rPr>
        <w:t>(</w:t>
      </w:r>
      <w:r w:rsidRPr="00275459" w:rsidR="007021F3">
        <w:rPr>
          <w:rFonts w:cs="Calibri"/>
          <w:color w:val="000000"/>
        </w:rPr>
        <w:t xml:space="preserve">example in </w:t>
      </w:r>
      <w:r w:rsidRPr="00275459" w:rsidR="00BA70CD">
        <w:rPr>
          <w:rFonts w:cs="Calibri"/>
          <w:b/>
          <w:bCs/>
          <w:color w:val="000000"/>
        </w:rPr>
        <w:t>Attachment C2</w:t>
      </w:r>
      <w:r w:rsidRPr="00275459" w:rsidR="00985871">
        <w:rPr>
          <w:rFonts w:cs="Calibri"/>
          <w:color w:val="000000"/>
        </w:rPr>
        <w:t xml:space="preserve">) and they </w:t>
      </w:r>
      <w:r w:rsidRPr="00275459">
        <w:rPr>
          <w:rFonts w:cs="Calibri"/>
          <w:color w:val="000000"/>
        </w:rPr>
        <w:t xml:space="preserve">will be informed </w:t>
      </w:r>
      <w:r w:rsidRPr="00275459" w:rsidR="00C72770">
        <w:rPr>
          <w:rFonts w:cs="Calibri"/>
          <w:color w:val="000000"/>
        </w:rPr>
        <w:t xml:space="preserve">that participation is </w:t>
      </w:r>
      <w:r w:rsidRPr="00275459" w:rsidR="005248B8">
        <w:rPr>
          <w:rFonts w:cs="Calibri"/>
          <w:color w:val="000000"/>
        </w:rPr>
        <w:t>voluntary;</w:t>
      </w:r>
      <w:r w:rsidRPr="00275459" w:rsidR="00C72770">
        <w:rPr>
          <w:rFonts w:cs="Calibri"/>
          <w:color w:val="000000"/>
        </w:rPr>
        <w:t xml:space="preserve"> </w:t>
      </w:r>
      <w:r w:rsidRPr="00275459" w:rsidR="003A1A2D">
        <w:rPr>
          <w:rFonts w:cs="Calibri"/>
          <w:color w:val="000000"/>
        </w:rPr>
        <w:t xml:space="preserve">they do not have to answer questions if they do not want to, </w:t>
      </w:r>
      <w:r w:rsidRPr="00275459">
        <w:rPr>
          <w:rFonts w:cs="Calibri"/>
          <w:color w:val="000000"/>
        </w:rPr>
        <w:t>their response</w:t>
      </w:r>
      <w:r w:rsidRPr="00275459" w:rsidR="0091357A">
        <w:rPr>
          <w:rFonts w:cs="Calibri"/>
          <w:color w:val="000000"/>
        </w:rPr>
        <w:t xml:space="preserve">s will be treated in a </w:t>
      </w:r>
      <w:r w:rsidRPr="00275459" w:rsidR="00C72770">
        <w:rPr>
          <w:rFonts w:cs="Calibri"/>
          <w:color w:val="000000"/>
        </w:rPr>
        <w:t xml:space="preserve">secure </w:t>
      </w:r>
      <w:r w:rsidRPr="00275459" w:rsidR="0091357A">
        <w:rPr>
          <w:rFonts w:cs="Calibri"/>
          <w:color w:val="000000"/>
        </w:rPr>
        <w:t>manner</w:t>
      </w:r>
      <w:r w:rsidRPr="00275459" w:rsidR="00C72770">
        <w:rPr>
          <w:rFonts w:cs="Calibri"/>
          <w:color w:val="000000"/>
        </w:rPr>
        <w:t>, and they can stop participating at any time.</w:t>
      </w:r>
      <w:r w:rsidRPr="00275459" w:rsidR="00985871">
        <w:rPr>
          <w:rFonts w:cs="Calibri"/>
          <w:color w:val="000000"/>
        </w:rPr>
        <w:t xml:space="preserve"> T</w:t>
      </w:r>
      <w:r w:rsidRPr="00275459" w:rsidR="007021F3">
        <w:rPr>
          <w:rFonts w:cs="Calibri"/>
          <w:color w:val="000000"/>
        </w:rPr>
        <w:t>ypically, t</w:t>
      </w:r>
      <w:r w:rsidRPr="00275459" w:rsidR="00985871">
        <w:rPr>
          <w:rFonts w:cs="Calibri"/>
          <w:color w:val="000000"/>
        </w:rPr>
        <w:t xml:space="preserve">he </w:t>
      </w:r>
      <w:r w:rsidRPr="00275459" w:rsidR="007021F3">
        <w:rPr>
          <w:rFonts w:cs="Calibri"/>
          <w:color w:val="000000"/>
        </w:rPr>
        <w:t xml:space="preserve">information collection </w:t>
      </w:r>
      <w:r w:rsidRPr="00275459" w:rsidR="00985871">
        <w:rPr>
          <w:rFonts w:cs="Calibri"/>
          <w:color w:val="000000"/>
        </w:rPr>
        <w:t xml:space="preserve">activities </w:t>
      </w:r>
      <w:r w:rsidRPr="00275459" w:rsidR="007021F3">
        <w:rPr>
          <w:rFonts w:cs="Calibri"/>
          <w:color w:val="000000"/>
        </w:rPr>
        <w:t>conducted under this generic will</w:t>
      </w:r>
      <w:r w:rsidRPr="00275459" w:rsidR="00985871">
        <w:rPr>
          <w:rFonts w:cs="Calibri"/>
          <w:color w:val="000000"/>
        </w:rPr>
        <w:t xml:space="preserve"> not require IRB review and approval</w:t>
      </w:r>
      <w:r w:rsidRPr="00275459" w:rsidR="00763C22">
        <w:rPr>
          <w:rFonts w:cs="Calibri"/>
          <w:color w:val="000000"/>
        </w:rPr>
        <w:t xml:space="preserve"> </w:t>
      </w:r>
      <w:r w:rsidRPr="00275459" w:rsidR="003F2648">
        <w:rPr>
          <w:rFonts w:cs="Calibri"/>
          <w:color w:val="000000"/>
        </w:rPr>
        <w:t>since this the primary purpose is to inform and improve existing public health awareness campaigns</w:t>
      </w:r>
      <w:r w:rsidRPr="00275459" w:rsidR="00985871">
        <w:rPr>
          <w:rFonts w:cs="Calibri"/>
          <w:color w:val="000000"/>
        </w:rPr>
        <w:t>.  If a specific information collection is determined to require IRB approval, DCPC will obtain the required approval.</w:t>
      </w:r>
    </w:p>
    <w:p w:rsidRPr="00275459" w:rsidR="00C35AE3" w:rsidP="0091357A" w:rsidRDefault="00C35AE3" w14:paraId="17601A2D" w14:textId="77777777">
      <w:pPr>
        <w:autoSpaceDE w:val="0"/>
        <w:autoSpaceDN w:val="0"/>
        <w:adjustRightInd w:val="0"/>
        <w:rPr>
          <w:rFonts w:cs="Calibri"/>
          <w:color w:val="000000"/>
        </w:rPr>
      </w:pPr>
    </w:p>
    <w:p w:rsidRPr="00275459" w:rsidR="00C72770" w:rsidP="00C72770" w:rsidRDefault="00C72770" w14:paraId="5CD8EB3D" w14:textId="77777777">
      <w:pPr>
        <w:numPr>
          <w:ilvl w:val="0"/>
          <w:numId w:val="22"/>
        </w:numPr>
        <w:autoSpaceDE w:val="0"/>
        <w:autoSpaceDN w:val="0"/>
        <w:adjustRightInd w:val="0"/>
        <w:rPr>
          <w:rFonts w:cs="Calibri"/>
          <w:color w:val="000000"/>
          <w:u w:val="single"/>
        </w:rPr>
      </w:pPr>
      <w:r w:rsidRPr="00275459">
        <w:rPr>
          <w:rFonts w:cs="Calibri"/>
          <w:color w:val="000000"/>
          <w:u w:val="single"/>
        </w:rPr>
        <w:t>Nature of Response</w:t>
      </w:r>
    </w:p>
    <w:p w:rsidRPr="00275459" w:rsidR="00701DFC" w:rsidP="00BA70CD" w:rsidRDefault="00B32A4D" w14:paraId="08C57A86" w14:textId="290D5F57">
      <w:pPr>
        <w:ind w:left="720"/>
        <w:rPr>
          <w:rFonts w:cs="Calibri"/>
          <w:color w:val="000000"/>
        </w:rPr>
      </w:pPr>
      <w:r w:rsidRPr="00275459">
        <w:rPr>
          <w:rFonts w:cs="Calibri"/>
          <w:color w:val="000000"/>
        </w:rPr>
        <w:t xml:space="preserve">Respondent participation is entirely voluntary, as noted in the </w:t>
      </w:r>
      <w:r w:rsidRPr="00275459" w:rsidR="007021F3">
        <w:rPr>
          <w:rFonts w:cs="Calibri"/>
          <w:color w:val="000000"/>
        </w:rPr>
        <w:t xml:space="preserve">example </w:t>
      </w:r>
      <w:r w:rsidRPr="00275459">
        <w:rPr>
          <w:rFonts w:cs="Calibri"/>
          <w:color w:val="000000"/>
        </w:rPr>
        <w:t>consent form (</w:t>
      </w:r>
      <w:r w:rsidRPr="00BA70CD" w:rsidR="00BA70CD">
        <w:rPr>
          <w:rFonts w:cs="Calibri"/>
          <w:b/>
          <w:bCs/>
          <w:color w:val="000000"/>
        </w:rPr>
        <w:t>Attachment C2</w:t>
      </w:r>
      <w:r w:rsidRPr="00275459">
        <w:rPr>
          <w:rFonts w:cs="Calibri"/>
          <w:color w:val="000000"/>
        </w:rPr>
        <w:t>).</w:t>
      </w:r>
    </w:p>
    <w:p w:rsidRPr="00275459" w:rsidR="00F95FBB" w:rsidP="00DD3FBF" w:rsidRDefault="00F95FBB" w14:paraId="09D28ACC" w14:textId="77777777">
      <w:pPr>
        <w:rPr>
          <w:rFonts w:cs="Calibri"/>
          <w:color w:val="000000"/>
        </w:rPr>
      </w:pPr>
    </w:p>
    <w:p w:rsidRPr="00901D5E" w:rsidR="00DD3FBF" w:rsidP="00636D0C" w:rsidRDefault="00DD3FBF" w14:paraId="6D237C7D" w14:textId="68BB6468">
      <w:pPr>
        <w:pStyle w:val="Heading2"/>
        <w:rPr>
          <w:i/>
        </w:rPr>
      </w:pPr>
      <w:bookmarkStart w:name="_Toc74723232" w:id="20"/>
      <w:r w:rsidRPr="00901D5E">
        <w:t xml:space="preserve">A11. </w:t>
      </w:r>
      <w:r w:rsidR="006B151B">
        <w:t xml:space="preserve">Institutional Review Board (IRB) and </w:t>
      </w:r>
      <w:r w:rsidRPr="00901D5E">
        <w:t>Justification for Sensitive Questions</w:t>
      </w:r>
      <w:bookmarkEnd w:id="19"/>
      <w:bookmarkEnd w:id="20"/>
    </w:p>
    <w:p w:rsidRPr="00275459" w:rsidR="00DD3FBF" w:rsidP="00DD3FBF" w:rsidRDefault="00DD3FBF" w14:paraId="056BB316" w14:textId="77777777">
      <w:pPr>
        <w:rPr>
          <w:rFonts w:cs="Calibri"/>
          <w:color w:val="000000"/>
        </w:rPr>
      </w:pPr>
    </w:p>
    <w:p w:rsidRPr="00275459" w:rsidR="00DD3FBF" w:rsidP="00DD3FBF" w:rsidRDefault="00B90AD8" w14:paraId="0FC20738" w14:textId="27CFE978">
      <w:pPr>
        <w:rPr>
          <w:rFonts w:cs="Calibri"/>
          <w:color w:val="000000"/>
        </w:rPr>
      </w:pPr>
      <w:r w:rsidRPr="00275459">
        <w:rPr>
          <w:rFonts w:cs="Calibri"/>
          <w:color w:val="000000"/>
        </w:rPr>
        <w:t xml:space="preserve">The majority of questions asked will not be of a </w:t>
      </w:r>
      <w:r w:rsidRPr="00275459" w:rsidR="00324AA7">
        <w:rPr>
          <w:rFonts w:cs="Calibri"/>
          <w:color w:val="000000"/>
        </w:rPr>
        <w:t xml:space="preserve">highly </w:t>
      </w:r>
      <w:r w:rsidRPr="00275459">
        <w:rPr>
          <w:rFonts w:cs="Calibri"/>
          <w:color w:val="000000"/>
        </w:rPr>
        <w:t xml:space="preserve">sensitive nature. </w:t>
      </w:r>
      <w:r w:rsidRPr="00275459" w:rsidR="00324AA7">
        <w:rPr>
          <w:rFonts w:cs="Calibri"/>
          <w:color w:val="000000"/>
        </w:rPr>
        <w:t xml:space="preserve">However, </w:t>
      </w:r>
      <w:r w:rsidRPr="00275459" w:rsidR="008F279D">
        <w:rPr>
          <w:rFonts w:cs="Calibri"/>
          <w:color w:val="000000"/>
        </w:rPr>
        <w:t xml:space="preserve">some </w:t>
      </w:r>
      <w:r w:rsidRPr="00275459" w:rsidR="00F03D80">
        <w:rPr>
          <w:rFonts w:cs="Calibri"/>
          <w:color w:val="000000"/>
        </w:rPr>
        <w:t>respondent</w:t>
      </w:r>
      <w:r w:rsidRPr="00275459" w:rsidR="00DD3FBF">
        <w:rPr>
          <w:rFonts w:cs="Calibri"/>
          <w:color w:val="000000"/>
        </w:rPr>
        <w:t>s</w:t>
      </w:r>
      <w:r w:rsidRPr="00275459" w:rsidR="00CA624E">
        <w:rPr>
          <w:rFonts w:cs="Calibri"/>
          <w:color w:val="000000"/>
        </w:rPr>
        <w:t xml:space="preserve"> </w:t>
      </w:r>
      <w:r w:rsidRPr="00275459" w:rsidR="00DD3FBF">
        <w:rPr>
          <w:rFonts w:cs="Calibri"/>
          <w:color w:val="000000"/>
        </w:rPr>
        <w:t xml:space="preserve">may find thinking about and discussing </w:t>
      </w:r>
      <w:r w:rsidRPr="00275459" w:rsidR="00196DB4">
        <w:rPr>
          <w:rFonts w:cs="Calibri"/>
          <w:color w:val="000000"/>
        </w:rPr>
        <w:t xml:space="preserve">the disease of </w:t>
      </w:r>
      <w:r w:rsidRPr="00275459" w:rsidR="00DD3FBF">
        <w:rPr>
          <w:rFonts w:cs="Calibri"/>
          <w:color w:val="000000"/>
        </w:rPr>
        <w:t>cancer unpleasant</w:t>
      </w:r>
      <w:r w:rsidRPr="00275459" w:rsidR="00196DB4">
        <w:rPr>
          <w:rFonts w:cs="Calibri"/>
          <w:color w:val="000000"/>
        </w:rPr>
        <w:t xml:space="preserve">. </w:t>
      </w:r>
      <w:r w:rsidRPr="00275459" w:rsidR="00F03D80">
        <w:rPr>
          <w:rFonts w:cs="Calibri"/>
          <w:color w:val="000000"/>
        </w:rPr>
        <w:t xml:space="preserve">A portion of respondents could consider questions about race, ethnicity, or other demographic characteristics to be sensitive, although such questions are unlikely to be highly sensitive. </w:t>
      </w:r>
      <w:r w:rsidRPr="00275459" w:rsidR="006C7F61">
        <w:rPr>
          <w:rFonts w:cs="Calibri"/>
          <w:color w:val="000000"/>
        </w:rPr>
        <w:lastRenderedPageBreak/>
        <w:t>Additionally,</w:t>
      </w:r>
      <w:r w:rsidRPr="00275459" w:rsidR="00F03D80">
        <w:rPr>
          <w:rFonts w:cs="Calibri"/>
          <w:color w:val="000000"/>
        </w:rPr>
        <w:t xml:space="preserve"> a portion of</w:t>
      </w:r>
      <w:r w:rsidRPr="00275459" w:rsidR="00196DB4">
        <w:rPr>
          <w:rFonts w:cs="Calibri"/>
          <w:color w:val="000000"/>
        </w:rPr>
        <w:t xml:space="preserve"> </w:t>
      </w:r>
      <w:r w:rsidRPr="00275459" w:rsidR="00F03D80">
        <w:rPr>
          <w:rFonts w:cs="Calibri"/>
          <w:color w:val="000000"/>
        </w:rPr>
        <w:t>respondent</w:t>
      </w:r>
      <w:r w:rsidRPr="00275459" w:rsidR="008F279D">
        <w:rPr>
          <w:rFonts w:cs="Calibri"/>
          <w:color w:val="000000"/>
        </w:rPr>
        <w:t xml:space="preserve">s </w:t>
      </w:r>
      <w:r w:rsidRPr="00275459" w:rsidR="00DD3FBF">
        <w:rPr>
          <w:rFonts w:cs="Calibri"/>
          <w:color w:val="000000"/>
        </w:rPr>
        <w:t xml:space="preserve">may feel uncomfortable answering some questions about </w:t>
      </w:r>
      <w:r w:rsidRPr="00275459" w:rsidR="009A5ADC">
        <w:rPr>
          <w:rFonts w:cs="Calibri"/>
          <w:color w:val="000000"/>
        </w:rPr>
        <w:t xml:space="preserve">their individual </w:t>
      </w:r>
      <w:r w:rsidRPr="00275459" w:rsidR="00196DB4">
        <w:rPr>
          <w:rFonts w:cs="Calibri"/>
          <w:color w:val="000000"/>
        </w:rPr>
        <w:t xml:space="preserve">cancer </w:t>
      </w:r>
      <w:r w:rsidRPr="00275459" w:rsidR="00324AA7">
        <w:rPr>
          <w:rFonts w:cs="Calibri"/>
          <w:color w:val="000000"/>
        </w:rPr>
        <w:t>experiences</w:t>
      </w:r>
      <w:r w:rsidRPr="00275459" w:rsidR="00196DB4">
        <w:rPr>
          <w:rFonts w:cs="Calibri"/>
          <w:color w:val="000000"/>
        </w:rPr>
        <w:t xml:space="preserve">, level of </w:t>
      </w:r>
      <w:r w:rsidRPr="00275459" w:rsidR="00054189">
        <w:rPr>
          <w:rFonts w:cs="Calibri"/>
          <w:color w:val="000000"/>
        </w:rPr>
        <w:t xml:space="preserve">disease </w:t>
      </w:r>
      <w:r w:rsidRPr="00275459" w:rsidR="00196DB4">
        <w:rPr>
          <w:rFonts w:cs="Calibri"/>
          <w:color w:val="000000"/>
        </w:rPr>
        <w:t xml:space="preserve">awareness, and/or </w:t>
      </w:r>
      <w:r w:rsidRPr="00275459" w:rsidR="00F26E5A">
        <w:rPr>
          <w:rFonts w:cs="Calibri"/>
          <w:color w:val="000000"/>
        </w:rPr>
        <w:t xml:space="preserve">adopted </w:t>
      </w:r>
      <w:r w:rsidRPr="00275459" w:rsidR="00196DB4">
        <w:rPr>
          <w:rFonts w:cs="Calibri"/>
          <w:color w:val="000000"/>
        </w:rPr>
        <w:t xml:space="preserve">preventive behaviors (or lack thereof) associated with </w:t>
      </w:r>
      <w:r w:rsidRPr="00275459" w:rsidR="00054189">
        <w:rPr>
          <w:rFonts w:cs="Calibri"/>
          <w:color w:val="000000"/>
        </w:rPr>
        <w:t>cancer</w:t>
      </w:r>
      <w:r w:rsidRPr="00275459" w:rsidR="00324AA7">
        <w:rPr>
          <w:rFonts w:cs="Calibri"/>
          <w:color w:val="000000"/>
        </w:rPr>
        <w:t xml:space="preserve">. </w:t>
      </w:r>
      <w:r w:rsidRPr="00275459" w:rsidR="00F03D80">
        <w:rPr>
          <w:rFonts w:cs="Calibri"/>
          <w:color w:val="000000"/>
        </w:rPr>
        <w:t xml:space="preserve">Such questions, if asked, would be necessary for the purposes of a targeted communication campaign and thus to the information collection. </w:t>
      </w:r>
      <w:r w:rsidRPr="00275459" w:rsidR="00DD3FBF">
        <w:rPr>
          <w:rFonts w:cs="Calibri"/>
          <w:color w:val="000000"/>
        </w:rPr>
        <w:t xml:space="preserve">To minimize psychological distress, </w:t>
      </w:r>
      <w:r w:rsidRPr="00275459">
        <w:rPr>
          <w:rFonts w:cs="Calibri"/>
          <w:color w:val="000000"/>
        </w:rPr>
        <w:t xml:space="preserve">the moderator will inform </w:t>
      </w:r>
      <w:r w:rsidRPr="00275459" w:rsidR="00DD3FBF">
        <w:rPr>
          <w:rFonts w:cs="Calibri"/>
          <w:color w:val="000000"/>
        </w:rPr>
        <w:t xml:space="preserve">participants that they </w:t>
      </w:r>
      <w:r w:rsidRPr="00275459" w:rsidR="00F26E5A">
        <w:rPr>
          <w:rFonts w:cs="Calibri"/>
          <w:color w:val="000000"/>
        </w:rPr>
        <w:t xml:space="preserve">do not have to </w:t>
      </w:r>
      <w:r w:rsidRPr="00275459">
        <w:rPr>
          <w:rFonts w:cs="Calibri"/>
          <w:color w:val="000000"/>
        </w:rPr>
        <w:t>respond to</w:t>
      </w:r>
      <w:r w:rsidRPr="00275459" w:rsidR="00DD3FBF">
        <w:rPr>
          <w:rFonts w:cs="Calibri"/>
          <w:color w:val="000000"/>
        </w:rPr>
        <w:t xml:space="preserve"> any questions they do not want to answer and </w:t>
      </w:r>
      <w:r w:rsidRPr="00275459" w:rsidR="00F26E5A">
        <w:rPr>
          <w:rFonts w:cs="Calibri"/>
          <w:color w:val="000000"/>
        </w:rPr>
        <w:t xml:space="preserve">they may </w:t>
      </w:r>
      <w:r w:rsidRPr="00275459" w:rsidR="00DD3FBF">
        <w:rPr>
          <w:rFonts w:cs="Calibri"/>
          <w:color w:val="000000"/>
        </w:rPr>
        <w:t>stop participating at any time.</w:t>
      </w:r>
    </w:p>
    <w:p w:rsidRPr="00275459" w:rsidR="00F95FBB" w:rsidP="00DD3FBF" w:rsidRDefault="00F95FBB" w14:paraId="6E3A5BFF" w14:textId="77777777">
      <w:pPr>
        <w:rPr>
          <w:rFonts w:cs="Calibri"/>
          <w:color w:val="000000"/>
        </w:rPr>
      </w:pPr>
    </w:p>
    <w:p w:rsidRPr="00901D5E" w:rsidR="00DD3FBF" w:rsidP="00636D0C" w:rsidRDefault="00DD3FBF" w14:paraId="4FE83DF9" w14:textId="77777777">
      <w:pPr>
        <w:pStyle w:val="Heading2"/>
        <w:rPr>
          <w:i/>
        </w:rPr>
      </w:pPr>
      <w:bookmarkStart w:name="_Toc68687808" w:id="21"/>
      <w:bookmarkStart w:name="_Toc74723233" w:id="22"/>
      <w:r w:rsidRPr="00901D5E">
        <w:t>A12. Estimates of Annualized Burden Hours and Costs</w:t>
      </w:r>
      <w:bookmarkEnd w:id="21"/>
      <w:bookmarkEnd w:id="22"/>
    </w:p>
    <w:p w:rsidRPr="00275459" w:rsidR="00DD3FBF" w:rsidP="00DD3FBF" w:rsidRDefault="00DD3FBF" w14:paraId="1B9E4882" w14:textId="77777777">
      <w:pPr>
        <w:rPr>
          <w:rFonts w:cs="Calibri"/>
          <w:color w:val="000000"/>
        </w:rPr>
      </w:pPr>
    </w:p>
    <w:p w:rsidRPr="00275459" w:rsidR="0084689E" w:rsidP="00DD3FBF" w:rsidRDefault="00300C2F" w14:paraId="22506EE8" w14:textId="46C67352">
      <w:pPr>
        <w:rPr>
          <w:rFonts w:cs="Calibri"/>
          <w:bCs/>
          <w:iCs/>
          <w:color w:val="000000"/>
        </w:rPr>
      </w:pPr>
      <w:r w:rsidRPr="00275459">
        <w:rPr>
          <w:rFonts w:cs="Calibri"/>
          <w:bCs/>
          <w:iCs/>
          <w:color w:val="000000"/>
        </w:rPr>
        <w:t xml:space="preserve">A.  </w:t>
      </w:r>
      <w:r w:rsidRPr="00275459" w:rsidR="00E917E9">
        <w:rPr>
          <w:rFonts w:cs="Calibri"/>
          <w:bCs/>
          <w:iCs/>
          <w:color w:val="000000"/>
        </w:rPr>
        <w:t>DCPC</w:t>
      </w:r>
      <w:r w:rsidRPr="00275459" w:rsidR="009E57C8">
        <w:rPr>
          <w:rFonts w:cs="Calibri"/>
          <w:bCs/>
          <w:iCs/>
          <w:color w:val="000000"/>
        </w:rPr>
        <w:t xml:space="preserve"> estimates that </w:t>
      </w:r>
      <w:r w:rsidRPr="00275459" w:rsidR="00B242E0">
        <w:rPr>
          <w:rFonts w:cs="Calibri"/>
          <w:bCs/>
          <w:iCs/>
          <w:color w:val="000000"/>
        </w:rPr>
        <w:t xml:space="preserve">800 </w:t>
      </w:r>
      <w:r w:rsidRPr="00275459" w:rsidR="009E57C8">
        <w:rPr>
          <w:rFonts w:cs="Calibri"/>
          <w:bCs/>
          <w:iCs/>
          <w:color w:val="000000"/>
        </w:rPr>
        <w:t xml:space="preserve">respondents will be involved in focus groups </w:t>
      </w:r>
      <w:r w:rsidRPr="00275459" w:rsidR="006B151B">
        <w:rPr>
          <w:rFonts w:cs="Calibri"/>
          <w:bCs/>
          <w:iCs/>
          <w:color w:val="000000"/>
        </w:rPr>
        <w:t>or in-depth interviews</w:t>
      </w:r>
      <w:r w:rsidRPr="00275459" w:rsidR="009E57C8">
        <w:rPr>
          <w:rFonts w:cs="Calibri"/>
          <w:bCs/>
          <w:iCs/>
          <w:color w:val="000000"/>
        </w:rPr>
        <w:t xml:space="preserve">. The </w:t>
      </w:r>
      <w:r w:rsidRPr="00275459" w:rsidR="00F87B10">
        <w:rPr>
          <w:rFonts w:cs="Calibri"/>
          <w:bCs/>
          <w:iCs/>
          <w:color w:val="000000"/>
        </w:rPr>
        <w:t>discussion</w:t>
      </w:r>
      <w:r w:rsidRPr="00275459" w:rsidR="009E57C8">
        <w:rPr>
          <w:rFonts w:cs="Calibri"/>
          <w:bCs/>
          <w:iCs/>
          <w:color w:val="000000"/>
        </w:rPr>
        <w:t xml:space="preserve"> guide will </w:t>
      </w:r>
      <w:r w:rsidRPr="00275459" w:rsidR="00517C7E">
        <w:rPr>
          <w:rFonts w:cs="Calibri"/>
          <w:bCs/>
          <w:iCs/>
          <w:color w:val="000000"/>
        </w:rPr>
        <w:t xml:space="preserve">generally </w:t>
      </w:r>
      <w:r w:rsidRPr="00275459" w:rsidR="009E57C8">
        <w:rPr>
          <w:rFonts w:cs="Calibri"/>
          <w:bCs/>
          <w:iCs/>
          <w:color w:val="000000"/>
        </w:rPr>
        <w:t xml:space="preserve">consist of questions </w:t>
      </w:r>
      <w:r w:rsidR="001A0039">
        <w:rPr>
          <w:rFonts w:cs="Calibri"/>
          <w:bCs/>
          <w:iCs/>
          <w:color w:val="000000"/>
        </w:rPr>
        <w:t xml:space="preserve">similar to the </w:t>
      </w:r>
      <w:r w:rsidRPr="00275459" w:rsidR="00E917E9">
        <w:rPr>
          <w:rFonts w:cs="Calibri"/>
          <w:bCs/>
          <w:iCs/>
          <w:color w:val="000000"/>
        </w:rPr>
        <w:t xml:space="preserve">example </w:t>
      </w:r>
      <w:r w:rsidR="009C1D46">
        <w:rPr>
          <w:rFonts w:cs="Calibri"/>
          <w:bCs/>
          <w:iCs/>
          <w:color w:val="000000"/>
        </w:rPr>
        <w:t xml:space="preserve">in </w:t>
      </w:r>
      <w:r w:rsidRPr="00275459" w:rsidR="00BA70CD">
        <w:rPr>
          <w:rFonts w:cs="Calibri"/>
          <w:b/>
          <w:iCs/>
          <w:color w:val="000000"/>
        </w:rPr>
        <w:t>Attachment C3</w:t>
      </w:r>
      <w:r w:rsidR="00ED54A5">
        <w:rPr>
          <w:rFonts w:cs="Calibri"/>
          <w:bCs/>
          <w:iCs/>
          <w:color w:val="000000"/>
        </w:rPr>
        <w:t xml:space="preserve"> </w:t>
      </w:r>
      <w:r w:rsidR="005E23BA">
        <w:rPr>
          <w:rFonts w:cs="Calibri"/>
          <w:bCs/>
          <w:iCs/>
          <w:color w:val="000000"/>
        </w:rPr>
        <w:t xml:space="preserve">and </w:t>
      </w:r>
      <w:r w:rsidR="00153A20">
        <w:rPr>
          <w:rFonts w:cs="Calibri"/>
          <w:bCs/>
          <w:iCs/>
          <w:color w:val="000000"/>
        </w:rPr>
        <w:t>changed</w:t>
      </w:r>
      <w:r w:rsidRPr="00275459" w:rsidR="0084689E">
        <w:rPr>
          <w:rFonts w:cs="Calibri"/>
          <w:bCs/>
          <w:iCs/>
          <w:color w:val="000000"/>
        </w:rPr>
        <w:t xml:space="preserve"> according to the type of cancer</w:t>
      </w:r>
      <w:r w:rsidRPr="00275459" w:rsidR="00181372">
        <w:rPr>
          <w:rFonts w:cs="Calibri"/>
          <w:bCs/>
          <w:iCs/>
          <w:color w:val="000000"/>
        </w:rPr>
        <w:t xml:space="preserve"> </w:t>
      </w:r>
      <w:r w:rsidR="00DF47B5">
        <w:rPr>
          <w:rFonts w:cs="Calibri"/>
          <w:bCs/>
          <w:iCs/>
          <w:color w:val="000000"/>
        </w:rPr>
        <w:t xml:space="preserve">and </w:t>
      </w:r>
      <w:r w:rsidRPr="00275459" w:rsidR="0084689E">
        <w:rPr>
          <w:rFonts w:cs="Calibri"/>
          <w:bCs/>
          <w:iCs/>
          <w:color w:val="000000"/>
        </w:rPr>
        <w:t xml:space="preserve">target population. The average burden for a focus group </w:t>
      </w:r>
      <w:r w:rsidRPr="00275459" w:rsidR="006B151B">
        <w:rPr>
          <w:rFonts w:cs="Calibri"/>
          <w:bCs/>
          <w:iCs/>
          <w:color w:val="000000"/>
        </w:rPr>
        <w:t xml:space="preserve">or in-depth interview </w:t>
      </w:r>
      <w:r w:rsidRPr="00275459" w:rsidR="0084689E">
        <w:rPr>
          <w:rFonts w:cs="Calibri"/>
          <w:bCs/>
          <w:iCs/>
          <w:color w:val="000000"/>
        </w:rPr>
        <w:t xml:space="preserve">will be </w:t>
      </w:r>
      <w:r w:rsidRPr="00275459" w:rsidR="006B151B">
        <w:rPr>
          <w:rFonts w:cs="Calibri"/>
          <w:bCs/>
          <w:iCs/>
          <w:color w:val="000000"/>
        </w:rPr>
        <w:t xml:space="preserve">one to </w:t>
      </w:r>
      <w:r w:rsidRPr="00275459" w:rsidR="0084689E">
        <w:rPr>
          <w:rFonts w:cs="Calibri"/>
          <w:bCs/>
          <w:iCs/>
          <w:color w:val="000000"/>
        </w:rPr>
        <w:t>two hours.</w:t>
      </w:r>
    </w:p>
    <w:p w:rsidRPr="00275459" w:rsidR="0084689E" w:rsidP="00DD3FBF" w:rsidRDefault="0084689E" w14:paraId="02BB7F4B" w14:textId="77777777">
      <w:pPr>
        <w:rPr>
          <w:rFonts w:cs="Calibri"/>
          <w:bCs/>
          <w:iCs/>
          <w:color w:val="000000"/>
        </w:rPr>
      </w:pPr>
    </w:p>
    <w:p w:rsidRPr="00275459" w:rsidR="0084689E" w:rsidP="00DD3FBF" w:rsidRDefault="009C49AF" w14:paraId="6E0F1EE2" w14:textId="0652B6A4">
      <w:pPr>
        <w:rPr>
          <w:rFonts w:cs="Calibri"/>
          <w:bCs/>
          <w:iCs/>
          <w:color w:val="000000"/>
        </w:rPr>
      </w:pPr>
      <w:r>
        <w:rPr>
          <w:rFonts w:cs="Calibri"/>
          <w:bCs/>
          <w:iCs/>
          <w:color w:val="000000"/>
        </w:rPr>
        <w:t>P</w:t>
      </w:r>
      <w:r w:rsidRPr="00275459" w:rsidR="0084689E">
        <w:rPr>
          <w:rFonts w:cs="Calibri"/>
          <w:bCs/>
          <w:iCs/>
          <w:color w:val="000000"/>
        </w:rPr>
        <w:t xml:space="preserve">otential respondents will be screened for interest and eligibility using a customizable </w:t>
      </w:r>
      <w:r w:rsidRPr="00275459" w:rsidR="004B39ED">
        <w:rPr>
          <w:rFonts w:cs="Calibri"/>
          <w:bCs/>
          <w:iCs/>
          <w:color w:val="000000"/>
        </w:rPr>
        <w:t>s</w:t>
      </w:r>
      <w:r w:rsidRPr="00275459" w:rsidR="0084689E">
        <w:rPr>
          <w:rFonts w:cs="Calibri"/>
          <w:bCs/>
          <w:iCs/>
          <w:color w:val="000000"/>
        </w:rPr>
        <w:t xml:space="preserve">creening </w:t>
      </w:r>
      <w:r w:rsidRPr="00275459" w:rsidR="004B39ED">
        <w:rPr>
          <w:rFonts w:cs="Calibri"/>
          <w:bCs/>
          <w:iCs/>
          <w:color w:val="000000"/>
        </w:rPr>
        <w:t>f</w:t>
      </w:r>
      <w:r w:rsidRPr="00275459" w:rsidR="0084689E">
        <w:rPr>
          <w:rFonts w:cs="Calibri"/>
          <w:bCs/>
          <w:iCs/>
          <w:color w:val="000000"/>
        </w:rPr>
        <w:t>orm</w:t>
      </w:r>
      <w:r>
        <w:rPr>
          <w:rFonts w:cs="Calibri"/>
          <w:bCs/>
          <w:iCs/>
          <w:color w:val="000000"/>
        </w:rPr>
        <w:t xml:space="preserve"> </w:t>
      </w:r>
      <w:r w:rsidR="009C1D46">
        <w:rPr>
          <w:rFonts w:cs="Calibri"/>
          <w:bCs/>
          <w:iCs/>
          <w:color w:val="000000"/>
        </w:rPr>
        <w:t xml:space="preserve">similar to the </w:t>
      </w:r>
      <w:r w:rsidRPr="00275459" w:rsidR="00FA7D1A">
        <w:rPr>
          <w:rFonts w:cs="Calibri"/>
          <w:bCs/>
          <w:iCs/>
          <w:color w:val="000000"/>
        </w:rPr>
        <w:t>example</w:t>
      </w:r>
      <w:r w:rsidR="009C1D46">
        <w:rPr>
          <w:rFonts w:cs="Calibri"/>
          <w:bCs/>
          <w:iCs/>
          <w:color w:val="000000"/>
        </w:rPr>
        <w:t xml:space="preserve"> in </w:t>
      </w:r>
      <w:r w:rsidRPr="00275459" w:rsidR="00BA70CD">
        <w:rPr>
          <w:rFonts w:cs="Calibri"/>
          <w:b/>
          <w:iCs/>
          <w:color w:val="000000"/>
        </w:rPr>
        <w:t>Attachment</w:t>
      </w:r>
      <w:r w:rsidRPr="00275459" w:rsidR="004B39ED">
        <w:rPr>
          <w:rFonts w:cs="Calibri"/>
          <w:b/>
          <w:iCs/>
          <w:color w:val="000000"/>
        </w:rPr>
        <w:t xml:space="preserve"> </w:t>
      </w:r>
      <w:r w:rsidRPr="00275459" w:rsidR="00F84E9B">
        <w:rPr>
          <w:rFonts w:cs="Calibri"/>
          <w:b/>
          <w:iCs/>
          <w:color w:val="000000"/>
        </w:rPr>
        <w:t>C</w:t>
      </w:r>
      <w:r w:rsidRPr="00275459" w:rsidR="00BA70CD">
        <w:rPr>
          <w:rFonts w:cs="Calibri"/>
          <w:b/>
          <w:iCs/>
          <w:color w:val="000000"/>
        </w:rPr>
        <w:t>1</w:t>
      </w:r>
      <w:r w:rsidRPr="00275459" w:rsidR="0084689E">
        <w:rPr>
          <w:rFonts w:cs="Calibri"/>
          <w:bCs/>
          <w:iCs/>
          <w:color w:val="000000"/>
        </w:rPr>
        <w:t xml:space="preserve">. Based on </w:t>
      </w:r>
      <w:r w:rsidRPr="00275459" w:rsidR="00181372">
        <w:rPr>
          <w:rFonts w:cs="Calibri"/>
          <w:bCs/>
          <w:iCs/>
          <w:color w:val="000000"/>
        </w:rPr>
        <w:t xml:space="preserve">our </w:t>
      </w:r>
      <w:r w:rsidRPr="00275459" w:rsidR="0084689E">
        <w:rPr>
          <w:rFonts w:cs="Calibri"/>
          <w:bCs/>
          <w:iCs/>
          <w:color w:val="000000"/>
        </w:rPr>
        <w:t xml:space="preserve">experience recruiting focus group participants from master lists of eligible or interested persons, it is estimated that twice the </w:t>
      </w:r>
      <w:r w:rsidRPr="00275459" w:rsidR="002D52A9">
        <w:rPr>
          <w:rFonts w:cs="Calibri"/>
          <w:bCs/>
          <w:iCs/>
          <w:color w:val="000000"/>
        </w:rPr>
        <w:t xml:space="preserve">target </w:t>
      </w:r>
      <w:r w:rsidRPr="00275459" w:rsidR="0084689E">
        <w:rPr>
          <w:rFonts w:cs="Calibri"/>
          <w:bCs/>
          <w:iCs/>
          <w:color w:val="000000"/>
        </w:rPr>
        <w:t xml:space="preserve">number of needed respondents must be screened </w:t>
      </w:r>
      <w:r w:rsidRPr="00275459" w:rsidR="007273FB">
        <w:rPr>
          <w:rFonts w:cs="Calibri"/>
          <w:bCs/>
          <w:iCs/>
          <w:color w:val="000000"/>
        </w:rPr>
        <w:t>to</w:t>
      </w:r>
      <w:r w:rsidRPr="00275459" w:rsidR="0084689E">
        <w:rPr>
          <w:rFonts w:cs="Calibri"/>
          <w:bCs/>
          <w:iCs/>
          <w:color w:val="000000"/>
        </w:rPr>
        <w:t xml:space="preserve"> yield the targeted number of respondents.</w:t>
      </w:r>
      <w:r w:rsidRPr="00275459" w:rsidR="00F84E9B">
        <w:rPr>
          <w:rFonts w:cs="Calibri"/>
          <w:bCs/>
          <w:iCs/>
          <w:color w:val="000000"/>
        </w:rPr>
        <w:t xml:space="preserve"> The estimated burden per response for screening is three minutes.</w:t>
      </w:r>
    </w:p>
    <w:p w:rsidRPr="00275459" w:rsidR="0084689E" w:rsidP="00DD3FBF" w:rsidRDefault="0084689E" w14:paraId="5520BE9C" w14:textId="77777777">
      <w:pPr>
        <w:rPr>
          <w:rFonts w:cs="Calibri"/>
          <w:bCs/>
          <w:iCs/>
          <w:color w:val="000000"/>
        </w:rPr>
      </w:pPr>
    </w:p>
    <w:p w:rsidRPr="00275459" w:rsidR="00DD3FBF" w:rsidP="00DD3FBF" w:rsidRDefault="007A45AF" w14:paraId="643D56D6" w14:textId="77777777">
      <w:pPr>
        <w:rPr>
          <w:rFonts w:cs="Calibri"/>
          <w:color w:val="000000"/>
        </w:rPr>
      </w:pPr>
      <w:r w:rsidRPr="00275459">
        <w:rPr>
          <w:rFonts w:cs="Calibri"/>
          <w:bCs/>
          <w:iCs/>
          <w:color w:val="000000"/>
        </w:rPr>
        <w:t>The estimated burden to respondents is</w:t>
      </w:r>
      <w:r w:rsidRPr="00275459" w:rsidR="00576A8E">
        <w:rPr>
          <w:rFonts w:cs="Calibri"/>
          <w:bCs/>
          <w:iCs/>
          <w:color w:val="000000"/>
        </w:rPr>
        <w:t xml:space="preserve"> summarized in Table A12-A</w:t>
      </w:r>
      <w:r w:rsidRPr="00275459" w:rsidR="003822E1">
        <w:rPr>
          <w:rFonts w:cs="Calibri"/>
          <w:bCs/>
          <w:iCs/>
          <w:color w:val="000000"/>
        </w:rPr>
        <w:t xml:space="preserve"> below</w:t>
      </w:r>
      <w:r w:rsidRPr="00275459" w:rsidR="00576A8E">
        <w:rPr>
          <w:rFonts w:cs="Calibri"/>
          <w:bCs/>
          <w:iCs/>
          <w:color w:val="000000"/>
        </w:rPr>
        <w:t>.</w:t>
      </w:r>
    </w:p>
    <w:p w:rsidRPr="00275459" w:rsidR="00DD3FBF" w:rsidP="00DD3FBF" w:rsidRDefault="00DD3FBF" w14:paraId="20394CBA" w14:textId="77777777">
      <w:pPr>
        <w:rPr>
          <w:rFonts w:cs="Calibri"/>
          <w:color w:val="000000"/>
        </w:rPr>
      </w:pPr>
    </w:p>
    <w:p w:rsidRPr="0040582F" w:rsidR="00DD3FBF" w:rsidP="000D2195" w:rsidRDefault="005C1BC9" w14:paraId="51412E25" w14:textId="77777777">
      <w:pPr>
        <w:rPr>
          <w:b/>
          <w:bCs/>
        </w:rPr>
      </w:pPr>
      <w:r w:rsidRPr="0040582F">
        <w:rPr>
          <w:b/>
          <w:bCs/>
        </w:rPr>
        <w:t>Table A12-A</w:t>
      </w:r>
      <w:r w:rsidRPr="0040582F" w:rsidR="00DD3FBF">
        <w:rPr>
          <w:b/>
          <w:bCs/>
        </w:rPr>
        <w:t xml:space="preserve">: Estimated Annualized Burden </w:t>
      </w:r>
      <w:r w:rsidRPr="0040582F" w:rsidR="00422804">
        <w:rPr>
          <w:b/>
          <w:bCs/>
        </w:rPr>
        <w:t>to Respondents</w:t>
      </w:r>
    </w:p>
    <w:tbl>
      <w:tblPr>
        <w:tblW w:w="94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31"/>
        <w:gridCol w:w="1732"/>
        <w:gridCol w:w="1611"/>
        <w:gridCol w:w="1570"/>
        <w:gridCol w:w="1504"/>
        <w:gridCol w:w="1320"/>
      </w:tblGrid>
      <w:tr w:rsidRPr="00A212E5" w:rsidR="00055173" w:rsidTr="00DE0986" w14:paraId="328CB566" w14:textId="77777777">
        <w:tc>
          <w:tcPr>
            <w:tcW w:w="1731" w:type="dxa"/>
            <w:vAlign w:val="bottom"/>
          </w:tcPr>
          <w:p w:rsidRPr="00275459" w:rsidR="00055173" w:rsidP="00DE0986" w:rsidRDefault="00DE0986" w14:paraId="1234F128" w14:textId="349C7C0A">
            <w:pPr>
              <w:jc w:val="center"/>
              <w:rPr>
                <w:rFonts w:cs="Calibri"/>
                <w:b/>
                <w:color w:val="000000"/>
              </w:rPr>
            </w:pPr>
            <w:r>
              <w:rPr>
                <w:rFonts w:cs="Calibri"/>
                <w:b/>
                <w:color w:val="000000"/>
              </w:rPr>
              <w:t>Type of Respondents</w:t>
            </w:r>
          </w:p>
        </w:tc>
        <w:tc>
          <w:tcPr>
            <w:tcW w:w="1732" w:type="dxa"/>
            <w:shd w:val="clear" w:color="auto" w:fill="auto"/>
            <w:vAlign w:val="bottom"/>
          </w:tcPr>
          <w:p w:rsidRPr="00275459" w:rsidR="00055173" w:rsidP="007A0EE6" w:rsidRDefault="00055173" w14:paraId="6C65629B" w14:textId="0E774F96">
            <w:pPr>
              <w:jc w:val="center"/>
              <w:rPr>
                <w:rFonts w:cs="Calibri"/>
                <w:color w:val="000000"/>
                <w:sz w:val="16"/>
                <w:szCs w:val="16"/>
              </w:rPr>
            </w:pPr>
            <w:r w:rsidRPr="00275459">
              <w:rPr>
                <w:rFonts w:cs="Calibri"/>
                <w:b/>
                <w:color w:val="000000"/>
              </w:rPr>
              <w:t>Form Name</w:t>
            </w:r>
          </w:p>
        </w:tc>
        <w:tc>
          <w:tcPr>
            <w:tcW w:w="1611" w:type="dxa"/>
            <w:shd w:val="clear" w:color="auto" w:fill="auto"/>
            <w:vAlign w:val="bottom"/>
          </w:tcPr>
          <w:p w:rsidRPr="00275459" w:rsidR="00055173" w:rsidP="007A0EE6" w:rsidRDefault="00055173" w14:paraId="0884C468" w14:textId="77777777">
            <w:pPr>
              <w:jc w:val="center"/>
              <w:rPr>
                <w:rFonts w:cs="Calibri"/>
                <w:b/>
                <w:color w:val="000000"/>
              </w:rPr>
            </w:pPr>
            <w:r w:rsidRPr="00275459">
              <w:rPr>
                <w:rFonts w:cs="Calibri"/>
                <w:b/>
                <w:color w:val="000000"/>
              </w:rPr>
              <w:t>Number o</w:t>
            </w:r>
            <w:r w:rsidRPr="00275459">
              <w:rPr>
                <w:rFonts w:cs="Calibri"/>
                <w:color w:val="000000"/>
              </w:rPr>
              <w:t>f</w:t>
            </w:r>
            <w:r w:rsidRPr="00275459">
              <w:rPr>
                <w:rFonts w:cs="Calibri"/>
                <w:b/>
                <w:color w:val="000000"/>
              </w:rPr>
              <w:t xml:space="preserve"> Respondents </w:t>
            </w:r>
          </w:p>
        </w:tc>
        <w:tc>
          <w:tcPr>
            <w:tcW w:w="1570" w:type="dxa"/>
            <w:vAlign w:val="bottom"/>
          </w:tcPr>
          <w:p w:rsidRPr="00275459" w:rsidR="00055173" w:rsidP="007A0EE6" w:rsidRDefault="00055173" w14:paraId="686F7311" w14:textId="77777777">
            <w:pPr>
              <w:jc w:val="center"/>
              <w:rPr>
                <w:rFonts w:cs="Calibri"/>
                <w:b/>
                <w:color w:val="000000"/>
              </w:rPr>
            </w:pPr>
            <w:r w:rsidRPr="00275459">
              <w:rPr>
                <w:rFonts w:cs="Calibri"/>
                <w:b/>
                <w:color w:val="000000"/>
              </w:rPr>
              <w:t>No. of Responses per Respondent</w:t>
            </w:r>
          </w:p>
        </w:tc>
        <w:tc>
          <w:tcPr>
            <w:tcW w:w="1504" w:type="dxa"/>
            <w:vAlign w:val="bottom"/>
          </w:tcPr>
          <w:p w:rsidRPr="00275459" w:rsidR="00055173" w:rsidP="007A0EE6" w:rsidRDefault="00055173" w14:paraId="169E303D" w14:textId="77777777">
            <w:pPr>
              <w:jc w:val="center"/>
              <w:rPr>
                <w:rFonts w:cs="Calibri"/>
                <w:b/>
                <w:color w:val="000000"/>
              </w:rPr>
            </w:pPr>
            <w:r w:rsidRPr="00275459">
              <w:rPr>
                <w:rFonts w:cs="Calibri"/>
                <w:b/>
                <w:color w:val="000000"/>
              </w:rPr>
              <w:t>Average Burden per Response (in hours)</w:t>
            </w:r>
          </w:p>
        </w:tc>
        <w:tc>
          <w:tcPr>
            <w:tcW w:w="1320" w:type="dxa"/>
            <w:vAlign w:val="bottom"/>
          </w:tcPr>
          <w:p w:rsidRPr="00275459" w:rsidR="00055173" w:rsidP="007A0EE6" w:rsidRDefault="00055173" w14:paraId="4DAD5E90" w14:textId="77777777">
            <w:pPr>
              <w:jc w:val="center"/>
              <w:rPr>
                <w:rFonts w:cs="Calibri"/>
                <w:b/>
                <w:color w:val="000000"/>
              </w:rPr>
            </w:pPr>
            <w:r w:rsidRPr="00275459">
              <w:rPr>
                <w:rFonts w:cs="Calibri"/>
                <w:b/>
                <w:color w:val="000000"/>
              </w:rPr>
              <w:t>Total Burden</w:t>
            </w:r>
          </w:p>
          <w:p w:rsidRPr="00275459" w:rsidR="00055173" w:rsidP="007A0EE6" w:rsidRDefault="00055173" w14:paraId="0F11A251" w14:textId="77777777">
            <w:pPr>
              <w:jc w:val="center"/>
              <w:rPr>
                <w:rFonts w:cs="Calibri"/>
                <w:b/>
                <w:color w:val="000000"/>
              </w:rPr>
            </w:pPr>
            <w:r w:rsidRPr="00275459">
              <w:rPr>
                <w:rFonts w:cs="Calibri"/>
                <w:b/>
                <w:color w:val="000000"/>
              </w:rPr>
              <w:t>(in hours)</w:t>
            </w:r>
          </w:p>
        </w:tc>
      </w:tr>
      <w:tr w:rsidRPr="00A212E5" w:rsidR="00055173" w:rsidTr="00DE0986" w14:paraId="743E80BD" w14:textId="77777777">
        <w:trPr>
          <w:trHeight w:val="675"/>
        </w:trPr>
        <w:tc>
          <w:tcPr>
            <w:tcW w:w="1731" w:type="dxa"/>
            <w:vAlign w:val="center"/>
          </w:tcPr>
          <w:p w:rsidRPr="00275459" w:rsidR="00055173" w:rsidP="00DE0986" w:rsidRDefault="00DE0986" w14:paraId="36B978DF" w14:textId="59B9F1AA">
            <w:pPr>
              <w:jc w:val="center"/>
              <w:rPr>
                <w:rFonts w:cs="Calibri"/>
                <w:color w:val="000000"/>
              </w:rPr>
            </w:pPr>
            <w:r>
              <w:rPr>
                <w:rFonts w:cs="Calibri"/>
                <w:color w:val="000000"/>
              </w:rPr>
              <w:t>General Public</w:t>
            </w:r>
          </w:p>
        </w:tc>
        <w:tc>
          <w:tcPr>
            <w:tcW w:w="1732" w:type="dxa"/>
            <w:shd w:val="clear" w:color="auto" w:fill="auto"/>
            <w:vAlign w:val="center"/>
          </w:tcPr>
          <w:p w:rsidRPr="00275459" w:rsidR="00055173" w:rsidP="007A0EE6" w:rsidRDefault="00055173" w14:paraId="3CBFCEAF" w14:textId="55C30C3E">
            <w:pPr>
              <w:jc w:val="center"/>
              <w:rPr>
                <w:rFonts w:cs="Calibri"/>
                <w:color w:val="000000"/>
              </w:rPr>
            </w:pPr>
            <w:r w:rsidRPr="00275459">
              <w:rPr>
                <w:rFonts w:cs="Calibri"/>
                <w:color w:val="000000"/>
              </w:rPr>
              <w:t>Screening Form</w:t>
            </w:r>
          </w:p>
        </w:tc>
        <w:tc>
          <w:tcPr>
            <w:tcW w:w="1611" w:type="dxa"/>
            <w:shd w:val="clear" w:color="auto" w:fill="auto"/>
            <w:vAlign w:val="center"/>
          </w:tcPr>
          <w:p w:rsidRPr="00275459" w:rsidR="00055173" w:rsidP="005A7306" w:rsidRDefault="00055173" w14:paraId="2568F448" w14:textId="09AF0380">
            <w:pPr>
              <w:jc w:val="center"/>
              <w:rPr>
                <w:rFonts w:cs="Calibri"/>
                <w:color w:val="000000"/>
              </w:rPr>
            </w:pPr>
            <w:r>
              <w:rPr>
                <w:rFonts w:cs="Calibri"/>
                <w:color w:val="000000"/>
              </w:rPr>
              <w:t>1</w:t>
            </w:r>
            <w:r w:rsidRPr="00275459">
              <w:rPr>
                <w:rFonts w:cs="Calibri"/>
                <w:color w:val="000000"/>
              </w:rPr>
              <w:t>6</w:t>
            </w:r>
            <w:r>
              <w:rPr>
                <w:rFonts w:cs="Calibri"/>
                <w:color w:val="000000"/>
              </w:rPr>
              <w:t>0</w:t>
            </w:r>
            <w:r w:rsidRPr="00275459">
              <w:rPr>
                <w:rFonts w:cs="Calibri"/>
                <w:color w:val="000000"/>
              </w:rPr>
              <w:t>0</w:t>
            </w:r>
          </w:p>
        </w:tc>
        <w:tc>
          <w:tcPr>
            <w:tcW w:w="1570" w:type="dxa"/>
            <w:vAlign w:val="center"/>
          </w:tcPr>
          <w:p w:rsidRPr="00275459" w:rsidR="00055173" w:rsidP="0013295F" w:rsidRDefault="00055173" w14:paraId="4670266D" w14:textId="77777777">
            <w:pPr>
              <w:jc w:val="center"/>
              <w:rPr>
                <w:rFonts w:cs="Calibri"/>
                <w:color w:val="000000"/>
              </w:rPr>
            </w:pPr>
            <w:r w:rsidRPr="00275459">
              <w:rPr>
                <w:rFonts w:cs="Calibri"/>
                <w:color w:val="000000"/>
              </w:rPr>
              <w:t>1</w:t>
            </w:r>
          </w:p>
        </w:tc>
        <w:tc>
          <w:tcPr>
            <w:tcW w:w="1504" w:type="dxa"/>
            <w:vAlign w:val="center"/>
          </w:tcPr>
          <w:p w:rsidRPr="00275459" w:rsidR="00055173" w:rsidP="0013295F" w:rsidRDefault="00055173" w14:paraId="577F0D3F" w14:textId="77777777">
            <w:pPr>
              <w:jc w:val="center"/>
              <w:rPr>
                <w:rFonts w:cs="Calibri"/>
                <w:color w:val="000000"/>
              </w:rPr>
            </w:pPr>
            <w:r w:rsidRPr="00275459">
              <w:rPr>
                <w:rFonts w:cs="Calibri"/>
                <w:color w:val="000000"/>
              </w:rPr>
              <w:t>3/60</w:t>
            </w:r>
          </w:p>
        </w:tc>
        <w:tc>
          <w:tcPr>
            <w:tcW w:w="1320" w:type="dxa"/>
            <w:vAlign w:val="center"/>
          </w:tcPr>
          <w:p w:rsidRPr="00275459" w:rsidR="00055173" w:rsidP="001F691A" w:rsidRDefault="00055173" w14:paraId="402C0812" w14:textId="3850FFF1">
            <w:pPr>
              <w:jc w:val="center"/>
              <w:rPr>
                <w:rFonts w:cs="Calibri"/>
                <w:color w:val="000000"/>
              </w:rPr>
            </w:pPr>
            <w:r>
              <w:rPr>
                <w:rFonts w:cs="Calibri"/>
                <w:color w:val="000000"/>
              </w:rPr>
              <w:t>80</w:t>
            </w:r>
          </w:p>
        </w:tc>
      </w:tr>
      <w:tr w:rsidRPr="00A212E5" w:rsidR="00055173" w:rsidTr="00DE0986" w14:paraId="7A40C978" w14:textId="77777777">
        <w:trPr>
          <w:trHeight w:val="675"/>
        </w:trPr>
        <w:tc>
          <w:tcPr>
            <w:tcW w:w="1731" w:type="dxa"/>
            <w:vAlign w:val="center"/>
          </w:tcPr>
          <w:p w:rsidR="00055173" w:rsidP="00DE0986" w:rsidRDefault="00DE0986" w14:paraId="4BB764B9" w14:textId="5433907E">
            <w:pPr>
              <w:jc w:val="center"/>
              <w:rPr>
                <w:rFonts w:cs="Calibri"/>
                <w:color w:val="000000"/>
              </w:rPr>
            </w:pPr>
            <w:r>
              <w:rPr>
                <w:rFonts w:cs="Calibri"/>
                <w:color w:val="000000"/>
              </w:rPr>
              <w:t>General Public</w:t>
            </w:r>
          </w:p>
        </w:tc>
        <w:tc>
          <w:tcPr>
            <w:tcW w:w="1732" w:type="dxa"/>
            <w:shd w:val="clear" w:color="auto" w:fill="auto"/>
            <w:vAlign w:val="center"/>
          </w:tcPr>
          <w:p w:rsidRPr="00275459" w:rsidR="00055173" w:rsidP="007A0EE6" w:rsidRDefault="00055173" w14:paraId="038ACA13" w14:textId="32ED1124">
            <w:pPr>
              <w:jc w:val="center"/>
              <w:rPr>
                <w:rFonts w:cs="Calibri"/>
                <w:color w:val="000000"/>
              </w:rPr>
            </w:pPr>
            <w:r>
              <w:rPr>
                <w:rFonts w:cs="Calibri"/>
                <w:color w:val="000000"/>
              </w:rPr>
              <w:t xml:space="preserve">Discussion </w:t>
            </w:r>
            <w:r w:rsidRPr="00275459">
              <w:rPr>
                <w:rFonts w:cs="Calibri"/>
                <w:color w:val="000000"/>
              </w:rPr>
              <w:t>Guide</w:t>
            </w:r>
          </w:p>
        </w:tc>
        <w:tc>
          <w:tcPr>
            <w:tcW w:w="1611" w:type="dxa"/>
            <w:shd w:val="clear" w:color="auto" w:fill="auto"/>
            <w:vAlign w:val="center"/>
          </w:tcPr>
          <w:p w:rsidRPr="00275459" w:rsidR="00055173" w:rsidP="001F691A" w:rsidRDefault="00055173" w14:paraId="7E76DAD1" w14:textId="0F635725">
            <w:pPr>
              <w:jc w:val="center"/>
              <w:rPr>
                <w:rFonts w:cs="Calibri"/>
                <w:color w:val="000000"/>
              </w:rPr>
            </w:pPr>
            <w:r>
              <w:rPr>
                <w:rFonts w:cs="Calibri"/>
                <w:color w:val="000000"/>
              </w:rPr>
              <w:t>80</w:t>
            </w:r>
            <w:r w:rsidRPr="00275459">
              <w:rPr>
                <w:rFonts w:cs="Calibri"/>
                <w:color w:val="000000"/>
              </w:rPr>
              <w:t>0</w:t>
            </w:r>
          </w:p>
        </w:tc>
        <w:tc>
          <w:tcPr>
            <w:tcW w:w="1570" w:type="dxa"/>
            <w:vAlign w:val="center"/>
          </w:tcPr>
          <w:p w:rsidRPr="00275459" w:rsidR="00055173" w:rsidP="0013295F" w:rsidRDefault="00055173" w14:paraId="30B592AA" w14:textId="77777777">
            <w:pPr>
              <w:jc w:val="center"/>
              <w:rPr>
                <w:rFonts w:cs="Calibri"/>
                <w:color w:val="000000"/>
              </w:rPr>
            </w:pPr>
            <w:r w:rsidRPr="00275459">
              <w:rPr>
                <w:rFonts w:cs="Calibri"/>
                <w:color w:val="000000"/>
              </w:rPr>
              <w:t>1</w:t>
            </w:r>
          </w:p>
        </w:tc>
        <w:tc>
          <w:tcPr>
            <w:tcW w:w="1504" w:type="dxa"/>
            <w:vAlign w:val="center"/>
          </w:tcPr>
          <w:p w:rsidRPr="00275459" w:rsidR="00055173" w:rsidP="0013295F" w:rsidRDefault="00055173" w14:paraId="40C85EA5" w14:textId="77777777">
            <w:pPr>
              <w:jc w:val="center"/>
              <w:rPr>
                <w:rFonts w:cs="Calibri"/>
                <w:color w:val="000000"/>
              </w:rPr>
            </w:pPr>
            <w:r w:rsidRPr="00275459">
              <w:rPr>
                <w:rFonts w:cs="Calibri"/>
                <w:color w:val="000000"/>
              </w:rPr>
              <w:t>2</w:t>
            </w:r>
          </w:p>
        </w:tc>
        <w:tc>
          <w:tcPr>
            <w:tcW w:w="1320" w:type="dxa"/>
            <w:vAlign w:val="center"/>
          </w:tcPr>
          <w:p w:rsidRPr="00275459" w:rsidR="00055173" w:rsidP="00624F77" w:rsidRDefault="00055173" w14:paraId="61E3C671" w14:textId="39DE734D">
            <w:pPr>
              <w:jc w:val="center"/>
              <w:rPr>
                <w:rFonts w:cs="Calibri"/>
                <w:color w:val="000000"/>
              </w:rPr>
            </w:pPr>
            <w:r>
              <w:rPr>
                <w:rFonts w:cs="Calibri"/>
                <w:color w:val="000000"/>
              </w:rPr>
              <w:t>1,</w:t>
            </w:r>
            <w:r w:rsidRPr="00275459">
              <w:rPr>
                <w:rFonts w:cs="Calibri"/>
                <w:color w:val="000000"/>
              </w:rPr>
              <w:t>6</w:t>
            </w:r>
            <w:r>
              <w:rPr>
                <w:rFonts w:cs="Calibri"/>
                <w:color w:val="000000"/>
              </w:rPr>
              <w:t>0</w:t>
            </w:r>
            <w:r w:rsidRPr="00275459">
              <w:rPr>
                <w:rFonts w:cs="Calibri"/>
                <w:color w:val="000000"/>
              </w:rPr>
              <w:t>0</w:t>
            </w:r>
          </w:p>
        </w:tc>
      </w:tr>
      <w:tr w:rsidRPr="00A212E5" w:rsidR="00055173" w:rsidTr="00DE0986" w14:paraId="32857DC3" w14:textId="77777777">
        <w:trPr>
          <w:trHeight w:val="675"/>
        </w:trPr>
        <w:tc>
          <w:tcPr>
            <w:tcW w:w="8148" w:type="dxa"/>
            <w:gridSpan w:val="5"/>
            <w:vAlign w:val="center"/>
          </w:tcPr>
          <w:p w:rsidRPr="00275459" w:rsidR="00055173" w:rsidP="00DE0986" w:rsidRDefault="00055173" w14:paraId="5E7A8664" w14:textId="5724DBB9">
            <w:pPr>
              <w:jc w:val="right"/>
              <w:rPr>
                <w:rFonts w:cs="Calibri"/>
                <w:color w:val="000000"/>
              </w:rPr>
            </w:pPr>
            <w:r w:rsidRPr="00275459">
              <w:rPr>
                <w:rFonts w:cs="Calibri"/>
                <w:color w:val="000000"/>
              </w:rPr>
              <w:t>Total</w:t>
            </w:r>
          </w:p>
        </w:tc>
        <w:tc>
          <w:tcPr>
            <w:tcW w:w="1320" w:type="dxa"/>
            <w:vAlign w:val="center"/>
          </w:tcPr>
          <w:p w:rsidRPr="00275459" w:rsidR="00055173" w:rsidP="00841742" w:rsidRDefault="00055173" w14:paraId="1D82806C" w14:textId="77777777">
            <w:pPr>
              <w:jc w:val="center"/>
              <w:rPr>
                <w:rFonts w:eastAsia="Batang" w:cs="Calibri"/>
                <w:color w:val="000000"/>
              </w:rPr>
            </w:pPr>
            <w:r w:rsidRPr="00275459">
              <w:rPr>
                <w:rFonts w:cs="Calibri"/>
                <w:color w:val="000000"/>
              </w:rPr>
              <w:t>1,680</w:t>
            </w:r>
          </w:p>
        </w:tc>
      </w:tr>
    </w:tbl>
    <w:p w:rsidRPr="00275459" w:rsidR="00DD3FBF" w:rsidP="00DD3FBF" w:rsidRDefault="00DD3FBF" w14:paraId="4636631A" w14:textId="77777777">
      <w:pPr>
        <w:rPr>
          <w:rFonts w:cs="Calibri"/>
          <w:color w:val="000000"/>
        </w:rPr>
      </w:pPr>
    </w:p>
    <w:p w:rsidRPr="00275459" w:rsidR="00300C2F" w:rsidP="003822E1" w:rsidRDefault="00422804" w14:paraId="2F84BE4E" w14:textId="479C777C">
      <w:pPr>
        <w:rPr>
          <w:rFonts w:cs="Calibri"/>
          <w:color w:val="000000"/>
        </w:rPr>
      </w:pPr>
      <w:r w:rsidRPr="00275459">
        <w:rPr>
          <w:rFonts w:cs="Calibri"/>
          <w:color w:val="000000"/>
        </w:rPr>
        <w:t>Information</w:t>
      </w:r>
      <w:r w:rsidRPr="00275459" w:rsidR="003822E1">
        <w:rPr>
          <w:rFonts w:cs="Calibri"/>
          <w:color w:val="000000"/>
        </w:rPr>
        <w:t xml:space="preserve"> will be collected </w:t>
      </w:r>
      <w:r w:rsidRPr="00275459" w:rsidR="0091709C">
        <w:rPr>
          <w:rFonts w:cs="Calibri"/>
          <w:color w:val="000000"/>
        </w:rPr>
        <w:t xml:space="preserve">over a three </w:t>
      </w:r>
      <w:r w:rsidRPr="00275459" w:rsidR="00E97A7D">
        <w:rPr>
          <w:rFonts w:cs="Calibri"/>
          <w:color w:val="000000"/>
        </w:rPr>
        <w:t xml:space="preserve">year time period. </w:t>
      </w:r>
      <w:r w:rsidRPr="00275459" w:rsidR="003822E1">
        <w:rPr>
          <w:rFonts w:cs="Calibri"/>
          <w:color w:val="000000"/>
        </w:rPr>
        <w:t>There are no costs to respondents except their time to pa</w:t>
      </w:r>
      <w:r w:rsidRPr="00275459" w:rsidR="00E97A7D">
        <w:rPr>
          <w:rFonts w:cs="Calibri"/>
          <w:color w:val="000000"/>
        </w:rPr>
        <w:t xml:space="preserve">rticipate in the focus groups. </w:t>
      </w:r>
      <w:r w:rsidRPr="00275459" w:rsidR="003822E1">
        <w:rPr>
          <w:rFonts w:cs="Calibri"/>
          <w:color w:val="000000"/>
        </w:rPr>
        <w:t>The</w:t>
      </w:r>
      <w:r w:rsidRPr="00275459" w:rsidR="00F87B10">
        <w:rPr>
          <w:rFonts w:cs="Calibri"/>
          <w:color w:val="000000"/>
        </w:rPr>
        <w:t xml:space="preserve"> </w:t>
      </w:r>
      <w:r w:rsidRPr="00275459" w:rsidR="00300C2F">
        <w:rPr>
          <w:rFonts w:cs="Calibri"/>
          <w:color w:val="000000"/>
        </w:rPr>
        <w:t xml:space="preserve">total annualized burden to respondents is </w:t>
      </w:r>
      <w:r w:rsidRPr="00275459" w:rsidR="00624F77">
        <w:rPr>
          <w:rFonts w:cs="Calibri"/>
          <w:color w:val="000000"/>
        </w:rPr>
        <w:t xml:space="preserve">1,680 </w:t>
      </w:r>
      <w:r w:rsidRPr="00275459" w:rsidR="00300C2F">
        <w:rPr>
          <w:rFonts w:cs="Calibri"/>
          <w:color w:val="000000"/>
        </w:rPr>
        <w:t>hours.</w:t>
      </w:r>
    </w:p>
    <w:p w:rsidRPr="00275459" w:rsidR="00300C2F" w:rsidP="003822E1" w:rsidRDefault="00300C2F" w14:paraId="1285725B" w14:textId="77777777">
      <w:pPr>
        <w:rPr>
          <w:rFonts w:cs="Calibri"/>
          <w:color w:val="000000"/>
        </w:rPr>
      </w:pPr>
    </w:p>
    <w:p w:rsidRPr="00C70B10" w:rsidR="00FD64EE" w:rsidP="003822E1" w:rsidRDefault="00300C2F" w14:paraId="7D3E58B8" w14:textId="06F13F21">
      <w:r w:rsidRPr="00901D5E">
        <w:t xml:space="preserve">B. </w:t>
      </w:r>
      <w:r w:rsidRPr="00901D5E" w:rsidR="007F0D9E">
        <w:t xml:space="preserve"> </w:t>
      </w:r>
      <w:r w:rsidRPr="00901D5E" w:rsidR="00771D56">
        <w:t>Table A12-B presents the calculations for cost of respondents’ time using two categories of</w:t>
      </w:r>
      <w:r w:rsidRPr="00901D5E" w:rsidR="00F160A3">
        <w:t xml:space="preserve"> </w:t>
      </w:r>
      <w:r w:rsidRPr="00901D5E" w:rsidR="00771D56">
        <w:t>mean hourly wages</w:t>
      </w:r>
      <w:r w:rsidRPr="00901D5E" w:rsidR="00E6122F">
        <w:t xml:space="preserve"> from </w:t>
      </w:r>
      <w:r w:rsidRPr="00901D5E" w:rsidR="00046900">
        <w:t xml:space="preserve">U.S. Department of Labor, Bureau of Labor Statistics </w:t>
      </w:r>
      <w:hyperlink w:history="1" r:id="rId16">
        <w:r w:rsidR="0035653C">
          <w:rPr>
            <w:rStyle w:val="Hyperlink"/>
            <w:rFonts w:cs="Calibri"/>
          </w:rPr>
          <w:t xml:space="preserve">National </w:t>
        </w:r>
        <w:r w:rsidR="0035653C">
          <w:rPr>
            <w:rStyle w:val="Hyperlink"/>
            <w:rFonts w:cs="Calibri"/>
          </w:rPr>
          <w:lastRenderedPageBreak/>
          <w:t>Occupational Employment and Wage Estimates</w:t>
        </w:r>
      </w:hyperlink>
      <w:r w:rsidR="005F67E2">
        <w:t xml:space="preserve"> (May 2020).</w:t>
      </w:r>
      <w:r w:rsidRPr="00901D5E" w:rsidR="00046900">
        <w:t xml:space="preserve"> </w:t>
      </w:r>
      <w:r w:rsidRPr="00901D5E" w:rsidR="00771D56">
        <w:t xml:space="preserve">The total estimated annualized respondent cost (including the screening form) is </w:t>
      </w:r>
      <w:r w:rsidRPr="00901D5E" w:rsidR="009E19E0">
        <w:t>$</w:t>
      </w:r>
      <w:r w:rsidR="0001463A">
        <w:t>45,478</w:t>
      </w:r>
      <w:r w:rsidRPr="00901D5E" w:rsidR="00AA14F9">
        <w:t>.</w:t>
      </w:r>
    </w:p>
    <w:p w:rsidRPr="00275459" w:rsidR="00CB4892" w:rsidP="003822E1" w:rsidRDefault="00CB4892" w14:paraId="5BDE83C7" w14:textId="77777777">
      <w:pPr>
        <w:rPr>
          <w:rFonts w:cs="Calibri"/>
          <w:color w:val="000000"/>
        </w:rPr>
      </w:pPr>
    </w:p>
    <w:p w:rsidRPr="0040582F" w:rsidR="003822E1" w:rsidP="0040582F" w:rsidRDefault="003822E1" w14:paraId="027249BB" w14:textId="77777777">
      <w:pPr>
        <w:rPr>
          <w:b/>
          <w:bCs/>
        </w:rPr>
      </w:pPr>
      <w:r w:rsidRPr="0040582F">
        <w:rPr>
          <w:b/>
          <w:bCs/>
        </w:rPr>
        <w:t>Table A12-B: Estimated Annual</w:t>
      </w:r>
      <w:r w:rsidRPr="0040582F" w:rsidR="00300C2F">
        <w:rPr>
          <w:b/>
          <w:bCs/>
        </w:rPr>
        <w:t>ized</w:t>
      </w:r>
      <w:r w:rsidRPr="0040582F" w:rsidR="009E6189">
        <w:rPr>
          <w:b/>
          <w:bCs/>
        </w:rPr>
        <w:t xml:space="preserve"> Cost to Respondents </w:t>
      </w:r>
    </w:p>
    <w:tbl>
      <w:tblPr>
        <w:tblW w:w="9468" w:type="dxa"/>
        <w:tblInd w:w="108" w:type="dxa"/>
        <w:tblLook w:val="01E0" w:firstRow="1" w:lastRow="1" w:firstColumn="1" w:lastColumn="1" w:noHBand="0" w:noVBand="0"/>
      </w:tblPr>
      <w:tblGrid>
        <w:gridCol w:w="1316"/>
        <w:gridCol w:w="1534"/>
        <w:gridCol w:w="1404"/>
        <w:gridCol w:w="1490"/>
        <w:gridCol w:w="1226"/>
        <w:gridCol w:w="1276"/>
        <w:gridCol w:w="1222"/>
      </w:tblGrid>
      <w:tr w:rsidRPr="00A212E5" w:rsidR="008E1623" w:rsidTr="008E1623" w14:paraId="732EE566" w14:textId="77777777">
        <w:trPr>
          <w:trHeight w:val="945"/>
        </w:trPr>
        <w:tc>
          <w:tcPr>
            <w:tcW w:w="1316" w:type="dxa"/>
            <w:tcBorders>
              <w:top w:val="single" w:color="auto" w:sz="4" w:space="0"/>
              <w:left w:val="single" w:color="auto" w:sz="4" w:space="0"/>
              <w:bottom w:val="single" w:color="auto" w:sz="4" w:space="0"/>
              <w:right w:val="single" w:color="auto" w:sz="4" w:space="0"/>
            </w:tcBorders>
            <w:vAlign w:val="center"/>
          </w:tcPr>
          <w:p w:rsidRPr="00275459" w:rsidR="008E1623" w:rsidP="008E1623" w:rsidRDefault="008E1623" w14:paraId="2548AADE" w14:textId="4A1E6477">
            <w:pPr>
              <w:jc w:val="center"/>
              <w:rPr>
                <w:rFonts w:cs="Calibri"/>
                <w:b/>
                <w:color w:val="000000"/>
                <w:sz w:val="22"/>
                <w:szCs w:val="22"/>
              </w:rPr>
            </w:pPr>
            <w:r>
              <w:rPr>
                <w:rFonts w:cs="Calibri"/>
                <w:b/>
                <w:color w:val="000000"/>
                <w:sz w:val="22"/>
                <w:szCs w:val="22"/>
              </w:rPr>
              <w:t>Type of Respondent</w:t>
            </w:r>
          </w:p>
        </w:tc>
        <w:tc>
          <w:tcPr>
            <w:tcW w:w="1534"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45ADC2F3" w14:textId="0C90ACFA">
            <w:pPr>
              <w:jc w:val="center"/>
              <w:rPr>
                <w:rFonts w:cs="Calibri"/>
                <w:b/>
                <w:color w:val="000000"/>
                <w:sz w:val="22"/>
                <w:szCs w:val="22"/>
              </w:rPr>
            </w:pPr>
            <w:r w:rsidRPr="00275459">
              <w:rPr>
                <w:rFonts w:cs="Calibri"/>
                <w:b/>
                <w:color w:val="000000"/>
                <w:sz w:val="22"/>
                <w:szCs w:val="22"/>
              </w:rPr>
              <w:t>Form Name</w:t>
            </w:r>
          </w:p>
        </w:tc>
        <w:tc>
          <w:tcPr>
            <w:tcW w:w="1404"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361CC41D" w14:textId="77777777">
            <w:pPr>
              <w:jc w:val="center"/>
              <w:rPr>
                <w:rFonts w:cs="Calibri"/>
                <w:b/>
                <w:color w:val="000000"/>
                <w:sz w:val="22"/>
                <w:szCs w:val="22"/>
              </w:rPr>
            </w:pPr>
            <w:r w:rsidRPr="00275459">
              <w:rPr>
                <w:rFonts w:cs="Calibri"/>
                <w:b/>
                <w:color w:val="000000"/>
                <w:sz w:val="22"/>
                <w:szCs w:val="22"/>
              </w:rPr>
              <w:t>Number of Respondents</w:t>
            </w:r>
          </w:p>
        </w:tc>
        <w:tc>
          <w:tcPr>
            <w:tcW w:w="1490"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089C4C3A" w14:textId="77777777">
            <w:pPr>
              <w:jc w:val="center"/>
              <w:rPr>
                <w:rFonts w:cs="Calibri"/>
                <w:b/>
                <w:color w:val="000000"/>
                <w:sz w:val="22"/>
                <w:szCs w:val="22"/>
              </w:rPr>
            </w:pPr>
            <w:r w:rsidRPr="00275459">
              <w:rPr>
                <w:rFonts w:cs="Calibri"/>
                <w:b/>
                <w:color w:val="000000"/>
                <w:sz w:val="22"/>
                <w:szCs w:val="22"/>
              </w:rPr>
              <w:t>Number of Responses per Respondent</w:t>
            </w:r>
          </w:p>
        </w:tc>
        <w:tc>
          <w:tcPr>
            <w:tcW w:w="1226" w:type="dxa"/>
            <w:tcBorders>
              <w:top w:val="single" w:color="auto" w:sz="4" w:space="0"/>
              <w:left w:val="single" w:color="auto" w:sz="4" w:space="0"/>
              <w:bottom w:val="single" w:color="auto" w:sz="4" w:space="0"/>
              <w:right w:val="single" w:color="auto" w:sz="4" w:space="0"/>
            </w:tcBorders>
            <w:vAlign w:val="center"/>
          </w:tcPr>
          <w:p w:rsidRPr="00275459" w:rsidR="008E1623" w:rsidP="00A1155B" w:rsidRDefault="008E1623" w14:paraId="7BD77267" w14:textId="6CC3323C">
            <w:pPr>
              <w:jc w:val="center"/>
              <w:rPr>
                <w:rFonts w:cs="Calibri"/>
                <w:b/>
                <w:color w:val="000000"/>
                <w:sz w:val="22"/>
                <w:szCs w:val="22"/>
              </w:rPr>
            </w:pPr>
            <w:r w:rsidRPr="00275459">
              <w:rPr>
                <w:rFonts w:cs="Calibri"/>
                <w:b/>
                <w:color w:val="000000"/>
                <w:sz w:val="22"/>
                <w:szCs w:val="22"/>
              </w:rPr>
              <w:t>Total Burden</w:t>
            </w:r>
            <w:r>
              <w:rPr>
                <w:rFonts w:cs="Calibri"/>
                <w:b/>
                <w:color w:val="000000"/>
                <w:sz w:val="22"/>
                <w:szCs w:val="22"/>
              </w:rPr>
              <w:t xml:space="preserve"> </w:t>
            </w:r>
            <w:r w:rsidRPr="00275459">
              <w:rPr>
                <w:rFonts w:cs="Calibri"/>
                <w:b/>
                <w:color w:val="000000"/>
                <w:sz w:val="22"/>
                <w:szCs w:val="22"/>
              </w:rPr>
              <w:t>(in hours)</w:t>
            </w:r>
          </w:p>
        </w:tc>
        <w:tc>
          <w:tcPr>
            <w:tcW w:w="1276"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134CE4B6" w14:textId="77777777">
            <w:pPr>
              <w:jc w:val="center"/>
              <w:rPr>
                <w:rFonts w:cs="Calibri"/>
                <w:b/>
                <w:color w:val="000000"/>
                <w:sz w:val="22"/>
                <w:szCs w:val="22"/>
              </w:rPr>
            </w:pPr>
            <w:r w:rsidRPr="00275459">
              <w:rPr>
                <w:rFonts w:cs="Calibri"/>
                <w:b/>
                <w:color w:val="000000"/>
                <w:sz w:val="22"/>
                <w:szCs w:val="22"/>
              </w:rPr>
              <w:t>Average Hourly Wage Rate</w:t>
            </w:r>
          </w:p>
        </w:tc>
        <w:tc>
          <w:tcPr>
            <w:tcW w:w="1222"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07EEE75F" w14:textId="77777777">
            <w:pPr>
              <w:jc w:val="center"/>
              <w:rPr>
                <w:rFonts w:cs="Calibri"/>
                <w:b/>
                <w:color w:val="000000"/>
                <w:sz w:val="22"/>
                <w:szCs w:val="22"/>
              </w:rPr>
            </w:pPr>
            <w:r w:rsidRPr="00275459">
              <w:rPr>
                <w:rFonts w:cs="Calibri"/>
                <w:b/>
                <w:color w:val="000000"/>
                <w:sz w:val="22"/>
                <w:szCs w:val="22"/>
              </w:rPr>
              <w:t>Total Cost</w:t>
            </w:r>
          </w:p>
        </w:tc>
      </w:tr>
      <w:tr w:rsidRPr="00A212E5" w:rsidR="008E1623" w:rsidTr="008E1623" w14:paraId="61C27B97" w14:textId="77777777">
        <w:trPr>
          <w:trHeight w:val="675"/>
        </w:trPr>
        <w:tc>
          <w:tcPr>
            <w:tcW w:w="1316" w:type="dxa"/>
            <w:tcBorders>
              <w:top w:val="single" w:color="auto" w:sz="4" w:space="0"/>
              <w:left w:val="single" w:color="auto" w:sz="4" w:space="0"/>
              <w:bottom w:val="single" w:color="auto" w:sz="4" w:space="0"/>
              <w:right w:val="single" w:color="auto" w:sz="4" w:space="0"/>
            </w:tcBorders>
            <w:vAlign w:val="center"/>
          </w:tcPr>
          <w:p w:rsidRPr="00275459" w:rsidR="008E1623" w:rsidP="008E1623" w:rsidRDefault="008E1623" w14:paraId="6F65B7FE" w14:textId="2A454461">
            <w:pPr>
              <w:jc w:val="center"/>
              <w:rPr>
                <w:rFonts w:cs="Calibri"/>
                <w:color w:val="000000"/>
                <w:sz w:val="22"/>
                <w:szCs w:val="22"/>
              </w:rPr>
            </w:pPr>
            <w:r>
              <w:rPr>
                <w:rFonts w:cs="Calibri"/>
                <w:color w:val="000000"/>
                <w:sz w:val="22"/>
                <w:szCs w:val="22"/>
              </w:rPr>
              <w:t>General Public</w:t>
            </w:r>
          </w:p>
        </w:tc>
        <w:tc>
          <w:tcPr>
            <w:tcW w:w="1534"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1149C566" w14:textId="3C56F79B">
            <w:pPr>
              <w:jc w:val="center"/>
              <w:rPr>
                <w:rFonts w:cs="Calibri"/>
                <w:color w:val="000000"/>
                <w:sz w:val="22"/>
                <w:szCs w:val="22"/>
              </w:rPr>
            </w:pPr>
            <w:r w:rsidRPr="00275459">
              <w:rPr>
                <w:rFonts w:cs="Calibri"/>
                <w:color w:val="000000"/>
                <w:sz w:val="22"/>
                <w:szCs w:val="22"/>
              </w:rPr>
              <w:t>Screening Form</w:t>
            </w:r>
          </w:p>
        </w:tc>
        <w:tc>
          <w:tcPr>
            <w:tcW w:w="1404"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56269699" w14:textId="7D79E9CF">
            <w:pPr>
              <w:jc w:val="center"/>
              <w:rPr>
                <w:rFonts w:cs="Calibri"/>
                <w:color w:val="000000"/>
                <w:sz w:val="22"/>
                <w:szCs w:val="22"/>
              </w:rPr>
            </w:pPr>
            <w:r>
              <w:rPr>
                <w:rFonts w:cs="Calibri"/>
                <w:color w:val="000000"/>
                <w:sz w:val="22"/>
                <w:szCs w:val="22"/>
              </w:rPr>
              <w:t>1</w:t>
            </w:r>
            <w:r w:rsidRPr="00275459">
              <w:rPr>
                <w:rFonts w:cs="Calibri"/>
                <w:color w:val="000000"/>
                <w:sz w:val="22"/>
                <w:szCs w:val="22"/>
              </w:rPr>
              <w:t>6</w:t>
            </w:r>
            <w:r>
              <w:rPr>
                <w:rFonts w:cs="Calibri"/>
                <w:color w:val="000000"/>
                <w:sz w:val="22"/>
                <w:szCs w:val="22"/>
              </w:rPr>
              <w:t>0</w:t>
            </w:r>
            <w:r w:rsidRPr="00275459">
              <w:rPr>
                <w:rFonts w:cs="Calibri"/>
                <w:color w:val="000000"/>
                <w:sz w:val="22"/>
                <w:szCs w:val="22"/>
              </w:rPr>
              <w:t>0</w:t>
            </w:r>
          </w:p>
        </w:tc>
        <w:tc>
          <w:tcPr>
            <w:tcW w:w="1490" w:type="dxa"/>
            <w:tcBorders>
              <w:top w:val="single" w:color="auto" w:sz="4" w:space="0"/>
              <w:left w:val="single" w:color="auto" w:sz="4" w:space="0"/>
              <w:bottom w:val="single" w:color="auto" w:sz="4" w:space="0"/>
              <w:right w:val="single" w:color="auto" w:sz="4" w:space="0"/>
            </w:tcBorders>
            <w:vAlign w:val="center"/>
          </w:tcPr>
          <w:p w:rsidRPr="00275459" w:rsidR="008E1623" w:rsidP="00CB4892" w:rsidRDefault="008E1623" w14:paraId="216C3C6F" w14:textId="77777777">
            <w:pPr>
              <w:jc w:val="center"/>
              <w:rPr>
                <w:rFonts w:cs="Calibri"/>
                <w:color w:val="000000"/>
                <w:sz w:val="22"/>
                <w:szCs w:val="22"/>
              </w:rPr>
            </w:pPr>
            <w:r w:rsidRPr="00275459">
              <w:rPr>
                <w:rFonts w:cs="Calibri"/>
                <w:color w:val="000000"/>
                <w:sz w:val="22"/>
                <w:szCs w:val="22"/>
              </w:rPr>
              <w:t>1</w:t>
            </w:r>
          </w:p>
        </w:tc>
        <w:tc>
          <w:tcPr>
            <w:tcW w:w="1226"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5057216D" w14:textId="5D4D7D57">
            <w:pPr>
              <w:jc w:val="center"/>
              <w:rPr>
                <w:rFonts w:cs="Calibri"/>
                <w:color w:val="000000"/>
                <w:sz w:val="22"/>
                <w:szCs w:val="22"/>
              </w:rPr>
            </w:pPr>
            <w:r w:rsidRPr="00275459">
              <w:rPr>
                <w:rFonts w:cs="Calibri"/>
                <w:color w:val="000000"/>
                <w:sz w:val="22"/>
                <w:szCs w:val="22"/>
              </w:rPr>
              <w:t>8</w:t>
            </w:r>
            <w:r>
              <w:rPr>
                <w:rFonts w:cs="Calibri"/>
                <w:color w:val="000000"/>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rsidRPr="00275459" w:rsidR="008E1623" w:rsidP="00E6122F" w:rsidRDefault="008E1623" w14:paraId="39AA27CB" w14:textId="23A17B10">
            <w:pPr>
              <w:jc w:val="center"/>
              <w:rPr>
                <w:rFonts w:cs="Calibri"/>
                <w:color w:val="000000"/>
                <w:sz w:val="22"/>
                <w:szCs w:val="22"/>
              </w:rPr>
            </w:pPr>
            <w:r w:rsidRPr="00275459">
              <w:rPr>
                <w:rFonts w:cs="Calibri"/>
                <w:color w:val="000000"/>
                <w:sz w:val="22"/>
                <w:szCs w:val="22"/>
              </w:rPr>
              <w:t>$2</w:t>
            </w:r>
            <w:r>
              <w:rPr>
                <w:rFonts w:cs="Calibri"/>
                <w:color w:val="000000"/>
                <w:sz w:val="22"/>
                <w:szCs w:val="22"/>
              </w:rPr>
              <w:t>7.07</w:t>
            </w:r>
          </w:p>
        </w:tc>
        <w:tc>
          <w:tcPr>
            <w:tcW w:w="1222" w:type="dxa"/>
            <w:tcBorders>
              <w:top w:val="single" w:color="auto" w:sz="4" w:space="0"/>
              <w:left w:val="single" w:color="auto" w:sz="4" w:space="0"/>
              <w:bottom w:val="single" w:color="auto" w:sz="4" w:space="0"/>
              <w:right w:val="single" w:color="auto" w:sz="4" w:space="0"/>
            </w:tcBorders>
            <w:vAlign w:val="center"/>
          </w:tcPr>
          <w:p w:rsidRPr="00275459" w:rsidR="008E1623" w:rsidP="00E6122F" w:rsidRDefault="008E1623" w14:paraId="4FC55E60" w14:textId="53839B8F">
            <w:pPr>
              <w:jc w:val="center"/>
              <w:rPr>
                <w:rFonts w:cs="Calibri"/>
                <w:color w:val="000000"/>
                <w:sz w:val="22"/>
                <w:szCs w:val="22"/>
              </w:rPr>
            </w:pPr>
            <w:r w:rsidRPr="00275459">
              <w:rPr>
                <w:rFonts w:cs="Calibri"/>
                <w:color w:val="000000"/>
                <w:sz w:val="22"/>
                <w:szCs w:val="22"/>
              </w:rPr>
              <w:t>$</w:t>
            </w:r>
            <w:r>
              <w:rPr>
                <w:rFonts w:cs="Calibri"/>
                <w:color w:val="000000"/>
                <w:sz w:val="22"/>
                <w:szCs w:val="22"/>
              </w:rPr>
              <w:t>2,166</w:t>
            </w:r>
          </w:p>
        </w:tc>
      </w:tr>
      <w:tr w:rsidRPr="00A212E5" w:rsidR="008E1623" w:rsidTr="008E1623" w14:paraId="481494C3" w14:textId="77777777">
        <w:trPr>
          <w:trHeight w:val="675"/>
        </w:trPr>
        <w:tc>
          <w:tcPr>
            <w:tcW w:w="1316" w:type="dxa"/>
            <w:tcBorders>
              <w:top w:val="single" w:color="auto" w:sz="4" w:space="0"/>
              <w:left w:val="single" w:color="auto" w:sz="4" w:space="0"/>
              <w:bottom w:val="single" w:color="auto" w:sz="4" w:space="0"/>
              <w:right w:val="single" w:color="auto" w:sz="4" w:space="0"/>
            </w:tcBorders>
            <w:vAlign w:val="center"/>
          </w:tcPr>
          <w:p w:rsidRPr="00275459" w:rsidR="008E1623" w:rsidP="008E1623" w:rsidRDefault="008E1623" w14:paraId="7EAD2B97" w14:textId="469ABF0F">
            <w:pPr>
              <w:jc w:val="center"/>
              <w:rPr>
                <w:rFonts w:cs="Calibri"/>
                <w:color w:val="000000"/>
                <w:sz w:val="22"/>
                <w:szCs w:val="22"/>
              </w:rPr>
            </w:pPr>
            <w:r>
              <w:rPr>
                <w:rFonts w:cs="Calibri"/>
                <w:color w:val="000000"/>
                <w:sz w:val="22"/>
                <w:szCs w:val="22"/>
              </w:rPr>
              <w:t>General Public</w:t>
            </w:r>
          </w:p>
        </w:tc>
        <w:tc>
          <w:tcPr>
            <w:tcW w:w="1534"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572F7D42" w14:textId="16380890">
            <w:pPr>
              <w:jc w:val="center"/>
              <w:rPr>
                <w:rFonts w:cs="Calibri"/>
                <w:color w:val="000000"/>
                <w:sz w:val="22"/>
                <w:szCs w:val="22"/>
              </w:rPr>
            </w:pPr>
            <w:r w:rsidRPr="00275459">
              <w:rPr>
                <w:rFonts w:cs="Calibri"/>
                <w:color w:val="000000"/>
                <w:sz w:val="22"/>
                <w:szCs w:val="22"/>
              </w:rPr>
              <w:t>Focus Group Guide</w:t>
            </w:r>
          </w:p>
        </w:tc>
        <w:tc>
          <w:tcPr>
            <w:tcW w:w="1404"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53E52491" w14:textId="09E96E74">
            <w:pPr>
              <w:jc w:val="center"/>
              <w:rPr>
                <w:rFonts w:cs="Calibri"/>
                <w:color w:val="000000"/>
                <w:sz w:val="22"/>
                <w:szCs w:val="22"/>
              </w:rPr>
            </w:pPr>
            <w:r w:rsidRPr="00275459">
              <w:rPr>
                <w:rFonts w:cs="Calibri"/>
                <w:color w:val="000000"/>
                <w:sz w:val="22"/>
                <w:szCs w:val="22"/>
              </w:rPr>
              <w:t>8</w:t>
            </w:r>
            <w:r>
              <w:rPr>
                <w:rFonts w:cs="Calibri"/>
                <w:color w:val="000000"/>
                <w:sz w:val="22"/>
                <w:szCs w:val="22"/>
              </w:rPr>
              <w:t>0</w:t>
            </w:r>
            <w:r w:rsidRPr="00275459">
              <w:rPr>
                <w:rFonts w:cs="Calibri"/>
                <w:color w:val="000000"/>
                <w:sz w:val="22"/>
                <w:szCs w:val="22"/>
              </w:rPr>
              <w:t>0</w:t>
            </w:r>
          </w:p>
        </w:tc>
        <w:tc>
          <w:tcPr>
            <w:tcW w:w="1490"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18B8B57B" w14:textId="77777777">
            <w:pPr>
              <w:jc w:val="center"/>
              <w:rPr>
                <w:rFonts w:cs="Calibri"/>
                <w:color w:val="000000"/>
                <w:sz w:val="22"/>
                <w:szCs w:val="22"/>
              </w:rPr>
            </w:pPr>
            <w:r w:rsidRPr="00275459">
              <w:rPr>
                <w:rFonts w:cs="Calibri"/>
                <w:color w:val="000000"/>
                <w:sz w:val="22"/>
                <w:szCs w:val="22"/>
              </w:rPr>
              <w:t>1</w:t>
            </w:r>
          </w:p>
        </w:tc>
        <w:tc>
          <w:tcPr>
            <w:tcW w:w="1226" w:type="dxa"/>
            <w:tcBorders>
              <w:top w:val="single" w:color="auto" w:sz="4" w:space="0"/>
              <w:left w:val="single" w:color="auto" w:sz="4" w:space="0"/>
              <w:bottom w:val="single" w:color="auto" w:sz="4" w:space="0"/>
              <w:right w:val="single" w:color="auto" w:sz="4" w:space="0"/>
            </w:tcBorders>
            <w:vAlign w:val="center"/>
          </w:tcPr>
          <w:p w:rsidRPr="00275459" w:rsidR="008E1623" w:rsidP="007B63B2" w:rsidRDefault="008E1623" w14:paraId="0116EB41" w14:textId="0CB1EA51">
            <w:pPr>
              <w:jc w:val="center"/>
              <w:rPr>
                <w:rFonts w:cs="Calibri"/>
                <w:color w:val="000000"/>
                <w:sz w:val="22"/>
                <w:szCs w:val="22"/>
              </w:rPr>
            </w:pPr>
            <w:r>
              <w:rPr>
                <w:rFonts w:cs="Calibri"/>
                <w:color w:val="000000"/>
                <w:sz w:val="22"/>
                <w:szCs w:val="22"/>
              </w:rPr>
              <w:t>1</w:t>
            </w:r>
            <w:r w:rsidRPr="00275459">
              <w:rPr>
                <w:rFonts w:cs="Calibri"/>
                <w:color w:val="000000"/>
                <w:sz w:val="22"/>
                <w:szCs w:val="22"/>
              </w:rPr>
              <w:t>60</w:t>
            </w:r>
            <w:r>
              <w:rPr>
                <w:rFonts w:cs="Calibri"/>
                <w:color w:val="000000"/>
                <w:sz w:val="22"/>
                <w:szCs w:val="22"/>
              </w:rPr>
              <w:t>0</w:t>
            </w:r>
          </w:p>
        </w:tc>
        <w:tc>
          <w:tcPr>
            <w:tcW w:w="1276" w:type="dxa"/>
            <w:tcBorders>
              <w:top w:val="single" w:color="auto" w:sz="4" w:space="0"/>
              <w:left w:val="single" w:color="auto" w:sz="4" w:space="0"/>
              <w:bottom w:val="single" w:color="auto" w:sz="4" w:space="0"/>
              <w:right w:val="single" w:color="auto" w:sz="4" w:space="0"/>
            </w:tcBorders>
            <w:vAlign w:val="center"/>
          </w:tcPr>
          <w:p w:rsidRPr="00275459" w:rsidR="008E1623" w:rsidP="00046900" w:rsidRDefault="008E1623" w14:paraId="674BDF99" w14:textId="5308D741">
            <w:pPr>
              <w:jc w:val="center"/>
              <w:rPr>
                <w:rFonts w:cs="Calibri"/>
                <w:color w:val="000000"/>
                <w:sz w:val="22"/>
                <w:szCs w:val="22"/>
              </w:rPr>
            </w:pPr>
            <w:r w:rsidRPr="00275459">
              <w:rPr>
                <w:rFonts w:cs="Calibri"/>
                <w:color w:val="000000"/>
                <w:sz w:val="22"/>
                <w:szCs w:val="22"/>
              </w:rPr>
              <w:t>$2</w:t>
            </w:r>
            <w:r>
              <w:rPr>
                <w:rFonts w:cs="Calibri"/>
                <w:color w:val="000000"/>
                <w:sz w:val="22"/>
                <w:szCs w:val="22"/>
              </w:rPr>
              <w:t>7.07</w:t>
            </w:r>
          </w:p>
        </w:tc>
        <w:tc>
          <w:tcPr>
            <w:tcW w:w="1222" w:type="dxa"/>
            <w:tcBorders>
              <w:top w:val="single" w:color="auto" w:sz="4" w:space="0"/>
              <w:left w:val="single" w:color="auto" w:sz="4" w:space="0"/>
              <w:bottom w:val="single" w:color="auto" w:sz="4" w:space="0"/>
              <w:right w:val="single" w:color="auto" w:sz="4" w:space="0"/>
            </w:tcBorders>
            <w:vAlign w:val="center"/>
          </w:tcPr>
          <w:p w:rsidRPr="00275459" w:rsidR="008E1623" w:rsidP="00E6122F" w:rsidRDefault="008E1623" w14:paraId="64CDD942" w14:textId="6EA553AC">
            <w:pPr>
              <w:jc w:val="center"/>
              <w:rPr>
                <w:rFonts w:cs="Calibri"/>
                <w:color w:val="000000"/>
                <w:sz w:val="22"/>
                <w:szCs w:val="22"/>
              </w:rPr>
            </w:pPr>
            <w:r w:rsidRPr="00275459">
              <w:rPr>
                <w:rFonts w:cs="Calibri"/>
                <w:color w:val="000000"/>
                <w:sz w:val="22"/>
                <w:szCs w:val="22"/>
              </w:rPr>
              <w:t>$</w:t>
            </w:r>
            <w:r>
              <w:rPr>
                <w:rFonts w:cs="Calibri"/>
                <w:color w:val="000000"/>
                <w:sz w:val="22"/>
                <w:szCs w:val="22"/>
              </w:rPr>
              <w:t>43,312</w:t>
            </w:r>
          </w:p>
        </w:tc>
      </w:tr>
      <w:tr w:rsidRPr="00A212E5" w:rsidR="008E1623" w:rsidTr="008E1623" w14:paraId="0EFC21D5" w14:textId="77777777">
        <w:trPr>
          <w:trHeight w:val="675"/>
        </w:trPr>
        <w:tc>
          <w:tcPr>
            <w:tcW w:w="8246" w:type="dxa"/>
            <w:gridSpan w:val="6"/>
            <w:tcBorders>
              <w:top w:val="single" w:color="auto" w:sz="4" w:space="0"/>
              <w:left w:val="single" w:color="auto" w:sz="4" w:space="0"/>
              <w:bottom w:val="single" w:color="auto" w:sz="4" w:space="0"/>
              <w:right w:val="single" w:color="auto" w:sz="4" w:space="0"/>
            </w:tcBorders>
            <w:vAlign w:val="center"/>
          </w:tcPr>
          <w:p w:rsidRPr="00275459" w:rsidR="008E1623" w:rsidP="008E1623" w:rsidRDefault="008E1623" w14:paraId="04CE49A5" w14:textId="1AA471DA">
            <w:pPr>
              <w:jc w:val="right"/>
              <w:rPr>
                <w:rFonts w:cs="Calibri"/>
                <w:color w:val="000000"/>
                <w:sz w:val="22"/>
                <w:szCs w:val="22"/>
              </w:rPr>
            </w:pPr>
            <w:r>
              <w:rPr>
                <w:rFonts w:cs="Calibri"/>
                <w:color w:val="000000"/>
                <w:sz w:val="22"/>
                <w:szCs w:val="22"/>
              </w:rPr>
              <w:t>Total</w:t>
            </w:r>
          </w:p>
        </w:tc>
        <w:tc>
          <w:tcPr>
            <w:tcW w:w="1222" w:type="dxa"/>
            <w:tcBorders>
              <w:top w:val="single" w:color="auto" w:sz="4" w:space="0"/>
              <w:left w:val="single" w:color="auto" w:sz="4" w:space="0"/>
              <w:bottom w:val="single" w:color="auto" w:sz="4" w:space="0"/>
              <w:right w:val="single" w:color="auto" w:sz="4" w:space="0"/>
            </w:tcBorders>
            <w:vAlign w:val="center"/>
          </w:tcPr>
          <w:p w:rsidRPr="00275459" w:rsidR="008E1623" w:rsidP="00C84845" w:rsidRDefault="008E1623" w14:paraId="78EBF3FD" w14:textId="1219251F">
            <w:pPr>
              <w:jc w:val="center"/>
              <w:rPr>
                <w:rFonts w:cs="Calibri"/>
                <w:color w:val="000000"/>
                <w:sz w:val="22"/>
                <w:szCs w:val="22"/>
              </w:rPr>
            </w:pPr>
            <w:r w:rsidRPr="00275459">
              <w:rPr>
                <w:rFonts w:cs="Calibri"/>
                <w:color w:val="000000"/>
                <w:sz w:val="22"/>
                <w:szCs w:val="22"/>
              </w:rPr>
              <w:t>$</w:t>
            </w:r>
            <w:r>
              <w:rPr>
                <w:rFonts w:cs="Calibri"/>
                <w:color w:val="000000"/>
                <w:sz w:val="22"/>
                <w:szCs w:val="22"/>
              </w:rPr>
              <w:t>45,478</w:t>
            </w:r>
          </w:p>
        </w:tc>
      </w:tr>
    </w:tbl>
    <w:p w:rsidRPr="00901D5E" w:rsidR="00CB4892" w:rsidP="00901D5E" w:rsidRDefault="00CB4892" w14:paraId="1FA303D2" w14:textId="77777777">
      <w:pPr>
        <w:rPr>
          <w:b/>
          <w:bCs/>
          <w:i/>
          <w:iCs/>
        </w:rPr>
      </w:pPr>
      <w:bookmarkStart w:name="_Toc68687809" w:id="23"/>
    </w:p>
    <w:p w:rsidRPr="0044714A" w:rsidR="00DD3FBF" w:rsidP="00636D0C" w:rsidRDefault="00DD3FBF" w14:paraId="4BD659D8" w14:textId="77777777">
      <w:pPr>
        <w:pStyle w:val="Heading2"/>
        <w:rPr>
          <w:iCs w:val="0"/>
        </w:rPr>
      </w:pPr>
      <w:bookmarkStart w:name="_Toc74723234" w:id="24"/>
      <w:r w:rsidRPr="00901D5E">
        <w:t>A13. Estimates of Other Total Annual Cost Burden to Respondents or Recordkeepers</w:t>
      </w:r>
      <w:bookmarkEnd w:id="23"/>
      <w:bookmarkEnd w:id="24"/>
    </w:p>
    <w:p w:rsidRPr="00901D5E" w:rsidR="00F95FBB" w:rsidP="00901D5E" w:rsidRDefault="00F95FBB" w14:paraId="7941830A" w14:textId="77777777"/>
    <w:p w:rsidRPr="00901D5E" w:rsidR="00DD3FBF" w:rsidP="00901D5E" w:rsidRDefault="005220C5" w14:paraId="614D1316" w14:textId="2F22B834">
      <w:r w:rsidRPr="00901D5E">
        <w:t>None</w:t>
      </w:r>
      <w:r w:rsidRPr="00901D5E" w:rsidR="00DD3FBF">
        <w:t>.</w:t>
      </w:r>
    </w:p>
    <w:p w:rsidRPr="00275459" w:rsidR="00CB4892" w:rsidP="00DD3FBF" w:rsidRDefault="00CB4892" w14:paraId="5323AA3C" w14:textId="77777777">
      <w:pPr>
        <w:rPr>
          <w:rFonts w:cs="Calibri"/>
          <w:color w:val="000000"/>
        </w:rPr>
      </w:pPr>
    </w:p>
    <w:p w:rsidRPr="00901D5E" w:rsidR="00DD3FBF" w:rsidP="00636D0C" w:rsidRDefault="00DD3FBF" w14:paraId="1A469D89" w14:textId="77777777">
      <w:pPr>
        <w:pStyle w:val="Heading2"/>
        <w:rPr>
          <w:i/>
        </w:rPr>
      </w:pPr>
      <w:bookmarkStart w:name="_Toc68687810" w:id="25"/>
      <w:bookmarkStart w:name="_Toc74723235" w:id="26"/>
      <w:bookmarkStart w:name="OLE_LINK1" w:id="27"/>
      <w:r w:rsidRPr="00901D5E">
        <w:t>A14. Annualized Cost to the Government</w:t>
      </w:r>
      <w:bookmarkEnd w:id="25"/>
      <w:bookmarkEnd w:id="26"/>
    </w:p>
    <w:bookmarkEnd w:id="27"/>
    <w:p w:rsidRPr="00275459" w:rsidR="00F95FBB" w:rsidP="00450F34" w:rsidRDefault="00F95FBB" w14:paraId="22164D2A" w14:textId="77777777">
      <w:pPr>
        <w:autoSpaceDE w:val="0"/>
        <w:autoSpaceDN w:val="0"/>
        <w:adjustRightInd w:val="0"/>
        <w:rPr>
          <w:rFonts w:cs="Calibri"/>
          <w:color w:val="000000"/>
        </w:rPr>
      </w:pPr>
    </w:p>
    <w:p w:rsidRPr="00275459" w:rsidR="00450F34" w:rsidP="00450F34" w:rsidRDefault="00450F34" w14:paraId="4C9B072B" w14:textId="77777777">
      <w:pPr>
        <w:autoSpaceDE w:val="0"/>
        <w:autoSpaceDN w:val="0"/>
        <w:adjustRightInd w:val="0"/>
        <w:rPr>
          <w:rFonts w:cs="Calibri"/>
          <w:color w:val="000000"/>
        </w:rPr>
      </w:pPr>
      <w:r w:rsidRPr="00275459">
        <w:rPr>
          <w:rFonts w:cs="Calibri"/>
          <w:color w:val="000000"/>
        </w:rPr>
        <w:t>The estimated average annual cost to the Federal government for the proposed focus group activities is $</w:t>
      </w:r>
      <w:r w:rsidRPr="00275459" w:rsidR="00EF5442">
        <w:rPr>
          <w:rFonts w:cs="Calibri"/>
          <w:color w:val="000000"/>
        </w:rPr>
        <w:t>4</w:t>
      </w:r>
      <w:r w:rsidRPr="00275459" w:rsidR="006B24ED">
        <w:rPr>
          <w:rFonts w:cs="Calibri"/>
          <w:color w:val="000000"/>
        </w:rPr>
        <w:t>91</w:t>
      </w:r>
      <w:r w:rsidRPr="00275459" w:rsidR="00EF5442">
        <w:rPr>
          <w:rFonts w:cs="Calibri"/>
          <w:color w:val="000000"/>
        </w:rPr>
        <w:t>,</w:t>
      </w:r>
      <w:r w:rsidRPr="00275459" w:rsidR="006B24ED">
        <w:rPr>
          <w:rFonts w:cs="Calibri"/>
          <w:color w:val="000000"/>
        </w:rPr>
        <w:t>6</w:t>
      </w:r>
      <w:r w:rsidRPr="00275459" w:rsidR="00EF5442">
        <w:rPr>
          <w:rFonts w:cs="Calibri"/>
          <w:color w:val="000000"/>
        </w:rPr>
        <w:t>00</w:t>
      </w:r>
      <w:r w:rsidRPr="00275459">
        <w:rPr>
          <w:rFonts w:cs="Calibri"/>
          <w:color w:val="000000"/>
        </w:rPr>
        <w:t xml:space="preserve"> ($2</w:t>
      </w:r>
      <w:r w:rsidRPr="00275459" w:rsidR="00EF5442">
        <w:rPr>
          <w:rFonts w:cs="Calibri"/>
          <w:color w:val="000000"/>
        </w:rPr>
        <w:t>4</w:t>
      </w:r>
      <w:r w:rsidRPr="00275459" w:rsidR="006B24ED">
        <w:rPr>
          <w:rFonts w:cs="Calibri"/>
          <w:color w:val="000000"/>
        </w:rPr>
        <w:t>5</w:t>
      </w:r>
      <w:r w:rsidRPr="00275459" w:rsidR="00EF5442">
        <w:rPr>
          <w:rFonts w:cs="Calibri"/>
          <w:color w:val="000000"/>
        </w:rPr>
        <w:t>,</w:t>
      </w:r>
      <w:r w:rsidRPr="00275459" w:rsidR="006B24ED">
        <w:rPr>
          <w:rFonts w:cs="Calibri"/>
          <w:color w:val="000000"/>
        </w:rPr>
        <w:t>8</w:t>
      </w:r>
      <w:r w:rsidRPr="00275459" w:rsidR="00EF5442">
        <w:rPr>
          <w:rFonts w:cs="Calibri"/>
          <w:color w:val="000000"/>
        </w:rPr>
        <w:t>00</w:t>
      </w:r>
      <w:r w:rsidRPr="00275459">
        <w:rPr>
          <w:rFonts w:cs="Calibri"/>
          <w:color w:val="000000"/>
        </w:rPr>
        <w:t xml:space="preserve"> per campaign). This figure encompasses the salary of two GS-13 </w:t>
      </w:r>
      <w:r w:rsidRPr="00275459" w:rsidR="0066578E">
        <w:rPr>
          <w:rFonts w:cs="Calibri"/>
          <w:color w:val="000000"/>
        </w:rPr>
        <w:t>employees</w:t>
      </w:r>
      <w:r w:rsidRPr="00275459">
        <w:rPr>
          <w:rFonts w:cs="Calibri"/>
          <w:color w:val="000000"/>
        </w:rPr>
        <w:t xml:space="preserve">, communication contract costs, as well as fees for identifying and recruiting participants, incentive payments, facility rental, and transcription. </w:t>
      </w:r>
    </w:p>
    <w:p w:rsidRPr="00275459" w:rsidR="00ED5E23" w:rsidP="00450F34" w:rsidRDefault="00ED5E23" w14:paraId="726EDE53" w14:textId="77777777">
      <w:pPr>
        <w:autoSpaceDE w:val="0"/>
        <w:autoSpaceDN w:val="0"/>
        <w:adjustRightInd w:val="0"/>
        <w:rPr>
          <w:rFonts w:cs="Calibri"/>
          <w:color w:val="000000"/>
        </w:rPr>
      </w:pPr>
    </w:p>
    <w:tbl>
      <w:tblPr>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040"/>
        <w:gridCol w:w="2880"/>
      </w:tblGrid>
      <w:tr w:rsidRPr="00A212E5" w:rsidR="00ED5E23" w:rsidTr="007A0EE6" w14:paraId="0E1B7C1F" w14:textId="77777777">
        <w:tc>
          <w:tcPr>
            <w:tcW w:w="7920" w:type="dxa"/>
            <w:gridSpan w:val="2"/>
          </w:tcPr>
          <w:p w:rsidRPr="00275459" w:rsidR="00ED5E23" w:rsidP="007A0EE6" w:rsidRDefault="00ED5E23" w14:paraId="225410F6" w14:textId="77777777">
            <w:pPr>
              <w:autoSpaceDE w:val="0"/>
              <w:autoSpaceDN w:val="0"/>
              <w:adjustRightInd w:val="0"/>
              <w:jc w:val="center"/>
              <w:rPr>
                <w:rFonts w:cs="Calibri"/>
                <w:b/>
                <w:color w:val="000000"/>
              </w:rPr>
            </w:pPr>
            <w:r w:rsidRPr="00275459">
              <w:rPr>
                <w:rFonts w:cs="Calibri"/>
                <w:b/>
                <w:color w:val="000000"/>
              </w:rPr>
              <w:t xml:space="preserve">Estimated Annualized Cost </w:t>
            </w:r>
            <w:r w:rsidRPr="00275459" w:rsidR="001215CD">
              <w:rPr>
                <w:rFonts w:cs="Calibri"/>
                <w:b/>
                <w:color w:val="000000"/>
              </w:rPr>
              <w:t xml:space="preserve">to the Government, </w:t>
            </w:r>
            <w:r w:rsidRPr="00275459">
              <w:rPr>
                <w:rFonts w:cs="Calibri"/>
                <w:b/>
                <w:color w:val="000000"/>
              </w:rPr>
              <w:t>per Campaign</w:t>
            </w:r>
            <w:r w:rsidRPr="00275459" w:rsidR="001215CD">
              <w:rPr>
                <w:rFonts w:cs="Calibri"/>
                <w:b/>
                <w:color w:val="000000"/>
              </w:rPr>
              <w:t xml:space="preserve"> and Total</w:t>
            </w:r>
          </w:p>
        </w:tc>
      </w:tr>
      <w:tr w:rsidRPr="00A212E5" w:rsidR="00ED5E23" w:rsidTr="007A0EE6" w14:paraId="22E8E9A1" w14:textId="77777777">
        <w:tc>
          <w:tcPr>
            <w:tcW w:w="5040" w:type="dxa"/>
          </w:tcPr>
          <w:p w:rsidRPr="00275459" w:rsidR="00ED5E23" w:rsidP="007A0EE6" w:rsidRDefault="00ED5E23" w14:paraId="4F756111" w14:textId="77777777">
            <w:pPr>
              <w:autoSpaceDE w:val="0"/>
              <w:autoSpaceDN w:val="0"/>
              <w:adjustRightInd w:val="0"/>
              <w:rPr>
                <w:rFonts w:cs="Calibri"/>
                <w:color w:val="000000"/>
              </w:rPr>
            </w:pPr>
            <w:r w:rsidRPr="00275459">
              <w:rPr>
                <w:rFonts w:cs="Calibri"/>
                <w:color w:val="000000"/>
              </w:rPr>
              <w:t>Cost Category</w:t>
            </w:r>
          </w:p>
        </w:tc>
        <w:tc>
          <w:tcPr>
            <w:tcW w:w="2880" w:type="dxa"/>
          </w:tcPr>
          <w:p w:rsidRPr="00275459" w:rsidR="00ED5E23" w:rsidP="007A0EE6" w:rsidRDefault="00ED5E23" w14:paraId="65199EAB" w14:textId="77777777">
            <w:pPr>
              <w:autoSpaceDE w:val="0"/>
              <w:autoSpaceDN w:val="0"/>
              <w:adjustRightInd w:val="0"/>
              <w:rPr>
                <w:rFonts w:cs="Calibri"/>
                <w:color w:val="000000"/>
              </w:rPr>
            </w:pPr>
            <w:r w:rsidRPr="00275459">
              <w:rPr>
                <w:rFonts w:cs="Calibri"/>
                <w:color w:val="000000"/>
              </w:rPr>
              <w:t>Estimated Annualized Cost</w:t>
            </w:r>
          </w:p>
        </w:tc>
      </w:tr>
      <w:tr w:rsidRPr="00A212E5" w:rsidR="00ED5E23" w:rsidTr="007A0EE6" w14:paraId="3CE83590" w14:textId="77777777">
        <w:tc>
          <w:tcPr>
            <w:tcW w:w="5040" w:type="dxa"/>
          </w:tcPr>
          <w:p w:rsidRPr="00275459" w:rsidR="00ED5E23" w:rsidP="00CA1BBB" w:rsidRDefault="001215CD" w14:paraId="5C57815B" w14:textId="114C875C">
            <w:pPr>
              <w:autoSpaceDE w:val="0"/>
              <w:autoSpaceDN w:val="0"/>
              <w:adjustRightInd w:val="0"/>
              <w:rPr>
                <w:rFonts w:cs="Calibri"/>
                <w:color w:val="000000"/>
              </w:rPr>
            </w:pPr>
            <w:r w:rsidRPr="00275459">
              <w:rPr>
                <w:rFonts w:cs="Calibri"/>
                <w:color w:val="000000"/>
              </w:rPr>
              <w:t>Federal employee costs, per campaign</w:t>
            </w:r>
            <w:r w:rsidRPr="00275459" w:rsidR="00ED5E23">
              <w:rPr>
                <w:rFonts w:cs="Calibri"/>
                <w:color w:val="000000"/>
              </w:rPr>
              <w:t xml:space="preserve"> (</w:t>
            </w:r>
            <w:r w:rsidRPr="00275459" w:rsidR="00DE2D25">
              <w:rPr>
                <w:rFonts w:cs="Calibri"/>
                <w:color w:val="000000"/>
              </w:rPr>
              <w:t>20</w:t>
            </w:r>
            <w:r w:rsidRPr="00275459" w:rsidR="00ED5E23">
              <w:rPr>
                <w:rFonts w:cs="Calibri"/>
                <w:color w:val="000000"/>
              </w:rPr>
              <w:t xml:space="preserve">% FTE of </w:t>
            </w:r>
            <w:r w:rsidRPr="00275459" w:rsidR="00C65438">
              <w:rPr>
                <w:rFonts w:cs="Calibri"/>
                <w:color w:val="000000"/>
              </w:rPr>
              <w:t>2</w:t>
            </w:r>
            <w:r w:rsidRPr="00275459" w:rsidR="00ED5E23">
              <w:rPr>
                <w:rFonts w:cs="Calibri"/>
                <w:color w:val="000000"/>
              </w:rPr>
              <w:t xml:space="preserve"> GS-13</w:t>
            </w:r>
            <w:r w:rsidR="00A26488">
              <w:rPr>
                <w:rFonts w:cs="Calibri"/>
                <w:color w:val="000000"/>
              </w:rPr>
              <w:t xml:space="preserve">, Step 5 </w:t>
            </w:r>
            <w:r w:rsidRPr="00275459" w:rsidR="00ED5E23">
              <w:rPr>
                <w:rFonts w:cs="Calibri"/>
                <w:color w:val="000000"/>
              </w:rPr>
              <w:t>@ $</w:t>
            </w:r>
            <w:r w:rsidRPr="00275459" w:rsidR="00C84845">
              <w:rPr>
                <w:rFonts w:cs="Calibri"/>
                <w:color w:val="000000"/>
              </w:rPr>
              <w:t>1</w:t>
            </w:r>
            <w:r w:rsidR="00291B06">
              <w:rPr>
                <w:rFonts w:cs="Calibri"/>
                <w:color w:val="000000"/>
              </w:rPr>
              <w:t>10</w:t>
            </w:r>
            <w:r w:rsidRPr="00275459" w:rsidR="00ED5E23">
              <w:rPr>
                <w:rFonts w:cs="Calibri"/>
                <w:color w:val="000000"/>
              </w:rPr>
              <w:t>,000/y</w:t>
            </w:r>
            <w:r w:rsidR="00ED54A5">
              <w:rPr>
                <w:rFonts w:cs="Calibri"/>
                <w:color w:val="000000"/>
              </w:rPr>
              <w:t>ea</w:t>
            </w:r>
            <w:r w:rsidRPr="00275459" w:rsidR="00ED5E23">
              <w:rPr>
                <w:rFonts w:cs="Calibri"/>
                <w:color w:val="000000"/>
              </w:rPr>
              <w:t>r)</w:t>
            </w:r>
          </w:p>
        </w:tc>
        <w:tc>
          <w:tcPr>
            <w:tcW w:w="2880" w:type="dxa"/>
          </w:tcPr>
          <w:p w:rsidRPr="00275459" w:rsidR="00ED5E23" w:rsidP="00C84845" w:rsidRDefault="00ED5E23" w14:paraId="240A5EEB" w14:textId="63E51CAC">
            <w:pPr>
              <w:autoSpaceDE w:val="0"/>
              <w:autoSpaceDN w:val="0"/>
              <w:adjustRightInd w:val="0"/>
              <w:rPr>
                <w:rFonts w:cs="Calibri"/>
                <w:color w:val="000000"/>
              </w:rPr>
            </w:pPr>
            <w:r w:rsidRPr="00275459">
              <w:rPr>
                <w:rFonts w:cs="Calibri"/>
                <w:color w:val="000000"/>
              </w:rPr>
              <w:t>$</w:t>
            </w:r>
            <w:r w:rsidRPr="00275459" w:rsidR="00C84845">
              <w:rPr>
                <w:rFonts w:cs="Calibri"/>
                <w:color w:val="000000"/>
              </w:rPr>
              <w:t>4</w:t>
            </w:r>
            <w:r w:rsidR="00433ECD">
              <w:rPr>
                <w:rFonts w:cs="Calibri"/>
                <w:color w:val="000000"/>
              </w:rPr>
              <w:t>4</w:t>
            </w:r>
            <w:r w:rsidRPr="00275459" w:rsidR="00C84845">
              <w:rPr>
                <w:rFonts w:cs="Calibri"/>
                <w:color w:val="000000"/>
              </w:rPr>
              <w:t>,</w:t>
            </w:r>
            <w:r w:rsidR="007076DA">
              <w:rPr>
                <w:rFonts w:cs="Calibri"/>
                <w:color w:val="000000"/>
              </w:rPr>
              <w:t>0</w:t>
            </w:r>
            <w:r w:rsidRPr="00275459" w:rsidR="00C84845">
              <w:rPr>
                <w:rFonts w:cs="Calibri"/>
                <w:color w:val="000000"/>
              </w:rPr>
              <w:t>00</w:t>
            </w:r>
          </w:p>
        </w:tc>
      </w:tr>
      <w:tr w:rsidRPr="00A212E5" w:rsidR="00ED5E23" w:rsidTr="007A0EE6" w14:paraId="32CB9B32" w14:textId="77777777">
        <w:tc>
          <w:tcPr>
            <w:tcW w:w="5040" w:type="dxa"/>
          </w:tcPr>
          <w:p w:rsidRPr="00275459" w:rsidR="00ED5E23" w:rsidP="005C5923" w:rsidRDefault="00ED5E23" w14:paraId="335BA723" w14:textId="10D26E34">
            <w:pPr>
              <w:autoSpaceDE w:val="0"/>
              <w:autoSpaceDN w:val="0"/>
              <w:adjustRightInd w:val="0"/>
              <w:rPr>
                <w:rFonts w:cs="Calibri"/>
                <w:color w:val="000000"/>
              </w:rPr>
            </w:pPr>
            <w:r w:rsidRPr="00275459">
              <w:rPr>
                <w:rFonts w:cs="Calibri"/>
                <w:color w:val="000000"/>
              </w:rPr>
              <w:t>Contractual costs for focus group facility rental</w:t>
            </w:r>
            <w:r w:rsidR="0020665B">
              <w:rPr>
                <w:rFonts w:cs="Calibri"/>
                <w:color w:val="000000"/>
              </w:rPr>
              <w:t xml:space="preserve"> (if needed)</w:t>
            </w:r>
            <w:r w:rsidRPr="00275459">
              <w:rPr>
                <w:rFonts w:cs="Calibri"/>
                <w:color w:val="000000"/>
              </w:rPr>
              <w:t>, focus group moderator, participant recruitment, and report on findings</w:t>
            </w:r>
            <w:r w:rsidRPr="00275459" w:rsidR="001215CD">
              <w:rPr>
                <w:rFonts w:cs="Calibri"/>
                <w:color w:val="000000"/>
              </w:rPr>
              <w:t>, per campaign</w:t>
            </w:r>
          </w:p>
        </w:tc>
        <w:tc>
          <w:tcPr>
            <w:tcW w:w="2880" w:type="dxa"/>
          </w:tcPr>
          <w:p w:rsidRPr="00275459" w:rsidR="00ED5E23" w:rsidP="007A0EE6" w:rsidRDefault="00ED5E23" w14:paraId="5E27AAAD" w14:textId="00689544">
            <w:pPr>
              <w:autoSpaceDE w:val="0"/>
              <w:autoSpaceDN w:val="0"/>
              <w:adjustRightInd w:val="0"/>
              <w:rPr>
                <w:rFonts w:cs="Calibri"/>
                <w:color w:val="000000"/>
              </w:rPr>
            </w:pPr>
            <w:r w:rsidRPr="00275459">
              <w:rPr>
                <w:rFonts w:cs="Calibri"/>
                <w:color w:val="000000"/>
              </w:rPr>
              <w:t>$2</w:t>
            </w:r>
            <w:r w:rsidR="00A26488">
              <w:rPr>
                <w:rFonts w:cs="Calibri"/>
                <w:color w:val="000000"/>
              </w:rPr>
              <w:t>2</w:t>
            </w:r>
            <w:r w:rsidRPr="00275459">
              <w:rPr>
                <w:rFonts w:cs="Calibri"/>
                <w:color w:val="000000"/>
              </w:rPr>
              <w:t>5,000</w:t>
            </w:r>
          </w:p>
        </w:tc>
      </w:tr>
      <w:tr w:rsidRPr="00A212E5" w:rsidR="00ED5E23" w:rsidTr="007A0EE6" w14:paraId="6EA1C91E" w14:textId="77777777">
        <w:tc>
          <w:tcPr>
            <w:tcW w:w="5040" w:type="dxa"/>
          </w:tcPr>
          <w:p w:rsidRPr="00275459" w:rsidR="00ED5E23" w:rsidP="007A0EE6" w:rsidRDefault="001215CD" w14:paraId="480D99AA" w14:textId="50929E37">
            <w:pPr>
              <w:autoSpaceDE w:val="0"/>
              <w:autoSpaceDN w:val="0"/>
              <w:adjustRightInd w:val="0"/>
              <w:jc w:val="right"/>
              <w:rPr>
                <w:rFonts w:cs="Calibri"/>
                <w:b/>
                <w:color w:val="000000"/>
              </w:rPr>
            </w:pPr>
            <w:r w:rsidRPr="00275459">
              <w:rPr>
                <w:rFonts w:cs="Calibri"/>
                <w:b/>
                <w:color w:val="000000"/>
              </w:rPr>
              <w:t>Subt</w:t>
            </w:r>
            <w:r w:rsidRPr="00275459" w:rsidR="00ED5E23">
              <w:rPr>
                <w:rFonts w:cs="Calibri"/>
                <w:b/>
                <w:color w:val="000000"/>
              </w:rPr>
              <w:t>otal</w:t>
            </w:r>
            <w:r w:rsidRPr="00275459">
              <w:rPr>
                <w:rFonts w:cs="Calibri"/>
                <w:b/>
                <w:color w:val="000000"/>
              </w:rPr>
              <w:t>,</w:t>
            </w:r>
            <w:r w:rsidRPr="00275459" w:rsidR="00ED5E23">
              <w:rPr>
                <w:rFonts w:cs="Calibri"/>
                <w:b/>
                <w:color w:val="000000"/>
              </w:rPr>
              <w:t xml:space="preserve"> per </w:t>
            </w:r>
            <w:r w:rsidR="000C3F36">
              <w:rPr>
                <w:rFonts w:cs="Calibri"/>
                <w:b/>
                <w:color w:val="000000"/>
              </w:rPr>
              <w:t>c</w:t>
            </w:r>
            <w:r w:rsidRPr="00275459" w:rsidR="00ED5E23">
              <w:rPr>
                <w:rFonts w:cs="Calibri"/>
                <w:b/>
                <w:color w:val="000000"/>
              </w:rPr>
              <w:t>ampaign</w:t>
            </w:r>
          </w:p>
        </w:tc>
        <w:tc>
          <w:tcPr>
            <w:tcW w:w="2880" w:type="dxa"/>
          </w:tcPr>
          <w:p w:rsidRPr="00275459" w:rsidR="00ED5E23" w:rsidP="00C84845" w:rsidRDefault="00ED5E23" w14:paraId="4CCCFA0E" w14:textId="0A31956C">
            <w:pPr>
              <w:autoSpaceDE w:val="0"/>
              <w:autoSpaceDN w:val="0"/>
              <w:adjustRightInd w:val="0"/>
              <w:rPr>
                <w:rFonts w:cs="Calibri"/>
                <w:b/>
                <w:color w:val="000000"/>
              </w:rPr>
            </w:pPr>
            <w:r w:rsidRPr="00275459">
              <w:rPr>
                <w:rFonts w:cs="Calibri"/>
                <w:b/>
                <w:color w:val="000000"/>
              </w:rPr>
              <w:t>$</w:t>
            </w:r>
            <w:r w:rsidR="006348F1">
              <w:rPr>
                <w:rFonts w:cs="Calibri"/>
                <w:b/>
                <w:color w:val="000000"/>
              </w:rPr>
              <w:t>269,000</w:t>
            </w:r>
          </w:p>
        </w:tc>
      </w:tr>
      <w:tr w:rsidRPr="00A212E5" w:rsidR="001215CD" w:rsidTr="007A0EE6" w14:paraId="053D8754" w14:textId="77777777">
        <w:tc>
          <w:tcPr>
            <w:tcW w:w="5040" w:type="dxa"/>
          </w:tcPr>
          <w:p w:rsidRPr="00275459" w:rsidR="001215CD" w:rsidP="007A0EE6" w:rsidRDefault="001215CD" w14:paraId="4FAD8287" w14:textId="763D5BE2">
            <w:pPr>
              <w:autoSpaceDE w:val="0"/>
              <w:autoSpaceDN w:val="0"/>
              <w:adjustRightInd w:val="0"/>
              <w:jc w:val="right"/>
              <w:rPr>
                <w:rFonts w:cs="Calibri"/>
                <w:b/>
                <w:color w:val="000000"/>
              </w:rPr>
            </w:pPr>
            <w:r w:rsidRPr="00275459">
              <w:rPr>
                <w:rFonts w:cs="Calibri"/>
                <w:b/>
                <w:color w:val="000000"/>
              </w:rPr>
              <w:t xml:space="preserve">Total, average of </w:t>
            </w:r>
            <w:r w:rsidR="006348F1">
              <w:rPr>
                <w:rFonts w:cs="Calibri"/>
                <w:b/>
                <w:color w:val="000000"/>
              </w:rPr>
              <w:t>3</w:t>
            </w:r>
            <w:r w:rsidRPr="00275459">
              <w:rPr>
                <w:rFonts w:cs="Calibri"/>
                <w:b/>
                <w:color w:val="000000"/>
              </w:rPr>
              <w:t xml:space="preserve"> </w:t>
            </w:r>
            <w:r w:rsidR="000C3F36">
              <w:rPr>
                <w:rFonts w:cs="Calibri"/>
                <w:b/>
                <w:color w:val="000000"/>
              </w:rPr>
              <w:t>c</w:t>
            </w:r>
            <w:r w:rsidRPr="00275459">
              <w:rPr>
                <w:rFonts w:cs="Calibri"/>
                <w:b/>
                <w:color w:val="000000"/>
              </w:rPr>
              <w:t>ampaigns per year</w:t>
            </w:r>
          </w:p>
        </w:tc>
        <w:tc>
          <w:tcPr>
            <w:tcW w:w="2880" w:type="dxa"/>
          </w:tcPr>
          <w:p w:rsidRPr="00275459" w:rsidR="001215CD" w:rsidP="00C84845" w:rsidRDefault="001215CD" w14:paraId="4E754DFB" w14:textId="3EA8107E">
            <w:pPr>
              <w:autoSpaceDE w:val="0"/>
              <w:autoSpaceDN w:val="0"/>
              <w:adjustRightInd w:val="0"/>
              <w:rPr>
                <w:rFonts w:cs="Calibri"/>
                <w:b/>
                <w:color w:val="000000"/>
              </w:rPr>
            </w:pPr>
            <w:r w:rsidRPr="00275459">
              <w:rPr>
                <w:rFonts w:cs="Calibri"/>
                <w:b/>
                <w:color w:val="000000"/>
              </w:rPr>
              <w:t>$</w:t>
            </w:r>
            <w:r w:rsidR="005B766A">
              <w:rPr>
                <w:rFonts w:cs="Calibri"/>
                <w:b/>
                <w:color w:val="000000"/>
              </w:rPr>
              <w:t>807,000</w:t>
            </w:r>
          </w:p>
        </w:tc>
      </w:tr>
    </w:tbl>
    <w:p w:rsidRPr="00901D5E" w:rsidR="00F84E9B" w:rsidP="00901D5E" w:rsidRDefault="00F84E9B" w14:paraId="78CA9394" w14:textId="77777777">
      <w:bookmarkStart w:name="_Toc68687814" w:id="28"/>
    </w:p>
    <w:p w:rsidRPr="007F247C" w:rsidR="00DD3FBF" w:rsidP="00604189" w:rsidRDefault="00DD3FBF" w14:paraId="0E8C8AC8" w14:textId="77777777">
      <w:pPr>
        <w:pStyle w:val="Heading2"/>
        <w:rPr>
          <w:iCs w:val="0"/>
        </w:rPr>
      </w:pPr>
      <w:bookmarkStart w:name="_Toc74723236" w:id="29"/>
      <w:r w:rsidRPr="00901D5E">
        <w:t>A15. Explanation for Program Changes or Adjustments</w:t>
      </w:r>
      <w:bookmarkEnd w:id="29"/>
    </w:p>
    <w:p w:rsidRPr="00275459" w:rsidR="00DD3FBF" w:rsidP="00DD3FBF" w:rsidRDefault="00DD3FBF" w14:paraId="40B4D16E" w14:textId="77777777">
      <w:pPr>
        <w:rPr>
          <w:rFonts w:cs="Calibri"/>
          <w:color w:val="000000"/>
        </w:rPr>
      </w:pPr>
    </w:p>
    <w:p w:rsidRPr="00901D5E" w:rsidR="00C079C8" w:rsidP="00901D5E" w:rsidRDefault="004F780A" w14:paraId="73D33A55" w14:textId="260F75E4">
      <w:r w:rsidRPr="00901D5E">
        <w:t xml:space="preserve">There are </w:t>
      </w:r>
      <w:r w:rsidR="005B766A">
        <w:t xml:space="preserve">three </w:t>
      </w:r>
      <w:r w:rsidR="00172AB9">
        <w:t>reinstatement</w:t>
      </w:r>
      <w:r w:rsidR="005B766A">
        <w:t xml:space="preserve">s </w:t>
      </w:r>
      <w:r w:rsidR="000841DF">
        <w:t>in this renewal</w:t>
      </w:r>
      <w:r w:rsidRPr="00901D5E" w:rsidR="005B766A">
        <w:t xml:space="preserve">. </w:t>
      </w:r>
      <w:r w:rsidR="000841DF">
        <w:t>First,</w:t>
      </w:r>
      <w:r w:rsidR="0059459C">
        <w:t xml:space="preserve"> </w:t>
      </w:r>
      <w:r w:rsidR="00326E7C">
        <w:t>another</w:t>
      </w:r>
      <w:r w:rsidR="00AB2EC1">
        <w:t xml:space="preserve"> </w:t>
      </w:r>
      <w:r w:rsidR="005619F6">
        <w:t xml:space="preserve">Congressionally-mandated </w:t>
      </w:r>
      <w:r w:rsidR="00AB2EC1">
        <w:t xml:space="preserve">communication campaign </w:t>
      </w:r>
      <w:r w:rsidR="00326E7C">
        <w:t>(</w:t>
      </w:r>
      <w:r w:rsidR="00862F07">
        <w:rPr>
          <w:i/>
          <w:iCs/>
        </w:rPr>
        <w:t>Bring Your Brave</w:t>
      </w:r>
      <w:r w:rsidR="00326E7C">
        <w:t>)</w:t>
      </w:r>
      <w:r w:rsidR="00CE0F2A">
        <w:t xml:space="preserve"> is included</w:t>
      </w:r>
      <w:r w:rsidR="00371699">
        <w:t xml:space="preserve">. </w:t>
      </w:r>
      <w:r w:rsidR="00A96849">
        <w:t xml:space="preserve">Second, </w:t>
      </w:r>
      <w:r w:rsidR="00E6329D">
        <w:t>t</w:t>
      </w:r>
      <w:r w:rsidRPr="00901D5E" w:rsidR="005B766A">
        <w:t xml:space="preserve">he modes </w:t>
      </w:r>
      <w:r w:rsidR="005B766A">
        <w:t xml:space="preserve">available to </w:t>
      </w:r>
      <w:r w:rsidRPr="00901D5E" w:rsidR="005B766A">
        <w:t xml:space="preserve">gather information to inform health communication campaigns </w:t>
      </w:r>
      <w:r w:rsidR="00E6329D">
        <w:t xml:space="preserve">have expanded to include </w:t>
      </w:r>
      <w:r w:rsidRPr="00901D5E" w:rsidR="005B766A">
        <w:t xml:space="preserve">(1) online </w:t>
      </w:r>
      <w:r w:rsidRPr="00901D5E" w:rsidR="005B766A">
        <w:lastRenderedPageBreak/>
        <w:t>focus groups and in-depth interviews conducted (2) in person, (3) by phone, or (4) online</w:t>
      </w:r>
      <w:r w:rsidR="005B766A">
        <w:t xml:space="preserve"> (using a videoconferencing platform)</w:t>
      </w:r>
      <w:r w:rsidRPr="00901D5E" w:rsidR="005B766A">
        <w:t xml:space="preserve">. </w:t>
      </w:r>
      <w:r w:rsidR="0064369B">
        <w:t xml:space="preserve">These modes were added </w:t>
      </w:r>
      <w:r w:rsidR="007407EB">
        <w:t>to allow for flexibility in recruiting and scheduling respondents</w:t>
      </w:r>
      <w:r w:rsidR="000C3F36">
        <w:t xml:space="preserve">. </w:t>
      </w:r>
      <w:r w:rsidR="006156F7">
        <w:t xml:space="preserve">Third, </w:t>
      </w:r>
      <w:r w:rsidR="007357C2">
        <w:t xml:space="preserve">this </w:t>
      </w:r>
      <w:r w:rsidR="00587CA1">
        <w:t xml:space="preserve">reinstatement </w:t>
      </w:r>
      <w:r w:rsidR="007357C2">
        <w:t xml:space="preserve">focuses on the general public </w:t>
      </w:r>
      <w:r w:rsidR="000C3F36">
        <w:t xml:space="preserve">to </w:t>
      </w:r>
      <w:r w:rsidR="005B766A">
        <w:t xml:space="preserve">align with the </w:t>
      </w:r>
      <w:r w:rsidR="000C3F36">
        <w:t>upcoming</w:t>
      </w:r>
      <w:r w:rsidR="005B766A">
        <w:t xml:space="preserve"> communications contracts</w:t>
      </w:r>
      <w:r w:rsidRPr="00901D5E" w:rsidR="00DD3FBF">
        <w:t>.</w:t>
      </w:r>
      <w:r w:rsidRPr="00901D5E" w:rsidR="005C4017">
        <w:t xml:space="preserve"> </w:t>
      </w:r>
    </w:p>
    <w:p w:rsidRPr="00901D5E" w:rsidR="007D180F" w:rsidP="00901D5E" w:rsidRDefault="007D180F" w14:paraId="0971B2C3" w14:textId="77777777"/>
    <w:p w:rsidRPr="00901D5E" w:rsidR="00DD3FBF" w:rsidP="00604189" w:rsidRDefault="00DD3FBF" w14:paraId="69E39B42" w14:textId="77777777">
      <w:pPr>
        <w:pStyle w:val="Heading2"/>
        <w:rPr>
          <w:i/>
        </w:rPr>
      </w:pPr>
      <w:bookmarkStart w:name="_Toc74723237" w:id="30"/>
      <w:r w:rsidRPr="00901D5E">
        <w:t>A16. Plans for Tabulation and Publication and Project Time Schedule</w:t>
      </w:r>
      <w:bookmarkEnd w:id="30"/>
    </w:p>
    <w:p w:rsidRPr="00275459" w:rsidR="00DD3FBF" w:rsidP="00DD3FBF" w:rsidRDefault="00DD3FBF" w14:paraId="5BC82A90" w14:textId="77777777">
      <w:pPr>
        <w:rPr>
          <w:rFonts w:cs="Calibri"/>
          <w:color w:val="000000"/>
        </w:rPr>
      </w:pPr>
    </w:p>
    <w:p w:rsidRPr="00901D5E" w:rsidR="00DD3FBF" w:rsidP="00901D5E" w:rsidRDefault="00477CC9" w14:paraId="2915AC42" w14:textId="57F22E35">
      <w:r>
        <w:t>Project timelines will vary and will be completed with each genIC including plans for recruitment, testing, analysis, or reporting of any novel findings, if needed.</w:t>
      </w:r>
    </w:p>
    <w:p w:rsidRPr="00275459" w:rsidR="00DD3FBF" w:rsidP="00DD3FBF" w:rsidRDefault="00DD3FBF" w14:paraId="34DD98B2" w14:textId="77777777">
      <w:pPr>
        <w:rPr>
          <w:rFonts w:cs="Calibri"/>
          <w:color w:val="000000"/>
        </w:rPr>
      </w:pPr>
    </w:p>
    <w:p w:rsidRPr="00275459" w:rsidR="00DD3FBF" w:rsidP="00DD3FBF" w:rsidRDefault="00477CC9" w14:paraId="3437C52C" w14:textId="06C77E1B">
      <w:pPr>
        <w:rPr>
          <w:rFonts w:cs="Calibri"/>
          <w:color w:val="000000"/>
        </w:rPr>
      </w:pPr>
      <w:r w:rsidRPr="00275459">
        <w:rPr>
          <w:rFonts w:cs="Calibri"/>
          <w:color w:val="000000"/>
        </w:rPr>
        <w:t>In general,</w:t>
      </w:r>
      <w:r w:rsidRPr="00275459" w:rsidR="00D04AC0">
        <w:rPr>
          <w:rFonts w:cs="Calibri"/>
          <w:color w:val="000000"/>
        </w:rPr>
        <w:t xml:space="preserve"> findings will inform </w:t>
      </w:r>
      <w:r w:rsidRPr="00275459" w:rsidR="00AF0DB8">
        <w:rPr>
          <w:rFonts w:cs="Calibri"/>
          <w:color w:val="000000"/>
        </w:rPr>
        <w:t>campaign planning efforts,</w:t>
      </w:r>
      <w:r w:rsidRPr="00275459" w:rsidR="00D04AC0">
        <w:rPr>
          <w:rFonts w:cs="Calibri"/>
          <w:color w:val="000000"/>
        </w:rPr>
        <w:t xml:space="preserve"> </w:t>
      </w:r>
      <w:r w:rsidRPr="00275459" w:rsidR="005B7F41">
        <w:rPr>
          <w:rFonts w:cs="Calibri"/>
          <w:color w:val="000000"/>
        </w:rPr>
        <w:t xml:space="preserve">provide guidance on efforts to </w:t>
      </w:r>
      <w:r w:rsidRPr="00275459" w:rsidR="00AF0DB8">
        <w:rPr>
          <w:rFonts w:cs="Calibri"/>
          <w:color w:val="000000"/>
        </w:rPr>
        <w:t>refresh</w:t>
      </w:r>
      <w:r w:rsidRPr="00275459" w:rsidR="00997793">
        <w:rPr>
          <w:rFonts w:cs="Calibri"/>
          <w:color w:val="000000"/>
        </w:rPr>
        <w:t xml:space="preserve"> existing materials</w:t>
      </w:r>
      <w:r w:rsidRPr="00275459" w:rsidR="00AF0DB8">
        <w:rPr>
          <w:rFonts w:cs="Calibri"/>
          <w:color w:val="000000"/>
        </w:rPr>
        <w:t>, and aid in the sound development of new communication products for</w:t>
      </w:r>
      <w:r w:rsidRPr="00275459" w:rsidR="00997793">
        <w:rPr>
          <w:rFonts w:cs="Calibri"/>
          <w:color w:val="000000"/>
        </w:rPr>
        <w:t xml:space="preserve"> </w:t>
      </w:r>
      <w:r w:rsidRPr="00275459" w:rsidR="00D04AC0">
        <w:rPr>
          <w:rFonts w:cs="Calibri"/>
          <w:color w:val="000000"/>
        </w:rPr>
        <w:t xml:space="preserve">specific cancer communication </w:t>
      </w:r>
      <w:r w:rsidRPr="00275459" w:rsidR="005434C2">
        <w:rPr>
          <w:rFonts w:cs="Calibri"/>
          <w:color w:val="000000"/>
        </w:rPr>
        <w:t xml:space="preserve">initiatives. </w:t>
      </w:r>
      <w:r w:rsidRPr="00275459">
        <w:rPr>
          <w:rFonts w:cs="Calibri"/>
          <w:color w:val="000000"/>
        </w:rPr>
        <w:t>When applicable</w:t>
      </w:r>
      <w:r w:rsidRPr="00275459" w:rsidR="005434C2">
        <w:rPr>
          <w:rFonts w:cs="Calibri"/>
          <w:color w:val="000000"/>
        </w:rPr>
        <w:t xml:space="preserve">, findings </w:t>
      </w:r>
      <w:r w:rsidRPr="00275459" w:rsidR="00DD3FBF">
        <w:rPr>
          <w:rFonts w:cs="Calibri"/>
          <w:color w:val="000000"/>
        </w:rPr>
        <w:t>will be disseminated through presentations</w:t>
      </w:r>
      <w:r w:rsidRPr="00275459" w:rsidR="005434C2">
        <w:rPr>
          <w:rFonts w:cs="Calibri"/>
          <w:color w:val="000000"/>
        </w:rPr>
        <w:t xml:space="preserve"> and/or posters</w:t>
      </w:r>
      <w:r w:rsidRPr="00275459" w:rsidR="00AF5787">
        <w:rPr>
          <w:rFonts w:cs="Calibri"/>
          <w:color w:val="000000"/>
        </w:rPr>
        <w:t xml:space="preserve"> at</w:t>
      </w:r>
      <w:r w:rsidRPr="00275459" w:rsidR="00DD3FBF">
        <w:rPr>
          <w:rFonts w:cs="Calibri"/>
          <w:color w:val="000000"/>
        </w:rPr>
        <w:t xml:space="preserve"> meetings and publications in peer-reviewed journals. All abstracts, poster presentations, and manuscripts will undergo CDC clearance review prior to submission to conferences or journals.  </w:t>
      </w:r>
    </w:p>
    <w:p w:rsidRPr="00275459" w:rsidR="00E727EF" w:rsidP="00DD3FBF" w:rsidRDefault="00E727EF" w14:paraId="5A940106" w14:textId="77777777">
      <w:pPr>
        <w:rPr>
          <w:rFonts w:cs="Calibri"/>
          <w:color w:val="000000"/>
        </w:rPr>
      </w:pPr>
    </w:p>
    <w:p w:rsidRPr="00901D5E" w:rsidR="00DD3FBF" w:rsidP="00604189" w:rsidRDefault="00DD3FBF" w14:paraId="1DF39E2B" w14:textId="77777777">
      <w:pPr>
        <w:pStyle w:val="Heading2"/>
        <w:rPr>
          <w:i/>
        </w:rPr>
      </w:pPr>
      <w:bookmarkStart w:name="_Toc74723238" w:id="31"/>
      <w:r w:rsidRPr="00901D5E">
        <w:t>A17. Reason(s) Display of OMB Expiration Date Is Inappropriate</w:t>
      </w:r>
      <w:bookmarkEnd w:id="31"/>
    </w:p>
    <w:p w:rsidRPr="00275459" w:rsidR="00DD3FBF" w:rsidP="00DD3FBF" w:rsidRDefault="00DD3FBF" w14:paraId="26079CEF" w14:textId="77777777">
      <w:pPr>
        <w:rPr>
          <w:rFonts w:cs="Calibri"/>
          <w:color w:val="000000"/>
        </w:rPr>
      </w:pPr>
    </w:p>
    <w:p w:rsidRPr="00901D5E" w:rsidR="00DD3FBF" w:rsidP="00901D5E" w:rsidRDefault="0089386C" w14:paraId="0D1C30FA" w14:textId="77777777">
      <w:r w:rsidRPr="00901D5E">
        <w:t>T</w:t>
      </w:r>
      <w:r w:rsidRPr="00901D5E" w:rsidR="00AF7877">
        <w:t>he OMB expiration date</w:t>
      </w:r>
      <w:r w:rsidRPr="00901D5E">
        <w:t xml:space="preserve"> will be displayed</w:t>
      </w:r>
      <w:r w:rsidRPr="00901D5E" w:rsidR="00E727EF">
        <w:t xml:space="preserve">. </w:t>
      </w:r>
    </w:p>
    <w:p w:rsidRPr="00275459" w:rsidR="00DD3FBF" w:rsidP="00DD3FBF" w:rsidRDefault="00DD3FBF" w14:paraId="0D8FAA7C" w14:textId="77777777">
      <w:pPr>
        <w:rPr>
          <w:rFonts w:cs="Calibri"/>
          <w:color w:val="000000"/>
        </w:rPr>
      </w:pPr>
    </w:p>
    <w:p w:rsidRPr="00901D5E" w:rsidR="00DD3FBF" w:rsidP="00604189" w:rsidRDefault="00DD3FBF" w14:paraId="269C26EE" w14:textId="77777777">
      <w:pPr>
        <w:pStyle w:val="Heading2"/>
        <w:rPr>
          <w:i/>
        </w:rPr>
      </w:pPr>
      <w:bookmarkStart w:name="_Toc74723239" w:id="32"/>
      <w:r w:rsidRPr="00901D5E">
        <w:t>A18. Exemptions to Certification for Paperwork Reduction Act Submissions</w:t>
      </w:r>
      <w:bookmarkEnd w:id="28"/>
      <w:bookmarkEnd w:id="32"/>
    </w:p>
    <w:p w:rsidRPr="00275459" w:rsidR="00DD3FBF" w:rsidP="00DD3FBF" w:rsidRDefault="00DD3FBF" w14:paraId="4F8E4AE2" w14:textId="77777777">
      <w:pPr>
        <w:rPr>
          <w:rFonts w:cs="Calibri"/>
          <w:color w:val="000000"/>
        </w:rPr>
      </w:pPr>
    </w:p>
    <w:p w:rsidRPr="00901D5E" w:rsidR="003F6730" w:rsidP="00901D5E" w:rsidRDefault="00DD3FBF" w14:paraId="20DB9273" w14:textId="2A6F0E98">
      <w:r w:rsidRPr="00901D5E">
        <w:t>No certification exemption is being sought.</w:t>
      </w:r>
    </w:p>
    <w:p w:rsidRPr="00901D5E" w:rsidR="003F6730" w:rsidP="00901D5E" w:rsidRDefault="003F6730" w14:paraId="228E1128" w14:textId="77777777"/>
    <w:p w:rsidRPr="00901D5E" w:rsidR="007B4F13" w:rsidP="001166B3" w:rsidRDefault="00450F34" w14:paraId="3F34FB08" w14:textId="2A280A4A">
      <w:pPr>
        <w:pStyle w:val="Heading1"/>
      </w:pPr>
      <w:r w:rsidRPr="00901D5E">
        <w:br w:type="page"/>
      </w:r>
      <w:bookmarkStart w:name="_Toc74723240" w:id="33"/>
      <w:r w:rsidRPr="00901D5E" w:rsidR="007B4F13">
        <w:lastRenderedPageBreak/>
        <w:t>References</w:t>
      </w:r>
      <w:bookmarkEnd w:id="33"/>
    </w:p>
    <w:p w:rsidRPr="00901D5E" w:rsidR="007B4F13" w:rsidP="00901D5E" w:rsidRDefault="007B4F13" w14:paraId="6E8F3107" w14:textId="77777777"/>
    <w:p w:rsidRPr="00901D5E" w:rsidR="005B0533" w:rsidP="00901D5E" w:rsidRDefault="005B0533" w14:paraId="0658D28E" w14:textId="77777777">
      <w:r w:rsidRPr="00901D5E">
        <w:t xml:space="preserve">Berlin, M., Mohadjer, L., Waksberg, J., Kolstad, A., Kirsch, I., Rock, D., &amp; Yamamoto, K. (1992). An Experiment in Monetary Incentives. In the American Statistical Association (ed.), </w:t>
      </w:r>
      <w:r w:rsidRPr="00901D5E">
        <w:rPr>
          <w:i/>
        </w:rPr>
        <w:t>Proceedings of the American Statistical Association Section on Survey Research Methods</w:t>
      </w:r>
      <w:r w:rsidRPr="00901D5E">
        <w:t xml:space="preserve"> (pp. 393-398). Alexandria, VA: American Statistical Association. </w:t>
      </w:r>
    </w:p>
    <w:p w:rsidRPr="00901D5E" w:rsidR="00FF766B" w:rsidP="00901D5E" w:rsidRDefault="00FF766B" w14:paraId="5C9F8F2E" w14:textId="77777777"/>
    <w:p w:rsidRPr="00275459" w:rsidR="00F573E8" w:rsidP="00650D8C" w:rsidRDefault="00DC529D" w14:paraId="161FE29D" w14:textId="77777777">
      <w:pPr>
        <w:rPr>
          <w:rStyle w:val="featuredlinkouts"/>
          <w:rFonts w:cs="Calibri"/>
          <w:color w:val="000000"/>
        </w:rPr>
      </w:pPr>
      <w:hyperlink w:history="1" r:id="rId17">
        <w:r w:rsidRPr="00275459" w:rsidR="00650D8C">
          <w:rPr>
            <w:rStyle w:val="Hyperlink"/>
            <w:rFonts w:cs="Calibri"/>
            <w:bCs/>
            <w:color w:val="000000"/>
            <w:u w:val="none"/>
            <w:lang w:val="es-ES"/>
          </w:rPr>
          <w:t>Cooper, C. P</w:t>
        </w:r>
      </w:hyperlink>
      <w:r w:rsidRPr="00275459" w:rsidR="00650D8C">
        <w:rPr>
          <w:rFonts w:cs="Calibri"/>
          <w:color w:val="000000"/>
          <w:lang w:val="es-ES"/>
        </w:rPr>
        <w:t xml:space="preserve">., </w:t>
      </w:r>
      <w:hyperlink w:history="1" r:id="rId18">
        <w:r w:rsidRPr="00275459" w:rsidR="00650D8C">
          <w:rPr>
            <w:rStyle w:val="Hyperlink"/>
            <w:rFonts w:cs="Calibri"/>
            <w:bCs/>
            <w:color w:val="000000"/>
            <w:u w:val="none"/>
            <w:lang w:val="es-ES"/>
          </w:rPr>
          <w:t>Gelb, C. A</w:t>
        </w:r>
      </w:hyperlink>
      <w:r w:rsidRPr="00275459" w:rsidR="00650D8C">
        <w:rPr>
          <w:rFonts w:cs="Calibri"/>
          <w:color w:val="000000"/>
        </w:rPr>
        <w:t>.</w:t>
      </w:r>
      <w:r w:rsidRPr="00275459" w:rsidR="00650D8C">
        <w:rPr>
          <w:rFonts w:cs="Calibri"/>
          <w:color w:val="000000"/>
          <w:lang w:val="es-ES"/>
        </w:rPr>
        <w:t xml:space="preserve">, </w:t>
      </w:r>
      <w:hyperlink w:history="1" r:id="rId19">
        <w:r w:rsidRPr="00275459" w:rsidR="00650D8C">
          <w:rPr>
            <w:rStyle w:val="Hyperlink"/>
            <w:rFonts w:cs="Calibri"/>
            <w:bCs/>
            <w:color w:val="000000"/>
            <w:u w:val="none"/>
            <w:lang w:val="es-ES"/>
          </w:rPr>
          <w:t>Jameson, H</w:t>
        </w:r>
      </w:hyperlink>
      <w:r w:rsidRPr="00275459" w:rsidR="00650D8C">
        <w:rPr>
          <w:rFonts w:cs="Calibri"/>
          <w:color w:val="000000"/>
        </w:rPr>
        <w:t>.</w:t>
      </w:r>
      <w:r w:rsidRPr="00275459" w:rsidR="00650D8C">
        <w:rPr>
          <w:rFonts w:cs="Calibri"/>
          <w:color w:val="000000"/>
          <w:lang w:val="es-ES"/>
        </w:rPr>
        <w:t xml:space="preserve">, </w:t>
      </w:r>
      <w:hyperlink w:history="1" r:id="rId20">
        <w:r w:rsidRPr="00275459" w:rsidR="00650D8C">
          <w:rPr>
            <w:rStyle w:val="Hyperlink"/>
            <w:rFonts w:cs="Calibri"/>
            <w:bCs/>
            <w:color w:val="000000"/>
            <w:u w:val="none"/>
            <w:lang w:val="es-ES"/>
          </w:rPr>
          <w:t>Macario, E</w:t>
        </w:r>
      </w:hyperlink>
      <w:r w:rsidRPr="00275459" w:rsidR="00650D8C">
        <w:rPr>
          <w:rFonts w:cs="Calibri"/>
          <w:color w:val="000000"/>
        </w:rPr>
        <w:t>.</w:t>
      </w:r>
      <w:r w:rsidRPr="00275459" w:rsidR="00650D8C">
        <w:rPr>
          <w:rFonts w:cs="Calibri"/>
          <w:color w:val="000000"/>
          <w:lang w:val="es-ES"/>
        </w:rPr>
        <w:t xml:space="preserve">, </w:t>
      </w:r>
      <w:hyperlink w:history="1" r:id="rId21">
        <w:r w:rsidRPr="00275459" w:rsidR="00650D8C">
          <w:rPr>
            <w:rStyle w:val="Hyperlink"/>
            <w:rFonts w:cs="Calibri"/>
            <w:bCs/>
            <w:color w:val="000000"/>
            <w:u w:val="none"/>
            <w:lang w:val="es-ES"/>
          </w:rPr>
          <w:t>Jorgensen, C. M</w:t>
        </w:r>
      </w:hyperlink>
      <w:r w:rsidRPr="00275459" w:rsidR="00650D8C">
        <w:rPr>
          <w:rFonts w:cs="Calibri"/>
          <w:color w:val="000000"/>
        </w:rPr>
        <w:t>.</w:t>
      </w:r>
      <w:r w:rsidRPr="00275459" w:rsidR="00650D8C">
        <w:rPr>
          <w:rFonts w:cs="Calibri"/>
          <w:color w:val="000000"/>
          <w:lang w:val="es-ES"/>
        </w:rPr>
        <w:t xml:space="preserve">, &amp; </w:t>
      </w:r>
      <w:hyperlink w:history="1" r:id="rId22">
        <w:r w:rsidRPr="00275459" w:rsidR="00650D8C">
          <w:rPr>
            <w:rStyle w:val="Hyperlink"/>
            <w:rFonts w:cs="Calibri"/>
            <w:bCs/>
            <w:color w:val="000000"/>
            <w:u w:val="none"/>
            <w:lang w:val="es-ES"/>
          </w:rPr>
          <w:t>Seeff, L</w:t>
        </w:r>
      </w:hyperlink>
      <w:r w:rsidRPr="00275459" w:rsidR="00650D8C">
        <w:rPr>
          <w:rFonts w:cs="Calibri"/>
          <w:color w:val="000000"/>
          <w:lang w:val="es-ES"/>
        </w:rPr>
        <w:t xml:space="preserve">. </w:t>
      </w:r>
      <w:r w:rsidRPr="00275459" w:rsidR="00650D8C">
        <w:rPr>
          <w:rFonts w:cs="Calibri"/>
          <w:color w:val="000000"/>
        </w:rPr>
        <w:t>(2005). Developing English and Spanish television public service announcements to promote colorectal cancer screening</w:t>
      </w:r>
      <w:r w:rsidRPr="00275459" w:rsidR="00650D8C">
        <w:rPr>
          <w:rStyle w:val="ti"/>
          <w:rFonts w:cs="Calibri"/>
          <w:color w:val="000000"/>
        </w:rPr>
        <w:t xml:space="preserve">. </w:t>
      </w:r>
      <w:r w:rsidRPr="00275459" w:rsidR="00650D8C">
        <w:rPr>
          <w:rStyle w:val="ti"/>
          <w:rFonts w:cs="Calibri"/>
          <w:i/>
          <w:color w:val="000000"/>
        </w:rPr>
        <w:t>Health Promotion Practice</w:t>
      </w:r>
      <w:r w:rsidRPr="00275459" w:rsidR="00650D8C">
        <w:rPr>
          <w:rStyle w:val="ti"/>
          <w:rFonts w:cs="Calibri"/>
          <w:color w:val="000000"/>
        </w:rPr>
        <w:t xml:space="preserve">, </w:t>
      </w:r>
      <w:r w:rsidRPr="00275459" w:rsidR="00650D8C">
        <w:rPr>
          <w:rStyle w:val="ti"/>
          <w:rFonts w:cs="Calibri"/>
          <w:i/>
          <w:color w:val="000000"/>
        </w:rPr>
        <w:t>6</w:t>
      </w:r>
      <w:r w:rsidRPr="00275459" w:rsidR="00650D8C">
        <w:rPr>
          <w:rStyle w:val="ti"/>
          <w:rFonts w:cs="Calibri"/>
          <w:color w:val="000000"/>
        </w:rPr>
        <w:t>(4), 385-393.</w:t>
      </w:r>
      <w:r w:rsidRPr="00275459" w:rsidR="00650D8C">
        <w:rPr>
          <w:rStyle w:val="featuredlinkouts"/>
          <w:rFonts w:cs="Calibri"/>
          <w:color w:val="000000"/>
        </w:rPr>
        <w:t xml:space="preserve"> </w:t>
      </w:r>
    </w:p>
    <w:p w:rsidRPr="00901D5E" w:rsidR="00874E6F" w:rsidP="00901D5E" w:rsidRDefault="00874E6F" w14:paraId="1F060FDC" w14:textId="77777777"/>
    <w:p w:rsidRPr="00901D5E" w:rsidR="003F6730" w:rsidP="00901D5E" w:rsidRDefault="003F6730" w14:paraId="469B2AC3" w14:textId="77777777">
      <w:r w:rsidRPr="00901D5E">
        <w:t xml:space="preserve">Harris-Kojetin, D., McCormack, L.A., Jael, L.A., Sangl, E.F., &amp; Garfinkel, S. A. (2001). Creating more effective health plan quality reports for consumers: Lessons from a synthesis of quality testing. </w:t>
      </w:r>
      <w:r w:rsidRPr="00901D5E">
        <w:rPr>
          <w:i/>
        </w:rPr>
        <w:t>Health Services Research, 36(3),</w:t>
      </w:r>
      <w:r w:rsidRPr="00901D5E">
        <w:t xml:space="preserve"> 447-476.</w:t>
      </w:r>
    </w:p>
    <w:p w:rsidRPr="00901D5E" w:rsidR="001A6FA8" w:rsidP="00901D5E" w:rsidRDefault="001A6FA8" w14:paraId="49C44B63" w14:textId="77777777"/>
    <w:p w:rsidRPr="00275459" w:rsidR="001A6FA8" w:rsidP="001A6FA8" w:rsidRDefault="001A6FA8" w14:paraId="0109B9B2" w14:textId="77777777">
      <w:pPr>
        <w:rPr>
          <w:rFonts w:cs="Calibri"/>
          <w:color w:val="000000"/>
        </w:rPr>
      </w:pPr>
      <w:r w:rsidRPr="00275459">
        <w:rPr>
          <w:rFonts w:cs="Calibri"/>
          <w:color w:val="000000"/>
        </w:rPr>
        <w:t xml:space="preserve">Krueger, R.A. (1994).  </w:t>
      </w:r>
      <w:r w:rsidRPr="00275459" w:rsidR="00101199">
        <w:rPr>
          <w:rFonts w:cs="Calibri"/>
          <w:i/>
          <w:color w:val="000000"/>
        </w:rPr>
        <w:t>Focus Groups: A P</w:t>
      </w:r>
      <w:r w:rsidRPr="00275459">
        <w:rPr>
          <w:rFonts w:cs="Calibri"/>
          <w:i/>
          <w:color w:val="000000"/>
        </w:rPr>
        <w:t>ractic</w:t>
      </w:r>
      <w:r w:rsidRPr="00275459" w:rsidR="00101199">
        <w:rPr>
          <w:rFonts w:cs="Calibri"/>
          <w:i/>
          <w:color w:val="000000"/>
        </w:rPr>
        <w:t>al G</w:t>
      </w:r>
      <w:r w:rsidRPr="00275459" w:rsidR="007F52B6">
        <w:rPr>
          <w:rFonts w:cs="Calibri"/>
          <w:i/>
          <w:color w:val="000000"/>
        </w:rPr>
        <w:t xml:space="preserve">uide for Applied Research. </w:t>
      </w:r>
      <w:r w:rsidRPr="00275459">
        <w:rPr>
          <w:rFonts w:cs="Calibri"/>
          <w:i/>
          <w:color w:val="000000"/>
        </w:rPr>
        <w:t>2</w:t>
      </w:r>
      <w:r w:rsidRPr="00275459">
        <w:rPr>
          <w:rFonts w:cs="Calibri"/>
          <w:i/>
          <w:color w:val="000000"/>
          <w:vertAlign w:val="superscript"/>
        </w:rPr>
        <w:t>nd</w:t>
      </w:r>
      <w:r w:rsidRPr="00275459" w:rsidR="007F52B6">
        <w:rPr>
          <w:rFonts w:cs="Calibri"/>
          <w:i/>
          <w:color w:val="000000"/>
        </w:rPr>
        <w:t xml:space="preserve"> ed</w:t>
      </w:r>
      <w:r w:rsidRPr="00275459">
        <w:rPr>
          <w:rFonts w:cs="Calibri"/>
          <w:i/>
          <w:color w:val="000000"/>
        </w:rPr>
        <w:t xml:space="preserve">. </w:t>
      </w:r>
      <w:r w:rsidRPr="00275459">
        <w:rPr>
          <w:rFonts w:cs="Calibri"/>
          <w:color w:val="000000"/>
        </w:rPr>
        <w:t>Thousand Oaks, CA: Sage Publications.</w:t>
      </w:r>
    </w:p>
    <w:p w:rsidRPr="00275459" w:rsidR="005D21B5" w:rsidP="005D21B5" w:rsidRDefault="005D21B5" w14:paraId="6D259A15" w14:textId="77777777">
      <w:pPr>
        <w:rPr>
          <w:rFonts w:cs="Calibri"/>
          <w:color w:val="000000"/>
        </w:rPr>
      </w:pPr>
    </w:p>
    <w:p w:rsidRPr="00275459" w:rsidR="005D21B5" w:rsidP="005D21B5" w:rsidRDefault="005D21B5" w14:paraId="56950F37" w14:textId="77777777">
      <w:pPr>
        <w:rPr>
          <w:rFonts w:cs="Calibri"/>
          <w:snapToGrid w:val="0"/>
          <w:color w:val="000000"/>
        </w:rPr>
      </w:pPr>
      <w:r w:rsidRPr="00275459">
        <w:rPr>
          <w:rFonts w:cs="Calibri"/>
          <w:color w:val="000000"/>
        </w:rPr>
        <w:t>Krueger R</w:t>
      </w:r>
      <w:r w:rsidRPr="00275459" w:rsidR="0055417E">
        <w:rPr>
          <w:rFonts w:cs="Calibri"/>
          <w:color w:val="000000"/>
        </w:rPr>
        <w:t>.</w:t>
      </w:r>
      <w:r w:rsidRPr="00275459">
        <w:rPr>
          <w:rFonts w:cs="Calibri"/>
          <w:color w:val="000000"/>
        </w:rPr>
        <w:t>A</w:t>
      </w:r>
      <w:r w:rsidRPr="00275459" w:rsidR="0055417E">
        <w:rPr>
          <w:rFonts w:cs="Calibri"/>
          <w:color w:val="000000"/>
        </w:rPr>
        <w:t>.</w:t>
      </w:r>
      <w:r w:rsidRPr="00275459">
        <w:rPr>
          <w:rFonts w:cs="Calibri"/>
          <w:color w:val="000000"/>
        </w:rPr>
        <w:t>, Casey M</w:t>
      </w:r>
      <w:r w:rsidRPr="00275459" w:rsidR="0055417E">
        <w:rPr>
          <w:rFonts w:cs="Calibri"/>
          <w:color w:val="000000"/>
        </w:rPr>
        <w:t>.</w:t>
      </w:r>
      <w:r w:rsidRPr="00275459">
        <w:rPr>
          <w:rFonts w:cs="Calibri"/>
          <w:color w:val="000000"/>
        </w:rPr>
        <w:t>A.</w:t>
      </w:r>
      <w:r w:rsidRPr="00275459" w:rsidR="007F52B6">
        <w:rPr>
          <w:rFonts w:cs="Calibri"/>
          <w:color w:val="000000"/>
        </w:rPr>
        <w:t xml:space="preserve"> (</w:t>
      </w:r>
      <w:r w:rsidRPr="00275459" w:rsidR="003F2648">
        <w:rPr>
          <w:rFonts w:cs="Calibri"/>
          <w:color w:val="000000"/>
        </w:rPr>
        <w:t>2009</w:t>
      </w:r>
      <w:r w:rsidRPr="00275459" w:rsidR="007F52B6">
        <w:rPr>
          <w:rFonts w:cs="Calibri"/>
          <w:color w:val="000000"/>
        </w:rPr>
        <w:t>).</w:t>
      </w:r>
      <w:r w:rsidRPr="00275459">
        <w:rPr>
          <w:rFonts w:cs="Calibri"/>
          <w:color w:val="000000"/>
        </w:rPr>
        <w:t xml:space="preserve"> </w:t>
      </w:r>
      <w:r w:rsidRPr="00275459">
        <w:rPr>
          <w:rFonts w:cs="Calibri"/>
          <w:i/>
          <w:color w:val="000000"/>
        </w:rPr>
        <w:t xml:space="preserve">Focus Groups: A Practical Guide for Applied Research. </w:t>
      </w:r>
      <w:r w:rsidRPr="00275459" w:rsidR="003F2648">
        <w:rPr>
          <w:rFonts w:cs="Calibri"/>
          <w:i/>
          <w:color w:val="000000"/>
        </w:rPr>
        <w:t xml:space="preserve">4th </w:t>
      </w:r>
      <w:r w:rsidRPr="00275459" w:rsidR="007F52B6">
        <w:rPr>
          <w:rFonts w:cs="Calibri"/>
          <w:i/>
          <w:color w:val="000000"/>
        </w:rPr>
        <w:t xml:space="preserve">ed. </w:t>
      </w:r>
      <w:r w:rsidRPr="00275459" w:rsidR="007F52B6">
        <w:rPr>
          <w:rFonts w:cs="Calibri"/>
          <w:color w:val="000000"/>
        </w:rPr>
        <w:t>Thousand Oaks, CA: Sage Publications</w:t>
      </w:r>
      <w:r w:rsidRPr="00275459">
        <w:rPr>
          <w:rFonts w:cs="Calibri"/>
          <w:snapToGrid w:val="0"/>
          <w:color w:val="000000"/>
        </w:rPr>
        <w:t>.</w:t>
      </w:r>
    </w:p>
    <w:p w:rsidRPr="00901D5E" w:rsidR="00650D8C" w:rsidP="00901D5E" w:rsidRDefault="00650D8C" w14:paraId="7D57C69A" w14:textId="77777777"/>
    <w:p w:rsidRPr="00901D5E" w:rsidR="00874E6F" w:rsidP="00901D5E" w:rsidRDefault="00294D93" w14:paraId="2B6AF663" w14:textId="77777777">
      <w:r w:rsidRPr="00901D5E">
        <w:t xml:space="preserve">National Cancer Institute. (2002). </w:t>
      </w:r>
      <w:r w:rsidRPr="00901D5E" w:rsidR="00101199">
        <w:rPr>
          <w:i/>
        </w:rPr>
        <w:t>Making Health Communication Programs W</w:t>
      </w:r>
      <w:r w:rsidRPr="00901D5E">
        <w:rPr>
          <w:i/>
        </w:rPr>
        <w:t>ork</w:t>
      </w:r>
      <w:r w:rsidRPr="00901D5E">
        <w:t xml:space="preserve"> (NIH Publication No. 02-5145). Bethesda, MD: Department of Health and Human Services. </w:t>
      </w:r>
    </w:p>
    <w:p w:rsidRPr="00275459" w:rsidR="00F3694E" w:rsidP="003300B0" w:rsidRDefault="00F3694E" w14:paraId="55D5CB98" w14:textId="77777777">
      <w:pPr>
        <w:rPr>
          <w:rFonts w:cs="Calibri"/>
          <w:color w:val="000000"/>
        </w:rPr>
      </w:pPr>
    </w:p>
    <w:p w:rsidRPr="00275459" w:rsidR="0057770D" w:rsidP="003300B0" w:rsidRDefault="003F6730" w14:paraId="05F067C7" w14:textId="77777777">
      <w:pPr>
        <w:rPr>
          <w:rFonts w:cs="Calibri"/>
          <w:color w:val="000000"/>
        </w:rPr>
      </w:pPr>
      <w:r w:rsidRPr="00275459">
        <w:rPr>
          <w:rFonts w:cs="Calibri"/>
          <w:color w:val="000000"/>
        </w:rPr>
        <w:t xml:space="preserve">Wallendorf, M. (2001). Literally literacy. </w:t>
      </w:r>
      <w:r w:rsidRPr="00275459">
        <w:rPr>
          <w:rFonts w:cs="Calibri"/>
          <w:i/>
          <w:color w:val="000000"/>
        </w:rPr>
        <w:t>The Journal of Consumer Research, 27(4),</w:t>
      </w:r>
      <w:r w:rsidRPr="00275459">
        <w:rPr>
          <w:rFonts w:cs="Calibri"/>
          <w:color w:val="000000"/>
        </w:rPr>
        <w:t xml:space="preserve"> 505-511.</w:t>
      </w:r>
    </w:p>
    <w:p w:rsidRPr="00275459" w:rsidR="00FF766B" w:rsidP="003656C2" w:rsidRDefault="00FF766B" w14:paraId="0573EB85" w14:textId="77777777">
      <w:pPr>
        <w:rPr>
          <w:rFonts w:cs="Calibri"/>
          <w:color w:val="000000"/>
        </w:rPr>
      </w:pPr>
    </w:p>
    <w:sectPr w:rsidRPr="00275459" w:rsidR="00FF766B" w:rsidSect="00E86723">
      <w:headerReference w:type="even" r:id="rId23"/>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CEAFC" w14:textId="77777777" w:rsidR="009D63EE" w:rsidRDefault="009D63EE">
      <w:r>
        <w:separator/>
      </w:r>
    </w:p>
  </w:endnote>
  <w:endnote w:type="continuationSeparator" w:id="0">
    <w:p w14:paraId="39D232FA" w14:textId="77777777" w:rsidR="009D63EE" w:rsidRDefault="009D63EE">
      <w:r>
        <w:continuationSeparator/>
      </w:r>
    </w:p>
  </w:endnote>
  <w:endnote w:type="continuationNotice" w:id="1">
    <w:p w14:paraId="53DF3DFE" w14:textId="77777777" w:rsidR="009D63EE" w:rsidRDefault="009D6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Bskvll BT">
    <w:altName w:val="Times New Roman"/>
    <w:charset w:val="00"/>
    <w:family w:val="roman"/>
    <w:pitch w:val="variable"/>
    <w:sig w:usb0="00000007" w:usb1="00000000" w:usb2="00000000" w:usb3="00000000" w:csb0="0000001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D1FE" w14:textId="77777777" w:rsidR="00330102" w:rsidRDefault="003301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78FE" w14:textId="77777777" w:rsidR="00330102" w:rsidRDefault="003301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D2826" w14:textId="77777777" w:rsidR="00330102" w:rsidRDefault="003301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FC87" w14:textId="77777777" w:rsidR="00330102" w:rsidRPr="00275459" w:rsidRDefault="00330102" w:rsidP="00DD3FBF">
    <w:pPr>
      <w:pStyle w:val="Footer"/>
      <w:tabs>
        <w:tab w:val="clear" w:pos="4320"/>
        <w:tab w:val="clear" w:pos="8640"/>
        <w:tab w:val="right" w:pos="9360"/>
      </w:tabs>
      <w:rPr>
        <w:rFonts w:cs="Calibri"/>
        <w:szCs w:val="18"/>
      </w:rPr>
    </w:pPr>
    <w:r w:rsidRPr="007F014A">
      <w:rPr>
        <w:sz w:val="18"/>
        <w:szCs w:val="18"/>
      </w:rPr>
      <w:tab/>
    </w:r>
    <w:r w:rsidRPr="00275459">
      <w:rPr>
        <w:rFonts w:cs="Calibri"/>
        <w:szCs w:val="18"/>
      </w:rPr>
      <w:t xml:space="preserve">Page </w:t>
    </w:r>
    <w:r w:rsidRPr="00275459">
      <w:rPr>
        <w:rStyle w:val="PageNumber"/>
        <w:rFonts w:cs="Calibri"/>
        <w:szCs w:val="18"/>
      </w:rPr>
      <w:fldChar w:fldCharType="begin"/>
    </w:r>
    <w:r w:rsidRPr="00275459">
      <w:rPr>
        <w:rStyle w:val="PageNumber"/>
        <w:rFonts w:cs="Calibri"/>
        <w:szCs w:val="18"/>
      </w:rPr>
      <w:instrText xml:space="preserve"> PAGE </w:instrText>
    </w:r>
    <w:r w:rsidRPr="00275459">
      <w:rPr>
        <w:rStyle w:val="PageNumber"/>
        <w:rFonts w:cs="Calibri"/>
        <w:szCs w:val="18"/>
      </w:rPr>
      <w:fldChar w:fldCharType="separate"/>
    </w:r>
    <w:r w:rsidRPr="00275459">
      <w:rPr>
        <w:rStyle w:val="PageNumber"/>
        <w:rFonts w:cs="Calibri"/>
        <w:noProof/>
        <w:szCs w:val="18"/>
      </w:rPr>
      <w:t>16</w:t>
    </w:r>
    <w:r w:rsidRPr="00275459">
      <w:rPr>
        <w:rStyle w:val="PageNumber"/>
        <w:rFonts w:cs="Calibri"/>
        <w:szCs w:val="18"/>
      </w:rPr>
      <w:fldChar w:fldCharType="end"/>
    </w:r>
  </w:p>
  <w:p w14:paraId="6D7CA214" w14:textId="77777777" w:rsidR="00330102" w:rsidRPr="005D307D" w:rsidRDefault="00330102" w:rsidP="00DD3FB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3473C" w14:textId="77777777" w:rsidR="009D63EE" w:rsidRDefault="009D63EE">
      <w:r>
        <w:separator/>
      </w:r>
    </w:p>
  </w:footnote>
  <w:footnote w:type="continuationSeparator" w:id="0">
    <w:p w14:paraId="6DAFAB0C" w14:textId="77777777" w:rsidR="009D63EE" w:rsidRDefault="009D63EE">
      <w:r>
        <w:continuationSeparator/>
      </w:r>
    </w:p>
  </w:footnote>
  <w:footnote w:type="continuationNotice" w:id="1">
    <w:p w14:paraId="0411266E" w14:textId="77777777" w:rsidR="009D63EE" w:rsidRDefault="009D63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B7D2B" w14:textId="77777777" w:rsidR="00330102" w:rsidRDefault="00330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0795" w14:textId="77777777" w:rsidR="00330102" w:rsidRDefault="00330102" w:rsidP="00D75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1E7C" w14:textId="77777777" w:rsidR="00330102" w:rsidRDefault="00330102" w:rsidP="00D751F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B772" w14:textId="77777777" w:rsidR="00330102" w:rsidRDefault="003301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4953" w14:textId="77777777" w:rsidR="00330102" w:rsidRDefault="003301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56B9" w14:textId="77777777" w:rsidR="00330102" w:rsidRDefault="003301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BA1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DE41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D4A8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9A38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72E3E2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862C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40E1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847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A8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4C91C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B67D6"/>
    <w:multiLevelType w:val="hybridMultilevel"/>
    <w:tmpl w:val="100861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29A0672"/>
    <w:multiLevelType w:val="hybridMultilevel"/>
    <w:tmpl w:val="F4C27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031B88"/>
    <w:multiLevelType w:val="hybridMultilevel"/>
    <w:tmpl w:val="3CDAD3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4A16C5"/>
    <w:multiLevelType w:val="hybridMultilevel"/>
    <w:tmpl w:val="6054008E"/>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FD3B70"/>
    <w:multiLevelType w:val="hybridMultilevel"/>
    <w:tmpl w:val="0B44A2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C7515CC"/>
    <w:multiLevelType w:val="hybridMultilevel"/>
    <w:tmpl w:val="49C43E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E2F467B"/>
    <w:multiLevelType w:val="hybridMultilevel"/>
    <w:tmpl w:val="8D42A5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9341D51"/>
    <w:multiLevelType w:val="hybridMultilevel"/>
    <w:tmpl w:val="BC6E7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A46931"/>
    <w:multiLevelType w:val="hybridMultilevel"/>
    <w:tmpl w:val="96E694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2C52A8"/>
    <w:multiLevelType w:val="hybridMultilevel"/>
    <w:tmpl w:val="5DD40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5C1653"/>
    <w:multiLevelType w:val="hybridMultilevel"/>
    <w:tmpl w:val="39EC7278"/>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1B17ED"/>
    <w:multiLevelType w:val="hybridMultilevel"/>
    <w:tmpl w:val="19CE4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D4958"/>
    <w:multiLevelType w:val="hybridMultilevel"/>
    <w:tmpl w:val="02363CFA"/>
    <w:lvl w:ilvl="0" w:tplc="C4A80AD0">
      <w:start w:val="1"/>
      <w:numFmt w:val="bullet"/>
      <w:lvlText w:val="o"/>
      <w:lvlJc w:val="left"/>
      <w:pPr>
        <w:tabs>
          <w:tab w:val="num" w:pos="1440"/>
        </w:tabs>
        <w:ind w:left="1440" w:hanging="360"/>
      </w:pPr>
      <w:rPr>
        <w:rFonts w:ascii="Courier New" w:hAnsi="Courier New" w:cs="Courier New"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714230"/>
    <w:multiLevelType w:val="hybridMultilevel"/>
    <w:tmpl w:val="F51E05A2"/>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EF65D8"/>
    <w:multiLevelType w:val="hybridMultilevel"/>
    <w:tmpl w:val="5B869F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8D049A"/>
    <w:multiLevelType w:val="hybridMultilevel"/>
    <w:tmpl w:val="A40C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980A02"/>
    <w:multiLevelType w:val="hybridMultilevel"/>
    <w:tmpl w:val="61E28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3DE6C78"/>
    <w:multiLevelType w:val="hybridMultilevel"/>
    <w:tmpl w:val="FB047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1B57C6"/>
    <w:multiLevelType w:val="hybridMultilevel"/>
    <w:tmpl w:val="2C4A7E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B87ABC"/>
    <w:multiLevelType w:val="hybridMultilevel"/>
    <w:tmpl w:val="BBF8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A962B7"/>
    <w:multiLevelType w:val="hybridMultilevel"/>
    <w:tmpl w:val="06985C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A5E0C08"/>
    <w:multiLevelType w:val="hybridMultilevel"/>
    <w:tmpl w:val="651E8E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E151DF0"/>
    <w:multiLevelType w:val="multilevel"/>
    <w:tmpl w:val="9474B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2001B"/>
    <w:multiLevelType w:val="hybridMultilevel"/>
    <w:tmpl w:val="64BE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221199D"/>
    <w:multiLevelType w:val="hybridMultilevel"/>
    <w:tmpl w:val="B27A81EC"/>
    <w:lvl w:ilvl="0" w:tplc="D158D81A">
      <w:start w:val="1"/>
      <w:numFmt w:val="bullet"/>
      <w:lvlText w:val=""/>
      <w:lvlJc w:val="left"/>
      <w:pPr>
        <w:tabs>
          <w:tab w:val="num" w:pos="360"/>
        </w:tabs>
        <w:ind w:left="360" w:hanging="360"/>
      </w:pPr>
      <w:rPr>
        <w:rFonts w:ascii="Symbol" w:hAnsi="Symbol" w:hint="default"/>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21E87"/>
    <w:multiLevelType w:val="multilevel"/>
    <w:tmpl w:val="98A2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7"/>
  </w:num>
  <w:num w:numId="3">
    <w:abstractNumId w:val="18"/>
  </w:num>
  <w:num w:numId="4">
    <w:abstractNumId w:val="17"/>
  </w:num>
  <w:num w:numId="5">
    <w:abstractNumId w:val="34"/>
  </w:num>
  <w:num w:numId="6">
    <w:abstractNumId w:val="13"/>
  </w:num>
  <w:num w:numId="7">
    <w:abstractNumId w:val="20"/>
  </w:num>
  <w:num w:numId="8">
    <w:abstractNumId w:val="23"/>
  </w:num>
  <w:num w:numId="9">
    <w:abstractNumId w:val="22"/>
  </w:num>
  <w:num w:numId="10">
    <w:abstractNumId w:val="31"/>
  </w:num>
  <w:num w:numId="11">
    <w:abstractNumId w:val="21"/>
  </w:num>
  <w:num w:numId="12">
    <w:abstractNumId w:val="14"/>
  </w:num>
  <w:num w:numId="13">
    <w:abstractNumId w:val="29"/>
  </w:num>
  <w:num w:numId="14">
    <w:abstractNumId w:val="11"/>
  </w:num>
  <w:num w:numId="15">
    <w:abstractNumId w:val="33"/>
  </w:num>
  <w:num w:numId="16">
    <w:abstractNumId w:val="24"/>
  </w:num>
  <w:num w:numId="17">
    <w:abstractNumId w:val="15"/>
  </w:num>
  <w:num w:numId="18">
    <w:abstractNumId w:val="28"/>
  </w:num>
  <w:num w:numId="19">
    <w:abstractNumId w:val="10"/>
  </w:num>
  <w:num w:numId="20">
    <w:abstractNumId w:val="32"/>
  </w:num>
  <w:num w:numId="21">
    <w:abstractNumId w:val="12"/>
  </w:num>
  <w:num w:numId="22">
    <w:abstractNumId w:val="16"/>
  </w:num>
  <w:num w:numId="23">
    <w:abstractNumId w:val="35"/>
  </w:num>
  <w:num w:numId="24">
    <w:abstractNumId w:val="25"/>
  </w:num>
  <w:num w:numId="25">
    <w:abstractNumId w:val="26"/>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tDC2NDGxMLYwNjdT0lEKTi0uzszPAykwrgUA4ouboSwAAAA="/>
  </w:docVars>
  <w:rsids>
    <w:rsidRoot w:val="00DD3FBF"/>
    <w:rsid w:val="000002EA"/>
    <w:rsid w:val="00000DE8"/>
    <w:rsid w:val="000011ED"/>
    <w:rsid w:val="00003AEB"/>
    <w:rsid w:val="000069BF"/>
    <w:rsid w:val="0001270C"/>
    <w:rsid w:val="0001394E"/>
    <w:rsid w:val="00014412"/>
    <w:rsid w:val="0001463A"/>
    <w:rsid w:val="000147FE"/>
    <w:rsid w:val="0001535D"/>
    <w:rsid w:val="00020652"/>
    <w:rsid w:val="00022F47"/>
    <w:rsid w:val="0002364E"/>
    <w:rsid w:val="000250A7"/>
    <w:rsid w:val="00025FF0"/>
    <w:rsid w:val="00027806"/>
    <w:rsid w:val="00030ED0"/>
    <w:rsid w:val="00031B42"/>
    <w:rsid w:val="000327D5"/>
    <w:rsid w:val="00033102"/>
    <w:rsid w:val="00033285"/>
    <w:rsid w:val="0003374F"/>
    <w:rsid w:val="00034C36"/>
    <w:rsid w:val="00035489"/>
    <w:rsid w:val="000377F4"/>
    <w:rsid w:val="00040DB2"/>
    <w:rsid w:val="00040E26"/>
    <w:rsid w:val="00041242"/>
    <w:rsid w:val="000422C8"/>
    <w:rsid w:val="00042DC2"/>
    <w:rsid w:val="00043C25"/>
    <w:rsid w:val="000461F2"/>
    <w:rsid w:val="00046900"/>
    <w:rsid w:val="00047F6E"/>
    <w:rsid w:val="0005071C"/>
    <w:rsid w:val="00054189"/>
    <w:rsid w:val="0005510F"/>
    <w:rsid w:val="00055173"/>
    <w:rsid w:val="00057A34"/>
    <w:rsid w:val="000628CF"/>
    <w:rsid w:val="00063408"/>
    <w:rsid w:val="00063705"/>
    <w:rsid w:val="00063DC5"/>
    <w:rsid w:val="00065135"/>
    <w:rsid w:val="00066F1D"/>
    <w:rsid w:val="00073392"/>
    <w:rsid w:val="00076587"/>
    <w:rsid w:val="000772C6"/>
    <w:rsid w:val="00081CCC"/>
    <w:rsid w:val="000841DF"/>
    <w:rsid w:val="00085D90"/>
    <w:rsid w:val="000865F8"/>
    <w:rsid w:val="00092716"/>
    <w:rsid w:val="00093E73"/>
    <w:rsid w:val="00096022"/>
    <w:rsid w:val="00097C12"/>
    <w:rsid w:val="000A0239"/>
    <w:rsid w:val="000A0ADF"/>
    <w:rsid w:val="000A325D"/>
    <w:rsid w:val="000A3F91"/>
    <w:rsid w:val="000A5F77"/>
    <w:rsid w:val="000A6D13"/>
    <w:rsid w:val="000B0357"/>
    <w:rsid w:val="000B145E"/>
    <w:rsid w:val="000B250E"/>
    <w:rsid w:val="000B5638"/>
    <w:rsid w:val="000B5C66"/>
    <w:rsid w:val="000B6713"/>
    <w:rsid w:val="000C05C9"/>
    <w:rsid w:val="000C0843"/>
    <w:rsid w:val="000C2098"/>
    <w:rsid w:val="000C3D48"/>
    <w:rsid w:val="000C3F36"/>
    <w:rsid w:val="000C402E"/>
    <w:rsid w:val="000C40B2"/>
    <w:rsid w:val="000C562E"/>
    <w:rsid w:val="000C616B"/>
    <w:rsid w:val="000D09EF"/>
    <w:rsid w:val="000D0CE2"/>
    <w:rsid w:val="000D1E79"/>
    <w:rsid w:val="000D2195"/>
    <w:rsid w:val="000D421E"/>
    <w:rsid w:val="000E0188"/>
    <w:rsid w:val="000E1BDA"/>
    <w:rsid w:val="000E4A89"/>
    <w:rsid w:val="000E5449"/>
    <w:rsid w:val="000E5C14"/>
    <w:rsid w:val="000E5E63"/>
    <w:rsid w:val="000E61B3"/>
    <w:rsid w:val="000E66DE"/>
    <w:rsid w:val="000E6A10"/>
    <w:rsid w:val="000E6BEE"/>
    <w:rsid w:val="000F0F5D"/>
    <w:rsid w:val="000F2442"/>
    <w:rsid w:val="000F3FAE"/>
    <w:rsid w:val="000F49FD"/>
    <w:rsid w:val="000F4B5C"/>
    <w:rsid w:val="000F5E2B"/>
    <w:rsid w:val="00100CEB"/>
    <w:rsid w:val="00101199"/>
    <w:rsid w:val="00101B20"/>
    <w:rsid w:val="0010206F"/>
    <w:rsid w:val="00102EF4"/>
    <w:rsid w:val="0010381D"/>
    <w:rsid w:val="00105102"/>
    <w:rsid w:val="00105AA8"/>
    <w:rsid w:val="00110B83"/>
    <w:rsid w:val="001111BF"/>
    <w:rsid w:val="001121E5"/>
    <w:rsid w:val="00112DD1"/>
    <w:rsid w:val="00115103"/>
    <w:rsid w:val="0011631E"/>
    <w:rsid w:val="001166B3"/>
    <w:rsid w:val="00116986"/>
    <w:rsid w:val="00116B1B"/>
    <w:rsid w:val="00117271"/>
    <w:rsid w:val="001213F6"/>
    <w:rsid w:val="001215CD"/>
    <w:rsid w:val="00124EE1"/>
    <w:rsid w:val="001252ED"/>
    <w:rsid w:val="00127237"/>
    <w:rsid w:val="00127873"/>
    <w:rsid w:val="001301FE"/>
    <w:rsid w:val="001304FA"/>
    <w:rsid w:val="0013136F"/>
    <w:rsid w:val="0013295F"/>
    <w:rsid w:val="00133E80"/>
    <w:rsid w:val="00134112"/>
    <w:rsid w:val="001348AE"/>
    <w:rsid w:val="001361A5"/>
    <w:rsid w:val="00141B4F"/>
    <w:rsid w:val="00141F1E"/>
    <w:rsid w:val="00144402"/>
    <w:rsid w:val="00144E0E"/>
    <w:rsid w:val="001456D2"/>
    <w:rsid w:val="00145BA0"/>
    <w:rsid w:val="00146511"/>
    <w:rsid w:val="00152279"/>
    <w:rsid w:val="001531B4"/>
    <w:rsid w:val="00153A20"/>
    <w:rsid w:val="00154535"/>
    <w:rsid w:val="00157973"/>
    <w:rsid w:val="00160487"/>
    <w:rsid w:val="00161593"/>
    <w:rsid w:val="0016222A"/>
    <w:rsid w:val="001631E2"/>
    <w:rsid w:val="00164F98"/>
    <w:rsid w:val="00165C60"/>
    <w:rsid w:val="00165D4B"/>
    <w:rsid w:val="00166936"/>
    <w:rsid w:val="0017252E"/>
    <w:rsid w:val="0017256E"/>
    <w:rsid w:val="00172AB9"/>
    <w:rsid w:val="00173EAD"/>
    <w:rsid w:val="00174016"/>
    <w:rsid w:val="001761D4"/>
    <w:rsid w:val="001807ED"/>
    <w:rsid w:val="00181372"/>
    <w:rsid w:val="0018548D"/>
    <w:rsid w:val="0018724B"/>
    <w:rsid w:val="0019175E"/>
    <w:rsid w:val="00191B99"/>
    <w:rsid w:val="00194CB3"/>
    <w:rsid w:val="00196740"/>
    <w:rsid w:val="00196898"/>
    <w:rsid w:val="00196AD0"/>
    <w:rsid w:val="00196DB4"/>
    <w:rsid w:val="00197BCF"/>
    <w:rsid w:val="00197C4B"/>
    <w:rsid w:val="001A0039"/>
    <w:rsid w:val="001A05BA"/>
    <w:rsid w:val="001A12D7"/>
    <w:rsid w:val="001A49D1"/>
    <w:rsid w:val="001A4F08"/>
    <w:rsid w:val="001A56E5"/>
    <w:rsid w:val="001A65C8"/>
    <w:rsid w:val="001A6C63"/>
    <w:rsid w:val="001A6C9F"/>
    <w:rsid w:val="001A6FA8"/>
    <w:rsid w:val="001A7A3C"/>
    <w:rsid w:val="001B147D"/>
    <w:rsid w:val="001B48BE"/>
    <w:rsid w:val="001B5059"/>
    <w:rsid w:val="001B7E2F"/>
    <w:rsid w:val="001C1196"/>
    <w:rsid w:val="001C35D9"/>
    <w:rsid w:val="001C35F3"/>
    <w:rsid w:val="001C3731"/>
    <w:rsid w:val="001C6A54"/>
    <w:rsid w:val="001C77CF"/>
    <w:rsid w:val="001D0373"/>
    <w:rsid w:val="001D272B"/>
    <w:rsid w:val="001D35C8"/>
    <w:rsid w:val="001D4BAE"/>
    <w:rsid w:val="001D56E3"/>
    <w:rsid w:val="001D767B"/>
    <w:rsid w:val="001E106E"/>
    <w:rsid w:val="001E414A"/>
    <w:rsid w:val="001E5182"/>
    <w:rsid w:val="001E74FF"/>
    <w:rsid w:val="001E78F8"/>
    <w:rsid w:val="001E7B42"/>
    <w:rsid w:val="001F0D87"/>
    <w:rsid w:val="001F2E9F"/>
    <w:rsid w:val="001F48A1"/>
    <w:rsid w:val="001F6026"/>
    <w:rsid w:val="001F691A"/>
    <w:rsid w:val="00204068"/>
    <w:rsid w:val="002056CE"/>
    <w:rsid w:val="00205CB2"/>
    <w:rsid w:val="0020665B"/>
    <w:rsid w:val="0020674B"/>
    <w:rsid w:val="00206FAF"/>
    <w:rsid w:val="00207368"/>
    <w:rsid w:val="00211698"/>
    <w:rsid w:val="00211BEA"/>
    <w:rsid w:val="00213BE4"/>
    <w:rsid w:val="00215E9A"/>
    <w:rsid w:val="0021611E"/>
    <w:rsid w:val="00221310"/>
    <w:rsid w:val="00221BF4"/>
    <w:rsid w:val="002237C0"/>
    <w:rsid w:val="002243DF"/>
    <w:rsid w:val="00226173"/>
    <w:rsid w:val="00227341"/>
    <w:rsid w:val="0022794C"/>
    <w:rsid w:val="00230D0D"/>
    <w:rsid w:val="00232DE1"/>
    <w:rsid w:val="0023449F"/>
    <w:rsid w:val="002403BF"/>
    <w:rsid w:val="00241CC0"/>
    <w:rsid w:val="002420E3"/>
    <w:rsid w:val="00244DE6"/>
    <w:rsid w:val="0024615F"/>
    <w:rsid w:val="00246E33"/>
    <w:rsid w:val="00250F95"/>
    <w:rsid w:val="00250FF5"/>
    <w:rsid w:val="00252000"/>
    <w:rsid w:val="002525CB"/>
    <w:rsid w:val="0025452F"/>
    <w:rsid w:val="00254952"/>
    <w:rsid w:val="00264090"/>
    <w:rsid w:val="00264D72"/>
    <w:rsid w:val="0026581D"/>
    <w:rsid w:val="00267280"/>
    <w:rsid w:val="00270447"/>
    <w:rsid w:val="002722E8"/>
    <w:rsid w:val="00275459"/>
    <w:rsid w:val="00280748"/>
    <w:rsid w:val="00280B0C"/>
    <w:rsid w:val="00283F16"/>
    <w:rsid w:val="0028487B"/>
    <w:rsid w:val="00286AFF"/>
    <w:rsid w:val="0029166C"/>
    <w:rsid w:val="00291B06"/>
    <w:rsid w:val="002923C9"/>
    <w:rsid w:val="00292927"/>
    <w:rsid w:val="00294D93"/>
    <w:rsid w:val="00296396"/>
    <w:rsid w:val="00297CC5"/>
    <w:rsid w:val="002A1E85"/>
    <w:rsid w:val="002A2BD7"/>
    <w:rsid w:val="002A7D6E"/>
    <w:rsid w:val="002B1A55"/>
    <w:rsid w:val="002B4E43"/>
    <w:rsid w:val="002B565D"/>
    <w:rsid w:val="002B7C83"/>
    <w:rsid w:val="002C3F62"/>
    <w:rsid w:val="002C4B3B"/>
    <w:rsid w:val="002C53D9"/>
    <w:rsid w:val="002D0A03"/>
    <w:rsid w:val="002D307F"/>
    <w:rsid w:val="002D475B"/>
    <w:rsid w:val="002D50B2"/>
    <w:rsid w:val="002D52A9"/>
    <w:rsid w:val="002D75A4"/>
    <w:rsid w:val="002E027A"/>
    <w:rsid w:val="002E0724"/>
    <w:rsid w:val="002E3E66"/>
    <w:rsid w:val="002E5A19"/>
    <w:rsid w:val="002E5A27"/>
    <w:rsid w:val="002E5D88"/>
    <w:rsid w:val="002E7BA8"/>
    <w:rsid w:val="002F0E8B"/>
    <w:rsid w:val="002F2906"/>
    <w:rsid w:val="002F2BB2"/>
    <w:rsid w:val="002F3DE3"/>
    <w:rsid w:val="002F760A"/>
    <w:rsid w:val="003009D4"/>
    <w:rsid w:val="00300C2F"/>
    <w:rsid w:val="003029EA"/>
    <w:rsid w:val="00302B4F"/>
    <w:rsid w:val="003035BD"/>
    <w:rsid w:val="003036DA"/>
    <w:rsid w:val="00311A73"/>
    <w:rsid w:val="00311BD7"/>
    <w:rsid w:val="003128DF"/>
    <w:rsid w:val="00314BBC"/>
    <w:rsid w:val="003152A9"/>
    <w:rsid w:val="0031750C"/>
    <w:rsid w:val="00320454"/>
    <w:rsid w:val="003206AC"/>
    <w:rsid w:val="00323826"/>
    <w:rsid w:val="00324AA7"/>
    <w:rsid w:val="00326704"/>
    <w:rsid w:val="00326E7C"/>
    <w:rsid w:val="003300B0"/>
    <w:rsid w:val="00330102"/>
    <w:rsid w:val="00331AF1"/>
    <w:rsid w:val="003324AC"/>
    <w:rsid w:val="00332CA1"/>
    <w:rsid w:val="00336B25"/>
    <w:rsid w:val="003373BA"/>
    <w:rsid w:val="00341214"/>
    <w:rsid w:val="00342F03"/>
    <w:rsid w:val="00344662"/>
    <w:rsid w:val="003457D5"/>
    <w:rsid w:val="00351FB2"/>
    <w:rsid w:val="00352649"/>
    <w:rsid w:val="00353277"/>
    <w:rsid w:val="003542B4"/>
    <w:rsid w:val="00355697"/>
    <w:rsid w:val="003564F7"/>
    <w:rsid w:val="0035653C"/>
    <w:rsid w:val="00360219"/>
    <w:rsid w:val="003628E4"/>
    <w:rsid w:val="00364178"/>
    <w:rsid w:val="00364404"/>
    <w:rsid w:val="003656C2"/>
    <w:rsid w:val="00366DB0"/>
    <w:rsid w:val="00370170"/>
    <w:rsid w:val="00371699"/>
    <w:rsid w:val="00372661"/>
    <w:rsid w:val="0037313A"/>
    <w:rsid w:val="00374432"/>
    <w:rsid w:val="00374DAF"/>
    <w:rsid w:val="00380164"/>
    <w:rsid w:val="003810BA"/>
    <w:rsid w:val="003822E1"/>
    <w:rsid w:val="00385336"/>
    <w:rsid w:val="003855C9"/>
    <w:rsid w:val="0039153F"/>
    <w:rsid w:val="003929A5"/>
    <w:rsid w:val="003956EE"/>
    <w:rsid w:val="00395A2E"/>
    <w:rsid w:val="00395D4F"/>
    <w:rsid w:val="00396B04"/>
    <w:rsid w:val="003A0A6B"/>
    <w:rsid w:val="003A1A2D"/>
    <w:rsid w:val="003A3A2F"/>
    <w:rsid w:val="003A44F8"/>
    <w:rsid w:val="003A6F5C"/>
    <w:rsid w:val="003B1AEE"/>
    <w:rsid w:val="003B2119"/>
    <w:rsid w:val="003B2DCD"/>
    <w:rsid w:val="003B3068"/>
    <w:rsid w:val="003B31AB"/>
    <w:rsid w:val="003B4C3D"/>
    <w:rsid w:val="003C1737"/>
    <w:rsid w:val="003C3495"/>
    <w:rsid w:val="003C4024"/>
    <w:rsid w:val="003C5882"/>
    <w:rsid w:val="003C5B33"/>
    <w:rsid w:val="003C72A0"/>
    <w:rsid w:val="003D3740"/>
    <w:rsid w:val="003E0630"/>
    <w:rsid w:val="003E358D"/>
    <w:rsid w:val="003E6117"/>
    <w:rsid w:val="003E7934"/>
    <w:rsid w:val="003F20C9"/>
    <w:rsid w:val="003F22DC"/>
    <w:rsid w:val="003F2648"/>
    <w:rsid w:val="003F6730"/>
    <w:rsid w:val="003F778C"/>
    <w:rsid w:val="00401526"/>
    <w:rsid w:val="00401D21"/>
    <w:rsid w:val="00402FEF"/>
    <w:rsid w:val="00403494"/>
    <w:rsid w:val="00403CB2"/>
    <w:rsid w:val="00403EFA"/>
    <w:rsid w:val="0040582F"/>
    <w:rsid w:val="00407387"/>
    <w:rsid w:val="00412126"/>
    <w:rsid w:val="00413588"/>
    <w:rsid w:val="004157B2"/>
    <w:rsid w:val="00416924"/>
    <w:rsid w:val="00416985"/>
    <w:rsid w:val="0041749F"/>
    <w:rsid w:val="00421067"/>
    <w:rsid w:val="00422804"/>
    <w:rsid w:val="00423287"/>
    <w:rsid w:val="004235FB"/>
    <w:rsid w:val="0042397B"/>
    <w:rsid w:val="00424106"/>
    <w:rsid w:val="004307BC"/>
    <w:rsid w:val="004319B2"/>
    <w:rsid w:val="0043338F"/>
    <w:rsid w:val="004333E7"/>
    <w:rsid w:val="004339A0"/>
    <w:rsid w:val="00433AFA"/>
    <w:rsid w:val="00433C81"/>
    <w:rsid w:val="00433D03"/>
    <w:rsid w:val="00433ECD"/>
    <w:rsid w:val="00435729"/>
    <w:rsid w:val="00437BDA"/>
    <w:rsid w:val="00437BF8"/>
    <w:rsid w:val="00440180"/>
    <w:rsid w:val="004407B1"/>
    <w:rsid w:val="004431A0"/>
    <w:rsid w:val="0044475B"/>
    <w:rsid w:val="00445D9D"/>
    <w:rsid w:val="0044714A"/>
    <w:rsid w:val="00447974"/>
    <w:rsid w:val="00450F34"/>
    <w:rsid w:val="0045112F"/>
    <w:rsid w:val="00460CCD"/>
    <w:rsid w:val="00462B9D"/>
    <w:rsid w:val="00463647"/>
    <w:rsid w:val="00465F99"/>
    <w:rsid w:val="00470236"/>
    <w:rsid w:val="004706B0"/>
    <w:rsid w:val="00470AC3"/>
    <w:rsid w:val="004715F5"/>
    <w:rsid w:val="0047266B"/>
    <w:rsid w:val="00474B2A"/>
    <w:rsid w:val="004776D9"/>
    <w:rsid w:val="00477814"/>
    <w:rsid w:val="00477CC9"/>
    <w:rsid w:val="0048099A"/>
    <w:rsid w:val="004827B1"/>
    <w:rsid w:val="00482E96"/>
    <w:rsid w:val="0048380C"/>
    <w:rsid w:val="0048430F"/>
    <w:rsid w:val="00484F45"/>
    <w:rsid w:val="004856FD"/>
    <w:rsid w:val="00486215"/>
    <w:rsid w:val="004904ED"/>
    <w:rsid w:val="00490E04"/>
    <w:rsid w:val="00493A5E"/>
    <w:rsid w:val="00494511"/>
    <w:rsid w:val="004946EB"/>
    <w:rsid w:val="004948EF"/>
    <w:rsid w:val="00496B85"/>
    <w:rsid w:val="00497905"/>
    <w:rsid w:val="004A2388"/>
    <w:rsid w:val="004A3EDB"/>
    <w:rsid w:val="004A4152"/>
    <w:rsid w:val="004A6904"/>
    <w:rsid w:val="004A692E"/>
    <w:rsid w:val="004A71A4"/>
    <w:rsid w:val="004A7798"/>
    <w:rsid w:val="004B2158"/>
    <w:rsid w:val="004B39ED"/>
    <w:rsid w:val="004B6B37"/>
    <w:rsid w:val="004C124B"/>
    <w:rsid w:val="004C2999"/>
    <w:rsid w:val="004C2B69"/>
    <w:rsid w:val="004C4DE5"/>
    <w:rsid w:val="004C532B"/>
    <w:rsid w:val="004C607A"/>
    <w:rsid w:val="004C794E"/>
    <w:rsid w:val="004D0075"/>
    <w:rsid w:val="004D1346"/>
    <w:rsid w:val="004D3A2C"/>
    <w:rsid w:val="004D3B72"/>
    <w:rsid w:val="004D6A29"/>
    <w:rsid w:val="004E03D9"/>
    <w:rsid w:val="004E0F0C"/>
    <w:rsid w:val="004E121E"/>
    <w:rsid w:val="004E3C53"/>
    <w:rsid w:val="004E50E2"/>
    <w:rsid w:val="004E57EF"/>
    <w:rsid w:val="004F02E6"/>
    <w:rsid w:val="004F3EDC"/>
    <w:rsid w:val="004F4613"/>
    <w:rsid w:val="004F4759"/>
    <w:rsid w:val="004F780A"/>
    <w:rsid w:val="00500164"/>
    <w:rsid w:val="005003FD"/>
    <w:rsid w:val="00500A22"/>
    <w:rsid w:val="00501F25"/>
    <w:rsid w:val="00503BAC"/>
    <w:rsid w:val="0050558A"/>
    <w:rsid w:val="005067A7"/>
    <w:rsid w:val="00506C40"/>
    <w:rsid w:val="00510C74"/>
    <w:rsid w:val="00511075"/>
    <w:rsid w:val="0051113E"/>
    <w:rsid w:val="005114DC"/>
    <w:rsid w:val="00511952"/>
    <w:rsid w:val="00511CAB"/>
    <w:rsid w:val="0051233D"/>
    <w:rsid w:val="005159B4"/>
    <w:rsid w:val="00516F5F"/>
    <w:rsid w:val="00517C7E"/>
    <w:rsid w:val="00517CFF"/>
    <w:rsid w:val="00521A38"/>
    <w:rsid w:val="005220C5"/>
    <w:rsid w:val="00522A6A"/>
    <w:rsid w:val="00524737"/>
    <w:rsid w:val="005248B8"/>
    <w:rsid w:val="00525298"/>
    <w:rsid w:val="00525D18"/>
    <w:rsid w:val="00526CC6"/>
    <w:rsid w:val="00532615"/>
    <w:rsid w:val="00533017"/>
    <w:rsid w:val="00535F41"/>
    <w:rsid w:val="00537ED5"/>
    <w:rsid w:val="005404CD"/>
    <w:rsid w:val="00540EE0"/>
    <w:rsid w:val="0054166D"/>
    <w:rsid w:val="00542045"/>
    <w:rsid w:val="005434C2"/>
    <w:rsid w:val="00543962"/>
    <w:rsid w:val="00544581"/>
    <w:rsid w:val="00544692"/>
    <w:rsid w:val="005468F5"/>
    <w:rsid w:val="00550C94"/>
    <w:rsid w:val="00550CC1"/>
    <w:rsid w:val="00552D81"/>
    <w:rsid w:val="00554167"/>
    <w:rsid w:val="0055417E"/>
    <w:rsid w:val="00554A18"/>
    <w:rsid w:val="00556717"/>
    <w:rsid w:val="00556BEF"/>
    <w:rsid w:val="00557753"/>
    <w:rsid w:val="0056006E"/>
    <w:rsid w:val="005619F6"/>
    <w:rsid w:val="00561C87"/>
    <w:rsid w:val="00561E75"/>
    <w:rsid w:val="005641DC"/>
    <w:rsid w:val="00565BDD"/>
    <w:rsid w:val="005679F4"/>
    <w:rsid w:val="00572D4B"/>
    <w:rsid w:val="00572FB8"/>
    <w:rsid w:val="00574EA1"/>
    <w:rsid w:val="00576A8E"/>
    <w:rsid w:val="0057770D"/>
    <w:rsid w:val="00577CAA"/>
    <w:rsid w:val="005806DC"/>
    <w:rsid w:val="00581539"/>
    <w:rsid w:val="00582A86"/>
    <w:rsid w:val="00583ADD"/>
    <w:rsid w:val="00584CF2"/>
    <w:rsid w:val="00587263"/>
    <w:rsid w:val="00587CA1"/>
    <w:rsid w:val="00587E5C"/>
    <w:rsid w:val="0059008C"/>
    <w:rsid w:val="0059459C"/>
    <w:rsid w:val="005945E2"/>
    <w:rsid w:val="00594888"/>
    <w:rsid w:val="005949FC"/>
    <w:rsid w:val="00594C90"/>
    <w:rsid w:val="00595CEB"/>
    <w:rsid w:val="00595FC1"/>
    <w:rsid w:val="005A2261"/>
    <w:rsid w:val="005A42D8"/>
    <w:rsid w:val="005A4FEE"/>
    <w:rsid w:val="005A572E"/>
    <w:rsid w:val="005A7306"/>
    <w:rsid w:val="005A7626"/>
    <w:rsid w:val="005B0533"/>
    <w:rsid w:val="005B0648"/>
    <w:rsid w:val="005B12BC"/>
    <w:rsid w:val="005B3A65"/>
    <w:rsid w:val="005B5EF9"/>
    <w:rsid w:val="005B64CA"/>
    <w:rsid w:val="005B766A"/>
    <w:rsid w:val="005B7F41"/>
    <w:rsid w:val="005C16CB"/>
    <w:rsid w:val="005C1BC9"/>
    <w:rsid w:val="005C1E6D"/>
    <w:rsid w:val="005C2D13"/>
    <w:rsid w:val="005C3070"/>
    <w:rsid w:val="005C4017"/>
    <w:rsid w:val="005C5323"/>
    <w:rsid w:val="005C54D7"/>
    <w:rsid w:val="005C5573"/>
    <w:rsid w:val="005C5923"/>
    <w:rsid w:val="005C6E57"/>
    <w:rsid w:val="005D0665"/>
    <w:rsid w:val="005D15D4"/>
    <w:rsid w:val="005D21B5"/>
    <w:rsid w:val="005D392C"/>
    <w:rsid w:val="005D3C77"/>
    <w:rsid w:val="005E23BA"/>
    <w:rsid w:val="005E42B9"/>
    <w:rsid w:val="005E542A"/>
    <w:rsid w:val="005E6F9C"/>
    <w:rsid w:val="005F24F1"/>
    <w:rsid w:val="005F67E2"/>
    <w:rsid w:val="00600AE8"/>
    <w:rsid w:val="00604189"/>
    <w:rsid w:val="00604240"/>
    <w:rsid w:val="00605368"/>
    <w:rsid w:val="006075F0"/>
    <w:rsid w:val="00610E79"/>
    <w:rsid w:val="00611134"/>
    <w:rsid w:val="0061205C"/>
    <w:rsid w:val="00612774"/>
    <w:rsid w:val="006150AD"/>
    <w:rsid w:val="006156F7"/>
    <w:rsid w:val="006158E0"/>
    <w:rsid w:val="00615EFA"/>
    <w:rsid w:val="0061687A"/>
    <w:rsid w:val="0061746A"/>
    <w:rsid w:val="006201EC"/>
    <w:rsid w:val="00620ACE"/>
    <w:rsid w:val="00620F04"/>
    <w:rsid w:val="006228C4"/>
    <w:rsid w:val="0062291F"/>
    <w:rsid w:val="006237D4"/>
    <w:rsid w:val="00624F77"/>
    <w:rsid w:val="00626C38"/>
    <w:rsid w:val="00627444"/>
    <w:rsid w:val="00631275"/>
    <w:rsid w:val="00631538"/>
    <w:rsid w:val="00631B65"/>
    <w:rsid w:val="00631F99"/>
    <w:rsid w:val="0063452F"/>
    <w:rsid w:val="006348F1"/>
    <w:rsid w:val="00634A36"/>
    <w:rsid w:val="006368AE"/>
    <w:rsid w:val="00636B94"/>
    <w:rsid w:val="00636D0C"/>
    <w:rsid w:val="00636F2E"/>
    <w:rsid w:val="006424AB"/>
    <w:rsid w:val="00642C22"/>
    <w:rsid w:val="0064369B"/>
    <w:rsid w:val="00643F0C"/>
    <w:rsid w:val="006452FC"/>
    <w:rsid w:val="00646E29"/>
    <w:rsid w:val="0064755F"/>
    <w:rsid w:val="00647935"/>
    <w:rsid w:val="00647A5E"/>
    <w:rsid w:val="00650D8C"/>
    <w:rsid w:val="006514AF"/>
    <w:rsid w:val="00651DD7"/>
    <w:rsid w:val="006532BA"/>
    <w:rsid w:val="006534F2"/>
    <w:rsid w:val="0065664D"/>
    <w:rsid w:val="00656E2D"/>
    <w:rsid w:val="00660768"/>
    <w:rsid w:val="00660A9E"/>
    <w:rsid w:val="00664D84"/>
    <w:rsid w:val="0066578E"/>
    <w:rsid w:val="00666813"/>
    <w:rsid w:val="00673269"/>
    <w:rsid w:val="00673EF2"/>
    <w:rsid w:val="00676BA6"/>
    <w:rsid w:val="00677518"/>
    <w:rsid w:val="00677867"/>
    <w:rsid w:val="00680D39"/>
    <w:rsid w:val="0068174E"/>
    <w:rsid w:val="0068231A"/>
    <w:rsid w:val="00682892"/>
    <w:rsid w:val="00684CF2"/>
    <w:rsid w:val="00685370"/>
    <w:rsid w:val="006875CF"/>
    <w:rsid w:val="00690BBE"/>
    <w:rsid w:val="006955EE"/>
    <w:rsid w:val="00695B77"/>
    <w:rsid w:val="00695CCC"/>
    <w:rsid w:val="00696925"/>
    <w:rsid w:val="00697D45"/>
    <w:rsid w:val="006A0B32"/>
    <w:rsid w:val="006A20A6"/>
    <w:rsid w:val="006A2415"/>
    <w:rsid w:val="006A49DB"/>
    <w:rsid w:val="006A4F12"/>
    <w:rsid w:val="006A638C"/>
    <w:rsid w:val="006A7F87"/>
    <w:rsid w:val="006B02FC"/>
    <w:rsid w:val="006B08C5"/>
    <w:rsid w:val="006B151B"/>
    <w:rsid w:val="006B1F99"/>
    <w:rsid w:val="006B24ED"/>
    <w:rsid w:val="006B2B15"/>
    <w:rsid w:val="006B2BE6"/>
    <w:rsid w:val="006B4472"/>
    <w:rsid w:val="006B5203"/>
    <w:rsid w:val="006B6077"/>
    <w:rsid w:val="006B6868"/>
    <w:rsid w:val="006B71FE"/>
    <w:rsid w:val="006C108D"/>
    <w:rsid w:val="006C37D1"/>
    <w:rsid w:val="006C4D03"/>
    <w:rsid w:val="006C5A90"/>
    <w:rsid w:val="006C5AE3"/>
    <w:rsid w:val="006C5FBE"/>
    <w:rsid w:val="006C7F61"/>
    <w:rsid w:val="006D0A9C"/>
    <w:rsid w:val="006D2685"/>
    <w:rsid w:val="006D35D5"/>
    <w:rsid w:val="006D4FA9"/>
    <w:rsid w:val="006D5856"/>
    <w:rsid w:val="006D6E58"/>
    <w:rsid w:val="006E006F"/>
    <w:rsid w:val="006E0C4E"/>
    <w:rsid w:val="006E1111"/>
    <w:rsid w:val="006E11D7"/>
    <w:rsid w:val="006E1A8E"/>
    <w:rsid w:val="006E390A"/>
    <w:rsid w:val="006E3A77"/>
    <w:rsid w:val="006E3C07"/>
    <w:rsid w:val="006E4522"/>
    <w:rsid w:val="006E4C88"/>
    <w:rsid w:val="006E5809"/>
    <w:rsid w:val="006F33E0"/>
    <w:rsid w:val="006F4B3F"/>
    <w:rsid w:val="006F562C"/>
    <w:rsid w:val="006F6AF0"/>
    <w:rsid w:val="006F6CB2"/>
    <w:rsid w:val="006F78B3"/>
    <w:rsid w:val="007000B4"/>
    <w:rsid w:val="00701DFC"/>
    <w:rsid w:val="007021F3"/>
    <w:rsid w:val="00702CE1"/>
    <w:rsid w:val="00704130"/>
    <w:rsid w:val="00705AB7"/>
    <w:rsid w:val="00706515"/>
    <w:rsid w:val="007076DA"/>
    <w:rsid w:val="00707F4F"/>
    <w:rsid w:val="00710EA9"/>
    <w:rsid w:val="00713186"/>
    <w:rsid w:val="007134CE"/>
    <w:rsid w:val="007139D9"/>
    <w:rsid w:val="00713AF6"/>
    <w:rsid w:val="00715976"/>
    <w:rsid w:val="0071598C"/>
    <w:rsid w:val="00721AFE"/>
    <w:rsid w:val="00721C6D"/>
    <w:rsid w:val="00724098"/>
    <w:rsid w:val="007272C2"/>
    <w:rsid w:val="007273FB"/>
    <w:rsid w:val="00727C59"/>
    <w:rsid w:val="00727D86"/>
    <w:rsid w:val="007344D2"/>
    <w:rsid w:val="00734DE5"/>
    <w:rsid w:val="007357C2"/>
    <w:rsid w:val="007369F1"/>
    <w:rsid w:val="007407EB"/>
    <w:rsid w:val="00742373"/>
    <w:rsid w:val="0074368C"/>
    <w:rsid w:val="00745933"/>
    <w:rsid w:val="00745B44"/>
    <w:rsid w:val="00747F4F"/>
    <w:rsid w:val="00750BC0"/>
    <w:rsid w:val="00751C12"/>
    <w:rsid w:val="007521A8"/>
    <w:rsid w:val="00752F88"/>
    <w:rsid w:val="007546C1"/>
    <w:rsid w:val="007547A1"/>
    <w:rsid w:val="00754C82"/>
    <w:rsid w:val="0075736E"/>
    <w:rsid w:val="0075787A"/>
    <w:rsid w:val="00757FF6"/>
    <w:rsid w:val="00762112"/>
    <w:rsid w:val="00762749"/>
    <w:rsid w:val="00763C22"/>
    <w:rsid w:val="00763E78"/>
    <w:rsid w:val="00765299"/>
    <w:rsid w:val="00771D56"/>
    <w:rsid w:val="00772AA0"/>
    <w:rsid w:val="00776570"/>
    <w:rsid w:val="0078066C"/>
    <w:rsid w:val="007806E1"/>
    <w:rsid w:val="00780B6F"/>
    <w:rsid w:val="00781209"/>
    <w:rsid w:val="00781FA3"/>
    <w:rsid w:val="0078287A"/>
    <w:rsid w:val="00784712"/>
    <w:rsid w:val="007868E6"/>
    <w:rsid w:val="007909FF"/>
    <w:rsid w:val="00791352"/>
    <w:rsid w:val="007973CD"/>
    <w:rsid w:val="00797C6C"/>
    <w:rsid w:val="007A0112"/>
    <w:rsid w:val="007A097E"/>
    <w:rsid w:val="007A0A3C"/>
    <w:rsid w:val="007A0D00"/>
    <w:rsid w:val="007A0EE6"/>
    <w:rsid w:val="007A1E8B"/>
    <w:rsid w:val="007A2700"/>
    <w:rsid w:val="007A3ED3"/>
    <w:rsid w:val="007A45AF"/>
    <w:rsid w:val="007A498F"/>
    <w:rsid w:val="007A617B"/>
    <w:rsid w:val="007B18AC"/>
    <w:rsid w:val="007B2F85"/>
    <w:rsid w:val="007B3F0C"/>
    <w:rsid w:val="007B3FFA"/>
    <w:rsid w:val="007B4F13"/>
    <w:rsid w:val="007B511D"/>
    <w:rsid w:val="007B59F1"/>
    <w:rsid w:val="007B63B2"/>
    <w:rsid w:val="007C0653"/>
    <w:rsid w:val="007C31A2"/>
    <w:rsid w:val="007C355E"/>
    <w:rsid w:val="007C3B58"/>
    <w:rsid w:val="007C5CEB"/>
    <w:rsid w:val="007C643F"/>
    <w:rsid w:val="007C6F5E"/>
    <w:rsid w:val="007C764E"/>
    <w:rsid w:val="007D126F"/>
    <w:rsid w:val="007D180F"/>
    <w:rsid w:val="007D5677"/>
    <w:rsid w:val="007E04D1"/>
    <w:rsid w:val="007E0C2C"/>
    <w:rsid w:val="007E237E"/>
    <w:rsid w:val="007E332E"/>
    <w:rsid w:val="007E7EC5"/>
    <w:rsid w:val="007F0D9E"/>
    <w:rsid w:val="007F104C"/>
    <w:rsid w:val="007F247C"/>
    <w:rsid w:val="007F4B46"/>
    <w:rsid w:val="007F52B6"/>
    <w:rsid w:val="007F7384"/>
    <w:rsid w:val="007F788D"/>
    <w:rsid w:val="007F7B0F"/>
    <w:rsid w:val="007F7E8E"/>
    <w:rsid w:val="00800F6B"/>
    <w:rsid w:val="008014B3"/>
    <w:rsid w:val="0080281A"/>
    <w:rsid w:val="00802D36"/>
    <w:rsid w:val="00803407"/>
    <w:rsid w:val="00803AB3"/>
    <w:rsid w:val="00804A4C"/>
    <w:rsid w:val="0080572C"/>
    <w:rsid w:val="00806897"/>
    <w:rsid w:val="00806B7C"/>
    <w:rsid w:val="008136BC"/>
    <w:rsid w:val="00813962"/>
    <w:rsid w:val="00814C5D"/>
    <w:rsid w:val="00821BB9"/>
    <w:rsid w:val="00821D15"/>
    <w:rsid w:val="008237B0"/>
    <w:rsid w:val="008237C4"/>
    <w:rsid w:val="00823895"/>
    <w:rsid w:val="0082753B"/>
    <w:rsid w:val="00827760"/>
    <w:rsid w:val="0083723A"/>
    <w:rsid w:val="00841742"/>
    <w:rsid w:val="00841C86"/>
    <w:rsid w:val="008458B4"/>
    <w:rsid w:val="008460E6"/>
    <w:rsid w:val="0084689E"/>
    <w:rsid w:val="00846CB5"/>
    <w:rsid w:val="008501A8"/>
    <w:rsid w:val="008511A5"/>
    <w:rsid w:val="0085249C"/>
    <w:rsid w:val="00852AB2"/>
    <w:rsid w:val="00853B15"/>
    <w:rsid w:val="0085409F"/>
    <w:rsid w:val="008578A9"/>
    <w:rsid w:val="00861C74"/>
    <w:rsid w:val="008628D2"/>
    <w:rsid w:val="00862C50"/>
    <w:rsid w:val="00862F07"/>
    <w:rsid w:val="00865E23"/>
    <w:rsid w:val="008720F7"/>
    <w:rsid w:val="00874E6F"/>
    <w:rsid w:val="00876B51"/>
    <w:rsid w:val="00880DC6"/>
    <w:rsid w:val="00884A3D"/>
    <w:rsid w:val="00885713"/>
    <w:rsid w:val="00887D2B"/>
    <w:rsid w:val="008916DA"/>
    <w:rsid w:val="00891BA8"/>
    <w:rsid w:val="00891BFE"/>
    <w:rsid w:val="0089386C"/>
    <w:rsid w:val="00895871"/>
    <w:rsid w:val="00895FB9"/>
    <w:rsid w:val="0089781E"/>
    <w:rsid w:val="00897BE5"/>
    <w:rsid w:val="008A01D7"/>
    <w:rsid w:val="008A31DF"/>
    <w:rsid w:val="008A5C18"/>
    <w:rsid w:val="008B1BC6"/>
    <w:rsid w:val="008B262B"/>
    <w:rsid w:val="008B3F88"/>
    <w:rsid w:val="008B658F"/>
    <w:rsid w:val="008B698F"/>
    <w:rsid w:val="008C146B"/>
    <w:rsid w:val="008C216C"/>
    <w:rsid w:val="008C243F"/>
    <w:rsid w:val="008C2868"/>
    <w:rsid w:val="008C6424"/>
    <w:rsid w:val="008C64E2"/>
    <w:rsid w:val="008D67AB"/>
    <w:rsid w:val="008E1623"/>
    <w:rsid w:val="008E20C3"/>
    <w:rsid w:val="008E2465"/>
    <w:rsid w:val="008E45F9"/>
    <w:rsid w:val="008E7184"/>
    <w:rsid w:val="008E7A04"/>
    <w:rsid w:val="008F279D"/>
    <w:rsid w:val="008F3ECA"/>
    <w:rsid w:val="008F4522"/>
    <w:rsid w:val="00901B0D"/>
    <w:rsid w:val="00901D5E"/>
    <w:rsid w:val="00902C66"/>
    <w:rsid w:val="00904908"/>
    <w:rsid w:val="009070F7"/>
    <w:rsid w:val="0091125B"/>
    <w:rsid w:val="00911E42"/>
    <w:rsid w:val="00912102"/>
    <w:rsid w:val="00912B5C"/>
    <w:rsid w:val="0091357A"/>
    <w:rsid w:val="009145F1"/>
    <w:rsid w:val="00914889"/>
    <w:rsid w:val="00914A8E"/>
    <w:rsid w:val="00914A96"/>
    <w:rsid w:val="00914DF5"/>
    <w:rsid w:val="00915B66"/>
    <w:rsid w:val="00916799"/>
    <w:rsid w:val="0091709C"/>
    <w:rsid w:val="00920608"/>
    <w:rsid w:val="00920FE0"/>
    <w:rsid w:val="009238C3"/>
    <w:rsid w:val="00926855"/>
    <w:rsid w:val="00931F51"/>
    <w:rsid w:val="00933B96"/>
    <w:rsid w:val="00934CFA"/>
    <w:rsid w:val="009429B9"/>
    <w:rsid w:val="00945453"/>
    <w:rsid w:val="0094575C"/>
    <w:rsid w:val="00945C26"/>
    <w:rsid w:val="00947707"/>
    <w:rsid w:val="00950D62"/>
    <w:rsid w:val="009512E4"/>
    <w:rsid w:val="00953210"/>
    <w:rsid w:val="00953515"/>
    <w:rsid w:val="00953780"/>
    <w:rsid w:val="00953C5A"/>
    <w:rsid w:val="00954DB3"/>
    <w:rsid w:val="009552C7"/>
    <w:rsid w:val="009559F9"/>
    <w:rsid w:val="00955DA8"/>
    <w:rsid w:val="009632F1"/>
    <w:rsid w:val="00964E14"/>
    <w:rsid w:val="009653D8"/>
    <w:rsid w:val="00965973"/>
    <w:rsid w:val="00965F9E"/>
    <w:rsid w:val="00967FC6"/>
    <w:rsid w:val="009706D7"/>
    <w:rsid w:val="009709E8"/>
    <w:rsid w:val="0097365C"/>
    <w:rsid w:val="00976B5B"/>
    <w:rsid w:val="00977369"/>
    <w:rsid w:val="00980243"/>
    <w:rsid w:val="00982F17"/>
    <w:rsid w:val="00984651"/>
    <w:rsid w:val="00985871"/>
    <w:rsid w:val="00986CCA"/>
    <w:rsid w:val="009872C6"/>
    <w:rsid w:val="00991D64"/>
    <w:rsid w:val="00991DF0"/>
    <w:rsid w:val="009928F2"/>
    <w:rsid w:val="00992C4A"/>
    <w:rsid w:val="00996555"/>
    <w:rsid w:val="009968B8"/>
    <w:rsid w:val="009971D1"/>
    <w:rsid w:val="00997793"/>
    <w:rsid w:val="009A1AA9"/>
    <w:rsid w:val="009A5ADC"/>
    <w:rsid w:val="009B08A2"/>
    <w:rsid w:val="009B099C"/>
    <w:rsid w:val="009B5DE1"/>
    <w:rsid w:val="009C041B"/>
    <w:rsid w:val="009C0923"/>
    <w:rsid w:val="009C0D00"/>
    <w:rsid w:val="009C1D46"/>
    <w:rsid w:val="009C2B35"/>
    <w:rsid w:val="009C2CD4"/>
    <w:rsid w:val="009C32E9"/>
    <w:rsid w:val="009C36CF"/>
    <w:rsid w:val="009C3EFB"/>
    <w:rsid w:val="009C49AF"/>
    <w:rsid w:val="009C6F30"/>
    <w:rsid w:val="009C79BD"/>
    <w:rsid w:val="009D1898"/>
    <w:rsid w:val="009D224F"/>
    <w:rsid w:val="009D27C9"/>
    <w:rsid w:val="009D4013"/>
    <w:rsid w:val="009D44FA"/>
    <w:rsid w:val="009D5F4D"/>
    <w:rsid w:val="009D63EE"/>
    <w:rsid w:val="009D6BF2"/>
    <w:rsid w:val="009E19E0"/>
    <w:rsid w:val="009E3E84"/>
    <w:rsid w:val="009E57C8"/>
    <w:rsid w:val="009E6189"/>
    <w:rsid w:val="009F0688"/>
    <w:rsid w:val="009F2886"/>
    <w:rsid w:val="009F2CFA"/>
    <w:rsid w:val="009F65BF"/>
    <w:rsid w:val="009F6C22"/>
    <w:rsid w:val="009F7EA1"/>
    <w:rsid w:val="00A03DB4"/>
    <w:rsid w:val="00A045FE"/>
    <w:rsid w:val="00A057E8"/>
    <w:rsid w:val="00A06400"/>
    <w:rsid w:val="00A11112"/>
    <w:rsid w:val="00A114E3"/>
    <w:rsid w:val="00A1155B"/>
    <w:rsid w:val="00A12169"/>
    <w:rsid w:val="00A15994"/>
    <w:rsid w:val="00A15E3B"/>
    <w:rsid w:val="00A16901"/>
    <w:rsid w:val="00A211CE"/>
    <w:rsid w:val="00A212E5"/>
    <w:rsid w:val="00A24AB5"/>
    <w:rsid w:val="00A24FBB"/>
    <w:rsid w:val="00A26488"/>
    <w:rsid w:val="00A26665"/>
    <w:rsid w:val="00A30DDA"/>
    <w:rsid w:val="00A3124E"/>
    <w:rsid w:val="00A32401"/>
    <w:rsid w:val="00A334FE"/>
    <w:rsid w:val="00A33C56"/>
    <w:rsid w:val="00A34279"/>
    <w:rsid w:val="00A378D8"/>
    <w:rsid w:val="00A37C3F"/>
    <w:rsid w:val="00A41CFA"/>
    <w:rsid w:val="00A42DF7"/>
    <w:rsid w:val="00A43366"/>
    <w:rsid w:val="00A44C79"/>
    <w:rsid w:val="00A45CFA"/>
    <w:rsid w:val="00A463D2"/>
    <w:rsid w:val="00A47C1E"/>
    <w:rsid w:val="00A575AC"/>
    <w:rsid w:val="00A60534"/>
    <w:rsid w:val="00A612E2"/>
    <w:rsid w:val="00A65826"/>
    <w:rsid w:val="00A66902"/>
    <w:rsid w:val="00A67809"/>
    <w:rsid w:val="00A73120"/>
    <w:rsid w:val="00A73A49"/>
    <w:rsid w:val="00A77314"/>
    <w:rsid w:val="00A776C5"/>
    <w:rsid w:val="00A81980"/>
    <w:rsid w:val="00A82163"/>
    <w:rsid w:val="00A829AF"/>
    <w:rsid w:val="00A9003E"/>
    <w:rsid w:val="00A93EDE"/>
    <w:rsid w:val="00A96849"/>
    <w:rsid w:val="00A97C93"/>
    <w:rsid w:val="00AA14F9"/>
    <w:rsid w:val="00AA304C"/>
    <w:rsid w:val="00AA4647"/>
    <w:rsid w:val="00AA6127"/>
    <w:rsid w:val="00AA66C4"/>
    <w:rsid w:val="00AB1040"/>
    <w:rsid w:val="00AB1BF0"/>
    <w:rsid w:val="00AB2EC1"/>
    <w:rsid w:val="00AB54DC"/>
    <w:rsid w:val="00AB7BDF"/>
    <w:rsid w:val="00AC12BF"/>
    <w:rsid w:val="00AC2C7F"/>
    <w:rsid w:val="00AC48C1"/>
    <w:rsid w:val="00AC5C58"/>
    <w:rsid w:val="00AC6759"/>
    <w:rsid w:val="00AD2540"/>
    <w:rsid w:val="00AD31B0"/>
    <w:rsid w:val="00AD4C32"/>
    <w:rsid w:val="00AD5A52"/>
    <w:rsid w:val="00AD5DAA"/>
    <w:rsid w:val="00AD62A4"/>
    <w:rsid w:val="00AE0271"/>
    <w:rsid w:val="00AE0777"/>
    <w:rsid w:val="00AE0C82"/>
    <w:rsid w:val="00AE1452"/>
    <w:rsid w:val="00AE311C"/>
    <w:rsid w:val="00AF0792"/>
    <w:rsid w:val="00AF0DB8"/>
    <w:rsid w:val="00AF368B"/>
    <w:rsid w:val="00AF4130"/>
    <w:rsid w:val="00AF5787"/>
    <w:rsid w:val="00AF7877"/>
    <w:rsid w:val="00B00742"/>
    <w:rsid w:val="00B00F68"/>
    <w:rsid w:val="00B024C1"/>
    <w:rsid w:val="00B02E83"/>
    <w:rsid w:val="00B04E00"/>
    <w:rsid w:val="00B06A31"/>
    <w:rsid w:val="00B07968"/>
    <w:rsid w:val="00B105A4"/>
    <w:rsid w:val="00B10E66"/>
    <w:rsid w:val="00B111A0"/>
    <w:rsid w:val="00B15AF8"/>
    <w:rsid w:val="00B17F4E"/>
    <w:rsid w:val="00B20DFB"/>
    <w:rsid w:val="00B242E0"/>
    <w:rsid w:val="00B24683"/>
    <w:rsid w:val="00B251DA"/>
    <w:rsid w:val="00B25A10"/>
    <w:rsid w:val="00B260DD"/>
    <w:rsid w:val="00B278C3"/>
    <w:rsid w:val="00B30865"/>
    <w:rsid w:val="00B31D71"/>
    <w:rsid w:val="00B32A4D"/>
    <w:rsid w:val="00B3334E"/>
    <w:rsid w:val="00B33740"/>
    <w:rsid w:val="00B33D76"/>
    <w:rsid w:val="00B3552B"/>
    <w:rsid w:val="00B37D25"/>
    <w:rsid w:val="00B407C6"/>
    <w:rsid w:val="00B4260C"/>
    <w:rsid w:val="00B436BB"/>
    <w:rsid w:val="00B43903"/>
    <w:rsid w:val="00B44692"/>
    <w:rsid w:val="00B455EA"/>
    <w:rsid w:val="00B473B1"/>
    <w:rsid w:val="00B5003E"/>
    <w:rsid w:val="00B506B2"/>
    <w:rsid w:val="00B50A8C"/>
    <w:rsid w:val="00B52E4D"/>
    <w:rsid w:val="00B539DD"/>
    <w:rsid w:val="00B53B14"/>
    <w:rsid w:val="00B57773"/>
    <w:rsid w:val="00B57A2A"/>
    <w:rsid w:val="00B6119B"/>
    <w:rsid w:val="00B61655"/>
    <w:rsid w:val="00B619E7"/>
    <w:rsid w:val="00B6231E"/>
    <w:rsid w:val="00B64B16"/>
    <w:rsid w:val="00B65999"/>
    <w:rsid w:val="00B67299"/>
    <w:rsid w:val="00B703C6"/>
    <w:rsid w:val="00B70A3A"/>
    <w:rsid w:val="00B73616"/>
    <w:rsid w:val="00B73B7D"/>
    <w:rsid w:val="00B74396"/>
    <w:rsid w:val="00B75F07"/>
    <w:rsid w:val="00B76C30"/>
    <w:rsid w:val="00B7771F"/>
    <w:rsid w:val="00B823E5"/>
    <w:rsid w:val="00B824AE"/>
    <w:rsid w:val="00B83048"/>
    <w:rsid w:val="00B83195"/>
    <w:rsid w:val="00B8400A"/>
    <w:rsid w:val="00B85BFF"/>
    <w:rsid w:val="00B8700F"/>
    <w:rsid w:val="00B907B5"/>
    <w:rsid w:val="00B90AD8"/>
    <w:rsid w:val="00B90FDF"/>
    <w:rsid w:val="00B94E78"/>
    <w:rsid w:val="00B95CB6"/>
    <w:rsid w:val="00B97795"/>
    <w:rsid w:val="00B97F0A"/>
    <w:rsid w:val="00BA2D51"/>
    <w:rsid w:val="00BA70CD"/>
    <w:rsid w:val="00BA7950"/>
    <w:rsid w:val="00BB1003"/>
    <w:rsid w:val="00BB13CB"/>
    <w:rsid w:val="00BB315B"/>
    <w:rsid w:val="00BB4349"/>
    <w:rsid w:val="00BB4C65"/>
    <w:rsid w:val="00BB544C"/>
    <w:rsid w:val="00BB643D"/>
    <w:rsid w:val="00BB675B"/>
    <w:rsid w:val="00BC0221"/>
    <w:rsid w:val="00BC06F2"/>
    <w:rsid w:val="00BC0861"/>
    <w:rsid w:val="00BD031F"/>
    <w:rsid w:val="00BD1169"/>
    <w:rsid w:val="00BD1181"/>
    <w:rsid w:val="00BD1DDD"/>
    <w:rsid w:val="00BD3F7A"/>
    <w:rsid w:val="00BD476D"/>
    <w:rsid w:val="00BD4F42"/>
    <w:rsid w:val="00BD6432"/>
    <w:rsid w:val="00BD6BD7"/>
    <w:rsid w:val="00BE1252"/>
    <w:rsid w:val="00BE3E69"/>
    <w:rsid w:val="00BE4BC5"/>
    <w:rsid w:val="00BE669B"/>
    <w:rsid w:val="00BE6AF8"/>
    <w:rsid w:val="00BF5B0B"/>
    <w:rsid w:val="00BF60F7"/>
    <w:rsid w:val="00BF6A9B"/>
    <w:rsid w:val="00BF7E15"/>
    <w:rsid w:val="00C01E41"/>
    <w:rsid w:val="00C06638"/>
    <w:rsid w:val="00C06675"/>
    <w:rsid w:val="00C079C8"/>
    <w:rsid w:val="00C10EFE"/>
    <w:rsid w:val="00C12109"/>
    <w:rsid w:val="00C14463"/>
    <w:rsid w:val="00C145F7"/>
    <w:rsid w:val="00C14696"/>
    <w:rsid w:val="00C16BEE"/>
    <w:rsid w:val="00C1758F"/>
    <w:rsid w:val="00C21A39"/>
    <w:rsid w:val="00C26BC7"/>
    <w:rsid w:val="00C274BA"/>
    <w:rsid w:val="00C27F8C"/>
    <w:rsid w:val="00C320C1"/>
    <w:rsid w:val="00C32669"/>
    <w:rsid w:val="00C32E7A"/>
    <w:rsid w:val="00C33B79"/>
    <w:rsid w:val="00C3451C"/>
    <w:rsid w:val="00C35AE3"/>
    <w:rsid w:val="00C37B9D"/>
    <w:rsid w:val="00C37E1A"/>
    <w:rsid w:val="00C409F9"/>
    <w:rsid w:val="00C416B9"/>
    <w:rsid w:val="00C41BF6"/>
    <w:rsid w:val="00C42A43"/>
    <w:rsid w:val="00C469C6"/>
    <w:rsid w:val="00C46FC0"/>
    <w:rsid w:val="00C5098D"/>
    <w:rsid w:val="00C51ABC"/>
    <w:rsid w:val="00C52786"/>
    <w:rsid w:val="00C533C3"/>
    <w:rsid w:val="00C535A8"/>
    <w:rsid w:val="00C5525D"/>
    <w:rsid w:val="00C57799"/>
    <w:rsid w:val="00C60C56"/>
    <w:rsid w:val="00C61AFD"/>
    <w:rsid w:val="00C62340"/>
    <w:rsid w:val="00C62B66"/>
    <w:rsid w:val="00C64046"/>
    <w:rsid w:val="00C65438"/>
    <w:rsid w:val="00C67B40"/>
    <w:rsid w:val="00C67C93"/>
    <w:rsid w:val="00C70B10"/>
    <w:rsid w:val="00C71861"/>
    <w:rsid w:val="00C7188D"/>
    <w:rsid w:val="00C72770"/>
    <w:rsid w:val="00C72A0D"/>
    <w:rsid w:val="00C72BA6"/>
    <w:rsid w:val="00C73334"/>
    <w:rsid w:val="00C75A59"/>
    <w:rsid w:val="00C76F94"/>
    <w:rsid w:val="00C82DE6"/>
    <w:rsid w:val="00C84845"/>
    <w:rsid w:val="00C85A72"/>
    <w:rsid w:val="00C87F83"/>
    <w:rsid w:val="00C90EC1"/>
    <w:rsid w:val="00C90F4A"/>
    <w:rsid w:val="00C93747"/>
    <w:rsid w:val="00C951A2"/>
    <w:rsid w:val="00C97190"/>
    <w:rsid w:val="00CA0045"/>
    <w:rsid w:val="00CA0D52"/>
    <w:rsid w:val="00CA1BBB"/>
    <w:rsid w:val="00CA1DAB"/>
    <w:rsid w:val="00CA3DB0"/>
    <w:rsid w:val="00CA4B35"/>
    <w:rsid w:val="00CA4BB5"/>
    <w:rsid w:val="00CA624E"/>
    <w:rsid w:val="00CA6633"/>
    <w:rsid w:val="00CA6ABE"/>
    <w:rsid w:val="00CA77FA"/>
    <w:rsid w:val="00CB1162"/>
    <w:rsid w:val="00CB1326"/>
    <w:rsid w:val="00CB2654"/>
    <w:rsid w:val="00CB3AE8"/>
    <w:rsid w:val="00CB4892"/>
    <w:rsid w:val="00CB4CF2"/>
    <w:rsid w:val="00CB5AB2"/>
    <w:rsid w:val="00CB6266"/>
    <w:rsid w:val="00CB7B65"/>
    <w:rsid w:val="00CC1A98"/>
    <w:rsid w:val="00CC3439"/>
    <w:rsid w:val="00CC4F3C"/>
    <w:rsid w:val="00CC6A12"/>
    <w:rsid w:val="00CC6EEB"/>
    <w:rsid w:val="00CC759B"/>
    <w:rsid w:val="00CD3189"/>
    <w:rsid w:val="00CD3CBC"/>
    <w:rsid w:val="00CD3D45"/>
    <w:rsid w:val="00CD5606"/>
    <w:rsid w:val="00CD5932"/>
    <w:rsid w:val="00CD6AB7"/>
    <w:rsid w:val="00CE0212"/>
    <w:rsid w:val="00CE0760"/>
    <w:rsid w:val="00CE0D97"/>
    <w:rsid w:val="00CE0F2A"/>
    <w:rsid w:val="00CE171F"/>
    <w:rsid w:val="00CE1CDA"/>
    <w:rsid w:val="00CE3050"/>
    <w:rsid w:val="00CE32AE"/>
    <w:rsid w:val="00CE6326"/>
    <w:rsid w:val="00CE6B93"/>
    <w:rsid w:val="00CE6DCF"/>
    <w:rsid w:val="00CE76DC"/>
    <w:rsid w:val="00CF1530"/>
    <w:rsid w:val="00CF31E5"/>
    <w:rsid w:val="00CF3F31"/>
    <w:rsid w:val="00CF4CC8"/>
    <w:rsid w:val="00CF53DA"/>
    <w:rsid w:val="00CF6BC4"/>
    <w:rsid w:val="00D04AC0"/>
    <w:rsid w:val="00D06A79"/>
    <w:rsid w:val="00D11D87"/>
    <w:rsid w:val="00D123AE"/>
    <w:rsid w:val="00D12A4E"/>
    <w:rsid w:val="00D13E3B"/>
    <w:rsid w:val="00D14656"/>
    <w:rsid w:val="00D14BA2"/>
    <w:rsid w:val="00D2010C"/>
    <w:rsid w:val="00D20DF7"/>
    <w:rsid w:val="00D22001"/>
    <w:rsid w:val="00D23EE5"/>
    <w:rsid w:val="00D23EE7"/>
    <w:rsid w:val="00D243CC"/>
    <w:rsid w:val="00D25542"/>
    <w:rsid w:val="00D261CF"/>
    <w:rsid w:val="00D319C9"/>
    <w:rsid w:val="00D33651"/>
    <w:rsid w:val="00D34D91"/>
    <w:rsid w:val="00D3717A"/>
    <w:rsid w:val="00D40AFB"/>
    <w:rsid w:val="00D40B46"/>
    <w:rsid w:val="00D41BC0"/>
    <w:rsid w:val="00D43662"/>
    <w:rsid w:val="00D441A5"/>
    <w:rsid w:val="00D462E7"/>
    <w:rsid w:val="00D51C5F"/>
    <w:rsid w:val="00D52559"/>
    <w:rsid w:val="00D53819"/>
    <w:rsid w:val="00D5545F"/>
    <w:rsid w:val="00D561D7"/>
    <w:rsid w:val="00D57D4E"/>
    <w:rsid w:val="00D623FE"/>
    <w:rsid w:val="00D65007"/>
    <w:rsid w:val="00D66C78"/>
    <w:rsid w:val="00D674EB"/>
    <w:rsid w:val="00D71852"/>
    <w:rsid w:val="00D732C0"/>
    <w:rsid w:val="00D73C36"/>
    <w:rsid w:val="00D751F2"/>
    <w:rsid w:val="00D752A7"/>
    <w:rsid w:val="00D7551D"/>
    <w:rsid w:val="00D75D1C"/>
    <w:rsid w:val="00D75D66"/>
    <w:rsid w:val="00D760EA"/>
    <w:rsid w:val="00D7622F"/>
    <w:rsid w:val="00D7678E"/>
    <w:rsid w:val="00D77D4F"/>
    <w:rsid w:val="00D83853"/>
    <w:rsid w:val="00D83F2B"/>
    <w:rsid w:val="00D853CB"/>
    <w:rsid w:val="00D91D24"/>
    <w:rsid w:val="00D920B3"/>
    <w:rsid w:val="00D93B50"/>
    <w:rsid w:val="00D94989"/>
    <w:rsid w:val="00D9621A"/>
    <w:rsid w:val="00DA0824"/>
    <w:rsid w:val="00DA0E41"/>
    <w:rsid w:val="00DA1160"/>
    <w:rsid w:val="00DA1AAF"/>
    <w:rsid w:val="00DA24F9"/>
    <w:rsid w:val="00DA3302"/>
    <w:rsid w:val="00DA634E"/>
    <w:rsid w:val="00DA6D62"/>
    <w:rsid w:val="00DA74C1"/>
    <w:rsid w:val="00DB0C36"/>
    <w:rsid w:val="00DB2296"/>
    <w:rsid w:val="00DB41C6"/>
    <w:rsid w:val="00DB6164"/>
    <w:rsid w:val="00DB656C"/>
    <w:rsid w:val="00DB7C87"/>
    <w:rsid w:val="00DC0086"/>
    <w:rsid w:val="00DC4F9F"/>
    <w:rsid w:val="00DC529D"/>
    <w:rsid w:val="00DD06F9"/>
    <w:rsid w:val="00DD3FBF"/>
    <w:rsid w:val="00DD4BA6"/>
    <w:rsid w:val="00DD7ED1"/>
    <w:rsid w:val="00DE048F"/>
    <w:rsid w:val="00DE0986"/>
    <w:rsid w:val="00DE0C42"/>
    <w:rsid w:val="00DE2D25"/>
    <w:rsid w:val="00DE3EC0"/>
    <w:rsid w:val="00DE3EDB"/>
    <w:rsid w:val="00DE470F"/>
    <w:rsid w:val="00DE47BB"/>
    <w:rsid w:val="00DE490A"/>
    <w:rsid w:val="00DE545E"/>
    <w:rsid w:val="00DE60FF"/>
    <w:rsid w:val="00DE6148"/>
    <w:rsid w:val="00DE65CC"/>
    <w:rsid w:val="00DE6796"/>
    <w:rsid w:val="00DE6806"/>
    <w:rsid w:val="00DE7AC2"/>
    <w:rsid w:val="00DE7E14"/>
    <w:rsid w:val="00DF2A04"/>
    <w:rsid w:val="00DF3464"/>
    <w:rsid w:val="00DF39A9"/>
    <w:rsid w:val="00DF47B5"/>
    <w:rsid w:val="00DF6277"/>
    <w:rsid w:val="00DF6286"/>
    <w:rsid w:val="00DF729F"/>
    <w:rsid w:val="00E01FC3"/>
    <w:rsid w:val="00E02C6A"/>
    <w:rsid w:val="00E04352"/>
    <w:rsid w:val="00E047A9"/>
    <w:rsid w:val="00E05286"/>
    <w:rsid w:val="00E07303"/>
    <w:rsid w:val="00E07E92"/>
    <w:rsid w:val="00E108C3"/>
    <w:rsid w:val="00E13F43"/>
    <w:rsid w:val="00E17C15"/>
    <w:rsid w:val="00E2194E"/>
    <w:rsid w:val="00E2626B"/>
    <w:rsid w:val="00E26E12"/>
    <w:rsid w:val="00E316B6"/>
    <w:rsid w:val="00E32154"/>
    <w:rsid w:val="00E367E4"/>
    <w:rsid w:val="00E40838"/>
    <w:rsid w:val="00E40BA5"/>
    <w:rsid w:val="00E41421"/>
    <w:rsid w:val="00E41506"/>
    <w:rsid w:val="00E42921"/>
    <w:rsid w:val="00E4332F"/>
    <w:rsid w:val="00E44236"/>
    <w:rsid w:val="00E50D12"/>
    <w:rsid w:val="00E5102E"/>
    <w:rsid w:val="00E54220"/>
    <w:rsid w:val="00E55F91"/>
    <w:rsid w:val="00E56DDC"/>
    <w:rsid w:val="00E6122F"/>
    <w:rsid w:val="00E61A37"/>
    <w:rsid w:val="00E620F2"/>
    <w:rsid w:val="00E6277D"/>
    <w:rsid w:val="00E6329D"/>
    <w:rsid w:val="00E641FF"/>
    <w:rsid w:val="00E6676B"/>
    <w:rsid w:val="00E702E3"/>
    <w:rsid w:val="00E702FC"/>
    <w:rsid w:val="00E71903"/>
    <w:rsid w:val="00E71C03"/>
    <w:rsid w:val="00E727EF"/>
    <w:rsid w:val="00E74143"/>
    <w:rsid w:val="00E74EBA"/>
    <w:rsid w:val="00E80626"/>
    <w:rsid w:val="00E8168F"/>
    <w:rsid w:val="00E83503"/>
    <w:rsid w:val="00E84D69"/>
    <w:rsid w:val="00E86723"/>
    <w:rsid w:val="00E86CA7"/>
    <w:rsid w:val="00E87463"/>
    <w:rsid w:val="00E917E9"/>
    <w:rsid w:val="00E95BE1"/>
    <w:rsid w:val="00E96FE7"/>
    <w:rsid w:val="00E97A7D"/>
    <w:rsid w:val="00EA31BB"/>
    <w:rsid w:val="00EA3E71"/>
    <w:rsid w:val="00EA3F49"/>
    <w:rsid w:val="00EA4D1C"/>
    <w:rsid w:val="00EA510F"/>
    <w:rsid w:val="00EA561A"/>
    <w:rsid w:val="00EA6565"/>
    <w:rsid w:val="00EA6DBC"/>
    <w:rsid w:val="00EA6F5E"/>
    <w:rsid w:val="00EA7725"/>
    <w:rsid w:val="00EA7750"/>
    <w:rsid w:val="00EB33D5"/>
    <w:rsid w:val="00EB5ADC"/>
    <w:rsid w:val="00EC0D29"/>
    <w:rsid w:val="00EC19D3"/>
    <w:rsid w:val="00EC5281"/>
    <w:rsid w:val="00EC5E23"/>
    <w:rsid w:val="00EC62E7"/>
    <w:rsid w:val="00ED0F77"/>
    <w:rsid w:val="00ED1A7D"/>
    <w:rsid w:val="00ED1F75"/>
    <w:rsid w:val="00ED54A5"/>
    <w:rsid w:val="00ED5E23"/>
    <w:rsid w:val="00ED7289"/>
    <w:rsid w:val="00EE0049"/>
    <w:rsid w:val="00EE0CE4"/>
    <w:rsid w:val="00EE0E39"/>
    <w:rsid w:val="00EE0EF4"/>
    <w:rsid w:val="00EE174E"/>
    <w:rsid w:val="00EE1B9D"/>
    <w:rsid w:val="00EE3201"/>
    <w:rsid w:val="00EE3678"/>
    <w:rsid w:val="00EE3B81"/>
    <w:rsid w:val="00EE5BA0"/>
    <w:rsid w:val="00EE60F5"/>
    <w:rsid w:val="00EF1B83"/>
    <w:rsid w:val="00EF43DF"/>
    <w:rsid w:val="00EF5442"/>
    <w:rsid w:val="00EF5DA4"/>
    <w:rsid w:val="00EF66DC"/>
    <w:rsid w:val="00EF765C"/>
    <w:rsid w:val="00F00553"/>
    <w:rsid w:val="00F02070"/>
    <w:rsid w:val="00F026BB"/>
    <w:rsid w:val="00F03D80"/>
    <w:rsid w:val="00F044B2"/>
    <w:rsid w:val="00F04BBE"/>
    <w:rsid w:val="00F05DB1"/>
    <w:rsid w:val="00F06D05"/>
    <w:rsid w:val="00F1009B"/>
    <w:rsid w:val="00F12950"/>
    <w:rsid w:val="00F14066"/>
    <w:rsid w:val="00F15821"/>
    <w:rsid w:val="00F160A3"/>
    <w:rsid w:val="00F2060B"/>
    <w:rsid w:val="00F21B80"/>
    <w:rsid w:val="00F26E5A"/>
    <w:rsid w:val="00F30796"/>
    <w:rsid w:val="00F313B0"/>
    <w:rsid w:val="00F3251D"/>
    <w:rsid w:val="00F32EAF"/>
    <w:rsid w:val="00F33E20"/>
    <w:rsid w:val="00F35A3E"/>
    <w:rsid w:val="00F363B7"/>
    <w:rsid w:val="00F3694E"/>
    <w:rsid w:val="00F37439"/>
    <w:rsid w:val="00F376F0"/>
    <w:rsid w:val="00F37C41"/>
    <w:rsid w:val="00F42084"/>
    <w:rsid w:val="00F446A6"/>
    <w:rsid w:val="00F45CE2"/>
    <w:rsid w:val="00F46E53"/>
    <w:rsid w:val="00F47EB6"/>
    <w:rsid w:val="00F5003C"/>
    <w:rsid w:val="00F51141"/>
    <w:rsid w:val="00F527FC"/>
    <w:rsid w:val="00F52E53"/>
    <w:rsid w:val="00F56348"/>
    <w:rsid w:val="00F564B2"/>
    <w:rsid w:val="00F5670F"/>
    <w:rsid w:val="00F56FE4"/>
    <w:rsid w:val="00F570A4"/>
    <w:rsid w:val="00F5718E"/>
    <w:rsid w:val="00F573E8"/>
    <w:rsid w:val="00F57B7D"/>
    <w:rsid w:val="00F57FE7"/>
    <w:rsid w:val="00F61223"/>
    <w:rsid w:val="00F61713"/>
    <w:rsid w:val="00F66CB1"/>
    <w:rsid w:val="00F66E06"/>
    <w:rsid w:val="00F67236"/>
    <w:rsid w:val="00F70AAD"/>
    <w:rsid w:val="00F72587"/>
    <w:rsid w:val="00F72DDA"/>
    <w:rsid w:val="00F739FF"/>
    <w:rsid w:val="00F74B34"/>
    <w:rsid w:val="00F76583"/>
    <w:rsid w:val="00F80A28"/>
    <w:rsid w:val="00F8127E"/>
    <w:rsid w:val="00F83D98"/>
    <w:rsid w:val="00F84A63"/>
    <w:rsid w:val="00F84E9B"/>
    <w:rsid w:val="00F87B10"/>
    <w:rsid w:val="00F9066A"/>
    <w:rsid w:val="00F92D4F"/>
    <w:rsid w:val="00F95FBB"/>
    <w:rsid w:val="00F96ED6"/>
    <w:rsid w:val="00FA0048"/>
    <w:rsid w:val="00FA2D4D"/>
    <w:rsid w:val="00FA3FAA"/>
    <w:rsid w:val="00FA7D1A"/>
    <w:rsid w:val="00FB0CD7"/>
    <w:rsid w:val="00FB0E9F"/>
    <w:rsid w:val="00FB1A9A"/>
    <w:rsid w:val="00FB289E"/>
    <w:rsid w:val="00FB2DB8"/>
    <w:rsid w:val="00FB2F91"/>
    <w:rsid w:val="00FB2F9D"/>
    <w:rsid w:val="00FB2FAA"/>
    <w:rsid w:val="00FB3072"/>
    <w:rsid w:val="00FB3414"/>
    <w:rsid w:val="00FB4557"/>
    <w:rsid w:val="00FB4948"/>
    <w:rsid w:val="00FB4CE8"/>
    <w:rsid w:val="00FC1697"/>
    <w:rsid w:val="00FC1BF8"/>
    <w:rsid w:val="00FD39AA"/>
    <w:rsid w:val="00FD5323"/>
    <w:rsid w:val="00FD582E"/>
    <w:rsid w:val="00FD5F8B"/>
    <w:rsid w:val="00FD64EE"/>
    <w:rsid w:val="00FD65B9"/>
    <w:rsid w:val="00FD6F5D"/>
    <w:rsid w:val="00FE0998"/>
    <w:rsid w:val="00FE0C60"/>
    <w:rsid w:val="00FE24E9"/>
    <w:rsid w:val="00FE2E2C"/>
    <w:rsid w:val="00FE40EF"/>
    <w:rsid w:val="00FE7626"/>
    <w:rsid w:val="00FF33F1"/>
    <w:rsid w:val="00FF3A45"/>
    <w:rsid w:val="00FF3FCF"/>
    <w:rsid w:val="00FF525C"/>
    <w:rsid w:val="00FF6565"/>
    <w:rsid w:val="00FF6E57"/>
    <w:rsid w:val="00FF7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AE0F87"/>
  <w15:chartTrackingRefBased/>
  <w15:docId w15:val="{02080626-2A73-4327-AD9F-94279D8D9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EE7"/>
    <w:rPr>
      <w:rFonts w:ascii="Calibri" w:hAnsi="Calibri"/>
      <w:sz w:val="24"/>
      <w:szCs w:val="24"/>
    </w:rPr>
  </w:style>
  <w:style w:type="paragraph" w:styleId="Heading1">
    <w:name w:val="heading 1"/>
    <w:basedOn w:val="Normal"/>
    <w:qFormat/>
    <w:rsid w:val="004A4152"/>
    <w:pPr>
      <w:outlineLvl w:val="0"/>
    </w:pPr>
    <w:rPr>
      <w:rFonts w:cs="Arial"/>
      <w:b/>
      <w:bCs/>
      <w:kern w:val="36"/>
      <w:szCs w:val="42"/>
    </w:rPr>
  </w:style>
  <w:style w:type="paragraph" w:styleId="Heading2">
    <w:name w:val="heading 2"/>
    <w:basedOn w:val="Normal"/>
    <w:next w:val="Normal"/>
    <w:qFormat/>
    <w:rsid w:val="00D23EE7"/>
    <w:pPr>
      <w:keepNext/>
      <w:spacing w:before="120"/>
      <w:outlineLvl w:val="1"/>
    </w:pPr>
    <w:rPr>
      <w:rFonts w:cs="Arial"/>
      <w:b/>
      <w:bCs/>
      <w:iCs/>
      <w:szCs w:val="28"/>
    </w:rPr>
  </w:style>
  <w:style w:type="paragraph" w:styleId="Heading3">
    <w:name w:val="heading 3"/>
    <w:basedOn w:val="Normal"/>
    <w:next w:val="Normal"/>
    <w:link w:val="Heading3Char"/>
    <w:unhideWhenUsed/>
    <w:qFormat/>
    <w:rsid w:val="003029EA"/>
    <w:pPr>
      <w:keepNext/>
      <w:spacing w:before="120"/>
      <w:ind w:left="720"/>
      <w:outlineLvl w:val="2"/>
    </w:pPr>
    <w:rPr>
      <w:b/>
      <w:bCs/>
      <w:szCs w:val="26"/>
    </w:rPr>
  </w:style>
  <w:style w:type="paragraph" w:styleId="Heading4">
    <w:name w:val="heading 4"/>
    <w:basedOn w:val="Normal"/>
    <w:qFormat/>
    <w:rsid w:val="006D0A9C"/>
    <w:pPr>
      <w:outlineLvl w:val="3"/>
    </w:pPr>
    <w:rPr>
      <w:b/>
      <w:bCs/>
      <w:color w:val="8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D3FBF"/>
    <w:rPr>
      <w:color w:val="0000FF"/>
      <w:u w:val="single"/>
    </w:rPr>
  </w:style>
  <w:style w:type="paragraph" w:styleId="Footer">
    <w:name w:val="footer"/>
    <w:basedOn w:val="Normal"/>
    <w:rsid w:val="00DD3FBF"/>
    <w:pPr>
      <w:tabs>
        <w:tab w:val="center" w:pos="4320"/>
        <w:tab w:val="right" w:pos="8640"/>
      </w:tabs>
    </w:pPr>
  </w:style>
  <w:style w:type="character" w:styleId="PageNumber">
    <w:name w:val="page number"/>
    <w:basedOn w:val="DefaultParagraphFont"/>
    <w:rsid w:val="00DD3FBF"/>
  </w:style>
  <w:style w:type="paragraph" w:customStyle="1" w:styleId="Style14ptBoldCenteredBottomSinglesolidlineAuto15">
    <w:name w:val="Style 14 pt Bold Centered Bottom: (Single solid line Auto  1.5..."/>
    <w:basedOn w:val="Normal"/>
    <w:rsid w:val="00DD3FBF"/>
    <w:pPr>
      <w:jc w:val="center"/>
    </w:pPr>
    <w:rPr>
      <w:b/>
      <w:bCs/>
      <w:caps/>
      <w:sz w:val="28"/>
      <w:szCs w:val="28"/>
    </w:rPr>
  </w:style>
  <w:style w:type="paragraph" w:customStyle="1" w:styleId="Style14ptBoldCenteredBottomSinglesolidlineAuto151">
    <w:name w:val="Style 14 pt Bold Centered Bottom: (Single solid line Auto  1.5...1"/>
    <w:basedOn w:val="Normal"/>
    <w:rsid w:val="00DD3FBF"/>
    <w:pPr>
      <w:jc w:val="center"/>
    </w:pPr>
    <w:rPr>
      <w:b/>
      <w:bCs/>
      <w:sz w:val="28"/>
      <w:szCs w:val="20"/>
    </w:rPr>
  </w:style>
  <w:style w:type="paragraph" w:styleId="Header">
    <w:name w:val="header"/>
    <w:basedOn w:val="Normal"/>
    <w:link w:val="HeaderChar"/>
    <w:uiPriority w:val="99"/>
    <w:rsid w:val="00C26BC7"/>
    <w:pPr>
      <w:tabs>
        <w:tab w:val="center" w:pos="4320"/>
        <w:tab w:val="right" w:pos="8640"/>
      </w:tabs>
    </w:pPr>
  </w:style>
  <w:style w:type="character" w:styleId="Emphasis">
    <w:name w:val="Emphasis"/>
    <w:uiPriority w:val="20"/>
    <w:qFormat/>
    <w:rsid w:val="00684CF2"/>
    <w:rPr>
      <w:i/>
      <w:iCs/>
    </w:rPr>
  </w:style>
  <w:style w:type="paragraph" w:styleId="BodyText">
    <w:name w:val="Body Text"/>
    <w:basedOn w:val="Normal"/>
    <w:link w:val="BodyTextChar"/>
    <w:rsid w:val="002D50B2"/>
    <w:pPr>
      <w:spacing w:after="120"/>
    </w:pPr>
  </w:style>
  <w:style w:type="paragraph" w:styleId="BalloonText">
    <w:name w:val="Balloon Text"/>
    <w:basedOn w:val="Normal"/>
    <w:semiHidden/>
    <w:rsid w:val="00784712"/>
    <w:rPr>
      <w:rFonts w:ascii="Tahoma" w:hAnsi="Tahoma" w:cs="Tahoma"/>
      <w:sz w:val="16"/>
      <w:szCs w:val="16"/>
    </w:rPr>
  </w:style>
  <w:style w:type="character" w:styleId="FootnoteReference">
    <w:name w:val="footnote reference"/>
    <w:semiHidden/>
    <w:rsid w:val="00BD6BD7"/>
  </w:style>
  <w:style w:type="paragraph" w:styleId="FootnoteText">
    <w:name w:val="footnote text"/>
    <w:basedOn w:val="Normal"/>
    <w:semiHidden/>
    <w:rsid w:val="00BD6BD7"/>
    <w:pPr>
      <w:widowControl w:val="0"/>
    </w:pPr>
    <w:rPr>
      <w:rFonts w:ascii="NewBskvll BT" w:hAnsi="NewBskvll BT"/>
      <w:snapToGrid w:val="0"/>
      <w:sz w:val="20"/>
      <w:szCs w:val="20"/>
    </w:rPr>
  </w:style>
  <w:style w:type="paragraph" w:styleId="PlainText">
    <w:name w:val="Plain Text"/>
    <w:basedOn w:val="Normal"/>
    <w:rsid w:val="00BD6BD7"/>
    <w:pPr>
      <w:widowControl w:val="0"/>
    </w:pPr>
    <w:rPr>
      <w:rFonts w:ascii="Courier New" w:hAnsi="Courier New"/>
      <w:snapToGrid w:val="0"/>
      <w:sz w:val="20"/>
      <w:szCs w:val="20"/>
    </w:rPr>
  </w:style>
  <w:style w:type="character" w:styleId="CommentReference">
    <w:name w:val="annotation reference"/>
    <w:semiHidden/>
    <w:rsid w:val="000C616B"/>
    <w:rPr>
      <w:sz w:val="16"/>
      <w:szCs w:val="16"/>
    </w:rPr>
  </w:style>
  <w:style w:type="paragraph" w:styleId="CommentText">
    <w:name w:val="annotation text"/>
    <w:basedOn w:val="Normal"/>
    <w:semiHidden/>
    <w:rsid w:val="000C616B"/>
    <w:rPr>
      <w:sz w:val="20"/>
      <w:szCs w:val="20"/>
    </w:rPr>
  </w:style>
  <w:style w:type="paragraph" w:styleId="CommentSubject">
    <w:name w:val="annotation subject"/>
    <w:basedOn w:val="CommentText"/>
    <w:next w:val="CommentText"/>
    <w:semiHidden/>
    <w:rsid w:val="000C616B"/>
    <w:rPr>
      <w:b/>
      <w:bCs/>
    </w:rPr>
  </w:style>
  <w:style w:type="character" w:styleId="FollowedHyperlink">
    <w:name w:val="FollowedHyperlink"/>
    <w:rsid w:val="00C145F7"/>
    <w:rPr>
      <w:color w:val="800080"/>
      <w:u w:val="single"/>
    </w:rPr>
  </w:style>
  <w:style w:type="paragraph" w:styleId="NormalWeb">
    <w:name w:val="Normal (Web)"/>
    <w:basedOn w:val="Normal"/>
    <w:rsid w:val="00646E29"/>
    <w:pPr>
      <w:spacing w:before="100" w:beforeAutospacing="1" w:after="100" w:afterAutospacing="1"/>
    </w:pPr>
  </w:style>
  <w:style w:type="paragraph" w:customStyle="1" w:styleId="Default">
    <w:name w:val="Default"/>
    <w:rsid w:val="00314BBC"/>
    <w:pPr>
      <w:widowControl w:val="0"/>
      <w:autoSpaceDE w:val="0"/>
      <w:autoSpaceDN w:val="0"/>
      <w:adjustRightInd w:val="0"/>
    </w:pPr>
    <w:rPr>
      <w:color w:val="000000"/>
      <w:sz w:val="24"/>
      <w:szCs w:val="24"/>
    </w:rPr>
  </w:style>
  <w:style w:type="character" w:customStyle="1" w:styleId="searchresultjournal1">
    <w:name w:val="searchresultjournal1"/>
    <w:rsid w:val="00FE2E2C"/>
    <w:rPr>
      <w:strike w:val="0"/>
      <w:dstrike w:val="0"/>
      <w:color w:val="006699"/>
      <w:u w:val="none"/>
      <w:effect w:val="none"/>
    </w:rPr>
  </w:style>
  <w:style w:type="paragraph" w:customStyle="1" w:styleId="affiliation">
    <w:name w:val="affiliation"/>
    <w:basedOn w:val="Normal"/>
    <w:rsid w:val="00FE2E2C"/>
    <w:pPr>
      <w:spacing w:before="100" w:beforeAutospacing="1" w:after="100" w:afterAutospacing="1"/>
    </w:pPr>
  </w:style>
  <w:style w:type="paragraph" w:styleId="DocumentMap">
    <w:name w:val="Document Map"/>
    <w:basedOn w:val="Normal"/>
    <w:semiHidden/>
    <w:rsid w:val="00025FF0"/>
    <w:pPr>
      <w:shd w:val="clear" w:color="auto" w:fill="000080"/>
    </w:pPr>
    <w:rPr>
      <w:rFonts w:ascii="Tahoma" w:hAnsi="Tahoma" w:cs="Tahoma"/>
      <w:sz w:val="20"/>
      <w:szCs w:val="20"/>
    </w:rPr>
  </w:style>
  <w:style w:type="character" w:customStyle="1" w:styleId="ti">
    <w:name w:val="ti"/>
    <w:basedOn w:val="DefaultParagraphFont"/>
    <w:rsid w:val="00650D8C"/>
  </w:style>
  <w:style w:type="character" w:customStyle="1" w:styleId="featuredlinkouts">
    <w:name w:val="featured_linkouts"/>
    <w:basedOn w:val="DefaultParagraphFont"/>
    <w:rsid w:val="00650D8C"/>
  </w:style>
  <w:style w:type="table" w:styleId="TableGrid">
    <w:name w:val="Table Grid"/>
    <w:basedOn w:val="TableNormal"/>
    <w:rsid w:val="00ED5E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C1BF8"/>
    <w:rPr>
      <w:sz w:val="24"/>
      <w:szCs w:val="24"/>
    </w:rPr>
  </w:style>
  <w:style w:type="character" w:customStyle="1" w:styleId="HeaderChar">
    <w:name w:val="Header Char"/>
    <w:link w:val="Header"/>
    <w:uiPriority w:val="99"/>
    <w:rsid w:val="00620ACE"/>
    <w:rPr>
      <w:sz w:val="24"/>
      <w:szCs w:val="24"/>
    </w:rPr>
  </w:style>
  <w:style w:type="paragraph" w:styleId="ListParagraph">
    <w:name w:val="List Paragraph"/>
    <w:basedOn w:val="Normal"/>
    <w:uiPriority w:val="34"/>
    <w:qFormat/>
    <w:rsid w:val="005C4017"/>
    <w:pPr>
      <w:ind w:left="720"/>
    </w:pPr>
    <w:rPr>
      <w:rFonts w:eastAsia="Calibri"/>
      <w:sz w:val="22"/>
      <w:szCs w:val="22"/>
    </w:rPr>
  </w:style>
  <w:style w:type="character" w:styleId="UnresolvedMention">
    <w:name w:val="Unresolved Mention"/>
    <w:uiPriority w:val="99"/>
    <w:semiHidden/>
    <w:unhideWhenUsed/>
    <w:rsid w:val="00CD3D45"/>
    <w:rPr>
      <w:color w:val="605E5C"/>
      <w:shd w:val="clear" w:color="auto" w:fill="E1DFDD"/>
    </w:rPr>
  </w:style>
  <w:style w:type="paragraph" w:styleId="Title">
    <w:name w:val="Title"/>
    <w:basedOn w:val="Normal"/>
    <w:next w:val="Normal"/>
    <w:link w:val="TitleChar"/>
    <w:qFormat/>
    <w:rsid w:val="00230D0D"/>
    <w:pPr>
      <w:spacing w:before="240" w:after="60"/>
      <w:jc w:val="center"/>
      <w:outlineLvl w:val="0"/>
    </w:pPr>
    <w:rPr>
      <w:rFonts w:ascii="Calibri Light" w:hAnsi="Calibri Light"/>
      <w:b/>
      <w:bCs/>
      <w:kern w:val="28"/>
      <w:sz w:val="28"/>
      <w:szCs w:val="32"/>
    </w:rPr>
  </w:style>
  <w:style w:type="character" w:customStyle="1" w:styleId="TitleChar">
    <w:name w:val="Title Char"/>
    <w:link w:val="Title"/>
    <w:rsid w:val="00230D0D"/>
    <w:rPr>
      <w:rFonts w:ascii="Calibri Light" w:eastAsia="Times New Roman" w:hAnsi="Calibri Light" w:cs="Times New Roman"/>
      <w:b/>
      <w:bCs/>
      <w:kern w:val="28"/>
      <w:sz w:val="28"/>
      <w:szCs w:val="32"/>
    </w:rPr>
  </w:style>
  <w:style w:type="paragraph" w:styleId="Subtitle">
    <w:name w:val="Subtitle"/>
    <w:basedOn w:val="Normal"/>
    <w:next w:val="Normal"/>
    <w:link w:val="SubtitleChar"/>
    <w:qFormat/>
    <w:rsid w:val="00901D5E"/>
    <w:pPr>
      <w:spacing w:after="60"/>
      <w:outlineLvl w:val="1"/>
    </w:pPr>
    <w:rPr>
      <w:b/>
      <w:sz w:val="28"/>
    </w:rPr>
  </w:style>
  <w:style w:type="character" w:customStyle="1" w:styleId="SubtitleChar">
    <w:name w:val="Subtitle Char"/>
    <w:link w:val="Subtitle"/>
    <w:rsid w:val="00901D5E"/>
    <w:rPr>
      <w:rFonts w:ascii="Calibri" w:eastAsia="Times New Roman" w:hAnsi="Calibri" w:cs="Times New Roman"/>
      <w:b/>
      <w:sz w:val="28"/>
      <w:szCs w:val="24"/>
    </w:rPr>
  </w:style>
  <w:style w:type="character" w:customStyle="1" w:styleId="BodyTextChar">
    <w:name w:val="Body Text Char"/>
    <w:link w:val="BodyText"/>
    <w:rsid w:val="0011631E"/>
    <w:rPr>
      <w:rFonts w:ascii="Calibri" w:hAnsi="Calibri"/>
      <w:sz w:val="24"/>
      <w:szCs w:val="24"/>
    </w:rPr>
  </w:style>
  <w:style w:type="character" w:customStyle="1" w:styleId="Heading3Char">
    <w:name w:val="Heading 3 Char"/>
    <w:link w:val="Heading3"/>
    <w:rsid w:val="003029EA"/>
    <w:rPr>
      <w:rFonts w:ascii="Calibri" w:eastAsia="Times New Roman" w:hAnsi="Calibri" w:cs="Times New Roman"/>
      <w:b/>
      <w:bCs/>
      <w:sz w:val="24"/>
      <w:szCs w:val="26"/>
    </w:rPr>
  </w:style>
  <w:style w:type="paragraph" w:styleId="TOCHeading">
    <w:name w:val="TOC Heading"/>
    <w:basedOn w:val="Heading1"/>
    <w:next w:val="Normal"/>
    <w:uiPriority w:val="39"/>
    <w:unhideWhenUsed/>
    <w:qFormat/>
    <w:rsid w:val="00264D72"/>
    <w:pPr>
      <w:keepNext/>
      <w:keepLines/>
      <w:spacing w:before="240" w:line="259" w:lineRule="auto"/>
      <w:outlineLvl w:val="9"/>
    </w:pPr>
    <w:rPr>
      <w:rFonts w:ascii="Calibri Light" w:hAnsi="Calibri Light" w:cs="Times New Roman"/>
      <w:b w:val="0"/>
      <w:bCs w:val="0"/>
      <w:color w:val="2F5496"/>
      <w:kern w:val="0"/>
      <w:sz w:val="32"/>
      <w:szCs w:val="32"/>
    </w:rPr>
  </w:style>
  <w:style w:type="paragraph" w:styleId="TOC1">
    <w:name w:val="toc 1"/>
    <w:basedOn w:val="Normal"/>
    <w:next w:val="Normal"/>
    <w:autoRedefine/>
    <w:uiPriority w:val="39"/>
    <w:rsid w:val="00264D72"/>
  </w:style>
  <w:style w:type="paragraph" w:styleId="TOC2">
    <w:name w:val="toc 2"/>
    <w:basedOn w:val="Normal"/>
    <w:next w:val="Normal"/>
    <w:autoRedefine/>
    <w:uiPriority w:val="39"/>
    <w:rsid w:val="00264D72"/>
    <w:pPr>
      <w:ind w:left="240"/>
    </w:pPr>
  </w:style>
  <w:style w:type="paragraph" w:styleId="TOC3">
    <w:name w:val="toc 3"/>
    <w:basedOn w:val="Normal"/>
    <w:next w:val="Normal"/>
    <w:autoRedefine/>
    <w:uiPriority w:val="39"/>
    <w:rsid w:val="00264D72"/>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62805">
      <w:bodyDiv w:val="1"/>
      <w:marLeft w:val="0"/>
      <w:marRight w:val="0"/>
      <w:marTop w:val="0"/>
      <w:marBottom w:val="0"/>
      <w:divBdr>
        <w:top w:val="none" w:sz="0" w:space="0" w:color="auto"/>
        <w:left w:val="none" w:sz="0" w:space="0" w:color="auto"/>
        <w:bottom w:val="none" w:sz="0" w:space="0" w:color="auto"/>
        <w:right w:val="none" w:sz="0" w:space="0" w:color="auto"/>
      </w:divBdr>
    </w:div>
    <w:div w:id="66848626">
      <w:bodyDiv w:val="1"/>
      <w:marLeft w:val="0"/>
      <w:marRight w:val="0"/>
      <w:marTop w:val="0"/>
      <w:marBottom w:val="450"/>
      <w:divBdr>
        <w:top w:val="none" w:sz="0" w:space="0" w:color="auto"/>
        <w:left w:val="none" w:sz="0" w:space="0" w:color="auto"/>
        <w:bottom w:val="none" w:sz="0" w:space="0" w:color="auto"/>
        <w:right w:val="none" w:sz="0" w:space="0" w:color="auto"/>
      </w:divBdr>
      <w:divsChild>
        <w:div w:id="964195480">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4477070">
      <w:bodyDiv w:val="1"/>
      <w:marLeft w:val="0"/>
      <w:marRight w:val="0"/>
      <w:marTop w:val="0"/>
      <w:marBottom w:val="0"/>
      <w:divBdr>
        <w:top w:val="none" w:sz="0" w:space="0" w:color="auto"/>
        <w:left w:val="none" w:sz="0" w:space="0" w:color="auto"/>
        <w:bottom w:val="none" w:sz="0" w:space="0" w:color="auto"/>
        <w:right w:val="none" w:sz="0" w:space="0" w:color="auto"/>
      </w:divBdr>
    </w:div>
    <w:div w:id="216012232">
      <w:bodyDiv w:val="1"/>
      <w:marLeft w:val="4"/>
      <w:marRight w:val="4"/>
      <w:marTop w:val="4"/>
      <w:marBottom w:val="4"/>
      <w:divBdr>
        <w:top w:val="none" w:sz="0" w:space="0" w:color="auto"/>
        <w:left w:val="none" w:sz="0" w:space="0" w:color="auto"/>
        <w:bottom w:val="none" w:sz="0" w:space="0" w:color="auto"/>
        <w:right w:val="none" w:sz="0" w:space="0" w:color="auto"/>
      </w:divBdr>
      <w:divsChild>
        <w:div w:id="80030580">
          <w:marLeft w:val="0"/>
          <w:marRight w:val="0"/>
          <w:marTop w:val="0"/>
          <w:marBottom w:val="0"/>
          <w:divBdr>
            <w:top w:val="none" w:sz="0" w:space="0" w:color="auto"/>
            <w:left w:val="none" w:sz="0" w:space="0" w:color="auto"/>
            <w:bottom w:val="none" w:sz="0" w:space="0" w:color="auto"/>
            <w:right w:val="none" w:sz="0" w:space="0" w:color="auto"/>
          </w:divBdr>
          <w:divsChild>
            <w:div w:id="2118910633">
              <w:marLeft w:val="0"/>
              <w:marRight w:val="0"/>
              <w:marTop w:val="0"/>
              <w:marBottom w:val="0"/>
              <w:divBdr>
                <w:top w:val="none" w:sz="0" w:space="0" w:color="auto"/>
                <w:left w:val="none" w:sz="0" w:space="0" w:color="auto"/>
                <w:bottom w:val="none" w:sz="0" w:space="0" w:color="auto"/>
                <w:right w:val="none" w:sz="0" w:space="0" w:color="auto"/>
              </w:divBdr>
              <w:divsChild>
                <w:div w:id="1365059490">
                  <w:marLeft w:val="0"/>
                  <w:marRight w:val="0"/>
                  <w:marTop w:val="0"/>
                  <w:marBottom w:val="180"/>
                  <w:divBdr>
                    <w:top w:val="none" w:sz="0" w:space="0" w:color="auto"/>
                    <w:left w:val="none" w:sz="0" w:space="0" w:color="auto"/>
                    <w:bottom w:val="none" w:sz="0" w:space="0" w:color="auto"/>
                    <w:right w:val="none" w:sz="0" w:space="0" w:color="auto"/>
                  </w:divBdr>
                  <w:divsChild>
                    <w:div w:id="1985502326">
                      <w:marLeft w:val="0"/>
                      <w:marRight w:val="0"/>
                      <w:marTop w:val="0"/>
                      <w:marBottom w:val="0"/>
                      <w:divBdr>
                        <w:top w:val="none" w:sz="0" w:space="0" w:color="auto"/>
                        <w:left w:val="none" w:sz="0" w:space="0" w:color="auto"/>
                        <w:bottom w:val="none" w:sz="0" w:space="0" w:color="auto"/>
                        <w:right w:val="none" w:sz="0" w:space="0" w:color="auto"/>
                      </w:divBdr>
                      <w:divsChild>
                        <w:div w:id="730887242">
                          <w:marLeft w:val="0"/>
                          <w:marRight w:val="0"/>
                          <w:marTop w:val="0"/>
                          <w:marBottom w:val="0"/>
                          <w:divBdr>
                            <w:top w:val="none" w:sz="0" w:space="0" w:color="auto"/>
                            <w:left w:val="none" w:sz="0" w:space="0" w:color="auto"/>
                            <w:bottom w:val="none" w:sz="0" w:space="0" w:color="auto"/>
                            <w:right w:val="none" w:sz="0" w:space="0" w:color="auto"/>
                          </w:divBdr>
                          <w:divsChild>
                            <w:div w:id="18084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147798">
      <w:bodyDiv w:val="1"/>
      <w:marLeft w:val="0"/>
      <w:marRight w:val="0"/>
      <w:marTop w:val="0"/>
      <w:marBottom w:val="0"/>
      <w:divBdr>
        <w:top w:val="none" w:sz="0" w:space="0" w:color="auto"/>
        <w:left w:val="none" w:sz="0" w:space="0" w:color="auto"/>
        <w:bottom w:val="none" w:sz="0" w:space="0" w:color="auto"/>
        <w:right w:val="none" w:sz="0" w:space="0" w:color="auto"/>
      </w:divBdr>
      <w:divsChild>
        <w:div w:id="1671905041">
          <w:marLeft w:val="0"/>
          <w:marRight w:val="1"/>
          <w:marTop w:val="0"/>
          <w:marBottom w:val="0"/>
          <w:divBdr>
            <w:top w:val="none" w:sz="0" w:space="0" w:color="auto"/>
            <w:left w:val="none" w:sz="0" w:space="0" w:color="auto"/>
            <w:bottom w:val="none" w:sz="0" w:space="0" w:color="auto"/>
            <w:right w:val="none" w:sz="0" w:space="0" w:color="auto"/>
          </w:divBdr>
          <w:divsChild>
            <w:div w:id="199897608">
              <w:marLeft w:val="0"/>
              <w:marRight w:val="0"/>
              <w:marTop w:val="0"/>
              <w:marBottom w:val="0"/>
              <w:divBdr>
                <w:top w:val="none" w:sz="0" w:space="0" w:color="auto"/>
                <w:left w:val="none" w:sz="0" w:space="0" w:color="auto"/>
                <w:bottom w:val="none" w:sz="0" w:space="0" w:color="auto"/>
                <w:right w:val="none" w:sz="0" w:space="0" w:color="auto"/>
              </w:divBdr>
              <w:divsChild>
                <w:div w:id="1310398573">
                  <w:marLeft w:val="0"/>
                  <w:marRight w:val="1"/>
                  <w:marTop w:val="0"/>
                  <w:marBottom w:val="0"/>
                  <w:divBdr>
                    <w:top w:val="none" w:sz="0" w:space="0" w:color="auto"/>
                    <w:left w:val="none" w:sz="0" w:space="0" w:color="auto"/>
                    <w:bottom w:val="none" w:sz="0" w:space="0" w:color="auto"/>
                    <w:right w:val="none" w:sz="0" w:space="0" w:color="auto"/>
                  </w:divBdr>
                  <w:divsChild>
                    <w:div w:id="11494913">
                      <w:marLeft w:val="0"/>
                      <w:marRight w:val="0"/>
                      <w:marTop w:val="0"/>
                      <w:marBottom w:val="0"/>
                      <w:divBdr>
                        <w:top w:val="none" w:sz="0" w:space="0" w:color="auto"/>
                        <w:left w:val="none" w:sz="0" w:space="0" w:color="auto"/>
                        <w:bottom w:val="none" w:sz="0" w:space="0" w:color="auto"/>
                        <w:right w:val="none" w:sz="0" w:space="0" w:color="auto"/>
                      </w:divBdr>
                      <w:divsChild>
                        <w:div w:id="2058777691">
                          <w:marLeft w:val="0"/>
                          <w:marRight w:val="0"/>
                          <w:marTop w:val="0"/>
                          <w:marBottom w:val="0"/>
                          <w:divBdr>
                            <w:top w:val="none" w:sz="0" w:space="0" w:color="auto"/>
                            <w:left w:val="none" w:sz="0" w:space="0" w:color="auto"/>
                            <w:bottom w:val="none" w:sz="0" w:space="0" w:color="auto"/>
                            <w:right w:val="none" w:sz="0" w:space="0" w:color="auto"/>
                          </w:divBdr>
                          <w:divsChild>
                            <w:div w:id="1723291684">
                              <w:marLeft w:val="0"/>
                              <w:marRight w:val="0"/>
                              <w:marTop w:val="120"/>
                              <w:marBottom w:val="360"/>
                              <w:divBdr>
                                <w:top w:val="none" w:sz="0" w:space="0" w:color="auto"/>
                                <w:left w:val="none" w:sz="0" w:space="0" w:color="auto"/>
                                <w:bottom w:val="none" w:sz="0" w:space="0" w:color="auto"/>
                                <w:right w:val="none" w:sz="0" w:space="0" w:color="auto"/>
                              </w:divBdr>
                              <w:divsChild>
                                <w:div w:id="1403219098">
                                  <w:marLeft w:val="0"/>
                                  <w:marRight w:val="0"/>
                                  <w:marTop w:val="0"/>
                                  <w:marBottom w:val="0"/>
                                  <w:divBdr>
                                    <w:top w:val="none" w:sz="0" w:space="0" w:color="auto"/>
                                    <w:left w:val="none" w:sz="0" w:space="0" w:color="auto"/>
                                    <w:bottom w:val="none" w:sz="0" w:space="0" w:color="auto"/>
                                    <w:right w:val="none" w:sz="0" w:space="0" w:color="auto"/>
                                  </w:divBdr>
                                </w:div>
                                <w:div w:id="179636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830664">
      <w:bodyDiv w:val="1"/>
      <w:marLeft w:val="0"/>
      <w:marRight w:val="0"/>
      <w:marTop w:val="0"/>
      <w:marBottom w:val="0"/>
      <w:divBdr>
        <w:top w:val="none" w:sz="0" w:space="0" w:color="auto"/>
        <w:left w:val="none" w:sz="0" w:space="0" w:color="auto"/>
        <w:bottom w:val="none" w:sz="0" w:space="0" w:color="auto"/>
        <w:right w:val="none" w:sz="0" w:space="0" w:color="auto"/>
      </w:divBdr>
      <w:divsChild>
        <w:div w:id="648750697">
          <w:marLeft w:val="0"/>
          <w:marRight w:val="0"/>
          <w:marTop w:val="0"/>
          <w:marBottom w:val="0"/>
          <w:divBdr>
            <w:top w:val="none" w:sz="0" w:space="0" w:color="auto"/>
            <w:left w:val="none" w:sz="0" w:space="0" w:color="auto"/>
            <w:bottom w:val="none" w:sz="0" w:space="0" w:color="auto"/>
            <w:right w:val="none" w:sz="0" w:space="0" w:color="auto"/>
          </w:divBdr>
          <w:divsChild>
            <w:div w:id="517934165">
              <w:marLeft w:val="0"/>
              <w:marRight w:val="0"/>
              <w:marTop w:val="0"/>
              <w:marBottom w:val="0"/>
              <w:divBdr>
                <w:top w:val="none" w:sz="0" w:space="0" w:color="auto"/>
                <w:left w:val="single" w:sz="6" w:space="0" w:color="E2E2E2"/>
                <w:bottom w:val="none" w:sz="0" w:space="0" w:color="auto"/>
                <w:right w:val="single" w:sz="6" w:space="0" w:color="E2E2E2"/>
              </w:divBdr>
              <w:divsChild>
                <w:div w:id="31199944">
                  <w:marLeft w:val="0"/>
                  <w:marRight w:val="0"/>
                  <w:marTop w:val="0"/>
                  <w:marBottom w:val="0"/>
                  <w:divBdr>
                    <w:top w:val="none" w:sz="0" w:space="0" w:color="auto"/>
                    <w:left w:val="none" w:sz="0" w:space="0" w:color="auto"/>
                    <w:bottom w:val="none" w:sz="0" w:space="0" w:color="auto"/>
                    <w:right w:val="none" w:sz="0" w:space="0" w:color="auto"/>
                  </w:divBdr>
                  <w:divsChild>
                    <w:div w:id="64189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846320">
      <w:bodyDiv w:val="1"/>
      <w:marLeft w:val="0"/>
      <w:marRight w:val="0"/>
      <w:marTop w:val="0"/>
      <w:marBottom w:val="0"/>
      <w:divBdr>
        <w:top w:val="none" w:sz="0" w:space="0" w:color="auto"/>
        <w:left w:val="none" w:sz="0" w:space="0" w:color="auto"/>
        <w:bottom w:val="none" w:sz="0" w:space="0" w:color="auto"/>
        <w:right w:val="none" w:sz="0" w:space="0" w:color="auto"/>
      </w:divBdr>
      <w:divsChild>
        <w:div w:id="1911579399">
          <w:marLeft w:val="0"/>
          <w:marRight w:val="0"/>
          <w:marTop w:val="0"/>
          <w:marBottom w:val="0"/>
          <w:divBdr>
            <w:top w:val="none" w:sz="0" w:space="0" w:color="auto"/>
            <w:left w:val="none" w:sz="0" w:space="0" w:color="auto"/>
            <w:bottom w:val="none" w:sz="0" w:space="0" w:color="auto"/>
            <w:right w:val="none" w:sz="0" w:space="0" w:color="auto"/>
          </w:divBdr>
          <w:divsChild>
            <w:div w:id="12851722">
              <w:marLeft w:val="0"/>
              <w:marRight w:val="0"/>
              <w:marTop w:val="0"/>
              <w:marBottom w:val="0"/>
              <w:divBdr>
                <w:top w:val="none" w:sz="0" w:space="0" w:color="auto"/>
                <w:left w:val="none" w:sz="0" w:space="0" w:color="auto"/>
                <w:bottom w:val="none" w:sz="0" w:space="0" w:color="auto"/>
                <w:right w:val="none" w:sz="0" w:space="0" w:color="auto"/>
              </w:divBdr>
              <w:divsChild>
                <w:div w:id="947390588">
                  <w:marLeft w:val="0"/>
                  <w:marRight w:val="0"/>
                  <w:marTop w:val="0"/>
                  <w:marBottom w:val="0"/>
                  <w:divBdr>
                    <w:top w:val="none" w:sz="0" w:space="0" w:color="auto"/>
                    <w:left w:val="none" w:sz="0" w:space="0" w:color="auto"/>
                    <w:bottom w:val="none" w:sz="0" w:space="0" w:color="auto"/>
                    <w:right w:val="none" w:sz="0" w:space="0" w:color="auto"/>
                  </w:divBdr>
                  <w:divsChild>
                    <w:div w:id="389354292">
                      <w:marLeft w:val="0"/>
                      <w:marRight w:val="0"/>
                      <w:marTop w:val="0"/>
                      <w:marBottom w:val="0"/>
                      <w:divBdr>
                        <w:top w:val="none" w:sz="0" w:space="0" w:color="auto"/>
                        <w:left w:val="none" w:sz="0" w:space="0" w:color="auto"/>
                        <w:bottom w:val="none" w:sz="0" w:space="0" w:color="auto"/>
                        <w:right w:val="none" w:sz="0" w:space="0" w:color="auto"/>
                      </w:divBdr>
                      <w:divsChild>
                        <w:div w:id="608704894">
                          <w:marLeft w:val="0"/>
                          <w:marRight w:val="0"/>
                          <w:marTop w:val="0"/>
                          <w:marBottom w:val="0"/>
                          <w:divBdr>
                            <w:top w:val="none" w:sz="0" w:space="0" w:color="auto"/>
                            <w:left w:val="none" w:sz="0" w:space="0" w:color="auto"/>
                            <w:bottom w:val="none" w:sz="0" w:space="0" w:color="auto"/>
                            <w:right w:val="none" w:sz="0" w:space="0" w:color="auto"/>
                          </w:divBdr>
                          <w:divsChild>
                            <w:div w:id="1278368929">
                              <w:marLeft w:val="0"/>
                              <w:marRight w:val="0"/>
                              <w:marTop w:val="0"/>
                              <w:marBottom w:val="0"/>
                              <w:divBdr>
                                <w:top w:val="none" w:sz="0" w:space="0" w:color="auto"/>
                                <w:left w:val="none" w:sz="0" w:space="0" w:color="auto"/>
                                <w:bottom w:val="none" w:sz="0" w:space="0" w:color="auto"/>
                                <w:right w:val="none" w:sz="0" w:space="0" w:color="auto"/>
                              </w:divBdr>
                              <w:divsChild>
                                <w:div w:id="1129977396">
                                  <w:marLeft w:val="0"/>
                                  <w:marRight w:val="0"/>
                                  <w:marTop w:val="0"/>
                                  <w:marBottom w:val="0"/>
                                  <w:divBdr>
                                    <w:top w:val="none" w:sz="0" w:space="0" w:color="auto"/>
                                    <w:left w:val="none" w:sz="0" w:space="0" w:color="auto"/>
                                    <w:bottom w:val="none" w:sz="0" w:space="0" w:color="auto"/>
                                    <w:right w:val="none" w:sz="0" w:space="0" w:color="auto"/>
                                  </w:divBdr>
                                  <w:divsChild>
                                    <w:div w:id="1938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598255">
      <w:bodyDiv w:val="1"/>
      <w:marLeft w:val="0"/>
      <w:marRight w:val="0"/>
      <w:marTop w:val="0"/>
      <w:marBottom w:val="450"/>
      <w:divBdr>
        <w:top w:val="none" w:sz="0" w:space="0" w:color="auto"/>
        <w:left w:val="none" w:sz="0" w:space="0" w:color="auto"/>
        <w:bottom w:val="none" w:sz="0" w:space="0" w:color="auto"/>
        <w:right w:val="none" w:sz="0" w:space="0" w:color="auto"/>
      </w:divBdr>
      <w:divsChild>
        <w:div w:id="1742094479">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705912896">
      <w:bodyDiv w:val="1"/>
      <w:marLeft w:val="0"/>
      <w:marRight w:val="0"/>
      <w:marTop w:val="0"/>
      <w:marBottom w:val="0"/>
      <w:divBdr>
        <w:top w:val="none" w:sz="0" w:space="0" w:color="auto"/>
        <w:left w:val="none" w:sz="0" w:space="0" w:color="auto"/>
        <w:bottom w:val="none" w:sz="0" w:space="0" w:color="auto"/>
        <w:right w:val="none" w:sz="0" w:space="0" w:color="auto"/>
      </w:divBdr>
      <w:divsChild>
        <w:div w:id="708411272">
          <w:marLeft w:val="0"/>
          <w:marRight w:val="0"/>
          <w:marTop w:val="0"/>
          <w:marBottom w:val="0"/>
          <w:divBdr>
            <w:top w:val="none" w:sz="0" w:space="0" w:color="auto"/>
            <w:left w:val="none" w:sz="0" w:space="0" w:color="auto"/>
            <w:bottom w:val="none" w:sz="0" w:space="0" w:color="auto"/>
            <w:right w:val="none" w:sz="0" w:space="0" w:color="auto"/>
          </w:divBdr>
          <w:divsChild>
            <w:div w:id="130169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939">
      <w:bodyDiv w:val="1"/>
      <w:marLeft w:val="0"/>
      <w:marRight w:val="0"/>
      <w:marTop w:val="0"/>
      <w:marBottom w:val="0"/>
      <w:divBdr>
        <w:top w:val="none" w:sz="0" w:space="0" w:color="auto"/>
        <w:left w:val="none" w:sz="0" w:space="0" w:color="auto"/>
        <w:bottom w:val="none" w:sz="0" w:space="0" w:color="auto"/>
        <w:right w:val="none" w:sz="0" w:space="0" w:color="auto"/>
      </w:divBdr>
    </w:div>
    <w:div w:id="801995884">
      <w:bodyDiv w:val="1"/>
      <w:marLeft w:val="0"/>
      <w:marRight w:val="0"/>
      <w:marTop w:val="0"/>
      <w:marBottom w:val="0"/>
      <w:divBdr>
        <w:top w:val="none" w:sz="0" w:space="0" w:color="auto"/>
        <w:left w:val="none" w:sz="0" w:space="0" w:color="auto"/>
        <w:bottom w:val="none" w:sz="0" w:space="0" w:color="auto"/>
        <w:right w:val="none" w:sz="0" w:space="0" w:color="auto"/>
      </w:divBdr>
      <w:divsChild>
        <w:div w:id="1361856228">
          <w:marLeft w:val="0"/>
          <w:marRight w:val="0"/>
          <w:marTop w:val="0"/>
          <w:marBottom w:val="0"/>
          <w:divBdr>
            <w:top w:val="none" w:sz="0" w:space="0" w:color="auto"/>
            <w:left w:val="none" w:sz="0" w:space="0" w:color="auto"/>
            <w:bottom w:val="none" w:sz="0" w:space="0" w:color="auto"/>
            <w:right w:val="none" w:sz="0" w:space="0" w:color="auto"/>
          </w:divBdr>
          <w:divsChild>
            <w:div w:id="634142246">
              <w:marLeft w:val="0"/>
              <w:marRight w:val="0"/>
              <w:marTop w:val="0"/>
              <w:marBottom w:val="0"/>
              <w:divBdr>
                <w:top w:val="none" w:sz="0" w:space="0" w:color="auto"/>
                <w:left w:val="none" w:sz="0" w:space="0" w:color="auto"/>
                <w:bottom w:val="none" w:sz="0" w:space="0" w:color="auto"/>
                <w:right w:val="none" w:sz="0" w:space="0" w:color="auto"/>
              </w:divBdr>
              <w:divsChild>
                <w:div w:id="106170062">
                  <w:marLeft w:val="0"/>
                  <w:marRight w:val="0"/>
                  <w:marTop w:val="0"/>
                  <w:marBottom w:val="0"/>
                  <w:divBdr>
                    <w:top w:val="none" w:sz="0" w:space="0" w:color="auto"/>
                    <w:left w:val="none" w:sz="0" w:space="0" w:color="auto"/>
                    <w:bottom w:val="none" w:sz="0" w:space="0" w:color="auto"/>
                    <w:right w:val="none" w:sz="0" w:space="0" w:color="auto"/>
                  </w:divBdr>
                  <w:divsChild>
                    <w:div w:id="690380290">
                      <w:marLeft w:val="0"/>
                      <w:marRight w:val="0"/>
                      <w:marTop w:val="0"/>
                      <w:marBottom w:val="0"/>
                      <w:divBdr>
                        <w:top w:val="none" w:sz="0" w:space="0" w:color="auto"/>
                        <w:left w:val="none" w:sz="0" w:space="0" w:color="auto"/>
                        <w:bottom w:val="none" w:sz="0" w:space="0" w:color="auto"/>
                        <w:right w:val="none" w:sz="0" w:space="0" w:color="auto"/>
                      </w:divBdr>
                      <w:divsChild>
                        <w:div w:id="264578295">
                          <w:marLeft w:val="0"/>
                          <w:marRight w:val="0"/>
                          <w:marTop w:val="0"/>
                          <w:marBottom w:val="0"/>
                          <w:divBdr>
                            <w:top w:val="none" w:sz="0" w:space="0" w:color="auto"/>
                            <w:left w:val="none" w:sz="0" w:space="0" w:color="auto"/>
                            <w:bottom w:val="none" w:sz="0" w:space="0" w:color="auto"/>
                            <w:right w:val="none" w:sz="0" w:space="0" w:color="auto"/>
                          </w:divBdr>
                        </w:div>
                        <w:div w:id="76318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560997">
      <w:bodyDiv w:val="1"/>
      <w:marLeft w:val="0"/>
      <w:marRight w:val="0"/>
      <w:marTop w:val="0"/>
      <w:marBottom w:val="0"/>
      <w:divBdr>
        <w:top w:val="none" w:sz="0" w:space="0" w:color="auto"/>
        <w:left w:val="none" w:sz="0" w:space="0" w:color="auto"/>
        <w:bottom w:val="none" w:sz="0" w:space="0" w:color="auto"/>
        <w:right w:val="none" w:sz="0" w:space="0" w:color="auto"/>
      </w:divBdr>
    </w:div>
    <w:div w:id="1084843837">
      <w:bodyDiv w:val="1"/>
      <w:marLeft w:val="0"/>
      <w:marRight w:val="0"/>
      <w:marTop w:val="0"/>
      <w:marBottom w:val="0"/>
      <w:divBdr>
        <w:top w:val="none" w:sz="0" w:space="0" w:color="auto"/>
        <w:left w:val="none" w:sz="0" w:space="0" w:color="auto"/>
        <w:bottom w:val="none" w:sz="0" w:space="0" w:color="auto"/>
        <w:right w:val="none" w:sz="0" w:space="0" w:color="auto"/>
      </w:divBdr>
      <w:divsChild>
        <w:div w:id="1422486153">
          <w:marLeft w:val="0"/>
          <w:marRight w:val="0"/>
          <w:marTop w:val="0"/>
          <w:marBottom w:val="0"/>
          <w:divBdr>
            <w:top w:val="none" w:sz="0" w:space="0" w:color="auto"/>
            <w:left w:val="none" w:sz="0" w:space="0" w:color="auto"/>
            <w:bottom w:val="none" w:sz="0" w:space="0" w:color="auto"/>
            <w:right w:val="none" w:sz="0" w:space="0" w:color="auto"/>
          </w:divBdr>
          <w:divsChild>
            <w:div w:id="1457094521">
              <w:marLeft w:val="0"/>
              <w:marRight w:val="0"/>
              <w:marTop w:val="0"/>
              <w:marBottom w:val="0"/>
              <w:divBdr>
                <w:top w:val="none" w:sz="0" w:space="0" w:color="auto"/>
                <w:left w:val="none" w:sz="0" w:space="0" w:color="auto"/>
                <w:bottom w:val="none" w:sz="0" w:space="0" w:color="auto"/>
                <w:right w:val="none" w:sz="0" w:space="0" w:color="auto"/>
              </w:divBdr>
            </w:div>
            <w:div w:id="191157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0286">
      <w:bodyDiv w:val="1"/>
      <w:marLeft w:val="0"/>
      <w:marRight w:val="0"/>
      <w:marTop w:val="0"/>
      <w:marBottom w:val="0"/>
      <w:divBdr>
        <w:top w:val="none" w:sz="0" w:space="0" w:color="auto"/>
        <w:left w:val="none" w:sz="0" w:space="0" w:color="auto"/>
        <w:bottom w:val="none" w:sz="0" w:space="0" w:color="auto"/>
        <w:right w:val="none" w:sz="0" w:space="0" w:color="auto"/>
      </w:divBdr>
    </w:div>
    <w:div w:id="1269967184">
      <w:bodyDiv w:val="1"/>
      <w:marLeft w:val="0"/>
      <w:marRight w:val="0"/>
      <w:marTop w:val="0"/>
      <w:marBottom w:val="0"/>
      <w:divBdr>
        <w:top w:val="none" w:sz="0" w:space="0" w:color="auto"/>
        <w:left w:val="none" w:sz="0" w:space="0" w:color="auto"/>
        <w:bottom w:val="none" w:sz="0" w:space="0" w:color="auto"/>
        <w:right w:val="none" w:sz="0" w:space="0" w:color="auto"/>
      </w:divBdr>
      <w:divsChild>
        <w:div w:id="239171007">
          <w:marLeft w:val="0"/>
          <w:marRight w:val="0"/>
          <w:marTop w:val="0"/>
          <w:marBottom w:val="0"/>
          <w:divBdr>
            <w:top w:val="none" w:sz="0" w:space="0" w:color="auto"/>
            <w:left w:val="none" w:sz="0" w:space="0" w:color="auto"/>
            <w:bottom w:val="none" w:sz="0" w:space="0" w:color="auto"/>
            <w:right w:val="none" w:sz="0" w:space="0" w:color="auto"/>
          </w:divBdr>
          <w:divsChild>
            <w:div w:id="2110617345">
              <w:marLeft w:val="0"/>
              <w:marRight w:val="0"/>
              <w:marTop w:val="0"/>
              <w:marBottom w:val="0"/>
              <w:divBdr>
                <w:top w:val="none" w:sz="0" w:space="0" w:color="auto"/>
                <w:left w:val="none" w:sz="0" w:space="0" w:color="auto"/>
                <w:bottom w:val="none" w:sz="0" w:space="0" w:color="auto"/>
                <w:right w:val="none" w:sz="0" w:space="0" w:color="auto"/>
              </w:divBdr>
              <w:divsChild>
                <w:div w:id="1738212269">
                  <w:marLeft w:val="0"/>
                  <w:marRight w:val="0"/>
                  <w:marTop w:val="0"/>
                  <w:marBottom w:val="0"/>
                  <w:divBdr>
                    <w:top w:val="none" w:sz="0" w:space="0" w:color="auto"/>
                    <w:left w:val="none" w:sz="0" w:space="0" w:color="auto"/>
                    <w:bottom w:val="none" w:sz="0" w:space="0" w:color="auto"/>
                    <w:right w:val="none" w:sz="0" w:space="0" w:color="auto"/>
                  </w:divBdr>
                  <w:divsChild>
                    <w:div w:id="40642325">
                      <w:marLeft w:val="0"/>
                      <w:marRight w:val="0"/>
                      <w:marTop w:val="0"/>
                      <w:marBottom w:val="0"/>
                      <w:divBdr>
                        <w:top w:val="none" w:sz="0" w:space="0" w:color="auto"/>
                        <w:left w:val="none" w:sz="0" w:space="0" w:color="auto"/>
                        <w:bottom w:val="none" w:sz="0" w:space="0" w:color="auto"/>
                        <w:right w:val="none" w:sz="0" w:space="0" w:color="auto"/>
                      </w:divBdr>
                      <w:divsChild>
                        <w:div w:id="1580019385">
                          <w:marLeft w:val="0"/>
                          <w:marRight w:val="0"/>
                          <w:marTop w:val="0"/>
                          <w:marBottom w:val="0"/>
                          <w:divBdr>
                            <w:top w:val="none" w:sz="0" w:space="0" w:color="auto"/>
                            <w:left w:val="none" w:sz="0" w:space="0" w:color="auto"/>
                            <w:bottom w:val="none" w:sz="0" w:space="0" w:color="auto"/>
                            <w:right w:val="none" w:sz="0" w:space="0" w:color="auto"/>
                          </w:divBdr>
                          <w:divsChild>
                            <w:div w:id="1156722290">
                              <w:marLeft w:val="0"/>
                              <w:marRight w:val="0"/>
                              <w:marTop w:val="0"/>
                              <w:marBottom w:val="0"/>
                              <w:divBdr>
                                <w:top w:val="none" w:sz="0" w:space="0" w:color="auto"/>
                                <w:left w:val="none" w:sz="0" w:space="0" w:color="auto"/>
                                <w:bottom w:val="none" w:sz="0" w:space="0" w:color="auto"/>
                                <w:right w:val="none" w:sz="0" w:space="0" w:color="auto"/>
                              </w:divBdr>
                              <w:divsChild>
                                <w:div w:id="16759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823758">
      <w:bodyDiv w:val="1"/>
      <w:marLeft w:val="0"/>
      <w:marRight w:val="0"/>
      <w:marTop w:val="0"/>
      <w:marBottom w:val="0"/>
      <w:divBdr>
        <w:top w:val="none" w:sz="0" w:space="0" w:color="auto"/>
        <w:left w:val="none" w:sz="0" w:space="0" w:color="auto"/>
        <w:bottom w:val="none" w:sz="0" w:space="0" w:color="auto"/>
        <w:right w:val="none" w:sz="0" w:space="0" w:color="auto"/>
      </w:divBdr>
    </w:div>
    <w:div w:id="1612588451">
      <w:bodyDiv w:val="1"/>
      <w:marLeft w:val="0"/>
      <w:marRight w:val="0"/>
      <w:marTop w:val="0"/>
      <w:marBottom w:val="450"/>
      <w:divBdr>
        <w:top w:val="none" w:sz="0" w:space="0" w:color="auto"/>
        <w:left w:val="none" w:sz="0" w:space="0" w:color="auto"/>
        <w:bottom w:val="none" w:sz="0" w:space="0" w:color="auto"/>
        <w:right w:val="none" w:sz="0" w:space="0" w:color="auto"/>
      </w:divBdr>
      <w:divsChild>
        <w:div w:id="1094668601">
          <w:marLeft w:val="90"/>
          <w:marRight w:val="90"/>
          <w:marTop w:val="0"/>
          <w:marBottom w:val="0"/>
          <w:divBdr>
            <w:top w:val="single" w:sz="6" w:space="23" w:color="DFDFDF"/>
            <w:left w:val="single" w:sz="6" w:space="23" w:color="DFDFDF"/>
            <w:bottom w:val="single" w:sz="6" w:space="8" w:color="DFDFDF"/>
            <w:right w:val="single" w:sz="6" w:space="23" w:color="DFDFDF"/>
          </w:divBdr>
        </w:div>
      </w:divsChild>
    </w:div>
    <w:div w:id="1644652473">
      <w:bodyDiv w:val="1"/>
      <w:marLeft w:val="0"/>
      <w:marRight w:val="0"/>
      <w:marTop w:val="0"/>
      <w:marBottom w:val="0"/>
      <w:divBdr>
        <w:top w:val="none" w:sz="0" w:space="0" w:color="auto"/>
        <w:left w:val="none" w:sz="0" w:space="0" w:color="auto"/>
        <w:bottom w:val="none" w:sz="0" w:space="0" w:color="auto"/>
        <w:right w:val="none" w:sz="0" w:space="0" w:color="auto"/>
      </w:divBdr>
    </w:div>
    <w:div w:id="1648587817">
      <w:bodyDiv w:val="1"/>
      <w:marLeft w:val="0"/>
      <w:marRight w:val="0"/>
      <w:marTop w:val="0"/>
      <w:marBottom w:val="0"/>
      <w:divBdr>
        <w:top w:val="none" w:sz="0" w:space="0" w:color="auto"/>
        <w:left w:val="none" w:sz="0" w:space="0" w:color="auto"/>
        <w:bottom w:val="none" w:sz="0" w:space="0" w:color="auto"/>
        <w:right w:val="none" w:sz="0" w:space="0" w:color="auto"/>
      </w:divBdr>
      <w:divsChild>
        <w:div w:id="508327780">
          <w:marLeft w:val="0"/>
          <w:marRight w:val="0"/>
          <w:marTop w:val="0"/>
          <w:marBottom w:val="0"/>
          <w:divBdr>
            <w:top w:val="none" w:sz="0" w:space="0" w:color="auto"/>
            <w:left w:val="none" w:sz="0" w:space="0" w:color="auto"/>
            <w:bottom w:val="none" w:sz="0" w:space="0" w:color="auto"/>
            <w:right w:val="none" w:sz="0" w:space="0" w:color="auto"/>
          </w:divBdr>
          <w:divsChild>
            <w:div w:id="75432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099378">
      <w:bodyDiv w:val="1"/>
      <w:marLeft w:val="0"/>
      <w:marRight w:val="0"/>
      <w:marTop w:val="0"/>
      <w:marBottom w:val="0"/>
      <w:divBdr>
        <w:top w:val="none" w:sz="0" w:space="0" w:color="auto"/>
        <w:left w:val="none" w:sz="0" w:space="0" w:color="auto"/>
        <w:bottom w:val="none" w:sz="0" w:space="0" w:color="auto"/>
        <w:right w:val="none" w:sz="0" w:space="0" w:color="auto"/>
      </w:divBdr>
    </w:div>
    <w:div w:id="1671177274">
      <w:bodyDiv w:val="1"/>
      <w:marLeft w:val="0"/>
      <w:marRight w:val="0"/>
      <w:marTop w:val="0"/>
      <w:marBottom w:val="0"/>
      <w:divBdr>
        <w:top w:val="none" w:sz="0" w:space="0" w:color="auto"/>
        <w:left w:val="none" w:sz="0" w:space="0" w:color="auto"/>
        <w:bottom w:val="none" w:sz="0" w:space="0" w:color="auto"/>
        <w:right w:val="none" w:sz="0" w:space="0" w:color="auto"/>
      </w:divBdr>
      <w:divsChild>
        <w:div w:id="1291935686">
          <w:marLeft w:val="0"/>
          <w:marRight w:val="0"/>
          <w:marTop w:val="0"/>
          <w:marBottom w:val="0"/>
          <w:divBdr>
            <w:top w:val="none" w:sz="0" w:space="0" w:color="auto"/>
            <w:left w:val="none" w:sz="0" w:space="0" w:color="auto"/>
            <w:bottom w:val="none" w:sz="0" w:space="0" w:color="auto"/>
            <w:right w:val="none" w:sz="0" w:space="0" w:color="auto"/>
          </w:divBdr>
          <w:divsChild>
            <w:div w:id="167066376">
              <w:marLeft w:val="0"/>
              <w:marRight w:val="0"/>
              <w:marTop w:val="0"/>
              <w:marBottom w:val="0"/>
              <w:divBdr>
                <w:top w:val="none" w:sz="0" w:space="0" w:color="auto"/>
                <w:left w:val="none" w:sz="0" w:space="0" w:color="auto"/>
                <w:bottom w:val="none" w:sz="0" w:space="0" w:color="auto"/>
                <w:right w:val="none" w:sz="0" w:space="0" w:color="auto"/>
              </w:divBdr>
            </w:div>
            <w:div w:id="126565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4808">
      <w:bodyDiv w:val="1"/>
      <w:marLeft w:val="0"/>
      <w:marRight w:val="0"/>
      <w:marTop w:val="0"/>
      <w:marBottom w:val="0"/>
      <w:divBdr>
        <w:top w:val="none" w:sz="0" w:space="0" w:color="auto"/>
        <w:left w:val="none" w:sz="0" w:space="0" w:color="auto"/>
        <w:bottom w:val="none" w:sz="0" w:space="0" w:color="auto"/>
        <w:right w:val="none" w:sz="0" w:space="0" w:color="auto"/>
      </w:divBdr>
      <w:divsChild>
        <w:div w:id="85810025">
          <w:marLeft w:val="0"/>
          <w:marRight w:val="0"/>
          <w:marTop w:val="0"/>
          <w:marBottom w:val="0"/>
          <w:divBdr>
            <w:top w:val="none" w:sz="0" w:space="0" w:color="auto"/>
            <w:left w:val="none" w:sz="0" w:space="0" w:color="auto"/>
            <w:bottom w:val="none" w:sz="0" w:space="0" w:color="auto"/>
            <w:right w:val="none" w:sz="0" w:space="0" w:color="auto"/>
          </w:divBdr>
        </w:div>
      </w:divsChild>
    </w:div>
    <w:div w:id="1920754172">
      <w:bodyDiv w:val="1"/>
      <w:marLeft w:val="0"/>
      <w:marRight w:val="0"/>
      <w:marTop w:val="0"/>
      <w:marBottom w:val="0"/>
      <w:divBdr>
        <w:top w:val="none" w:sz="0" w:space="0" w:color="auto"/>
        <w:left w:val="none" w:sz="0" w:space="0" w:color="auto"/>
        <w:bottom w:val="none" w:sz="0" w:space="0" w:color="auto"/>
        <w:right w:val="none" w:sz="0" w:space="0" w:color="auto"/>
      </w:divBdr>
      <w:divsChild>
        <w:div w:id="971444018">
          <w:marLeft w:val="0"/>
          <w:marRight w:val="0"/>
          <w:marTop w:val="0"/>
          <w:marBottom w:val="0"/>
          <w:divBdr>
            <w:top w:val="none" w:sz="0" w:space="0" w:color="auto"/>
            <w:left w:val="none" w:sz="0" w:space="0" w:color="auto"/>
            <w:bottom w:val="none" w:sz="0" w:space="0" w:color="auto"/>
            <w:right w:val="none" w:sz="0" w:space="0" w:color="auto"/>
          </w:divBdr>
          <w:divsChild>
            <w:div w:id="1018626239">
              <w:marLeft w:val="0"/>
              <w:marRight w:val="0"/>
              <w:marTop w:val="0"/>
              <w:marBottom w:val="0"/>
              <w:divBdr>
                <w:top w:val="none" w:sz="0" w:space="0" w:color="auto"/>
                <w:left w:val="single" w:sz="6" w:space="0" w:color="E2E2E2"/>
                <w:bottom w:val="none" w:sz="0" w:space="0" w:color="auto"/>
                <w:right w:val="single" w:sz="6" w:space="0" w:color="E2E2E2"/>
              </w:divBdr>
              <w:divsChild>
                <w:div w:id="2100178368">
                  <w:marLeft w:val="0"/>
                  <w:marRight w:val="0"/>
                  <w:marTop w:val="0"/>
                  <w:marBottom w:val="0"/>
                  <w:divBdr>
                    <w:top w:val="none" w:sz="0" w:space="0" w:color="auto"/>
                    <w:left w:val="none" w:sz="0" w:space="0" w:color="auto"/>
                    <w:bottom w:val="none" w:sz="0" w:space="0" w:color="auto"/>
                    <w:right w:val="none" w:sz="0" w:space="0" w:color="auto"/>
                  </w:divBdr>
                  <w:divsChild>
                    <w:div w:id="3638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638329">
      <w:bodyDiv w:val="1"/>
      <w:marLeft w:val="0"/>
      <w:marRight w:val="0"/>
      <w:marTop w:val="0"/>
      <w:marBottom w:val="0"/>
      <w:divBdr>
        <w:top w:val="none" w:sz="0" w:space="0" w:color="auto"/>
        <w:left w:val="none" w:sz="0" w:space="0" w:color="auto"/>
        <w:bottom w:val="none" w:sz="0" w:space="0" w:color="auto"/>
        <w:right w:val="none" w:sz="0" w:space="0" w:color="auto"/>
      </w:divBdr>
      <w:divsChild>
        <w:div w:id="1278101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sites/entrez?Db=pubmed&amp;Cmd=Search&amp;Term=%22Gelb%20CA%22%5BAuthor%5D&amp;itool=EntrezSystem2.PEntrez.Pubmed.Pubmed_ResultsPanel.Pubmed_DiscoveryPanel.Pubmed_RVAbstractPlus"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www.ncbi.nlm.nih.gov/sites/entrez?Db=pubmed&amp;Cmd=Search&amp;Term=%22Jorgensen%20CM%22%5BAuthor%5D&amp;itool=EntrezSystem2.PEntrez.Pubmed.Pubmed_ResultsPanel.Pubmed_DiscoveryPanel.Pubmed_RVAbstractPlu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ncbi.nlm.nih.gov/sites/entrez?Db=pubmed&amp;Cmd=Search&amp;Term=%22Cooper%20CP%22%5BAuthor%5D&amp;itool=EntrezSystem2.PEntrez.Pubmed.Pubmed_ResultsPanel.Pubmed_DiscoveryPanel.Pubmed_RVAbstractPlus"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bls.gov/oes/current/oes_nat.htm" TargetMode="External"/><Relationship Id="rId20" Type="http://schemas.openxmlformats.org/officeDocument/2006/relationships/hyperlink" Target="http://www.ncbi.nlm.nih.gov/sites/entrez?Db=pubmed&amp;Cmd=Search&amp;Term=%22Macario%20E%22%5BAuthor%5D&amp;itool=EntrezSystem2.PEntrez.Pubmed.Pubmed_ResultsPanel.Pubmed_DiscoveryPanel.Pubmed_RVAbstractPl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cdc.gov/nchs/nsfg.ht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ncbi.nlm.nih.gov/sites/entrez?Db=pubmed&amp;Cmd=Search&amp;Term=%22Jameson%20H%22%5BAuthor%5D&amp;itool=EntrezSystem2.PEntrez.Pubmed.Pubmed_ResultsPanel.Pubmed_DiscoveryPanel.Pubmed_RVAbstractPlu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dc.gov/uscs" TargetMode="External"/><Relationship Id="rId22" Type="http://schemas.openxmlformats.org/officeDocument/2006/relationships/hyperlink" Target="http://www.ncbi.nlm.nih.gov/sites/entrez?Db=pubmed&amp;Cmd=Search&amp;Term=%22Seeff%20L%22%5BAuthor%5D&amp;itool=EntrezSystem2.PEntrez.Pubmed.Pubmed_ResultsPanel.Pubmed_DiscoveryPanel.Pubmed_RVAbstractPlu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5E848-0956-4860-AEDF-91476F436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3577</Words>
  <Characters>23779</Characters>
  <Application>Microsoft Office Word</Application>
  <DocSecurity>4</DocSecurity>
  <Lines>198</Lines>
  <Paragraphs>54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ITSO</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sxw2</dc:creator>
  <cp:keywords/>
  <cp:lastModifiedBy>Clunis, Odion (CDC/DDPHSS/OS/OSI)</cp:lastModifiedBy>
  <cp:revision>2</cp:revision>
  <cp:lastPrinted>2014-06-27T22:49:00Z</cp:lastPrinted>
  <dcterms:created xsi:type="dcterms:W3CDTF">2022-02-10T15:07:00Z</dcterms:created>
  <dcterms:modified xsi:type="dcterms:W3CDTF">2022-02-10T15:07:00Z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2021-01-28T09:54:58Z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30d24a4b-b2d9-4180-956b-247fbb4ea549</vt:lpwstr>
  </property>
  <property fmtid="{D5CDD505-2E9C-101B-9397-08002B2CF9AE}" pid="8" name="MSIP_Label_7b94a7b8-f06c-4dfe-bdcc-9b548fd58c31_ContentBits">
    <vt:lpwstr>0</vt:lpwstr>
  </property>
</Properties>
</file>